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DD" w:rsidRPr="00FC3767" w:rsidRDefault="007254DD" w:rsidP="00FC3767">
      <w:pPr>
        <w:pStyle w:val="Title"/>
      </w:pPr>
      <w:bookmarkStart w:id="0" w:name="_GoBack"/>
      <w:bookmarkEnd w:id="0"/>
      <w:r w:rsidRPr="00FC3767">
        <w:t>Product Information</w:t>
      </w:r>
    </w:p>
    <w:p w:rsidR="007254DD" w:rsidRPr="00FC3767" w:rsidRDefault="00C3685A" w:rsidP="00FC3767">
      <w:pPr>
        <w:pStyle w:val="Title"/>
      </w:pPr>
      <w:r w:rsidRPr="00FC3767">
        <w:t>EPCLUSA</w:t>
      </w:r>
      <w:r w:rsidR="00386EEF" w:rsidRPr="00FC3767">
        <w:t>®</w:t>
      </w:r>
      <w:r w:rsidR="007D2219" w:rsidRPr="00FC3767">
        <w:t xml:space="preserve"> (</w:t>
      </w:r>
      <w:r w:rsidR="00047856" w:rsidRPr="00FC3767">
        <w:t>sofosbuvir</w:t>
      </w:r>
      <w:r w:rsidR="00487460" w:rsidRPr="00FC3767">
        <w:t>/velpatasvir</w:t>
      </w:r>
      <w:r w:rsidR="00683599" w:rsidRPr="00FC3767">
        <w:t>)</w:t>
      </w:r>
      <w:r w:rsidR="007D2219" w:rsidRPr="00FC3767">
        <w:t xml:space="preserve"> tablets</w:t>
      </w:r>
    </w:p>
    <w:p w:rsidR="007254DD" w:rsidRPr="008A0A30" w:rsidRDefault="007254DD" w:rsidP="00FC3767">
      <w:pPr>
        <w:pStyle w:val="Heading1"/>
      </w:pPr>
      <w:r w:rsidRPr="008A0A30">
        <w:t>NAME OF THE MEDICINE</w:t>
      </w:r>
    </w:p>
    <w:p w:rsidR="00A31D2F" w:rsidRDefault="00C3685A" w:rsidP="00070C07">
      <w:pPr>
        <w:rPr>
          <w:noProof/>
        </w:rPr>
      </w:pPr>
      <w:r>
        <w:rPr>
          <w:noProof/>
        </w:rPr>
        <w:t>EPCLUSA</w:t>
      </w:r>
      <w:r w:rsidR="00D50933" w:rsidRPr="008A0A30">
        <w:rPr>
          <w:noProof/>
        </w:rPr>
        <w:t xml:space="preserve"> </w:t>
      </w:r>
      <w:r w:rsidR="007D2219" w:rsidRPr="008A0A30">
        <w:rPr>
          <w:noProof/>
        </w:rPr>
        <w:t>(</w:t>
      </w:r>
      <w:r w:rsidR="00683599" w:rsidRPr="008A0A30">
        <w:rPr>
          <w:noProof/>
        </w:rPr>
        <w:t>sofosbuvir</w:t>
      </w:r>
      <w:r w:rsidR="00487460">
        <w:rPr>
          <w:noProof/>
        </w:rPr>
        <w:t>/</w:t>
      </w:r>
      <w:r w:rsidR="00487460" w:rsidRPr="008A0A30">
        <w:rPr>
          <w:noProof/>
        </w:rPr>
        <w:t>velpatasvir</w:t>
      </w:r>
      <w:r w:rsidR="00487460">
        <w:rPr>
          <w:noProof/>
        </w:rPr>
        <w:t xml:space="preserve"> </w:t>
      </w:r>
      <w:r w:rsidR="00854E47" w:rsidRPr="008A0A30">
        <w:rPr>
          <w:noProof/>
        </w:rPr>
        <w:t>400 mg</w:t>
      </w:r>
      <w:r w:rsidR="00487460">
        <w:rPr>
          <w:noProof/>
        </w:rPr>
        <w:t>/</w:t>
      </w:r>
      <w:r w:rsidR="00487460" w:rsidRPr="008A0A30">
        <w:rPr>
          <w:noProof/>
        </w:rPr>
        <w:t>100 mg</w:t>
      </w:r>
      <w:r w:rsidR="007D2219" w:rsidRPr="008A0A30">
        <w:rPr>
          <w:noProof/>
        </w:rPr>
        <w:t>)</w:t>
      </w:r>
      <w:r w:rsidR="007D2219" w:rsidRPr="008A0A30">
        <w:rPr>
          <w:b/>
          <w:noProof/>
        </w:rPr>
        <w:t xml:space="preserve"> </w:t>
      </w:r>
      <w:r w:rsidR="007D2219" w:rsidRPr="008A0A30">
        <w:rPr>
          <w:noProof/>
        </w:rPr>
        <w:t>tablets</w:t>
      </w:r>
      <w:r w:rsidR="00FC3767">
        <w:rPr>
          <w:noProof/>
        </w:rPr>
        <w:t>.</w:t>
      </w:r>
    </w:p>
    <w:p w:rsidR="005F4372" w:rsidRDefault="00FB788D" w:rsidP="005F4372">
      <w:pPr>
        <w:rPr>
          <w:bCs/>
          <w:noProof/>
        </w:rPr>
      </w:pPr>
      <w:r w:rsidRPr="008A0A30">
        <w:rPr>
          <w:noProof/>
        </w:rPr>
        <w:t>The active substance</w:t>
      </w:r>
      <w:r w:rsidR="003A149F" w:rsidRPr="008A0A30">
        <w:rPr>
          <w:noProof/>
        </w:rPr>
        <w:t>s</w:t>
      </w:r>
      <w:r w:rsidRPr="008A0A30">
        <w:rPr>
          <w:noProof/>
        </w:rPr>
        <w:t xml:space="preserve"> in </w:t>
      </w:r>
      <w:r w:rsidR="00C3685A">
        <w:rPr>
          <w:noProof/>
        </w:rPr>
        <w:t>EPCLUSA</w:t>
      </w:r>
      <w:r w:rsidR="00E07F0F" w:rsidRPr="008A0A30">
        <w:rPr>
          <w:noProof/>
        </w:rPr>
        <w:t xml:space="preserve"> </w:t>
      </w:r>
      <w:r w:rsidR="007D2219" w:rsidRPr="008A0A30">
        <w:rPr>
          <w:noProof/>
        </w:rPr>
        <w:t xml:space="preserve">tablets </w:t>
      </w:r>
      <w:r w:rsidR="00D902C0" w:rsidRPr="008A0A30">
        <w:rPr>
          <w:noProof/>
        </w:rPr>
        <w:t>are</w:t>
      </w:r>
      <w:r w:rsidR="007D2219" w:rsidRPr="008A0A30">
        <w:rPr>
          <w:noProof/>
        </w:rPr>
        <w:t xml:space="preserve"> </w:t>
      </w:r>
      <w:r w:rsidR="00A21508" w:rsidRPr="008A0A30">
        <w:rPr>
          <w:bCs/>
          <w:noProof/>
        </w:rPr>
        <w:t>sofosbuvir</w:t>
      </w:r>
      <w:r w:rsidR="00487460" w:rsidRPr="00487460">
        <w:rPr>
          <w:bCs/>
          <w:noProof/>
        </w:rPr>
        <w:t xml:space="preserve"> </w:t>
      </w:r>
      <w:r w:rsidR="00487460" w:rsidRPr="008A0A30">
        <w:rPr>
          <w:bCs/>
          <w:noProof/>
        </w:rPr>
        <w:t>and velpatasvir</w:t>
      </w:r>
      <w:r w:rsidR="00A6076E" w:rsidRPr="008A0A30">
        <w:rPr>
          <w:bCs/>
          <w:noProof/>
        </w:rPr>
        <w:t>.</w:t>
      </w:r>
    </w:p>
    <w:p w:rsidR="00FC3767" w:rsidRDefault="00487460" w:rsidP="00070C07">
      <w:r w:rsidRPr="00487460">
        <w:t>Sofosbuvir is a nucleotide inhibitor of HCV NS5B RNA-</w:t>
      </w:r>
      <w:r w:rsidR="00D266E2" w:rsidRPr="00487460">
        <w:t>dependent</w:t>
      </w:r>
      <w:r w:rsidRPr="00487460">
        <w:t xml:space="preserve"> RNA polymerase and </w:t>
      </w:r>
      <w:r>
        <w:t>v</w:t>
      </w:r>
      <w:r w:rsidR="005B33C3" w:rsidRPr="008A0A30">
        <w:t>elpatasvir</w:t>
      </w:r>
      <w:r w:rsidR="009B6633" w:rsidRPr="008A0A30">
        <w:t xml:space="preserve"> is an HCV NS</w:t>
      </w:r>
      <w:r w:rsidR="000B3B08" w:rsidRPr="008A0A30">
        <w:t>5A inhibitor</w:t>
      </w:r>
      <w:r>
        <w:t>.</w:t>
      </w:r>
    </w:p>
    <w:p w:rsidR="00487460" w:rsidRDefault="00487460" w:rsidP="00487460">
      <w:r w:rsidRPr="008A0A30">
        <w:t>The chemical name of sofosbuvir is (</w:t>
      </w:r>
      <w:r w:rsidRPr="008A0A30">
        <w:rPr>
          <w:i/>
        </w:rPr>
        <w:t>S</w:t>
      </w:r>
      <w:r w:rsidRPr="008A0A30">
        <w:t>)-Isopropyl 2-((</w:t>
      </w:r>
      <w:r w:rsidRPr="008A0A30">
        <w:rPr>
          <w:i/>
        </w:rPr>
        <w:t>S</w:t>
      </w:r>
      <w:r w:rsidRPr="008A0A30">
        <w:t>)-(((2</w:t>
      </w:r>
      <w:r w:rsidRPr="008A0A30">
        <w:rPr>
          <w:i/>
        </w:rPr>
        <w:t>R</w:t>
      </w:r>
      <w:r w:rsidRPr="008A0A30">
        <w:t>,3</w:t>
      </w:r>
      <w:r w:rsidRPr="008A0A30">
        <w:rPr>
          <w:i/>
        </w:rPr>
        <w:t>R</w:t>
      </w:r>
      <w:r w:rsidRPr="008A0A30">
        <w:t>,4</w:t>
      </w:r>
      <w:r w:rsidRPr="008A0A30">
        <w:rPr>
          <w:i/>
        </w:rPr>
        <w:t>R</w:t>
      </w:r>
      <w:r w:rsidRPr="008A0A30">
        <w:t>,5</w:t>
      </w:r>
      <w:r w:rsidRPr="008A0A30">
        <w:rPr>
          <w:i/>
        </w:rPr>
        <w:t>R</w:t>
      </w:r>
      <w:r w:rsidRPr="008A0A30">
        <w:t>)-5-(2,4-dioxo-3,4-dihydropyrimidin-1(2</w:t>
      </w:r>
      <w:r w:rsidRPr="008A0A30">
        <w:rPr>
          <w:i/>
        </w:rPr>
        <w:t>H</w:t>
      </w:r>
      <w:r w:rsidRPr="008A0A30">
        <w:t>)-yl)-4-fluoro-3-hydroxy-4-methyltetrahydrofuran-2-yl)methoxy)-(phenoxy)phosphorylamino)propanoate.</w:t>
      </w:r>
      <w:r w:rsidR="00FC3767">
        <w:t xml:space="preserve"> </w:t>
      </w:r>
      <w:r w:rsidRPr="008A0A30">
        <w:t>It has a molecular formula of C</w:t>
      </w:r>
      <w:r w:rsidRPr="008A0A30">
        <w:rPr>
          <w:vertAlign w:val="subscript"/>
        </w:rPr>
        <w:t>22</w:t>
      </w:r>
      <w:r w:rsidRPr="008A0A30">
        <w:t>H</w:t>
      </w:r>
      <w:r w:rsidRPr="008A0A30">
        <w:rPr>
          <w:vertAlign w:val="subscript"/>
        </w:rPr>
        <w:t>29</w:t>
      </w:r>
      <w:r w:rsidRPr="008A0A30">
        <w:t>FN</w:t>
      </w:r>
      <w:r w:rsidRPr="008A0A30">
        <w:rPr>
          <w:vertAlign w:val="subscript"/>
        </w:rPr>
        <w:t>3</w:t>
      </w:r>
      <w:r w:rsidRPr="008A0A30">
        <w:t>O</w:t>
      </w:r>
      <w:r w:rsidRPr="008A0A30">
        <w:rPr>
          <w:vertAlign w:val="subscript"/>
        </w:rPr>
        <w:t>9</w:t>
      </w:r>
      <w:r w:rsidRPr="008A0A30">
        <w:t>P and a molecular weight of 529.45.</w:t>
      </w:r>
      <w:r w:rsidR="00FC3767">
        <w:t xml:space="preserve"> </w:t>
      </w:r>
      <w:r w:rsidRPr="008A0A30">
        <w:t>It has the following structural formula:</w:t>
      </w:r>
    </w:p>
    <w:p w:rsidR="00487460" w:rsidRPr="005F4372" w:rsidRDefault="005F4372" w:rsidP="005F4372">
      <w:r>
        <w:rPr>
          <w:noProof/>
          <w:lang w:val="en-AU" w:eastAsia="en-AU"/>
        </w:rPr>
        <w:drawing>
          <wp:inline distT="0" distB="0" distL="0" distR="0" wp14:anchorId="534C0315" wp14:editId="261F11C0">
            <wp:extent cx="2466975" cy="1485900"/>
            <wp:effectExtent l="0" t="0" r="9525" b="0"/>
            <wp:docPr id="2" name="Picture 2" descr="This figure is an image of the structural formula of sofosbuv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6975" cy="1485900"/>
                    </a:xfrm>
                    <a:prstGeom prst="rect">
                      <a:avLst/>
                    </a:prstGeom>
                  </pic:spPr>
                </pic:pic>
              </a:graphicData>
            </a:graphic>
          </wp:inline>
        </w:drawing>
      </w:r>
    </w:p>
    <w:p w:rsidR="00487460" w:rsidRPr="008A0A30" w:rsidRDefault="00487460" w:rsidP="00487460">
      <w:r w:rsidRPr="008A0A30">
        <w:t>CAS registry number: 1190307-88-0</w:t>
      </w:r>
    </w:p>
    <w:p w:rsidR="00487460" w:rsidRPr="008A0A30" w:rsidRDefault="00487460" w:rsidP="005F4372">
      <w:r w:rsidRPr="008A0A30">
        <w:rPr>
          <w:shd w:val="clear" w:color="auto" w:fill="FFFFFF"/>
        </w:rPr>
        <w:t xml:space="preserve">Sofosbuvir </w:t>
      </w:r>
      <w:r w:rsidRPr="008A0A30">
        <w:t>is a white to off-white powder with a solubility of ≥ 2 mg/mL across the pH range of 2-7.7 at 37 °C. The partition coefficient (log P) for sofosbuvir is 1.62 and the pKa is 9.3.</w:t>
      </w:r>
    </w:p>
    <w:p w:rsidR="00C11FA9" w:rsidRPr="008A0A30" w:rsidRDefault="00C11FA9" w:rsidP="00070C07">
      <w:r w:rsidRPr="008A0A30">
        <w:t xml:space="preserve">The chemical name of </w:t>
      </w:r>
      <w:r w:rsidR="00967267" w:rsidRPr="008A0A30">
        <w:t>velpatasvir</w:t>
      </w:r>
      <w:r w:rsidRPr="008A0A30">
        <w:t xml:space="preserve"> is </w:t>
      </w:r>
      <w:r w:rsidR="00967267" w:rsidRPr="008A0A30">
        <w:t>Methyl {(1</w:t>
      </w:r>
      <w:r w:rsidR="00967267" w:rsidRPr="00AD4A2B">
        <w:rPr>
          <w:i/>
        </w:rPr>
        <w:t>R</w:t>
      </w:r>
      <w:r w:rsidR="00967267" w:rsidRPr="008A0A30">
        <w:t>)-2-[(2</w:t>
      </w:r>
      <w:r w:rsidR="00967267" w:rsidRPr="00AD4A2B">
        <w:rPr>
          <w:i/>
        </w:rPr>
        <w:t>S</w:t>
      </w:r>
      <w:r w:rsidR="00967267" w:rsidRPr="008A0A30">
        <w:t>,4</w:t>
      </w:r>
      <w:r w:rsidR="00967267" w:rsidRPr="00AD4A2B">
        <w:rPr>
          <w:i/>
        </w:rPr>
        <w:t>S</w:t>
      </w:r>
      <w:r w:rsidR="00967267" w:rsidRPr="008A0A30">
        <w:t>)-2-(5-{2-[(2</w:t>
      </w:r>
      <w:r w:rsidR="00967267" w:rsidRPr="00AD4A2B">
        <w:rPr>
          <w:i/>
        </w:rPr>
        <w:t>S</w:t>
      </w:r>
      <w:r w:rsidR="00967267" w:rsidRPr="008A0A30">
        <w:t>,5</w:t>
      </w:r>
      <w:r w:rsidR="00967267" w:rsidRPr="00AD4A2B">
        <w:rPr>
          <w:i/>
        </w:rPr>
        <w:t>S</w:t>
      </w:r>
      <w:r w:rsidR="00967267" w:rsidRPr="008A0A30">
        <w:t>)-1-{(2</w:t>
      </w:r>
      <w:r w:rsidR="00967267" w:rsidRPr="00AD4A2B">
        <w:rPr>
          <w:i/>
        </w:rPr>
        <w:t>S</w:t>
      </w:r>
      <w:r w:rsidR="00967267" w:rsidRPr="008A0A30">
        <w:t>)-2-[(methoxycarbonyl)amino]-3-methylbutanoyl}-5-methylpyrrolidin-2-yl]-1,11-dihydro[2]benzopyrano[4',3':6,7]naphtho[1,2-</w:t>
      </w:r>
      <w:r w:rsidR="00967267" w:rsidRPr="00AD4A2B">
        <w:rPr>
          <w:i/>
        </w:rPr>
        <w:t>d</w:t>
      </w:r>
      <w:r w:rsidR="00967267" w:rsidRPr="008A0A30">
        <w:t>]imidazol-9-yl}-1H-imidazol-2-yl)-4-(methoxymethyl)pyrrolidin-1-yl]-2-oxo-1-phenylethyl}carbamate. It has a molecular</w:t>
      </w:r>
      <w:r w:rsidR="00561781" w:rsidRPr="008A0A30">
        <w:t xml:space="preserve"> </w:t>
      </w:r>
      <w:r w:rsidR="00967267" w:rsidRPr="008A0A30">
        <w:t>formula of C</w:t>
      </w:r>
      <w:r w:rsidR="00967267" w:rsidRPr="004D126B">
        <w:rPr>
          <w:vertAlign w:val="subscript"/>
        </w:rPr>
        <w:t>49</w:t>
      </w:r>
      <w:r w:rsidR="00967267" w:rsidRPr="008A0A30">
        <w:t>H</w:t>
      </w:r>
      <w:r w:rsidR="00967267" w:rsidRPr="004D126B">
        <w:rPr>
          <w:vertAlign w:val="subscript"/>
        </w:rPr>
        <w:t>54</w:t>
      </w:r>
      <w:r w:rsidR="00967267" w:rsidRPr="008A0A30">
        <w:t>N</w:t>
      </w:r>
      <w:r w:rsidR="00967267" w:rsidRPr="004D126B">
        <w:rPr>
          <w:vertAlign w:val="subscript"/>
        </w:rPr>
        <w:t>8</w:t>
      </w:r>
      <w:r w:rsidR="00967267" w:rsidRPr="008A0A30">
        <w:t>O</w:t>
      </w:r>
      <w:r w:rsidR="00967267" w:rsidRPr="004D126B">
        <w:rPr>
          <w:vertAlign w:val="subscript"/>
        </w:rPr>
        <w:t>8</w:t>
      </w:r>
      <w:r w:rsidR="00967267" w:rsidRPr="008A0A30">
        <w:t xml:space="preserve"> and a molecular weight of 883.0. It has the following structural</w:t>
      </w:r>
      <w:r w:rsidR="00561781" w:rsidRPr="008A0A30">
        <w:t xml:space="preserve"> </w:t>
      </w:r>
      <w:r w:rsidR="00967267" w:rsidRPr="008A0A30">
        <w:t>formula:</w:t>
      </w:r>
    </w:p>
    <w:p w:rsidR="00C11FA9" w:rsidRPr="008A0A30" w:rsidRDefault="00967267" w:rsidP="00070C07">
      <w:pPr>
        <w:spacing w:after="120"/>
        <w:rPr>
          <w:noProof/>
          <w:lang w:eastAsia="en-AU"/>
        </w:rPr>
      </w:pPr>
      <w:r w:rsidRPr="008A0A30">
        <w:rPr>
          <w:noProof/>
          <w:lang w:val="en-AU" w:eastAsia="en-AU"/>
        </w:rPr>
        <w:drawing>
          <wp:inline distT="0" distB="0" distL="0" distR="0" wp14:anchorId="468A7E67" wp14:editId="4A2011A8">
            <wp:extent cx="3322078" cy="1181100"/>
            <wp:effectExtent l="0" t="0" r="0" b="0"/>
            <wp:docPr id="1" name="Picture 1" descr="This figure is an image of the structual formula of velpatasv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6316"/>
                    <a:stretch/>
                  </pic:blipFill>
                  <pic:spPr bwMode="auto">
                    <a:xfrm>
                      <a:off x="0" y="0"/>
                      <a:ext cx="3321989" cy="1181068"/>
                    </a:xfrm>
                    <a:prstGeom prst="rect">
                      <a:avLst/>
                    </a:prstGeom>
                    <a:ln>
                      <a:noFill/>
                    </a:ln>
                    <a:extLst>
                      <a:ext uri="{53640926-AAD7-44D8-BBD7-CCE9431645EC}">
                        <a14:shadowObscured xmlns:a14="http://schemas.microsoft.com/office/drawing/2010/main"/>
                      </a:ext>
                    </a:extLst>
                  </pic:spPr>
                </pic:pic>
              </a:graphicData>
            </a:graphic>
          </wp:inline>
        </w:drawing>
      </w:r>
    </w:p>
    <w:p w:rsidR="00C11FA9" w:rsidRPr="008A0A30" w:rsidRDefault="00C11FA9" w:rsidP="00070C07">
      <w:pPr>
        <w:rPr>
          <w:noProof/>
        </w:rPr>
      </w:pPr>
      <w:r w:rsidRPr="008A0A30">
        <w:rPr>
          <w:noProof/>
        </w:rPr>
        <w:t xml:space="preserve">CAS registry number: </w:t>
      </w:r>
      <w:r w:rsidR="00D156AC" w:rsidRPr="008A0A30">
        <w:rPr>
          <w:noProof/>
        </w:rPr>
        <w:t>1377049-84-7</w:t>
      </w:r>
    </w:p>
    <w:p w:rsidR="00C11FA9" w:rsidRPr="008A0A30" w:rsidRDefault="00D156AC" w:rsidP="00070C07">
      <w:r w:rsidRPr="008A0A30">
        <w:t>Velpatasvir is practically insoluble (less than 0.1 mg/mL) above pH 5, slightly soluble</w:t>
      </w:r>
      <w:r w:rsidR="00561781" w:rsidRPr="008A0A30">
        <w:t xml:space="preserve"> </w:t>
      </w:r>
      <w:r w:rsidRPr="008A0A30">
        <w:t>(3.6 mg/mL) at pH 2, and soluble (greater than 36 mg/mL) at pH 1.2.</w:t>
      </w:r>
    </w:p>
    <w:p w:rsidR="007254DD" w:rsidRPr="008A0A30" w:rsidRDefault="007254DD" w:rsidP="00FC3767">
      <w:pPr>
        <w:pStyle w:val="Heading1"/>
      </w:pPr>
      <w:r w:rsidRPr="008A0A30">
        <w:t>DESCRIPTION</w:t>
      </w:r>
    </w:p>
    <w:p w:rsidR="00561781" w:rsidRPr="008A0A30" w:rsidRDefault="00C3685A" w:rsidP="00561781">
      <w:pPr>
        <w:rPr>
          <w:noProof/>
          <w:u w:val="single"/>
        </w:rPr>
      </w:pPr>
      <w:r>
        <w:rPr>
          <w:b/>
          <w:noProof/>
        </w:rPr>
        <w:t>EPCLUSA</w:t>
      </w:r>
      <w:r w:rsidR="00E07F0F" w:rsidRPr="008A0A30">
        <w:rPr>
          <w:b/>
          <w:noProof/>
        </w:rPr>
        <w:t xml:space="preserve"> </w:t>
      </w:r>
      <w:r w:rsidR="007254DD" w:rsidRPr="008A0A30">
        <w:rPr>
          <w:noProof/>
        </w:rPr>
        <w:t xml:space="preserve">tablets contain the following ingredients as </w:t>
      </w:r>
      <w:r w:rsidR="007254DD" w:rsidRPr="008A0A30">
        <w:rPr>
          <w:noProof/>
          <w:u w:val="single"/>
        </w:rPr>
        <w:t>excipients:</w:t>
      </w:r>
    </w:p>
    <w:p w:rsidR="001276D0" w:rsidRPr="008A0A30" w:rsidRDefault="007254DD" w:rsidP="00070C07">
      <w:pPr>
        <w:rPr>
          <w:noProof/>
        </w:rPr>
      </w:pPr>
      <w:r w:rsidRPr="008A0A30">
        <w:rPr>
          <w:i/>
          <w:noProof/>
        </w:rPr>
        <w:lastRenderedPageBreak/>
        <w:t>Tablet core:</w:t>
      </w:r>
      <w:r w:rsidR="006E4032" w:rsidRPr="008A0A30">
        <w:rPr>
          <w:i/>
          <w:noProof/>
        </w:rPr>
        <w:t xml:space="preserve"> </w:t>
      </w:r>
      <w:r w:rsidR="0057543A" w:rsidRPr="008A0A30">
        <w:rPr>
          <w:noProof/>
        </w:rPr>
        <w:t>copovidone</w:t>
      </w:r>
      <w:r w:rsidR="00017E9F" w:rsidRPr="008A0A30">
        <w:rPr>
          <w:noProof/>
        </w:rPr>
        <w:t xml:space="preserve">, </w:t>
      </w:r>
      <w:r w:rsidR="0057543A" w:rsidRPr="008A0A30">
        <w:rPr>
          <w:noProof/>
        </w:rPr>
        <w:t>croscarmellose sodium,</w:t>
      </w:r>
      <w:r w:rsidR="00C12CFE" w:rsidRPr="008A0A30">
        <w:rPr>
          <w:noProof/>
        </w:rPr>
        <w:t xml:space="preserve"> </w:t>
      </w:r>
      <w:r w:rsidR="0057543A" w:rsidRPr="008A0A30">
        <w:rPr>
          <w:noProof/>
        </w:rPr>
        <w:t>magnesium stearate</w:t>
      </w:r>
      <w:r w:rsidR="00E530A0">
        <w:rPr>
          <w:noProof/>
        </w:rPr>
        <w:t>,</w:t>
      </w:r>
      <w:r w:rsidR="0057543A" w:rsidRPr="008A0A30">
        <w:rPr>
          <w:noProof/>
        </w:rPr>
        <w:t xml:space="preserve"> and </w:t>
      </w:r>
      <w:r w:rsidR="00AA3442" w:rsidRPr="008A0A30">
        <w:rPr>
          <w:noProof/>
        </w:rPr>
        <w:t>microcrystalline cellulose</w:t>
      </w:r>
      <w:r w:rsidR="0057543A" w:rsidRPr="008A0A30">
        <w:rPr>
          <w:noProof/>
        </w:rPr>
        <w:t>.</w:t>
      </w:r>
    </w:p>
    <w:p w:rsidR="007254DD" w:rsidRPr="008A0A30" w:rsidRDefault="007254DD" w:rsidP="00070C07">
      <w:pPr>
        <w:rPr>
          <w:iCs/>
          <w:noProof/>
        </w:rPr>
      </w:pPr>
      <w:r w:rsidRPr="008A0A30">
        <w:rPr>
          <w:i/>
          <w:noProof/>
        </w:rPr>
        <w:t>Film</w:t>
      </w:r>
      <w:r w:rsidRPr="008A0A30">
        <w:rPr>
          <w:i/>
          <w:noProof/>
        </w:rPr>
        <w:noBreakHyphen/>
        <w:t>coating:</w:t>
      </w:r>
      <w:r w:rsidR="00FC3767">
        <w:rPr>
          <w:i/>
          <w:noProof/>
        </w:rPr>
        <w:t xml:space="preserve"> </w:t>
      </w:r>
      <w:r w:rsidR="00FB788D" w:rsidRPr="008A0A30">
        <w:rPr>
          <w:noProof/>
        </w:rPr>
        <w:t>polyvinyl alcohol,</w:t>
      </w:r>
      <w:r w:rsidR="00FC3767">
        <w:rPr>
          <w:noProof/>
        </w:rPr>
        <w:t xml:space="preserve"> </w:t>
      </w:r>
      <w:r w:rsidR="000172C4" w:rsidRPr="008A0A30">
        <w:rPr>
          <w:noProof/>
        </w:rPr>
        <w:t>macrogol 3350</w:t>
      </w:r>
      <w:r w:rsidR="00C4140F" w:rsidRPr="008A0A30">
        <w:rPr>
          <w:noProof/>
        </w:rPr>
        <w:t>,</w:t>
      </w:r>
      <w:r w:rsidR="00FC3767">
        <w:rPr>
          <w:noProof/>
        </w:rPr>
        <w:t xml:space="preserve"> </w:t>
      </w:r>
      <w:r w:rsidR="00000EA3" w:rsidRPr="008A0A30">
        <w:rPr>
          <w:noProof/>
        </w:rPr>
        <w:t>titanium dioxide</w:t>
      </w:r>
      <w:r w:rsidR="002A3531" w:rsidRPr="008A0A30">
        <w:rPr>
          <w:noProof/>
        </w:rPr>
        <w:t xml:space="preserve">, </w:t>
      </w:r>
      <w:r w:rsidR="00AA3442" w:rsidRPr="008A0A30">
        <w:rPr>
          <w:noProof/>
        </w:rPr>
        <w:t>talc</w:t>
      </w:r>
      <w:r w:rsidR="00DC635F" w:rsidRPr="008A0A30">
        <w:rPr>
          <w:noProof/>
        </w:rPr>
        <w:t>-purified</w:t>
      </w:r>
      <w:r w:rsidR="00C634B3" w:rsidRPr="008A0A30">
        <w:rPr>
          <w:noProof/>
        </w:rPr>
        <w:t>,</w:t>
      </w:r>
      <w:r w:rsidR="007E05D5" w:rsidRPr="008A0A30">
        <w:rPr>
          <w:noProof/>
        </w:rPr>
        <w:t xml:space="preserve"> </w:t>
      </w:r>
      <w:r w:rsidR="002A3531" w:rsidRPr="008A0A30">
        <w:rPr>
          <w:noProof/>
        </w:rPr>
        <w:t>and</w:t>
      </w:r>
      <w:r w:rsidR="00FC3767">
        <w:rPr>
          <w:noProof/>
        </w:rPr>
        <w:t xml:space="preserve"> </w:t>
      </w:r>
      <w:r w:rsidR="00561781" w:rsidRPr="008A0A30">
        <w:rPr>
          <w:noProof/>
        </w:rPr>
        <w:t>iron oxide red</w:t>
      </w:r>
      <w:r w:rsidR="00B601D6" w:rsidRPr="008A0A30">
        <w:rPr>
          <w:noProof/>
        </w:rPr>
        <w:t>.</w:t>
      </w:r>
    </w:p>
    <w:p w:rsidR="007254DD" w:rsidRPr="008A0A30" w:rsidRDefault="007254DD" w:rsidP="00070C07">
      <w:pPr>
        <w:rPr>
          <w:noProof/>
        </w:rPr>
      </w:pPr>
      <w:r w:rsidRPr="008A0A30">
        <w:rPr>
          <w:noProof/>
        </w:rPr>
        <w:t xml:space="preserve">Each </w:t>
      </w:r>
      <w:r w:rsidR="00C3685A">
        <w:rPr>
          <w:noProof/>
        </w:rPr>
        <w:t>EPCLUSA</w:t>
      </w:r>
      <w:r w:rsidR="00000EA3" w:rsidRPr="008A0A30">
        <w:rPr>
          <w:noProof/>
        </w:rPr>
        <w:t xml:space="preserve"> </w:t>
      </w:r>
      <w:r w:rsidRPr="008A0A30">
        <w:rPr>
          <w:noProof/>
        </w:rPr>
        <w:t xml:space="preserve">tablet is </w:t>
      </w:r>
      <w:r w:rsidR="00A534A2" w:rsidRPr="008A0A30">
        <w:rPr>
          <w:noProof/>
        </w:rPr>
        <w:t>film-coated</w:t>
      </w:r>
      <w:r w:rsidRPr="008A0A30">
        <w:rPr>
          <w:noProof/>
        </w:rPr>
        <w:t xml:space="preserve"> and </w:t>
      </w:r>
      <w:r w:rsidR="00571A0E" w:rsidRPr="008A0A30">
        <w:rPr>
          <w:noProof/>
        </w:rPr>
        <w:t>pink</w:t>
      </w:r>
      <w:r w:rsidRPr="008A0A30">
        <w:rPr>
          <w:noProof/>
        </w:rPr>
        <w:t xml:space="preserve"> in colour.</w:t>
      </w:r>
      <w:r w:rsidR="00FC3767">
        <w:rPr>
          <w:noProof/>
        </w:rPr>
        <w:t xml:space="preserve"> </w:t>
      </w:r>
      <w:r w:rsidR="00831BD4" w:rsidRPr="008A0A30">
        <w:rPr>
          <w:noProof/>
        </w:rPr>
        <w:t xml:space="preserve">The </w:t>
      </w:r>
      <w:r w:rsidR="002A3531" w:rsidRPr="008A0A30">
        <w:rPr>
          <w:noProof/>
        </w:rPr>
        <w:t>tablets are</w:t>
      </w:r>
      <w:r w:rsidRPr="008A0A30">
        <w:rPr>
          <w:noProof/>
        </w:rPr>
        <w:t xml:space="preserve"> </w:t>
      </w:r>
      <w:r w:rsidR="00000EA3" w:rsidRPr="008A0A30">
        <w:rPr>
          <w:noProof/>
        </w:rPr>
        <w:t>diamond</w:t>
      </w:r>
      <w:r w:rsidR="002A3531" w:rsidRPr="008A0A30">
        <w:rPr>
          <w:noProof/>
        </w:rPr>
        <w:t xml:space="preserve"> </w:t>
      </w:r>
      <w:r w:rsidR="00E23D5F" w:rsidRPr="008A0A30">
        <w:rPr>
          <w:noProof/>
        </w:rPr>
        <w:t>shaped</w:t>
      </w:r>
      <w:r w:rsidRPr="008A0A30">
        <w:rPr>
          <w:noProof/>
        </w:rPr>
        <w:t xml:space="preserve"> debossed with </w:t>
      </w:r>
      <w:r w:rsidR="00B601D6" w:rsidRPr="008A0A30">
        <w:rPr>
          <w:noProof/>
        </w:rPr>
        <w:t>“</w:t>
      </w:r>
      <w:r w:rsidR="001B7160" w:rsidRPr="008A0A30">
        <w:rPr>
          <w:noProof/>
        </w:rPr>
        <w:t>GSI</w:t>
      </w:r>
      <w:r w:rsidR="00B601D6" w:rsidRPr="008A0A30">
        <w:rPr>
          <w:noProof/>
        </w:rPr>
        <w:t>”</w:t>
      </w:r>
      <w:r w:rsidRPr="008A0A30">
        <w:rPr>
          <w:noProof/>
        </w:rPr>
        <w:t xml:space="preserve"> on one side and</w:t>
      </w:r>
      <w:r w:rsidR="00A078FC" w:rsidRPr="008A0A30">
        <w:rPr>
          <w:noProof/>
        </w:rPr>
        <w:t xml:space="preserve"> </w:t>
      </w:r>
      <w:r w:rsidR="00FB788D" w:rsidRPr="008A0A30">
        <w:t>the number “</w:t>
      </w:r>
      <w:r w:rsidR="002A3531" w:rsidRPr="008A0A30">
        <w:t>79</w:t>
      </w:r>
      <w:r w:rsidR="00571A0E" w:rsidRPr="008A0A30">
        <w:t>16</w:t>
      </w:r>
      <w:r w:rsidR="00FB788D" w:rsidRPr="008A0A30">
        <w:t>”</w:t>
      </w:r>
      <w:r w:rsidR="00A078FC" w:rsidRPr="008A0A30">
        <w:t xml:space="preserve"> </w:t>
      </w:r>
      <w:r w:rsidR="00FB788D" w:rsidRPr="008A0A30">
        <w:t>on the other side</w:t>
      </w:r>
      <w:r w:rsidR="002A3531" w:rsidRPr="008A0A30">
        <w:rPr>
          <w:noProof/>
        </w:rPr>
        <w:t>.</w:t>
      </w:r>
      <w:r w:rsidR="00FC3767">
        <w:rPr>
          <w:noProof/>
        </w:rPr>
        <w:t xml:space="preserve"> </w:t>
      </w:r>
      <w:r w:rsidRPr="008A0A30">
        <w:rPr>
          <w:noProof/>
        </w:rPr>
        <w:t xml:space="preserve">The tablets are supplied in bottles with </w:t>
      </w:r>
      <w:r w:rsidR="00A078FC" w:rsidRPr="008A0A30">
        <w:rPr>
          <w:noProof/>
        </w:rPr>
        <w:t>child</w:t>
      </w:r>
      <w:r w:rsidR="00E530A0">
        <w:rPr>
          <w:noProof/>
        </w:rPr>
        <w:t>-</w:t>
      </w:r>
      <w:r w:rsidR="00A078FC" w:rsidRPr="008A0A30">
        <w:rPr>
          <w:noProof/>
        </w:rPr>
        <w:t>resistant</w:t>
      </w:r>
      <w:r w:rsidRPr="008A0A30">
        <w:rPr>
          <w:noProof/>
        </w:rPr>
        <w:t xml:space="preserve"> closures.</w:t>
      </w:r>
    </w:p>
    <w:p w:rsidR="007254DD" w:rsidRPr="008A0A30" w:rsidRDefault="007254DD" w:rsidP="00FC3767">
      <w:pPr>
        <w:pStyle w:val="Heading1"/>
      </w:pPr>
      <w:r w:rsidRPr="008A0A30">
        <w:t>PHARMACOLOGY</w:t>
      </w:r>
    </w:p>
    <w:p w:rsidR="00FC3767" w:rsidRDefault="00945815" w:rsidP="00FC3767">
      <w:pPr>
        <w:rPr>
          <w:noProof/>
          <w:lang w:val="en-GB"/>
        </w:rPr>
      </w:pPr>
      <w:r w:rsidRPr="008A0A30">
        <w:rPr>
          <w:i/>
          <w:noProof/>
        </w:rPr>
        <w:t>Pharmacotherapeutic group:</w:t>
      </w:r>
      <w:r w:rsidR="00367221" w:rsidRPr="008A0A30">
        <w:rPr>
          <w:i/>
          <w:noProof/>
        </w:rPr>
        <w:t xml:space="preserve"> </w:t>
      </w:r>
      <w:r w:rsidR="00B4183C" w:rsidRPr="008A0A30">
        <w:t>Antivirals for systemic use; direct acting antivirals, other antivirals, ATC code:</w:t>
      </w:r>
      <w:r w:rsidR="005B414A" w:rsidRPr="008A0A30">
        <w:t xml:space="preserve"> not yet assigned</w:t>
      </w:r>
      <w:r w:rsidR="005B414A" w:rsidRPr="008A0A30">
        <w:rPr>
          <w:noProof/>
          <w:lang w:val="en-GB"/>
        </w:rPr>
        <w:t>.</w:t>
      </w:r>
    </w:p>
    <w:p w:rsidR="00FC3767" w:rsidRDefault="007254DD" w:rsidP="00FC3767">
      <w:pPr>
        <w:pStyle w:val="Heading2"/>
      </w:pPr>
      <w:r w:rsidRPr="008A0A30">
        <w:t>Mechanism of action</w:t>
      </w:r>
    </w:p>
    <w:p w:rsidR="00FC3767" w:rsidRDefault="00A56D1B" w:rsidP="00FC3767">
      <w:r w:rsidRPr="008A0A30">
        <w:t>Sofosbuvir is a pan-genotypic inhibitor of the HCV NS5B RNA-dependent RNA polymerase, which is essential for viral replication. Sofosbuvir is a nucleotide prodrug that undergoes intracellular metabolism to form the pharmacologically active uridine analog triphosphate (GS-461203), which can be incorporated by HCV NS5B and acts as a chain terminator. In a biochemical assay, GS-461203 inhibited the polymerase activity of the recombinant NS5B from HCV genotype 1b, 2a, 3a and 4a with an IC</w:t>
      </w:r>
      <w:r w:rsidRPr="008A0A30">
        <w:rPr>
          <w:vertAlign w:val="subscript"/>
        </w:rPr>
        <w:t>50</w:t>
      </w:r>
      <w:r w:rsidRPr="008A0A30">
        <w:t xml:space="preserve"> value ranging from 0.36 to 3.3 μM. GS-461203 is neither an inhibitor of human DNA and RNA polymerases nor an inhibitor of mitochondrial RNA polymerase.</w:t>
      </w:r>
    </w:p>
    <w:p w:rsidR="00487460" w:rsidRPr="008A0A30" w:rsidRDefault="00487460" w:rsidP="00FC3767">
      <w:r w:rsidRPr="008A0A30">
        <w:t xml:space="preserve">Velpatasvir is a HCV inhibitor targeting the HCV NS5A protein, which is essential for both RNA replication and the assembly of HCV virions. </w:t>
      </w:r>
      <w:r w:rsidRPr="008A0A30">
        <w:rPr>
          <w:i/>
        </w:rPr>
        <w:t>In vitro</w:t>
      </w:r>
      <w:r w:rsidRPr="008A0A30">
        <w:t xml:space="preserve"> resistance selection and cross-resistance studies indicate velpatasvir targets NS5A as its mode of action.</w:t>
      </w:r>
    </w:p>
    <w:p w:rsidR="007254DD" w:rsidRPr="008A0A30" w:rsidRDefault="007254DD" w:rsidP="00FC3767">
      <w:pPr>
        <w:pStyle w:val="Heading2"/>
        <w:rPr>
          <w:i/>
        </w:rPr>
      </w:pPr>
      <w:r w:rsidRPr="008A0A30">
        <w:t xml:space="preserve">Antiviral activity </w:t>
      </w:r>
      <w:r w:rsidRPr="008A0A30">
        <w:rPr>
          <w:i/>
        </w:rPr>
        <w:t>in</w:t>
      </w:r>
      <w:r w:rsidR="00337D95" w:rsidRPr="008A0A30">
        <w:rPr>
          <w:i/>
        </w:rPr>
        <w:t xml:space="preserve"> </w:t>
      </w:r>
      <w:r w:rsidRPr="008A0A30">
        <w:rPr>
          <w:i/>
        </w:rPr>
        <w:t>vitro</w:t>
      </w:r>
    </w:p>
    <w:p w:rsidR="00FC3767" w:rsidRDefault="00BF12A6" w:rsidP="00FC3767">
      <w:r w:rsidRPr="008A0A30">
        <w:t>The EC</w:t>
      </w:r>
      <w:r w:rsidRPr="00C84DD8">
        <w:rPr>
          <w:vertAlign w:val="subscript"/>
        </w:rPr>
        <w:t>50</w:t>
      </w:r>
      <w:r w:rsidRPr="008A0A30">
        <w:t xml:space="preserve"> values of sofosbuvir and velpatasvir against full-length or chimeric replicons encoding NS5B and NS5A sequences from the laboratory strains are presented in Table 1. The EC</w:t>
      </w:r>
      <w:r w:rsidRPr="00C84DD8">
        <w:rPr>
          <w:vertAlign w:val="subscript"/>
        </w:rPr>
        <w:t>50</w:t>
      </w:r>
      <w:r w:rsidRPr="008A0A30">
        <w:rPr>
          <w:vertAlign w:val="superscript"/>
        </w:rPr>
        <w:t xml:space="preserve"> </w:t>
      </w:r>
      <w:r w:rsidRPr="008A0A30">
        <w:t xml:space="preserve">values of sofosbuvir and velpatasvir </w:t>
      </w:r>
      <w:r w:rsidRPr="0024331C">
        <w:t>against</w:t>
      </w:r>
      <w:r w:rsidRPr="008A0A30">
        <w:t xml:space="preserve"> </w:t>
      </w:r>
      <w:r w:rsidR="003505A5">
        <w:t xml:space="preserve">chimeric </w:t>
      </w:r>
      <w:r w:rsidR="00BF5285">
        <w:t xml:space="preserve">replicons </w:t>
      </w:r>
      <w:r w:rsidR="0024331C">
        <w:t xml:space="preserve">representing </w:t>
      </w:r>
      <w:r w:rsidRPr="008A0A30">
        <w:t>clinical isolates are presented in Table 2.</w:t>
      </w:r>
    </w:p>
    <w:p w:rsidR="00791BA1" w:rsidRPr="00723131" w:rsidRDefault="00003AC8" w:rsidP="00003AC8">
      <w:pPr>
        <w:pStyle w:val="Caption"/>
      </w:pPr>
      <w:r>
        <w:t xml:space="preserve">Table </w:t>
      </w:r>
      <w:fldSimple w:instr=" SEQ Table \* ARABIC ">
        <w:r w:rsidR="00D60556">
          <w:rPr>
            <w:noProof/>
          </w:rPr>
          <w:t>1</w:t>
        </w:r>
      </w:fldSimple>
      <w:r>
        <w:t xml:space="preserve">. </w:t>
      </w:r>
      <w:r w:rsidR="00BF12A6" w:rsidRPr="00723131">
        <w:t>Activity of Sofosbuvir and Velpatasvir Against Full Length or Chimeric Laboratory Replicons</w:t>
      </w:r>
    </w:p>
    <w:tbl>
      <w:tblPr>
        <w:tblW w:w="5000" w:type="pct"/>
        <w:tblCellMar>
          <w:left w:w="0" w:type="dxa"/>
          <w:right w:w="0" w:type="dxa"/>
        </w:tblCellMar>
        <w:tblLook w:val="01E0" w:firstRow="1" w:lastRow="1" w:firstColumn="1" w:lastColumn="1" w:noHBand="0" w:noVBand="0"/>
        <w:tblDescription w:val="Table 1. Activity of Sofosbuvir and Velpatasvir Against Full Length or Chimeric Laboratory Replicons"/>
      </w:tblPr>
      <w:tblGrid>
        <w:gridCol w:w="2871"/>
        <w:gridCol w:w="3178"/>
        <w:gridCol w:w="3022"/>
      </w:tblGrid>
      <w:tr w:rsidR="00171429" w:rsidRPr="008A0A30" w:rsidTr="00003AC8">
        <w:trPr>
          <w:trHeight w:hRule="exact" w:val="846"/>
          <w:tblHeader/>
        </w:trPr>
        <w:tc>
          <w:tcPr>
            <w:tcW w:w="1582" w:type="pct"/>
            <w:tcBorders>
              <w:top w:val="single" w:sz="12" w:space="0" w:color="000000"/>
              <w:left w:val="nil"/>
              <w:bottom w:val="single" w:sz="12" w:space="0" w:color="000000"/>
              <w:right w:val="single" w:sz="6" w:space="0" w:color="000000"/>
            </w:tcBorders>
          </w:tcPr>
          <w:p w:rsidR="00171429" w:rsidRPr="008A0A30" w:rsidRDefault="00171429" w:rsidP="00FC3767">
            <w:pPr>
              <w:spacing w:before="40" w:after="40"/>
              <w:jc w:val="center"/>
              <w:rPr>
                <w:b/>
              </w:rPr>
            </w:pPr>
            <w:r w:rsidRPr="008A0A30">
              <w:rPr>
                <w:b/>
              </w:rPr>
              <w:t>Replicon Genotype</w:t>
            </w:r>
          </w:p>
        </w:tc>
        <w:tc>
          <w:tcPr>
            <w:tcW w:w="1752" w:type="pct"/>
            <w:tcBorders>
              <w:top w:val="single" w:sz="12" w:space="0" w:color="000000"/>
              <w:left w:val="single" w:sz="6" w:space="0" w:color="000000"/>
              <w:bottom w:val="single" w:sz="12" w:space="0" w:color="000000"/>
              <w:right w:val="single" w:sz="6" w:space="0" w:color="000000"/>
            </w:tcBorders>
          </w:tcPr>
          <w:p w:rsidR="00171429" w:rsidRPr="008A0A30" w:rsidRDefault="00171429" w:rsidP="00FC3767">
            <w:pPr>
              <w:spacing w:before="40" w:after="40"/>
              <w:jc w:val="center"/>
              <w:rPr>
                <w:b/>
                <w:szCs w:val="18"/>
              </w:rPr>
            </w:pPr>
            <w:r w:rsidRPr="008A0A30">
              <w:rPr>
                <w:b/>
              </w:rPr>
              <w:t>Sofosbuvir EC</w:t>
            </w:r>
            <w:r w:rsidRPr="00C84DD8">
              <w:rPr>
                <w:b/>
                <w:vertAlign w:val="subscript"/>
              </w:rPr>
              <w:t>50</w:t>
            </w:r>
            <w:r w:rsidRPr="008A0A30">
              <w:rPr>
                <w:b/>
              </w:rPr>
              <w:t>, nM</w:t>
            </w:r>
            <w:r w:rsidRPr="008A0A30">
              <w:rPr>
                <w:b/>
                <w:vertAlign w:val="superscript"/>
              </w:rPr>
              <w:t>a</w:t>
            </w:r>
          </w:p>
        </w:tc>
        <w:tc>
          <w:tcPr>
            <w:tcW w:w="1666" w:type="pct"/>
            <w:tcBorders>
              <w:top w:val="single" w:sz="12" w:space="0" w:color="000000"/>
              <w:left w:val="single" w:sz="6" w:space="0" w:color="000000"/>
              <w:bottom w:val="single" w:sz="12" w:space="0" w:color="000000"/>
              <w:right w:val="nil"/>
            </w:tcBorders>
          </w:tcPr>
          <w:p w:rsidR="00171429" w:rsidRPr="008A0A30" w:rsidRDefault="00171429" w:rsidP="00FC3767">
            <w:pPr>
              <w:spacing w:before="40" w:after="40"/>
              <w:jc w:val="center"/>
              <w:rPr>
                <w:b/>
                <w:szCs w:val="18"/>
              </w:rPr>
            </w:pPr>
            <w:r w:rsidRPr="008A0A30">
              <w:rPr>
                <w:b/>
              </w:rPr>
              <w:t>Velpatasvir EC</w:t>
            </w:r>
            <w:r w:rsidRPr="00C84DD8">
              <w:rPr>
                <w:b/>
                <w:vertAlign w:val="subscript"/>
              </w:rPr>
              <w:t>50</w:t>
            </w:r>
            <w:r w:rsidRPr="008A0A30">
              <w:rPr>
                <w:b/>
              </w:rPr>
              <w:t>, nM</w:t>
            </w:r>
            <w:r w:rsidRPr="008A0A30">
              <w:rPr>
                <w:b/>
                <w:vertAlign w:val="superscript"/>
              </w:rPr>
              <w:t>a</w:t>
            </w:r>
          </w:p>
        </w:tc>
      </w:tr>
      <w:tr w:rsidR="00171429" w:rsidRPr="008A0A30" w:rsidTr="009B63B7">
        <w:trPr>
          <w:trHeight w:hRule="exact" w:val="334"/>
        </w:trPr>
        <w:tc>
          <w:tcPr>
            <w:tcW w:w="1582" w:type="pct"/>
            <w:tcBorders>
              <w:top w:val="single" w:sz="12"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1a</w:t>
            </w:r>
          </w:p>
        </w:tc>
        <w:tc>
          <w:tcPr>
            <w:tcW w:w="1752" w:type="pct"/>
            <w:tcBorders>
              <w:top w:val="single" w:sz="12"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40</w:t>
            </w:r>
          </w:p>
        </w:tc>
        <w:tc>
          <w:tcPr>
            <w:tcW w:w="1666" w:type="pct"/>
            <w:tcBorders>
              <w:top w:val="single" w:sz="12"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0.014</w:t>
            </w:r>
          </w:p>
        </w:tc>
      </w:tr>
      <w:tr w:rsidR="00171429" w:rsidRPr="008A0A30" w:rsidTr="009B63B7">
        <w:trPr>
          <w:trHeight w:hRule="exact" w:val="326"/>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1b</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110</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0.016</w:t>
            </w:r>
          </w:p>
        </w:tc>
      </w:tr>
      <w:tr w:rsidR="00171429" w:rsidRPr="008A0A30" w:rsidTr="009B63B7">
        <w:trPr>
          <w:trHeight w:hRule="exact" w:val="324"/>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2a</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50</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0.005-0.016</w:t>
            </w:r>
            <w:r w:rsidRPr="00C84DD8">
              <w:rPr>
                <w:vertAlign w:val="superscript"/>
              </w:rPr>
              <w:t>c</w:t>
            </w:r>
          </w:p>
        </w:tc>
      </w:tr>
      <w:tr w:rsidR="00171429" w:rsidRPr="008A0A30" w:rsidTr="009B63B7">
        <w:trPr>
          <w:trHeight w:hRule="exact" w:val="324"/>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2b</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15</w:t>
            </w:r>
            <w:r w:rsidRPr="00C84DD8">
              <w:rPr>
                <w:vertAlign w:val="superscript"/>
              </w:rPr>
              <w:t>b</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0.002-0.006</w:t>
            </w:r>
            <w:r w:rsidRPr="00C84DD8">
              <w:rPr>
                <w:vertAlign w:val="superscript"/>
              </w:rPr>
              <w:t>c</w:t>
            </w:r>
          </w:p>
        </w:tc>
      </w:tr>
      <w:tr w:rsidR="00171429" w:rsidRPr="008A0A30" w:rsidTr="009B63B7">
        <w:trPr>
          <w:trHeight w:hRule="exact" w:val="326"/>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3a</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50</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0.004</w:t>
            </w:r>
          </w:p>
        </w:tc>
      </w:tr>
      <w:tr w:rsidR="00171429" w:rsidRPr="008A0A30" w:rsidTr="009B63B7">
        <w:trPr>
          <w:trHeight w:hRule="exact" w:val="324"/>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4a</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40</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0.009</w:t>
            </w:r>
          </w:p>
        </w:tc>
      </w:tr>
      <w:tr w:rsidR="00171429" w:rsidRPr="008A0A30" w:rsidTr="009B63B7">
        <w:trPr>
          <w:trHeight w:hRule="exact" w:val="326"/>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4d</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NA</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0.004</w:t>
            </w:r>
          </w:p>
        </w:tc>
      </w:tr>
      <w:tr w:rsidR="00171429" w:rsidRPr="008A0A30" w:rsidTr="009B63B7">
        <w:trPr>
          <w:trHeight w:hRule="exact" w:val="324"/>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5a</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15</w:t>
            </w:r>
            <w:r w:rsidRPr="004D126B">
              <w:rPr>
                <w:vertAlign w:val="superscript"/>
              </w:rPr>
              <w:t>b</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0.021-0.054</w:t>
            </w:r>
            <w:r w:rsidRPr="00C84DD8">
              <w:rPr>
                <w:vertAlign w:val="superscript"/>
              </w:rPr>
              <w:t>d</w:t>
            </w:r>
          </w:p>
        </w:tc>
      </w:tr>
      <w:tr w:rsidR="00171429" w:rsidRPr="008A0A30" w:rsidTr="009B63B7">
        <w:trPr>
          <w:trHeight w:hRule="exact" w:val="324"/>
        </w:trPr>
        <w:tc>
          <w:tcPr>
            <w:tcW w:w="1582" w:type="pct"/>
            <w:tcBorders>
              <w:top w:val="single" w:sz="6" w:space="0" w:color="000000"/>
              <w:left w:val="nil"/>
              <w:bottom w:val="single" w:sz="6" w:space="0" w:color="000000"/>
              <w:right w:val="single" w:sz="6" w:space="0" w:color="000000"/>
            </w:tcBorders>
          </w:tcPr>
          <w:p w:rsidR="00171429" w:rsidRPr="008A0A30" w:rsidRDefault="00171429" w:rsidP="00FC3767">
            <w:pPr>
              <w:spacing w:before="40" w:after="40"/>
              <w:ind w:left="142"/>
              <w:jc w:val="center"/>
            </w:pPr>
            <w:r w:rsidRPr="008A0A30">
              <w:t>6a</w:t>
            </w:r>
          </w:p>
        </w:tc>
        <w:tc>
          <w:tcPr>
            <w:tcW w:w="1752" w:type="pct"/>
            <w:tcBorders>
              <w:top w:val="single" w:sz="6" w:space="0" w:color="000000"/>
              <w:left w:val="single" w:sz="6" w:space="0" w:color="000000"/>
              <w:bottom w:val="single" w:sz="6" w:space="0" w:color="000000"/>
              <w:right w:val="single" w:sz="6" w:space="0" w:color="000000"/>
            </w:tcBorders>
          </w:tcPr>
          <w:p w:rsidR="00171429" w:rsidRPr="008A0A30" w:rsidRDefault="00171429" w:rsidP="00FC3767">
            <w:pPr>
              <w:spacing w:before="40" w:after="40"/>
              <w:jc w:val="center"/>
            </w:pPr>
            <w:r w:rsidRPr="008A0A30">
              <w:t>14</w:t>
            </w:r>
            <w:r w:rsidRPr="004D126B">
              <w:rPr>
                <w:vertAlign w:val="superscript"/>
              </w:rPr>
              <w:t>b</w:t>
            </w:r>
          </w:p>
        </w:tc>
        <w:tc>
          <w:tcPr>
            <w:tcW w:w="1666" w:type="pct"/>
            <w:tcBorders>
              <w:top w:val="single" w:sz="6" w:space="0" w:color="000000"/>
              <w:left w:val="single" w:sz="6" w:space="0" w:color="000000"/>
              <w:bottom w:val="single" w:sz="6" w:space="0" w:color="000000"/>
              <w:right w:val="nil"/>
            </w:tcBorders>
          </w:tcPr>
          <w:p w:rsidR="00171429" w:rsidRPr="008A0A30" w:rsidRDefault="00171429" w:rsidP="00FC3767">
            <w:pPr>
              <w:spacing w:before="40" w:after="40"/>
              <w:jc w:val="center"/>
            </w:pPr>
            <w:r w:rsidRPr="008A0A30">
              <w:t>0.006-0.009</w:t>
            </w:r>
          </w:p>
        </w:tc>
      </w:tr>
      <w:tr w:rsidR="00171429" w:rsidRPr="008A0A30" w:rsidTr="009B63B7">
        <w:trPr>
          <w:trHeight w:hRule="exact" w:val="334"/>
        </w:trPr>
        <w:tc>
          <w:tcPr>
            <w:tcW w:w="1582" w:type="pct"/>
            <w:tcBorders>
              <w:top w:val="single" w:sz="6" w:space="0" w:color="000000"/>
              <w:left w:val="nil"/>
              <w:bottom w:val="single" w:sz="4" w:space="0" w:color="auto"/>
              <w:right w:val="single" w:sz="6" w:space="0" w:color="000000"/>
            </w:tcBorders>
          </w:tcPr>
          <w:p w:rsidR="00171429" w:rsidRPr="008A0A30" w:rsidRDefault="00171429" w:rsidP="00FC3767">
            <w:pPr>
              <w:spacing w:before="40" w:after="40"/>
              <w:ind w:left="142"/>
              <w:jc w:val="center"/>
            </w:pPr>
            <w:r w:rsidRPr="008A0A30">
              <w:lastRenderedPageBreak/>
              <w:t>6e</w:t>
            </w:r>
          </w:p>
        </w:tc>
        <w:tc>
          <w:tcPr>
            <w:tcW w:w="1752" w:type="pct"/>
            <w:tcBorders>
              <w:top w:val="single" w:sz="6" w:space="0" w:color="000000"/>
              <w:left w:val="single" w:sz="6" w:space="0" w:color="000000"/>
              <w:bottom w:val="single" w:sz="4" w:space="0" w:color="auto"/>
              <w:right w:val="single" w:sz="6" w:space="0" w:color="000000"/>
            </w:tcBorders>
          </w:tcPr>
          <w:p w:rsidR="00171429" w:rsidRPr="008A0A30" w:rsidRDefault="00171429" w:rsidP="00FC3767">
            <w:pPr>
              <w:spacing w:before="40" w:after="40"/>
              <w:jc w:val="center"/>
            </w:pPr>
            <w:r w:rsidRPr="008A0A30">
              <w:t>NA</w:t>
            </w:r>
          </w:p>
        </w:tc>
        <w:tc>
          <w:tcPr>
            <w:tcW w:w="1666" w:type="pct"/>
            <w:tcBorders>
              <w:top w:val="single" w:sz="6" w:space="0" w:color="000000"/>
              <w:left w:val="single" w:sz="6" w:space="0" w:color="000000"/>
              <w:bottom w:val="single" w:sz="4" w:space="0" w:color="auto"/>
              <w:right w:val="nil"/>
            </w:tcBorders>
          </w:tcPr>
          <w:p w:rsidR="00171429" w:rsidRPr="008A0A30" w:rsidRDefault="00171429" w:rsidP="00FC3767">
            <w:pPr>
              <w:spacing w:before="40" w:after="40"/>
              <w:jc w:val="center"/>
            </w:pPr>
            <w:r w:rsidRPr="008A0A30">
              <w:t>0.130</w:t>
            </w:r>
            <w:r w:rsidRPr="004D126B">
              <w:rPr>
                <w:vertAlign w:val="superscript"/>
              </w:rPr>
              <w:t>d</w:t>
            </w:r>
          </w:p>
        </w:tc>
      </w:tr>
      <w:tr w:rsidR="00171429" w:rsidRPr="008A0A30" w:rsidTr="009B63B7">
        <w:trPr>
          <w:trHeight w:hRule="exact" w:val="1544"/>
        </w:trPr>
        <w:tc>
          <w:tcPr>
            <w:tcW w:w="5000" w:type="pct"/>
            <w:gridSpan w:val="3"/>
            <w:tcBorders>
              <w:top w:val="single" w:sz="4" w:space="0" w:color="auto"/>
            </w:tcBorders>
          </w:tcPr>
          <w:p w:rsidR="00171429" w:rsidRPr="00BB341F" w:rsidRDefault="00171429" w:rsidP="00FC3767">
            <w:pPr>
              <w:spacing w:before="0" w:after="0"/>
              <w:rPr>
                <w:rFonts w:cs="Arial"/>
                <w:sz w:val="18"/>
                <w:szCs w:val="18"/>
                <w:lang w:val="en-GB"/>
              </w:rPr>
            </w:pPr>
            <w:r w:rsidRPr="00BB341F">
              <w:rPr>
                <w:rFonts w:cs="Arial"/>
                <w:sz w:val="18"/>
                <w:szCs w:val="18"/>
                <w:lang w:val="en-GB"/>
              </w:rPr>
              <w:t>NA=Not Available</w:t>
            </w:r>
          </w:p>
          <w:p w:rsidR="00171429" w:rsidRPr="00BB341F" w:rsidRDefault="00171429" w:rsidP="00FC3767">
            <w:pPr>
              <w:spacing w:before="0" w:after="0"/>
              <w:rPr>
                <w:rFonts w:cs="Arial"/>
                <w:sz w:val="18"/>
                <w:szCs w:val="18"/>
                <w:lang w:val="en-GB"/>
              </w:rPr>
            </w:pPr>
            <w:r w:rsidRPr="00BB341F">
              <w:rPr>
                <w:rFonts w:cs="Arial"/>
                <w:sz w:val="18"/>
                <w:szCs w:val="18"/>
                <w:lang w:val="en-GB"/>
              </w:rPr>
              <w:t>a. Mean value from multiple experiments of same laboratory replicon.</w:t>
            </w:r>
          </w:p>
          <w:p w:rsidR="00171429" w:rsidRPr="00BB341F" w:rsidRDefault="00171429" w:rsidP="00FC3767">
            <w:pPr>
              <w:spacing w:before="0" w:after="0"/>
              <w:rPr>
                <w:rFonts w:cs="Arial"/>
                <w:sz w:val="18"/>
                <w:szCs w:val="18"/>
                <w:lang w:val="en-GB"/>
              </w:rPr>
            </w:pPr>
            <w:r w:rsidRPr="00BB341F">
              <w:rPr>
                <w:rFonts w:cs="Arial"/>
                <w:sz w:val="18"/>
                <w:szCs w:val="18"/>
                <w:lang w:val="en-GB"/>
              </w:rPr>
              <w:t>b. Stable chimeric 1b replicons carrying NS5B genes from genotype 2b, 5a</w:t>
            </w:r>
            <w:r w:rsidR="00E530A0" w:rsidRPr="00BB341F">
              <w:rPr>
                <w:rFonts w:cs="Arial"/>
                <w:sz w:val="18"/>
                <w:szCs w:val="18"/>
                <w:lang w:val="en-GB"/>
              </w:rPr>
              <w:t>,</w:t>
            </w:r>
            <w:r w:rsidRPr="00BB341F">
              <w:rPr>
                <w:rFonts w:cs="Arial"/>
                <w:sz w:val="18"/>
                <w:szCs w:val="18"/>
                <w:lang w:val="en-GB"/>
              </w:rPr>
              <w:t xml:space="preserve"> or 6a were used for testing.</w:t>
            </w:r>
          </w:p>
          <w:p w:rsidR="00171429" w:rsidRPr="00BB341F" w:rsidRDefault="00171429" w:rsidP="00FC3767">
            <w:pPr>
              <w:spacing w:before="0" w:after="0"/>
              <w:rPr>
                <w:rFonts w:cs="Arial"/>
                <w:sz w:val="18"/>
                <w:szCs w:val="18"/>
                <w:lang w:val="en-GB"/>
              </w:rPr>
            </w:pPr>
            <w:r w:rsidRPr="00BB341F">
              <w:rPr>
                <w:rFonts w:cs="Arial"/>
                <w:sz w:val="18"/>
                <w:szCs w:val="18"/>
                <w:lang w:val="en-GB"/>
              </w:rPr>
              <w:t>c. Data from various strains of full length NS5A replicons or chimeric NS5A replicons carrying full-length NS5A genes that contain L31 or M31 polymorphisms.</w:t>
            </w:r>
          </w:p>
          <w:p w:rsidR="00171429" w:rsidRPr="008A0A30" w:rsidRDefault="00171429" w:rsidP="00FC3767">
            <w:pPr>
              <w:spacing w:before="0"/>
              <w:rPr>
                <w:sz w:val="18"/>
                <w:szCs w:val="18"/>
              </w:rPr>
            </w:pPr>
            <w:r w:rsidRPr="00BB341F">
              <w:rPr>
                <w:rFonts w:cs="Arial"/>
                <w:sz w:val="18"/>
                <w:szCs w:val="18"/>
                <w:lang w:val="en-GB"/>
              </w:rPr>
              <w:t>d. Data from a chimeric NS5A replicon carrying NS5A amino acids 9-184.</w:t>
            </w:r>
          </w:p>
        </w:tc>
      </w:tr>
    </w:tbl>
    <w:p w:rsidR="00E63508" w:rsidRPr="00003AC8" w:rsidRDefault="00003AC8" w:rsidP="00003AC8">
      <w:pPr>
        <w:pStyle w:val="Caption"/>
      </w:pPr>
      <w:r>
        <w:t xml:space="preserve">Table </w:t>
      </w:r>
      <w:fldSimple w:instr=" SEQ Table \* ARABIC ">
        <w:r w:rsidR="00D60556">
          <w:rPr>
            <w:noProof/>
          </w:rPr>
          <w:t>2</w:t>
        </w:r>
      </w:fldSimple>
      <w:r>
        <w:t xml:space="preserve">. </w:t>
      </w:r>
      <w:r w:rsidR="00E63508" w:rsidRPr="00BB341F">
        <w:t xml:space="preserve">Activity of Sofosbuvir and Velpatasvir Against Transient Replicons </w:t>
      </w:r>
      <w:r>
        <w:tab/>
      </w:r>
      <w:r w:rsidR="00E63508" w:rsidRPr="00BB341F">
        <w:rPr>
          <w:position w:val="-1"/>
        </w:rPr>
        <w:t>Containing NS5A or NS5B from Clinical Isolates</w:t>
      </w:r>
    </w:p>
    <w:tbl>
      <w:tblPr>
        <w:tblW w:w="9396" w:type="dxa"/>
        <w:tblInd w:w="102" w:type="dxa"/>
        <w:tblLayout w:type="fixed"/>
        <w:tblCellMar>
          <w:left w:w="0" w:type="dxa"/>
          <w:right w:w="0" w:type="dxa"/>
        </w:tblCellMar>
        <w:tblLook w:val="01E0" w:firstRow="1" w:lastRow="1" w:firstColumn="1" w:lastColumn="1" w:noHBand="0" w:noVBand="0"/>
        <w:tblDescription w:val="Table 2. Activity of Sofosbuvir and Velpatasvir Against Transient Replicons  Containing NS5A or NS5B from Clinical Isolates"/>
      </w:tblPr>
      <w:tblGrid>
        <w:gridCol w:w="1174"/>
        <w:gridCol w:w="1843"/>
        <w:gridCol w:w="2197"/>
        <w:gridCol w:w="1772"/>
        <w:gridCol w:w="2410"/>
      </w:tblGrid>
      <w:tr w:rsidR="00E63508" w:rsidRPr="008A0A30" w:rsidTr="00003AC8">
        <w:trPr>
          <w:trHeight w:hRule="exact" w:val="677"/>
          <w:tblHeader/>
        </w:trPr>
        <w:tc>
          <w:tcPr>
            <w:tcW w:w="1174" w:type="dxa"/>
            <w:vMerge w:val="restart"/>
            <w:tcBorders>
              <w:top w:val="single" w:sz="12" w:space="0" w:color="000000"/>
              <w:left w:val="nil"/>
              <w:right w:val="single" w:sz="6" w:space="0" w:color="000000"/>
            </w:tcBorders>
          </w:tcPr>
          <w:p w:rsidR="00E63508" w:rsidRPr="008A0A30" w:rsidRDefault="00E63508" w:rsidP="00FC3767">
            <w:pPr>
              <w:spacing w:before="40" w:after="40"/>
              <w:rPr>
                <w:b/>
              </w:rPr>
            </w:pPr>
            <w:r w:rsidRPr="008A0A30">
              <w:rPr>
                <w:b/>
              </w:rPr>
              <w:t>Replicon Genotype</w:t>
            </w:r>
          </w:p>
        </w:tc>
        <w:tc>
          <w:tcPr>
            <w:tcW w:w="4040" w:type="dxa"/>
            <w:gridSpan w:val="2"/>
            <w:tcBorders>
              <w:top w:val="single" w:sz="12"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rPr>
                <w:b/>
              </w:rPr>
            </w:pPr>
            <w:r w:rsidRPr="008A0A30">
              <w:rPr>
                <w:b/>
              </w:rPr>
              <w:t>Replicons containing NS5B from clinical isolates</w:t>
            </w:r>
          </w:p>
        </w:tc>
        <w:tc>
          <w:tcPr>
            <w:tcW w:w="4182" w:type="dxa"/>
            <w:gridSpan w:val="2"/>
            <w:tcBorders>
              <w:top w:val="single" w:sz="12" w:space="0" w:color="000000"/>
              <w:left w:val="single" w:sz="6" w:space="0" w:color="000000"/>
              <w:bottom w:val="single" w:sz="6" w:space="0" w:color="000000"/>
              <w:right w:val="nil"/>
            </w:tcBorders>
          </w:tcPr>
          <w:p w:rsidR="00E63508" w:rsidRPr="008A0A30" w:rsidRDefault="00E63508" w:rsidP="00003AC8">
            <w:pPr>
              <w:spacing w:before="40" w:after="40"/>
              <w:jc w:val="center"/>
              <w:rPr>
                <w:b/>
              </w:rPr>
            </w:pPr>
            <w:r w:rsidRPr="008A0A30">
              <w:rPr>
                <w:b/>
              </w:rPr>
              <w:t>Replicons containing NS5A from clinical isolates</w:t>
            </w:r>
          </w:p>
        </w:tc>
      </w:tr>
      <w:tr w:rsidR="00E63508" w:rsidRPr="008A0A30" w:rsidTr="00003AC8">
        <w:trPr>
          <w:trHeight w:hRule="exact" w:val="724"/>
          <w:tblHeader/>
        </w:trPr>
        <w:tc>
          <w:tcPr>
            <w:tcW w:w="1174" w:type="dxa"/>
            <w:vMerge/>
            <w:tcBorders>
              <w:left w:val="nil"/>
              <w:bottom w:val="single" w:sz="12" w:space="0" w:color="000000"/>
              <w:right w:val="single" w:sz="6" w:space="0" w:color="000000"/>
            </w:tcBorders>
          </w:tcPr>
          <w:p w:rsidR="00E63508" w:rsidRPr="008A0A30" w:rsidRDefault="00E63508" w:rsidP="00FC3767">
            <w:pPr>
              <w:spacing w:before="40" w:after="40"/>
              <w:rPr>
                <w:b/>
              </w:rPr>
            </w:pPr>
          </w:p>
        </w:tc>
        <w:tc>
          <w:tcPr>
            <w:tcW w:w="1843" w:type="dxa"/>
            <w:tcBorders>
              <w:top w:val="single" w:sz="6" w:space="0" w:color="000000"/>
              <w:left w:val="single" w:sz="6" w:space="0" w:color="000000"/>
              <w:bottom w:val="single" w:sz="12" w:space="0" w:color="000000"/>
              <w:right w:val="single" w:sz="6" w:space="0" w:color="000000"/>
            </w:tcBorders>
          </w:tcPr>
          <w:p w:rsidR="00E63508" w:rsidRPr="008A0A30" w:rsidRDefault="00E63508" w:rsidP="00FC3767">
            <w:pPr>
              <w:spacing w:before="40" w:after="40"/>
              <w:jc w:val="center"/>
              <w:rPr>
                <w:b/>
              </w:rPr>
            </w:pPr>
            <w:r w:rsidRPr="008A0A30">
              <w:rPr>
                <w:b/>
              </w:rPr>
              <w:t xml:space="preserve">Number of </w:t>
            </w:r>
            <w:r w:rsidRPr="008A0A30">
              <w:rPr>
                <w:b/>
              </w:rPr>
              <w:br/>
              <w:t>clinical isolates</w:t>
            </w:r>
          </w:p>
        </w:tc>
        <w:tc>
          <w:tcPr>
            <w:tcW w:w="2197" w:type="dxa"/>
            <w:tcBorders>
              <w:top w:val="single" w:sz="6" w:space="0" w:color="000000"/>
              <w:left w:val="single" w:sz="6" w:space="0" w:color="000000"/>
              <w:bottom w:val="single" w:sz="12" w:space="0" w:color="000000"/>
              <w:right w:val="single" w:sz="6" w:space="0" w:color="000000"/>
            </w:tcBorders>
          </w:tcPr>
          <w:p w:rsidR="00E63508" w:rsidRPr="008A0A30" w:rsidRDefault="00E63508" w:rsidP="00FC3767">
            <w:pPr>
              <w:spacing w:before="40" w:after="40"/>
              <w:jc w:val="center"/>
              <w:rPr>
                <w:b/>
              </w:rPr>
            </w:pPr>
            <w:r w:rsidRPr="008A0A30">
              <w:rPr>
                <w:b/>
              </w:rPr>
              <w:t>Median sofosbuvir</w:t>
            </w:r>
          </w:p>
          <w:p w:rsidR="00E63508" w:rsidRPr="008A0A30" w:rsidRDefault="00E63508" w:rsidP="00FC3767">
            <w:pPr>
              <w:spacing w:before="40" w:after="40"/>
              <w:jc w:val="center"/>
              <w:rPr>
                <w:b/>
              </w:rPr>
            </w:pPr>
            <w:r w:rsidRPr="008A0A30">
              <w:rPr>
                <w:b/>
              </w:rPr>
              <w:t>EC</w:t>
            </w:r>
            <w:r w:rsidRPr="008A0A30">
              <w:rPr>
                <w:b/>
                <w:vertAlign w:val="subscript"/>
              </w:rPr>
              <w:t>50</w:t>
            </w:r>
            <w:r w:rsidRPr="008A0A30">
              <w:rPr>
                <w:b/>
              </w:rPr>
              <w:t>, nM (range)</w:t>
            </w:r>
          </w:p>
        </w:tc>
        <w:tc>
          <w:tcPr>
            <w:tcW w:w="1772" w:type="dxa"/>
            <w:tcBorders>
              <w:top w:val="single" w:sz="6" w:space="0" w:color="000000"/>
              <w:left w:val="single" w:sz="6" w:space="0" w:color="000000"/>
              <w:bottom w:val="single" w:sz="12" w:space="0" w:color="000000"/>
              <w:right w:val="single" w:sz="6" w:space="0" w:color="000000"/>
            </w:tcBorders>
          </w:tcPr>
          <w:p w:rsidR="00E63508" w:rsidRPr="008A0A30" w:rsidRDefault="00E63508" w:rsidP="00003AC8">
            <w:pPr>
              <w:spacing w:before="40" w:after="40"/>
              <w:jc w:val="center"/>
              <w:rPr>
                <w:b/>
              </w:rPr>
            </w:pPr>
            <w:r w:rsidRPr="008A0A30">
              <w:rPr>
                <w:b/>
              </w:rPr>
              <w:t>Number of clinical isolates</w:t>
            </w:r>
          </w:p>
        </w:tc>
        <w:tc>
          <w:tcPr>
            <w:tcW w:w="2410" w:type="dxa"/>
            <w:tcBorders>
              <w:top w:val="single" w:sz="6" w:space="0" w:color="000000"/>
              <w:left w:val="single" w:sz="6" w:space="0" w:color="000000"/>
              <w:bottom w:val="single" w:sz="12" w:space="0" w:color="000000"/>
              <w:right w:val="nil"/>
            </w:tcBorders>
          </w:tcPr>
          <w:p w:rsidR="00E63508" w:rsidRPr="008A0A30" w:rsidRDefault="00E63508" w:rsidP="00FC3767">
            <w:pPr>
              <w:spacing w:before="40" w:after="40"/>
              <w:jc w:val="center"/>
              <w:rPr>
                <w:b/>
              </w:rPr>
            </w:pPr>
            <w:r w:rsidRPr="008A0A30">
              <w:rPr>
                <w:b/>
              </w:rPr>
              <w:t>Median velpatasvir EC</w:t>
            </w:r>
            <w:r w:rsidRPr="008A0A30">
              <w:rPr>
                <w:b/>
                <w:vertAlign w:val="subscript"/>
              </w:rPr>
              <w:t>50</w:t>
            </w:r>
            <w:r w:rsidRPr="008A0A30">
              <w:rPr>
                <w:b/>
              </w:rPr>
              <w:t>, nM (range)</w:t>
            </w:r>
          </w:p>
        </w:tc>
      </w:tr>
      <w:tr w:rsidR="00E63508" w:rsidRPr="008A0A30" w:rsidTr="00003AC8">
        <w:trPr>
          <w:trHeight w:hRule="exact" w:val="374"/>
        </w:trPr>
        <w:tc>
          <w:tcPr>
            <w:tcW w:w="1174" w:type="dxa"/>
            <w:tcBorders>
              <w:top w:val="single" w:sz="12"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1a</w:t>
            </w:r>
          </w:p>
        </w:tc>
        <w:tc>
          <w:tcPr>
            <w:tcW w:w="1843" w:type="dxa"/>
            <w:tcBorders>
              <w:top w:val="single" w:sz="12"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67</w:t>
            </w:r>
          </w:p>
        </w:tc>
        <w:tc>
          <w:tcPr>
            <w:tcW w:w="2197" w:type="dxa"/>
            <w:tcBorders>
              <w:top w:val="single" w:sz="12"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62 (29-128)</w:t>
            </w:r>
          </w:p>
        </w:tc>
        <w:tc>
          <w:tcPr>
            <w:tcW w:w="1772" w:type="dxa"/>
            <w:tcBorders>
              <w:top w:val="single" w:sz="12"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23</w:t>
            </w:r>
          </w:p>
        </w:tc>
        <w:tc>
          <w:tcPr>
            <w:tcW w:w="2410" w:type="dxa"/>
            <w:tcBorders>
              <w:top w:val="single" w:sz="12"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0.019 (0.011-0.078)</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1b</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29</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102 (45-170)</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34</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0.012 (0.005-0.500)</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2a</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15</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29 (14-81)</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8</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0.011 (0.006-0.364)</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2b</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16</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0.002 (0.0003-0.007)</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3a</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106</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81 (24-181)</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38</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0.005 (0.002-1.871)</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4a</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5</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0.002 (0.001-0.004)</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4d</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10</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0.007 (0.004-0.011)</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4r</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7</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0.003 (0.002-0.006)</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5a</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42</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0.005 (0.001-0.019)</w:t>
            </w:r>
          </w:p>
        </w:tc>
      </w:tr>
      <w:tr w:rsidR="00E63508" w:rsidRPr="008A0A30" w:rsidTr="00003AC8">
        <w:trPr>
          <w:trHeight w:hRule="exact" w:val="365"/>
        </w:trPr>
        <w:tc>
          <w:tcPr>
            <w:tcW w:w="1174" w:type="dxa"/>
            <w:tcBorders>
              <w:top w:val="single" w:sz="6" w:space="0" w:color="000000"/>
              <w:left w:val="nil"/>
              <w:bottom w:val="single" w:sz="6" w:space="0" w:color="000000"/>
              <w:right w:val="single" w:sz="6" w:space="0" w:color="000000"/>
            </w:tcBorders>
          </w:tcPr>
          <w:p w:rsidR="00E63508" w:rsidRPr="008A0A30" w:rsidRDefault="00E63508" w:rsidP="00FC3767">
            <w:pPr>
              <w:spacing w:before="40" w:after="40"/>
              <w:jc w:val="center"/>
            </w:pPr>
            <w:r w:rsidRPr="008A0A30">
              <w:t>6a</w:t>
            </w:r>
          </w:p>
        </w:tc>
        <w:tc>
          <w:tcPr>
            <w:tcW w:w="1843"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2197"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NA</w:t>
            </w:r>
          </w:p>
        </w:tc>
        <w:tc>
          <w:tcPr>
            <w:tcW w:w="1772" w:type="dxa"/>
            <w:tcBorders>
              <w:top w:val="single" w:sz="6" w:space="0" w:color="000000"/>
              <w:left w:val="single" w:sz="6" w:space="0" w:color="000000"/>
              <w:bottom w:val="single" w:sz="6" w:space="0" w:color="000000"/>
              <w:right w:val="single" w:sz="6" w:space="0" w:color="000000"/>
            </w:tcBorders>
          </w:tcPr>
          <w:p w:rsidR="00E63508" w:rsidRPr="008A0A30" w:rsidRDefault="00E63508" w:rsidP="00FC3767">
            <w:pPr>
              <w:spacing w:before="40" w:after="40"/>
              <w:jc w:val="center"/>
            </w:pPr>
            <w:r w:rsidRPr="008A0A30">
              <w:t>26</w:t>
            </w:r>
          </w:p>
        </w:tc>
        <w:tc>
          <w:tcPr>
            <w:tcW w:w="2410" w:type="dxa"/>
            <w:tcBorders>
              <w:top w:val="single" w:sz="6" w:space="0" w:color="000000"/>
              <w:left w:val="single" w:sz="6" w:space="0" w:color="000000"/>
              <w:bottom w:val="single" w:sz="6" w:space="0" w:color="000000"/>
              <w:right w:val="nil"/>
            </w:tcBorders>
          </w:tcPr>
          <w:p w:rsidR="00E63508" w:rsidRPr="008A0A30" w:rsidRDefault="00E63508" w:rsidP="00FC3767">
            <w:pPr>
              <w:spacing w:before="40" w:after="40"/>
              <w:jc w:val="center"/>
            </w:pPr>
            <w:r w:rsidRPr="008A0A30">
              <w:t>0.007 (0.0005-0.113)</w:t>
            </w:r>
          </w:p>
        </w:tc>
      </w:tr>
      <w:tr w:rsidR="00E63508" w:rsidRPr="008A0A30" w:rsidTr="00003AC8">
        <w:trPr>
          <w:trHeight w:hRule="exact" w:val="374"/>
        </w:trPr>
        <w:tc>
          <w:tcPr>
            <w:tcW w:w="1174" w:type="dxa"/>
            <w:tcBorders>
              <w:top w:val="single" w:sz="6" w:space="0" w:color="000000"/>
              <w:left w:val="nil"/>
              <w:bottom w:val="single" w:sz="12" w:space="0" w:color="000000"/>
              <w:right w:val="single" w:sz="6" w:space="0" w:color="000000"/>
            </w:tcBorders>
          </w:tcPr>
          <w:p w:rsidR="00E63508" w:rsidRPr="008A0A30" w:rsidRDefault="00E63508" w:rsidP="00FC3767">
            <w:pPr>
              <w:spacing w:before="40" w:after="40"/>
              <w:jc w:val="center"/>
            </w:pPr>
            <w:r w:rsidRPr="008A0A30">
              <w:t>6e</w:t>
            </w:r>
          </w:p>
        </w:tc>
        <w:tc>
          <w:tcPr>
            <w:tcW w:w="1843" w:type="dxa"/>
            <w:tcBorders>
              <w:top w:val="single" w:sz="6" w:space="0" w:color="000000"/>
              <w:left w:val="single" w:sz="6" w:space="0" w:color="000000"/>
              <w:bottom w:val="single" w:sz="12" w:space="0" w:color="000000"/>
              <w:right w:val="single" w:sz="6" w:space="0" w:color="000000"/>
            </w:tcBorders>
          </w:tcPr>
          <w:p w:rsidR="00E63508" w:rsidRPr="008A0A30" w:rsidRDefault="00E63508" w:rsidP="00FC3767">
            <w:pPr>
              <w:spacing w:before="40" w:after="40"/>
              <w:jc w:val="center"/>
            </w:pPr>
            <w:r w:rsidRPr="008A0A30">
              <w:t>NA</w:t>
            </w:r>
          </w:p>
        </w:tc>
        <w:tc>
          <w:tcPr>
            <w:tcW w:w="2197" w:type="dxa"/>
            <w:tcBorders>
              <w:top w:val="single" w:sz="6" w:space="0" w:color="000000"/>
              <w:left w:val="single" w:sz="6" w:space="0" w:color="000000"/>
              <w:bottom w:val="single" w:sz="12" w:space="0" w:color="000000"/>
              <w:right w:val="single" w:sz="6" w:space="0" w:color="000000"/>
            </w:tcBorders>
          </w:tcPr>
          <w:p w:rsidR="00E63508" w:rsidRPr="008A0A30" w:rsidRDefault="00E63508" w:rsidP="00FC3767">
            <w:pPr>
              <w:spacing w:before="40" w:after="40"/>
              <w:jc w:val="center"/>
            </w:pPr>
            <w:r w:rsidRPr="008A0A30">
              <w:t>NA</w:t>
            </w:r>
          </w:p>
        </w:tc>
        <w:tc>
          <w:tcPr>
            <w:tcW w:w="1772" w:type="dxa"/>
            <w:tcBorders>
              <w:top w:val="single" w:sz="6" w:space="0" w:color="000000"/>
              <w:left w:val="single" w:sz="6" w:space="0" w:color="000000"/>
              <w:bottom w:val="single" w:sz="12" w:space="0" w:color="000000"/>
              <w:right w:val="single" w:sz="6" w:space="0" w:color="000000"/>
            </w:tcBorders>
          </w:tcPr>
          <w:p w:rsidR="00E63508" w:rsidRPr="008A0A30" w:rsidRDefault="00E63508" w:rsidP="00FC3767">
            <w:pPr>
              <w:spacing w:before="40" w:after="40"/>
              <w:jc w:val="center"/>
            </w:pPr>
            <w:r w:rsidRPr="008A0A30">
              <w:t>15</w:t>
            </w:r>
          </w:p>
        </w:tc>
        <w:tc>
          <w:tcPr>
            <w:tcW w:w="2410" w:type="dxa"/>
            <w:tcBorders>
              <w:top w:val="single" w:sz="6" w:space="0" w:color="000000"/>
              <w:left w:val="single" w:sz="6" w:space="0" w:color="000000"/>
              <w:bottom w:val="single" w:sz="12" w:space="0" w:color="000000"/>
              <w:right w:val="nil"/>
            </w:tcBorders>
          </w:tcPr>
          <w:p w:rsidR="00E63508" w:rsidRPr="008A0A30" w:rsidRDefault="00E63508" w:rsidP="00FC3767">
            <w:pPr>
              <w:spacing w:before="40" w:after="40"/>
              <w:jc w:val="center"/>
            </w:pPr>
            <w:r w:rsidRPr="008A0A30">
              <w:t>0.024 (0.005-0.433)</w:t>
            </w:r>
          </w:p>
        </w:tc>
      </w:tr>
    </w:tbl>
    <w:p w:rsidR="00E63508" w:rsidRPr="00BB341F" w:rsidRDefault="00E63508" w:rsidP="00FC3767">
      <w:pPr>
        <w:spacing w:before="40" w:after="120"/>
        <w:ind w:left="238" w:right="-23"/>
        <w:rPr>
          <w:rFonts w:cs="Arial"/>
          <w:sz w:val="18"/>
          <w:szCs w:val="18"/>
          <w:lang w:val="en-GB"/>
        </w:rPr>
      </w:pPr>
      <w:r w:rsidRPr="00BB341F">
        <w:rPr>
          <w:rFonts w:cs="Arial"/>
          <w:sz w:val="18"/>
          <w:szCs w:val="18"/>
          <w:lang w:val="en-GB"/>
        </w:rPr>
        <w:t>NA=Not Available</w:t>
      </w:r>
    </w:p>
    <w:p w:rsidR="003353FB" w:rsidRPr="008A0A30" w:rsidRDefault="003353FB" w:rsidP="00FC3767">
      <w:r w:rsidRPr="008A0A30">
        <w:t>The presence of 40% human serum had no effect on the ant</w:t>
      </w:r>
      <w:r w:rsidRPr="008A0A30">
        <w:rPr>
          <w:spacing w:val="1"/>
        </w:rPr>
        <w:t>i</w:t>
      </w:r>
      <w:r w:rsidRPr="008A0A30">
        <w:rPr>
          <w:spacing w:val="-1"/>
        </w:rPr>
        <w:t>-</w:t>
      </w:r>
      <w:r w:rsidRPr="008A0A30">
        <w:t>HCV activi</w:t>
      </w:r>
      <w:r w:rsidRPr="008A0A30">
        <w:rPr>
          <w:spacing w:val="5"/>
        </w:rPr>
        <w:t>t</w:t>
      </w:r>
      <w:r w:rsidRPr="008A0A30">
        <w:t>y</w:t>
      </w:r>
      <w:r w:rsidRPr="008A0A30">
        <w:rPr>
          <w:spacing w:val="-2"/>
        </w:rPr>
        <w:t xml:space="preserve"> </w:t>
      </w:r>
      <w:r w:rsidRPr="008A0A30">
        <w:t>of sofosbuvir</w:t>
      </w:r>
      <w:r w:rsidR="00E530A0">
        <w:t>,</w:t>
      </w:r>
      <w:r w:rsidRPr="008A0A30">
        <w:t xml:space="preserve"> but reduced the anti</w:t>
      </w:r>
      <w:r w:rsidRPr="008A0A30">
        <w:rPr>
          <w:spacing w:val="-1"/>
        </w:rPr>
        <w:t>-</w:t>
      </w:r>
      <w:r w:rsidRPr="008A0A30">
        <w:rPr>
          <w:spacing w:val="1"/>
        </w:rPr>
        <w:t>HC</w:t>
      </w:r>
      <w:r w:rsidRPr="008A0A30">
        <w:t>V</w:t>
      </w:r>
      <w:r w:rsidRPr="008A0A30">
        <w:rPr>
          <w:spacing w:val="1"/>
        </w:rPr>
        <w:t xml:space="preserve"> activit</w:t>
      </w:r>
      <w:r w:rsidRPr="008A0A30">
        <w:t>y</w:t>
      </w:r>
      <w:r w:rsidRPr="008A0A30">
        <w:rPr>
          <w:spacing w:val="-7"/>
        </w:rPr>
        <w:t xml:space="preserve"> </w:t>
      </w:r>
      <w:r w:rsidRPr="008A0A30">
        <w:t>of velpatasvir by</w:t>
      </w:r>
      <w:r w:rsidRPr="008A0A30">
        <w:rPr>
          <w:spacing w:val="-3"/>
        </w:rPr>
        <w:t xml:space="preserve"> </w:t>
      </w:r>
      <w:r w:rsidRPr="008A0A30">
        <w:rPr>
          <w:spacing w:val="1"/>
        </w:rPr>
        <w:t>1</w:t>
      </w:r>
      <w:r w:rsidRPr="008A0A30">
        <w:t>3</w:t>
      </w:r>
      <w:r w:rsidRPr="008A0A30">
        <w:rPr>
          <w:spacing w:val="-1"/>
        </w:rPr>
        <w:t>-</w:t>
      </w:r>
      <w:r w:rsidRPr="008A0A30">
        <w:t>fold against geno</w:t>
      </w:r>
      <w:r w:rsidRPr="008A0A30">
        <w:rPr>
          <w:spacing w:val="5"/>
        </w:rPr>
        <w:t>t</w:t>
      </w:r>
      <w:r w:rsidRPr="008A0A30">
        <w:t>ype 1a HCV replicons.</w:t>
      </w:r>
    </w:p>
    <w:p w:rsidR="00791C4A" w:rsidRDefault="003353FB" w:rsidP="00FC3767">
      <w:r w:rsidRPr="008A0A30">
        <w:t>Evaluation of sofosbuvir in combination with velpatasvir showed no antagonistic effect in reducing HCV RNA levels in replicon cells.</w:t>
      </w:r>
    </w:p>
    <w:p w:rsidR="00FC3767" w:rsidRDefault="007254DD" w:rsidP="00FC3767">
      <w:pPr>
        <w:pStyle w:val="Heading2"/>
      </w:pPr>
      <w:r w:rsidRPr="00791C4A">
        <w:t>Drug Resistance</w:t>
      </w:r>
    </w:p>
    <w:p w:rsidR="00FF54BB" w:rsidRPr="008A0A30" w:rsidRDefault="00FF54BB" w:rsidP="00FC3767">
      <w:pPr>
        <w:pStyle w:val="Heading3"/>
      </w:pPr>
      <w:r w:rsidRPr="008A0A30">
        <w:t>In Cell Culture:</w:t>
      </w:r>
    </w:p>
    <w:p w:rsidR="00FC3767" w:rsidRDefault="008377C4" w:rsidP="00FC3767">
      <w:r w:rsidRPr="008A0A30">
        <w:t>HCV replicons with reduced susceptibility to sofosbuvir have been selected in cell culture for multiple genotypes including 1b, 2a, 2b, 3a, 4a, 5a</w:t>
      </w:r>
      <w:r w:rsidR="00E530A0">
        <w:t>,</w:t>
      </w:r>
      <w:r w:rsidRPr="008A0A30">
        <w:t xml:space="preserve"> and 6a. Reduced susceptibility to sofosbuvir was associated with the primary NS5B substitution S282T in all replicon genotypes examined. Site-directed mutagenesis of the S282T substitution in replicons of genotype</w:t>
      </w:r>
      <w:r w:rsidR="00E26B83">
        <w:t xml:space="preserve"> 1 to 6</w:t>
      </w:r>
      <w:r w:rsidRPr="008A0A30">
        <w:t xml:space="preserve"> conferred 2- to 18-fold reduced susceptibility to sofosbuvir and reduced the replication </w:t>
      </w:r>
      <w:r w:rsidR="00E26B83">
        <w:t xml:space="preserve">viral </w:t>
      </w:r>
      <w:r w:rsidRPr="008A0A30">
        <w:t xml:space="preserve">capacity by 89% to 99% compared to the corresponding wild-type. In biochemical assays, </w:t>
      </w:r>
      <w:r w:rsidR="00E26B83" w:rsidRPr="00E26B83">
        <w:t xml:space="preserve">the ability of the active triphosphate of sofosbuvir (GS-461203) to inhibit </w:t>
      </w:r>
      <w:r w:rsidRPr="008A0A30">
        <w:t>recombinant NS5B polymerase from genotypes 1b, 2a, 3a</w:t>
      </w:r>
      <w:r w:rsidR="00E530A0">
        <w:t>,</w:t>
      </w:r>
      <w:r w:rsidRPr="008A0A30">
        <w:t xml:space="preserve"> and 4a expressing the S282T </w:t>
      </w:r>
      <w:r w:rsidRPr="008A0A30">
        <w:lastRenderedPageBreak/>
        <w:t xml:space="preserve">substitution </w:t>
      </w:r>
      <w:r w:rsidR="00E26B83">
        <w:t xml:space="preserve">was </w:t>
      </w:r>
      <w:r w:rsidRPr="008A0A30">
        <w:t>reduced</w:t>
      </w:r>
      <w:r w:rsidR="00E26B83">
        <w:t xml:space="preserve"> compared to its ability to inhibit wild-ty</w:t>
      </w:r>
      <w:r w:rsidR="009A4338">
        <w:t xml:space="preserve">pe recombinant NS5B polymerase, </w:t>
      </w:r>
      <w:r w:rsidR="00E26B83" w:rsidRPr="00E26B83">
        <w:t>as indicated by a 8.5- to 24-fold increase in IC</w:t>
      </w:r>
      <w:r w:rsidR="00E26B83" w:rsidRPr="009A4338">
        <w:rPr>
          <w:vertAlign w:val="subscript"/>
        </w:rPr>
        <w:t>50</w:t>
      </w:r>
      <w:r w:rsidR="00E26B83" w:rsidRPr="00E26B83">
        <w:t>.</w:t>
      </w:r>
    </w:p>
    <w:p w:rsidR="00487460" w:rsidRPr="008A0A30" w:rsidRDefault="00487460" w:rsidP="00FC3767">
      <w:r w:rsidRPr="008A0A30">
        <w:rPr>
          <w:i/>
        </w:rPr>
        <w:t>In vitro</w:t>
      </w:r>
      <w:r w:rsidRPr="008A0A30">
        <w:t xml:space="preserve"> selection of HCV replicons with reduced susceptibility to velpatasvir was performed in cell culture for multiple genotypes including 1a, 1b, 2a, 3a, 4a, 5a</w:t>
      </w:r>
      <w:r w:rsidR="00E530A0">
        <w:t>,</w:t>
      </w:r>
      <w:r w:rsidRPr="008A0A30">
        <w:t xml:space="preserve"> and 6a. Variants were selected at NS5A resistance associated positions 24, 28, 30, 31, 32, 58, 92</w:t>
      </w:r>
      <w:r w:rsidR="00E530A0">
        <w:t>,</w:t>
      </w:r>
      <w:r w:rsidRPr="008A0A30">
        <w:t xml:space="preserve"> and 93. The resistance associated variants (RAVs) selected in 2 or more genotypes were F28S, L31I/V</w:t>
      </w:r>
      <w:r w:rsidR="00E530A0">
        <w:t>,</w:t>
      </w:r>
      <w:r w:rsidRPr="008A0A30">
        <w:t xml:space="preserve"> and Y93H. Site-directed mutagenesis of known NS5A RAVs showed that substitutions conferring a &gt;100-fold reduction in velpatasvir susceptibility are M28G, A92K</w:t>
      </w:r>
      <w:r w:rsidR="00E530A0">
        <w:t>,</w:t>
      </w:r>
      <w:r w:rsidRPr="008A0A30">
        <w:t xml:space="preserve"> and Y93H/N/R/W in genotype 1a, A92K in genotype 1b, C92T and Y93H/N in genotype 2b, Y93H in genotype 3, and L31V and P32A/L/Q/R in genotype 6.</w:t>
      </w:r>
      <w:r w:rsidR="00FC3767">
        <w:t xml:space="preserve"> </w:t>
      </w:r>
      <w:r w:rsidRPr="008A0A30">
        <w:t>No individual substitutions tested in genotypes 2a, 4a, or 5a conferred a &gt;100 fold reduction in velpatasvir susceptibility. Combinations of these variants often showed greater reductions in susceptibility to velpatasvir than single RAVs alone.</w:t>
      </w:r>
    </w:p>
    <w:p w:rsidR="00FC3767" w:rsidRDefault="00FF54BB" w:rsidP="00FC3767">
      <w:pPr>
        <w:pStyle w:val="Heading3"/>
      </w:pPr>
      <w:r w:rsidRPr="008A0A30">
        <w:t xml:space="preserve">In Clinical </w:t>
      </w:r>
      <w:r w:rsidR="008B6AAF" w:rsidRPr="008A0A30">
        <w:t>Trials</w:t>
      </w:r>
      <w:r w:rsidRPr="008A0A30">
        <w:t>:</w:t>
      </w:r>
    </w:p>
    <w:p w:rsidR="00FC3767" w:rsidRDefault="00DE55FA" w:rsidP="00FC3767">
      <w:pPr>
        <w:pStyle w:val="Heading4"/>
      </w:pPr>
      <w:r w:rsidRPr="008A0A30">
        <w:t xml:space="preserve">Studies in </w:t>
      </w:r>
      <w:r w:rsidR="00912A65" w:rsidRPr="008A0A30">
        <w:t>Patients</w:t>
      </w:r>
      <w:r w:rsidRPr="008A0A30">
        <w:t xml:space="preserve"> without Cirrhosis and </w:t>
      </w:r>
      <w:r w:rsidR="00912A65" w:rsidRPr="008A0A30">
        <w:t>Patients</w:t>
      </w:r>
      <w:r w:rsidRPr="008A0A30">
        <w:t xml:space="preserve"> with Compensated Cirrhosis</w:t>
      </w:r>
    </w:p>
    <w:p w:rsidR="00DE55FA" w:rsidRPr="008A0A30" w:rsidRDefault="00DE55FA" w:rsidP="00FC3767">
      <w:r w:rsidRPr="008A0A30">
        <w:t xml:space="preserve">In a pooled analysis of </w:t>
      </w:r>
      <w:r w:rsidR="00F04F0A" w:rsidRPr="008A0A30">
        <w:t xml:space="preserve">patients </w:t>
      </w:r>
      <w:r w:rsidRPr="008A0A30">
        <w:t xml:space="preserve">without cirrhosis or with compensated cirrhosis who received </w:t>
      </w:r>
      <w:r w:rsidR="00C3685A">
        <w:t>EPCLUSA</w:t>
      </w:r>
      <w:r w:rsidRPr="008A0A30">
        <w:t xml:space="preserve"> for 12 weeks in Phase 3 trials (ASTRAL-1, ASTRAL-2</w:t>
      </w:r>
      <w:r w:rsidR="00FE6F5B">
        <w:t>,</w:t>
      </w:r>
      <w:r w:rsidRPr="008A0A30">
        <w:t xml:space="preserve"> and ASTRAL-3), 12 </w:t>
      </w:r>
      <w:r w:rsidR="00912A65" w:rsidRPr="008A0A30">
        <w:t>patients</w:t>
      </w:r>
      <w:r w:rsidRPr="008A0A30">
        <w:t xml:space="preserve"> (2 with genotype 1 and 10 with genotype 3) qualified for resistance analysis due to virologic failure. One additional </w:t>
      </w:r>
      <w:r w:rsidR="00F04F0A" w:rsidRPr="008A0A30">
        <w:t>patient</w:t>
      </w:r>
      <w:r w:rsidR="00912A65" w:rsidRPr="008A0A30">
        <w:t xml:space="preserve"> </w:t>
      </w:r>
      <w:r w:rsidRPr="008A0A30">
        <w:t xml:space="preserve">with genotype 3 HCV infection at baseline was reinfected with genotype 1a HCV at virologic failure and was excluded from the virological analysis. No </w:t>
      </w:r>
      <w:r w:rsidR="00912A65" w:rsidRPr="008A0A30">
        <w:t>patients</w:t>
      </w:r>
      <w:r w:rsidRPr="008A0A30">
        <w:t xml:space="preserve"> with genotype 2, 4, 5, or 6 HCV infection experienced virologic failure.</w:t>
      </w:r>
    </w:p>
    <w:p w:rsidR="00DE55FA" w:rsidRPr="008A0A30" w:rsidRDefault="00DE55FA" w:rsidP="00FC3767">
      <w:r w:rsidRPr="008A0A30">
        <w:t xml:space="preserve">Of the </w:t>
      </w:r>
      <w:r w:rsidR="00C46648" w:rsidRPr="008A0A30">
        <w:t>2</w:t>
      </w:r>
      <w:r w:rsidRPr="008A0A30">
        <w:t xml:space="preserve"> genotype 1 virologic failure </w:t>
      </w:r>
      <w:r w:rsidR="00F04F0A" w:rsidRPr="008A0A30">
        <w:t>patients</w:t>
      </w:r>
      <w:r w:rsidRPr="008A0A30">
        <w:t xml:space="preserve">, </w:t>
      </w:r>
      <w:r w:rsidR="00C46648" w:rsidRPr="008A0A30">
        <w:t>1</w:t>
      </w:r>
      <w:r w:rsidRPr="008A0A30">
        <w:t xml:space="preserve"> </w:t>
      </w:r>
      <w:r w:rsidR="00912A65" w:rsidRPr="008A0A30">
        <w:t>patient</w:t>
      </w:r>
      <w:r w:rsidRPr="008A0A30">
        <w:t xml:space="preserve"> had virus with emergent NS5A RAV Y93N and the other </w:t>
      </w:r>
      <w:r w:rsidR="00912A65" w:rsidRPr="008A0A30">
        <w:t>patient</w:t>
      </w:r>
      <w:r w:rsidRPr="008A0A30">
        <w:t xml:space="preserve"> had virus with emergent NS5A RAVs L31I/V and Y93H at virologic failure. Both </w:t>
      </w:r>
      <w:r w:rsidR="00912A65" w:rsidRPr="008A0A30">
        <w:t xml:space="preserve">patients </w:t>
      </w:r>
      <w:r w:rsidRPr="008A0A30">
        <w:t xml:space="preserve">had virus at baseline harboring NS5A RAVs. No NS5B nucleoside inhibitor (NI) RAVs were observed at failure in the two </w:t>
      </w:r>
      <w:r w:rsidR="00F04F0A" w:rsidRPr="008A0A30">
        <w:t>patients</w:t>
      </w:r>
      <w:r w:rsidRPr="008A0A30">
        <w:t>.</w:t>
      </w:r>
    </w:p>
    <w:p w:rsidR="00DE55FA" w:rsidRPr="008A0A30" w:rsidRDefault="00DE55FA" w:rsidP="00FC3767">
      <w:r w:rsidRPr="008A0A30">
        <w:t xml:space="preserve">Of the 10 genotype 3 virologic failure </w:t>
      </w:r>
      <w:r w:rsidR="00F04F0A" w:rsidRPr="008A0A30">
        <w:t>patients</w:t>
      </w:r>
      <w:r w:rsidRPr="008A0A30">
        <w:t xml:space="preserve">, Y93H was observed in all 10 </w:t>
      </w:r>
      <w:r w:rsidR="00F04F0A" w:rsidRPr="008A0A30">
        <w:t>patients</w:t>
      </w:r>
      <w:r w:rsidRPr="008A0A30">
        <w:t xml:space="preserve"> at failure (6 had Y93H emerge post-treatment and 4 </w:t>
      </w:r>
      <w:r w:rsidR="00912A65" w:rsidRPr="008A0A30">
        <w:t>patients</w:t>
      </w:r>
      <w:r w:rsidRPr="008A0A30">
        <w:t xml:space="preserve"> had Y93H at baseline and post-treatment). No NS5B NI RAVs were observed at failure in the </w:t>
      </w:r>
      <w:r w:rsidR="00F04F0A" w:rsidRPr="008A0A30">
        <w:t>10</w:t>
      </w:r>
      <w:r w:rsidRPr="008A0A30">
        <w:t xml:space="preserve"> </w:t>
      </w:r>
      <w:r w:rsidR="00F04F0A" w:rsidRPr="008A0A30">
        <w:t>patients</w:t>
      </w:r>
      <w:r w:rsidRPr="008A0A30">
        <w:t>.</w:t>
      </w:r>
    </w:p>
    <w:p w:rsidR="00EE7A31" w:rsidRPr="008A0A30" w:rsidRDefault="00EE7A31" w:rsidP="00FC3767">
      <w:pPr>
        <w:pStyle w:val="Heading4"/>
      </w:pPr>
      <w:r w:rsidRPr="008A0A30">
        <w:t xml:space="preserve">Studies in </w:t>
      </w:r>
      <w:r w:rsidR="00912A65" w:rsidRPr="008A0A30">
        <w:t>Patients</w:t>
      </w:r>
      <w:r w:rsidRPr="008A0A30">
        <w:t xml:space="preserve"> with Decompensated Cirrhosis</w:t>
      </w:r>
    </w:p>
    <w:p w:rsidR="00EE7A31" w:rsidRPr="008A0A30" w:rsidRDefault="00EE7A31" w:rsidP="00FC3767">
      <w:r w:rsidRPr="008A0A30">
        <w:t>In the ASTRA</w:t>
      </w:r>
      <w:r w:rsidRPr="008A0A30">
        <w:rPr>
          <w:spacing w:val="-2"/>
        </w:rPr>
        <w:t>L</w:t>
      </w:r>
      <w:r w:rsidRPr="008A0A30">
        <w:rPr>
          <w:spacing w:val="-1"/>
        </w:rPr>
        <w:t>-</w:t>
      </w:r>
      <w:r w:rsidRPr="008A0A30">
        <w:t xml:space="preserve">4 </w:t>
      </w:r>
      <w:r w:rsidR="008B6AAF" w:rsidRPr="008A0A30">
        <w:t>trial</w:t>
      </w:r>
      <w:r w:rsidR="00C736B9" w:rsidRPr="008A0A30">
        <w:t xml:space="preserve">, </w:t>
      </w:r>
      <w:r w:rsidRPr="008A0A30">
        <w:t xml:space="preserve">in patients with decompensated cirrhosis who received </w:t>
      </w:r>
      <w:r w:rsidR="00C3685A">
        <w:t>EPCLUSA</w:t>
      </w:r>
      <w:r w:rsidRPr="008A0A30">
        <w:rPr>
          <w:spacing w:val="1"/>
        </w:rPr>
        <w:t xml:space="preserve"> </w:t>
      </w:r>
      <w:r w:rsidRPr="008A0A30">
        <w:t xml:space="preserve">+ </w:t>
      </w:r>
      <w:r w:rsidR="00BC7183" w:rsidRPr="008A0A30">
        <w:t>ribavirin (</w:t>
      </w:r>
      <w:r w:rsidRPr="008A0A30">
        <w:t>RBV</w:t>
      </w:r>
      <w:r w:rsidR="00BC7183" w:rsidRPr="008A0A30">
        <w:t>)</w:t>
      </w:r>
      <w:r w:rsidRPr="008A0A30">
        <w:t xml:space="preserve"> for 12 weeks, </w:t>
      </w:r>
      <w:r w:rsidR="00C46648" w:rsidRPr="008A0A30">
        <w:t>3</w:t>
      </w:r>
      <w:r w:rsidRPr="008A0A30">
        <w:t xml:space="preserve"> </w:t>
      </w:r>
      <w:r w:rsidR="007F02A5" w:rsidRPr="008A0A30">
        <w:t>patients</w:t>
      </w:r>
      <w:r w:rsidRPr="008A0A30">
        <w:t xml:space="preserve"> (1 with geno</w:t>
      </w:r>
      <w:r w:rsidRPr="008A0A30">
        <w:rPr>
          <w:spacing w:val="5"/>
        </w:rPr>
        <w:t>t</w:t>
      </w:r>
      <w:r w:rsidRPr="008A0A30">
        <w:t>ype 1 and 2 with genotype 3) qualified for resistance ana</w:t>
      </w:r>
      <w:r w:rsidRPr="008A0A30">
        <w:rPr>
          <w:spacing w:val="5"/>
        </w:rPr>
        <w:t>l</w:t>
      </w:r>
      <w:r w:rsidRPr="008A0A30">
        <w:rPr>
          <w:spacing w:val="-5"/>
        </w:rPr>
        <w:t>y</w:t>
      </w:r>
      <w:r w:rsidRPr="008A0A30">
        <w:t>sis due to virologic failure.</w:t>
      </w:r>
      <w:r w:rsidR="00FC3767">
        <w:t xml:space="preserve"> </w:t>
      </w:r>
      <w:r w:rsidRPr="008A0A30">
        <w:t xml:space="preserve">No </w:t>
      </w:r>
      <w:r w:rsidR="007F02A5" w:rsidRPr="008A0A30">
        <w:t>patients</w:t>
      </w:r>
      <w:r w:rsidRPr="008A0A30">
        <w:t xml:space="preserve"> with geno</w:t>
      </w:r>
      <w:r w:rsidRPr="008A0A30">
        <w:rPr>
          <w:spacing w:val="5"/>
        </w:rPr>
        <w:t>t</w:t>
      </w:r>
      <w:r w:rsidRPr="008A0A30">
        <w:rPr>
          <w:spacing w:val="-5"/>
        </w:rPr>
        <w:t>y</w:t>
      </w:r>
      <w:r w:rsidRPr="008A0A30">
        <w:rPr>
          <w:spacing w:val="2"/>
        </w:rPr>
        <w:t>p</w:t>
      </w:r>
      <w:r w:rsidRPr="008A0A30">
        <w:t xml:space="preserve">e 2 or 4 HCV infection in the </w:t>
      </w:r>
      <w:r w:rsidR="00C3685A">
        <w:t>EPCLUSA</w:t>
      </w:r>
      <w:r w:rsidRPr="008A0A30">
        <w:t xml:space="preserve"> + RBV 12 Weeks group experienced virologic failure.</w:t>
      </w:r>
    </w:p>
    <w:p w:rsidR="00FC3767" w:rsidRDefault="00EE7A31" w:rsidP="00FC3767">
      <w:r w:rsidRPr="008A0A30">
        <w:t xml:space="preserve">The </w:t>
      </w:r>
      <w:r w:rsidR="00C46648" w:rsidRPr="008A0A30">
        <w:t>1</w:t>
      </w:r>
      <w:r w:rsidRPr="008A0A30">
        <w:t xml:space="preserve"> virologic failure </w:t>
      </w:r>
      <w:r w:rsidR="007F02A5" w:rsidRPr="008A0A30">
        <w:t>patient</w:t>
      </w:r>
      <w:r w:rsidRPr="008A0A30">
        <w:t xml:space="preserve"> with genot</w:t>
      </w:r>
      <w:r w:rsidRPr="008A0A30">
        <w:rPr>
          <w:spacing w:val="-5"/>
        </w:rPr>
        <w:t>y</w:t>
      </w:r>
      <w:r w:rsidRPr="008A0A30">
        <w:t>pe 1 HCV had</w:t>
      </w:r>
      <w:r w:rsidR="007F02A5" w:rsidRPr="008A0A30">
        <w:t xml:space="preserve"> </w:t>
      </w:r>
      <w:r w:rsidRPr="008A0A30">
        <w:t>no NS5A or NS5B RAVs at failure.</w:t>
      </w:r>
    </w:p>
    <w:p w:rsidR="00EE7A31" w:rsidRPr="008A0A30" w:rsidRDefault="00EE7A31" w:rsidP="00FC3767">
      <w:r w:rsidRPr="008A0A30">
        <w:t xml:space="preserve">Of the </w:t>
      </w:r>
      <w:r w:rsidR="00C46648" w:rsidRPr="008A0A30">
        <w:t>2</w:t>
      </w:r>
      <w:r w:rsidRPr="008A0A30">
        <w:t xml:space="preserve"> geno</w:t>
      </w:r>
      <w:r w:rsidRPr="008A0A30">
        <w:rPr>
          <w:spacing w:val="5"/>
        </w:rPr>
        <w:t>t</w:t>
      </w:r>
      <w:r w:rsidRPr="008A0A30">
        <w:t xml:space="preserve">ype 3 virologic failure </w:t>
      </w:r>
      <w:r w:rsidR="00C736B9" w:rsidRPr="008A0A30">
        <w:t>patients</w:t>
      </w:r>
      <w:r w:rsidRPr="008A0A30">
        <w:t xml:space="preserve">, one had NS5A RAV Y93H emerge at failure. Another </w:t>
      </w:r>
      <w:r w:rsidR="00C736B9" w:rsidRPr="008A0A30">
        <w:t>patient</w:t>
      </w:r>
      <w:r w:rsidRPr="008A0A30">
        <w:t xml:space="preserve"> had virus with Y93H at baseline and virologic failure and also</w:t>
      </w:r>
      <w:r w:rsidRPr="008A0A30">
        <w:rPr>
          <w:spacing w:val="-1"/>
        </w:rPr>
        <w:t xml:space="preserve"> </w:t>
      </w:r>
      <w:r w:rsidRPr="008A0A30">
        <w:t xml:space="preserve">developed low levels (&lt;5%) of NS5B NI RAVs N142T and E237G at failure. Pharmacokinetic data from this </w:t>
      </w:r>
      <w:r w:rsidR="00C736B9" w:rsidRPr="008A0A30">
        <w:t>patient</w:t>
      </w:r>
      <w:r w:rsidRPr="008A0A30">
        <w:t xml:space="preserve"> was consistent with non</w:t>
      </w:r>
      <w:r w:rsidRPr="008A0A30">
        <w:rPr>
          <w:spacing w:val="-1"/>
        </w:rPr>
        <w:t>-</w:t>
      </w:r>
      <w:r w:rsidRPr="008A0A30">
        <w:t>adherence.</w:t>
      </w:r>
    </w:p>
    <w:p w:rsidR="00EE7A31" w:rsidRDefault="00EE7A31" w:rsidP="00FC3767">
      <w:r w:rsidRPr="008A0A30">
        <w:t>In the ASTRA</w:t>
      </w:r>
      <w:r w:rsidRPr="008A0A30">
        <w:rPr>
          <w:spacing w:val="-2"/>
        </w:rPr>
        <w:t>L</w:t>
      </w:r>
      <w:r w:rsidRPr="008A0A30">
        <w:rPr>
          <w:spacing w:val="-1"/>
        </w:rPr>
        <w:t>-</w:t>
      </w:r>
      <w:r w:rsidRPr="008A0A30">
        <w:t xml:space="preserve">4 </w:t>
      </w:r>
      <w:r w:rsidR="008B6AAF" w:rsidRPr="008A0A30">
        <w:t>trial</w:t>
      </w:r>
      <w:r w:rsidR="00C736B9" w:rsidRPr="008A0A30">
        <w:t xml:space="preserve">, </w:t>
      </w:r>
      <w:r w:rsidR="00C46648" w:rsidRPr="008A0A30">
        <w:t>2</w:t>
      </w:r>
      <w:r w:rsidR="00C736B9" w:rsidRPr="008A0A30">
        <w:t xml:space="preserve"> </w:t>
      </w:r>
      <w:r w:rsidR="00373383" w:rsidRPr="008A0A30">
        <w:t>patients</w:t>
      </w:r>
      <w:r w:rsidR="00C736B9" w:rsidRPr="008A0A30">
        <w:t xml:space="preserve"> treated with </w:t>
      </w:r>
      <w:r w:rsidR="00C3685A">
        <w:t>EPCLUSA</w:t>
      </w:r>
      <w:r w:rsidR="00C736B9" w:rsidRPr="008A0A30">
        <w:t xml:space="preserve"> </w:t>
      </w:r>
      <w:r w:rsidRPr="008A0A30">
        <w:t xml:space="preserve">for 12 or 24 weeks without </w:t>
      </w:r>
      <w:r w:rsidR="00373383" w:rsidRPr="008A0A30">
        <w:t>ribavirin</w:t>
      </w:r>
      <w:r w:rsidRPr="008A0A30">
        <w:t xml:space="preserve"> had emergent </w:t>
      </w:r>
      <w:r w:rsidRPr="008A0A30">
        <w:rPr>
          <w:spacing w:val="1"/>
        </w:rPr>
        <w:t>N</w:t>
      </w:r>
      <w:r w:rsidRPr="008A0A30">
        <w:t xml:space="preserve">S5B S282T at low levels (&lt;5%) along with </w:t>
      </w:r>
      <w:r w:rsidRPr="008A0A30">
        <w:rPr>
          <w:spacing w:val="-5"/>
        </w:rPr>
        <w:t>L</w:t>
      </w:r>
      <w:r w:rsidRPr="008A0A30">
        <w:t>159F.</w:t>
      </w:r>
    </w:p>
    <w:p w:rsidR="00373383" w:rsidRPr="008A0A30" w:rsidRDefault="00373383" w:rsidP="00FC3767">
      <w:pPr>
        <w:pStyle w:val="Heading2"/>
      </w:pPr>
      <w:r w:rsidRPr="008A0A30">
        <w:lastRenderedPageBreak/>
        <w:t>Ef</w:t>
      </w:r>
      <w:r w:rsidR="00B533D7">
        <w:t xml:space="preserve">fect of Baseline HCV Resistance </w:t>
      </w:r>
      <w:r w:rsidRPr="008A0A30">
        <w:t>Associated Variants on Treatment Outcome</w:t>
      </w:r>
    </w:p>
    <w:p w:rsidR="00373383" w:rsidRPr="00003AC8" w:rsidRDefault="00373383" w:rsidP="00003AC8">
      <w:pPr>
        <w:pStyle w:val="Heading3"/>
        <w:rPr>
          <w:b w:val="0"/>
          <w:u w:val="single"/>
        </w:rPr>
      </w:pPr>
      <w:r w:rsidRPr="00003AC8">
        <w:rPr>
          <w:b w:val="0"/>
          <w:u w:val="single"/>
        </w:rPr>
        <w:t xml:space="preserve">Studies in </w:t>
      </w:r>
      <w:r w:rsidR="00912A65" w:rsidRPr="00003AC8">
        <w:rPr>
          <w:b w:val="0"/>
          <w:u w:val="single"/>
        </w:rPr>
        <w:t>Patients</w:t>
      </w:r>
      <w:r w:rsidRPr="00003AC8">
        <w:rPr>
          <w:b w:val="0"/>
          <w:u w:val="single"/>
        </w:rPr>
        <w:t xml:space="preserve"> without Cirrhosis and </w:t>
      </w:r>
      <w:r w:rsidR="00912A65" w:rsidRPr="00003AC8">
        <w:rPr>
          <w:b w:val="0"/>
          <w:u w:val="single"/>
        </w:rPr>
        <w:t>Patients</w:t>
      </w:r>
      <w:r w:rsidRPr="00003AC8">
        <w:rPr>
          <w:b w:val="0"/>
          <w:u w:val="single"/>
        </w:rPr>
        <w:t xml:space="preserve"> with Compensated Cirrhosis</w:t>
      </w:r>
    </w:p>
    <w:p w:rsidR="00373383" w:rsidRPr="008A0A30" w:rsidRDefault="00373383" w:rsidP="00FC3767">
      <w:pPr>
        <w:rPr>
          <w:szCs w:val="24"/>
        </w:rPr>
      </w:pPr>
      <w:r w:rsidRPr="008A0A30">
        <w:rPr>
          <w:szCs w:val="24"/>
        </w:rPr>
        <w:t>Anal</w:t>
      </w:r>
      <w:r w:rsidRPr="008A0A30">
        <w:rPr>
          <w:spacing w:val="-5"/>
          <w:szCs w:val="24"/>
        </w:rPr>
        <w:t>y</w:t>
      </w:r>
      <w:r w:rsidRPr="008A0A30">
        <w:rPr>
          <w:szCs w:val="24"/>
        </w:rPr>
        <w:t>ses were conducted to explore the association between pr</w:t>
      </w:r>
      <w:r w:rsidRPr="008A0A30">
        <w:rPr>
          <w:spacing w:val="-1"/>
          <w:szCs w:val="24"/>
        </w:rPr>
        <w:t>e</w:t>
      </w:r>
      <w:r w:rsidRPr="008A0A30">
        <w:rPr>
          <w:spacing w:val="2"/>
          <w:szCs w:val="24"/>
        </w:rPr>
        <w:t>-</w:t>
      </w:r>
      <w:r w:rsidRPr="008A0A30">
        <w:rPr>
          <w:szCs w:val="24"/>
        </w:rPr>
        <w:t>existing baseline NS5A RAVs and treatment outcome for patients without cirrhosis or with compensated cirrhosis (ASTRA</w:t>
      </w:r>
      <w:r w:rsidRPr="008A0A30">
        <w:rPr>
          <w:spacing w:val="-5"/>
          <w:szCs w:val="24"/>
        </w:rPr>
        <w:t>L</w:t>
      </w:r>
      <w:r w:rsidRPr="008A0A30">
        <w:rPr>
          <w:spacing w:val="-1"/>
          <w:szCs w:val="24"/>
        </w:rPr>
        <w:t>-</w:t>
      </w:r>
      <w:r w:rsidRPr="008A0A30">
        <w:rPr>
          <w:szCs w:val="24"/>
        </w:rPr>
        <w:t>1,</w:t>
      </w:r>
      <w:r w:rsidRPr="008A0A30">
        <w:rPr>
          <w:spacing w:val="1"/>
          <w:szCs w:val="24"/>
        </w:rPr>
        <w:t xml:space="preserve"> </w:t>
      </w:r>
      <w:r w:rsidRPr="008A0A30">
        <w:rPr>
          <w:szCs w:val="24"/>
        </w:rPr>
        <w:t>ASTRA</w:t>
      </w:r>
      <w:r w:rsidRPr="008A0A30">
        <w:rPr>
          <w:spacing w:val="-2"/>
          <w:szCs w:val="24"/>
        </w:rPr>
        <w:t>L</w:t>
      </w:r>
      <w:r w:rsidRPr="008A0A30">
        <w:rPr>
          <w:spacing w:val="-1"/>
          <w:szCs w:val="24"/>
        </w:rPr>
        <w:t>-</w:t>
      </w:r>
      <w:r w:rsidRPr="008A0A30">
        <w:rPr>
          <w:szCs w:val="24"/>
        </w:rPr>
        <w:t>2</w:t>
      </w:r>
      <w:r w:rsidR="00FE6F5B">
        <w:rPr>
          <w:szCs w:val="24"/>
        </w:rPr>
        <w:t>,</w:t>
      </w:r>
      <w:r w:rsidRPr="008A0A30">
        <w:rPr>
          <w:spacing w:val="1"/>
          <w:szCs w:val="24"/>
        </w:rPr>
        <w:t xml:space="preserve"> </w:t>
      </w:r>
      <w:r w:rsidRPr="008A0A30">
        <w:rPr>
          <w:szCs w:val="24"/>
        </w:rPr>
        <w:t>and</w:t>
      </w:r>
      <w:r w:rsidRPr="008A0A30">
        <w:rPr>
          <w:spacing w:val="1"/>
          <w:szCs w:val="24"/>
        </w:rPr>
        <w:t xml:space="preserve"> </w:t>
      </w:r>
      <w:r w:rsidRPr="008A0A30">
        <w:rPr>
          <w:szCs w:val="24"/>
        </w:rPr>
        <w:t>ASTRA</w:t>
      </w:r>
      <w:r w:rsidRPr="008A0A30">
        <w:rPr>
          <w:spacing w:val="-3"/>
          <w:szCs w:val="24"/>
        </w:rPr>
        <w:t>L</w:t>
      </w:r>
      <w:r w:rsidRPr="008A0A30">
        <w:rPr>
          <w:spacing w:val="-1"/>
          <w:szCs w:val="24"/>
        </w:rPr>
        <w:t>-</w:t>
      </w:r>
      <w:r w:rsidRPr="008A0A30">
        <w:rPr>
          <w:szCs w:val="24"/>
        </w:rPr>
        <w:t xml:space="preserve">3). Of the 1035 </w:t>
      </w:r>
      <w:r w:rsidR="00912A65" w:rsidRPr="008A0A30">
        <w:rPr>
          <w:szCs w:val="24"/>
        </w:rPr>
        <w:t>patients</w:t>
      </w:r>
      <w:r w:rsidRPr="008A0A30">
        <w:rPr>
          <w:szCs w:val="24"/>
        </w:rPr>
        <w:t xml:space="preserve"> treated with </w:t>
      </w:r>
      <w:r w:rsidR="00C3685A">
        <w:rPr>
          <w:szCs w:val="24"/>
        </w:rPr>
        <w:t>EPCLUSA</w:t>
      </w:r>
      <w:r w:rsidRPr="008A0A30">
        <w:rPr>
          <w:szCs w:val="24"/>
        </w:rPr>
        <w:t xml:space="preserve"> in the ASTRA</w:t>
      </w:r>
      <w:r w:rsidRPr="008A0A30">
        <w:rPr>
          <w:spacing w:val="-5"/>
          <w:szCs w:val="24"/>
        </w:rPr>
        <w:t>L</w:t>
      </w:r>
      <w:r w:rsidRPr="008A0A30">
        <w:rPr>
          <w:spacing w:val="-1"/>
          <w:szCs w:val="24"/>
        </w:rPr>
        <w:t>-</w:t>
      </w:r>
      <w:r w:rsidRPr="008A0A30">
        <w:rPr>
          <w:spacing w:val="1"/>
          <w:szCs w:val="24"/>
        </w:rPr>
        <w:t>1</w:t>
      </w:r>
      <w:r w:rsidRPr="008A0A30">
        <w:rPr>
          <w:szCs w:val="24"/>
        </w:rPr>
        <w:t>,</w:t>
      </w:r>
      <w:r w:rsidRPr="008A0A30">
        <w:rPr>
          <w:spacing w:val="1"/>
          <w:szCs w:val="24"/>
        </w:rPr>
        <w:t xml:space="preserve"> ASTRA</w:t>
      </w:r>
      <w:r w:rsidRPr="008A0A30">
        <w:rPr>
          <w:spacing w:val="-2"/>
          <w:szCs w:val="24"/>
        </w:rPr>
        <w:t>L</w:t>
      </w:r>
      <w:r w:rsidRPr="008A0A30">
        <w:rPr>
          <w:spacing w:val="-1"/>
          <w:szCs w:val="24"/>
        </w:rPr>
        <w:t>-</w:t>
      </w:r>
      <w:r w:rsidRPr="008A0A30">
        <w:rPr>
          <w:szCs w:val="24"/>
        </w:rPr>
        <w:t>2</w:t>
      </w:r>
      <w:r w:rsidR="00E530A0">
        <w:rPr>
          <w:szCs w:val="24"/>
        </w:rPr>
        <w:t>,</w:t>
      </w:r>
      <w:r w:rsidRPr="008A0A30">
        <w:rPr>
          <w:szCs w:val="24"/>
        </w:rPr>
        <w:t xml:space="preserve"> and ASTRA</w:t>
      </w:r>
      <w:r w:rsidRPr="008A0A30">
        <w:rPr>
          <w:spacing w:val="-3"/>
          <w:szCs w:val="24"/>
        </w:rPr>
        <w:t>L</w:t>
      </w:r>
      <w:r w:rsidRPr="008A0A30">
        <w:rPr>
          <w:spacing w:val="-1"/>
          <w:szCs w:val="24"/>
        </w:rPr>
        <w:t>-</w:t>
      </w:r>
      <w:r w:rsidRPr="008A0A30">
        <w:rPr>
          <w:szCs w:val="24"/>
        </w:rPr>
        <w:t xml:space="preserve">3 </w:t>
      </w:r>
      <w:r w:rsidR="008B6AAF" w:rsidRPr="008A0A30">
        <w:rPr>
          <w:szCs w:val="24"/>
        </w:rPr>
        <w:t>trials</w:t>
      </w:r>
      <w:r w:rsidRPr="008A0A30">
        <w:rPr>
          <w:szCs w:val="24"/>
        </w:rPr>
        <w:t xml:space="preserve">, 1023 patients were included in the analysis of NS5A RAVs; 7 </w:t>
      </w:r>
      <w:r w:rsidR="00912A65" w:rsidRPr="008A0A30">
        <w:rPr>
          <w:szCs w:val="24"/>
        </w:rPr>
        <w:t>patients</w:t>
      </w:r>
      <w:r w:rsidRPr="008A0A30">
        <w:rPr>
          <w:szCs w:val="24"/>
        </w:rPr>
        <w:t xml:space="preserve"> were excluded as they</w:t>
      </w:r>
      <w:r w:rsidRPr="008A0A30">
        <w:rPr>
          <w:spacing w:val="-4"/>
          <w:szCs w:val="24"/>
        </w:rPr>
        <w:t xml:space="preserve"> </w:t>
      </w:r>
      <w:r w:rsidRPr="008A0A30">
        <w:rPr>
          <w:szCs w:val="24"/>
        </w:rPr>
        <w:t xml:space="preserve">neither achieved </w:t>
      </w:r>
      <w:r w:rsidR="00D63CC1" w:rsidRPr="008A0A30">
        <w:rPr>
          <w:szCs w:val="24"/>
        </w:rPr>
        <w:t>sustained virologic response (</w:t>
      </w:r>
      <w:r w:rsidRPr="008A0A30">
        <w:rPr>
          <w:szCs w:val="24"/>
        </w:rPr>
        <w:t>SVR12</w:t>
      </w:r>
      <w:r w:rsidR="00D63CC1" w:rsidRPr="008A0A30">
        <w:rPr>
          <w:szCs w:val="24"/>
        </w:rPr>
        <w:t>)</w:t>
      </w:r>
      <w:r w:rsidRPr="008A0A30">
        <w:rPr>
          <w:szCs w:val="24"/>
        </w:rPr>
        <w:t xml:space="preserve"> nor had virologic failure and 5 additional </w:t>
      </w:r>
      <w:r w:rsidR="00912A65" w:rsidRPr="008A0A30">
        <w:rPr>
          <w:szCs w:val="24"/>
        </w:rPr>
        <w:t>patients</w:t>
      </w:r>
      <w:r w:rsidRPr="008A0A30">
        <w:rPr>
          <w:szCs w:val="24"/>
        </w:rPr>
        <w:t xml:space="preserve"> were excluded as NS5A gene sequencing failed. In the pooled ana</w:t>
      </w:r>
      <w:r w:rsidRPr="008A0A30">
        <w:rPr>
          <w:spacing w:val="5"/>
          <w:szCs w:val="24"/>
        </w:rPr>
        <w:t>l</w:t>
      </w:r>
      <w:r w:rsidRPr="008A0A30">
        <w:rPr>
          <w:spacing w:val="-5"/>
          <w:szCs w:val="24"/>
        </w:rPr>
        <w:t>y</w:t>
      </w:r>
      <w:r w:rsidRPr="008A0A30">
        <w:rPr>
          <w:szCs w:val="24"/>
        </w:rPr>
        <w:t xml:space="preserve">sis of the Phase 3 trials, 380/1023 (37%) </w:t>
      </w:r>
      <w:r w:rsidR="00912A65" w:rsidRPr="008A0A30">
        <w:rPr>
          <w:szCs w:val="24"/>
        </w:rPr>
        <w:t>patient</w:t>
      </w:r>
      <w:r w:rsidRPr="008A0A30">
        <w:rPr>
          <w:szCs w:val="24"/>
        </w:rPr>
        <w:t>s’ virus had baseline NS5A RAVs. Genot</w:t>
      </w:r>
      <w:r w:rsidRPr="008A0A30">
        <w:rPr>
          <w:spacing w:val="-4"/>
          <w:szCs w:val="24"/>
        </w:rPr>
        <w:t>y</w:t>
      </w:r>
      <w:r w:rsidRPr="008A0A30">
        <w:rPr>
          <w:szCs w:val="24"/>
        </w:rPr>
        <w:t xml:space="preserve">pe 2, 4, and 6 HCV infected </w:t>
      </w:r>
      <w:r w:rsidR="00912A65" w:rsidRPr="008A0A30">
        <w:rPr>
          <w:szCs w:val="24"/>
        </w:rPr>
        <w:t>patients</w:t>
      </w:r>
      <w:r w:rsidRPr="008A0A30">
        <w:rPr>
          <w:szCs w:val="24"/>
        </w:rPr>
        <w:t xml:space="preserve"> had a higher prevalence of NS5A RAVs (70%, 63%</w:t>
      </w:r>
      <w:r w:rsidR="00FE6F5B">
        <w:rPr>
          <w:szCs w:val="24"/>
        </w:rPr>
        <w:t>,</w:t>
      </w:r>
      <w:r w:rsidRPr="008A0A30">
        <w:rPr>
          <w:szCs w:val="24"/>
        </w:rPr>
        <w:t xml:space="preserve"> and 52%, respectively) compared to geno</w:t>
      </w:r>
      <w:r w:rsidRPr="008A0A30">
        <w:rPr>
          <w:spacing w:val="4"/>
          <w:szCs w:val="24"/>
        </w:rPr>
        <w:t>t</w:t>
      </w:r>
      <w:r w:rsidRPr="008A0A30">
        <w:rPr>
          <w:szCs w:val="24"/>
        </w:rPr>
        <w:t>ype</w:t>
      </w:r>
      <w:r w:rsidRPr="008A0A30">
        <w:rPr>
          <w:spacing w:val="-1"/>
          <w:szCs w:val="24"/>
        </w:rPr>
        <w:t xml:space="preserve"> </w:t>
      </w:r>
      <w:r w:rsidRPr="008A0A30">
        <w:rPr>
          <w:szCs w:val="24"/>
        </w:rPr>
        <w:t>1</w:t>
      </w:r>
      <w:r w:rsidRPr="008A0A30">
        <w:rPr>
          <w:spacing w:val="-1"/>
          <w:szCs w:val="24"/>
        </w:rPr>
        <w:t xml:space="preserve"> </w:t>
      </w:r>
      <w:r w:rsidRPr="008A0A30">
        <w:rPr>
          <w:szCs w:val="24"/>
        </w:rPr>
        <w:t>(23%),</w:t>
      </w:r>
      <w:r w:rsidRPr="008A0A30">
        <w:rPr>
          <w:spacing w:val="-1"/>
          <w:szCs w:val="24"/>
        </w:rPr>
        <w:t xml:space="preserve"> </w:t>
      </w:r>
      <w:r w:rsidRPr="008A0A30">
        <w:rPr>
          <w:szCs w:val="24"/>
        </w:rPr>
        <w:t>geno</w:t>
      </w:r>
      <w:r w:rsidRPr="008A0A30">
        <w:rPr>
          <w:spacing w:val="5"/>
          <w:szCs w:val="24"/>
        </w:rPr>
        <w:t>t</w:t>
      </w:r>
      <w:r w:rsidRPr="008A0A30">
        <w:rPr>
          <w:spacing w:val="-5"/>
          <w:szCs w:val="24"/>
        </w:rPr>
        <w:t>y</w:t>
      </w:r>
      <w:r w:rsidRPr="008A0A30">
        <w:rPr>
          <w:spacing w:val="2"/>
          <w:szCs w:val="24"/>
        </w:rPr>
        <w:t>p</w:t>
      </w:r>
      <w:r w:rsidRPr="008A0A30">
        <w:rPr>
          <w:szCs w:val="24"/>
        </w:rPr>
        <w:t>e 3 (16%), and geno</w:t>
      </w:r>
      <w:r w:rsidRPr="008A0A30">
        <w:rPr>
          <w:spacing w:val="5"/>
          <w:szCs w:val="24"/>
        </w:rPr>
        <w:t>t</w:t>
      </w:r>
      <w:r w:rsidRPr="008A0A30">
        <w:rPr>
          <w:spacing w:val="-1"/>
          <w:szCs w:val="24"/>
        </w:rPr>
        <w:t>yp</w:t>
      </w:r>
      <w:r w:rsidRPr="008A0A30">
        <w:rPr>
          <w:szCs w:val="24"/>
        </w:rPr>
        <w:t>e</w:t>
      </w:r>
      <w:r w:rsidRPr="008A0A30">
        <w:rPr>
          <w:spacing w:val="-2"/>
          <w:szCs w:val="24"/>
        </w:rPr>
        <w:t xml:space="preserve"> </w:t>
      </w:r>
      <w:r w:rsidRPr="008A0A30">
        <w:rPr>
          <w:szCs w:val="24"/>
        </w:rPr>
        <w:t>5</w:t>
      </w:r>
      <w:r w:rsidRPr="008A0A30">
        <w:rPr>
          <w:spacing w:val="-1"/>
          <w:szCs w:val="24"/>
        </w:rPr>
        <w:t xml:space="preserve"> </w:t>
      </w:r>
      <w:r w:rsidRPr="008A0A30">
        <w:rPr>
          <w:szCs w:val="24"/>
        </w:rPr>
        <w:t xml:space="preserve">(18%) HCV infected </w:t>
      </w:r>
      <w:r w:rsidR="00C55B4A" w:rsidRPr="008A0A30">
        <w:rPr>
          <w:szCs w:val="24"/>
        </w:rPr>
        <w:t>patients</w:t>
      </w:r>
      <w:r w:rsidRPr="008A0A30">
        <w:rPr>
          <w:szCs w:val="24"/>
        </w:rPr>
        <w:t>.</w:t>
      </w:r>
    </w:p>
    <w:p w:rsidR="00373383" w:rsidRPr="008A0A30" w:rsidRDefault="00373383" w:rsidP="00FC3767">
      <w:pPr>
        <w:rPr>
          <w:szCs w:val="24"/>
        </w:rPr>
      </w:pPr>
      <w:r w:rsidRPr="008A0A30">
        <w:rPr>
          <w:szCs w:val="24"/>
        </w:rPr>
        <w:t xml:space="preserve">SVR12 in </w:t>
      </w:r>
      <w:r w:rsidR="00C55B4A" w:rsidRPr="008A0A30">
        <w:rPr>
          <w:szCs w:val="24"/>
        </w:rPr>
        <w:t>patients</w:t>
      </w:r>
      <w:r w:rsidRPr="008A0A30">
        <w:rPr>
          <w:szCs w:val="24"/>
        </w:rPr>
        <w:t xml:space="preserve"> with or without baseline NS5A RAVs in ASTRA</w:t>
      </w:r>
      <w:r w:rsidRPr="008A0A30">
        <w:rPr>
          <w:spacing w:val="-4"/>
          <w:szCs w:val="24"/>
        </w:rPr>
        <w:t>L</w:t>
      </w:r>
      <w:r w:rsidRPr="008A0A30">
        <w:rPr>
          <w:spacing w:val="-1"/>
          <w:szCs w:val="24"/>
        </w:rPr>
        <w:t>-</w:t>
      </w:r>
      <w:r w:rsidRPr="008A0A30">
        <w:rPr>
          <w:spacing w:val="1"/>
          <w:szCs w:val="24"/>
        </w:rPr>
        <w:t>1</w:t>
      </w:r>
      <w:r w:rsidRPr="008A0A30">
        <w:rPr>
          <w:szCs w:val="24"/>
        </w:rPr>
        <w:t>,</w:t>
      </w:r>
      <w:r w:rsidRPr="008A0A30">
        <w:rPr>
          <w:spacing w:val="1"/>
          <w:szCs w:val="24"/>
        </w:rPr>
        <w:t xml:space="preserve"> ASTRA</w:t>
      </w:r>
      <w:r w:rsidRPr="008A0A30">
        <w:rPr>
          <w:spacing w:val="-5"/>
          <w:szCs w:val="24"/>
        </w:rPr>
        <w:t>L</w:t>
      </w:r>
      <w:r w:rsidRPr="008A0A30">
        <w:rPr>
          <w:spacing w:val="-1"/>
          <w:szCs w:val="24"/>
        </w:rPr>
        <w:t>-</w:t>
      </w:r>
      <w:r w:rsidRPr="008A0A30">
        <w:rPr>
          <w:szCs w:val="24"/>
        </w:rPr>
        <w:t>2</w:t>
      </w:r>
      <w:r w:rsidR="00E530A0">
        <w:rPr>
          <w:szCs w:val="24"/>
        </w:rPr>
        <w:t>,</w:t>
      </w:r>
      <w:r w:rsidRPr="008A0A30">
        <w:rPr>
          <w:szCs w:val="24"/>
        </w:rPr>
        <w:t xml:space="preserve"> and </w:t>
      </w:r>
      <w:r w:rsidRPr="008A0A30">
        <w:rPr>
          <w:spacing w:val="1"/>
          <w:szCs w:val="24"/>
        </w:rPr>
        <w:t>ASTRA</w:t>
      </w:r>
      <w:r w:rsidRPr="008A0A30">
        <w:rPr>
          <w:spacing w:val="-5"/>
          <w:szCs w:val="24"/>
        </w:rPr>
        <w:t>L</w:t>
      </w:r>
      <w:r w:rsidRPr="008A0A30">
        <w:rPr>
          <w:spacing w:val="-1"/>
          <w:szCs w:val="24"/>
        </w:rPr>
        <w:t>-</w:t>
      </w:r>
      <w:r w:rsidRPr="008A0A30">
        <w:rPr>
          <w:szCs w:val="24"/>
        </w:rPr>
        <w:t xml:space="preserve">3 </w:t>
      </w:r>
      <w:r w:rsidR="008B6AAF" w:rsidRPr="008A0A30">
        <w:rPr>
          <w:szCs w:val="24"/>
        </w:rPr>
        <w:t>trials</w:t>
      </w:r>
      <w:r w:rsidRPr="008A0A30">
        <w:rPr>
          <w:szCs w:val="24"/>
        </w:rPr>
        <w:t xml:space="preserve"> is shown in </w:t>
      </w:r>
      <w:r w:rsidR="00C55B4A" w:rsidRPr="008A0A30">
        <w:rPr>
          <w:szCs w:val="24"/>
        </w:rPr>
        <w:t>Table 3</w:t>
      </w:r>
      <w:r w:rsidRPr="008A0A30">
        <w:rPr>
          <w:szCs w:val="24"/>
        </w:rPr>
        <w:t>.</w:t>
      </w:r>
    </w:p>
    <w:p w:rsidR="00D63CC1" w:rsidRPr="008A0A30" w:rsidRDefault="00003AC8" w:rsidP="00003AC8">
      <w:pPr>
        <w:pStyle w:val="Caption"/>
      </w:pPr>
      <w:r>
        <w:t xml:space="preserve">Table </w:t>
      </w:r>
      <w:fldSimple w:instr=" SEQ Table \* ARABIC ">
        <w:r w:rsidR="00D60556">
          <w:rPr>
            <w:noProof/>
          </w:rPr>
          <w:t>3</w:t>
        </w:r>
      </w:fldSimple>
      <w:r>
        <w:t xml:space="preserve">. </w:t>
      </w:r>
      <w:r w:rsidR="009661AF">
        <w:t xml:space="preserve">Studies </w:t>
      </w:r>
      <w:r w:rsidR="009661AF" w:rsidRPr="008A0A30">
        <w:t>ASTRA</w:t>
      </w:r>
      <w:r w:rsidR="009661AF" w:rsidRPr="008A0A30">
        <w:rPr>
          <w:spacing w:val="1"/>
        </w:rPr>
        <w:t>L</w:t>
      </w:r>
      <w:r w:rsidR="009661AF" w:rsidRPr="008A0A30">
        <w:rPr>
          <w:spacing w:val="-1"/>
        </w:rPr>
        <w:t>-</w:t>
      </w:r>
      <w:r w:rsidR="009661AF" w:rsidRPr="008A0A30">
        <w:t>1, ASTRA</w:t>
      </w:r>
      <w:r w:rsidR="009661AF" w:rsidRPr="008A0A30">
        <w:rPr>
          <w:spacing w:val="1"/>
        </w:rPr>
        <w:t>L</w:t>
      </w:r>
      <w:r w:rsidR="009661AF" w:rsidRPr="008A0A30">
        <w:rPr>
          <w:spacing w:val="-1"/>
        </w:rPr>
        <w:t>-</w:t>
      </w:r>
      <w:r w:rsidR="009661AF" w:rsidRPr="008A0A30">
        <w:t>2</w:t>
      </w:r>
      <w:r w:rsidR="009661AF">
        <w:t>,</w:t>
      </w:r>
      <w:r w:rsidR="009661AF" w:rsidRPr="008A0A30">
        <w:t xml:space="preserve"> and ASTRA</w:t>
      </w:r>
      <w:r w:rsidR="009661AF" w:rsidRPr="008A0A30">
        <w:rPr>
          <w:spacing w:val="1"/>
        </w:rPr>
        <w:t>L</w:t>
      </w:r>
      <w:r w:rsidR="009661AF" w:rsidRPr="008A0A30">
        <w:rPr>
          <w:spacing w:val="-1"/>
        </w:rPr>
        <w:t>-</w:t>
      </w:r>
      <w:r w:rsidR="009661AF" w:rsidRPr="008A0A30">
        <w:t>3</w:t>
      </w:r>
      <w:r w:rsidR="009661AF">
        <w:t xml:space="preserve">: </w:t>
      </w:r>
      <w:r w:rsidR="00D63CC1" w:rsidRPr="008A0A30">
        <w:t xml:space="preserve">SVR12 in </w:t>
      </w:r>
      <w:r w:rsidR="003432F2" w:rsidRPr="008A0A30">
        <w:t>Patients</w:t>
      </w:r>
      <w:r w:rsidR="00D63CC1" w:rsidRPr="008A0A30">
        <w:t xml:space="preserve"> With or Without Baseline NS5A RAVs by HCV Genotype</w:t>
      </w:r>
    </w:p>
    <w:tbl>
      <w:tblPr>
        <w:tblW w:w="5154" w:type="pct"/>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9"/>
        <w:gridCol w:w="1705"/>
        <w:gridCol w:w="1834"/>
        <w:gridCol w:w="2356"/>
        <w:gridCol w:w="1616"/>
      </w:tblGrid>
      <w:tr w:rsidR="007F5ABC" w:rsidRPr="008A0A30" w:rsidTr="00003AC8">
        <w:trPr>
          <w:trHeight w:hRule="exact" w:val="409"/>
          <w:tblHeader/>
          <w:jc w:val="center"/>
        </w:trPr>
        <w:tc>
          <w:tcPr>
            <w:tcW w:w="983" w:type="pct"/>
            <w:vMerge w:val="restart"/>
            <w:tcBorders>
              <w:top w:val="single" w:sz="12" w:space="0" w:color="auto"/>
              <w:left w:val="nil"/>
            </w:tcBorders>
          </w:tcPr>
          <w:p w:rsidR="00D63CC1" w:rsidRPr="008A0A30" w:rsidRDefault="00D63CC1" w:rsidP="00FC3767">
            <w:pPr>
              <w:spacing w:before="40" w:after="40"/>
            </w:pPr>
          </w:p>
        </w:tc>
        <w:tc>
          <w:tcPr>
            <w:tcW w:w="4017" w:type="pct"/>
            <w:gridSpan w:val="4"/>
            <w:tcBorders>
              <w:top w:val="single" w:sz="12" w:space="0" w:color="auto"/>
              <w:right w:val="nil"/>
            </w:tcBorders>
          </w:tcPr>
          <w:p w:rsidR="00D63CC1" w:rsidRPr="008A0A30" w:rsidRDefault="00C3685A" w:rsidP="00FC3767">
            <w:pPr>
              <w:tabs>
                <w:tab w:val="left" w:pos="7788"/>
              </w:tabs>
              <w:spacing w:before="40" w:after="40"/>
              <w:ind w:left="2630"/>
            </w:pPr>
            <w:r>
              <w:rPr>
                <w:b/>
                <w:bCs/>
              </w:rPr>
              <w:t>EPCLUSA</w:t>
            </w:r>
            <w:r w:rsidR="00D63CC1" w:rsidRPr="008A0A30">
              <w:rPr>
                <w:b/>
                <w:bCs/>
                <w:spacing w:val="-13"/>
              </w:rPr>
              <w:t xml:space="preserve"> </w:t>
            </w:r>
            <w:r w:rsidR="00D63CC1" w:rsidRPr="008A0A30">
              <w:rPr>
                <w:b/>
                <w:bCs/>
              </w:rPr>
              <w:t>12</w:t>
            </w:r>
            <w:r w:rsidR="00D63CC1" w:rsidRPr="008A0A30">
              <w:rPr>
                <w:b/>
                <w:bCs/>
                <w:spacing w:val="-1"/>
              </w:rPr>
              <w:t xml:space="preserve"> </w:t>
            </w:r>
            <w:r w:rsidR="00D63CC1" w:rsidRPr="008A0A30">
              <w:rPr>
                <w:b/>
                <w:bCs/>
                <w:w w:val="99"/>
              </w:rPr>
              <w:t>Weeks</w:t>
            </w:r>
          </w:p>
        </w:tc>
      </w:tr>
      <w:tr w:rsidR="007F5ABC" w:rsidRPr="008A0A30" w:rsidTr="00003AC8">
        <w:trPr>
          <w:trHeight w:val="393"/>
          <w:tblHeader/>
          <w:jc w:val="center"/>
        </w:trPr>
        <w:tc>
          <w:tcPr>
            <w:tcW w:w="983" w:type="pct"/>
            <w:vMerge/>
            <w:tcBorders>
              <w:left w:val="nil"/>
            </w:tcBorders>
          </w:tcPr>
          <w:p w:rsidR="00D63CC1" w:rsidRPr="008A0A30" w:rsidRDefault="00D63CC1" w:rsidP="00FC3767">
            <w:pPr>
              <w:spacing w:before="40" w:after="40"/>
            </w:pPr>
          </w:p>
        </w:tc>
        <w:tc>
          <w:tcPr>
            <w:tcW w:w="912" w:type="pct"/>
          </w:tcPr>
          <w:p w:rsidR="00D63CC1" w:rsidRPr="008A0A30" w:rsidRDefault="00D63CC1" w:rsidP="00FC3767">
            <w:pPr>
              <w:spacing w:before="40" w:after="40"/>
              <w:ind w:right="-20"/>
              <w:jc w:val="center"/>
            </w:pPr>
            <w:r w:rsidRPr="008A0A30">
              <w:rPr>
                <w:b/>
                <w:bCs/>
              </w:rPr>
              <w:t>Genotype</w:t>
            </w:r>
            <w:r w:rsidRPr="008A0A30">
              <w:rPr>
                <w:b/>
                <w:bCs/>
                <w:spacing w:val="-8"/>
              </w:rPr>
              <w:t xml:space="preserve"> </w:t>
            </w:r>
            <w:r w:rsidRPr="008A0A30">
              <w:rPr>
                <w:b/>
                <w:bCs/>
              </w:rPr>
              <w:t>1</w:t>
            </w:r>
          </w:p>
        </w:tc>
        <w:tc>
          <w:tcPr>
            <w:tcW w:w="981" w:type="pct"/>
          </w:tcPr>
          <w:p w:rsidR="00D63CC1" w:rsidRPr="008A0A30" w:rsidRDefault="00D63CC1" w:rsidP="00FC3767">
            <w:pPr>
              <w:spacing w:before="40" w:after="40"/>
              <w:ind w:right="-20"/>
              <w:jc w:val="center"/>
            </w:pPr>
            <w:r w:rsidRPr="008A0A30">
              <w:rPr>
                <w:b/>
                <w:bCs/>
              </w:rPr>
              <w:t>Genotype</w:t>
            </w:r>
            <w:r w:rsidRPr="008A0A30">
              <w:rPr>
                <w:b/>
                <w:bCs/>
                <w:spacing w:val="-8"/>
              </w:rPr>
              <w:t xml:space="preserve"> </w:t>
            </w:r>
            <w:r w:rsidRPr="008A0A30">
              <w:rPr>
                <w:b/>
                <w:bCs/>
              </w:rPr>
              <w:t>3</w:t>
            </w:r>
          </w:p>
        </w:tc>
        <w:tc>
          <w:tcPr>
            <w:tcW w:w="1260" w:type="pct"/>
          </w:tcPr>
          <w:p w:rsidR="00D63CC1" w:rsidRPr="008A0A30" w:rsidRDefault="00D63CC1" w:rsidP="00FC3767">
            <w:pPr>
              <w:spacing w:before="40" w:after="40"/>
              <w:ind w:right="-20"/>
              <w:jc w:val="center"/>
            </w:pPr>
            <w:r w:rsidRPr="008A0A30">
              <w:rPr>
                <w:b/>
                <w:bCs/>
              </w:rPr>
              <w:t>Genotype</w:t>
            </w:r>
            <w:r w:rsidRPr="008A0A30">
              <w:rPr>
                <w:b/>
                <w:bCs/>
                <w:spacing w:val="-7"/>
              </w:rPr>
              <w:t xml:space="preserve"> </w:t>
            </w:r>
            <w:r w:rsidRPr="008A0A30">
              <w:rPr>
                <w:b/>
                <w:bCs/>
              </w:rPr>
              <w:t>2, 4, 5 or</w:t>
            </w:r>
            <w:r w:rsidRPr="008A0A30">
              <w:rPr>
                <w:b/>
                <w:bCs/>
                <w:spacing w:val="-1"/>
              </w:rPr>
              <w:t xml:space="preserve"> </w:t>
            </w:r>
            <w:r w:rsidRPr="008A0A30">
              <w:rPr>
                <w:b/>
                <w:bCs/>
              </w:rPr>
              <w:t>6</w:t>
            </w:r>
          </w:p>
        </w:tc>
        <w:tc>
          <w:tcPr>
            <w:tcW w:w="864" w:type="pct"/>
            <w:tcBorders>
              <w:right w:val="nil"/>
            </w:tcBorders>
          </w:tcPr>
          <w:p w:rsidR="00D63CC1" w:rsidRPr="008A0A30" w:rsidRDefault="00D63CC1" w:rsidP="00FC3767">
            <w:pPr>
              <w:spacing w:before="40" w:after="40"/>
              <w:ind w:right="623"/>
              <w:jc w:val="center"/>
            </w:pPr>
            <w:r w:rsidRPr="008A0A30">
              <w:rPr>
                <w:b/>
                <w:bCs/>
                <w:spacing w:val="1"/>
                <w:w w:val="99"/>
              </w:rPr>
              <w:t>Total</w:t>
            </w:r>
          </w:p>
        </w:tc>
      </w:tr>
      <w:tr w:rsidR="007F5ABC" w:rsidRPr="008A0A30" w:rsidTr="00BA257A">
        <w:trPr>
          <w:trHeight w:val="387"/>
          <w:jc w:val="center"/>
        </w:trPr>
        <w:tc>
          <w:tcPr>
            <w:tcW w:w="983" w:type="pct"/>
            <w:tcBorders>
              <w:left w:val="nil"/>
            </w:tcBorders>
            <w:vAlign w:val="center"/>
          </w:tcPr>
          <w:p w:rsidR="00D63CC1" w:rsidRPr="008A0A30" w:rsidRDefault="007F5ABC" w:rsidP="00FC3767">
            <w:pPr>
              <w:spacing w:before="40" w:after="40"/>
              <w:ind w:right="-20"/>
            </w:pPr>
            <w:r w:rsidRPr="008A0A30">
              <w:t xml:space="preserve"> </w:t>
            </w:r>
            <w:r w:rsidR="00D63CC1" w:rsidRPr="008A0A30">
              <w:t>With</w:t>
            </w:r>
            <w:r w:rsidR="00D63CC1" w:rsidRPr="008A0A30">
              <w:rPr>
                <w:spacing w:val="-4"/>
              </w:rPr>
              <w:t xml:space="preserve"> </w:t>
            </w:r>
            <w:r w:rsidR="00D63CC1" w:rsidRPr="008A0A30">
              <w:t>any</w:t>
            </w:r>
            <w:r w:rsidR="00D63CC1" w:rsidRPr="008A0A30">
              <w:rPr>
                <w:spacing w:val="-3"/>
              </w:rPr>
              <w:t xml:space="preserve"> </w:t>
            </w:r>
            <w:r w:rsidR="00D63CC1" w:rsidRPr="008A0A30">
              <w:t>baseline</w:t>
            </w:r>
          </w:p>
          <w:p w:rsidR="00D63CC1" w:rsidRPr="008A0A30" w:rsidRDefault="007F5ABC" w:rsidP="00FC3767">
            <w:pPr>
              <w:spacing w:before="40" w:after="40" w:line="228" w:lineRule="exact"/>
              <w:ind w:right="-20"/>
            </w:pPr>
            <w:r w:rsidRPr="008A0A30">
              <w:t xml:space="preserve"> </w:t>
            </w:r>
            <w:r w:rsidR="00D63CC1" w:rsidRPr="008A0A30">
              <w:t>NS5A</w:t>
            </w:r>
            <w:r w:rsidR="00D63CC1" w:rsidRPr="008A0A30">
              <w:rPr>
                <w:spacing w:val="-4"/>
              </w:rPr>
              <w:t xml:space="preserve"> </w:t>
            </w:r>
            <w:r w:rsidR="00D63CC1" w:rsidRPr="008A0A30">
              <w:t>RAVs</w:t>
            </w:r>
          </w:p>
        </w:tc>
        <w:tc>
          <w:tcPr>
            <w:tcW w:w="912" w:type="pct"/>
            <w:vAlign w:val="center"/>
          </w:tcPr>
          <w:p w:rsidR="00D63CC1" w:rsidRPr="008A0A30" w:rsidRDefault="00D63CC1" w:rsidP="00FC3767">
            <w:pPr>
              <w:spacing w:before="40" w:after="40"/>
              <w:ind w:right="-20"/>
              <w:jc w:val="center"/>
            </w:pPr>
            <w:r w:rsidRPr="008A0A30">
              <w:rPr>
                <w:spacing w:val="1"/>
              </w:rPr>
              <w:t>97</w:t>
            </w:r>
            <w:r w:rsidRPr="008A0A30">
              <w:t>%</w:t>
            </w:r>
            <w:r w:rsidRPr="008A0A30">
              <w:rPr>
                <w:spacing w:val="-3"/>
              </w:rPr>
              <w:t xml:space="preserve"> </w:t>
            </w:r>
            <w:r w:rsidRPr="008A0A30">
              <w:rPr>
                <w:spacing w:val="1"/>
              </w:rPr>
              <w:t>(73/75)</w:t>
            </w:r>
          </w:p>
        </w:tc>
        <w:tc>
          <w:tcPr>
            <w:tcW w:w="981" w:type="pct"/>
            <w:vAlign w:val="center"/>
          </w:tcPr>
          <w:p w:rsidR="00D63CC1" w:rsidRPr="008A0A30" w:rsidRDefault="00D63CC1" w:rsidP="00FC3767">
            <w:pPr>
              <w:spacing w:before="40" w:after="40"/>
              <w:ind w:right="-20"/>
              <w:jc w:val="center"/>
            </w:pPr>
            <w:r w:rsidRPr="008A0A30">
              <w:rPr>
                <w:spacing w:val="1"/>
              </w:rPr>
              <w:t>88</w:t>
            </w:r>
            <w:r w:rsidRPr="008A0A30">
              <w:t>%</w:t>
            </w:r>
            <w:r w:rsidRPr="008A0A30">
              <w:rPr>
                <w:spacing w:val="-3"/>
              </w:rPr>
              <w:t xml:space="preserve"> </w:t>
            </w:r>
            <w:r w:rsidRPr="008A0A30">
              <w:rPr>
                <w:spacing w:val="1"/>
              </w:rPr>
              <w:t>(38/43)</w:t>
            </w:r>
          </w:p>
        </w:tc>
        <w:tc>
          <w:tcPr>
            <w:tcW w:w="1260" w:type="pct"/>
            <w:vAlign w:val="center"/>
          </w:tcPr>
          <w:p w:rsidR="00D63CC1" w:rsidRPr="008A0A30" w:rsidRDefault="00D63CC1" w:rsidP="00FC3767">
            <w:pPr>
              <w:spacing w:before="40" w:after="40"/>
              <w:ind w:right="-20"/>
              <w:jc w:val="center"/>
            </w:pPr>
            <w:r w:rsidRPr="008A0A30">
              <w:rPr>
                <w:spacing w:val="1"/>
              </w:rPr>
              <w:t>100</w:t>
            </w:r>
            <w:r w:rsidRPr="008A0A30">
              <w:t>%</w:t>
            </w:r>
            <w:r w:rsidRPr="008A0A30">
              <w:rPr>
                <w:spacing w:val="-4"/>
              </w:rPr>
              <w:t xml:space="preserve"> </w:t>
            </w:r>
            <w:r w:rsidRPr="008A0A30">
              <w:rPr>
                <w:spacing w:val="1"/>
              </w:rPr>
              <w:t>(262/262)</w:t>
            </w:r>
          </w:p>
        </w:tc>
        <w:tc>
          <w:tcPr>
            <w:tcW w:w="864" w:type="pct"/>
            <w:tcBorders>
              <w:right w:val="nil"/>
            </w:tcBorders>
            <w:vAlign w:val="center"/>
          </w:tcPr>
          <w:p w:rsidR="00D63CC1" w:rsidRPr="008A0A30" w:rsidRDefault="00D63CC1" w:rsidP="00FC3767">
            <w:pPr>
              <w:spacing w:before="40" w:after="40"/>
              <w:ind w:right="-20"/>
              <w:jc w:val="center"/>
            </w:pPr>
            <w:r w:rsidRPr="008A0A30">
              <w:t>98%</w:t>
            </w:r>
            <w:r w:rsidRPr="008A0A30">
              <w:rPr>
                <w:spacing w:val="-3"/>
              </w:rPr>
              <w:t xml:space="preserve"> </w:t>
            </w:r>
            <w:r w:rsidRPr="008A0A30">
              <w:t>(373/380)</w:t>
            </w:r>
          </w:p>
        </w:tc>
      </w:tr>
      <w:tr w:rsidR="007F5ABC" w:rsidRPr="008A0A30" w:rsidTr="002C43AB">
        <w:trPr>
          <w:trHeight w:val="605"/>
          <w:jc w:val="center"/>
        </w:trPr>
        <w:tc>
          <w:tcPr>
            <w:tcW w:w="983" w:type="pct"/>
            <w:tcBorders>
              <w:left w:val="nil"/>
              <w:bottom w:val="single" w:sz="12" w:space="0" w:color="auto"/>
            </w:tcBorders>
            <w:vAlign w:val="center"/>
          </w:tcPr>
          <w:p w:rsidR="00D63CC1" w:rsidRPr="008A0A30" w:rsidRDefault="007F5ABC" w:rsidP="00FC3767">
            <w:pPr>
              <w:spacing w:before="40" w:after="40"/>
              <w:ind w:right="-20"/>
            </w:pPr>
            <w:r w:rsidRPr="008A0A30">
              <w:t xml:space="preserve"> </w:t>
            </w:r>
            <w:r w:rsidR="00D63CC1" w:rsidRPr="008A0A30">
              <w:t>Without</w:t>
            </w:r>
            <w:r w:rsidR="00D63CC1" w:rsidRPr="008A0A30">
              <w:rPr>
                <w:spacing w:val="-7"/>
              </w:rPr>
              <w:t xml:space="preserve"> </w:t>
            </w:r>
            <w:r w:rsidR="00D63CC1" w:rsidRPr="008A0A30">
              <w:t>baseline</w:t>
            </w:r>
          </w:p>
          <w:p w:rsidR="00D63CC1" w:rsidRPr="008A0A30" w:rsidRDefault="007F5ABC" w:rsidP="00FC3767">
            <w:pPr>
              <w:spacing w:before="40" w:after="40" w:line="228" w:lineRule="exact"/>
              <w:ind w:right="-20"/>
            </w:pPr>
            <w:r w:rsidRPr="008A0A30">
              <w:t xml:space="preserve"> </w:t>
            </w:r>
            <w:r w:rsidR="00D63CC1" w:rsidRPr="008A0A30">
              <w:t>NS5A</w:t>
            </w:r>
            <w:r w:rsidR="00D63CC1" w:rsidRPr="008A0A30">
              <w:rPr>
                <w:spacing w:val="-4"/>
              </w:rPr>
              <w:t xml:space="preserve"> </w:t>
            </w:r>
            <w:r w:rsidR="00D63CC1" w:rsidRPr="008A0A30">
              <w:t>RAVs</w:t>
            </w:r>
          </w:p>
        </w:tc>
        <w:tc>
          <w:tcPr>
            <w:tcW w:w="912" w:type="pct"/>
            <w:tcBorders>
              <w:bottom w:val="single" w:sz="12" w:space="0" w:color="auto"/>
            </w:tcBorders>
            <w:vAlign w:val="center"/>
          </w:tcPr>
          <w:p w:rsidR="00D63CC1" w:rsidRPr="008A0A30" w:rsidRDefault="00D63CC1" w:rsidP="00FC3767">
            <w:pPr>
              <w:spacing w:before="40" w:after="40"/>
              <w:ind w:right="-20"/>
              <w:jc w:val="center"/>
            </w:pPr>
            <w:r w:rsidRPr="008A0A30">
              <w:rPr>
                <w:spacing w:val="1"/>
              </w:rPr>
              <w:t>100</w:t>
            </w:r>
            <w:r w:rsidRPr="008A0A30">
              <w:t>%</w:t>
            </w:r>
            <w:r w:rsidRPr="008A0A30">
              <w:rPr>
                <w:spacing w:val="-4"/>
              </w:rPr>
              <w:t xml:space="preserve"> </w:t>
            </w:r>
            <w:r w:rsidRPr="008A0A30">
              <w:rPr>
                <w:spacing w:val="1"/>
              </w:rPr>
              <w:t>(251/251)</w:t>
            </w:r>
          </w:p>
        </w:tc>
        <w:tc>
          <w:tcPr>
            <w:tcW w:w="981" w:type="pct"/>
            <w:tcBorders>
              <w:bottom w:val="single" w:sz="12" w:space="0" w:color="auto"/>
            </w:tcBorders>
            <w:vAlign w:val="center"/>
          </w:tcPr>
          <w:p w:rsidR="00D63CC1" w:rsidRPr="008A0A30" w:rsidRDefault="00D63CC1" w:rsidP="00FC3767">
            <w:pPr>
              <w:spacing w:before="40" w:after="40"/>
              <w:ind w:right="-20"/>
              <w:jc w:val="center"/>
            </w:pPr>
            <w:r w:rsidRPr="008A0A30">
              <w:t>97%</w:t>
            </w:r>
            <w:r w:rsidRPr="008A0A30">
              <w:rPr>
                <w:spacing w:val="-3"/>
              </w:rPr>
              <w:t xml:space="preserve"> </w:t>
            </w:r>
            <w:r w:rsidRPr="008A0A30">
              <w:t>(225/231)</w:t>
            </w:r>
          </w:p>
        </w:tc>
        <w:tc>
          <w:tcPr>
            <w:tcW w:w="1260" w:type="pct"/>
            <w:tcBorders>
              <w:bottom w:val="single" w:sz="12" w:space="0" w:color="auto"/>
            </w:tcBorders>
            <w:vAlign w:val="center"/>
          </w:tcPr>
          <w:p w:rsidR="00D63CC1" w:rsidRPr="008A0A30" w:rsidRDefault="00D63CC1" w:rsidP="00FC3767">
            <w:pPr>
              <w:spacing w:before="40" w:after="40"/>
              <w:ind w:right="-20"/>
              <w:jc w:val="center"/>
            </w:pPr>
            <w:r w:rsidRPr="008A0A30">
              <w:rPr>
                <w:spacing w:val="1"/>
              </w:rPr>
              <w:t>100</w:t>
            </w:r>
            <w:r w:rsidRPr="008A0A30">
              <w:t>%</w:t>
            </w:r>
            <w:r w:rsidRPr="008A0A30">
              <w:rPr>
                <w:spacing w:val="-4"/>
              </w:rPr>
              <w:t xml:space="preserve"> </w:t>
            </w:r>
            <w:r w:rsidRPr="008A0A30">
              <w:rPr>
                <w:spacing w:val="1"/>
              </w:rPr>
              <w:t>(161/161)</w:t>
            </w:r>
          </w:p>
        </w:tc>
        <w:tc>
          <w:tcPr>
            <w:tcW w:w="864" w:type="pct"/>
            <w:tcBorders>
              <w:bottom w:val="single" w:sz="12" w:space="0" w:color="auto"/>
              <w:right w:val="nil"/>
            </w:tcBorders>
            <w:vAlign w:val="center"/>
          </w:tcPr>
          <w:p w:rsidR="00D63CC1" w:rsidRPr="008A0A30" w:rsidRDefault="00D63CC1" w:rsidP="00FC3767">
            <w:pPr>
              <w:spacing w:before="40" w:after="40"/>
              <w:ind w:right="-20"/>
              <w:jc w:val="center"/>
            </w:pPr>
            <w:r w:rsidRPr="008A0A30">
              <w:t>99%</w:t>
            </w:r>
            <w:r w:rsidRPr="008A0A30">
              <w:rPr>
                <w:spacing w:val="-3"/>
              </w:rPr>
              <w:t xml:space="preserve"> </w:t>
            </w:r>
            <w:r w:rsidRPr="008A0A30">
              <w:t>(637/643)</w:t>
            </w:r>
          </w:p>
        </w:tc>
      </w:tr>
    </w:tbl>
    <w:p w:rsidR="007F5ABC" w:rsidRPr="008A0A30" w:rsidRDefault="007F5ABC" w:rsidP="00FC3767">
      <w:pPr>
        <w:spacing w:before="240"/>
      </w:pPr>
      <w:r w:rsidRPr="008A0A30">
        <w:t>Among the 75 genot</w:t>
      </w:r>
      <w:r w:rsidRPr="008A0A30">
        <w:rPr>
          <w:spacing w:val="-5"/>
        </w:rPr>
        <w:t>y</w:t>
      </w:r>
      <w:r w:rsidRPr="008A0A30">
        <w:t>pe 1 patients who had baseline NS5A RAVs, SVR12 was 97% (67/69) and 100% (6/6) in patients with baseline NS5A RAVs that confer ≤10</w:t>
      </w:r>
      <w:r w:rsidRPr="008A0A30">
        <w:rPr>
          <w:spacing w:val="2"/>
        </w:rPr>
        <w:t>0</w:t>
      </w:r>
      <w:r w:rsidRPr="008A0A30">
        <w:rPr>
          <w:spacing w:val="-1"/>
        </w:rPr>
        <w:t>-</w:t>
      </w:r>
      <w:r w:rsidRPr="008A0A30">
        <w:t>fold and &gt;100</w:t>
      </w:r>
      <w:r w:rsidRPr="008A0A30">
        <w:rPr>
          <w:spacing w:val="-1"/>
        </w:rPr>
        <w:t>-</w:t>
      </w:r>
      <w:r w:rsidRPr="008A0A30">
        <w:t>fold reduced susceptibility</w:t>
      </w:r>
      <w:r w:rsidRPr="008A0A30">
        <w:rPr>
          <w:spacing w:val="-7"/>
        </w:rPr>
        <w:t xml:space="preserve"> </w:t>
      </w:r>
      <w:r w:rsidRPr="008A0A30">
        <w:t>to velpatasvir, respective</w:t>
      </w:r>
      <w:r w:rsidRPr="008A0A30">
        <w:rPr>
          <w:spacing w:val="5"/>
        </w:rPr>
        <w:t>l</w:t>
      </w:r>
      <w:r w:rsidRPr="008A0A30">
        <w:t>y.</w:t>
      </w:r>
      <w:r w:rsidR="00FC3767">
        <w:t xml:space="preserve"> </w:t>
      </w:r>
      <w:r w:rsidRPr="008A0A30">
        <w:t>Among the 43 genot</w:t>
      </w:r>
      <w:r w:rsidRPr="008A0A30">
        <w:rPr>
          <w:spacing w:val="-5"/>
        </w:rPr>
        <w:t>y</w:t>
      </w:r>
      <w:r w:rsidRPr="008A0A30">
        <w:t xml:space="preserve">pe 3 patients who had baseline NS5A RAVs, SVR12 was 94% (15/16) and 85% (23/27) in </w:t>
      </w:r>
      <w:r w:rsidR="00421AED" w:rsidRPr="008A0A30">
        <w:t>patients</w:t>
      </w:r>
      <w:r w:rsidRPr="008A0A30">
        <w:t xml:space="preserve"> with NS5A RAVS that </w:t>
      </w:r>
      <w:r w:rsidRPr="008A0A30">
        <w:rPr>
          <w:spacing w:val="-1"/>
        </w:rPr>
        <w:t>confe</w:t>
      </w:r>
      <w:r w:rsidRPr="008A0A30">
        <w:t>r</w:t>
      </w:r>
      <w:r w:rsidRPr="008A0A30">
        <w:rPr>
          <w:spacing w:val="-1"/>
        </w:rPr>
        <w:t xml:space="preserve"> </w:t>
      </w:r>
      <w:r w:rsidRPr="008A0A30">
        <w:t>≤10</w:t>
      </w:r>
      <w:r w:rsidRPr="008A0A30">
        <w:rPr>
          <w:spacing w:val="2"/>
        </w:rPr>
        <w:t>0</w:t>
      </w:r>
      <w:r w:rsidRPr="008A0A30">
        <w:rPr>
          <w:spacing w:val="-1"/>
        </w:rPr>
        <w:t>-</w:t>
      </w:r>
      <w:r w:rsidRPr="008A0A30">
        <w:t>fold and &gt;100</w:t>
      </w:r>
      <w:r w:rsidRPr="008A0A30">
        <w:rPr>
          <w:spacing w:val="-1"/>
        </w:rPr>
        <w:t>-</w:t>
      </w:r>
      <w:r w:rsidRPr="008A0A30">
        <w:t>fold reduced susceptibility</w:t>
      </w:r>
      <w:r w:rsidRPr="008A0A30">
        <w:rPr>
          <w:spacing w:val="-7"/>
        </w:rPr>
        <w:t xml:space="preserve"> </w:t>
      </w:r>
      <w:r w:rsidRPr="008A0A30">
        <w:t>to velpatasvir, respective</w:t>
      </w:r>
      <w:r w:rsidRPr="008A0A30">
        <w:rPr>
          <w:spacing w:val="5"/>
        </w:rPr>
        <w:t>l</w:t>
      </w:r>
      <w:r w:rsidRPr="008A0A30">
        <w:rPr>
          <w:spacing w:val="-1"/>
        </w:rPr>
        <w:t>y</w:t>
      </w:r>
      <w:r w:rsidRPr="008A0A30">
        <w:t>.</w:t>
      </w:r>
      <w:r w:rsidRPr="008A0A30">
        <w:rPr>
          <w:spacing w:val="57"/>
        </w:rPr>
        <w:t xml:space="preserve"> </w:t>
      </w:r>
      <w:r w:rsidRPr="008A0A30">
        <w:rPr>
          <w:spacing w:val="-1"/>
        </w:rPr>
        <w:t xml:space="preserve">The </w:t>
      </w:r>
      <w:r w:rsidRPr="008A0A30">
        <w:t xml:space="preserve">4 </w:t>
      </w:r>
      <w:r w:rsidRPr="008A0A30">
        <w:rPr>
          <w:spacing w:val="-1"/>
        </w:rPr>
        <w:t>geno</w:t>
      </w:r>
      <w:r w:rsidRPr="008A0A30">
        <w:rPr>
          <w:spacing w:val="5"/>
        </w:rPr>
        <w:t>t</w:t>
      </w:r>
      <w:r w:rsidRPr="008A0A30">
        <w:rPr>
          <w:spacing w:val="-5"/>
        </w:rPr>
        <w:t>y</w:t>
      </w:r>
      <w:r w:rsidRPr="008A0A30">
        <w:rPr>
          <w:spacing w:val="2"/>
        </w:rPr>
        <w:t>p</w:t>
      </w:r>
      <w:r w:rsidRPr="008A0A30">
        <w:t>e 3 patients who had baseline NS5A RAVs conferring &gt;100</w:t>
      </w:r>
      <w:r w:rsidRPr="008A0A30">
        <w:rPr>
          <w:spacing w:val="2"/>
        </w:rPr>
        <w:t>-</w:t>
      </w:r>
      <w:r w:rsidRPr="008A0A30">
        <w:t>fold reduced susceptibility</w:t>
      </w:r>
      <w:r w:rsidRPr="008A0A30">
        <w:rPr>
          <w:spacing w:val="-7"/>
        </w:rPr>
        <w:t xml:space="preserve"> </w:t>
      </w:r>
      <w:r w:rsidRPr="008A0A30">
        <w:t>to velpatasvir and failed to achieve SVR12</w:t>
      </w:r>
      <w:r w:rsidR="00E92103">
        <w:t>,</w:t>
      </w:r>
      <w:r w:rsidRPr="008A0A30">
        <w:t xml:space="preserve"> all had NS5A substitution Y93H at baseline. Twen</w:t>
      </w:r>
      <w:r w:rsidRPr="008A0A30">
        <w:rPr>
          <w:spacing w:val="5"/>
        </w:rPr>
        <w:t>t</w:t>
      </w:r>
      <w:r w:rsidRPr="008A0A30">
        <w:rPr>
          <w:spacing w:val="-5"/>
        </w:rPr>
        <w:t>y</w:t>
      </w:r>
      <w:r w:rsidRPr="008A0A30">
        <w:rPr>
          <w:spacing w:val="-1"/>
        </w:rPr>
        <w:t>-</w:t>
      </w:r>
      <w:r w:rsidRPr="008A0A30">
        <w:t>one of 25 (84%) geno</w:t>
      </w:r>
      <w:r w:rsidRPr="008A0A30">
        <w:rPr>
          <w:spacing w:val="5"/>
        </w:rPr>
        <w:t>t</w:t>
      </w:r>
      <w:r w:rsidRPr="008A0A30">
        <w:rPr>
          <w:spacing w:val="-5"/>
        </w:rPr>
        <w:t>y</w:t>
      </w:r>
      <w:r w:rsidRPr="008A0A30">
        <w:rPr>
          <w:spacing w:val="2"/>
        </w:rPr>
        <w:t>p</w:t>
      </w:r>
      <w:r w:rsidRPr="008A0A30">
        <w:t xml:space="preserve">e 3 </w:t>
      </w:r>
      <w:r w:rsidR="0056480D">
        <w:t>patients</w:t>
      </w:r>
      <w:r w:rsidR="0056480D" w:rsidRPr="008A0A30">
        <w:t xml:space="preserve"> </w:t>
      </w:r>
      <w:r w:rsidRPr="008A0A30">
        <w:t>with baseline NS5A substitution Y93H achieved SVR12.</w:t>
      </w:r>
    </w:p>
    <w:p w:rsidR="007F5ABC" w:rsidRPr="008A0A30" w:rsidRDefault="007F5ABC" w:rsidP="00FC3767">
      <w:r w:rsidRPr="008A0A30">
        <w:t>The NS5B NI RAV S282T was not detected in the baseline NS5B sequence of any</w:t>
      </w:r>
      <w:r w:rsidRPr="008A0A30">
        <w:rPr>
          <w:spacing w:val="-5"/>
        </w:rPr>
        <w:t xml:space="preserve"> </w:t>
      </w:r>
      <w:r w:rsidRPr="008A0A30">
        <w:t xml:space="preserve">patient in Phase 3 </w:t>
      </w:r>
      <w:r w:rsidR="008B6AAF" w:rsidRPr="008A0A30">
        <w:t>trials</w:t>
      </w:r>
      <w:r w:rsidRPr="008A0A30">
        <w:t>. SVR12 was achieved in all 77 patients who had baseline NS5B NI RAVs including N142T, L159F, E/N237G, C/M289</w:t>
      </w:r>
      <w:r w:rsidRPr="008A0A30">
        <w:rPr>
          <w:spacing w:val="-5"/>
        </w:rPr>
        <w:t>L</w:t>
      </w:r>
      <w:r w:rsidRPr="008A0A30">
        <w:rPr>
          <w:spacing w:val="3"/>
        </w:rPr>
        <w:t>/</w:t>
      </w:r>
      <w:r w:rsidRPr="008A0A30">
        <w:rPr>
          <w:spacing w:val="-3"/>
        </w:rPr>
        <w:t>I</w:t>
      </w:r>
      <w:r w:rsidRPr="008A0A30">
        <w:t>, L320F/I/V, V321A/I, and S282G+V321I.</w:t>
      </w:r>
    </w:p>
    <w:p w:rsidR="00280FDE" w:rsidRPr="00003AC8" w:rsidRDefault="00280FDE" w:rsidP="00003AC8">
      <w:pPr>
        <w:pStyle w:val="Heading3"/>
        <w:rPr>
          <w:b w:val="0"/>
          <w:u w:val="single"/>
        </w:rPr>
      </w:pPr>
      <w:r w:rsidRPr="00003AC8">
        <w:rPr>
          <w:b w:val="0"/>
          <w:u w:val="single"/>
        </w:rPr>
        <w:t>Studies in Patients with Decompe</w:t>
      </w:r>
      <w:r w:rsidRPr="00003AC8">
        <w:rPr>
          <w:b w:val="0"/>
          <w:spacing w:val="1"/>
          <w:u w:val="single"/>
        </w:rPr>
        <w:t>n</w:t>
      </w:r>
      <w:r w:rsidRPr="00003AC8">
        <w:rPr>
          <w:b w:val="0"/>
          <w:u w:val="single"/>
        </w:rPr>
        <w:t>sated Cirrhosis</w:t>
      </w:r>
    </w:p>
    <w:p w:rsidR="00280FDE" w:rsidRPr="008A0A30" w:rsidRDefault="00280FDE" w:rsidP="00FC3767">
      <w:r w:rsidRPr="008A0A30">
        <w:t>Anal</w:t>
      </w:r>
      <w:r w:rsidRPr="008A0A30">
        <w:rPr>
          <w:spacing w:val="-5"/>
        </w:rPr>
        <w:t>y</w:t>
      </w:r>
      <w:r w:rsidRPr="008A0A30">
        <w:t>ses were conducted to explore the association between pre</w:t>
      </w:r>
      <w:r w:rsidRPr="008A0A30">
        <w:rPr>
          <w:spacing w:val="2"/>
        </w:rPr>
        <w:t>-</w:t>
      </w:r>
      <w:r w:rsidRPr="008A0A30">
        <w:t>existing baseline NS5A RAVs and treatment outcome for patients</w:t>
      </w:r>
      <w:r w:rsidRPr="008A0A30">
        <w:rPr>
          <w:b/>
        </w:rPr>
        <w:t xml:space="preserve"> </w:t>
      </w:r>
      <w:r w:rsidRPr="008A0A30">
        <w:t>with decompensated cirrhosis (ASTRA</w:t>
      </w:r>
      <w:r w:rsidRPr="008A0A30">
        <w:rPr>
          <w:spacing w:val="-3"/>
        </w:rPr>
        <w:t>L</w:t>
      </w:r>
      <w:r w:rsidRPr="008A0A30">
        <w:rPr>
          <w:spacing w:val="-1"/>
        </w:rPr>
        <w:t>-</w:t>
      </w:r>
      <w:r w:rsidRPr="008A0A30">
        <w:t>4).</w:t>
      </w:r>
      <w:r w:rsidR="00FC3767">
        <w:t xml:space="preserve"> </w:t>
      </w:r>
      <w:r w:rsidRPr="008A0A30">
        <w:t>Of the 87 patients</w:t>
      </w:r>
      <w:r w:rsidRPr="008A0A30">
        <w:rPr>
          <w:b/>
        </w:rPr>
        <w:t xml:space="preserve"> </w:t>
      </w:r>
      <w:r w:rsidRPr="008A0A30">
        <w:t xml:space="preserve">treated with </w:t>
      </w:r>
      <w:r w:rsidR="00C3685A">
        <w:t>EPCLUSA</w:t>
      </w:r>
      <w:r w:rsidRPr="008A0A30">
        <w:t xml:space="preserve"> + RBV in the ASTRA</w:t>
      </w:r>
      <w:r w:rsidRPr="008A0A30">
        <w:rPr>
          <w:spacing w:val="-2"/>
        </w:rPr>
        <w:t>L</w:t>
      </w:r>
      <w:r w:rsidRPr="008A0A30">
        <w:rPr>
          <w:spacing w:val="-1"/>
        </w:rPr>
        <w:t>-</w:t>
      </w:r>
      <w:r w:rsidRPr="008A0A30">
        <w:t>4</w:t>
      </w:r>
      <w:r w:rsidRPr="008A0A30">
        <w:rPr>
          <w:spacing w:val="1"/>
        </w:rPr>
        <w:t xml:space="preserve"> </w:t>
      </w:r>
      <w:r w:rsidR="008B6AAF" w:rsidRPr="008A0A30">
        <w:rPr>
          <w:spacing w:val="1"/>
        </w:rPr>
        <w:t>trial</w:t>
      </w:r>
      <w:r w:rsidRPr="008A0A30">
        <w:t>, 85 patients</w:t>
      </w:r>
      <w:r w:rsidRPr="008A0A30">
        <w:rPr>
          <w:b/>
        </w:rPr>
        <w:t xml:space="preserve"> </w:t>
      </w:r>
      <w:r w:rsidRPr="008A0A30">
        <w:t>were included in the ana</w:t>
      </w:r>
      <w:r w:rsidRPr="008A0A30">
        <w:rPr>
          <w:spacing w:val="5"/>
        </w:rPr>
        <w:t>l</w:t>
      </w:r>
      <w:r w:rsidRPr="008A0A30">
        <w:rPr>
          <w:spacing w:val="-5"/>
        </w:rPr>
        <w:t>y</w:t>
      </w:r>
      <w:r w:rsidRPr="008A0A30">
        <w:t>sis of NS5A RAVs; 2 patients</w:t>
      </w:r>
      <w:r w:rsidRPr="008A0A30">
        <w:rPr>
          <w:b/>
        </w:rPr>
        <w:t xml:space="preserve"> </w:t>
      </w:r>
      <w:r w:rsidRPr="008A0A30">
        <w:t>were excluded as they</w:t>
      </w:r>
      <w:r w:rsidRPr="008A0A30">
        <w:rPr>
          <w:spacing w:val="-5"/>
        </w:rPr>
        <w:t xml:space="preserve"> </w:t>
      </w:r>
      <w:r w:rsidRPr="008A0A30">
        <w:t>neither achieved SVR12 nor had virologic failure. Among the patients</w:t>
      </w:r>
      <w:r w:rsidRPr="008A0A30">
        <w:rPr>
          <w:b/>
        </w:rPr>
        <w:t xml:space="preserve"> </w:t>
      </w:r>
      <w:r w:rsidRPr="008A0A30">
        <w:t xml:space="preserve">who received treatment with </w:t>
      </w:r>
      <w:r w:rsidR="00C3685A">
        <w:t>EPCLUSA</w:t>
      </w:r>
      <w:r w:rsidRPr="008A0A30">
        <w:t xml:space="preserve"> + RBV for 12 weeks, 29% (25/85) of patients</w:t>
      </w:r>
      <w:r w:rsidRPr="008A0A30">
        <w:rPr>
          <w:b/>
        </w:rPr>
        <w:t xml:space="preserve"> </w:t>
      </w:r>
      <w:r w:rsidRPr="008A0A30">
        <w:t>had baseline</w:t>
      </w:r>
      <w:r w:rsidRPr="008A0A30">
        <w:rPr>
          <w:spacing w:val="-1"/>
        </w:rPr>
        <w:t xml:space="preserve"> </w:t>
      </w:r>
      <w:r w:rsidRPr="008A0A30">
        <w:t xml:space="preserve">virus with NS5A RAVs [29% (19/66), 75% (3/4), 15% (2/13), and 50% (1/2) for </w:t>
      </w:r>
      <w:r w:rsidR="00A26D7D">
        <w:t>patients</w:t>
      </w:r>
      <w:r w:rsidR="00A26D7D" w:rsidRPr="008A0A30">
        <w:t xml:space="preserve"> </w:t>
      </w:r>
      <w:r w:rsidRPr="008A0A30">
        <w:t>with geno</w:t>
      </w:r>
      <w:r w:rsidRPr="008A0A30">
        <w:rPr>
          <w:spacing w:val="4"/>
        </w:rPr>
        <w:t>t</w:t>
      </w:r>
      <w:r w:rsidRPr="008A0A30">
        <w:rPr>
          <w:spacing w:val="-1"/>
        </w:rPr>
        <w:t>yp</w:t>
      </w:r>
      <w:r w:rsidRPr="008A0A30">
        <w:t>e</w:t>
      </w:r>
      <w:r w:rsidRPr="008A0A30">
        <w:rPr>
          <w:spacing w:val="-1"/>
        </w:rPr>
        <w:t xml:space="preserve"> 1</w:t>
      </w:r>
      <w:r w:rsidRPr="008A0A30">
        <w:t>,</w:t>
      </w:r>
      <w:r w:rsidRPr="008A0A30">
        <w:rPr>
          <w:spacing w:val="-1"/>
        </w:rPr>
        <w:t xml:space="preserve"> 2</w:t>
      </w:r>
      <w:r w:rsidRPr="008A0A30">
        <w:t>,</w:t>
      </w:r>
      <w:r w:rsidRPr="008A0A30">
        <w:rPr>
          <w:spacing w:val="-1"/>
        </w:rPr>
        <w:t xml:space="preserve"> </w:t>
      </w:r>
      <w:r w:rsidRPr="008A0A30">
        <w:t>3</w:t>
      </w:r>
      <w:r w:rsidR="00E530A0">
        <w:t>,</w:t>
      </w:r>
      <w:r w:rsidRPr="008A0A30">
        <w:t xml:space="preserve"> and 4 HCV, respective</w:t>
      </w:r>
      <w:r w:rsidRPr="008A0A30">
        <w:rPr>
          <w:spacing w:val="5"/>
        </w:rPr>
        <w:t>l</w:t>
      </w:r>
      <w:r w:rsidRPr="008A0A30">
        <w:rPr>
          <w:spacing w:val="-7"/>
        </w:rPr>
        <w:t>y</w:t>
      </w:r>
      <w:r w:rsidR="00E92103">
        <w:rPr>
          <w:spacing w:val="-7"/>
        </w:rPr>
        <w:t>]</w:t>
      </w:r>
      <w:r w:rsidRPr="008A0A30">
        <w:t>.</w:t>
      </w:r>
    </w:p>
    <w:p w:rsidR="00280FDE" w:rsidRPr="008A0A30" w:rsidRDefault="00280FDE" w:rsidP="00FC3767">
      <w:pPr>
        <w:rPr>
          <w:szCs w:val="24"/>
        </w:rPr>
      </w:pPr>
      <w:r w:rsidRPr="008A0A30">
        <w:rPr>
          <w:szCs w:val="24"/>
        </w:rPr>
        <w:lastRenderedPageBreak/>
        <w:t xml:space="preserve">SVR12 in </w:t>
      </w:r>
      <w:r w:rsidR="00A26D7D">
        <w:rPr>
          <w:szCs w:val="24"/>
        </w:rPr>
        <w:t>patients</w:t>
      </w:r>
      <w:r w:rsidR="00A26D7D" w:rsidRPr="008A0A30">
        <w:rPr>
          <w:szCs w:val="24"/>
        </w:rPr>
        <w:t xml:space="preserve"> </w:t>
      </w:r>
      <w:r w:rsidRPr="008A0A30">
        <w:rPr>
          <w:szCs w:val="24"/>
        </w:rPr>
        <w:t xml:space="preserve">with or without baseline NS5A RAVs in the </w:t>
      </w:r>
      <w:r w:rsidR="00C3685A">
        <w:rPr>
          <w:szCs w:val="24"/>
        </w:rPr>
        <w:t>EPCLUSA</w:t>
      </w:r>
      <w:r w:rsidRPr="008A0A30">
        <w:rPr>
          <w:szCs w:val="24"/>
        </w:rPr>
        <w:t xml:space="preserve"> + RBV 12 week group of ASTRA</w:t>
      </w:r>
      <w:r w:rsidRPr="008A0A30">
        <w:rPr>
          <w:spacing w:val="-2"/>
          <w:szCs w:val="24"/>
        </w:rPr>
        <w:t>L</w:t>
      </w:r>
      <w:r w:rsidRPr="008A0A30">
        <w:rPr>
          <w:spacing w:val="-1"/>
          <w:szCs w:val="24"/>
        </w:rPr>
        <w:t>-</w:t>
      </w:r>
      <w:r w:rsidRPr="008A0A30">
        <w:rPr>
          <w:szCs w:val="24"/>
        </w:rPr>
        <w:t xml:space="preserve">4 </w:t>
      </w:r>
      <w:r w:rsidR="008B6AAF" w:rsidRPr="008A0A30">
        <w:rPr>
          <w:szCs w:val="24"/>
        </w:rPr>
        <w:t>trial</w:t>
      </w:r>
      <w:r w:rsidRPr="008A0A30">
        <w:rPr>
          <w:szCs w:val="24"/>
        </w:rPr>
        <w:t xml:space="preserve"> is shown in </w:t>
      </w:r>
      <w:r w:rsidRPr="008A0A30">
        <w:t>Table 4.</w:t>
      </w:r>
    </w:p>
    <w:p w:rsidR="00280FDE" w:rsidRPr="00003AC8" w:rsidRDefault="00003AC8" w:rsidP="00003AC8">
      <w:pPr>
        <w:pStyle w:val="Caption"/>
      </w:pPr>
      <w:r>
        <w:t xml:space="preserve">Table </w:t>
      </w:r>
      <w:fldSimple w:instr=" SEQ Table \* ARABIC ">
        <w:r w:rsidR="00D60556">
          <w:rPr>
            <w:noProof/>
          </w:rPr>
          <w:t>4</w:t>
        </w:r>
      </w:fldSimple>
      <w:r>
        <w:t xml:space="preserve">. </w:t>
      </w:r>
      <w:r w:rsidR="009661AF">
        <w:t xml:space="preserve">Study ASTRAL-4: </w:t>
      </w:r>
      <w:r w:rsidR="00280FDE" w:rsidRPr="008A0A30">
        <w:t>SVR12 in Patients With or Without Baseline NS5A RAVs by HCV Genotype</w:t>
      </w:r>
    </w:p>
    <w:tbl>
      <w:tblPr>
        <w:tblW w:w="5000" w:type="pct"/>
        <w:jc w:val="center"/>
        <w:tblCellMar>
          <w:left w:w="0" w:type="dxa"/>
          <w:right w:w="0" w:type="dxa"/>
        </w:tblCellMar>
        <w:tblLook w:val="01E0" w:firstRow="1" w:lastRow="1" w:firstColumn="1" w:lastColumn="1" w:noHBand="0" w:noVBand="0"/>
      </w:tblPr>
      <w:tblGrid>
        <w:gridCol w:w="1897"/>
        <w:gridCol w:w="1671"/>
        <w:gridCol w:w="1831"/>
        <w:gridCol w:w="1833"/>
        <w:gridCol w:w="1839"/>
      </w:tblGrid>
      <w:tr w:rsidR="00280FDE" w:rsidRPr="008A0A30" w:rsidTr="00003AC8">
        <w:trPr>
          <w:trHeight w:hRule="exact" w:val="372"/>
          <w:tblHeader/>
          <w:jc w:val="center"/>
        </w:trPr>
        <w:tc>
          <w:tcPr>
            <w:tcW w:w="1055" w:type="pct"/>
            <w:vMerge w:val="restart"/>
            <w:tcBorders>
              <w:top w:val="single" w:sz="12" w:space="0" w:color="000000"/>
              <w:left w:val="nil"/>
              <w:right w:val="single" w:sz="6" w:space="0" w:color="000000"/>
            </w:tcBorders>
          </w:tcPr>
          <w:p w:rsidR="00280FDE" w:rsidRPr="008A0A30" w:rsidRDefault="00280FDE" w:rsidP="00FC3767">
            <w:pPr>
              <w:spacing w:before="40" w:after="40"/>
            </w:pPr>
          </w:p>
        </w:tc>
        <w:tc>
          <w:tcPr>
            <w:tcW w:w="3945" w:type="pct"/>
            <w:gridSpan w:val="4"/>
            <w:tcBorders>
              <w:top w:val="single" w:sz="12" w:space="0" w:color="000000"/>
              <w:left w:val="single" w:sz="6" w:space="0" w:color="000000"/>
              <w:bottom w:val="single" w:sz="6" w:space="0" w:color="000000"/>
              <w:right w:val="nil"/>
            </w:tcBorders>
          </w:tcPr>
          <w:p w:rsidR="00280FDE" w:rsidRPr="008A0A30" w:rsidRDefault="00C3685A" w:rsidP="00FC3767">
            <w:pPr>
              <w:spacing w:before="40" w:after="40"/>
              <w:ind w:left="2430" w:right="-20"/>
            </w:pPr>
            <w:r>
              <w:rPr>
                <w:b/>
                <w:bCs/>
              </w:rPr>
              <w:t>EPCLUSA</w:t>
            </w:r>
            <w:r w:rsidR="00280FDE" w:rsidRPr="008A0A30">
              <w:rPr>
                <w:b/>
                <w:bCs/>
              </w:rPr>
              <w:t xml:space="preserve"> + RBV</w:t>
            </w:r>
            <w:r w:rsidR="00280FDE" w:rsidRPr="008A0A30">
              <w:rPr>
                <w:b/>
                <w:bCs/>
                <w:spacing w:val="-19"/>
              </w:rPr>
              <w:t xml:space="preserve"> </w:t>
            </w:r>
            <w:r w:rsidR="00280FDE" w:rsidRPr="008A0A30">
              <w:rPr>
                <w:b/>
                <w:bCs/>
              </w:rPr>
              <w:t>12</w:t>
            </w:r>
            <w:r w:rsidR="00280FDE" w:rsidRPr="008A0A30">
              <w:rPr>
                <w:b/>
                <w:bCs/>
                <w:spacing w:val="-1"/>
              </w:rPr>
              <w:t xml:space="preserve"> </w:t>
            </w:r>
            <w:r w:rsidR="00280FDE" w:rsidRPr="008A0A30">
              <w:rPr>
                <w:b/>
                <w:bCs/>
              </w:rPr>
              <w:t>Weeks</w:t>
            </w:r>
          </w:p>
        </w:tc>
      </w:tr>
      <w:tr w:rsidR="00280FDE" w:rsidRPr="008A0A30" w:rsidTr="00003AC8">
        <w:trPr>
          <w:trHeight w:hRule="exact" w:val="372"/>
          <w:tblHeader/>
          <w:jc w:val="center"/>
        </w:trPr>
        <w:tc>
          <w:tcPr>
            <w:tcW w:w="1055" w:type="pct"/>
            <w:vMerge/>
            <w:tcBorders>
              <w:left w:val="nil"/>
              <w:bottom w:val="single" w:sz="12" w:space="0" w:color="000000"/>
              <w:right w:val="single" w:sz="6" w:space="0" w:color="000000"/>
            </w:tcBorders>
          </w:tcPr>
          <w:p w:rsidR="00280FDE" w:rsidRPr="008A0A30" w:rsidRDefault="00280FDE" w:rsidP="00FC3767">
            <w:pPr>
              <w:spacing w:before="40" w:after="40"/>
            </w:pPr>
          </w:p>
        </w:tc>
        <w:tc>
          <w:tcPr>
            <w:tcW w:w="930" w:type="pct"/>
            <w:tcBorders>
              <w:top w:val="single" w:sz="6" w:space="0" w:color="000000"/>
              <w:left w:val="single" w:sz="6" w:space="0" w:color="000000"/>
              <w:bottom w:val="single" w:sz="12" w:space="0" w:color="000000"/>
              <w:right w:val="single" w:sz="6" w:space="0" w:color="000000"/>
            </w:tcBorders>
          </w:tcPr>
          <w:p w:rsidR="00280FDE" w:rsidRPr="008A0A30" w:rsidRDefault="00280FDE" w:rsidP="00FC3767">
            <w:pPr>
              <w:spacing w:before="40" w:after="40"/>
              <w:ind w:right="-20"/>
              <w:jc w:val="center"/>
            </w:pPr>
            <w:r w:rsidRPr="008A0A30">
              <w:rPr>
                <w:b/>
                <w:bCs/>
              </w:rPr>
              <w:t>Genotype</w:t>
            </w:r>
            <w:r w:rsidRPr="008A0A30">
              <w:rPr>
                <w:b/>
                <w:bCs/>
                <w:spacing w:val="-8"/>
              </w:rPr>
              <w:t xml:space="preserve"> </w:t>
            </w:r>
            <w:r w:rsidRPr="008A0A30">
              <w:rPr>
                <w:b/>
                <w:bCs/>
              </w:rPr>
              <w:t>1</w:t>
            </w:r>
          </w:p>
        </w:tc>
        <w:tc>
          <w:tcPr>
            <w:tcW w:w="1018" w:type="pct"/>
            <w:tcBorders>
              <w:top w:val="single" w:sz="6" w:space="0" w:color="000000"/>
              <w:left w:val="single" w:sz="6" w:space="0" w:color="000000"/>
              <w:bottom w:val="single" w:sz="12" w:space="0" w:color="000000"/>
              <w:right w:val="single" w:sz="6" w:space="0" w:color="000000"/>
            </w:tcBorders>
          </w:tcPr>
          <w:p w:rsidR="00280FDE" w:rsidRPr="008A0A30" w:rsidRDefault="00280FDE" w:rsidP="00FC3767">
            <w:pPr>
              <w:spacing w:before="40" w:after="40"/>
              <w:ind w:right="-20"/>
              <w:jc w:val="center"/>
            </w:pPr>
            <w:r w:rsidRPr="008A0A30">
              <w:rPr>
                <w:b/>
                <w:bCs/>
              </w:rPr>
              <w:t>Genotype</w:t>
            </w:r>
            <w:r w:rsidRPr="008A0A30">
              <w:rPr>
                <w:b/>
                <w:bCs/>
                <w:spacing w:val="-8"/>
              </w:rPr>
              <w:t xml:space="preserve"> </w:t>
            </w:r>
            <w:r w:rsidRPr="008A0A30">
              <w:rPr>
                <w:b/>
                <w:bCs/>
              </w:rPr>
              <w:t>3</w:t>
            </w:r>
          </w:p>
        </w:tc>
        <w:tc>
          <w:tcPr>
            <w:tcW w:w="1019" w:type="pct"/>
            <w:tcBorders>
              <w:top w:val="single" w:sz="6" w:space="0" w:color="000000"/>
              <w:left w:val="single" w:sz="6" w:space="0" w:color="000000"/>
              <w:bottom w:val="single" w:sz="12" w:space="0" w:color="000000"/>
              <w:right w:val="single" w:sz="6" w:space="0" w:color="000000"/>
            </w:tcBorders>
          </w:tcPr>
          <w:p w:rsidR="00280FDE" w:rsidRPr="008A0A30" w:rsidRDefault="00280FDE" w:rsidP="00FC3767">
            <w:pPr>
              <w:spacing w:before="40" w:after="40"/>
              <w:ind w:right="-20"/>
              <w:jc w:val="center"/>
            </w:pPr>
            <w:r w:rsidRPr="008A0A30">
              <w:rPr>
                <w:b/>
                <w:bCs/>
              </w:rPr>
              <w:t>Genotype</w:t>
            </w:r>
            <w:r w:rsidRPr="008A0A30">
              <w:rPr>
                <w:b/>
                <w:bCs/>
                <w:spacing w:val="-7"/>
              </w:rPr>
              <w:t xml:space="preserve"> </w:t>
            </w:r>
            <w:r w:rsidRPr="008A0A30">
              <w:rPr>
                <w:b/>
                <w:bCs/>
              </w:rPr>
              <w:t>2 or</w:t>
            </w:r>
            <w:r w:rsidRPr="008A0A30">
              <w:rPr>
                <w:b/>
                <w:bCs/>
                <w:spacing w:val="-1"/>
              </w:rPr>
              <w:t xml:space="preserve"> </w:t>
            </w:r>
            <w:r w:rsidRPr="008A0A30">
              <w:rPr>
                <w:b/>
                <w:bCs/>
              </w:rPr>
              <w:t>4</w:t>
            </w:r>
          </w:p>
        </w:tc>
        <w:tc>
          <w:tcPr>
            <w:tcW w:w="978" w:type="pct"/>
            <w:tcBorders>
              <w:top w:val="single" w:sz="6" w:space="0" w:color="000000"/>
              <w:left w:val="single" w:sz="6" w:space="0" w:color="000000"/>
              <w:bottom w:val="single" w:sz="12" w:space="0" w:color="000000"/>
              <w:right w:val="nil"/>
            </w:tcBorders>
          </w:tcPr>
          <w:p w:rsidR="00280FDE" w:rsidRPr="008A0A30" w:rsidRDefault="00280FDE" w:rsidP="00FC3767">
            <w:pPr>
              <w:spacing w:before="40" w:after="40"/>
              <w:ind w:left="650" w:right="635"/>
              <w:jc w:val="center"/>
            </w:pPr>
            <w:r w:rsidRPr="008A0A30">
              <w:rPr>
                <w:b/>
                <w:bCs/>
                <w:spacing w:val="1"/>
                <w:w w:val="99"/>
              </w:rPr>
              <w:t>Total</w:t>
            </w:r>
          </w:p>
        </w:tc>
      </w:tr>
      <w:tr w:rsidR="00280FDE" w:rsidRPr="008A0A30" w:rsidTr="00280FDE">
        <w:trPr>
          <w:trHeight w:hRule="exact" w:val="630"/>
          <w:jc w:val="center"/>
        </w:trPr>
        <w:tc>
          <w:tcPr>
            <w:tcW w:w="1055" w:type="pct"/>
            <w:tcBorders>
              <w:top w:val="single" w:sz="12" w:space="0" w:color="000000"/>
              <w:left w:val="nil"/>
              <w:bottom w:val="single" w:sz="6" w:space="0" w:color="000000"/>
              <w:right w:val="single" w:sz="6" w:space="0" w:color="000000"/>
            </w:tcBorders>
          </w:tcPr>
          <w:p w:rsidR="00280FDE" w:rsidRPr="008A0A30" w:rsidRDefault="00280FDE" w:rsidP="00FC3767">
            <w:pPr>
              <w:spacing w:before="40" w:after="40"/>
              <w:ind w:left="122" w:right="-20"/>
            </w:pPr>
            <w:r w:rsidRPr="008A0A30">
              <w:t>With</w:t>
            </w:r>
            <w:r w:rsidRPr="008A0A30">
              <w:rPr>
                <w:spacing w:val="-4"/>
              </w:rPr>
              <w:t xml:space="preserve"> </w:t>
            </w:r>
            <w:r w:rsidRPr="008A0A30">
              <w:t>any</w:t>
            </w:r>
            <w:r w:rsidRPr="008A0A30">
              <w:rPr>
                <w:spacing w:val="-3"/>
              </w:rPr>
              <w:t xml:space="preserve"> </w:t>
            </w:r>
            <w:r w:rsidRPr="008A0A30">
              <w:t>baseline NS5A</w:t>
            </w:r>
            <w:r w:rsidRPr="008A0A30">
              <w:rPr>
                <w:spacing w:val="-4"/>
              </w:rPr>
              <w:t xml:space="preserve"> </w:t>
            </w:r>
            <w:r w:rsidRPr="008A0A30">
              <w:t>RAVs</w:t>
            </w:r>
          </w:p>
        </w:tc>
        <w:tc>
          <w:tcPr>
            <w:tcW w:w="930" w:type="pct"/>
            <w:tcBorders>
              <w:top w:val="single" w:sz="12" w:space="0" w:color="000000"/>
              <w:left w:val="single" w:sz="6" w:space="0" w:color="000000"/>
              <w:bottom w:val="single" w:sz="6" w:space="0" w:color="000000"/>
              <w:right w:val="single" w:sz="6" w:space="0" w:color="000000"/>
            </w:tcBorders>
          </w:tcPr>
          <w:p w:rsidR="00280FDE" w:rsidRPr="008A0A30" w:rsidRDefault="00280FDE" w:rsidP="00FC3767">
            <w:pPr>
              <w:spacing w:before="40" w:after="40"/>
              <w:ind w:right="-20"/>
              <w:jc w:val="center"/>
            </w:pPr>
            <w:r w:rsidRPr="008A0A30">
              <w:rPr>
                <w:spacing w:val="1"/>
              </w:rPr>
              <w:t>100</w:t>
            </w:r>
            <w:r w:rsidRPr="008A0A30">
              <w:t>%</w:t>
            </w:r>
            <w:r w:rsidRPr="008A0A30">
              <w:rPr>
                <w:spacing w:val="-4"/>
              </w:rPr>
              <w:t xml:space="preserve"> </w:t>
            </w:r>
            <w:r w:rsidRPr="008A0A30">
              <w:rPr>
                <w:spacing w:val="1"/>
              </w:rPr>
              <w:t>(19/19)</w:t>
            </w:r>
          </w:p>
        </w:tc>
        <w:tc>
          <w:tcPr>
            <w:tcW w:w="1018" w:type="pct"/>
            <w:tcBorders>
              <w:top w:val="single" w:sz="12" w:space="0" w:color="000000"/>
              <w:left w:val="single" w:sz="6" w:space="0" w:color="000000"/>
              <w:bottom w:val="single" w:sz="6" w:space="0" w:color="000000"/>
              <w:right w:val="single" w:sz="6" w:space="0" w:color="000000"/>
            </w:tcBorders>
          </w:tcPr>
          <w:p w:rsidR="00280FDE" w:rsidRPr="008A0A30" w:rsidRDefault="00280FDE" w:rsidP="00FC3767">
            <w:pPr>
              <w:spacing w:before="40" w:after="40"/>
              <w:ind w:right="-20"/>
              <w:jc w:val="center"/>
            </w:pPr>
            <w:r w:rsidRPr="008A0A30">
              <w:rPr>
                <w:spacing w:val="1"/>
              </w:rPr>
              <w:t>50</w:t>
            </w:r>
            <w:r w:rsidRPr="008A0A30">
              <w:t>%</w:t>
            </w:r>
            <w:r w:rsidRPr="008A0A30">
              <w:rPr>
                <w:spacing w:val="-3"/>
              </w:rPr>
              <w:t xml:space="preserve"> </w:t>
            </w:r>
            <w:r w:rsidRPr="008A0A30">
              <w:rPr>
                <w:spacing w:val="1"/>
              </w:rPr>
              <w:t>(1/2)</w:t>
            </w:r>
          </w:p>
        </w:tc>
        <w:tc>
          <w:tcPr>
            <w:tcW w:w="1019" w:type="pct"/>
            <w:tcBorders>
              <w:top w:val="single" w:sz="12" w:space="0" w:color="000000"/>
              <w:left w:val="single" w:sz="6" w:space="0" w:color="000000"/>
              <w:bottom w:val="single" w:sz="6" w:space="0" w:color="000000"/>
              <w:right w:val="single" w:sz="6" w:space="0" w:color="000000"/>
            </w:tcBorders>
          </w:tcPr>
          <w:p w:rsidR="00280FDE" w:rsidRPr="008A0A30" w:rsidRDefault="00280FDE" w:rsidP="00FC3767">
            <w:pPr>
              <w:spacing w:before="40" w:after="40"/>
              <w:ind w:right="-20"/>
              <w:jc w:val="center"/>
            </w:pPr>
            <w:r w:rsidRPr="008A0A30">
              <w:rPr>
                <w:spacing w:val="1"/>
              </w:rPr>
              <w:t>100</w:t>
            </w:r>
            <w:r w:rsidRPr="008A0A30">
              <w:t>%</w:t>
            </w:r>
            <w:r w:rsidRPr="008A0A30">
              <w:rPr>
                <w:spacing w:val="-4"/>
              </w:rPr>
              <w:t xml:space="preserve"> </w:t>
            </w:r>
            <w:r w:rsidRPr="008A0A30">
              <w:rPr>
                <w:spacing w:val="1"/>
              </w:rPr>
              <w:t>(4/4)</w:t>
            </w:r>
          </w:p>
        </w:tc>
        <w:tc>
          <w:tcPr>
            <w:tcW w:w="978" w:type="pct"/>
            <w:tcBorders>
              <w:top w:val="single" w:sz="12" w:space="0" w:color="000000"/>
              <w:left w:val="single" w:sz="6" w:space="0" w:color="000000"/>
              <w:bottom w:val="single" w:sz="6" w:space="0" w:color="000000"/>
              <w:right w:val="nil"/>
            </w:tcBorders>
          </w:tcPr>
          <w:p w:rsidR="00280FDE" w:rsidRPr="008A0A30" w:rsidRDefault="00280FDE" w:rsidP="00FC3767">
            <w:pPr>
              <w:spacing w:before="40" w:after="40"/>
              <w:ind w:right="-20"/>
              <w:jc w:val="center"/>
            </w:pPr>
            <w:r w:rsidRPr="008A0A30">
              <w:rPr>
                <w:spacing w:val="1"/>
              </w:rPr>
              <w:t>96</w:t>
            </w:r>
            <w:r w:rsidRPr="008A0A30">
              <w:t>%</w:t>
            </w:r>
            <w:r w:rsidRPr="008A0A30">
              <w:rPr>
                <w:spacing w:val="-3"/>
              </w:rPr>
              <w:t xml:space="preserve"> </w:t>
            </w:r>
            <w:r w:rsidRPr="008A0A30">
              <w:rPr>
                <w:spacing w:val="1"/>
              </w:rPr>
              <w:t>(24/25)</w:t>
            </w:r>
          </w:p>
        </w:tc>
      </w:tr>
      <w:tr w:rsidR="00280FDE" w:rsidRPr="008A0A30" w:rsidTr="00280FDE">
        <w:trPr>
          <w:trHeight w:hRule="exact" w:val="605"/>
          <w:jc w:val="center"/>
        </w:trPr>
        <w:tc>
          <w:tcPr>
            <w:tcW w:w="1055" w:type="pct"/>
            <w:tcBorders>
              <w:top w:val="single" w:sz="6" w:space="0" w:color="000000"/>
              <w:left w:val="nil"/>
              <w:bottom w:val="single" w:sz="12" w:space="0" w:color="000000"/>
              <w:right w:val="single" w:sz="6" w:space="0" w:color="000000"/>
            </w:tcBorders>
          </w:tcPr>
          <w:p w:rsidR="00280FDE" w:rsidRPr="008A0A30" w:rsidRDefault="00280FDE" w:rsidP="00FC3767">
            <w:pPr>
              <w:spacing w:before="40" w:after="40"/>
              <w:ind w:left="122" w:right="-20"/>
            </w:pPr>
            <w:r w:rsidRPr="008A0A30">
              <w:t>Without</w:t>
            </w:r>
            <w:r w:rsidRPr="008A0A30">
              <w:rPr>
                <w:spacing w:val="-7"/>
              </w:rPr>
              <w:t xml:space="preserve"> </w:t>
            </w:r>
            <w:r w:rsidRPr="008A0A30">
              <w:t>baseline</w:t>
            </w:r>
          </w:p>
          <w:p w:rsidR="00280FDE" w:rsidRPr="008A0A30" w:rsidRDefault="00280FDE" w:rsidP="00FC3767">
            <w:pPr>
              <w:spacing w:before="40" w:after="40" w:line="228" w:lineRule="exact"/>
              <w:ind w:left="122" w:right="-20"/>
            </w:pPr>
            <w:r w:rsidRPr="008A0A30">
              <w:t>NS5A</w:t>
            </w:r>
            <w:r w:rsidRPr="008A0A30">
              <w:rPr>
                <w:spacing w:val="-4"/>
              </w:rPr>
              <w:t xml:space="preserve"> </w:t>
            </w:r>
            <w:r w:rsidRPr="008A0A30">
              <w:t>RAVs</w:t>
            </w:r>
          </w:p>
        </w:tc>
        <w:tc>
          <w:tcPr>
            <w:tcW w:w="930" w:type="pct"/>
            <w:tcBorders>
              <w:top w:val="single" w:sz="6" w:space="0" w:color="000000"/>
              <w:left w:val="single" w:sz="6" w:space="0" w:color="000000"/>
              <w:bottom w:val="single" w:sz="12" w:space="0" w:color="000000"/>
              <w:right w:val="single" w:sz="6" w:space="0" w:color="000000"/>
            </w:tcBorders>
          </w:tcPr>
          <w:p w:rsidR="00280FDE" w:rsidRPr="008A0A30" w:rsidRDefault="00280FDE" w:rsidP="00FC3767">
            <w:pPr>
              <w:spacing w:before="40" w:after="40"/>
              <w:ind w:right="-20"/>
              <w:jc w:val="center"/>
            </w:pPr>
            <w:r w:rsidRPr="008A0A30">
              <w:rPr>
                <w:spacing w:val="1"/>
              </w:rPr>
              <w:t>98</w:t>
            </w:r>
            <w:r w:rsidRPr="008A0A30">
              <w:t>%</w:t>
            </w:r>
            <w:r w:rsidRPr="008A0A30">
              <w:rPr>
                <w:spacing w:val="-3"/>
              </w:rPr>
              <w:t xml:space="preserve"> </w:t>
            </w:r>
            <w:r w:rsidRPr="008A0A30">
              <w:rPr>
                <w:spacing w:val="1"/>
              </w:rPr>
              <w:t>(46/47)</w:t>
            </w:r>
          </w:p>
        </w:tc>
        <w:tc>
          <w:tcPr>
            <w:tcW w:w="1018" w:type="pct"/>
            <w:tcBorders>
              <w:top w:val="single" w:sz="6" w:space="0" w:color="000000"/>
              <w:left w:val="single" w:sz="6" w:space="0" w:color="000000"/>
              <w:bottom w:val="single" w:sz="12" w:space="0" w:color="000000"/>
              <w:right w:val="single" w:sz="6" w:space="0" w:color="000000"/>
            </w:tcBorders>
          </w:tcPr>
          <w:p w:rsidR="00280FDE" w:rsidRPr="008A0A30" w:rsidRDefault="00280FDE" w:rsidP="00FC3767">
            <w:pPr>
              <w:spacing w:before="40" w:after="40"/>
              <w:ind w:right="-20"/>
              <w:jc w:val="center"/>
            </w:pPr>
            <w:r w:rsidRPr="008A0A30">
              <w:rPr>
                <w:spacing w:val="1"/>
              </w:rPr>
              <w:t>91</w:t>
            </w:r>
            <w:r w:rsidRPr="008A0A30">
              <w:t>%</w:t>
            </w:r>
            <w:r w:rsidRPr="008A0A30">
              <w:rPr>
                <w:spacing w:val="-3"/>
              </w:rPr>
              <w:t xml:space="preserve"> </w:t>
            </w:r>
            <w:r w:rsidRPr="008A0A30">
              <w:rPr>
                <w:spacing w:val="1"/>
              </w:rPr>
              <w:t>(10/11)</w:t>
            </w:r>
          </w:p>
        </w:tc>
        <w:tc>
          <w:tcPr>
            <w:tcW w:w="1019" w:type="pct"/>
            <w:tcBorders>
              <w:top w:val="single" w:sz="6" w:space="0" w:color="000000"/>
              <w:left w:val="single" w:sz="6" w:space="0" w:color="000000"/>
              <w:bottom w:val="single" w:sz="12" w:space="0" w:color="000000"/>
              <w:right w:val="single" w:sz="6" w:space="0" w:color="000000"/>
            </w:tcBorders>
          </w:tcPr>
          <w:p w:rsidR="00280FDE" w:rsidRPr="008A0A30" w:rsidRDefault="00280FDE" w:rsidP="00FC3767">
            <w:pPr>
              <w:spacing w:before="40" w:after="40"/>
              <w:ind w:right="-20"/>
              <w:jc w:val="center"/>
            </w:pPr>
            <w:r w:rsidRPr="008A0A30">
              <w:rPr>
                <w:spacing w:val="1"/>
              </w:rPr>
              <w:t>100</w:t>
            </w:r>
            <w:r w:rsidRPr="008A0A30">
              <w:t>%</w:t>
            </w:r>
            <w:r w:rsidRPr="008A0A30">
              <w:rPr>
                <w:spacing w:val="-4"/>
              </w:rPr>
              <w:t xml:space="preserve"> </w:t>
            </w:r>
            <w:r w:rsidRPr="008A0A30">
              <w:rPr>
                <w:spacing w:val="1"/>
              </w:rPr>
              <w:t>(2/2)</w:t>
            </w:r>
          </w:p>
        </w:tc>
        <w:tc>
          <w:tcPr>
            <w:tcW w:w="978" w:type="pct"/>
            <w:tcBorders>
              <w:top w:val="single" w:sz="6" w:space="0" w:color="000000"/>
              <w:left w:val="single" w:sz="6" w:space="0" w:color="000000"/>
              <w:bottom w:val="single" w:sz="12" w:space="0" w:color="000000"/>
              <w:right w:val="nil"/>
            </w:tcBorders>
          </w:tcPr>
          <w:p w:rsidR="00280FDE" w:rsidRPr="008A0A30" w:rsidRDefault="00280FDE" w:rsidP="00FC3767">
            <w:pPr>
              <w:spacing w:before="40" w:after="40"/>
              <w:ind w:right="-20"/>
              <w:jc w:val="center"/>
            </w:pPr>
            <w:r w:rsidRPr="008A0A30">
              <w:rPr>
                <w:spacing w:val="1"/>
              </w:rPr>
              <w:t>98</w:t>
            </w:r>
            <w:r w:rsidRPr="008A0A30">
              <w:t>%</w:t>
            </w:r>
            <w:r w:rsidRPr="008A0A30">
              <w:rPr>
                <w:spacing w:val="-3"/>
              </w:rPr>
              <w:t xml:space="preserve"> </w:t>
            </w:r>
            <w:r w:rsidRPr="008A0A30">
              <w:rPr>
                <w:spacing w:val="1"/>
              </w:rPr>
              <w:t>(58/60)</w:t>
            </w:r>
          </w:p>
        </w:tc>
      </w:tr>
    </w:tbl>
    <w:p w:rsidR="00280FDE" w:rsidRPr="008A0A30" w:rsidRDefault="00280FDE" w:rsidP="00FC3767">
      <w:pPr>
        <w:rPr>
          <w:szCs w:val="24"/>
        </w:rPr>
      </w:pPr>
      <w:r w:rsidRPr="008A0A30">
        <w:rPr>
          <w:szCs w:val="24"/>
        </w:rPr>
        <w:t>The single geno</w:t>
      </w:r>
      <w:r w:rsidRPr="008A0A30">
        <w:rPr>
          <w:spacing w:val="5"/>
          <w:szCs w:val="24"/>
        </w:rPr>
        <w:t>t</w:t>
      </w:r>
      <w:r w:rsidRPr="008A0A30">
        <w:rPr>
          <w:szCs w:val="24"/>
        </w:rPr>
        <w:t xml:space="preserve">ype 3 </w:t>
      </w:r>
      <w:r w:rsidR="00A26D7D">
        <w:rPr>
          <w:szCs w:val="24"/>
        </w:rPr>
        <w:t>patient</w:t>
      </w:r>
      <w:r w:rsidR="00A26D7D" w:rsidRPr="008A0A30">
        <w:rPr>
          <w:szCs w:val="24"/>
        </w:rPr>
        <w:t xml:space="preserve"> </w:t>
      </w:r>
      <w:r w:rsidRPr="008A0A30">
        <w:rPr>
          <w:szCs w:val="24"/>
        </w:rPr>
        <w:t xml:space="preserve">who had baseline NS5A RAVs and failed to achieve SVR12 had NS5A substitution Y93H at baseline; pharmacokinetic data from this </w:t>
      </w:r>
      <w:r w:rsidR="00A26D7D">
        <w:rPr>
          <w:szCs w:val="24"/>
        </w:rPr>
        <w:t>patient</w:t>
      </w:r>
      <w:r w:rsidR="00A26D7D" w:rsidRPr="008A0A30">
        <w:rPr>
          <w:szCs w:val="24"/>
        </w:rPr>
        <w:t xml:space="preserve"> </w:t>
      </w:r>
      <w:r w:rsidRPr="008A0A30">
        <w:rPr>
          <w:szCs w:val="24"/>
        </w:rPr>
        <w:t>was consistent with non</w:t>
      </w:r>
      <w:r w:rsidRPr="008A0A30">
        <w:rPr>
          <w:spacing w:val="-1"/>
          <w:szCs w:val="24"/>
        </w:rPr>
        <w:t>-</w:t>
      </w:r>
      <w:r w:rsidRPr="008A0A30">
        <w:rPr>
          <w:szCs w:val="24"/>
        </w:rPr>
        <w:t>adherence.</w:t>
      </w:r>
    </w:p>
    <w:p w:rsidR="00280FDE" w:rsidRPr="008A0A30" w:rsidRDefault="00280FDE" w:rsidP="00FC3767">
      <w:pPr>
        <w:rPr>
          <w:szCs w:val="24"/>
        </w:rPr>
      </w:pPr>
      <w:r w:rsidRPr="008A0A30">
        <w:rPr>
          <w:szCs w:val="24"/>
        </w:rPr>
        <w:t>T</w:t>
      </w:r>
      <w:r w:rsidR="001B1D99" w:rsidRPr="008A0A30">
        <w:rPr>
          <w:szCs w:val="24"/>
        </w:rPr>
        <w:t xml:space="preserve">hree </w:t>
      </w:r>
      <w:r w:rsidR="00A26D7D">
        <w:rPr>
          <w:szCs w:val="24"/>
        </w:rPr>
        <w:t>patients</w:t>
      </w:r>
      <w:r w:rsidR="00A26D7D" w:rsidRPr="008A0A30">
        <w:rPr>
          <w:szCs w:val="24"/>
        </w:rPr>
        <w:t xml:space="preserve"> </w:t>
      </w:r>
      <w:r w:rsidR="001B1D99" w:rsidRPr="008A0A30">
        <w:rPr>
          <w:szCs w:val="24"/>
        </w:rPr>
        <w:t xml:space="preserve">in the </w:t>
      </w:r>
      <w:r w:rsidR="00C3685A">
        <w:rPr>
          <w:szCs w:val="24"/>
        </w:rPr>
        <w:t>EPCLUSA</w:t>
      </w:r>
      <w:r w:rsidR="001B1D99" w:rsidRPr="008A0A30">
        <w:rPr>
          <w:szCs w:val="24"/>
        </w:rPr>
        <w:t xml:space="preserve"> </w:t>
      </w:r>
      <w:r w:rsidRPr="008A0A30">
        <w:rPr>
          <w:szCs w:val="24"/>
        </w:rPr>
        <w:t>+</w:t>
      </w:r>
      <w:r w:rsidR="001B1D99" w:rsidRPr="008A0A30">
        <w:rPr>
          <w:szCs w:val="24"/>
        </w:rPr>
        <w:t xml:space="preserve"> </w:t>
      </w:r>
      <w:r w:rsidRPr="008A0A30">
        <w:rPr>
          <w:szCs w:val="24"/>
        </w:rPr>
        <w:t>RBV 12 week group had</w:t>
      </w:r>
      <w:r w:rsidRPr="008A0A30">
        <w:rPr>
          <w:spacing w:val="-1"/>
          <w:szCs w:val="24"/>
        </w:rPr>
        <w:t xml:space="preserve"> </w:t>
      </w:r>
      <w:r w:rsidRPr="008A0A30">
        <w:rPr>
          <w:szCs w:val="24"/>
        </w:rPr>
        <w:t xml:space="preserve">baseline NS5B NI RAVs (N142T and L159F) and all three </w:t>
      </w:r>
      <w:r w:rsidR="00A26D7D">
        <w:rPr>
          <w:szCs w:val="24"/>
        </w:rPr>
        <w:t>patients</w:t>
      </w:r>
      <w:r w:rsidR="00A26D7D" w:rsidRPr="008A0A30">
        <w:rPr>
          <w:szCs w:val="24"/>
        </w:rPr>
        <w:t xml:space="preserve"> </w:t>
      </w:r>
      <w:r w:rsidRPr="008A0A30">
        <w:rPr>
          <w:szCs w:val="24"/>
        </w:rPr>
        <w:t>achieved SVR12.</w:t>
      </w:r>
    </w:p>
    <w:p w:rsidR="001B1D99" w:rsidRPr="008A0A30" w:rsidRDefault="001B1D99" w:rsidP="00FC3767">
      <w:pPr>
        <w:pStyle w:val="Heading2"/>
      </w:pPr>
      <w:r w:rsidRPr="008A0A30">
        <w:t>Cross Resistance</w:t>
      </w:r>
    </w:p>
    <w:p w:rsidR="005C0EE5" w:rsidRPr="008A0A30" w:rsidRDefault="001B1D99" w:rsidP="00FC3767">
      <w:pPr>
        <w:rPr>
          <w:rStyle w:val="CommentReference"/>
          <w:sz w:val="24"/>
          <w:szCs w:val="20"/>
        </w:rPr>
      </w:pPr>
      <w:r w:rsidRPr="008A0A30">
        <w:rPr>
          <w:i/>
        </w:rPr>
        <w:t>In vitro</w:t>
      </w:r>
      <w:r w:rsidRPr="008A0A30">
        <w:t xml:space="preserve"> data suggest that the majority</w:t>
      </w:r>
      <w:r w:rsidRPr="008A0A30">
        <w:rPr>
          <w:spacing w:val="-5"/>
        </w:rPr>
        <w:t xml:space="preserve"> </w:t>
      </w:r>
      <w:r w:rsidRPr="008A0A30">
        <w:t xml:space="preserve">of NS5A RAVs that confer resistance to ledipasvir and daclatasvir remained susceptible to velpatasvir. Velpatasvir was </w:t>
      </w:r>
      <w:r w:rsidRPr="008A0A30">
        <w:rPr>
          <w:spacing w:val="1"/>
        </w:rPr>
        <w:t>full</w:t>
      </w:r>
      <w:r w:rsidRPr="008A0A30">
        <w:t>y</w:t>
      </w:r>
      <w:r w:rsidRPr="008A0A30">
        <w:rPr>
          <w:spacing w:val="-5"/>
        </w:rPr>
        <w:t xml:space="preserve"> </w:t>
      </w:r>
      <w:r w:rsidRPr="008A0A30">
        <w:t>active against the sofosbuvir resistanc</w:t>
      </w:r>
      <w:r w:rsidRPr="008A0A30">
        <w:rPr>
          <w:spacing w:val="-1"/>
        </w:rPr>
        <w:t>e-</w:t>
      </w:r>
      <w:r w:rsidRPr="008A0A30">
        <w:t>associated substitution S282T in NS5B</w:t>
      </w:r>
      <w:r w:rsidR="00E530A0">
        <w:t>,</w:t>
      </w:r>
      <w:r w:rsidRPr="008A0A30">
        <w:t xml:space="preserve"> while all velpatasvir resistanc</w:t>
      </w:r>
      <w:r w:rsidRPr="008A0A30">
        <w:rPr>
          <w:spacing w:val="1"/>
        </w:rPr>
        <w:t>e</w:t>
      </w:r>
      <w:r w:rsidRPr="008A0A30">
        <w:rPr>
          <w:spacing w:val="-1"/>
        </w:rPr>
        <w:t>-</w:t>
      </w:r>
      <w:r w:rsidRPr="008A0A30">
        <w:t>associated substitutions in NS5A were fully</w:t>
      </w:r>
      <w:r w:rsidRPr="008A0A30">
        <w:rPr>
          <w:spacing w:val="-4"/>
        </w:rPr>
        <w:t xml:space="preserve"> </w:t>
      </w:r>
      <w:r w:rsidRPr="008A0A30">
        <w:t>susceptible to sofosbuvir. Both sofosbuvir and velpatasvir were fully active against substitutions associated with resistance to other classes of direct acting antivirals with different mechanisms of actions, such as NS5B no</w:t>
      </w:r>
      <w:r w:rsidRPr="008A0A30">
        <w:rPr>
          <w:spacing w:val="-2"/>
        </w:rPr>
        <w:t>n</w:t>
      </w:r>
      <w:r w:rsidRPr="008A0A30">
        <w:rPr>
          <w:spacing w:val="-1"/>
        </w:rPr>
        <w:t>-</w:t>
      </w:r>
      <w:r w:rsidRPr="008A0A30">
        <w:t>nucleoside inhibitors and NS3 protease inhibitors. The efficacy</w:t>
      </w:r>
      <w:r w:rsidRPr="008A0A30">
        <w:rPr>
          <w:spacing w:val="-5"/>
        </w:rPr>
        <w:t xml:space="preserve"> </w:t>
      </w:r>
      <w:r w:rsidR="003F772C" w:rsidRPr="008A0A30">
        <w:t xml:space="preserve">of </w:t>
      </w:r>
      <w:r w:rsidR="00C3685A">
        <w:t>EPCLUSA</w:t>
      </w:r>
      <w:r w:rsidRPr="008A0A30">
        <w:t xml:space="preserve"> has not been established in patients who have</w:t>
      </w:r>
      <w:r w:rsidRPr="008A0A30">
        <w:rPr>
          <w:spacing w:val="-1"/>
        </w:rPr>
        <w:t xml:space="preserve"> </w:t>
      </w:r>
      <w:r w:rsidRPr="008A0A30">
        <w:rPr>
          <w:spacing w:val="1"/>
        </w:rPr>
        <w:t>previousl</w:t>
      </w:r>
      <w:r w:rsidRPr="008A0A30">
        <w:t>y</w:t>
      </w:r>
      <w:r w:rsidRPr="008A0A30">
        <w:rPr>
          <w:spacing w:val="-5"/>
        </w:rPr>
        <w:t xml:space="preserve"> </w:t>
      </w:r>
      <w:r w:rsidRPr="008A0A30">
        <w:t>failed treatment with other regimens that include an NS5A inhibitor.</w:t>
      </w:r>
    </w:p>
    <w:p w:rsidR="007254DD" w:rsidRPr="008A0A30" w:rsidRDefault="007254DD" w:rsidP="00FC3767">
      <w:pPr>
        <w:pStyle w:val="Heading2"/>
      </w:pPr>
      <w:r w:rsidRPr="008A0A30">
        <w:t>Pharmacokinetics</w:t>
      </w:r>
    </w:p>
    <w:p w:rsidR="001D770C" w:rsidRPr="008A0A30" w:rsidRDefault="001D770C" w:rsidP="00FC3767">
      <w:pPr>
        <w:pStyle w:val="Heading3"/>
      </w:pPr>
      <w:r w:rsidRPr="008A0A30">
        <w:t>Absorption</w:t>
      </w:r>
    </w:p>
    <w:p w:rsidR="001D770C" w:rsidRPr="008A0A30" w:rsidRDefault="001D770C" w:rsidP="00FC3767">
      <w:r w:rsidRPr="008A0A30">
        <w:t>The pharmacokinetic properties of sofosbuvir, G</w:t>
      </w:r>
      <w:r w:rsidRPr="008A0A30">
        <w:rPr>
          <w:spacing w:val="2"/>
        </w:rPr>
        <w:t>S</w:t>
      </w:r>
      <w:r w:rsidRPr="008A0A30">
        <w:rPr>
          <w:spacing w:val="-1"/>
        </w:rPr>
        <w:t>-</w:t>
      </w:r>
      <w:r w:rsidRPr="008A0A30">
        <w:t xml:space="preserve">331007 </w:t>
      </w:r>
      <w:r w:rsidR="00E530A0" w:rsidRPr="00E530A0">
        <w:t>(the predominant circulating metabolite of sofosbuvir),</w:t>
      </w:r>
      <w:r w:rsidR="00E530A0">
        <w:t xml:space="preserve"> </w:t>
      </w:r>
      <w:r w:rsidRPr="008A0A30">
        <w:t>and velpatasvir have been evaluated in healthy</w:t>
      </w:r>
      <w:r w:rsidRPr="008A0A30">
        <w:rPr>
          <w:spacing w:val="-5"/>
        </w:rPr>
        <w:t xml:space="preserve"> </w:t>
      </w:r>
      <w:r w:rsidRPr="008A0A30">
        <w:t xml:space="preserve">adult </w:t>
      </w:r>
      <w:r w:rsidR="00AE406F" w:rsidRPr="008A0A30">
        <w:t>subjects</w:t>
      </w:r>
      <w:r w:rsidRPr="008A0A30">
        <w:t xml:space="preserve"> and in </w:t>
      </w:r>
      <w:r w:rsidR="00BB20DA" w:rsidRPr="008A0A30">
        <w:t xml:space="preserve">patients </w:t>
      </w:r>
      <w:r w:rsidRPr="008A0A30">
        <w:t>wi</w:t>
      </w:r>
      <w:r w:rsidRPr="008A0A30">
        <w:rPr>
          <w:spacing w:val="1"/>
        </w:rPr>
        <w:t>t</w:t>
      </w:r>
      <w:r w:rsidRPr="008A0A30">
        <w:t>h chronic hepatitis C. Following oral administration</w:t>
      </w:r>
      <w:r w:rsidR="00BB20DA" w:rsidRPr="008A0A30">
        <w:t xml:space="preserve"> </w:t>
      </w:r>
      <w:r w:rsidRPr="008A0A30">
        <w:t xml:space="preserve">of </w:t>
      </w:r>
      <w:r w:rsidR="00C3685A">
        <w:t>EPCLUSA</w:t>
      </w:r>
      <w:r w:rsidRPr="008A0A30">
        <w:t>, sofosbuvir was absorbed quickly</w:t>
      </w:r>
      <w:r w:rsidRPr="008A0A30">
        <w:rPr>
          <w:spacing w:val="-4"/>
        </w:rPr>
        <w:t xml:space="preserve"> </w:t>
      </w:r>
      <w:r w:rsidRPr="008A0A30">
        <w:t>and the peak median plasma concentration was observed 0.5</w:t>
      </w:r>
      <w:r w:rsidRPr="008A0A30">
        <w:rPr>
          <w:spacing w:val="-1"/>
        </w:rPr>
        <w:t>-</w:t>
      </w:r>
      <w:r w:rsidRPr="008A0A30">
        <w:t>1.0 hour pos</w:t>
      </w:r>
      <w:r w:rsidRPr="008A0A30">
        <w:rPr>
          <w:spacing w:val="1"/>
        </w:rPr>
        <w:t>t</w:t>
      </w:r>
      <w:r w:rsidRPr="008A0A30">
        <w:rPr>
          <w:spacing w:val="-1"/>
        </w:rPr>
        <w:t>-</w:t>
      </w:r>
      <w:r w:rsidRPr="008A0A30">
        <w:t>dose. Median peak plasma concentration of G</w:t>
      </w:r>
      <w:r w:rsidRPr="008A0A30">
        <w:rPr>
          <w:spacing w:val="1"/>
        </w:rPr>
        <w:t>S</w:t>
      </w:r>
      <w:r w:rsidRPr="008A0A30">
        <w:rPr>
          <w:spacing w:val="-1"/>
        </w:rPr>
        <w:t>-</w:t>
      </w:r>
      <w:r w:rsidRPr="008A0A30">
        <w:t>331007 was observed 3.0 hours post</w:t>
      </w:r>
      <w:r w:rsidRPr="008A0A30">
        <w:rPr>
          <w:spacing w:val="2"/>
        </w:rPr>
        <w:t>-</w:t>
      </w:r>
      <w:r w:rsidRPr="008A0A30">
        <w:t>dose. Velpatasvir median peak concentrations were observed 3.0 hours pos</w:t>
      </w:r>
      <w:r w:rsidRPr="008A0A30">
        <w:rPr>
          <w:spacing w:val="1"/>
        </w:rPr>
        <w:t>t</w:t>
      </w:r>
      <w:r w:rsidRPr="008A0A30">
        <w:rPr>
          <w:spacing w:val="-1"/>
        </w:rPr>
        <w:t>-</w:t>
      </w:r>
      <w:r w:rsidRPr="008A0A30">
        <w:t>dose.</w:t>
      </w:r>
    </w:p>
    <w:p w:rsidR="001D770C" w:rsidRPr="008A0A30" w:rsidRDefault="001D770C" w:rsidP="00FC3767">
      <w:r w:rsidRPr="008A0A30">
        <w:t>Based on the population pharmacokinetic ana</w:t>
      </w:r>
      <w:r w:rsidRPr="008A0A30">
        <w:rPr>
          <w:spacing w:val="5"/>
        </w:rPr>
        <w:t>l</w:t>
      </w:r>
      <w:r w:rsidRPr="008A0A30">
        <w:rPr>
          <w:spacing w:val="-5"/>
        </w:rPr>
        <w:t>y</w:t>
      </w:r>
      <w:r w:rsidRPr="008A0A30">
        <w:t>sis</w:t>
      </w:r>
      <w:r w:rsidRPr="008A0A30">
        <w:rPr>
          <w:spacing w:val="1"/>
        </w:rPr>
        <w:t xml:space="preserve"> </w:t>
      </w:r>
      <w:r w:rsidRPr="008A0A30">
        <w:t>in</w:t>
      </w:r>
      <w:r w:rsidRPr="008A0A30">
        <w:rPr>
          <w:spacing w:val="1"/>
        </w:rPr>
        <w:t xml:space="preserve"> </w:t>
      </w:r>
      <w:r w:rsidRPr="008A0A30">
        <w:t>HCV</w:t>
      </w:r>
      <w:r w:rsidRPr="008A0A30">
        <w:rPr>
          <w:spacing w:val="-1"/>
        </w:rPr>
        <w:t>-</w:t>
      </w:r>
      <w:r w:rsidRPr="008A0A30">
        <w:t xml:space="preserve">infected </w:t>
      </w:r>
      <w:r w:rsidR="00BB20DA" w:rsidRPr="008A0A30">
        <w:t>patients</w:t>
      </w:r>
      <w:r w:rsidRPr="008A0A30">
        <w:t>, mean stea</w:t>
      </w:r>
      <w:r w:rsidRPr="008A0A30">
        <w:rPr>
          <w:spacing w:val="4"/>
        </w:rPr>
        <w:t>d</w:t>
      </w:r>
      <w:r w:rsidRPr="008A0A30">
        <w:rPr>
          <w:spacing w:val="-5"/>
        </w:rPr>
        <w:t>y</w:t>
      </w:r>
      <w:r w:rsidRPr="008A0A30">
        <w:rPr>
          <w:spacing w:val="-1"/>
        </w:rPr>
        <w:t>-</w:t>
      </w:r>
      <w:r w:rsidRPr="008A0A30">
        <w:t>state AUC</w:t>
      </w:r>
      <w:r w:rsidRPr="008A0A30">
        <w:rPr>
          <w:vertAlign w:val="subscript"/>
        </w:rPr>
        <w:t>0</w:t>
      </w:r>
      <w:r w:rsidRPr="008A0A30">
        <w:rPr>
          <w:spacing w:val="-1"/>
          <w:vertAlign w:val="subscript"/>
        </w:rPr>
        <w:t>-</w:t>
      </w:r>
      <w:r w:rsidRPr="008A0A30">
        <w:rPr>
          <w:vertAlign w:val="subscript"/>
        </w:rPr>
        <w:t xml:space="preserve">24 </w:t>
      </w:r>
      <w:r w:rsidRPr="008A0A30">
        <w:t>for sofosbuvir (N=982), G</w:t>
      </w:r>
      <w:r w:rsidRPr="008A0A30">
        <w:rPr>
          <w:spacing w:val="1"/>
        </w:rPr>
        <w:t>S</w:t>
      </w:r>
      <w:r w:rsidRPr="008A0A30">
        <w:rPr>
          <w:spacing w:val="-1"/>
        </w:rPr>
        <w:t>-</w:t>
      </w:r>
      <w:r w:rsidRPr="008A0A30">
        <w:t>331007 (N=1428)</w:t>
      </w:r>
      <w:r w:rsidR="00E530A0">
        <w:t>,</w:t>
      </w:r>
      <w:r w:rsidRPr="008A0A30">
        <w:t xml:space="preserve"> and velpatasvir (N=1425) were 1260, 13970</w:t>
      </w:r>
      <w:r w:rsidR="00E530A0">
        <w:t>,</w:t>
      </w:r>
      <w:r w:rsidRPr="008A0A30">
        <w:t xml:space="preserve"> and 2970 ng•hr/mL, respective</w:t>
      </w:r>
      <w:r w:rsidRPr="008A0A30">
        <w:rPr>
          <w:spacing w:val="4"/>
        </w:rPr>
        <w:t>l</w:t>
      </w:r>
      <w:r w:rsidRPr="008A0A30">
        <w:rPr>
          <w:spacing w:val="-1"/>
        </w:rPr>
        <w:t>y</w:t>
      </w:r>
      <w:r w:rsidRPr="008A0A30">
        <w:t>.</w:t>
      </w:r>
      <w:r w:rsidRPr="008A0A30">
        <w:rPr>
          <w:spacing w:val="-1"/>
        </w:rPr>
        <w:t xml:space="preserve"> Stea</w:t>
      </w:r>
      <w:r w:rsidRPr="008A0A30">
        <w:rPr>
          <w:spacing w:val="5"/>
        </w:rPr>
        <w:t>d</w:t>
      </w:r>
      <w:r w:rsidRPr="008A0A30">
        <w:rPr>
          <w:spacing w:val="-5"/>
        </w:rPr>
        <w:t>y</w:t>
      </w:r>
      <w:r w:rsidRPr="008A0A30">
        <w:rPr>
          <w:spacing w:val="2"/>
        </w:rPr>
        <w:t>-</w:t>
      </w:r>
      <w:r w:rsidRPr="008A0A30">
        <w:t>state C</w:t>
      </w:r>
      <w:r w:rsidRPr="008A0A30">
        <w:rPr>
          <w:vertAlign w:val="subscript"/>
        </w:rPr>
        <w:t>max</w:t>
      </w:r>
      <w:r w:rsidRPr="008A0A30">
        <w:t xml:space="preserve"> for sofosbuvir, GS</w:t>
      </w:r>
      <w:r w:rsidRPr="008A0A30">
        <w:rPr>
          <w:spacing w:val="-1"/>
        </w:rPr>
        <w:t>-</w:t>
      </w:r>
      <w:r w:rsidRPr="008A0A30">
        <w:t>331007</w:t>
      </w:r>
      <w:r w:rsidR="00E530A0">
        <w:t>,</w:t>
      </w:r>
      <w:r w:rsidRPr="008A0A30">
        <w:t xml:space="preserve"> and velpatasvir were 566, 868</w:t>
      </w:r>
      <w:r w:rsidR="00E530A0">
        <w:t>,</w:t>
      </w:r>
      <w:r w:rsidRPr="008A0A30">
        <w:t xml:space="preserve"> and 259 ng/mL, respectivel</w:t>
      </w:r>
      <w:r w:rsidRPr="008A0A30">
        <w:rPr>
          <w:spacing w:val="-4"/>
        </w:rPr>
        <w:t>y</w:t>
      </w:r>
      <w:r w:rsidRPr="008A0A30">
        <w:t>. Sofosbuvir and G</w:t>
      </w:r>
      <w:r w:rsidRPr="008A0A30">
        <w:rPr>
          <w:spacing w:val="1"/>
        </w:rPr>
        <w:t>S</w:t>
      </w:r>
      <w:r w:rsidRPr="008A0A30">
        <w:rPr>
          <w:spacing w:val="-1"/>
        </w:rPr>
        <w:t>-</w:t>
      </w:r>
      <w:r w:rsidRPr="008A0A30">
        <w:t>331007 AUC</w:t>
      </w:r>
      <w:r w:rsidRPr="008A0A30">
        <w:rPr>
          <w:vertAlign w:val="subscript"/>
        </w:rPr>
        <w:t>0</w:t>
      </w:r>
      <w:r w:rsidRPr="008A0A30">
        <w:rPr>
          <w:spacing w:val="-1"/>
          <w:vertAlign w:val="subscript"/>
        </w:rPr>
        <w:t>-</w:t>
      </w:r>
      <w:r w:rsidRPr="008A0A30">
        <w:rPr>
          <w:vertAlign w:val="subscript"/>
        </w:rPr>
        <w:t xml:space="preserve">24 </w:t>
      </w:r>
      <w:r w:rsidRPr="008A0A30">
        <w:t>and C</w:t>
      </w:r>
      <w:r w:rsidRPr="008A0A30">
        <w:rPr>
          <w:vertAlign w:val="subscript"/>
        </w:rPr>
        <w:t>max</w:t>
      </w:r>
      <w:r w:rsidRPr="008A0A30">
        <w:t xml:space="preserve"> were similar in healthy</w:t>
      </w:r>
      <w:r w:rsidRPr="008A0A30">
        <w:rPr>
          <w:spacing w:val="-5"/>
        </w:rPr>
        <w:t xml:space="preserve"> </w:t>
      </w:r>
      <w:r w:rsidRPr="008A0A30">
        <w:t xml:space="preserve">adult </w:t>
      </w:r>
      <w:r w:rsidR="00AE406F" w:rsidRPr="008A0A30">
        <w:t xml:space="preserve">subjects </w:t>
      </w:r>
      <w:r w:rsidRPr="008A0A30">
        <w:t xml:space="preserve">and </w:t>
      </w:r>
      <w:r w:rsidR="00BB20DA" w:rsidRPr="008A0A30">
        <w:t xml:space="preserve">patients </w:t>
      </w:r>
      <w:r w:rsidRPr="008A0A30">
        <w:t>with HCV infection.</w:t>
      </w:r>
      <w:r w:rsidR="00FC3767">
        <w:t xml:space="preserve"> </w:t>
      </w:r>
      <w:r w:rsidRPr="008A0A30">
        <w:t>Relative to healthy</w:t>
      </w:r>
      <w:r w:rsidRPr="008A0A30">
        <w:rPr>
          <w:spacing w:val="-5"/>
        </w:rPr>
        <w:t xml:space="preserve"> </w:t>
      </w:r>
      <w:r w:rsidR="00AE406F" w:rsidRPr="008A0A30">
        <w:t xml:space="preserve">subjects </w:t>
      </w:r>
      <w:r w:rsidRPr="008A0A30">
        <w:t>(N=331), velpatasvir AUC</w:t>
      </w:r>
      <w:r w:rsidRPr="008A0A30">
        <w:rPr>
          <w:vertAlign w:val="subscript"/>
        </w:rPr>
        <w:t>0</w:t>
      </w:r>
      <w:r w:rsidRPr="008A0A30">
        <w:rPr>
          <w:spacing w:val="-1"/>
          <w:vertAlign w:val="subscript"/>
        </w:rPr>
        <w:t>-</w:t>
      </w:r>
      <w:r w:rsidRPr="008A0A30">
        <w:rPr>
          <w:vertAlign w:val="subscript"/>
        </w:rPr>
        <w:t xml:space="preserve">24 </w:t>
      </w:r>
      <w:r w:rsidRPr="008A0A30">
        <w:t>and C</w:t>
      </w:r>
      <w:r w:rsidRPr="008A0A30">
        <w:rPr>
          <w:vertAlign w:val="subscript"/>
        </w:rPr>
        <w:t>max</w:t>
      </w:r>
      <w:r w:rsidRPr="008A0A30">
        <w:t xml:space="preserve"> were 37% lower and 41% lower, respective</w:t>
      </w:r>
      <w:r w:rsidRPr="008A0A30">
        <w:rPr>
          <w:spacing w:val="5"/>
        </w:rPr>
        <w:t>l</w:t>
      </w:r>
      <w:r w:rsidRPr="008A0A30">
        <w:t>y</w:t>
      </w:r>
      <w:r w:rsidRPr="008A0A30">
        <w:rPr>
          <w:spacing w:val="-1"/>
        </w:rPr>
        <w:t xml:space="preserve"> i</w:t>
      </w:r>
      <w:r w:rsidRPr="008A0A30">
        <w:t>n</w:t>
      </w:r>
      <w:r w:rsidRPr="008A0A30">
        <w:rPr>
          <w:spacing w:val="-1"/>
        </w:rPr>
        <w:t xml:space="preserve"> HCV-</w:t>
      </w:r>
      <w:r w:rsidRPr="008A0A30">
        <w:t xml:space="preserve">infected </w:t>
      </w:r>
      <w:r w:rsidR="00AE406F" w:rsidRPr="008A0A30">
        <w:t>patients</w:t>
      </w:r>
      <w:r w:rsidRPr="008A0A30">
        <w:t>.</w:t>
      </w:r>
    </w:p>
    <w:p w:rsidR="00FC3767" w:rsidRDefault="0037481E" w:rsidP="00FC3767">
      <w:r w:rsidRPr="008A0A30">
        <w:lastRenderedPageBreak/>
        <w:t>Sofosbuvir and GS</w:t>
      </w:r>
      <w:r w:rsidRPr="008A0A30">
        <w:rPr>
          <w:spacing w:val="-1"/>
        </w:rPr>
        <w:t>-</w:t>
      </w:r>
      <w:r w:rsidRPr="008A0A30">
        <w:t>331007 AUCs are near dose proportional over the dose range of 200 mg to 1200 mg.</w:t>
      </w:r>
      <w:r>
        <w:t xml:space="preserve"> </w:t>
      </w:r>
      <w:r w:rsidR="001D770C" w:rsidRPr="008A0A30">
        <w:t>Velpatasvir AUC increases in a greater than proportional manner from 5 to 50 mg and in a less than proportional manner</w:t>
      </w:r>
      <w:r w:rsidR="001D770C" w:rsidRPr="008A0A30">
        <w:rPr>
          <w:spacing w:val="1"/>
        </w:rPr>
        <w:t xml:space="preserve"> </w:t>
      </w:r>
      <w:r w:rsidR="001D770C" w:rsidRPr="008A0A30">
        <w:t>from 50 to 450 mg, indicating velpatasvir abso</w:t>
      </w:r>
      <w:r w:rsidR="00AE406F" w:rsidRPr="008A0A30">
        <w:t>rption is solubility limited.</w:t>
      </w:r>
      <w:r w:rsidR="00D056AB">
        <w:t xml:space="preserve"> </w:t>
      </w:r>
      <w:r w:rsidR="00D056AB" w:rsidRPr="00F402F1">
        <w:t xml:space="preserve">Sofosbuvir and velpatasvir are substrates for both P-gp and </w:t>
      </w:r>
      <w:r w:rsidR="00E03E4E" w:rsidRPr="008A0A30">
        <w:t>breast cancer resistance protein (</w:t>
      </w:r>
      <w:r w:rsidR="00D056AB" w:rsidRPr="00F402F1">
        <w:t>BCRP</w:t>
      </w:r>
      <w:r w:rsidR="00E03E4E">
        <w:t>)</w:t>
      </w:r>
      <w:r w:rsidR="00D056AB" w:rsidRPr="00F402F1">
        <w:t>-mediated transport.</w:t>
      </w:r>
    </w:p>
    <w:p w:rsidR="001D770C" w:rsidRPr="008A0A30" w:rsidRDefault="001D770C" w:rsidP="00FC3767">
      <w:pPr>
        <w:pStyle w:val="Heading3"/>
      </w:pPr>
      <w:r w:rsidRPr="008A0A30">
        <w:t>Distribution</w:t>
      </w:r>
    </w:p>
    <w:p w:rsidR="00487460" w:rsidRPr="008A0A30" w:rsidRDefault="00487460" w:rsidP="00FC3767">
      <w:r w:rsidRPr="008A0A30">
        <w:t>Sofosbuvir is approximately</w:t>
      </w:r>
      <w:r w:rsidRPr="008A0A30">
        <w:rPr>
          <w:spacing w:val="-5"/>
        </w:rPr>
        <w:t xml:space="preserve"> </w:t>
      </w:r>
      <w:r w:rsidRPr="008A0A30">
        <w:t>61</w:t>
      </w:r>
      <w:r w:rsidRPr="008A0A30">
        <w:rPr>
          <w:spacing w:val="-1"/>
        </w:rPr>
        <w:t>-</w:t>
      </w:r>
      <w:r w:rsidRPr="008A0A30">
        <w:t>65% bound to human plasma proteins and the binding is independent of drug concentration over the range of 1</w:t>
      </w:r>
      <w:r w:rsidRPr="008A0A30">
        <w:rPr>
          <w:spacing w:val="1"/>
        </w:rPr>
        <w:t xml:space="preserve"> </w:t>
      </w:r>
      <w:r w:rsidRPr="008A0A30">
        <w:rPr>
          <w:rFonts w:ascii="Symbol" w:eastAsia="Symbol" w:hAnsi="Symbol" w:cs="Symbol"/>
          <w:spacing w:val="-1"/>
        </w:rPr>
        <w:t></w:t>
      </w:r>
      <w:r w:rsidRPr="008A0A30">
        <w:t>g/mL to 20</w:t>
      </w:r>
      <w:r w:rsidRPr="008A0A30">
        <w:rPr>
          <w:spacing w:val="2"/>
        </w:rPr>
        <w:t xml:space="preserve"> </w:t>
      </w:r>
      <w:r w:rsidRPr="008A0A30">
        <w:rPr>
          <w:rFonts w:ascii="Symbol" w:eastAsia="Symbol" w:hAnsi="Symbol" w:cs="Symbol"/>
          <w:spacing w:val="-1"/>
        </w:rPr>
        <w:t></w:t>
      </w:r>
      <w:r w:rsidRPr="008A0A30">
        <w:t xml:space="preserve">g/mL. Protein binding of </w:t>
      </w:r>
      <w:r w:rsidRPr="008A0A30">
        <w:rPr>
          <w:spacing w:val="-1"/>
        </w:rPr>
        <w:t>G</w:t>
      </w:r>
      <w:r w:rsidRPr="008A0A30">
        <w:rPr>
          <w:spacing w:val="1"/>
        </w:rPr>
        <w:t>S</w:t>
      </w:r>
      <w:r w:rsidRPr="008A0A30">
        <w:rPr>
          <w:spacing w:val="-1"/>
        </w:rPr>
        <w:t>-</w:t>
      </w:r>
      <w:r w:rsidRPr="008A0A30">
        <w:t>331007 was minimal in human plasma. After a single 400 mg dose of [</w:t>
      </w:r>
      <w:r w:rsidRPr="008A0A30">
        <w:rPr>
          <w:vertAlign w:val="superscript"/>
        </w:rPr>
        <w:t>14</w:t>
      </w:r>
      <w:r w:rsidRPr="008A0A30">
        <w:t>C</w:t>
      </w:r>
      <w:r w:rsidRPr="008A0A30">
        <w:rPr>
          <w:spacing w:val="2"/>
        </w:rPr>
        <w:t>]</w:t>
      </w:r>
      <w:r w:rsidRPr="008A0A30">
        <w:rPr>
          <w:spacing w:val="-1"/>
        </w:rPr>
        <w:t>-</w:t>
      </w:r>
      <w:r w:rsidRPr="008A0A30">
        <w:t>sofosbuvir in healthy</w:t>
      </w:r>
      <w:r w:rsidRPr="008A0A30">
        <w:rPr>
          <w:spacing w:val="-5"/>
        </w:rPr>
        <w:t xml:space="preserve"> </w:t>
      </w:r>
      <w:r w:rsidRPr="008A0A30">
        <w:t xml:space="preserve">subjects, the blood to plasma ratio of </w:t>
      </w:r>
      <w:r w:rsidRPr="008A0A30">
        <w:rPr>
          <w:vertAlign w:val="superscript"/>
        </w:rPr>
        <w:t>14</w:t>
      </w:r>
      <w:r w:rsidRPr="008A0A30">
        <w:rPr>
          <w:spacing w:val="1"/>
        </w:rPr>
        <w:t>C</w:t>
      </w:r>
      <w:r w:rsidRPr="008A0A30">
        <w:rPr>
          <w:spacing w:val="2"/>
        </w:rPr>
        <w:t>-</w:t>
      </w:r>
      <w:r w:rsidRPr="008A0A30">
        <w:t>radioactivity</w:t>
      </w:r>
      <w:r w:rsidRPr="008A0A30">
        <w:rPr>
          <w:spacing w:val="-5"/>
        </w:rPr>
        <w:t xml:space="preserve"> </w:t>
      </w:r>
      <w:r w:rsidRPr="008A0A30">
        <w:t>was approximately</w:t>
      </w:r>
      <w:r w:rsidRPr="008A0A30">
        <w:rPr>
          <w:spacing w:val="-5"/>
        </w:rPr>
        <w:t xml:space="preserve"> </w:t>
      </w:r>
      <w:r w:rsidRPr="008A0A30">
        <w:t>0.7.</w:t>
      </w:r>
    </w:p>
    <w:p w:rsidR="006828A2" w:rsidRPr="008A0A30" w:rsidRDefault="006828A2" w:rsidP="00FC3767">
      <w:r w:rsidRPr="008A0A30">
        <w:t>Velpatasvir is &gt;99.5% bound to human plasma proteins and binding is independent of drug concentration over the range of 0.09</w:t>
      </w:r>
      <w:r w:rsidRPr="008A0A30">
        <w:rPr>
          <w:spacing w:val="2"/>
        </w:rPr>
        <w:t xml:space="preserve"> </w:t>
      </w:r>
      <w:r w:rsidRPr="008A0A30">
        <w:rPr>
          <w:rFonts w:ascii="Symbol" w:eastAsia="Symbol" w:hAnsi="Symbol" w:cs="Symbol"/>
          <w:spacing w:val="-1"/>
        </w:rPr>
        <w:t></w:t>
      </w:r>
      <w:r w:rsidRPr="008A0A30">
        <w:t>g/mL to 1.8</w:t>
      </w:r>
      <w:r w:rsidRPr="008A0A30">
        <w:rPr>
          <w:spacing w:val="2"/>
        </w:rPr>
        <w:t xml:space="preserve"> </w:t>
      </w:r>
      <w:r w:rsidRPr="008A0A30">
        <w:rPr>
          <w:rFonts w:ascii="Symbol" w:eastAsia="Symbol" w:hAnsi="Symbol" w:cs="Symbol"/>
          <w:spacing w:val="-1"/>
        </w:rPr>
        <w:t></w:t>
      </w:r>
      <w:r w:rsidRPr="008A0A30">
        <w:t>g/m</w:t>
      </w:r>
      <w:r w:rsidRPr="008A0A30">
        <w:rPr>
          <w:spacing w:val="-5"/>
        </w:rPr>
        <w:t>L</w:t>
      </w:r>
      <w:r w:rsidRPr="008A0A30">
        <w:t>. After a sing</w:t>
      </w:r>
      <w:r w:rsidRPr="008A0A30">
        <w:rPr>
          <w:spacing w:val="3"/>
        </w:rPr>
        <w:t>l</w:t>
      </w:r>
      <w:r w:rsidRPr="008A0A30">
        <w:t>e 100 mg dose of [</w:t>
      </w:r>
      <w:r w:rsidRPr="008A0A30">
        <w:rPr>
          <w:vertAlign w:val="superscript"/>
        </w:rPr>
        <w:t>14</w:t>
      </w:r>
      <w:r w:rsidRPr="008A0A30">
        <w:t>C</w:t>
      </w:r>
      <w:r w:rsidRPr="008A0A30">
        <w:rPr>
          <w:spacing w:val="2"/>
        </w:rPr>
        <w:t>]</w:t>
      </w:r>
      <w:r w:rsidRPr="008A0A30">
        <w:t>- velpatasvir in healt</w:t>
      </w:r>
      <w:r w:rsidRPr="008A0A30">
        <w:rPr>
          <w:spacing w:val="4"/>
        </w:rPr>
        <w:t>h</w:t>
      </w:r>
      <w:r w:rsidRPr="008A0A30">
        <w:t xml:space="preserve">y subjects, the blood to plasma ratio of </w:t>
      </w:r>
      <w:r w:rsidRPr="00B533D7">
        <w:rPr>
          <w:vertAlign w:val="superscript"/>
        </w:rPr>
        <w:t>14</w:t>
      </w:r>
      <w:r w:rsidRPr="008A0A30">
        <w:t>C</w:t>
      </w:r>
      <w:r w:rsidRPr="008A0A30">
        <w:rPr>
          <w:spacing w:val="-1"/>
        </w:rPr>
        <w:t>-</w:t>
      </w:r>
      <w:r w:rsidRPr="008A0A30">
        <w:rPr>
          <w:spacing w:val="1"/>
        </w:rPr>
        <w:t>radioactivit</w:t>
      </w:r>
      <w:r w:rsidRPr="008A0A30">
        <w:t>y</w:t>
      </w:r>
      <w:r w:rsidRPr="008A0A30">
        <w:rPr>
          <w:spacing w:val="-5"/>
        </w:rPr>
        <w:t xml:space="preserve"> </w:t>
      </w:r>
      <w:r w:rsidRPr="008A0A30">
        <w:t>ranged between 0.52 and 0.67.</w:t>
      </w:r>
    </w:p>
    <w:p w:rsidR="001D770C" w:rsidRPr="008A0A30" w:rsidRDefault="00760CFD" w:rsidP="00FC3767">
      <w:pPr>
        <w:pStyle w:val="Heading3"/>
      </w:pPr>
      <w:r w:rsidRPr="008A0A30">
        <w:t>Metabolism</w:t>
      </w:r>
    </w:p>
    <w:p w:rsidR="001D770C" w:rsidRPr="008A0A30" w:rsidRDefault="001D770C" w:rsidP="00FC3767">
      <w:r w:rsidRPr="008A0A30">
        <w:t>Sofosbuvir is extensively</w:t>
      </w:r>
      <w:r w:rsidRPr="008A0A30">
        <w:rPr>
          <w:spacing w:val="-5"/>
        </w:rPr>
        <w:t xml:space="preserve"> </w:t>
      </w:r>
      <w:r w:rsidR="00760CFD" w:rsidRPr="008A0A30">
        <w:t>metabolis</w:t>
      </w:r>
      <w:r w:rsidRPr="008A0A30">
        <w:t>ed in the liver to form the pharmacologically</w:t>
      </w:r>
      <w:r w:rsidRPr="008A0A30">
        <w:rPr>
          <w:spacing w:val="-5"/>
        </w:rPr>
        <w:t xml:space="preserve"> </w:t>
      </w:r>
      <w:r w:rsidRPr="008A0A30">
        <w:t>active nucleoside analog</w:t>
      </w:r>
      <w:r w:rsidRPr="008A0A30">
        <w:rPr>
          <w:spacing w:val="-3"/>
        </w:rPr>
        <w:t xml:space="preserve"> </w:t>
      </w:r>
      <w:r w:rsidRPr="008A0A30">
        <w:t>triphosphate G</w:t>
      </w:r>
      <w:r w:rsidRPr="008A0A30">
        <w:rPr>
          <w:spacing w:val="1"/>
        </w:rPr>
        <w:t>S</w:t>
      </w:r>
      <w:r w:rsidRPr="008A0A30">
        <w:rPr>
          <w:spacing w:val="-1"/>
        </w:rPr>
        <w:t>-</w:t>
      </w:r>
      <w:r w:rsidRPr="008A0A30">
        <w:t>461203. The metabolic activation pathway</w:t>
      </w:r>
      <w:r w:rsidRPr="008A0A30">
        <w:rPr>
          <w:spacing w:val="-5"/>
        </w:rPr>
        <w:t xml:space="preserve"> </w:t>
      </w:r>
      <w:r w:rsidRPr="008A0A30">
        <w:t>involves sequential h</w:t>
      </w:r>
      <w:r w:rsidRPr="008A0A30">
        <w:rPr>
          <w:spacing w:val="-5"/>
        </w:rPr>
        <w:t>y</w:t>
      </w:r>
      <w:r w:rsidRPr="008A0A30">
        <w:rPr>
          <w:spacing w:val="2"/>
        </w:rPr>
        <w:t>drol</w:t>
      </w:r>
      <w:r w:rsidRPr="008A0A30">
        <w:rPr>
          <w:spacing w:val="-7"/>
        </w:rPr>
        <w:t>y</w:t>
      </w:r>
      <w:r w:rsidRPr="008A0A30">
        <w:t>sis of the carbo</w:t>
      </w:r>
      <w:r w:rsidRPr="008A0A30">
        <w:rPr>
          <w:spacing w:val="5"/>
        </w:rPr>
        <w:t>x</w:t>
      </w:r>
      <w:r w:rsidRPr="008A0A30">
        <w:rPr>
          <w:spacing w:val="-5"/>
        </w:rPr>
        <w:t>y</w:t>
      </w:r>
      <w:r w:rsidRPr="008A0A30">
        <w:t>l ester moie</w:t>
      </w:r>
      <w:r w:rsidRPr="008A0A30">
        <w:rPr>
          <w:spacing w:val="5"/>
        </w:rPr>
        <w:t>t</w:t>
      </w:r>
      <w:r w:rsidRPr="008A0A30">
        <w:t>y</w:t>
      </w:r>
      <w:r w:rsidRPr="008A0A30">
        <w:rPr>
          <w:spacing w:val="-2"/>
        </w:rPr>
        <w:t xml:space="preserve"> </w:t>
      </w:r>
      <w:r w:rsidRPr="008A0A30">
        <w:rPr>
          <w:spacing w:val="-1"/>
        </w:rPr>
        <w:t>cata</w:t>
      </w:r>
      <w:r w:rsidRPr="008A0A30">
        <w:rPr>
          <w:spacing w:val="5"/>
        </w:rPr>
        <w:t>l</w:t>
      </w:r>
      <w:r w:rsidRPr="008A0A30">
        <w:rPr>
          <w:spacing w:val="-7"/>
        </w:rPr>
        <w:t>y</w:t>
      </w:r>
      <w:r w:rsidR="00760CFD" w:rsidRPr="008A0A30">
        <w:rPr>
          <w:spacing w:val="4"/>
        </w:rPr>
        <w:t>s</w:t>
      </w:r>
      <w:r w:rsidRPr="008A0A30">
        <w:t xml:space="preserve">ed </w:t>
      </w:r>
      <w:r w:rsidRPr="008A0A30">
        <w:rPr>
          <w:spacing w:val="5"/>
        </w:rPr>
        <w:t>b</w:t>
      </w:r>
      <w:r w:rsidRPr="008A0A30">
        <w:t xml:space="preserve">y human cathepsin A (CatA) or </w:t>
      </w:r>
      <w:r w:rsidRPr="008A0A30">
        <w:rPr>
          <w:spacing w:val="-1"/>
        </w:rPr>
        <w:t>carbo</w:t>
      </w:r>
      <w:r w:rsidRPr="008A0A30">
        <w:rPr>
          <w:spacing w:val="5"/>
        </w:rPr>
        <w:t>x</w:t>
      </w:r>
      <w:r w:rsidRPr="008A0A30">
        <w:rPr>
          <w:spacing w:val="-5"/>
        </w:rPr>
        <w:t>y</w:t>
      </w:r>
      <w:r w:rsidRPr="008A0A30">
        <w:t xml:space="preserve">lesterase 1 (CES1) and phosphoramidate cleavage </w:t>
      </w:r>
      <w:r w:rsidRPr="008A0A30">
        <w:rPr>
          <w:spacing w:val="4"/>
        </w:rPr>
        <w:t>b</w:t>
      </w:r>
      <w:r w:rsidRPr="008A0A30">
        <w:t>y histidine triad nucleotid</w:t>
      </w:r>
      <w:r w:rsidRPr="008A0A30">
        <w:rPr>
          <w:spacing w:val="-1"/>
        </w:rPr>
        <w:t>e-</w:t>
      </w:r>
      <w:r w:rsidRPr="008A0A30">
        <w:t>binding protein 1 (HINT1) followed by</w:t>
      </w:r>
      <w:r w:rsidRPr="008A0A30">
        <w:rPr>
          <w:spacing w:val="-4"/>
        </w:rPr>
        <w:t xml:space="preserve"> </w:t>
      </w:r>
      <w:r w:rsidRPr="008A0A30">
        <w:t>phosphor</w:t>
      </w:r>
      <w:r w:rsidRPr="008A0A30">
        <w:rPr>
          <w:spacing w:val="-5"/>
        </w:rPr>
        <w:t>y</w:t>
      </w:r>
      <w:r w:rsidRPr="008A0A30">
        <w:rPr>
          <w:spacing w:val="1"/>
        </w:rPr>
        <w:t>latio</w:t>
      </w:r>
      <w:r w:rsidRPr="008A0A30">
        <w:t>n</w:t>
      </w:r>
      <w:r w:rsidRPr="008A0A30">
        <w:rPr>
          <w:spacing w:val="1"/>
        </w:rPr>
        <w:t xml:space="preserve"> b</w:t>
      </w:r>
      <w:r w:rsidRPr="008A0A30">
        <w:t>y</w:t>
      </w:r>
      <w:r w:rsidRPr="008A0A30">
        <w:rPr>
          <w:spacing w:val="-5"/>
        </w:rPr>
        <w:t xml:space="preserve"> </w:t>
      </w:r>
      <w:r w:rsidRPr="008A0A30">
        <w:t xml:space="preserve">the </w:t>
      </w:r>
      <w:r w:rsidRPr="008A0A30">
        <w:rPr>
          <w:spacing w:val="5"/>
        </w:rPr>
        <w:t>p</w:t>
      </w:r>
      <w:r w:rsidRPr="008A0A30">
        <w:t>yrimidine nucleotide bios</w:t>
      </w:r>
      <w:r w:rsidRPr="008A0A30">
        <w:rPr>
          <w:spacing w:val="-5"/>
        </w:rPr>
        <w:t>y</w:t>
      </w:r>
      <w:r w:rsidR="004D52D4">
        <w:t>n</w:t>
      </w:r>
      <w:r w:rsidRPr="008A0A30">
        <w:t>thesis pathwa</w:t>
      </w:r>
      <w:r w:rsidRPr="008A0A30">
        <w:rPr>
          <w:spacing w:val="-5"/>
        </w:rPr>
        <w:t>y</w:t>
      </w:r>
      <w:r w:rsidRPr="008A0A30">
        <w:t>.</w:t>
      </w:r>
      <w:r w:rsidRPr="008A0A30">
        <w:rPr>
          <w:spacing w:val="1"/>
        </w:rPr>
        <w:t xml:space="preserve"> </w:t>
      </w:r>
      <w:r w:rsidRPr="008A0A30">
        <w:t>Dephosphor</w:t>
      </w:r>
      <w:r w:rsidRPr="008A0A30">
        <w:rPr>
          <w:spacing w:val="-7"/>
        </w:rPr>
        <w:t>y</w:t>
      </w:r>
      <w:r w:rsidRPr="008A0A30">
        <w:t>lation results in the formation of nucleoside metabolite G</w:t>
      </w:r>
      <w:r w:rsidRPr="008A0A30">
        <w:rPr>
          <w:spacing w:val="1"/>
        </w:rPr>
        <w:t>S</w:t>
      </w:r>
      <w:r w:rsidRPr="008A0A30">
        <w:rPr>
          <w:spacing w:val="-1"/>
        </w:rPr>
        <w:t>-</w:t>
      </w:r>
      <w:r w:rsidRPr="008A0A30">
        <w:t>331007 that cannot be efficient</w:t>
      </w:r>
      <w:r w:rsidRPr="008A0A30">
        <w:rPr>
          <w:spacing w:val="5"/>
        </w:rPr>
        <w:t>l</w:t>
      </w:r>
      <w:r w:rsidRPr="008A0A30">
        <w:t>y rephosphor</w:t>
      </w:r>
      <w:r w:rsidRPr="008A0A30">
        <w:rPr>
          <w:spacing w:val="-5"/>
        </w:rPr>
        <w:t>y</w:t>
      </w:r>
      <w:r w:rsidRPr="008A0A30">
        <w:t>lated and lacks ant</w:t>
      </w:r>
      <w:r w:rsidRPr="008A0A30">
        <w:rPr>
          <w:spacing w:val="1"/>
        </w:rPr>
        <w:t>i</w:t>
      </w:r>
      <w:r w:rsidRPr="008A0A30">
        <w:rPr>
          <w:spacing w:val="-1"/>
        </w:rPr>
        <w:t>-</w:t>
      </w:r>
      <w:r w:rsidRPr="008A0A30">
        <w:t>HCV activity</w:t>
      </w:r>
      <w:r w:rsidRPr="008A0A30">
        <w:rPr>
          <w:spacing w:val="-5"/>
        </w:rPr>
        <w:t xml:space="preserve"> </w:t>
      </w:r>
      <w:r w:rsidRPr="008A0A30">
        <w:rPr>
          <w:i/>
        </w:rPr>
        <w:t>in vitro</w:t>
      </w:r>
      <w:r w:rsidRPr="008A0A30">
        <w:t>. Af</w:t>
      </w:r>
      <w:r w:rsidRPr="008A0A30">
        <w:rPr>
          <w:spacing w:val="1"/>
        </w:rPr>
        <w:t>t</w:t>
      </w:r>
      <w:r w:rsidRPr="008A0A30">
        <w:t>er a single</w:t>
      </w:r>
      <w:r w:rsidR="00760CFD" w:rsidRPr="008A0A30">
        <w:t xml:space="preserve"> </w:t>
      </w:r>
      <w:r w:rsidRPr="008A0A30">
        <w:t>400 mg oral dose of [</w:t>
      </w:r>
      <w:r w:rsidRPr="008A0A30">
        <w:rPr>
          <w:vertAlign w:val="superscript"/>
        </w:rPr>
        <w:t>14</w:t>
      </w:r>
      <w:r w:rsidRPr="008A0A30">
        <w:t>C</w:t>
      </w:r>
      <w:r w:rsidRPr="008A0A30">
        <w:rPr>
          <w:spacing w:val="2"/>
        </w:rPr>
        <w:t>]</w:t>
      </w:r>
      <w:r w:rsidRPr="008A0A30">
        <w:rPr>
          <w:spacing w:val="-1"/>
        </w:rPr>
        <w:t>-</w:t>
      </w:r>
      <w:r w:rsidRPr="008A0A30">
        <w:t>sofosbuvir, G</w:t>
      </w:r>
      <w:r w:rsidRPr="008A0A30">
        <w:rPr>
          <w:spacing w:val="1"/>
        </w:rPr>
        <w:t>S</w:t>
      </w:r>
      <w:r w:rsidRPr="008A0A30">
        <w:rPr>
          <w:spacing w:val="-1"/>
        </w:rPr>
        <w:t>-</w:t>
      </w:r>
      <w:r w:rsidRPr="008A0A30">
        <w:t>331007 accounted for approximately</w:t>
      </w:r>
      <w:r w:rsidRPr="008A0A30">
        <w:rPr>
          <w:spacing w:val="-5"/>
        </w:rPr>
        <w:t xml:space="preserve"> </w:t>
      </w:r>
      <w:r w:rsidRPr="008A0A30">
        <w:t>&gt;</w:t>
      </w:r>
      <w:r w:rsidR="00BF3BEC" w:rsidRPr="008A0A30">
        <w:t xml:space="preserve"> </w:t>
      </w:r>
      <w:r w:rsidRPr="008A0A30">
        <w:t xml:space="preserve">90% of total </w:t>
      </w:r>
      <w:r w:rsidRPr="008A0A30">
        <w:rPr>
          <w:spacing w:val="3"/>
        </w:rPr>
        <w:t>s</w:t>
      </w:r>
      <w:r w:rsidRPr="008A0A30">
        <w:rPr>
          <w:spacing w:val="-5"/>
        </w:rPr>
        <w:t>y</w:t>
      </w:r>
      <w:r w:rsidRPr="008A0A30">
        <w:t>stemic exposure.</w:t>
      </w:r>
    </w:p>
    <w:p w:rsidR="00565C80" w:rsidRPr="008A0A30" w:rsidRDefault="00565C80" w:rsidP="00FC3767">
      <w:r w:rsidRPr="008A0A30">
        <w:t>Velpatasvir is a substrate of CYP2B6, CYP2C8, and CYP3A4 with slow turnover.</w:t>
      </w:r>
      <w:r w:rsidR="00FC3767">
        <w:t xml:space="preserve"> </w:t>
      </w:r>
      <w:r w:rsidRPr="008A0A30">
        <w:t>Following a single dose of 100 mg [</w:t>
      </w:r>
      <w:r w:rsidRPr="008A0A30">
        <w:rPr>
          <w:vertAlign w:val="superscript"/>
        </w:rPr>
        <w:t>14</w:t>
      </w:r>
      <w:r w:rsidRPr="008A0A30">
        <w:t>C</w:t>
      </w:r>
      <w:r w:rsidRPr="008A0A30">
        <w:rPr>
          <w:spacing w:val="2"/>
        </w:rPr>
        <w:t>]</w:t>
      </w:r>
      <w:r w:rsidRPr="008A0A30">
        <w:rPr>
          <w:spacing w:val="-1"/>
        </w:rPr>
        <w:t>-</w:t>
      </w:r>
      <w:r w:rsidRPr="008A0A30">
        <w:t>velpatasvir, the majority</w:t>
      </w:r>
      <w:r w:rsidRPr="008A0A30">
        <w:rPr>
          <w:spacing w:val="-5"/>
        </w:rPr>
        <w:t xml:space="preserve"> </w:t>
      </w:r>
      <w:r w:rsidRPr="008A0A30">
        <w:t>(&gt; 98%) of radioactivity</w:t>
      </w:r>
      <w:r w:rsidRPr="008A0A30">
        <w:rPr>
          <w:spacing w:val="-5"/>
        </w:rPr>
        <w:t xml:space="preserve"> </w:t>
      </w:r>
      <w:r w:rsidRPr="008A0A30">
        <w:t xml:space="preserve">in plasma was parent drug. </w:t>
      </w:r>
      <w:r>
        <w:t>M</w:t>
      </w:r>
      <w:r w:rsidRPr="008A0A30">
        <w:t>onohydro</w:t>
      </w:r>
      <w:r w:rsidRPr="008A0A30">
        <w:rPr>
          <w:spacing w:val="4"/>
        </w:rPr>
        <w:t>x</w:t>
      </w:r>
      <w:r w:rsidRPr="008A0A30">
        <w:rPr>
          <w:spacing w:val="-7"/>
        </w:rPr>
        <w:t>y</w:t>
      </w:r>
      <w:r w:rsidRPr="008A0A30">
        <w:t>lated and desmethylated velpatasvir were the metabolites identified in human plasma. Unchanged velpatasvir is the major species present in faeces.</w:t>
      </w:r>
    </w:p>
    <w:p w:rsidR="001D770C" w:rsidRPr="008A0A30" w:rsidRDefault="001831D9" w:rsidP="00FC3767">
      <w:pPr>
        <w:pStyle w:val="Heading3"/>
      </w:pPr>
      <w:r w:rsidRPr="008A0A30">
        <w:t>Excretion</w:t>
      </w:r>
    </w:p>
    <w:p w:rsidR="00487460" w:rsidRPr="008A0A30" w:rsidRDefault="00487460" w:rsidP="00FC3767">
      <w:r w:rsidRPr="008A0A30">
        <w:t>Following a single 400 mg oral dose of [</w:t>
      </w:r>
      <w:r w:rsidRPr="008A0A30">
        <w:rPr>
          <w:vertAlign w:val="superscript"/>
        </w:rPr>
        <w:t>14</w:t>
      </w:r>
      <w:r w:rsidRPr="008A0A30">
        <w:t>C</w:t>
      </w:r>
      <w:r w:rsidRPr="008A0A30">
        <w:rPr>
          <w:spacing w:val="2"/>
        </w:rPr>
        <w:t>]</w:t>
      </w:r>
      <w:r w:rsidRPr="008A0A30">
        <w:rPr>
          <w:spacing w:val="-1"/>
        </w:rPr>
        <w:t>-</w:t>
      </w:r>
      <w:r w:rsidRPr="008A0A30">
        <w:t>sofosbuvir, mean total recovery</w:t>
      </w:r>
      <w:r w:rsidRPr="008A0A30">
        <w:rPr>
          <w:spacing w:val="-4"/>
        </w:rPr>
        <w:t xml:space="preserve"> </w:t>
      </w:r>
      <w:r w:rsidRPr="008A0A30">
        <w:t>of the [</w:t>
      </w:r>
      <w:r w:rsidRPr="008A0A30">
        <w:rPr>
          <w:vertAlign w:val="superscript"/>
        </w:rPr>
        <w:t>14</w:t>
      </w:r>
      <w:r w:rsidRPr="008A0A30">
        <w:t>C</w:t>
      </w:r>
      <w:r w:rsidRPr="008A0A30">
        <w:rPr>
          <w:spacing w:val="2"/>
        </w:rPr>
        <w:t>]</w:t>
      </w:r>
      <w:r w:rsidRPr="008A0A30">
        <w:rPr>
          <w:spacing w:val="-1"/>
        </w:rPr>
        <w:t>-</w:t>
      </w:r>
      <w:r w:rsidRPr="008A0A30">
        <w:t>radioactivity</w:t>
      </w:r>
      <w:r w:rsidRPr="008A0A30">
        <w:rPr>
          <w:spacing w:val="55"/>
        </w:rPr>
        <w:t xml:space="preserve"> </w:t>
      </w:r>
      <w:r w:rsidRPr="008A0A30">
        <w:t>was greater than</w:t>
      </w:r>
      <w:r w:rsidR="00FC3767">
        <w:t xml:space="preserve"> </w:t>
      </w:r>
      <w:r w:rsidRPr="008A0A30">
        <w:t>92%, consisting of approximately</w:t>
      </w:r>
      <w:r w:rsidRPr="008A0A30">
        <w:rPr>
          <w:spacing w:val="-5"/>
        </w:rPr>
        <w:t xml:space="preserve"> </w:t>
      </w:r>
      <w:r w:rsidRPr="008A0A30">
        <w:t>80%, 14%, and 2.5% recovered in urine, faeces, and expired air, respectivel</w:t>
      </w:r>
      <w:r w:rsidRPr="008A0A30">
        <w:rPr>
          <w:spacing w:val="-5"/>
        </w:rPr>
        <w:t>y</w:t>
      </w:r>
      <w:r w:rsidRPr="008A0A30">
        <w:t>. The majori</w:t>
      </w:r>
      <w:r w:rsidRPr="008A0A30">
        <w:rPr>
          <w:spacing w:val="5"/>
        </w:rPr>
        <w:t>t</w:t>
      </w:r>
      <w:r w:rsidRPr="008A0A30">
        <w:t>y of the sofosbuvir dose recovered in urine was GS</w:t>
      </w:r>
      <w:r w:rsidR="00E530A0">
        <w:t>-</w:t>
      </w:r>
      <w:r w:rsidRPr="008A0A30">
        <w:t>331007 (78%) while 3.5% was recovered as sofosbuvir. These data indicate that renal clearance is the major elimination pathway</w:t>
      </w:r>
      <w:r w:rsidRPr="008A0A30">
        <w:rPr>
          <w:spacing w:val="-5"/>
        </w:rPr>
        <w:t xml:space="preserve"> </w:t>
      </w:r>
      <w:r w:rsidRPr="008A0A30">
        <w:t>for GS</w:t>
      </w:r>
      <w:r w:rsidR="00E530A0">
        <w:t>-</w:t>
      </w:r>
      <w:r w:rsidRPr="008A0A30">
        <w:t>331007. The median terminal hal</w:t>
      </w:r>
      <w:r w:rsidRPr="008A0A30">
        <w:rPr>
          <w:spacing w:val="-1"/>
        </w:rPr>
        <w:t>f-</w:t>
      </w:r>
      <w:r w:rsidRPr="008A0A30">
        <w:t>lives of sofosbuvir and G</w:t>
      </w:r>
      <w:r w:rsidRPr="008A0A30">
        <w:rPr>
          <w:spacing w:val="1"/>
        </w:rPr>
        <w:t>S</w:t>
      </w:r>
      <w:r w:rsidRPr="008A0A30">
        <w:rPr>
          <w:spacing w:val="-1"/>
        </w:rPr>
        <w:t>-</w:t>
      </w:r>
      <w:r w:rsidRPr="008A0A30">
        <w:t xml:space="preserve">331007 following administration of </w:t>
      </w:r>
      <w:r w:rsidR="00C3685A">
        <w:t>EPCLUSA</w:t>
      </w:r>
      <w:r w:rsidRPr="008A0A30">
        <w:t xml:space="preserve"> were 0.5 and 25 hours, respectivel</w:t>
      </w:r>
      <w:r w:rsidRPr="008A0A30">
        <w:rPr>
          <w:spacing w:val="-5"/>
        </w:rPr>
        <w:t>y</w:t>
      </w:r>
      <w:r w:rsidRPr="008A0A30">
        <w:t>.</w:t>
      </w:r>
    </w:p>
    <w:p w:rsidR="006828A2" w:rsidRPr="008A0A30" w:rsidRDefault="006828A2" w:rsidP="00FC3767">
      <w:r w:rsidRPr="008A0A30">
        <w:t>Following a single 100 mg oral dose of [</w:t>
      </w:r>
      <w:r w:rsidRPr="008A0A30">
        <w:rPr>
          <w:vertAlign w:val="superscript"/>
        </w:rPr>
        <w:t>14</w:t>
      </w:r>
      <w:r w:rsidRPr="008A0A30">
        <w:t>C</w:t>
      </w:r>
      <w:r w:rsidRPr="008A0A30">
        <w:rPr>
          <w:spacing w:val="1"/>
        </w:rPr>
        <w:t>]</w:t>
      </w:r>
      <w:r w:rsidRPr="008A0A30">
        <w:rPr>
          <w:spacing w:val="-1"/>
        </w:rPr>
        <w:t>-</w:t>
      </w:r>
      <w:r w:rsidRPr="008A0A30">
        <w:t>velpatasvir, mean total recovery</w:t>
      </w:r>
      <w:r w:rsidRPr="008A0A30">
        <w:rPr>
          <w:spacing w:val="-5"/>
        </w:rPr>
        <w:t xml:space="preserve"> </w:t>
      </w:r>
      <w:r w:rsidRPr="008A0A30">
        <w:t>of the [</w:t>
      </w:r>
      <w:r w:rsidRPr="008A0A30">
        <w:rPr>
          <w:vertAlign w:val="superscript"/>
        </w:rPr>
        <w:t>14</w:t>
      </w:r>
      <w:r w:rsidRPr="008A0A30">
        <w:t>C</w:t>
      </w:r>
      <w:r w:rsidRPr="008A0A30">
        <w:rPr>
          <w:spacing w:val="2"/>
        </w:rPr>
        <w:t>]</w:t>
      </w:r>
      <w:r w:rsidRPr="008A0A30">
        <w:rPr>
          <w:spacing w:val="-1"/>
        </w:rPr>
        <w:t>-</w:t>
      </w:r>
      <w:r w:rsidRPr="008A0A30">
        <w:t>radioactivity</w:t>
      </w:r>
      <w:r w:rsidRPr="008A0A30">
        <w:rPr>
          <w:spacing w:val="-5"/>
        </w:rPr>
        <w:t xml:space="preserve"> </w:t>
      </w:r>
      <w:r w:rsidRPr="008A0A30">
        <w:t>was 95%, consisting of approximately</w:t>
      </w:r>
      <w:r w:rsidRPr="008A0A30">
        <w:rPr>
          <w:spacing w:val="-5"/>
        </w:rPr>
        <w:t xml:space="preserve"> </w:t>
      </w:r>
      <w:r w:rsidRPr="008A0A30">
        <w:t>94% and 0.4% recovered from the faeces and urine, respectivel</w:t>
      </w:r>
      <w:r w:rsidRPr="008A0A30">
        <w:rPr>
          <w:spacing w:val="-5"/>
        </w:rPr>
        <w:t>y</w:t>
      </w:r>
      <w:r w:rsidRPr="008A0A30">
        <w:t>. Unchanged velpatasvir was the major species in faeces accounting for a mean of 77% of the administered dose, followed by</w:t>
      </w:r>
      <w:r w:rsidRPr="008A0A30">
        <w:rPr>
          <w:spacing w:val="-4"/>
        </w:rPr>
        <w:t xml:space="preserve"> </w:t>
      </w:r>
      <w:r w:rsidRPr="008A0A30">
        <w:t>monoh</w:t>
      </w:r>
      <w:r w:rsidRPr="008A0A30">
        <w:rPr>
          <w:spacing w:val="-5"/>
        </w:rPr>
        <w:t>y</w:t>
      </w:r>
      <w:r w:rsidRPr="008A0A30">
        <w:rPr>
          <w:spacing w:val="2"/>
        </w:rPr>
        <w:t>drox</w:t>
      </w:r>
      <w:r w:rsidRPr="008A0A30">
        <w:rPr>
          <w:spacing w:val="-5"/>
        </w:rPr>
        <w:t>y</w:t>
      </w:r>
      <w:r w:rsidRPr="008A0A30">
        <w:t>lated velpatasvir (5.9%) and desmet</w:t>
      </w:r>
      <w:r w:rsidRPr="008A0A30">
        <w:rPr>
          <w:spacing w:val="5"/>
        </w:rPr>
        <w:t>h</w:t>
      </w:r>
      <w:r w:rsidRPr="008A0A30">
        <w:rPr>
          <w:spacing w:val="-7"/>
        </w:rPr>
        <w:t>y</w:t>
      </w:r>
      <w:r w:rsidRPr="008A0A30">
        <w:rPr>
          <w:spacing w:val="3"/>
        </w:rPr>
        <w:t>l</w:t>
      </w:r>
      <w:r w:rsidRPr="008A0A30">
        <w:t>ated velpatasvir (3.0%). These data indicate that biliary</w:t>
      </w:r>
      <w:r w:rsidRPr="008A0A30">
        <w:rPr>
          <w:spacing w:val="-5"/>
        </w:rPr>
        <w:t xml:space="preserve"> </w:t>
      </w:r>
      <w:r w:rsidRPr="008A0A30">
        <w:t>excretion of parent drug was the major route of elimination for velpatasvir.</w:t>
      </w:r>
      <w:r w:rsidR="00FC3767">
        <w:t xml:space="preserve"> </w:t>
      </w:r>
      <w:r w:rsidRPr="008A0A30">
        <w:t>The median terminal hal</w:t>
      </w:r>
      <w:r w:rsidRPr="008A0A30">
        <w:rPr>
          <w:spacing w:val="-1"/>
        </w:rPr>
        <w:t>f-</w:t>
      </w:r>
      <w:r w:rsidRPr="008A0A30">
        <w:t xml:space="preserve">life of velpatasvir following administration of </w:t>
      </w:r>
      <w:r w:rsidR="00C3685A">
        <w:t>EPCLUSA</w:t>
      </w:r>
      <w:r w:rsidRPr="008A0A30">
        <w:t xml:space="preserve"> was approximately</w:t>
      </w:r>
      <w:r w:rsidRPr="008A0A30">
        <w:rPr>
          <w:spacing w:val="-5"/>
        </w:rPr>
        <w:t xml:space="preserve"> </w:t>
      </w:r>
      <w:r w:rsidRPr="008A0A30">
        <w:t>15 hours.</w:t>
      </w:r>
    </w:p>
    <w:p w:rsidR="00760CFD" w:rsidRPr="008A0A30" w:rsidRDefault="00760CFD" w:rsidP="00003AC8">
      <w:pPr>
        <w:pStyle w:val="Heading4"/>
      </w:pPr>
      <w:r w:rsidRPr="008A0A30">
        <w:lastRenderedPageBreak/>
        <w:t>Effect of Food</w:t>
      </w:r>
    </w:p>
    <w:p w:rsidR="005F4372" w:rsidRDefault="00760CFD" w:rsidP="00FC3767">
      <w:r w:rsidRPr="008A0A30">
        <w:t xml:space="preserve">Relative to fasting conditions, the administration of a single dose of </w:t>
      </w:r>
      <w:r w:rsidR="00C3685A">
        <w:t>EPCLUSA</w:t>
      </w:r>
      <w:r w:rsidRPr="008A0A30">
        <w:t xml:space="preserve"> with a moderate fat (~600 kcal, 30% fat) or high fat (~800 kcal, 50% fat) meal </w:t>
      </w:r>
      <w:r w:rsidR="00487460" w:rsidRPr="00487460">
        <w:t>increased sofosbuvir AUC</w:t>
      </w:r>
      <w:r w:rsidR="00487460" w:rsidRPr="00487460">
        <w:rPr>
          <w:vertAlign w:val="subscript"/>
        </w:rPr>
        <w:t xml:space="preserve">0-inf </w:t>
      </w:r>
      <w:r w:rsidR="00487460" w:rsidRPr="00487460">
        <w:t>by 60% and 78%, respectively, but did not substantially affect the sofosbuvir C</w:t>
      </w:r>
      <w:r w:rsidR="00487460" w:rsidRPr="00487460">
        <w:rPr>
          <w:vertAlign w:val="subscript"/>
        </w:rPr>
        <w:t>max</w:t>
      </w:r>
      <w:r w:rsidR="00487460" w:rsidRPr="00487460">
        <w:t>. The moderate- or high-fat meal did not alter GS-331007 AUC</w:t>
      </w:r>
      <w:r w:rsidR="00487460" w:rsidRPr="00487460">
        <w:rPr>
          <w:vertAlign w:val="subscript"/>
        </w:rPr>
        <w:t>0-inf</w:t>
      </w:r>
      <w:r w:rsidR="00487460" w:rsidRPr="00487460">
        <w:t>, but resulted in a 25% and 37% decrease in C</w:t>
      </w:r>
      <w:r w:rsidR="00487460" w:rsidRPr="00487460">
        <w:rPr>
          <w:vertAlign w:val="subscript"/>
        </w:rPr>
        <w:t>max</w:t>
      </w:r>
      <w:r w:rsidR="00487460" w:rsidRPr="00487460">
        <w:t xml:space="preserve">, respectively. </w:t>
      </w:r>
      <w:r w:rsidR="00487460" w:rsidRPr="008A0A30">
        <w:rPr>
          <w:position w:val="1"/>
        </w:rPr>
        <w:t>The moderate or high fat meal</w:t>
      </w:r>
      <w:r w:rsidR="00487460">
        <w:rPr>
          <w:position w:val="1"/>
        </w:rPr>
        <w:t xml:space="preserve"> </w:t>
      </w:r>
      <w:r w:rsidRPr="008A0A30">
        <w:t>resulted in a 34% and 21% increase in velpatasvir AUC</w:t>
      </w:r>
      <w:r w:rsidRPr="008A0A30">
        <w:rPr>
          <w:spacing w:val="1"/>
          <w:position w:val="-3"/>
          <w:sz w:val="16"/>
          <w:szCs w:val="16"/>
        </w:rPr>
        <w:t>0</w:t>
      </w:r>
      <w:r w:rsidRPr="008A0A30">
        <w:rPr>
          <w:spacing w:val="-1"/>
          <w:position w:val="-3"/>
          <w:sz w:val="16"/>
          <w:szCs w:val="16"/>
        </w:rPr>
        <w:t>-</w:t>
      </w:r>
      <w:r w:rsidRPr="008A0A30">
        <w:rPr>
          <w:spacing w:val="1"/>
          <w:position w:val="-3"/>
          <w:sz w:val="16"/>
          <w:szCs w:val="16"/>
        </w:rPr>
        <w:t>in</w:t>
      </w:r>
      <w:r w:rsidRPr="008A0A30">
        <w:rPr>
          <w:spacing w:val="-1"/>
          <w:position w:val="-3"/>
          <w:sz w:val="16"/>
          <w:szCs w:val="16"/>
        </w:rPr>
        <w:t>f</w:t>
      </w:r>
      <w:r w:rsidRPr="008A0A30">
        <w:t>, respectively, and a 31% and 5% in</w:t>
      </w:r>
      <w:r w:rsidRPr="008A0A30">
        <w:rPr>
          <w:spacing w:val="-2"/>
        </w:rPr>
        <w:t>c</w:t>
      </w:r>
      <w:r w:rsidRPr="008A0A30">
        <w:t xml:space="preserve">rease in velpatasvir </w:t>
      </w:r>
      <w:r w:rsidRPr="008A0A30">
        <w:rPr>
          <w:spacing w:val="1"/>
          <w:position w:val="1"/>
        </w:rPr>
        <w:t>C</w:t>
      </w:r>
      <w:r w:rsidRPr="008A0A30">
        <w:rPr>
          <w:position w:val="-2"/>
          <w:sz w:val="16"/>
          <w:szCs w:val="16"/>
        </w:rPr>
        <w:t>max,</w:t>
      </w:r>
      <w:r w:rsidRPr="008A0A30">
        <w:rPr>
          <w:spacing w:val="1"/>
          <w:position w:val="-2"/>
          <w:sz w:val="16"/>
          <w:szCs w:val="16"/>
        </w:rPr>
        <w:t xml:space="preserve"> </w:t>
      </w:r>
      <w:r w:rsidRPr="008A0A30">
        <w:rPr>
          <w:position w:val="1"/>
        </w:rPr>
        <w:t xml:space="preserve">respectively. </w:t>
      </w:r>
      <w:r w:rsidR="002530A6" w:rsidRPr="00487460">
        <w:t xml:space="preserve">The response rates in Phase 3 trials were similar in HCV-infected patients who received </w:t>
      </w:r>
      <w:r w:rsidR="00C3685A">
        <w:t>EPCLUSA</w:t>
      </w:r>
      <w:r w:rsidR="002530A6" w:rsidRPr="00487460">
        <w:t xml:space="preserve"> with food or without food. </w:t>
      </w:r>
      <w:r w:rsidR="00C3685A">
        <w:t>EPCLUSA</w:t>
      </w:r>
      <w:r w:rsidR="002530A6" w:rsidRPr="00487460">
        <w:t xml:space="preserve"> can be administered without regard to food.</w:t>
      </w:r>
    </w:p>
    <w:p w:rsidR="00E52B43" w:rsidRPr="008A0A30" w:rsidRDefault="00E52B43" w:rsidP="00FC3767">
      <w:pPr>
        <w:pStyle w:val="Heading3"/>
      </w:pPr>
      <w:r w:rsidRPr="008A0A30">
        <w:t>Special Populations</w:t>
      </w:r>
    </w:p>
    <w:p w:rsidR="007254DD" w:rsidRPr="008A0A30" w:rsidRDefault="00E52B43" w:rsidP="00FC3767">
      <w:pPr>
        <w:pStyle w:val="Heading4"/>
      </w:pPr>
      <w:r w:rsidRPr="008A0A30">
        <w:t>Race and Gender</w:t>
      </w:r>
    </w:p>
    <w:p w:rsidR="005F4372" w:rsidRDefault="00D4379F" w:rsidP="00FC3767">
      <w:pPr>
        <w:pStyle w:val="Text10"/>
        <w:rPr>
          <w:noProof/>
        </w:rPr>
      </w:pPr>
      <w:r w:rsidRPr="008A0A30">
        <w:rPr>
          <w:noProof/>
        </w:rPr>
        <w:t xml:space="preserve">No clinically relevant pharmacokinetic differences due to race have been identified </w:t>
      </w:r>
      <w:r w:rsidR="00E40B33">
        <w:rPr>
          <w:noProof/>
        </w:rPr>
        <w:t xml:space="preserve">for </w:t>
      </w:r>
      <w:r w:rsidR="00622BA9" w:rsidRPr="008A0A30">
        <w:rPr>
          <w:noProof/>
        </w:rPr>
        <w:t>sofosbuvir, GS-331007</w:t>
      </w:r>
      <w:r w:rsidR="00E40B33">
        <w:rPr>
          <w:noProof/>
        </w:rPr>
        <w:t>,</w:t>
      </w:r>
      <w:r w:rsidR="00622BA9" w:rsidRPr="008A0A30">
        <w:rPr>
          <w:noProof/>
        </w:rPr>
        <w:t xml:space="preserve"> or velpatasvir</w:t>
      </w:r>
      <w:r w:rsidRPr="008A0A30">
        <w:rPr>
          <w:noProof/>
        </w:rPr>
        <w:t>.</w:t>
      </w:r>
    </w:p>
    <w:p w:rsidR="00D4379F" w:rsidRPr="008A0A30" w:rsidRDefault="002C49B2" w:rsidP="00FC3767">
      <w:pPr>
        <w:pStyle w:val="Text10"/>
        <w:rPr>
          <w:noProof/>
        </w:rPr>
      </w:pPr>
      <w:r w:rsidRPr="008A0A30">
        <w:rPr>
          <w:noProof/>
        </w:rPr>
        <w:t>No clinically relevant pharmacokinetic differences due to gender have been identified for sofosbuvir</w:t>
      </w:r>
      <w:r w:rsidR="00E40B33">
        <w:rPr>
          <w:noProof/>
        </w:rPr>
        <w:t>,</w:t>
      </w:r>
      <w:r w:rsidRPr="008A0A30">
        <w:rPr>
          <w:noProof/>
        </w:rPr>
        <w:t xml:space="preserve"> GS-331007</w:t>
      </w:r>
      <w:r w:rsidR="00E40B33">
        <w:rPr>
          <w:noProof/>
        </w:rPr>
        <w:t>,</w:t>
      </w:r>
      <w:r w:rsidR="00622BA9" w:rsidRPr="008A0A30">
        <w:rPr>
          <w:noProof/>
        </w:rPr>
        <w:t xml:space="preserve"> or velpatasvir</w:t>
      </w:r>
      <w:r w:rsidRPr="008A0A30">
        <w:rPr>
          <w:noProof/>
        </w:rPr>
        <w:t>.</w:t>
      </w:r>
    </w:p>
    <w:p w:rsidR="00825E9B" w:rsidRPr="008A0A30" w:rsidRDefault="00825E9B" w:rsidP="00FC3767">
      <w:pPr>
        <w:pStyle w:val="Heading4"/>
      </w:pPr>
      <w:r w:rsidRPr="008A0A30">
        <w:t>Elderly P</w:t>
      </w:r>
      <w:r w:rsidR="005E34AF" w:rsidRPr="008A0A30">
        <w:t>atients</w:t>
      </w:r>
    </w:p>
    <w:p w:rsidR="005E34AF" w:rsidRPr="008A0A30" w:rsidRDefault="00E52B43" w:rsidP="00FC3767">
      <w:pPr>
        <w:rPr>
          <w:noProof/>
        </w:rPr>
      </w:pPr>
      <w:r w:rsidRPr="008A0A30">
        <w:t>Population pharmacokinetic ana</w:t>
      </w:r>
      <w:r w:rsidRPr="008A0A30">
        <w:rPr>
          <w:spacing w:val="5"/>
        </w:rPr>
        <w:t>l</w:t>
      </w:r>
      <w:r w:rsidRPr="008A0A30">
        <w:rPr>
          <w:spacing w:val="-5"/>
        </w:rPr>
        <w:t>y</w:t>
      </w:r>
      <w:r w:rsidRPr="008A0A30">
        <w:t>sis in HCV</w:t>
      </w:r>
      <w:r w:rsidRPr="008A0A30">
        <w:rPr>
          <w:spacing w:val="-1"/>
        </w:rPr>
        <w:t>-</w:t>
      </w:r>
      <w:r w:rsidRPr="008A0A30">
        <w:t xml:space="preserve">infected patients showed that within the age range (18 to 82 </w:t>
      </w:r>
      <w:r w:rsidRPr="008A0A30">
        <w:rPr>
          <w:spacing w:val="-5"/>
        </w:rPr>
        <w:t>y</w:t>
      </w:r>
      <w:r w:rsidRPr="008A0A30">
        <w:t>ears) ana</w:t>
      </w:r>
      <w:r w:rsidRPr="008A0A30">
        <w:rPr>
          <w:spacing w:val="5"/>
        </w:rPr>
        <w:t>l</w:t>
      </w:r>
      <w:r w:rsidRPr="008A0A30">
        <w:rPr>
          <w:spacing w:val="-7"/>
        </w:rPr>
        <w:t>y</w:t>
      </w:r>
      <w:r w:rsidRPr="008A0A30">
        <w:rPr>
          <w:spacing w:val="4"/>
        </w:rPr>
        <w:t>s</w:t>
      </w:r>
      <w:r w:rsidRPr="008A0A30">
        <w:t>ed, age did not have a clinically</w:t>
      </w:r>
      <w:r w:rsidRPr="008A0A30">
        <w:rPr>
          <w:spacing w:val="-5"/>
        </w:rPr>
        <w:t xml:space="preserve"> </w:t>
      </w:r>
      <w:r w:rsidRPr="008A0A30">
        <w:t>relevant effect on the exposure to sofosbuvir, G</w:t>
      </w:r>
      <w:r w:rsidRPr="008A0A30">
        <w:rPr>
          <w:spacing w:val="1"/>
        </w:rPr>
        <w:t>S</w:t>
      </w:r>
      <w:r w:rsidRPr="008A0A30">
        <w:rPr>
          <w:spacing w:val="-1"/>
        </w:rPr>
        <w:t>-</w:t>
      </w:r>
      <w:r w:rsidRPr="008A0A30">
        <w:t>331007, or velpatasvir.</w:t>
      </w:r>
      <w:r w:rsidR="00FC3767">
        <w:t xml:space="preserve"> </w:t>
      </w:r>
      <w:r w:rsidRPr="008A0A30">
        <w:t xml:space="preserve">Clinical studies of </w:t>
      </w:r>
      <w:r w:rsidR="00C3685A">
        <w:t>EPCLUSA</w:t>
      </w:r>
      <w:r w:rsidRPr="008A0A30">
        <w:t xml:space="preserve"> included 156 patients aged 65 and over (12% of total number of </w:t>
      </w:r>
      <w:r w:rsidR="00A26D7D">
        <w:t>patients</w:t>
      </w:r>
      <w:r w:rsidR="00A26D7D" w:rsidRPr="008A0A30">
        <w:t xml:space="preserve"> </w:t>
      </w:r>
      <w:r w:rsidRPr="008A0A30">
        <w:t xml:space="preserve">in the Phase 3 clinical </w:t>
      </w:r>
      <w:r w:rsidR="008B6AAF" w:rsidRPr="008A0A30">
        <w:t>trials</w:t>
      </w:r>
      <w:r w:rsidRPr="008A0A30">
        <w:t>). The response rates observed for patients</w:t>
      </w:r>
      <w:r w:rsidRPr="008A0A30">
        <w:rPr>
          <w:spacing w:val="-1"/>
        </w:rPr>
        <w:t xml:space="preserve"> </w:t>
      </w:r>
      <w:r w:rsidRPr="008A0A30">
        <w:rPr>
          <w:spacing w:val="1"/>
        </w:rPr>
        <w:t>≥ 6</w:t>
      </w:r>
      <w:r w:rsidRPr="008A0A30">
        <w:t>5</w:t>
      </w:r>
      <w:r w:rsidRPr="008A0A30">
        <w:rPr>
          <w:spacing w:val="3"/>
        </w:rPr>
        <w:t xml:space="preserve"> </w:t>
      </w:r>
      <w:r w:rsidRPr="008A0A30">
        <w:rPr>
          <w:spacing w:val="-5"/>
        </w:rPr>
        <w:t>y</w:t>
      </w:r>
      <w:r w:rsidRPr="008A0A30">
        <w:rPr>
          <w:spacing w:val="1"/>
        </w:rPr>
        <w:t>ear</w:t>
      </w:r>
      <w:r w:rsidRPr="008A0A30">
        <w:t xml:space="preserve">s of age were similar to that of </w:t>
      </w:r>
      <w:r w:rsidR="00A26D7D">
        <w:t>patients</w:t>
      </w:r>
      <w:r w:rsidR="00A26D7D" w:rsidRPr="008A0A30">
        <w:t xml:space="preserve"> </w:t>
      </w:r>
      <w:r w:rsidRPr="008A0A30">
        <w:t>&lt;</w:t>
      </w:r>
      <w:r w:rsidR="00A26D7D">
        <w:t> </w:t>
      </w:r>
      <w:r w:rsidRPr="008A0A30">
        <w:t>65</w:t>
      </w:r>
      <w:r w:rsidRPr="008A0A30">
        <w:rPr>
          <w:spacing w:val="2"/>
        </w:rPr>
        <w:t xml:space="preserve"> </w:t>
      </w:r>
      <w:r w:rsidRPr="008A0A30">
        <w:rPr>
          <w:spacing w:val="-5"/>
        </w:rPr>
        <w:t>y</w:t>
      </w:r>
      <w:r w:rsidRPr="008A0A30">
        <w:rPr>
          <w:spacing w:val="1"/>
        </w:rPr>
        <w:t>e</w:t>
      </w:r>
      <w:r w:rsidRPr="008A0A30">
        <w:t>ars of age, across treatment groups.</w:t>
      </w:r>
    </w:p>
    <w:p w:rsidR="005E34AF" w:rsidRPr="008A0A30" w:rsidRDefault="005E34AF" w:rsidP="00FC3767">
      <w:pPr>
        <w:pStyle w:val="Heading4"/>
      </w:pPr>
      <w:r w:rsidRPr="008A0A30">
        <w:t>Paediatric Patients</w:t>
      </w:r>
    </w:p>
    <w:p w:rsidR="00231170" w:rsidRPr="008A0A30" w:rsidRDefault="005E34AF" w:rsidP="00FC3767">
      <w:pPr>
        <w:rPr>
          <w:noProof/>
        </w:rPr>
      </w:pPr>
      <w:r w:rsidRPr="008A0A30">
        <w:rPr>
          <w:noProof/>
        </w:rPr>
        <w:t>The pharmacokinetics of sofosbuvir</w:t>
      </w:r>
      <w:r w:rsidR="001A405A">
        <w:rPr>
          <w:noProof/>
        </w:rPr>
        <w:t xml:space="preserve">, </w:t>
      </w:r>
      <w:r w:rsidRPr="008A0A30">
        <w:rPr>
          <w:noProof/>
        </w:rPr>
        <w:t>GS-331007</w:t>
      </w:r>
      <w:r w:rsidR="001A405A">
        <w:rPr>
          <w:noProof/>
        </w:rPr>
        <w:t xml:space="preserve"> and</w:t>
      </w:r>
      <w:r w:rsidRPr="008A0A30">
        <w:rPr>
          <w:noProof/>
        </w:rPr>
        <w:t xml:space="preserve"> </w:t>
      </w:r>
      <w:r w:rsidR="001A405A">
        <w:rPr>
          <w:noProof/>
        </w:rPr>
        <w:t>velpatasvir</w:t>
      </w:r>
      <w:r w:rsidR="001A405A" w:rsidRPr="008A0A30">
        <w:rPr>
          <w:noProof/>
        </w:rPr>
        <w:t xml:space="preserve">, </w:t>
      </w:r>
      <w:r w:rsidRPr="008A0A30">
        <w:rPr>
          <w:noProof/>
        </w:rPr>
        <w:t>in p</w:t>
      </w:r>
      <w:r w:rsidR="00DF19D1" w:rsidRPr="008A0A30">
        <w:rPr>
          <w:noProof/>
        </w:rPr>
        <w:t>a</w:t>
      </w:r>
      <w:r w:rsidRPr="008A0A30">
        <w:rPr>
          <w:noProof/>
        </w:rPr>
        <w:t xml:space="preserve">ediatric </w:t>
      </w:r>
      <w:r w:rsidR="00372D03" w:rsidRPr="008A0A30">
        <w:t>patients</w:t>
      </w:r>
      <w:r w:rsidRPr="008A0A30">
        <w:rPr>
          <w:noProof/>
        </w:rPr>
        <w:t xml:space="preserve"> have not been established.</w:t>
      </w:r>
    </w:p>
    <w:p w:rsidR="004D0E34" w:rsidRPr="008A0A30" w:rsidRDefault="00231170" w:rsidP="00FC3767">
      <w:pPr>
        <w:pStyle w:val="Heading4"/>
      </w:pPr>
      <w:r w:rsidRPr="008A0A30">
        <w:t>P</w:t>
      </w:r>
      <w:r w:rsidR="007254DD" w:rsidRPr="008A0A30">
        <w:t>atients with Impaired Renal Function</w:t>
      </w:r>
    </w:p>
    <w:p w:rsidR="00B5026A" w:rsidRPr="008A0A30" w:rsidRDefault="00B5026A" w:rsidP="00FC3767">
      <w:r w:rsidRPr="008A0A30">
        <w:t>The pharmacokinetics of sofosbuvir were studied in HCV negative patients with mild (eGFR ≥ 50 and &lt; 80 m</w:t>
      </w:r>
      <w:r w:rsidRPr="008A0A30">
        <w:rPr>
          <w:spacing w:val="-5"/>
        </w:rPr>
        <w:t>L</w:t>
      </w:r>
      <w:r w:rsidRPr="008A0A30">
        <w:t>/min/1.73m</w:t>
      </w:r>
      <w:r w:rsidRPr="008A0A30">
        <w:rPr>
          <w:vertAlign w:val="superscript"/>
        </w:rPr>
        <w:t>2</w:t>
      </w:r>
      <w:r w:rsidRPr="008A0A30">
        <w:t xml:space="preserve">), moderate (eGFR ≥ 30 and &lt; 50 </w:t>
      </w:r>
      <w:r w:rsidRPr="008A0A30">
        <w:rPr>
          <w:spacing w:val="3"/>
        </w:rPr>
        <w:t>m</w:t>
      </w:r>
      <w:r w:rsidRPr="008A0A30">
        <w:rPr>
          <w:spacing w:val="-5"/>
        </w:rPr>
        <w:t>L</w:t>
      </w:r>
      <w:r w:rsidRPr="008A0A30">
        <w:t>/min/1.73m</w:t>
      </w:r>
      <w:r w:rsidRPr="008A0A30">
        <w:rPr>
          <w:vertAlign w:val="superscript"/>
        </w:rPr>
        <w:t>2</w:t>
      </w:r>
      <w:r w:rsidRPr="008A0A30">
        <w:t>), severe renal impairment (eGFR &lt; 30 m</w:t>
      </w:r>
      <w:r w:rsidRPr="008A0A30">
        <w:rPr>
          <w:spacing w:val="-5"/>
        </w:rPr>
        <w:t>L</w:t>
      </w:r>
      <w:r w:rsidRPr="008A0A30">
        <w:t>/min/1.73m</w:t>
      </w:r>
      <w:r w:rsidRPr="008A0A30">
        <w:rPr>
          <w:vertAlign w:val="superscript"/>
        </w:rPr>
        <w:t>2</w:t>
      </w:r>
      <w:r w:rsidRPr="008A0A30">
        <w:t>) and patients with end stage renal disease (ESRD) requiring h</w:t>
      </w:r>
      <w:r w:rsidR="00B533D7">
        <w:t>a</w:t>
      </w:r>
      <w:r w:rsidRPr="008A0A30">
        <w:t>emodia</w:t>
      </w:r>
      <w:r w:rsidRPr="008A0A30">
        <w:rPr>
          <w:spacing w:val="5"/>
        </w:rPr>
        <w:t>l</w:t>
      </w:r>
      <w:r w:rsidRPr="008A0A30">
        <w:rPr>
          <w:spacing w:val="-5"/>
        </w:rPr>
        <w:t>y</w:t>
      </w:r>
      <w:r w:rsidRPr="008A0A30">
        <w:t>sis following a single 400 mg dose of sofosbuvir. Relative to patients with normal renal function (eGFR &gt; 80 mL/min/1.73m</w:t>
      </w:r>
      <w:r w:rsidRPr="008A0A30">
        <w:rPr>
          <w:vertAlign w:val="superscript"/>
        </w:rPr>
        <w:t>2</w:t>
      </w:r>
      <w:r w:rsidRPr="008A0A30">
        <w:t>), the sofosbuvir AUC</w:t>
      </w:r>
      <w:r w:rsidRPr="008A0A30">
        <w:rPr>
          <w:vertAlign w:val="subscript"/>
        </w:rPr>
        <w:t>0</w:t>
      </w:r>
      <w:r w:rsidRPr="008A0A30">
        <w:rPr>
          <w:spacing w:val="-1"/>
          <w:vertAlign w:val="subscript"/>
        </w:rPr>
        <w:t>-</w:t>
      </w:r>
      <w:r w:rsidRPr="008A0A30">
        <w:rPr>
          <w:vertAlign w:val="subscript"/>
        </w:rPr>
        <w:t xml:space="preserve">inf </w:t>
      </w:r>
      <w:r w:rsidRPr="008A0A30">
        <w:t>was 61%, 107% and 171% higher in mild, moderate</w:t>
      </w:r>
      <w:r w:rsidR="00E40B33">
        <w:t>,</w:t>
      </w:r>
      <w:r w:rsidRPr="008A0A30">
        <w:t xml:space="preserve"> and severe renal impairment, while the G</w:t>
      </w:r>
      <w:r w:rsidRPr="008A0A30">
        <w:rPr>
          <w:spacing w:val="1"/>
        </w:rPr>
        <w:t>S</w:t>
      </w:r>
      <w:r w:rsidRPr="008A0A30">
        <w:rPr>
          <w:spacing w:val="-1"/>
        </w:rPr>
        <w:t>-</w:t>
      </w:r>
      <w:r w:rsidRPr="008A0A30">
        <w:t>331007 AUC</w:t>
      </w:r>
      <w:r w:rsidRPr="008A0A30">
        <w:rPr>
          <w:vertAlign w:val="subscript"/>
        </w:rPr>
        <w:t>0</w:t>
      </w:r>
      <w:r w:rsidRPr="008A0A30">
        <w:rPr>
          <w:spacing w:val="-1"/>
          <w:vertAlign w:val="subscript"/>
        </w:rPr>
        <w:t>-</w:t>
      </w:r>
      <w:r w:rsidRPr="008A0A30">
        <w:rPr>
          <w:vertAlign w:val="subscript"/>
        </w:rPr>
        <w:t>inf</w:t>
      </w:r>
      <w:r w:rsidR="00FC3767">
        <w:rPr>
          <w:vertAlign w:val="subscript"/>
        </w:rPr>
        <w:t xml:space="preserve"> </w:t>
      </w:r>
      <w:r w:rsidRPr="008A0A30">
        <w:t>was 55%, 88%</w:t>
      </w:r>
      <w:r w:rsidR="00E40B33">
        <w:t>,</w:t>
      </w:r>
      <w:r w:rsidRPr="008A0A30">
        <w:t xml:space="preserve"> and 451% higher, respective</w:t>
      </w:r>
      <w:r w:rsidRPr="008A0A30">
        <w:rPr>
          <w:spacing w:val="4"/>
        </w:rPr>
        <w:t>l</w:t>
      </w:r>
      <w:r w:rsidRPr="008A0A30">
        <w:t>y.</w:t>
      </w:r>
      <w:r w:rsidRPr="008A0A30">
        <w:rPr>
          <w:spacing w:val="-1"/>
        </w:rPr>
        <w:t xml:space="preserve"> </w:t>
      </w:r>
      <w:r w:rsidRPr="008A0A30">
        <w:t>In</w:t>
      </w:r>
      <w:r w:rsidRPr="008A0A30">
        <w:rPr>
          <w:spacing w:val="-1"/>
        </w:rPr>
        <w:t xml:space="preserve"> </w:t>
      </w:r>
      <w:r w:rsidRPr="008A0A30">
        <w:t>patients with ESRD, sofosbuvir AUC</w:t>
      </w:r>
      <w:r w:rsidRPr="008A0A30">
        <w:rPr>
          <w:vertAlign w:val="subscript"/>
        </w:rPr>
        <w:t>0</w:t>
      </w:r>
      <w:r w:rsidRPr="008A0A30">
        <w:rPr>
          <w:spacing w:val="-1"/>
          <w:vertAlign w:val="subscript"/>
        </w:rPr>
        <w:t>-</w:t>
      </w:r>
      <w:r w:rsidRPr="008A0A30">
        <w:rPr>
          <w:vertAlign w:val="subscript"/>
        </w:rPr>
        <w:t xml:space="preserve">inf </w:t>
      </w:r>
      <w:r w:rsidRPr="008A0A30">
        <w:t>was 28% higher when sofosbuvir was dosed 1 hour before h</w:t>
      </w:r>
      <w:r w:rsidR="00B533D7">
        <w:t>a</w:t>
      </w:r>
      <w:r w:rsidRPr="008A0A30">
        <w:t>emodial</w:t>
      </w:r>
      <w:r w:rsidRPr="008A0A30">
        <w:rPr>
          <w:spacing w:val="-5"/>
        </w:rPr>
        <w:t>y</w:t>
      </w:r>
      <w:r w:rsidRPr="008A0A30">
        <w:t>sis compared with 60% higher when dosed 1 hour after h</w:t>
      </w:r>
      <w:r w:rsidR="00B533D7">
        <w:t>a</w:t>
      </w:r>
      <w:r w:rsidRPr="008A0A30">
        <w:t>emodial</w:t>
      </w:r>
      <w:r w:rsidRPr="008A0A30">
        <w:rPr>
          <w:spacing w:val="-5"/>
        </w:rPr>
        <w:t>y</w:t>
      </w:r>
      <w:r w:rsidRPr="008A0A30">
        <w:t>sis, respective</w:t>
      </w:r>
      <w:r w:rsidRPr="008A0A30">
        <w:rPr>
          <w:spacing w:val="5"/>
        </w:rPr>
        <w:t>l</w:t>
      </w:r>
      <w:r w:rsidRPr="008A0A30">
        <w:t>y.</w:t>
      </w:r>
      <w:r w:rsidRPr="008A0A30">
        <w:rPr>
          <w:spacing w:val="-1"/>
        </w:rPr>
        <w:t xml:space="preserve"> </w:t>
      </w:r>
      <w:r w:rsidRPr="008A0A30">
        <w:t>The</w:t>
      </w:r>
      <w:r w:rsidRPr="008A0A30">
        <w:rPr>
          <w:spacing w:val="-1"/>
        </w:rPr>
        <w:t xml:space="preserve"> </w:t>
      </w:r>
      <w:r w:rsidRPr="008A0A30">
        <w:t>AUC</w:t>
      </w:r>
      <w:r w:rsidRPr="008A0A30">
        <w:rPr>
          <w:vertAlign w:val="subscript"/>
        </w:rPr>
        <w:t>0</w:t>
      </w:r>
      <w:r w:rsidRPr="008A0A30">
        <w:rPr>
          <w:spacing w:val="-1"/>
          <w:vertAlign w:val="subscript"/>
        </w:rPr>
        <w:t>-</w:t>
      </w:r>
      <w:r w:rsidRPr="008A0A30">
        <w:rPr>
          <w:vertAlign w:val="subscript"/>
        </w:rPr>
        <w:t>inf</w:t>
      </w:r>
      <w:r w:rsidRPr="008A0A30">
        <w:t xml:space="preserve"> of </w:t>
      </w:r>
      <w:r w:rsidRPr="008A0A30">
        <w:rPr>
          <w:spacing w:val="-1"/>
        </w:rPr>
        <w:t>G</w:t>
      </w:r>
      <w:r w:rsidRPr="008A0A30">
        <w:rPr>
          <w:spacing w:val="1"/>
        </w:rPr>
        <w:t>S</w:t>
      </w:r>
      <w:r w:rsidRPr="008A0A30">
        <w:rPr>
          <w:spacing w:val="-1"/>
        </w:rPr>
        <w:t>-</w:t>
      </w:r>
      <w:r w:rsidRPr="008A0A30">
        <w:t>331007 in patients with ESRD administered with sofosbuvir 1</w:t>
      </w:r>
      <w:r w:rsidR="00F24D70" w:rsidRPr="008A0A30">
        <w:t xml:space="preserve"> </w:t>
      </w:r>
      <w:r w:rsidRPr="008A0A30">
        <w:t>hour before or 1</w:t>
      </w:r>
      <w:r w:rsidR="00E40B33">
        <w:t xml:space="preserve"> </w:t>
      </w:r>
      <w:r w:rsidRPr="008A0A30">
        <w:t>hour after h</w:t>
      </w:r>
      <w:r w:rsidR="00B533D7">
        <w:t>a</w:t>
      </w:r>
      <w:r w:rsidRPr="008A0A30">
        <w:t>emodial</w:t>
      </w:r>
      <w:r w:rsidRPr="008A0A30">
        <w:rPr>
          <w:spacing w:val="-5"/>
        </w:rPr>
        <w:t>y</w:t>
      </w:r>
      <w:r w:rsidRPr="008A0A30">
        <w:t>sis was at least 10</w:t>
      </w:r>
      <w:r w:rsidRPr="008A0A30">
        <w:rPr>
          <w:spacing w:val="-1"/>
        </w:rPr>
        <w:t>-</w:t>
      </w:r>
      <w:r w:rsidRPr="008A0A30">
        <w:t>fold and 20</w:t>
      </w:r>
      <w:r w:rsidRPr="008A0A30">
        <w:rPr>
          <w:spacing w:val="-1"/>
        </w:rPr>
        <w:t>-</w:t>
      </w:r>
      <w:r w:rsidRPr="008A0A30">
        <w:t>fold higher, respective</w:t>
      </w:r>
      <w:r w:rsidRPr="008A0A30">
        <w:rPr>
          <w:spacing w:val="5"/>
        </w:rPr>
        <w:t>l</w:t>
      </w:r>
      <w:r w:rsidRPr="008A0A30">
        <w:rPr>
          <w:spacing w:val="-1"/>
        </w:rPr>
        <w:t>y</w:t>
      </w:r>
      <w:r w:rsidRPr="008A0A30">
        <w:t>.</w:t>
      </w:r>
      <w:r w:rsidRPr="008A0A30">
        <w:rPr>
          <w:spacing w:val="-3"/>
        </w:rPr>
        <w:t xml:space="preserve"> </w:t>
      </w:r>
      <w:r w:rsidRPr="008A0A30">
        <w:rPr>
          <w:spacing w:val="-1"/>
        </w:rPr>
        <w:t>G</w:t>
      </w:r>
      <w:r w:rsidRPr="008A0A30">
        <w:rPr>
          <w:spacing w:val="1"/>
        </w:rPr>
        <w:t>S</w:t>
      </w:r>
      <w:r w:rsidRPr="008A0A30">
        <w:rPr>
          <w:spacing w:val="-1"/>
        </w:rPr>
        <w:t>-</w:t>
      </w:r>
      <w:r w:rsidRPr="008A0A30">
        <w:t>331007 is efficient</w:t>
      </w:r>
      <w:r w:rsidRPr="008A0A30">
        <w:rPr>
          <w:spacing w:val="5"/>
        </w:rPr>
        <w:t>l</w:t>
      </w:r>
      <w:r w:rsidRPr="008A0A30">
        <w:t xml:space="preserve">y removed </w:t>
      </w:r>
      <w:r w:rsidRPr="008A0A30">
        <w:rPr>
          <w:spacing w:val="5"/>
        </w:rPr>
        <w:t>b</w:t>
      </w:r>
      <w:r w:rsidRPr="008A0A30">
        <w:t>y</w:t>
      </w:r>
      <w:r w:rsidRPr="008A0A30">
        <w:rPr>
          <w:spacing w:val="-1"/>
        </w:rPr>
        <w:t xml:space="preserve"> h</w:t>
      </w:r>
      <w:r w:rsidR="00B533D7">
        <w:rPr>
          <w:spacing w:val="-1"/>
        </w:rPr>
        <w:t>a</w:t>
      </w:r>
      <w:r w:rsidRPr="008A0A30">
        <w:rPr>
          <w:spacing w:val="-1"/>
        </w:rPr>
        <w:t>emodia</w:t>
      </w:r>
      <w:r w:rsidRPr="008A0A30">
        <w:rPr>
          <w:spacing w:val="5"/>
        </w:rPr>
        <w:t>l</w:t>
      </w:r>
      <w:r w:rsidRPr="008A0A30">
        <w:rPr>
          <w:spacing w:val="-5"/>
        </w:rPr>
        <w:t>y</w:t>
      </w:r>
      <w:r w:rsidRPr="008A0A30">
        <w:t>sis with an extraction coefficient of approximately</w:t>
      </w:r>
      <w:r w:rsidRPr="008A0A30">
        <w:rPr>
          <w:spacing w:val="-5"/>
        </w:rPr>
        <w:t xml:space="preserve"> </w:t>
      </w:r>
      <w:r w:rsidRPr="008A0A30">
        <w:t>53%.</w:t>
      </w:r>
      <w:r w:rsidR="00FC3767">
        <w:t xml:space="preserve"> </w:t>
      </w:r>
      <w:r w:rsidRPr="008A0A30">
        <w:t>Following a single 400 mg dose of sofosbuvir, a 4 hour h</w:t>
      </w:r>
      <w:r w:rsidR="00B533D7">
        <w:t>a</w:t>
      </w:r>
      <w:r w:rsidRPr="008A0A30">
        <w:t>emodial</w:t>
      </w:r>
      <w:r w:rsidRPr="008A0A30">
        <w:rPr>
          <w:spacing w:val="-4"/>
        </w:rPr>
        <w:t>y</w:t>
      </w:r>
      <w:r w:rsidRPr="008A0A30">
        <w:t xml:space="preserve">sis removed 18% of administered dose. No dose adjustment is </w:t>
      </w:r>
      <w:r w:rsidRPr="008A0A30">
        <w:rPr>
          <w:spacing w:val="-1"/>
        </w:rPr>
        <w:t>r</w:t>
      </w:r>
      <w:r w:rsidRPr="008A0A30">
        <w:t xml:space="preserve">equired for patients with mild or moderate renal impairment. The </w:t>
      </w:r>
      <w:r w:rsidRPr="008A0A30">
        <w:lastRenderedPageBreak/>
        <w:t>safe</w:t>
      </w:r>
      <w:r w:rsidRPr="008A0A30">
        <w:rPr>
          <w:spacing w:val="4"/>
        </w:rPr>
        <w:t>t</w:t>
      </w:r>
      <w:r w:rsidRPr="008A0A30">
        <w:t>y</w:t>
      </w:r>
      <w:r w:rsidRPr="008A0A30">
        <w:rPr>
          <w:spacing w:val="-2"/>
        </w:rPr>
        <w:t xml:space="preserve"> </w:t>
      </w:r>
      <w:r w:rsidRPr="008A0A30">
        <w:t>and efficacy</w:t>
      </w:r>
      <w:r w:rsidRPr="008A0A30">
        <w:rPr>
          <w:spacing w:val="-5"/>
        </w:rPr>
        <w:t xml:space="preserve"> </w:t>
      </w:r>
      <w:r w:rsidRPr="008A0A30">
        <w:t>of sofosbuvir have not been established in patients with severe renal impairment or ESRD.</w:t>
      </w:r>
    </w:p>
    <w:p w:rsidR="00D541A1" w:rsidRPr="008A0A30" w:rsidRDefault="001A405A" w:rsidP="00FC3767">
      <w:r w:rsidRPr="008A0A30">
        <w:t>The pharmacokinetics of velpatasvir were studied with a single dose of 100 mg ve</w:t>
      </w:r>
      <w:r w:rsidRPr="008A0A30">
        <w:rPr>
          <w:spacing w:val="-1"/>
        </w:rPr>
        <w:t>l</w:t>
      </w:r>
      <w:r w:rsidRPr="008A0A30">
        <w:t xml:space="preserve">patasvir in HCV </w:t>
      </w:r>
      <w:r w:rsidR="00E40B33">
        <w:t xml:space="preserve">negative </w:t>
      </w:r>
      <w:r w:rsidRPr="008A0A30">
        <w:t>patients with severe renal impairment (eGFR &lt; 30 mL/min by Cockcrof</w:t>
      </w:r>
      <w:r w:rsidRPr="008A0A30">
        <w:rPr>
          <w:spacing w:val="-1"/>
        </w:rPr>
        <w:t>t-</w:t>
      </w:r>
      <w:r w:rsidRPr="008A0A30">
        <w:t>Gault). No clinically</w:t>
      </w:r>
      <w:r w:rsidRPr="008A0A30">
        <w:rPr>
          <w:spacing w:val="-5"/>
        </w:rPr>
        <w:t xml:space="preserve"> </w:t>
      </w:r>
      <w:r w:rsidRPr="008A0A30">
        <w:t>relevant differences in velpatasvir pharmacokinetics were observed between healthy</w:t>
      </w:r>
      <w:r w:rsidRPr="008A0A30">
        <w:rPr>
          <w:spacing w:val="-5"/>
        </w:rPr>
        <w:t xml:space="preserve"> </w:t>
      </w:r>
      <w:r w:rsidRPr="008A0A30">
        <w:t>subjects and patients with severe renal impairment. No dose adjustment of velpatasvir is required for patients with mild, moderate, or severe renal impairment.</w:t>
      </w:r>
    </w:p>
    <w:p w:rsidR="002E218E" w:rsidRPr="008A0A30" w:rsidRDefault="007254DD" w:rsidP="00FC3767">
      <w:pPr>
        <w:pStyle w:val="Heading4"/>
      </w:pPr>
      <w:r w:rsidRPr="008A0A30">
        <w:t>Patients with Hepatic Impairment</w:t>
      </w:r>
    </w:p>
    <w:p w:rsidR="006D565D" w:rsidRPr="008A0A30" w:rsidRDefault="006D565D" w:rsidP="00FC3767">
      <w:r w:rsidRPr="008A0A30">
        <w:t xml:space="preserve">The pharmacokinetics of sofosbuvir were studied following 7-day dosing of 400 mg sofosbuvir in HCV-infected </w:t>
      </w:r>
      <w:r w:rsidR="00C72A05" w:rsidRPr="008A0A30">
        <w:t>patients</w:t>
      </w:r>
      <w:r w:rsidRPr="008A0A30">
        <w:t xml:space="preserve"> with moderate and severe hepatic impairment (Child Pugh Class B and C). Relative to </w:t>
      </w:r>
      <w:r w:rsidR="00C72A05" w:rsidRPr="008A0A30">
        <w:t>patients</w:t>
      </w:r>
      <w:r w:rsidRPr="008A0A30">
        <w:t xml:space="preserve"> with normal hepatic function, the sofosbuvir AUC</w:t>
      </w:r>
      <w:r w:rsidRPr="008A0A30">
        <w:rPr>
          <w:vertAlign w:val="subscript"/>
        </w:rPr>
        <w:t>0-24</w:t>
      </w:r>
      <w:r w:rsidRPr="008A0A30">
        <w:t xml:space="preserve"> was 126% and</w:t>
      </w:r>
      <w:r w:rsidR="00E40B33">
        <w:t xml:space="preserve"> </w:t>
      </w:r>
      <w:r w:rsidRPr="008A0A30">
        <w:t>143% higher in moderate and severe hepatic impairment, while the GS-331007 AUC</w:t>
      </w:r>
      <w:r w:rsidRPr="008A0A30">
        <w:rPr>
          <w:vertAlign w:val="subscript"/>
        </w:rPr>
        <w:t xml:space="preserve">0-24 </w:t>
      </w:r>
      <w:r w:rsidRPr="008A0A30">
        <w:t xml:space="preserve">was 18% and 9% higher, respectively. Population pharmacokinetics analysis in HCV-infected </w:t>
      </w:r>
      <w:r w:rsidR="00C72A05" w:rsidRPr="008A0A30">
        <w:t>patients</w:t>
      </w:r>
      <w:r w:rsidRPr="008A0A30">
        <w:t xml:space="preserve"> indicated that cirrhosis (including decompensated cirrhosis) had no clinically relevant effect on the exposure of sofosbuvir and GS-331007. No dose adjustment of sofosbuvir is recommended for patients with mild, moderate</w:t>
      </w:r>
      <w:r w:rsidR="00E40B33">
        <w:t>,</w:t>
      </w:r>
      <w:r w:rsidRPr="008A0A30">
        <w:t xml:space="preserve"> and severe hepatic impairment.</w:t>
      </w:r>
    </w:p>
    <w:p w:rsidR="001A405A" w:rsidRPr="008A0A30" w:rsidRDefault="001A405A" w:rsidP="00FC3767">
      <w:r w:rsidRPr="008A0A30">
        <w:t>The pharmacokinetics of velpatasvir were studied with a single dose of 100 mg velpatasvir in HCV negative patients with moderate and severe hepatic impairment (Child Pugh Class B and C). Velpatasvir plasma exposure (AUC</w:t>
      </w:r>
      <w:r w:rsidRPr="002823AC">
        <w:rPr>
          <w:vertAlign w:val="subscript"/>
        </w:rPr>
        <w:t>inf</w:t>
      </w:r>
      <w:r w:rsidRPr="008A0A30">
        <w:t>) was similar in patients with moderate hepatic impairment, severe hepatic impairment, and control patients with normal hepatic function. Population pharmacokinetics analysis in HCV-infected patients indicated that cirrhosis (including decompensated cirrhosis) had no clinically relevant effect on the exposure of velpatasvir. No dose adjustment of velpatasvir is required for patients with mild, moderate, or severe hepatic impairment.</w:t>
      </w:r>
    </w:p>
    <w:p w:rsidR="007F48BD" w:rsidRPr="008A0A30" w:rsidRDefault="00074A4E" w:rsidP="00FC3767">
      <w:pPr>
        <w:pStyle w:val="Heading3"/>
      </w:pPr>
      <w:r w:rsidRPr="008A0A30">
        <w:t>Assessment of Drug Interactions</w:t>
      </w:r>
    </w:p>
    <w:p w:rsidR="00FC3767" w:rsidRDefault="00E239F4" w:rsidP="009F3500">
      <w:r w:rsidRPr="008A0A30">
        <w:t xml:space="preserve">After oral administration of </w:t>
      </w:r>
      <w:r w:rsidR="00C3685A">
        <w:t>EPCLUSA</w:t>
      </w:r>
      <w:r w:rsidRPr="008A0A30">
        <w:t>, sofosbuvir is rapidly absorbed and subject to extensive first-pass hepatic extraction. Hydrolytic prodrug cleavage and sequential phosphorylation steps results in formation of the pharmacologically active uridine nucleoside analog triphosphate. Dephosphorylation of nucleotide metabolites results in conversion to the predominant circulating metabolite GS-331007 that accounts for approximately 85% of total systemic exposure. In clinical pharmacology studies, both sofosbuvir and GS-331007 were monitored for purposes of pharmacokinetic analyses.</w:t>
      </w:r>
    </w:p>
    <w:p w:rsidR="009F3500" w:rsidRPr="008A0A30" w:rsidRDefault="009F3500" w:rsidP="009F3500">
      <w:r w:rsidRPr="008A0A30">
        <w:t>Sofosbuvir and velpatasvir are substrates of drug transporters P-gp and BCRP</w:t>
      </w:r>
      <w:r w:rsidR="00E40B33">
        <w:t>,</w:t>
      </w:r>
      <w:r w:rsidRPr="008A0A30">
        <w:t xml:space="preserve"> while GS-331007 is not.</w:t>
      </w:r>
      <w:r w:rsidR="00FC3767">
        <w:t xml:space="preserve"> </w:t>
      </w:r>
      <w:r w:rsidRPr="008A0A30">
        <w:t xml:space="preserve">Velpatasvir is poorly transported by OATP1B1 and OATP1B3. </w:t>
      </w:r>
      <w:r w:rsidRPr="008A0A30">
        <w:rPr>
          <w:i/>
        </w:rPr>
        <w:t>In vitro</w:t>
      </w:r>
      <w:r w:rsidRPr="008A0A30">
        <w:t>, slow metabolic turnover of velpatasvir by CYP2B6, CYP2C8, and CYP3A4 was observed.</w:t>
      </w:r>
    </w:p>
    <w:p w:rsidR="00E40B33" w:rsidRPr="008A0A30" w:rsidRDefault="00E40B33" w:rsidP="00E40B33">
      <w:r w:rsidRPr="008A0A30">
        <w:t>Sofosbuvir and GS-331007 are not inhibitors of drug transporters P-gp, BCRP, OATP1B1, OATP1B3</w:t>
      </w:r>
      <w:r>
        <w:t>,</w:t>
      </w:r>
      <w:r w:rsidRPr="008A0A30">
        <w:t xml:space="preserve"> and OCT1</w:t>
      </w:r>
      <w:r>
        <w:t>,</w:t>
      </w:r>
      <w:r w:rsidRPr="008A0A30">
        <w:t xml:space="preserve"> and GS-331007 is not an inhibitor of OAT1, OAT3, OCT2, and MATE1. Sofosbuvir and GS-331007 are not inhibitors or inducers of CYP or UGT1A1 enzymes.</w:t>
      </w:r>
    </w:p>
    <w:p w:rsidR="009F3500" w:rsidRPr="008A0A30" w:rsidRDefault="009F3500" w:rsidP="009F3500">
      <w:r w:rsidRPr="008A0A30">
        <w:t>Velpatasvir is an inhibitor of drug transporter P-gp, BCRP, OATP1B1</w:t>
      </w:r>
      <w:r w:rsidR="00E40B33">
        <w:t>,</w:t>
      </w:r>
      <w:r w:rsidRPr="008A0A30">
        <w:t xml:space="preserve"> and OATP1B3</w:t>
      </w:r>
      <w:r w:rsidR="00E40B33">
        <w:t>,</w:t>
      </w:r>
      <w:r w:rsidRPr="008A0A30">
        <w:t xml:space="preserve"> and its involvement in drug interactions with these transporters is primarily limited to the process of absorption. At clinically relevant concentration, velpatasvir is not an inhibitor of hepatic </w:t>
      </w:r>
      <w:r w:rsidRPr="008A0A30">
        <w:lastRenderedPageBreak/>
        <w:t>transporters OATP1A2 or OCT1, renal transporters OCT2, OAT1, OAT3 or MATE1, or CYP or UGT1A1 enzymes.</w:t>
      </w:r>
    </w:p>
    <w:p w:rsidR="009F3500" w:rsidRDefault="009F3500" w:rsidP="009F3500">
      <w:r w:rsidRPr="008A0A30">
        <w:t xml:space="preserve">The effects of coadministered drugs on the exposure of sofosbuvir, GS-331007, and velpatasvir are shown in Table </w:t>
      </w:r>
      <w:r w:rsidR="00AB16C8" w:rsidRPr="008A0A30">
        <w:t>5</w:t>
      </w:r>
      <w:r w:rsidRPr="008A0A30">
        <w:t>. The effects of s</w:t>
      </w:r>
      <w:r w:rsidR="001E26BE" w:rsidRPr="008A0A30">
        <w:t xml:space="preserve">ofosbuvir, velpatasvir or </w:t>
      </w:r>
      <w:r w:rsidR="00C3685A">
        <w:t>EPCLUSA</w:t>
      </w:r>
      <w:r w:rsidRPr="008A0A30">
        <w:t xml:space="preserve"> on the exposure of coadministered drugs are shown in Table </w:t>
      </w:r>
      <w:r w:rsidR="00AB16C8" w:rsidRPr="008A0A30">
        <w:t>6</w:t>
      </w:r>
      <w:r w:rsidRPr="008A0A30">
        <w:t>.</w:t>
      </w:r>
    </w:p>
    <w:p w:rsidR="001E26BE" w:rsidRPr="008A0A30" w:rsidRDefault="00003AC8" w:rsidP="00003AC8">
      <w:pPr>
        <w:pStyle w:val="Caption"/>
      </w:pPr>
      <w:r>
        <w:t xml:space="preserve">Table </w:t>
      </w:r>
      <w:fldSimple w:instr=" SEQ Table \* ARABIC ">
        <w:r w:rsidR="00D60556">
          <w:rPr>
            <w:noProof/>
          </w:rPr>
          <w:t>5</w:t>
        </w:r>
      </w:fldSimple>
      <w:r>
        <w:t xml:space="preserve">. </w:t>
      </w:r>
      <w:r w:rsidR="001E26BE" w:rsidRPr="008A0A30">
        <w:t xml:space="preserve">Drug Interactions: Changes in Pharmacokinetic Parameters for Sofosbuvir, </w:t>
      </w:r>
      <w:r w:rsidR="001A405A">
        <w:t>its</w:t>
      </w:r>
      <w:r w:rsidR="001E26BE" w:rsidRPr="008A0A30">
        <w:t xml:space="preserve"> Predominant Circulating Metabolite GS-331007</w:t>
      </w:r>
      <w:r w:rsidR="001A405A">
        <w:t>, and</w:t>
      </w:r>
      <w:r w:rsidR="001E26BE" w:rsidRPr="008A0A30">
        <w:t xml:space="preserve"> </w:t>
      </w:r>
      <w:r w:rsidR="001A405A">
        <w:t xml:space="preserve">Velpatasvir </w:t>
      </w:r>
      <w:r w:rsidR="001E26BE" w:rsidRPr="008A0A30">
        <w:t>in the Presence of the Coadministered Drug</w:t>
      </w:r>
      <w:r w:rsidR="001E26BE" w:rsidRPr="008A0A30">
        <w:rPr>
          <w:vertAlign w:val="superscript"/>
        </w:rPr>
        <w:t>a</w:t>
      </w:r>
    </w:p>
    <w:tbl>
      <w:tblPr>
        <w:tblW w:w="9635" w:type="dxa"/>
        <w:tblInd w:w="9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9"/>
        <w:gridCol w:w="1319"/>
        <w:gridCol w:w="1169"/>
        <w:gridCol w:w="1080"/>
        <w:gridCol w:w="451"/>
        <w:gridCol w:w="1080"/>
        <w:gridCol w:w="1078"/>
        <w:gridCol w:w="1080"/>
        <w:gridCol w:w="1099"/>
      </w:tblGrid>
      <w:tr w:rsidR="001E26BE" w:rsidRPr="008A0A30" w:rsidTr="00003AC8">
        <w:trPr>
          <w:trHeight w:hRule="exact" w:val="763"/>
          <w:tblHeader/>
        </w:trPr>
        <w:tc>
          <w:tcPr>
            <w:tcW w:w="1279" w:type="dxa"/>
            <w:vMerge w:val="restart"/>
            <w:tcBorders>
              <w:top w:val="single" w:sz="12" w:space="0" w:color="auto"/>
              <w:bottom w:val="single" w:sz="12" w:space="0" w:color="auto"/>
            </w:tcBorders>
          </w:tcPr>
          <w:p w:rsidR="001E26BE" w:rsidRPr="008A0A30" w:rsidRDefault="001E26BE" w:rsidP="00B11886">
            <w:pPr>
              <w:spacing w:after="0" w:line="206" w:lineRule="exact"/>
              <w:ind w:left="108" w:right="104"/>
              <w:rPr>
                <w:sz w:val="18"/>
                <w:szCs w:val="18"/>
              </w:rPr>
            </w:pPr>
            <w:r w:rsidRPr="008A0A30">
              <w:rPr>
                <w:b/>
                <w:bCs/>
                <w:sz w:val="18"/>
                <w:szCs w:val="18"/>
              </w:rPr>
              <w:t>C</w:t>
            </w:r>
            <w:r w:rsidRPr="008A0A30">
              <w:rPr>
                <w:b/>
                <w:bCs/>
                <w:spacing w:val="-1"/>
                <w:sz w:val="18"/>
                <w:szCs w:val="18"/>
              </w:rPr>
              <w:t>o</w:t>
            </w:r>
            <w:r w:rsidRPr="008A0A30">
              <w:rPr>
                <w:b/>
                <w:bCs/>
                <w:sz w:val="18"/>
                <w:szCs w:val="18"/>
              </w:rPr>
              <w:t xml:space="preserve">- administered </w:t>
            </w:r>
            <w:r w:rsidRPr="008A0A30">
              <w:rPr>
                <w:b/>
                <w:bCs/>
                <w:spacing w:val="-1"/>
                <w:sz w:val="18"/>
                <w:szCs w:val="18"/>
              </w:rPr>
              <w:t>Drug</w:t>
            </w:r>
          </w:p>
        </w:tc>
        <w:tc>
          <w:tcPr>
            <w:tcW w:w="1319" w:type="dxa"/>
            <w:vMerge w:val="restart"/>
            <w:tcBorders>
              <w:top w:val="single" w:sz="12" w:space="0" w:color="auto"/>
              <w:bottom w:val="single" w:sz="12" w:space="0" w:color="auto"/>
            </w:tcBorders>
          </w:tcPr>
          <w:p w:rsidR="001E26BE" w:rsidRPr="008A0A30" w:rsidRDefault="001E26BE" w:rsidP="006E2EAA">
            <w:pPr>
              <w:spacing w:after="0" w:line="206" w:lineRule="exact"/>
              <w:ind w:left="101" w:right="83"/>
              <w:jc w:val="center"/>
              <w:rPr>
                <w:sz w:val="18"/>
                <w:szCs w:val="18"/>
              </w:rPr>
            </w:pPr>
            <w:r w:rsidRPr="008A0A30">
              <w:rPr>
                <w:b/>
                <w:bCs/>
                <w:sz w:val="18"/>
                <w:szCs w:val="18"/>
              </w:rPr>
              <w:t>Dose of C</w:t>
            </w:r>
            <w:r w:rsidRPr="008A0A30">
              <w:rPr>
                <w:b/>
                <w:bCs/>
                <w:spacing w:val="-1"/>
                <w:sz w:val="18"/>
                <w:szCs w:val="18"/>
              </w:rPr>
              <w:t>o</w:t>
            </w:r>
            <w:r w:rsidRPr="008A0A30">
              <w:rPr>
                <w:b/>
                <w:bCs/>
                <w:sz w:val="18"/>
                <w:szCs w:val="18"/>
              </w:rPr>
              <w:t>- administered Drug</w:t>
            </w:r>
            <w:r w:rsidR="006E2EAA" w:rsidRPr="008A0A30">
              <w:rPr>
                <w:b/>
                <w:bCs/>
                <w:sz w:val="18"/>
                <w:szCs w:val="18"/>
              </w:rPr>
              <w:t xml:space="preserve"> </w:t>
            </w:r>
            <w:r w:rsidRPr="008A0A30">
              <w:rPr>
                <w:b/>
                <w:bCs/>
                <w:spacing w:val="2"/>
                <w:sz w:val="18"/>
                <w:szCs w:val="18"/>
              </w:rPr>
              <w:t>(</w:t>
            </w:r>
            <w:r w:rsidRPr="008A0A30">
              <w:rPr>
                <w:b/>
                <w:bCs/>
                <w:spacing w:val="-6"/>
                <w:sz w:val="18"/>
                <w:szCs w:val="18"/>
              </w:rPr>
              <w:t>m</w:t>
            </w:r>
            <w:r w:rsidRPr="008A0A30">
              <w:rPr>
                <w:b/>
                <w:bCs/>
                <w:spacing w:val="1"/>
                <w:sz w:val="18"/>
                <w:szCs w:val="18"/>
              </w:rPr>
              <w:t>g)</w:t>
            </w:r>
          </w:p>
        </w:tc>
        <w:tc>
          <w:tcPr>
            <w:tcW w:w="1169" w:type="dxa"/>
            <w:vMerge w:val="restart"/>
            <w:tcBorders>
              <w:top w:val="single" w:sz="12" w:space="0" w:color="auto"/>
              <w:bottom w:val="single" w:sz="12" w:space="0" w:color="auto"/>
            </w:tcBorders>
          </w:tcPr>
          <w:p w:rsidR="001E26BE" w:rsidRPr="008A0A30" w:rsidRDefault="001E26BE" w:rsidP="00B11886">
            <w:pPr>
              <w:spacing w:after="0" w:line="206" w:lineRule="exact"/>
              <w:ind w:left="393" w:right="82" w:hanging="262"/>
              <w:rPr>
                <w:sz w:val="18"/>
                <w:szCs w:val="18"/>
              </w:rPr>
            </w:pPr>
            <w:r w:rsidRPr="008A0A30">
              <w:rPr>
                <w:b/>
                <w:bCs/>
                <w:sz w:val="18"/>
                <w:szCs w:val="18"/>
              </w:rPr>
              <w:t xml:space="preserve">Velpatasvir </w:t>
            </w:r>
            <w:r w:rsidRPr="008A0A30">
              <w:rPr>
                <w:b/>
                <w:bCs/>
                <w:spacing w:val="-1"/>
                <w:sz w:val="18"/>
                <w:szCs w:val="18"/>
              </w:rPr>
              <w:t xml:space="preserve">Dose </w:t>
            </w:r>
            <w:r w:rsidRPr="008A0A30">
              <w:rPr>
                <w:b/>
                <w:bCs/>
                <w:spacing w:val="2"/>
                <w:sz w:val="18"/>
                <w:szCs w:val="18"/>
              </w:rPr>
              <w:t>(</w:t>
            </w:r>
            <w:r w:rsidRPr="008A0A30">
              <w:rPr>
                <w:b/>
                <w:bCs/>
                <w:spacing w:val="-6"/>
                <w:sz w:val="18"/>
                <w:szCs w:val="18"/>
              </w:rPr>
              <w:t>m</w:t>
            </w:r>
            <w:r w:rsidRPr="008A0A30">
              <w:rPr>
                <w:b/>
                <w:bCs/>
                <w:spacing w:val="1"/>
                <w:sz w:val="18"/>
                <w:szCs w:val="18"/>
              </w:rPr>
              <w:t>g)</w:t>
            </w:r>
          </w:p>
        </w:tc>
        <w:tc>
          <w:tcPr>
            <w:tcW w:w="1080" w:type="dxa"/>
            <w:vMerge w:val="restart"/>
            <w:tcBorders>
              <w:top w:val="single" w:sz="12" w:space="0" w:color="auto"/>
              <w:bottom w:val="single" w:sz="12" w:space="0" w:color="auto"/>
            </w:tcBorders>
          </w:tcPr>
          <w:p w:rsidR="001E26BE" w:rsidRPr="008A0A30" w:rsidRDefault="001E26BE" w:rsidP="00B11886">
            <w:pPr>
              <w:spacing w:after="0" w:line="206" w:lineRule="exact"/>
              <w:ind w:left="347" w:right="68" w:hanging="230"/>
              <w:rPr>
                <w:sz w:val="18"/>
                <w:szCs w:val="18"/>
              </w:rPr>
            </w:pPr>
            <w:r w:rsidRPr="008A0A30">
              <w:rPr>
                <w:b/>
                <w:bCs/>
                <w:sz w:val="18"/>
                <w:szCs w:val="18"/>
              </w:rPr>
              <w:t>Sofo</w:t>
            </w:r>
            <w:r w:rsidRPr="008A0A30">
              <w:rPr>
                <w:b/>
                <w:bCs/>
                <w:spacing w:val="2"/>
                <w:sz w:val="18"/>
                <w:szCs w:val="18"/>
              </w:rPr>
              <w:t>s</w:t>
            </w:r>
            <w:r w:rsidRPr="008A0A30">
              <w:rPr>
                <w:b/>
                <w:bCs/>
                <w:spacing w:val="-1"/>
                <w:sz w:val="18"/>
                <w:szCs w:val="18"/>
              </w:rPr>
              <w:t xml:space="preserve">buvir Dose </w:t>
            </w:r>
            <w:r w:rsidRPr="008A0A30">
              <w:rPr>
                <w:b/>
                <w:bCs/>
                <w:spacing w:val="2"/>
                <w:sz w:val="18"/>
                <w:szCs w:val="18"/>
              </w:rPr>
              <w:t>(</w:t>
            </w:r>
            <w:r w:rsidRPr="008A0A30">
              <w:rPr>
                <w:b/>
                <w:bCs/>
                <w:spacing w:val="-6"/>
                <w:sz w:val="18"/>
                <w:szCs w:val="18"/>
              </w:rPr>
              <w:t>m</w:t>
            </w:r>
            <w:r w:rsidRPr="008A0A30">
              <w:rPr>
                <w:b/>
                <w:bCs/>
                <w:spacing w:val="1"/>
                <w:sz w:val="18"/>
                <w:szCs w:val="18"/>
              </w:rPr>
              <w:t>g)</w:t>
            </w:r>
          </w:p>
        </w:tc>
        <w:tc>
          <w:tcPr>
            <w:tcW w:w="451" w:type="dxa"/>
            <w:vMerge w:val="restart"/>
            <w:tcBorders>
              <w:top w:val="single" w:sz="12" w:space="0" w:color="auto"/>
              <w:bottom w:val="single" w:sz="12" w:space="0" w:color="auto"/>
            </w:tcBorders>
          </w:tcPr>
          <w:p w:rsidR="001E26BE" w:rsidRPr="008A0A30" w:rsidRDefault="001E26BE" w:rsidP="00B11886">
            <w:pPr>
              <w:spacing w:after="0"/>
              <w:ind w:left="117" w:right="101"/>
              <w:jc w:val="center"/>
              <w:rPr>
                <w:sz w:val="18"/>
                <w:szCs w:val="18"/>
              </w:rPr>
            </w:pPr>
            <w:r w:rsidRPr="008A0A30">
              <w:rPr>
                <w:b/>
                <w:bCs/>
                <w:sz w:val="18"/>
                <w:szCs w:val="18"/>
              </w:rPr>
              <w:t>N</w:t>
            </w:r>
          </w:p>
        </w:tc>
        <w:tc>
          <w:tcPr>
            <w:tcW w:w="4337" w:type="dxa"/>
            <w:gridSpan w:val="4"/>
            <w:tcBorders>
              <w:top w:val="single" w:sz="12" w:space="0" w:color="auto"/>
              <w:bottom w:val="single" w:sz="2" w:space="0" w:color="auto"/>
            </w:tcBorders>
          </w:tcPr>
          <w:p w:rsidR="001E26BE" w:rsidRPr="008A0A30" w:rsidRDefault="001E26BE" w:rsidP="00B11886">
            <w:pPr>
              <w:spacing w:before="64" w:after="0" w:line="206" w:lineRule="exact"/>
              <w:ind w:left="130" w:right="121" w:firstLine="5"/>
              <w:jc w:val="center"/>
              <w:rPr>
                <w:sz w:val="18"/>
                <w:szCs w:val="18"/>
              </w:rPr>
            </w:pPr>
            <w:r w:rsidRPr="008A0A30">
              <w:rPr>
                <w:b/>
                <w:bCs/>
                <w:sz w:val="18"/>
                <w:szCs w:val="18"/>
              </w:rPr>
              <w:t>Mean Ratio (90%</w:t>
            </w:r>
            <w:r w:rsidRPr="008A0A30">
              <w:rPr>
                <w:b/>
                <w:bCs/>
                <w:spacing w:val="-5"/>
                <w:sz w:val="18"/>
                <w:szCs w:val="18"/>
              </w:rPr>
              <w:t xml:space="preserve"> </w:t>
            </w:r>
            <w:r w:rsidRPr="008A0A30">
              <w:rPr>
                <w:b/>
                <w:bCs/>
                <w:sz w:val="18"/>
                <w:szCs w:val="18"/>
              </w:rPr>
              <w:t>CI) of Sofosbuvir, G</w:t>
            </w:r>
            <w:r w:rsidRPr="008A0A30">
              <w:rPr>
                <w:b/>
                <w:bCs/>
                <w:spacing w:val="1"/>
                <w:sz w:val="18"/>
                <w:szCs w:val="18"/>
              </w:rPr>
              <w:t>S</w:t>
            </w:r>
            <w:r w:rsidRPr="008A0A30">
              <w:rPr>
                <w:b/>
                <w:bCs/>
                <w:sz w:val="18"/>
                <w:szCs w:val="18"/>
              </w:rPr>
              <w:t>-331007 and Velpatasvir PK With/Without Coadministered Drug No Effect=1.00</w:t>
            </w:r>
          </w:p>
        </w:tc>
      </w:tr>
      <w:tr w:rsidR="001E26BE" w:rsidRPr="008A0A30" w:rsidTr="00003AC8">
        <w:trPr>
          <w:trHeight w:hRule="exact" w:val="350"/>
          <w:tblHeader/>
        </w:trPr>
        <w:tc>
          <w:tcPr>
            <w:tcW w:w="1279" w:type="dxa"/>
            <w:vMerge/>
            <w:tcBorders>
              <w:top w:val="single" w:sz="12" w:space="0" w:color="auto"/>
              <w:bottom w:val="single" w:sz="12" w:space="0" w:color="auto"/>
            </w:tcBorders>
          </w:tcPr>
          <w:p w:rsidR="001E26BE" w:rsidRPr="008A0A30" w:rsidRDefault="001E26BE" w:rsidP="00B11886"/>
        </w:tc>
        <w:tc>
          <w:tcPr>
            <w:tcW w:w="1319" w:type="dxa"/>
            <w:vMerge/>
            <w:tcBorders>
              <w:top w:val="single" w:sz="12" w:space="0" w:color="auto"/>
              <w:bottom w:val="single" w:sz="12" w:space="0" w:color="auto"/>
            </w:tcBorders>
          </w:tcPr>
          <w:p w:rsidR="001E26BE" w:rsidRPr="008A0A30" w:rsidRDefault="001E26BE" w:rsidP="00B11886"/>
        </w:tc>
        <w:tc>
          <w:tcPr>
            <w:tcW w:w="1169" w:type="dxa"/>
            <w:vMerge/>
            <w:tcBorders>
              <w:top w:val="single" w:sz="12" w:space="0" w:color="auto"/>
              <w:bottom w:val="single" w:sz="12" w:space="0" w:color="auto"/>
            </w:tcBorders>
          </w:tcPr>
          <w:p w:rsidR="001E26BE" w:rsidRPr="008A0A30" w:rsidRDefault="001E26BE" w:rsidP="00B11886"/>
        </w:tc>
        <w:tc>
          <w:tcPr>
            <w:tcW w:w="1080" w:type="dxa"/>
            <w:vMerge/>
            <w:tcBorders>
              <w:top w:val="single" w:sz="12" w:space="0" w:color="auto"/>
              <w:bottom w:val="single" w:sz="12" w:space="0" w:color="auto"/>
            </w:tcBorders>
          </w:tcPr>
          <w:p w:rsidR="001E26BE" w:rsidRPr="008A0A30" w:rsidRDefault="001E26BE" w:rsidP="00B11886"/>
        </w:tc>
        <w:tc>
          <w:tcPr>
            <w:tcW w:w="451" w:type="dxa"/>
            <w:vMerge/>
            <w:tcBorders>
              <w:top w:val="single" w:sz="12" w:space="0" w:color="auto"/>
              <w:bottom w:val="single" w:sz="12" w:space="0" w:color="auto"/>
            </w:tcBorders>
          </w:tcPr>
          <w:p w:rsidR="001E26BE" w:rsidRPr="008A0A30" w:rsidRDefault="001E26BE" w:rsidP="00B11886"/>
        </w:tc>
        <w:tc>
          <w:tcPr>
            <w:tcW w:w="1080" w:type="dxa"/>
            <w:tcBorders>
              <w:top w:val="single" w:sz="2" w:space="0" w:color="auto"/>
              <w:bottom w:val="single" w:sz="12" w:space="0" w:color="auto"/>
            </w:tcBorders>
          </w:tcPr>
          <w:p w:rsidR="001E26BE" w:rsidRPr="008A0A30" w:rsidRDefault="001E26BE" w:rsidP="00B11886"/>
        </w:tc>
        <w:tc>
          <w:tcPr>
            <w:tcW w:w="1078" w:type="dxa"/>
            <w:tcBorders>
              <w:top w:val="single" w:sz="2" w:space="0" w:color="auto"/>
              <w:bottom w:val="single" w:sz="12" w:space="0" w:color="auto"/>
            </w:tcBorders>
          </w:tcPr>
          <w:p w:rsidR="001E26BE" w:rsidRPr="008A0A30" w:rsidRDefault="001E26BE" w:rsidP="00B11886">
            <w:pPr>
              <w:spacing w:before="60" w:after="0"/>
              <w:ind w:left="319" w:right="301"/>
              <w:jc w:val="center"/>
              <w:rPr>
                <w:sz w:val="12"/>
                <w:szCs w:val="12"/>
              </w:rPr>
            </w:pPr>
            <w:r w:rsidRPr="008A0A30">
              <w:rPr>
                <w:b/>
                <w:bCs/>
                <w:position w:val="3"/>
                <w:sz w:val="18"/>
                <w:szCs w:val="18"/>
              </w:rPr>
              <w:t>C</w:t>
            </w:r>
            <w:r w:rsidRPr="008A0A30">
              <w:rPr>
                <w:b/>
                <w:bCs/>
                <w:sz w:val="12"/>
                <w:szCs w:val="12"/>
              </w:rPr>
              <w:t>max</w:t>
            </w:r>
          </w:p>
        </w:tc>
        <w:tc>
          <w:tcPr>
            <w:tcW w:w="1080" w:type="dxa"/>
            <w:tcBorders>
              <w:top w:val="single" w:sz="2" w:space="0" w:color="auto"/>
              <w:bottom w:val="single" w:sz="12" w:space="0" w:color="auto"/>
            </w:tcBorders>
          </w:tcPr>
          <w:p w:rsidR="001E26BE" w:rsidRPr="008A0A30" w:rsidRDefault="001E26BE" w:rsidP="00B11886">
            <w:pPr>
              <w:spacing w:before="59" w:after="0"/>
              <w:ind w:left="337" w:right="-20"/>
              <w:rPr>
                <w:sz w:val="18"/>
                <w:szCs w:val="18"/>
              </w:rPr>
            </w:pPr>
            <w:r w:rsidRPr="008A0A30">
              <w:rPr>
                <w:b/>
                <w:bCs/>
                <w:sz w:val="18"/>
                <w:szCs w:val="18"/>
              </w:rPr>
              <w:t>AUC</w:t>
            </w:r>
          </w:p>
        </w:tc>
        <w:tc>
          <w:tcPr>
            <w:tcW w:w="1099" w:type="dxa"/>
            <w:tcBorders>
              <w:top w:val="single" w:sz="2" w:space="0" w:color="auto"/>
              <w:bottom w:val="single" w:sz="12" w:space="0" w:color="auto"/>
            </w:tcBorders>
          </w:tcPr>
          <w:p w:rsidR="001E26BE" w:rsidRPr="008A0A30" w:rsidRDefault="001E26BE" w:rsidP="00B11886">
            <w:pPr>
              <w:spacing w:before="60" w:after="0"/>
              <w:ind w:left="341" w:right="333"/>
              <w:jc w:val="center"/>
              <w:rPr>
                <w:sz w:val="12"/>
                <w:szCs w:val="12"/>
              </w:rPr>
            </w:pPr>
            <w:r w:rsidRPr="008A0A30">
              <w:rPr>
                <w:b/>
                <w:bCs/>
                <w:position w:val="3"/>
                <w:sz w:val="18"/>
                <w:szCs w:val="18"/>
              </w:rPr>
              <w:t>C</w:t>
            </w:r>
            <w:r w:rsidRPr="008A0A30">
              <w:rPr>
                <w:b/>
                <w:bCs/>
                <w:spacing w:val="-1"/>
                <w:sz w:val="12"/>
                <w:szCs w:val="12"/>
              </w:rPr>
              <w:t>min</w:t>
            </w:r>
          </w:p>
        </w:tc>
      </w:tr>
      <w:tr w:rsidR="001E26BE" w:rsidRPr="008A0A30" w:rsidTr="006E2EAA">
        <w:trPr>
          <w:trHeight w:hRule="exact" w:val="557"/>
        </w:trPr>
        <w:tc>
          <w:tcPr>
            <w:tcW w:w="1279" w:type="dxa"/>
            <w:vMerge w:val="restart"/>
            <w:tcBorders>
              <w:top w:val="single" w:sz="12" w:space="0" w:color="auto"/>
            </w:tcBorders>
          </w:tcPr>
          <w:p w:rsidR="001E26BE" w:rsidRPr="008A0A30" w:rsidRDefault="001E26BE" w:rsidP="00A61A6B">
            <w:pPr>
              <w:spacing w:after="0" w:line="206" w:lineRule="exact"/>
              <w:ind w:left="124" w:right="95"/>
              <w:rPr>
                <w:sz w:val="18"/>
                <w:szCs w:val="18"/>
              </w:rPr>
            </w:pPr>
            <w:r w:rsidRPr="008A0A30">
              <w:rPr>
                <w:sz w:val="18"/>
                <w:szCs w:val="18"/>
              </w:rPr>
              <w:t xml:space="preserve">Atazanavir/ ritonavir + </w:t>
            </w:r>
            <w:r w:rsidRPr="008A0A30">
              <w:rPr>
                <w:spacing w:val="2"/>
                <w:sz w:val="18"/>
                <w:szCs w:val="18"/>
              </w:rPr>
              <w:t>e</w:t>
            </w:r>
            <w:r w:rsidRPr="008A0A30">
              <w:rPr>
                <w:spacing w:val="-3"/>
                <w:sz w:val="18"/>
                <w:szCs w:val="18"/>
              </w:rPr>
              <w:t>m</w:t>
            </w:r>
            <w:r w:rsidRPr="008A0A30">
              <w:rPr>
                <w:sz w:val="18"/>
                <w:szCs w:val="18"/>
              </w:rPr>
              <w:t>tricitabine/ tenofovir DF</w:t>
            </w:r>
          </w:p>
        </w:tc>
        <w:tc>
          <w:tcPr>
            <w:tcW w:w="1319" w:type="dxa"/>
            <w:vMerge w:val="restart"/>
            <w:tcBorders>
              <w:top w:val="single" w:sz="12" w:space="0" w:color="auto"/>
            </w:tcBorders>
          </w:tcPr>
          <w:p w:rsidR="001E26BE" w:rsidRPr="008A0A30" w:rsidRDefault="001E26BE" w:rsidP="00A61A6B">
            <w:pPr>
              <w:spacing w:after="0"/>
              <w:ind w:left="210" w:right="193"/>
              <w:rPr>
                <w:sz w:val="18"/>
                <w:szCs w:val="18"/>
              </w:rPr>
            </w:pPr>
            <w:r w:rsidRPr="008A0A30">
              <w:rPr>
                <w:sz w:val="18"/>
                <w:szCs w:val="18"/>
              </w:rPr>
              <w:t>300/100</w:t>
            </w:r>
            <w:r w:rsidRPr="008A0A30">
              <w:rPr>
                <w:spacing w:val="1"/>
                <w:sz w:val="18"/>
                <w:szCs w:val="18"/>
              </w:rPr>
              <w:t xml:space="preserve"> </w:t>
            </w:r>
            <w:r w:rsidRPr="008A0A30">
              <w:rPr>
                <w:sz w:val="18"/>
                <w:szCs w:val="18"/>
              </w:rPr>
              <w:t>+</w:t>
            </w:r>
          </w:p>
          <w:p w:rsidR="001E26BE" w:rsidRPr="008A0A30" w:rsidRDefault="001E26BE" w:rsidP="00A61A6B">
            <w:pPr>
              <w:spacing w:before="2" w:after="0" w:line="206" w:lineRule="exact"/>
              <w:ind w:left="118" w:right="98"/>
              <w:rPr>
                <w:sz w:val="18"/>
                <w:szCs w:val="18"/>
              </w:rPr>
            </w:pPr>
            <w:r w:rsidRPr="008A0A30">
              <w:rPr>
                <w:sz w:val="18"/>
                <w:szCs w:val="18"/>
              </w:rPr>
              <w:t>200/300 once daily</w:t>
            </w:r>
          </w:p>
        </w:tc>
        <w:tc>
          <w:tcPr>
            <w:tcW w:w="1169" w:type="dxa"/>
            <w:vMerge w:val="restart"/>
            <w:tcBorders>
              <w:top w:val="single" w:sz="12" w:space="0" w:color="auto"/>
            </w:tcBorders>
          </w:tcPr>
          <w:p w:rsidR="001E26BE" w:rsidRPr="008A0A30" w:rsidRDefault="001E26BE" w:rsidP="00D541A1">
            <w:pPr>
              <w:spacing w:after="0" w:line="206" w:lineRule="exact"/>
              <w:ind w:left="395" w:right="198" w:hanging="146"/>
              <w:jc w:val="center"/>
              <w:rPr>
                <w:sz w:val="18"/>
                <w:szCs w:val="18"/>
              </w:rPr>
            </w:pPr>
            <w:r w:rsidRPr="008A0A30">
              <w:rPr>
                <w:sz w:val="18"/>
                <w:szCs w:val="18"/>
              </w:rPr>
              <w:t>100 once daily</w:t>
            </w:r>
          </w:p>
        </w:tc>
        <w:tc>
          <w:tcPr>
            <w:tcW w:w="1080" w:type="dxa"/>
            <w:vMerge w:val="restart"/>
            <w:tcBorders>
              <w:top w:val="single" w:sz="12" w:space="0" w:color="auto"/>
            </w:tcBorders>
          </w:tcPr>
          <w:p w:rsidR="001E26BE" w:rsidRPr="008A0A30" w:rsidRDefault="001E26BE" w:rsidP="00A61A6B">
            <w:pPr>
              <w:spacing w:after="0" w:line="206" w:lineRule="exact"/>
              <w:ind w:left="352" w:right="154" w:hanging="149"/>
              <w:rPr>
                <w:sz w:val="18"/>
                <w:szCs w:val="18"/>
              </w:rPr>
            </w:pPr>
            <w:r w:rsidRPr="008A0A30">
              <w:rPr>
                <w:sz w:val="18"/>
                <w:szCs w:val="18"/>
              </w:rPr>
              <w:t>400 once daily</w:t>
            </w:r>
          </w:p>
        </w:tc>
        <w:tc>
          <w:tcPr>
            <w:tcW w:w="451" w:type="dxa"/>
            <w:vMerge w:val="restart"/>
            <w:tcBorders>
              <w:top w:val="single" w:sz="12" w:space="0" w:color="auto"/>
            </w:tcBorders>
          </w:tcPr>
          <w:p w:rsidR="001E26BE" w:rsidRPr="008A0A30" w:rsidRDefault="001E26BE" w:rsidP="00A61A6B">
            <w:pPr>
              <w:spacing w:after="0"/>
              <w:ind w:left="126" w:right="-20"/>
              <w:rPr>
                <w:sz w:val="18"/>
                <w:szCs w:val="18"/>
              </w:rPr>
            </w:pPr>
            <w:r w:rsidRPr="008A0A30">
              <w:rPr>
                <w:spacing w:val="1"/>
                <w:sz w:val="18"/>
                <w:szCs w:val="18"/>
              </w:rPr>
              <w:t>24</w:t>
            </w:r>
          </w:p>
        </w:tc>
        <w:tc>
          <w:tcPr>
            <w:tcW w:w="1080" w:type="dxa"/>
            <w:tcBorders>
              <w:top w:val="single" w:sz="12" w:space="0" w:color="auto"/>
            </w:tcBorders>
          </w:tcPr>
          <w:p w:rsidR="001E26BE" w:rsidRPr="008A0A30" w:rsidRDefault="001E26BE" w:rsidP="00A61A6B">
            <w:pPr>
              <w:spacing w:after="0"/>
              <w:ind w:left="150" w:right="-20"/>
              <w:rPr>
                <w:sz w:val="18"/>
                <w:szCs w:val="18"/>
              </w:rPr>
            </w:pPr>
            <w:r w:rsidRPr="008A0A30">
              <w:rPr>
                <w:sz w:val="18"/>
                <w:szCs w:val="18"/>
              </w:rPr>
              <w:t>sofosbuvir</w:t>
            </w:r>
          </w:p>
        </w:tc>
        <w:tc>
          <w:tcPr>
            <w:tcW w:w="1078" w:type="dxa"/>
            <w:tcBorders>
              <w:top w:val="single" w:sz="12" w:space="0" w:color="auto"/>
            </w:tcBorders>
          </w:tcPr>
          <w:p w:rsidR="001E26BE" w:rsidRPr="008A0A30" w:rsidRDefault="001E26BE" w:rsidP="00A61A6B">
            <w:pPr>
              <w:spacing w:before="57" w:after="0" w:line="206" w:lineRule="exact"/>
              <w:ind w:left="109" w:right="58" w:firstLine="262"/>
              <w:rPr>
                <w:sz w:val="18"/>
                <w:szCs w:val="18"/>
              </w:rPr>
            </w:pPr>
            <w:r w:rsidRPr="008A0A30">
              <w:rPr>
                <w:sz w:val="18"/>
                <w:szCs w:val="18"/>
              </w:rPr>
              <w:t>1.12 (0.97, 1.29)</w:t>
            </w:r>
          </w:p>
        </w:tc>
        <w:tc>
          <w:tcPr>
            <w:tcW w:w="1080" w:type="dxa"/>
            <w:tcBorders>
              <w:top w:val="single" w:sz="12" w:space="0" w:color="auto"/>
            </w:tcBorders>
          </w:tcPr>
          <w:p w:rsidR="001E26BE" w:rsidRPr="008A0A30" w:rsidRDefault="001E26BE" w:rsidP="00A61A6B">
            <w:pPr>
              <w:spacing w:before="57" w:after="0" w:line="206" w:lineRule="exact"/>
              <w:ind w:left="112" w:right="58" w:firstLine="262"/>
              <w:rPr>
                <w:sz w:val="18"/>
                <w:szCs w:val="18"/>
              </w:rPr>
            </w:pPr>
            <w:r w:rsidRPr="008A0A30">
              <w:rPr>
                <w:sz w:val="18"/>
                <w:szCs w:val="18"/>
              </w:rPr>
              <w:t>1.22 (1.12, 1.33)</w:t>
            </w:r>
          </w:p>
        </w:tc>
        <w:tc>
          <w:tcPr>
            <w:tcW w:w="1099" w:type="dxa"/>
            <w:tcBorders>
              <w:top w:val="single" w:sz="12" w:space="0" w:color="auto"/>
            </w:tcBorders>
          </w:tcPr>
          <w:p w:rsidR="001E26BE" w:rsidRPr="008A0A30" w:rsidRDefault="001E26BE" w:rsidP="00A61A6B">
            <w:pPr>
              <w:spacing w:after="0"/>
              <w:ind w:left="371" w:right="359"/>
              <w:rPr>
                <w:sz w:val="18"/>
                <w:szCs w:val="18"/>
              </w:rPr>
            </w:pPr>
            <w:r w:rsidRPr="008A0A30">
              <w:rPr>
                <w:sz w:val="18"/>
                <w:szCs w:val="18"/>
              </w:rPr>
              <w:t>NA</w:t>
            </w:r>
          </w:p>
        </w:tc>
      </w:tr>
      <w:tr w:rsidR="001E26BE" w:rsidRPr="008A0A30" w:rsidTr="006E2EAA">
        <w:trPr>
          <w:trHeight w:hRule="exact" w:val="547"/>
        </w:trPr>
        <w:tc>
          <w:tcPr>
            <w:tcW w:w="1279" w:type="dxa"/>
            <w:vMerge/>
          </w:tcPr>
          <w:p w:rsidR="001E26BE" w:rsidRPr="008A0A30" w:rsidRDefault="001E26BE" w:rsidP="00A61A6B"/>
        </w:tc>
        <w:tc>
          <w:tcPr>
            <w:tcW w:w="1319" w:type="dxa"/>
            <w:vMerge/>
          </w:tcPr>
          <w:p w:rsidR="001E26BE" w:rsidRPr="008A0A30" w:rsidRDefault="001E26BE" w:rsidP="00A61A6B"/>
        </w:tc>
        <w:tc>
          <w:tcPr>
            <w:tcW w:w="1169" w:type="dxa"/>
            <w:vMerge/>
          </w:tcPr>
          <w:p w:rsidR="001E26BE" w:rsidRPr="008A0A30" w:rsidRDefault="001E26BE" w:rsidP="00D541A1">
            <w:pPr>
              <w:jc w:val="center"/>
            </w:pPr>
          </w:p>
        </w:tc>
        <w:tc>
          <w:tcPr>
            <w:tcW w:w="1080" w:type="dxa"/>
            <w:vMerge/>
          </w:tcPr>
          <w:p w:rsidR="001E26BE" w:rsidRPr="008A0A30" w:rsidRDefault="001E26BE" w:rsidP="00A61A6B"/>
        </w:tc>
        <w:tc>
          <w:tcPr>
            <w:tcW w:w="451" w:type="dxa"/>
            <w:vMerge/>
          </w:tcPr>
          <w:p w:rsidR="001E26BE" w:rsidRPr="008A0A30" w:rsidRDefault="001E26BE" w:rsidP="00A61A6B"/>
        </w:tc>
        <w:tc>
          <w:tcPr>
            <w:tcW w:w="1080" w:type="dxa"/>
          </w:tcPr>
          <w:p w:rsidR="001E26BE" w:rsidRPr="008A0A30" w:rsidRDefault="001E26BE" w:rsidP="00A61A6B">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A61A6B">
            <w:pPr>
              <w:spacing w:before="57" w:after="0" w:line="206" w:lineRule="exact"/>
              <w:ind w:left="109" w:right="58" w:firstLine="264"/>
              <w:rPr>
                <w:sz w:val="18"/>
                <w:szCs w:val="18"/>
              </w:rPr>
            </w:pPr>
            <w:r w:rsidRPr="008A0A30">
              <w:rPr>
                <w:sz w:val="18"/>
                <w:szCs w:val="18"/>
              </w:rPr>
              <w:t>1.21 (1.12, 1.29)</w:t>
            </w:r>
          </w:p>
        </w:tc>
        <w:tc>
          <w:tcPr>
            <w:tcW w:w="1080" w:type="dxa"/>
          </w:tcPr>
          <w:p w:rsidR="001E26BE" w:rsidRPr="008A0A30" w:rsidRDefault="001E26BE" w:rsidP="00A61A6B">
            <w:pPr>
              <w:spacing w:before="57" w:after="0" w:line="206" w:lineRule="exact"/>
              <w:ind w:left="112" w:right="58" w:firstLine="262"/>
              <w:rPr>
                <w:sz w:val="18"/>
                <w:szCs w:val="18"/>
              </w:rPr>
            </w:pPr>
            <w:r w:rsidRPr="008A0A30">
              <w:rPr>
                <w:sz w:val="18"/>
                <w:szCs w:val="18"/>
              </w:rPr>
              <w:t>1.32 (1.27, 1.36)</w:t>
            </w:r>
          </w:p>
        </w:tc>
        <w:tc>
          <w:tcPr>
            <w:tcW w:w="1099" w:type="dxa"/>
          </w:tcPr>
          <w:p w:rsidR="001E26BE" w:rsidRPr="008A0A30" w:rsidRDefault="001E26BE" w:rsidP="00A61A6B">
            <w:pPr>
              <w:spacing w:before="57" w:after="0" w:line="206" w:lineRule="exact"/>
              <w:ind w:left="121" w:right="65" w:firstLine="262"/>
              <w:rPr>
                <w:sz w:val="18"/>
                <w:szCs w:val="18"/>
              </w:rPr>
            </w:pPr>
            <w:r w:rsidRPr="008A0A30">
              <w:rPr>
                <w:sz w:val="18"/>
                <w:szCs w:val="18"/>
              </w:rPr>
              <w:t>1.42 (1.37, 1.49)</w:t>
            </w:r>
          </w:p>
        </w:tc>
      </w:tr>
      <w:tr w:rsidR="001E26BE" w:rsidRPr="008A0A30" w:rsidTr="00BB341F">
        <w:trPr>
          <w:trHeight w:hRule="exact" w:val="550"/>
        </w:trPr>
        <w:tc>
          <w:tcPr>
            <w:tcW w:w="1279" w:type="dxa"/>
            <w:vMerge/>
            <w:tcBorders>
              <w:bottom w:val="single" w:sz="4" w:space="0" w:color="auto"/>
            </w:tcBorders>
          </w:tcPr>
          <w:p w:rsidR="001E26BE" w:rsidRPr="008A0A30" w:rsidRDefault="001E26BE" w:rsidP="00A61A6B"/>
        </w:tc>
        <w:tc>
          <w:tcPr>
            <w:tcW w:w="1319" w:type="dxa"/>
            <w:vMerge/>
            <w:tcBorders>
              <w:bottom w:val="single" w:sz="4" w:space="0" w:color="auto"/>
            </w:tcBorders>
          </w:tcPr>
          <w:p w:rsidR="001E26BE" w:rsidRPr="008A0A30" w:rsidRDefault="001E26BE" w:rsidP="00A61A6B"/>
        </w:tc>
        <w:tc>
          <w:tcPr>
            <w:tcW w:w="1169" w:type="dxa"/>
            <w:vMerge/>
            <w:tcBorders>
              <w:bottom w:val="single" w:sz="4" w:space="0" w:color="auto"/>
            </w:tcBorders>
          </w:tcPr>
          <w:p w:rsidR="001E26BE" w:rsidRPr="008A0A30" w:rsidRDefault="001E26BE" w:rsidP="00D541A1">
            <w:pPr>
              <w:jc w:val="center"/>
            </w:pPr>
          </w:p>
        </w:tc>
        <w:tc>
          <w:tcPr>
            <w:tcW w:w="1080" w:type="dxa"/>
            <w:vMerge/>
            <w:tcBorders>
              <w:bottom w:val="single" w:sz="4" w:space="0" w:color="auto"/>
            </w:tcBorders>
          </w:tcPr>
          <w:p w:rsidR="001E26BE" w:rsidRPr="008A0A30" w:rsidRDefault="001E26BE" w:rsidP="00A61A6B"/>
        </w:tc>
        <w:tc>
          <w:tcPr>
            <w:tcW w:w="451" w:type="dxa"/>
            <w:vMerge/>
            <w:tcBorders>
              <w:bottom w:val="single" w:sz="4" w:space="0" w:color="auto"/>
            </w:tcBorders>
          </w:tcPr>
          <w:p w:rsidR="001E26BE" w:rsidRPr="008A0A30" w:rsidRDefault="001E26BE" w:rsidP="00A61A6B"/>
        </w:tc>
        <w:tc>
          <w:tcPr>
            <w:tcW w:w="1080" w:type="dxa"/>
            <w:tcBorders>
              <w:bottom w:val="single" w:sz="4" w:space="0" w:color="auto"/>
            </w:tcBorders>
          </w:tcPr>
          <w:p w:rsidR="001E26BE" w:rsidRPr="008A0A30" w:rsidRDefault="001E26BE" w:rsidP="00A61A6B">
            <w:pPr>
              <w:spacing w:after="0"/>
              <w:ind w:left="136" w:right="-20"/>
              <w:rPr>
                <w:sz w:val="18"/>
                <w:szCs w:val="18"/>
              </w:rPr>
            </w:pPr>
            <w:r w:rsidRPr="008A0A30">
              <w:rPr>
                <w:sz w:val="18"/>
                <w:szCs w:val="18"/>
              </w:rPr>
              <w:t>velpatasvir</w:t>
            </w:r>
          </w:p>
        </w:tc>
        <w:tc>
          <w:tcPr>
            <w:tcW w:w="1078" w:type="dxa"/>
            <w:tcBorders>
              <w:bottom w:val="single" w:sz="4" w:space="0" w:color="auto"/>
            </w:tcBorders>
          </w:tcPr>
          <w:p w:rsidR="001E26BE" w:rsidRPr="008A0A30" w:rsidRDefault="001E26BE" w:rsidP="00A61A6B">
            <w:pPr>
              <w:spacing w:before="59" w:after="0" w:line="206" w:lineRule="exact"/>
              <w:ind w:left="109" w:right="58" w:firstLine="264"/>
              <w:rPr>
                <w:sz w:val="18"/>
                <w:szCs w:val="18"/>
              </w:rPr>
            </w:pPr>
            <w:r w:rsidRPr="008A0A30">
              <w:rPr>
                <w:sz w:val="18"/>
                <w:szCs w:val="18"/>
              </w:rPr>
              <w:t>1.55 (1.41,</w:t>
            </w:r>
            <w:r w:rsidRPr="008A0A30">
              <w:rPr>
                <w:spacing w:val="-1"/>
                <w:sz w:val="18"/>
                <w:szCs w:val="18"/>
              </w:rPr>
              <w:t xml:space="preserve"> </w:t>
            </w:r>
            <w:r w:rsidRPr="008A0A30">
              <w:rPr>
                <w:sz w:val="18"/>
                <w:szCs w:val="18"/>
              </w:rPr>
              <w:t>1.71)</w:t>
            </w:r>
          </w:p>
        </w:tc>
        <w:tc>
          <w:tcPr>
            <w:tcW w:w="1080" w:type="dxa"/>
            <w:tcBorders>
              <w:bottom w:val="single" w:sz="4" w:space="0" w:color="auto"/>
            </w:tcBorders>
          </w:tcPr>
          <w:p w:rsidR="001E26BE" w:rsidRPr="008A0A30" w:rsidRDefault="001E26BE" w:rsidP="00A61A6B">
            <w:pPr>
              <w:spacing w:before="59" w:after="0" w:line="206" w:lineRule="exact"/>
              <w:ind w:left="112" w:right="58" w:firstLine="262"/>
              <w:rPr>
                <w:sz w:val="18"/>
                <w:szCs w:val="18"/>
              </w:rPr>
            </w:pPr>
            <w:r w:rsidRPr="008A0A30">
              <w:rPr>
                <w:sz w:val="18"/>
                <w:szCs w:val="18"/>
              </w:rPr>
              <w:t>2.42 (2.23, 2.64)</w:t>
            </w:r>
          </w:p>
        </w:tc>
        <w:tc>
          <w:tcPr>
            <w:tcW w:w="1099" w:type="dxa"/>
            <w:tcBorders>
              <w:bottom w:val="single" w:sz="4" w:space="0" w:color="auto"/>
            </w:tcBorders>
          </w:tcPr>
          <w:p w:rsidR="001E26BE" w:rsidRPr="008A0A30" w:rsidRDefault="001E26BE" w:rsidP="00A61A6B">
            <w:pPr>
              <w:spacing w:before="59" w:after="0" w:line="206" w:lineRule="exact"/>
              <w:ind w:left="121" w:right="65" w:firstLine="262"/>
              <w:rPr>
                <w:sz w:val="18"/>
                <w:szCs w:val="18"/>
              </w:rPr>
            </w:pPr>
            <w:r w:rsidRPr="008A0A30">
              <w:rPr>
                <w:sz w:val="18"/>
                <w:szCs w:val="18"/>
              </w:rPr>
              <w:t>4.01 (3.57, 4.50)</w:t>
            </w:r>
          </w:p>
        </w:tc>
      </w:tr>
      <w:tr w:rsidR="001E26BE" w:rsidRPr="008A0A30" w:rsidTr="006E2EAA">
        <w:trPr>
          <w:trHeight w:hRule="exact" w:val="550"/>
        </w:trPr>
        <w:tc>
          <w:tcPr>
            <w:tcW w:w="1279" w:type="dxa"/>
            <w:vMerge w:val="restart"/>
          </w:tcPr>
          <w:p w:rsidR="001E26BE" w:rsidRPr="008A0A30" w:rsidRDefault="001E26BE" w:rsidP="00A61A6B">
            <w:pPr>
              <w:spacing w:after="0"/>
              <w:ind w:left="158" w:right="-20"/>
              <w:rPr>
                <w:sz w:val="18"/>
                <w:szCs w:val="18"/>
              </w:rPr>
            </w:pPr>
            <w:r w:rsidRPr="008A0A30">
              <w:rPr>
                <w:spacing w:val="2"/>
                <w:sz w:val="18"/>
                <w:szCs w:val="18"/>
              </w:rPr>
              <w:t>C</w:t>
            </w:r>
            <w:r w:rsidRPr="008A0A30">
              <w:rPr>
                <w:spacing w:val="-4"/>
                <w:sz w:val="18"/>
                <w:szCs w:val="18"/>
              </w:rPr>
              <w:t>y</w:t>
            </w:r>
            <w:r w:rsidRPr="008A0A30">
              <w:rPr>
                <w:spacing w:val="1"/>
                <w:sz w:val="18"/>
                <w:szCs w:val="18"/>
              </w:rPr>
              <w:t>closporine</w:t>
            </w:r>
          </w:p>
        </w:tc>
        <w:tc>
          <w:tcPr>
            <w:tcW w:w="1319" w:type="dxa"/>
            <w:vMerge w:val="restart"/>
          </w:tcPr>
          <w:p w:rsidR="001E26BE" w:rsidRPr="008A0A30" w:rsidRDefault="001E26BE" w:rsidP="00A61A6B">
            <w:pPr>
              <w:spacing w:after="0" w:line="206" w:lineRule="exact"/>
              <w:ind w:left="457" w:right="198" w:hanging="209"/>
              <w:rPr>
                <w:sz w:val="18"/>
                <w:szCs w:val="18"/>
              </w:rPr>
            </w:pPr>
            <w:r w:rsidRPr="008A0A30">
              <w:rPr>
                <w:sz w:val="18"/>
                <w:szCs w:val="18"/>
              </w:rPr>
              <w:t xml:space="preserve">600 single </w:t>
            </w:r>
            <w:r w:rsidRPr="008A0A30">
              <w:rPr>
                <w:spacing w:val="1"/>
                <w:sz w:val="18"/>
                <w:szCs w:val="18"/>
              </w:rPr>
              <w:t>dose</w:t>
            </w:r>
          </w:p>
        </w:tc>
        <w:tc>
          <w:tcPr>
            <w:tcW w:w="1169" w:type="dxa"/>
            <w:vMerge w:val="restart"/>
          </w:tcPr>
          <w:p w:rsidR="001E26BE" w:rsidRPr="008A0A30" w:rsidRDefault="001E26BE" w:rsidP="00D541A1">
            <w:pPr>
              <w:spacing w:after="0"/>
              <w:ind w:left="412" w:right="394"/>
              <w:jc w:val="center"/>
              <w:rPr>
                <w:sz w:val="18"/>
                <w:szCs w:val="18"/>
              </w:rPr>
            </w:pPr>
            <w:r w:rsidRPr="008A0A30">
              <w:rPr>
                <w:sz w:val="18"/>
                <w:szCs w:val="18"/>
              </w:rPr>
              <w:t>ND</w:t>
            </w:r>
          </w:p>
        </w:tc>
        <w:tc>
          <w:tcPr>
            <w:tcW w:w="1080" w:type="dxa"/>
            <w:vMerge w:val="restart"/>
          </w:tcPr>
          <w:p w:rsidR="001E26BE" w:rsidRPr="008A0A30" w:rsidRDefault="001E26BE" w:rsidP="00A61A6B">
            <w:pPr>
              <w:spacing w:after="0" w:line="206" w:lineRule="exact"/>
              <w:ind w:left="366" w:right="109" w:hanging="209"/>
              <w:rPr>
                <w:sz w:val="18"/>
                <w:szCs w:val="18"/>
              </w:rPr>
            </w:pPr>
            <w:r w:rsidRPr="008A0A30">
              <w:rPr>
                <w:sz w:val="18"/>
                <w:szCs w:val="18"/>
              </w:rPr>
              <w:t xml:space="preserve">400 single </w:t>
            </w:r>
            <w:r w:rsidRPr="008A0A30">
              <w:rPr>
                <w:spacing w:val="1"/>
                <w:sz w:val="18"/>
                <w:szCs w:val="18"/>
              </w:rPr>
              <w:t>dose</w:t>
            </w:r>
          </w:p>
        </w:tc>
        <w:tc>
          <w:tcPr>
            <w:tcW w:w="451" w:type="dxa"/>
            <w:vMerge w:val="restart"/>
          </w:tcPr>
          <w:p w:rsidR="001E26BE" w:rsidRPr="008A0A30" w:rsidRDefault="001E26BE" w:rsidP="00A61A6B">
            <w:pPr>
              <w:spacing w:after="0"/>
              <w:ind w:left="126" w:right="-20"/>
              <w:rPr>
                <w:sz w:val="18"/>
                <w:szCs w:val="18"/>
              </w:rPr>
            </w:pPr>
            <w:r w:rsidRPr="008A0A30">
              <w:rPr>
                <w:spacing w:val="1"/>
                <w:sz w:val="18"/>
                <w:szCs w:val="18"/>
              </w:rPr>
              <w:t>19</w:t>
            </w:r>
          </w:p>
        </w:tc>
        <w:tc>
          <w:tcPr>
            <w:tcW w:w="1080" w:type="dxa"/>
          </w:tcPr>
          <w:p w:rsidR="001E26BE" w:rsidRPr="008A0A30" w:rsidRDefault="001E26BE" w:rsidP="00A61A6B">
            <w:pPr>
              <w:spacing w:after="0"/>
              <w:ind w:left="150" w:right="-20"/>
              <w:rPr>
                <w:sz w:val="18"/>
                <w:szCs w:val="18"/>
              </w:rPr>
            </w:pPr>
            <w:r w:rsidRPr="008A0A30">
              <w:rPr>
                <w:sz w:val="18"/>
                <w:szCs w:val="18"/>
              </w:rPr>
              <w:t>sofosbuvir</w:t>
            </w:r>
          </w:p>
        </w:tc>
        <w:tc>
          <w:tcPr>
            <w:tcW w:w="1078" w:type="dxa"/>
          </w:tcPr>
          <w:p w:rsidR="001E26BE" w:rsidRPr="008A0A30" w:rsidRDefault="001E26BE" w:rsidP="00A61A6B">
            <w:pPr>
              <w:spacing w:before="54" w:after="0" w:line="242" w:lineRule="auto"/>
              <w:ind w:left="109" w:right="58" w:firstLine="264"/>
              <w:rPr>
                <w:sz w:val="18"/>
                <w:szCs w:val="18"/>
              </w:rPr>
            </w:pPr>
            <w:r w:rsidRPr="008A0A30">
              <w:rPr>
                <w:sz w:val="18"/>
                <w:szCs w:val="18"/>
              </w:rPr>
              <w:t>2.54 (1.87, 3.45)</w:t>
            </w:r>
          </w:p>
        </w:tc>
        <w:tc>
          <w:tcPr>
            <w:tcW w:w="1080" w:type="dxa"/>
          </w:tcPr>
          <w:p w:rsidR="001E26BE" w:rsidRPr="008A0A30" w:rsidRDefault="001E26BE" w:rsidP="00A61A6B">
            <w:pPr>
              <w:spacing w:before="54" w:after="0" w:line="242" w:lineRule="auto"/>
              <w:ind w:left="112" w:right="58" w:firstLine="262"/>
              <w:rPr>
                <w:sz w:val="18"/>
                <w:szCs w:val="18"/>
              </w:rPr>
            </w:pPr>
            <w:r w:rsidRPr="008A0A30">
              <w:rPr>
                <w:sz w:val="18"/>
                <w:szCs w:val="18"/>
              </w:rPr>
              <w:t>4.53 (3.26, 6.30)</w:t>
            </w:r>
          </w:p>
        </w:tc>
        <w:tc>
          <w:tcPr>
            <w:tcW w:w="1099" w:type="dxa"/>
          </w:tcPr>
          <w:p w:rsidR="001E26BE" w:rsidRPr="008A0A30" w:rsidRDefault="001E26BE" w:rsidP="00A61A6B">
            <w:pPr>
              <w:spacing w:after="0"/>
              <w:ind w:left="371" w:right="359"/>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A61A6B"/>
        </w:tc>
        <w:tc>
          <w:tcPr>
            <w:tcW w:w="1319" w:type="dxa"/>
            <w:vMerge/>
          </w:tcPr>
          <w:p w:rsidR="001E26BE" w:rsidRPr="008A0A30" w:rsidRDefault="001E26BE" w:rsidP="00A61A6B"/>
        </w:tc>
        <w:tc>
          <w:tcPr>
            <w:tcW w:w="1169" w:type="dxa"/>
            <w:vMerge/>
          </w:tcPr>
          <w:p w:rsidR="001E26BE" w:rsidRPr="008A0A30" w:rsidRDefault="001E26BE" w:rsidP="00D541A1">
            <w:pPr>
              <w:jc w:val="center"/>
            </w:pPr>
          </w:p>
        </w:tc>
        <w:tc>
          <w:tcPr>
            <w:tcW w:w="1080" w:type="dxa"/>
            <w:vMerge/>
          </w:tcPr>
          <w:p w:rsidR="001E26BE" w:rsidRPr="008A0A30" w:rsidRDefault="001E26BE" w:rsidP="00A61A6B"/>
        </w:tc>
        <w:tc>
          <w:tcPr>
            <w:tcW w:w="451" w:type="dxa"/>
            <w:vMerge/>
          </w:tcPr>
          <w:p w:rsidR="001E26BE" w:rsidRPr="008A0A30" w:rsidRDefault="001E26BE" w:rsidP="00A61A6B"/>
        </w:tc>
        <w:tc>
          <w:tcPr>
            <w:tcW w:w="1080" w:type="dxa"/>
          </w:tcPr>
          <w:p w:rsidR="001E26BE" w:rsidRPr="008A0A30" w:rsidRDefault="001E26BE" w:rsidP="00A61A6B">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A61A6B">
            <w:pPr>
              <w:spacing w:before="57" w:after="0" w:line="206" w:lineRule="exact"/>
              <w:ind w:left="109" w:right="58" w:firstLine="264"/>
              <w:rPr>
                <w:sz w:val="18"/>
                <w:szCs w:val="18"/>
              </w:rPr>
            </w:pPr>
            <w:r w:rsidRPr="008A0A30">
              <w:rPr>
                <w:sz w:val="18"/>
                <w:szCs w:val="18"/>
              </w:rPr>
              <w:t>0.60 (0.53, 0.69)</w:t>
            </w:r>
          </w:p>
        </w:tc>
        <w:tc>
          <w:tcPr>
            <w:tcW w:w="1080" w:type="dxa"/>
          </w:tcPr>
          <w:p w:rsidR="001E26BE" w:rsidRPr="008A0A30" w:rsidRDefault="001E26BE" w:rsidP="00A61A6B">
            <w:pPr>
              <w:spacing w:before="57" w:after="0" w:line="206" w:lineRule="exact"/>
              <w:ind w:left="112" w:right="58" w:firstLine="262"/>
              <w:rPr>
                <w:sz w:val="18"/>
                <w:szCs w:val="18"/>
              </w:rPr>
            </w:pPr>
            <w:r w:rsidRPr="008A0A30">
              <w:rPr>
                <w:sz w:val="18"/>
                <w:szCs w:val="18"/>
              </w:rPr>
              <w:t>1.04 (0.90, 1.20)</w:t>
            </w:r>
          </w:p>
        </w:tc>
        <w:tc>
          <w:tcPr>
            <w:tcW w:w="1099" w:type="dxa"/>
          </w:tcPr>
          <w:p w:rsidR="001E26BE" w:rsidRPr="008A0A30" w:rsidRDefault="001E26BE" w:rsidP="00A61A6B">
            <w:pPr>
              <w:spacing w:after="0"/>
              <w:ind w:left="366" w:right="354"/>
              <w:rPr>
                <w:sz w:val="18"/>
                <w:szCs w:val="18"/>
              </w:rPr>
            </w:pPr>
            <w:r w:rsidRPr="008A0A30">
              <w:rPr>
                <w:sz w:val="18"/>
                <w:szCs w:val="18"/>
              </w:rPr>
              <w:t>NA</w:t>
            </w:r>
          </w:p>
        </w:tc>
      </w:tr>
      <w:tr w:rsidR="001E26BE" w:rsidRPr="008A0A30" w:rsidTr="00BB341F">
        <w:trPr>
          <w:trHeight w:hRule="exact" w:val="547"/>
        </w:trPr>
        <w:tc>
          <w:tcPr>
            <w:tcW w:w="1279" w:type="dxa"/>
            <w:vMerge/>
            <w:tcBorders>
              <w:bottom w:val="single" w:sz="4" w:space="0" w:color="auto"/>
            </w:tcBorders>
          </w:tcPr>
          <w:p w:rsidR="001E26BE" w:rsidRPr="008A0A30" w:rsidRDefault="001E26BE" w:rsidP="00A61A6B"/>
        </w:tc>
        <w:tc>
          <w:tcPr>
            <w:tcW w:w="1319" w:type="dxa"/>
            <w:vMerge/>
            <w:tcBorders>
              <w:bottom w:val="single" w:sz="4" w:space="0" w:color="auto"/>
            </w:tcBorders>
          </w:tcPr>
          <w:p w:rsidR="001E26BE" w:rsidRPr="008A0A30" w:rsidRDefault="001E26BE" w:rsidP="00A61A6B"/>
        </w:tc>
        <w:tc>
          <w:tcPr>
            <w:tcW w:w="1169" w:type="dxa"/>
            <w:tcBorders>
              <w:bottom w:val="single" w:sz="4" w:space="0" w:color="auto"/>
            </w:tcBorders>
          </w:tcPr>
          <w:p w:rsidR="001E26BE" w:rsidRPr="008A0A30" w:rsidRDefault="001E26BE" w:rsidP="00D541A1">
            <w:pPr>
              <w:spacing w:before="57" w:after="0" w:line="206" w:lineRule="exact"/>
              <w:ind w:left="412" w:right="152" w:hanging="209"/>
              <w:jc w:val="center"/>
              <w:rPr>
                <w:sz w:val="18"/>
                <w:szCs w:val="18"/>
              </w:rPr>
            </w:pPr>
            <w:r w:rsidRPr="008A0A30">
              <w:rPr>
                <w:sz w:val="18"/>
                <w:szCs w:val="18"/>
              </w:rPr>
              <w:t xml:space="preserve">100 single </w:t>
            </w:r>
            <w:r w:rsidRPr="008A0A30">
              <w:rPr>
                <w:spacing w:val="1"/>
                <w:sz w:val="18"/>
                <w:szCs w:val="18"/>
              </w:rPr>
              <w:t>dose</w:t>
            </w:r>
          </w:p>
        </w:tc>
        <w:tc>
          <w:tcPr>
            <w:tcW w:w="1080" w:type="dxa"/>
            <w:tcBorders>
              <w:bottom w:val="single" w:sz="4" w:space="0" w:color="auto"/>
            </w:tcBorders>
          </w:tcPr>
          <w:p w:rsidR="001E26BE" w:rsidRPr="008A0A30" w:rsidRDefault="001E26BE" w:rsidP="00A61A6B">
            <w:pPr>
              <w:spacing w:after="0"/>
              <w:ind w:left="369" w:right="349"/>
              <w:rPr>
                <w:sz w:val="18"/>
                <w:szCs w:val="18"/>
              </w:rPr>
            </w:pPr>
            <w:r w:rsidRPr="008A0A30">
              <w:rPr>
                <w:sz w:val="18"/>
                <w:szCs w:val="18"/>
              </w:rPr>
              <w:t>ND</w:t>
            </w:r>
          </w:p>
        </w:tc>
        <w:tc>
          <w:tcPr>
            <w:tcW w:w="451" w:type="dxa"/>
            <w:tcBorders>
              <w:bottom w:val="single" w:sz="4" w:space="0" w:color="auto"/>
            </w:tcBorders>
          </w:tcPr>
          <w:p w:rsidR="001E26BE" w:rsidRPr="008A0A30" w:rsidRDefault="001E26BE" w:rsidP="00A61A6B">
            <w:pPr>
              <w:spacing w:after="0"/>
              <w:ind w:left="126" w:right="-20"/>
              <w:rPr>
                <w:sz w:val="18"/>
                <w:szCs w:val="18"/>
              </w:rPr>
            </w:pPr>
            <w:r w:rsidRPr="008A0A30">
              <w:rPr>
                <w:spacing w:val="1"/>
                <w:sz w:val="18"/>
                <w:szCs w:val="18"/>
              </w:rPr>
              <w:t>12</w:t>
            </w:r>
          </w:p>
        </w:tc>
        <w:tc>
          <w:tcPr>
            <w:tcW w:w="1080" w:type="dxa"/>
            <w:tcBorders>
              <w:bottom w:val="single" w:sz="4" w:space="0" w:color="auto"/>
            </w:tcBorders>
          </w:tcPr>
          <w:p w:rsidR="001E26BE" w:rsidRPr="008A0A30" w:rsidRDefault="001E26BE" w:rsidP="00A61A6B">
            <w:pPr>
              <w:spacing w:after="0"/>
              <w:ind w:left="136" w:right="-20"/>
              <w:rPr>
                <w:sz w:val="18"/>
                <w:szCs w:val="18"/>
              </w:rPr>
            </w:pPr>
            <w:r w:rsidRPr="008A0A30">
              <w:rPr>
                <w:sz w:val="18"/>
                <w:szCs w:val="18"/>
              </w:rPr>
              <w:t>velpatasvir</w:t>
            </w:r>
          </w:p>
        </w:tc>
        <w:tc>
          <w:tcPr>
            <w:tcW w:w="1078" w:type="dxa"/>
            <w:tcBorders>
              <w:bottom w:val="single" w:sz="4" w:space="0" w:color="auto"/>
            </w:tcBorders>
          </w:tcPr>
          <w:p w:rsidR="001E26BE" w:rsidRPr="008A0A30" w:rsidRDefault="001E26BE" w:rsidP="00A61A6B">
            <w:pPr>
              <w:spacing w:before="57" w:after="0" w:line="206" w:lineRule="exact"/>
              <w:ind w:left="109" w:right="58" w:firstLine="264"/>
              <w:rPr>
                <w:sz w:val="18"/>
                <w:szCs w:val="18"/>
              </w:rPr>
            </w:pPr>
            <w:r w:rsidRPr="008A0A30">
              <w:rPr>
                <w:sz w:val="18"/>
                <w:szCs w:val="18"/>
              </w:rPr>
              <w:t>1.56 (1.22, 2.01)</w:t>
            </w:r>
          </w:p>
        </w:tc>
        <w:tc>
          <w:tcPr>
            <w:tcW w:w="1080" w:type="dxa"/>
            <w:tcBorders>
              <w:bottom w:val="single" w:sz="4" w:space="0" w:color="auto"/>
            </w:tcBorders>
          </w:tcPr>
          <w:p w:rsidR="001E26BE" w:rsidRPr="008A0A30" w:rsidRDefault="001E26BE" w:rsidP="00A61A6B">
            <w:pPr>
              <w:spacing w:before="57" w:after="0" w:line="206" w:lineRule="exact"/>
              <w:ind w:left="112" w:right="58" w:firstLine="262"/>
              <w:rPr>
                <w:sz w:val="18"/>
                <w:szCs w:val="18"/>
              </w:rPr>
            </w:pPr>
            <w:r w:rsidRPr="008A0A30">
              <w:rPr>
                <w:sz w:val="18"/>
                <w:szCs w:val="18"/>
              </w:rPr>
              <w:t>2.03 (1.51, 2.71)</w:t>
            </w:r>
          </w:p>
        </w:tc>
        <w:tc>
          <w:tcPr>
            <w:tcW w:w="1099" w:type="dxa"/>
            <w:tcBorders>
              <w:bottom w:val="single" w:sz="4" w:space="0" w:color="auto"/>
            </w:tcBorders>
          </w:tcPr>
          <w:p w:rsidR="001E26BE" w:rsidRPr="008A0A30" w:rsidRDefault="001E26BE" w:rsidP="00A61A6B">
            <w:pPr>
              <w:spacing w:after="0"/>
              <w:ind w:left="371" w:right="359"/>
              <w:rPr>
                <w:sz w:val="18"/>
                <w:szCs w:val="18"/>
              </w:rPr>
            </w:pPr>
            <w:r w:rsidRPr="008A0A30">
              <w:rPr>
                <w:sz w:val="18"/>
                <w:szCs w:val="18"/>
              </w:rPr>
              <w:t>NA</w:t>
            </w:r>
          </w:p>
        </w:tc>
      </w:tr>
      <w:tr w:rsidR="001E26BE" w:rsidRPr="008A0A30" w:rsidTr="00BB341F">
        <w:trPr>
          <w:trHeight w:hRule="exact" w:val="550"/>
        </w:trPr>
        <w:tc>
          <w:tcPr>
            <w:tcW w:w="1279" w:type="dxa"/>
            <w:vMerge w:val="restart"/>
            <w:tcBorders>
              <w:top w:val="single" w:sz="4" w:space="0" w:color="auto"/>
            </w:tcBorders>
          </w:tcPr>
          <w:p w:rsidR="001E26BE" w:rsidRPr="008A0A30" w:rsidRDefault="001E26BE" w:rsidP="00A61A6B">
            <w:pPr>
              <w:spacing w:after="0"/>
              <w:ind w:left="124" w:right="95"/>
              <w:rPr>
                <w:sz w:val="18"/>
                <w:szCs w:val="18"/>
              </w:rPr>
            </w:pPr>
            <w:r w:rsidRPr="008A0A30">
              <w:rPr>
                <w:sz w:val="18"/>
                <w:szCs w:val="18"/>
              </w:rPr>
              <w:t xml:space="preserve">Darunavir/ ritonavir + </w:t>
            </w:r>
            <w:r w:rsidRPr="008A0A30">
              <w:rPr>
                <w:spacing w:val="2"/>
                <w:sz w:val="18"/>
                <w:szCs w:val="18"/>
              </w:rPr>
              <w:t>e</w:t>
            </w:r>
            <w:r w:rsidRPr="008A0A30">
              <w:rPr>
                <w:spacing w:val="-3"/>
                <w:sz w:val="18"/>
                <w:szCs w:val="18"/>
              </w:rPr>
              <w:t>m</w:t>
            </w:r>
            <w:r w:rsidRPr="008A0A30">
              <w:rPr>
                <w:sz w:val="18"/>
                <w:szCs w:val="18"/>
              </w:rPr>
              <w:t>tricitabine/ tenofovir DF</w:t>
            </w:r>
          </w:p>
        </w:tc>
        <w:tc>
          <w:tcPr>
            <w:tcW w:w="1319" w:type="dxa"/>
            <w:vMerge w:val="restart"/>
            <w:tcBorders>
              <w:top w:val="single" w:sz="4" w:space="0" w:color="auto"/>
            </w:tcBorders>
          </w:tcPr>
          <w:p w:rsidR="001E26BE" w:rsidRPr="008A0A30" w:rsidRDefault="001E26BE" w:rsidP="00A61A6B">
            <w:pPr>
              <w:spacing w:after="0"/>
              <w:ind w:left="218" w:right="200"/>
              <w:rPr>
                <w:sz w:val="18"/>
                <w:szCs w:val="18"/>
              </w:rPr>
            </w:pPr>
            <w:r w:rsidRPr="008A0A30">
              <w:rPr>
                <w:sz w:val="18"/>
                <w:szCs w:val="18"/>
              </w:rPr>
              <w:t>800/100</w:t>
            </w:r>
            <w:r w:rsidRPr="008A0A30">
              <w:rPr>
                <w:spacing w:val="1"/>
                <w:sz w:val="18"/>
                <w:szCs w:val="18"/>
              </w:rPr>
              <w:t xml:space="preserve"> </w:t>
            </w:r>
            <w:r w:rsidRPr="008A0A30">
              <w:rPr>
                <w:sz w:val="18"/>
                <w:szCs w:val="18"/>
              </w:rPr>
              <w:t>+</w:t>
            </w:r>
          </w:p>
          <w:p w:rsidR="001E26BE" w:rsidRPr="008A0A30" w:rsidRDefault="001E26BE" w:rsidP="00A61A6B">
            <w:pPr>
              <w:spacing w:before="1" w:after="0" w:line="208" w:lineRule="exact"/>
              <w:ind w:left="118" w:right="98"/>
              <w:rPr>
                <w:sz w:val="18"/>
                <w:szCs w:val="18"/>
              </w:rPr>
            </w:pPr>
            <w:r w:rsidRPr="008A0A30">
              <w:rPr>
                <w:sz w:val="18"/>
                <w:szCs w:val="18"/>
              </w:rPr>
              <w:t>200/300 once daily</w:t>
            </w:r>
          </w:p>
        </w:tc>
        <w:tc>
          <w:tcPr>
            <w:tcW w:w="1169" w:type="dxa"/>
            <w:vMerge w:val="restart"/>
            <w:tcBorders>
              <w:top w:val="single" w:sz="4" w:space="0" w:color="auto"/>
            </w:tcBorders>
          </w:tcPr>
          <w:p w:rsidR="001E26BE" w:rsidRPr="008A0A30" w:rsidRDefault="001E26BE" w:rsidP="00D541A1">
            <w:pPr>
              <w:spacing w:after="0" w:line="206" w:lineRule="exact"/>
              <w:ind w:left="395" w:right="198" w:hanging="146"/>
              <w:rPr>
                <w:sz w:val="18"/>
                <w:szCs w:val="18"/>
              </w:rPr>
            </w:pPr>
            <w:r w:rsidRPr="008A0A30">
              <w:rPr>
                <w:sz w:val="18"/>
                <w:szCs w:val="18"/>
              </w:rPr>
              <w:t>100 once daily</w:t>
            </w:r>
          </w:p>
        </w:tc>
        <w:tc>
          <w:tcPr>
            <w:tcW w:w="1080" w:type="dxa"/>
            <w:vMerge w:val="restart"/>
            <w:tcBorders>
              <w:top w:val="single" w:sz="4" w:space="0" w:color="auto"/>
            </w:tcBorders>
          </w:tcPr>
          <w:p w:rsidR="001E26BE" w:rsidRPr="008A0A30" w:rsidRDefault="001E26BE" w:rsidP="00A61A6B">
            <w:pPr>
              <w:spacing w:after="0" w:line="206" w:lineRule="exact"/>
              <w:ind w:left="352" w:right="154" w:hanging="149"/>
              <w:rPr>
                <w:sz w:val="18"/>
                <w:szCs w:val="18"/>
              </w:rPr>
            </w:pPr>
            <w:r w:rsidRPr="008A0A30">
              <w:rPr>
                <w:sz w:val="18"/>
                <w:szCs w:val="18"/>
              </w:rPr>
              <w:t>400 once daily</w:t>
            </w:r>
          </w:p>
        </w:tc>
        <w:tc>
          <w:tcPr>
            <w:tcW w:w="451" w:type="dxa"/>
            <w:vMerge w:val="restart"/>
            <w:tcBorders>
              <w:top w:val="single" w:sz="4" w:space="0" w:color="auto"/>
            </w:tcBorders>
          </w:tcPr>
          <w:p w:rsidR="001E26BE" w:rsidRPr="008A0A30" w:rsidRDefault="001E26BE" w:rsidP="00A61A6B">
            <w:pPr>
              <w:spacing w:after="0"/>
              <w:ind w:left="126" w:right="-20"/>
              <w:rPr>
                <w:sz w:val="18"/>
                <w:szCs w:val="18"/>
              </w:rPr>
            </w:pPr>
            <w:r w:rsidRPr="008A0A30">
              <w:rPr>
                <w:spacing w:val="1"/>
                <w:sz w:val="18"/>
                <w:szCs w:val="18"/>
              </w:rPr>
              <w:t>29</w:t>
            </w:r>
          </w:p>
        </w:tc>
        <w:tc>
          <w:tcPr>
            <w:tcW w:w="1080" w:type="dxa"/>
            <w:tcBorders>
              <w:top w:val="single" w:sz="4" w:space="0" w:color="auto"/>
            </w:tcBorders>
          </w:tcPr>
          <w:p w:rsidR="001E26BE" w:rsidRPr="008A0A30" w:rsidRDefault="001E26BE" w:rsidP="00A61A6B">
            <w:pPr>
              <w:spacing w:after="0"/>
              <w:ind w:left="150" w:right="-20"/>
              <w:rPr>
                <w:sz w:val="18"/>
                <w:szCs w:val="18"/>
              </w:rPr>
            </w:pPr>
            <w:r w:rsidRPr="008A0A30">
              <w:rPr>
                <w:sz w:val="18"/>
                <w:szCs w:val="18"/>
              </w:rPr>
              <w:t>sofosbuvir</w:t>
            </w:r>
          </w:p>
        </w:tc>
        <w:tc>
          <w:tcPr>
            <w:tcW w:w="1078" w:type="dxa"/>
            <w:tcBorders>
              <w:top w:val="single" w:sz="4" w:space="0" w:color="auto"/>
            </w:tcBorders>
          </w:tcPr>
          <w:p w:rsidR="001E26BE" w:rsidRPr="008A0A30" w:rsidRDefault="001E26BE" w:rsidP="00A61A6B">
            <w:pPr>
              <w:spacing w:before="54" w:after="0" w:line="242" w:lineRule="auto"/>
              <w:ind w:left="109" w:right="58" w:firstLine="264"/>
              <w:rPr>
                <w:sz w:val="18"/>
                <w:szCs w:val="18"/>
              </w:rPr>
            </w:pPr>
            <w:r w:rsidRPr="008A0A30">
              <w:rPr>
                <w:sz w:val="18"/>
                <w:szCs w:val="18"/>
              </w:rPr>
              <w:t>0.62 (0.54, 0.71)</w:t>
            </w:r>
          </w:p>
        </w:tc>
        <w:tc>
          <w:tcPr>
            <w:tcW w:w="1080" w:type="dxa"/>
            <w:tcBorders>
              <w:top w:val="single" w:sz="4" w:space="0" w:color="auto"/>
            </w:tcBorders>
          </w:tcPr>
          <w:p w:rsidR="001E26BE" w:rsidRPr="008A0A30" w:rsidRDefault="001E26BE" w:rsidP="00A61A6B">
            <w:pPr>
              <w:spacing w:before="54" w:after="0" w:line="242" w:lineRule="auto"/>
              <w:ind w:left="112" w:right="58" w:firstLine="262"/>
              <w:rPr>
                <w:sz w:val="18"/>
                <w:szCs w:val="18"/>
              </w:rPr>
            </w:pPr>
            <w:r w:rsidRPr="008A0A30">
              <w:rPr>
                <w:sz w:val="18"/>
                <w:szCs w:val="18"/>
              </w:rPr>
              <w:t>0.72 (0.66, 0.80)</w:t>
            </w:r>
          </w:p>
        </w:tc>
        <w:tc>
          <w:tcPr>
            <w:tcW w:w="1099" w:type="dxa"/>
            <w:tcBorders>
              <w:top w:val="single" w:sz="4" w:space="0" w:color="auto"/>
            </w:tcBorders>
          </w:tcPr>
          <w:p w:rsidR="001E26BE" w:rsidRPr="008A0A30" w:rsidRDefault="001E26BE" w:rsidP="00A61A6B">
            <w:pPr>
              <w:spacing w:after="0"/>
              <w:ind w:left="370" w:right="359"/>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1.04 (0.99, 1.08)</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1.13 (1.08, 1.18)</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1.13 (1.06, 1.19)</w:t>
            </w:r>
          </w:p>
        </w:tc>
      </w:tr>
      <w:tr w:rsidR="001E26BE" w:rsidRPr="008A0A30" w:rsidTr="006E2EAA">
        <w:trPr>
          <w:trHeight w:hRule="exact" w:val="547"/>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0.76 (0.65, 0.89)</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0.84 (0.72, 0.98)</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1.01 (0.87, 1.18)</w:t>
            </w:r>
          </w:p>
        </w:tc>
      </w:tr>
      <w:tr w:rsidR="001E26BE" w:rsidRPr="008A0A30" w:rsidTr="006E2EAA">
        <w:trPr>
          <w:trHeight w:hRule="exact" w:val="550"/>
        </w:trPr>
        <w:tc>
          <w:tcPr>
            <w:tcW w:w="1279" w:type="dxa"/>
            <w:vMerge w:val="restart"/>
          </w:tcPr>
          <w:p w:rsidR="001E26BE" w:rsidRPr="008A0A30" w:rsidRDefault="001E26BE" w:rsidP="00B11886">
            <w:pPr>
              <w:spacing w:after="0"/>
              <w:ind w:left="180" w:right="-20"/>
              <w:rPr>
                <w:sz w:val="18"/>
                <w:szCs w:val="18"/>
              </w:rPr>
            </w:pPr>
            <w:r w:rsidRPr="008A0A30">
              <w:rPr>
                <w:sz w:val="18"/>
                <w:szCs w:val="18"/>
              </w:rPr>
              <w:t>Dolutegravir</w:t>
            </w:r>
          </w:p>
        </w:tc>
        <w:tc>
          <w:tcPr>
            <w:tcW w:w="1319" w:type="dxa"/>
            <w:vMerge w:val="restart"/>
          </w:tcPr>
          <w:p w:rsidR="001E26BE" w:rsidRPr="008A0A30" w:rsidRDefault="001E26BE" w:rsidP="00B11886">
            <w:pPr>
              <w:spacing w:after="0"/>
              <w:ind w:left="136" w:right="-20"/>
              <w:rPr>
                <w:sz w:val="18"/>
                <w:szCs w:val="18"/>
              </w:rPr>
            </w:pPr>
            <w:r w:rsidRPr="008A0A30">
              <w:rPr>
                <w:sz w:val="18"/>
                <w:szCs w:val="18"/>
              </w:rPr>
              <w:t>50</w:t>
            </w:r>
            <w:r w:rsidRPr="008A0A30">
              <w:rPr>
                <w:spacing w:val="1"/>
                <w:sz w:val="18"/>
                <w:szCs w:val="18"/>
              </w:rPr>
              <w:t xml:space="preserve"> </w:t>
            </w:r>
            <w:r w:rsidRPr="008A0A30">
              <w:rPr>
                <w:sz w:val="18"/>
                <w:szCs w:val="18"/>
              </w:rPr>
              <w:t>once</w:t>
            </w:r>
            <w:r w:rsidRPr="008A0A30">
              <w:rPr>
                <w:spacing w:val="1"/>
                <w:sz w:val="18"/>
                <w:szCs w:val="18"/>
              </w:rPr>
              <w:t xml:space="preserve"> </w:t>
            </w:r>
            <w:r w:rsidRPr="008A0A30">
              <w:rPr>
                <w:sz w:val="18"/>
                <w:szCs w:val="18"/>
              </w:rPr>
              <w:t>daily</w:t>
            </w:r>
          </w:p>
        </w:tc>
        <w:tc>
          <w:tcPr>
            <w:tcW w:w="1169" w:type="dxa"/>
            <w:vMerge w:val="restart"/>
          </w:tcPr>
          <w:p w:rsidR="001E26BE" w:rsidRPr="008A0A30" w:rsidRDefault="001E26BE" w:rsidP="00D541A1">
            <w:pPr>
              <w:spacing w:after="0" w:line="242" w:lineRule="auto"/>
              <w:ind w:left="395" w:right="198" w:hanging="146"/>
              <w:jc w:val="center"/>
              <w:rPr>
                <w:sz w:val="18"/>
                <w:szCs w:val="18"/>
              </w:rPr>
            </w:pPr>
            <w:r w:rsidRPr="008A0A30">
              <w:rPr>
                <w:sz w:val="18"/>
                <w:szCs w:val="18"/>
              </w:rPr>
              <w:t>100 once daily</w:t>
            </w:r>
          </w:p>
        </w:tc>
        <w:tc>
          <w:tcPr>
            <w:tcW w:w="1080" w:type="dxa"/>
            <w:vMerge w:val="restart"/>
          </w:tcPr>
          <w:p w:rsidR="001E26BE" w:rsidRPr="008A0A30" w:rsidRDefault="001E26BE" w:rsidP="00B11886">
            <w:pPr>
              <w:spacing w:after="0" w:line="242" w:lineRule="auto"/>
              <w:ind w:left="352" w:right="154" w:hanging="149"/>
              <w:rPr>
                <w:sz w:val="18"/>
                <w:szCs w:val="18"/>
              </w:rPr>
            </w:pPr>
            <w:r w:rsidRPr="008A0A30">
              <w:rPr>
                <w:sz w:val="18"/>
                <w:szCs w:val="18"/>
              </w:rPr>
              <w:t>400 once daily</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24</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9" w:after="0" w:line="206" w:lineRule="exact"/>
              <w:ind w:left="109" w:right="58" w:firstLine="264"/>
              <w:rPr>
                <w:sz w:val="18"/>
                <w:szCs w:val="18"/>
              </w:rPr>
            </w:pPr>
            <w:r w:rsidRPr="008A0A30">
              <w:rPr>
                <w:sz w:val="18"/>
                <w:szCs w:val="18"/>
              </w:rPr>
              <w:t>0.88 (0.80, 0.98)</w:t>
            </w:r>
          </w:p>
        </w:tc>
        <w:tc>
          <w:tcPr>
            <w:tcW w:w="1080" w:type="dxa"/>
          </w:tcPr>
          <w:p w:rsidR="001E26BE" w:rsidRPr="008A0A30" w:rsidRDefault="001E26BE" w:rsidP="00B11886">
            <w:pPr>
              <w:spacing w:before="59" w:after="0" w:line="206" w:lineRule="exact"/>
              <w:ind w:left="112" w:right="58" w:firstLine="262"/>
              <w:rPr>
                <w:sz w:val="18"/>
                <w:szCs w:val="18"/>
              </w:rPr>
            </w:pPr>
            <w:r w:rsidRPr="008A0A30">
              <w:rPr>
                <w:sz w:val="18"/>
                <w:szCs w:val="18"/>
              </w:rPr>
              <w:t>0.92 (0.85, 0.99)</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4" w:after="0" w:line="242" w:lineRule="auto"/>
              <w:ind w:left="109" w:right="58" w:firstLine="264"/>
              <w:rPr>
                <w:sz w:val="18"/>
                <w:szCs w:val="18"/>
              </w:rPr>
            </w:pPr>
            <w:r w:rsidRPr="008A0A30">
              <w:rPr>
                <w:sz w:val="18"/>
                <w:szCs w:val="18"/>
              </w:rPr>
              <w:t>1.01 (0.93, 1.10)</w:t>
            </w:r>
          </w:p>
        </w:tc>
        <w:tc>
          <w:tcPr>
            <w:tcW w:w="1080" w:type="dxa"/>
          </w:tcPr>
          <w:p w:rsidR="001E26BE" w:rsidRPr="008A0A30" w:rsidRDefault="001E26BE" w:rsidP="00B11886">
            <w:pPr>
              <w:spacing w:before="54" w:after="0" w:line="242" w:lineRule="auto"/>
              <w:ind w:left="112" w:right="58" w:firstLine="262"/>
              <w:rPr>
                <w:sz w:val="18"/>
                <w:szCs w:val="18"/>
              </w:rPr>
            </w:pPr>
            <w:r w:rsidRPr="008A0A30">
              <w:rPr>
                <w:sz w:val="18"/>
                <w:szCs w:val="18"/>
              </w:rPr>
              <w:t>0.99 (0.97, 1.01)</w:t>
            </w:r>
          </w:p>
        </w:tc>
        <w:tc>
          <w:tcPr>
            <w:tcW w:w="1099" w:type="dxa"/>
          </w:tcPr>
          <w:p w:rsidR="001E26BE" w:rsidRPr="008A0A30" w:rsidRDefault="001E26BE" w:rsidP="00B11886">
            <w:pPr>
              <w:spacing w:before="54" w:after="0" w:line="242" w:lineRule="auto"/>
              <w:ind w:left="121" w:right="64" w:firstLine="262"/>
              <w:rPr>
                <w:sz w:val="18"/>
                <w:szCs w:val="18"/>
              </w:rPr>
            </w:pPr>
            <w:r w:rsidRPr="008A0A30">
              <w:rPr>
                <w:sz w:val="18"/>
                <w:szCs w:val="18"/>
              </w:rPr>
              <w:t>0.99 (0.97, 1.01)</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0.94 (0.86, 1.02)</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0.91 (0.84, 0.98)</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0.88 (0.82, 0.94)</w:t>
            </w:r>
          </w:p>
        </w:tc>
      </w:tr>
      <w:tr w:rsidR="001E26BE" w:rsidRPr="008A0A30" w:rsidTr="006E2EAA">
        <w:trPr>
          <w:trHeight w:hRule="exact" w:val="547"/>
        </w:trPr>
        <w:tc>
          <w:tcPr>
            <w:tcW w:w="1279" w:type="dxa"/>
            <w:vMerge w:val="restart"/>
          </w:tcPr>
          <w:p w:rsidR="001E26BE" w:rsidRPr="008A0A30" w:rsidRDefault="001E26BE" w:rsidP="00B11886">
            <w:pPr>
              <w:spacing w:after="0" w:line="206" w:lineRule="exact"/>
              <w:ind w:left="139" w:right="76" w:firstLine="125"/>
              <w:rPr>
                <w:sz w:val="12"/>
                <w:szCs w:val="12"/>
              </w:rPr>
            </w:pPr>
            <w:r w:rsidRPr="008A0A30">
              <w:rPr>
                <w:sz w:val="18"/>
                <w:szCs w:val="18"/>
              </w:rPr>
              <w:t xml:space="preserve">Efavirenz/ </w:t>
            </w:r>
            <w:r w:rsidRPr="008A0A30">
              <w:rPr>
                <w:spacing w:val="2"/>
                <w:sz w:val="18"/>
                <w:szCs w:val="18"/>
              </w:rPr>
              <w:t>e</w:t>
            </w:r>
            <w:r w:rsidRPr="008A0A30">
              <w:rPr>
                <w:spacing w:val="-3"/>
                <w:sz w:val="18"/>
                <w:szCs w:val="18"/>
              </w:rPr>
              <w:t>m</w:t>
            </w:r>
            <w:r w:rsidRPr="008A0A30">
              <w:rPr>
                <w:sz w:val="18"/>
                <w:szCs w:val="18"/>
              </w:rPr>
              <w:t>tricitabine/ tenofovir D</w:t>
            </w:r>
            <w:r w:rsidRPr="008A0A30">
              <w:rPr>
                <w:spacing w:val="1"/>
                <w:sz w:val="18"/>
                <w:szCs w:val="18"/>
              </w:rPr>
              <w:t>F</w:t>
            </w:r>
            <w:r w:rsidRPr="008A0A30">
              <w:rPr>
                <w:position w:val="8"/>
                <w:sz w:val="12"/>
                <w:szCs w:val="12"/>
              </w:rPr>
              <w:t>b</w:t>
            </w:r>
          </w:p>
        </w:tc>
        <w:tc>
          <w:tcPr>
            <w:tcW w:w="1319" w:type="dxa"/>
            <w:vMerge w:val="restart"/>
          </w:tcPr>
          <w:p w:rsidR="001E26BE" w:rsidRPr="008A0A30" w:rsidRDefault="001E26BE" w:rsidP="00B11886">
            <w:pPr>
              <w:spacing w:after="0" w:line="206" w:lineRule="exact"/>
              <w:ind w:left="249" w:right="116" w:hanging="84"/>
              <w:rPr>
                <w:sz w:val="18"/>
                <w:szCs w:val="18"/>
              </w:rPr>
            </w:pPr>
            <w:r w:rsidRPr="008A0A30">
              <w:rPr>
                <w:sz w:val="18"/>
                <w:szCs w:val="18"/>
              </w:rPr>
              <w:t>600/200/300 once</w:t>
            </w:r>
            <w:r w:rsidRPr="008A0A30">
              <w:rPr>
                <w:spacing w:val="1"/>
                <w:sz w:val="18"/>
                <w:szCs w:val="18"/>
              </w:rPr>
              <w:t xml:space="preserve"> </w:t>
            </w:r>
            <w:r w:rsidRPr="008A0A30">
              <w:rPr>
                <w:sz w:val="18"/>
                <w:szCs w:val="18"/>
              </w:rPr>
              <w:t>daily</w:t>
            </w:r>
          </w:p>
        </w:tc>
        <w:tc>
          <w:tcPr>
            <w:tcW w:w="1169" w:type="dxa"/>
            <w:vMerge w:val="restart"/>
          </w:tcPr>
          <w:p w:rsidR="001E26BE" w:rsidRPr="008A0A30" w:rsidRDefault="001E26BE" w:rsidP="00D541A1">
            <w:pPr>
              <w:spacing w:after="0" w:line="206" w:lineRule="exact"/>
              <w:ind w:left="395" w:right="198" w:hanging="146"/>
              <w:jc w:val="center"/>
              <w:rPr>
                <w:sz w:val="18"/>
                <w:szCs w:val="18"/>
              </w:rPr>
            </w:pPr>
            <w:r w:rsidRPr="008A0A30">
              <w:rPr>
                <w:sz w:val="18"/>
                <w:szCs w:val="18"/>
              </w:rPr>
              <w:t>100 once daily</w:t>
            </w:r>
          </w:p>
        </w:tc>
        <w:tc>
          <w:tcPr>
            <w:tcW w:w="1080" w:type="dxa"/>
            <w:vMerge w:val="restart"/>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451" w:type="dxa"/>
            <w:vMerge w:val="restart"/>
          </w:tcPr>
          <w:p w:rsidR="001E26BE" w:rsidRPr="008A0A30" w:rsidRDefault="001E26BE" w:rsidP="00B11886">
            <w:pPr>
              <w:spacing w:before="7" w:after="0" w:line="100" w:lineRule="exact"/>
              <w:rPr>
                <w:sz w:val="10"/>
                <w:szCs w:val="10"/>
              </w:rPr>
            </w:pPr>
          </w:p>
          <w:p w:rsidR="001E26BE" w:rsidRPr="008A0A30" w:rsidRDefault="001E26BE" w:rsidP="00B11886">
            <w:pPr>
              <w:spacing w:after="0"/>
              <w:ind w:left="126" w:right="-20"/>
              <w:rPr>
                <w:sz w:val="18"/>
                <w:szCs w:val="18"/>
              </w:rPr>
            </w:pPr>
            <w:r w:rsidRPr="008A0A30">
              <w:rPr>
                <w:spacing w:val="1"/>
                <w:sz w:val="18"/>
                <w:szCs w:val="18"/>
              </w:rPr>
              <w:t>14</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1.38 (1.14, 1.67)</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0.97 (0.83, 1.14)</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9" w:after="0" w:line="206" w:lineRule="exact"/>
              <w:ind w:left="109" w:right="58" w:firstLine="264"/>
              <w:rPr>
                <w:sz w:val="18"/>
                <w:szCs w:val="18"/>
              </w:rPr>
            </w:pPr>
            <w:r w:rsidRPr="008A0A30">
              <w:rPr>
                <w:sz w:val="18"/>
                <w:szCs w:val="18"/>
              </w:rPr>
              <w:t>0.86 (0.80, 0.93)</w:t>
            </w:r>
          </w:p>
        </w:tc>
        <w:tc>
          <w:tcPr>
            <w:tcW w:w="1080" w:type="dxa"/>
          </w:tcPr>
          <w:p w:rsidR="001E26BE" w:rsidRPr="008A0A30" w:rsidRDefault="001E26BE" w:rsidP="00B11886">
            <w:pPr>
              <w:spacing w:before="59" w:after="0" w:line="206" w:lineRule="exact"/>
              <w:ind w:left="112" w:right="58" w:firstLine="262"/>
              <w:rPr>
                <w:sz w:val="18"/>
                <w:szCs w:val="18"/>
              </w:rPr>
            </w:pPr>
            <w:r w:rsidRPr="008A0A30">
              <w:rPr>
                <w:sz w:val="18"/>
                <w:szCs w:val="18"/>
              </w:rPr>
              <w:t>0.90 (0.85, 0.96)</w:t>
            </w:r>
          </w:p>
        </w:tc>
        <w:tc>
          <w:tcPr>
            <w:tcW w:w="1099" w:type="dxa"/>
          </w:tcPr>
          <w:p w:rsidR="001E26BE" w:rsidRPr="008A0A30" w:rsidRDefault="001E26BE" w:rsidP="00B11886">
            <w:pPr>
              <w:spacing w:before="59" w:after="0" w:line="206" w:lineRule="exact"/>
              <w:ind w:left="121" w:right="65" w:firstLine="262"/>
              <w:rPr>
                <w:sz w:val="18"/>
                <w:szCs w:val="18"/>
              </w:rPr>
            </w:pPr>
            <w:r w:rsidRPr="008A0A30">
              <w:rPr>
                <w:sz w:val="18"/>
                <w:szCs w:val="18"/>
              </w:rPr>
              <w:t>1.01 (0.95, 1.07)</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4" w:after="0" w:line="242" w:lineRule="auto"/>
              <w:ind w:left="109" w:right="58" w:firstLine="264"/>
              <w:rPr>
                <w:sz w:val="18"/>
                <w:szCs w:val="18"/>
              </w:rPr>
            </w:pPr>
            <w:r w:rsidRPr="008A0A30">
              <w:rPr>
                <w:sz w:val="18"/>
                <w:szCs w:val="18"/>
              </w:rPr>
              <w:t>0.53 (0.43, 0.64)</w:t>
            </w:r>
          </w:p>
        </w:tc>
        <w:tc>
          <w:tcPr>
            <w:tcW w:w="1080" w:type="dxa"/>
          </w:tcPr>
          <w:p w:rsidR="001E26BE" w:rsidRPr="008A0A30" w:rsidRDefault="001E26BE" w:rsidP="00B11886">
            <w:pPr>
              <w:spacing w:before="54" w:after="0" w:line="242" w:lineRule="auto"/>
              <w:ind w:left="112" w:right="58" w:firstLine="262"/>
              <w:rPr>
                <w:sz w:val="18"/>
                <w:szCs w:val="18"/>
              </w:rPr>
            </w:pPr>
            <w:r w:rsidRPr="008A0A30">
              <w:rPr>
                <w:sz w:val="18"/>
                <w:szCs w:val="18"/>
              </w:rPr>
              <w:t>0.47 (0.39, 0.57)</w:t>
            </w:r>
          </w:p>
        </w:tc>
        <w:tc>
          <w:tcPr>
            <w:tcW w:w="1099" w:type="dxa"/>
          </w:tcPr>
          <w:p w:rsidR="001E26BE" w:rsidRPr="008A0A30" w:rsidRDefault="001E26BE" w:rsidP="00B11886">
            <w:pPr>
              <w:spacing w:before="54" w:after="0" w:line="242" w:lineRule="auto"/>
              <w:ind w:left="121" w:right="65" w:firstLine="262"/>
              <w:rPr>
                <w:sz w:val="18"/>
                <w:szCs w:val="18"/>
              </w:rPr>
            </w:pPr>
            <w:r w:rsidRPr="008A0A30">
              <w:rPr>
                <w:sz w:val="18"/>
                <w:szCs w:val="18"/>
              </w:rPr>
              <w:t>0.43 (0.36, 0.52)</w:t>
            </w:r>
          </w:p>
        </w:tc>
      </w:tr>
      <w:tr w:rsidR="001E26BE" w:rsidRPr="008A0A30" w:rsidTr="006E2EAA">
        <w:trPr>
          <w:trHeight w:hRule="exact" w:val="550"/>
        </w:trPr>
        <w:tc>
          <w:tcPr>
            <w:tcW w:w="1279" w:type="dxa"/>
            <w:vMerge w:val="restart"/>
          </w:tcPr>
          <w:p w:rsidR="001E26BE" w:rsidRPr="008A0A30" w:rsidRDefault="001E26BE" w:rsidP="00B11886">
            <w:pPr>
              <w:spacing w:after="0" w:line="233" w:lineRule="auto"/>
              <w:ind w:left="122" w:right="94" w:hanging="2"/>
              <w:jc w:val="center"/>
              <w:rPr>
                <w:sz w:val="12"/>
                <w:szCs w:val="12"/>
              </w:rPr>
            </w:pPr>
            <w:r w:rsidRPr="008A0A30">
              <w:rPr>
                <w:sz w:val="18"/>
                <w:szCs w:val="18"/>
              </w:rPr>
              <w:t xml:space="preserve">Elvitegravir/ cobicistat/ </w:t>
            </w:r>
            <w:r w:rsidRPr="008A0A30">
              <w:rPr>
                <w:spacing w:val="2"/>
                <w:sz w:val="18"/>
                <w:szCs w:val="18"/>
              </w:rPr>
              <w:t>e</w:t>
            </w:r>
            <w:r w:rsidRPr="008A0A30">
              <w:rPr>
                <w:spacing w:val="-3"/>
                <w:sz w:val="18"/>
                <w:szCs w:val="18"/>
              </w:rPr>
              <w:t>m</w:t>
            </w:r>
            <w:r w:rsidRPr="008A0A30">
              <w:rPr>
                <w:sz w:val="18"/>
                <w:szCs w:val="18"/>
              </w:rPr>
              <w:t>tricitabine/ tenofovir alafenamid</w:t>
            </w:r>
            <w:r w:rsidRPr="008A0A30">
              <w:rPr>
                <w:spacing w:val="-1"/>
                <w:sz w:val="18"/>
                <w:szCs w:val="18"/>
              </w:rPr>
              <w:t>e</w:t>
            </w:r>
            <w:r w:rsidRPr="008A0A30">
              <w:rPr>
                <w:position w:val="8"/>
                <w:sz w:val="12"/>
                <w:szCs w:val="12"/>
              </w:rPr>
              <w:t>c</w:t>
            </w:r>
          </w:p>
        </w:tc>
        <w:tc>
          <w:tcPr>
            <w:tcW w:w="1319" w:type="dxa"/>
            <w:vMerge w:val="restart"/>
          </w:tcPr>
          <w:p w:rsidR="001E26BE" w:rsidRPr="008A0A30" w:rsidRDefault="001E26BE" w:rsidP="00B11886">
            <w:pPr>
              <w:spacing w:after="0"/>
              <w:ind w:left="141" w:right="-20"/>
              <w:rPr>
                <w:sz w:val="18"/>
                <w:szCs w:val="18"/>
              </w:rPr>
            </w:pPr>
            <w:r w:rsidRPr="008A0A30">
              <w:rPr>
                <w:sz w:val="18"/>
                <w:szCs w:val="18"/>
              </w:rPr>
              <w:t>150/150/200/</w:t>
            </w:r>
          </w:p>
          <w:p w:rsidR="001E26BE" w:rsidRPr="008A0A30" w:rsidRDefault="001E26BE" w:rsidP="00B11886">
            <w:pPr>
              <w:spacing w:after="0" w:line="206" w:lineRule="exact"/>
              <w:ind w:left="136" w:right="-20"/>
              <w:rPr>
                <w:sz w:val="18"/>
                <w:szCs w:val="18"/>
              </w:rPr>
            </w:pPr>
            <w:r w:rsidRPr="008A0A30">
              <w:rPr>
                <w:sz w:val="18"/>
                <w:szCs w:val="18"/>
              </w:rPr>
              <w:t>10</w:t>
            </w:r>
            <w:r w:rsidRPr="008A0A30">
              <w:rPr>
                <w:spacing w:val="1"/>
                <w:sz w:val="18"/>
                <w:szCs w:val="18"/>
              </w:rPr>
              <w:t xml:space="preserve"> </w:t>
            </w:r>
            <w:r w:rsidRPr="008A0A30">
              <w:rPr>
                <w:sz w:val="18"/>
                <w:szCs w:val="18"/>
              </w:rPr>
              <w:t>once</w:t>
            </w:r>
            <w:r w:rsidRPr="008A0A30">
              <w:rPr>
                <w:spacing w:val="1"/>
                <w:sz w:val="18"/>
                <w:szCs w:val="18"/>
              </w:rPr>
              <w:t xml:space="preserve"> </w:t>
            </w:r>
            <w:r w:rsidRPr="008A0A30">
              <w:rPr>
                <w:sz w:val="18"/>
                <w:szCs w:val="18"/>
              </w:rPr>
              <w:t>daily</w:t>
            </w:r>
          </w:p>
        </w:tc>
        <w:tc>
          <w:tcPr>
            <w:tcW w:w="1169" w:type="dxa"/>
            <w:vMerge w:val="restart"/>
          </w:tcPr>
          <w:p w:rsidR="001E26BE" w:rsidRPr="008A0A30" w:rsidRDefault="001E26BE" w:rsidP="00D541A1">
            <w:pPr>
              <w:spacing w:after="0" w:line="206" w:lineRule="exact"/>
              <w:ind w:left="395" w:right="198" w:hanging="146"/>
              <w:jc w:val="center"/>
              <w:rPr>
                <w:sz w:val="18"/>
                <w:szCs w:val="18"/>
              </w:rPr>
            </w:pPr>
            <w:r w:rsidRPr="008A0A30">
              <w:rPr>
                <w:sz w:val="18"/>
                <w:szCs w:val="18"/>
              </w:rPr>
              <w:t>100 once daily</w:t>
            </w:r>
          </w:p>
        </w:tc>
        <w:tc>
          <w:tcPr>
            <w:tcW w:w="1080" w:type="dxa"/>
            <w:vMerge w:val="restart"/>
          </w:tcPr>
          <w:p w:rsidR="001E26BE" w:rsidRPr="008A0A30" w:rsidRDefault="001E26BE" w:rsidP="00D541A1">
            <w:pPr>
              <w:spacing w:after="0" w:line="206" w:lineRule="exact"/>
              <w:ind w:left="203" w:right="154"/>
              <w:jc w:val="center"/>
              <w:rPr>
                <w:sz w:val="18"/>
                <w:szCs w:val="18"/>
              </w:rPr>
            </w:pPr>
            <w:r w:rsidRPr="008A0A30">
              <w:rPr>
                <w:sz w:val="18"/>
                <w:szCs w:val="18"/>
              </w:rPr>
              <w:t>400 once daily</w:t>
            </w:r>
          </w:p>
        </w:tc>
        <w:tc>
          <w:tcPr>
            <w:tcW w:w="451" w:type="dxa"/>
            <w:vMerge w:val="restart"/>
          </w:tcPr>
          <w:p w:rsidR="001E26BE" w:rsidRPr="008A0A30" w:rsidRDefault="001E26BE" w:rsidP="00B11886">
            <w:pPr>
              <w:spacing w:before="7" w:after="0" w:line="100" w:lineRule="exact"/>
              <w:rPr>
                <w:sz w:val="10"/>
                <w:szCs w:val="10"/>
              </w:rPr>
            </w:pPr>
          </w:p>
          <w:p w:rsidR="001E26BE" w:rsidRPr="008A0A30" w:rsidRDefault="001E26BE" w:rsidP="00B11886">
            <w:pPr>
              <w:spacing w:after="0"/>
              <w:ind w:left="126" w:right="-20"/>
              <w:rPr>
                <w:sz w:val="18"/>
                <w:szCs w:val="18"/>
              </w:rPr>
            </w:pPr>
            <w:r w:rsidRPr="008A0A30">
              <w:rPr>
                <w:spacing w:val="1"/>
                <w:sz w:val="18"/>
                <w:szCs w:val="18"/>
              </w:rPr>
              <w:t>23</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1.23 (1.07,</w:t>
            </w:r>
            <w:r w:rsidRPr="008A0A30">
              <w:rPr>
                <w:spacing w:val="-1"/>
                <w:sz w:val="18"/>
                <w:szCs w:val="18"/>
              </w:rPr>
              <w:t xml:space="preserve"> </w:t>
            </w:r>
            <w:r w:rsidRPr="008A0A30">
              <w:rPr>
                <w:sz w:val="18"/>
                <w:szCs w:val="18"/>
              </w:rPr>
              <w:t>1.42)</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1.37 (1.24, 1.52)</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47"/>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1.29 (1.25, 1.33)</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1.48 (1.43, 1.53)</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1.58 (1.52, 1.65)</w:t>
            </w:r>
          </w:p>
        </w:tc>
      </w:tr>
      <w:tr w:rsidR="001E26BE" w:rsidRPr="008A0A30" w:rsidTr="006E2EAA">
        <w:trPr>
          <w:trHeight w:hRule="exact" w:val="559"/>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9" w:after="0" w:line="206" w:lineRule="exact"/>
              <w:ind w:left="109" w:right="58" w:firstLine="264"/>
              <w:rPr>
                <w:sz w:val="18"/>
                <w:szCs w:val="18"/>
              </w:rPr>
            </w:pPr>
            <w:r w:rsidRPr="008A0A30">
              <w:rPr>
                <w:sz w:val="18"/>
                <w:szCs w:val="18"/>
              </w:rPr>
              <w:t>1.30 (1.17, 1.45)</w:t>
            </w:r>
          </w:p>
        </w:tc>
        <w:tc>
          <w:tcPr>
            <w:tcW w:w="1080" w:type="dxa"/>
          </w:tcPr>
          <w:p w:rsidR="001E26BE" w:rsidRPr="008A0A30" w:rsidRDefault="001E26BE" w:rsidP="00B11886">
            <w:pPr>
              <w:spacing w:before="59" w:after="0" w:line="206" w:lineRule="exact"/>
              <w:ind w:left="112" w:right="58" w:firstLine="262"/>
              <w:rPr>
                <w:sz w:val="18"/>
                <w:szCs w:val="18"/>
              </w:rPr>
            </w:pPr>
            <w:r w:rsidRPr="008A0A30">
              <w:rPr>
                <w:sz w:val="18"/>
                <w:szCs w:val="18"/>
              </w:rPr>
              <w:t>1.50 (1.35, 1.66)</w:t>
            </w:r>
          </w:p>
        </w:tc>
        <w:tc>
          <w:tcPr>
            <w:tcW w:w="1099" w:type="dxa"/>
          </w:tcPr>
          <w:p w:rsidR="001E26BE" w:rsidRPr="008A0A30" w:rsidRDefault="001E26BE" w:rsidP="00B11886">
            <w:pPr>
              <w:spacing w:before="59" w:after="0" w:line="206" w:lineRule="exact"/>
              <w:ind w:left="121" w:right="65" w:firstLine="262"/>
              <w:rPr>
                <w:sz w:val="18"/>
                <w:szCs w:val="18"/>
              </w:rPr>
            </w:pPr>
            <w:r w:rsidRPr="008A0A30">
              <w:rPr>
                <w:sz w:val="18"/>
                <w:szCs w:val="18"/>
              </w:rPr>
              <w:t>1.60 (1.44, 1.78)</w:t>
            </w:r>
          </w:p>
        </w:tc>
      </w:tr>
      <w:tr w:rsidR="001E26BE" w:rsidRPr="008A0A30" w:rsidTr="006E2EAA">
        <w:trPr>
          <w:trHeight w:hRule="exact" w:val="557"/>
        </w:trPr>
        <w:tc>
          <w:tcPr>
            <w:tcW w:w="1279" w:type="dxa"/>
            <w:vMerge w:val="restart"/>
          </w:tcPr>
          <w:p w:rsidR="001E26BE" w:rsidRPr="008A0A30" w:rsidRDefault="001E26BE" w:rsidP="00B11886">
            <w:pPr>
              <w:spacing w:after="0" w:line="206" w:lineRule="exact"/>
              <w:ind w:left="122" w:right="94" w:hanging="2"/>
              <w:jc w:val="center"/>
              <w:rPr>
                <w:sz w:val="12"/>
                <w:szCs w:val="12"/>
              </w:rPr>
            </w:pPr>
            <w:r w:rsidRPr="008A0A30">
              <w:rPr>
                <w:sz w:val="18"/>
                <w:szCs w:val="18"/>
              </w:rPr>
              <w:t xml:space="preserve">Elvitegravir/ cobicistat/ </w:t>
            </w:r>
            <w:r w:rsidRPr="008A0A30">
              <w:rPr>
                <w:spacing w:val="2"/>
                <w:sz w:val="18"/>
                <w:szCs w:val="18"/>
              </w:rPr>
              <w:lastRenderedPageBreak/>
              <w:t>e</w:t>
            </w:r>
            <w:r w:rsidRPr="008A0A30">
              <w:rPr>
                <w:spacing w:val="-3"/>
                <w:sz w:val="18"/>
                <w:szCs w:val="18"/>
              </w:rPr>
              <w:t>m</w:t>
            </w:r>
            <w:r w:rsidRPr="008A0A30">
              <w:rPr>
                <w:sz w:val="18"/>
                <w:szCs w:val="18"/>
              </w:rPr>
              <w:t>tricitabine/ tenofovir D</w:t>
            </w:r>
            <w:r w:rsidRPr="008A0A30">
              <w:rPr>
                <w:spacing w:val="1"/>
                <w:sz w:val="18"/>
                <w:szCs w:val="18"/>
              </w:rPr>
              <w:t>F</w:t>
            </w:r>
            <w:r w:rsidRPr="008A0A30">
              <w:rPr>
                <w:position w:val="8"/>
                <w:sz w:val="12"/>
                <w:szCs w:val="12"/>
              </w:rPr>
              <w:t>d</w:t>
            </w:r>
          </w:p>
        </w:tc>
        <w:tc>
          <w:tcPr>
            <w:tcW w:w="1319" w:type="dxa"/>
            <w:vMerge w:val="restart"/>
          </w:tcPr>
          <w:p w:rsidR="001E26BE" w:rsidRPr="008A0A30" w:rsidRDefault="001E26BE" w:rsidP="00B11886">
            <w:pPr>
              <w:spacing w:after="0"/>
              <w:ind w:left="107" w:right="87"/>
              <w:jc w:val="center"/>
              <w:rPr>
                <w:sz w:val="18"/>
                <w:szCs w:val="18"/>
              </w:rPr>
            </w:pPr>
            <w:r w:rsidRPr="008A0A30">
              <w:rPr>
                <w:sz w:val="18"/>
                <w:szCs w:val="18"/>
              </w:rPr>
              <w:lastRenderedPageBreak/>
              <w:t>150/150/200/</w:t>
            </w:r>
          </w:p>
          <w:p w:rsidR="001E26BE" w:rsidRPr="008A0A30" w:rsidRDefault="001E26BE" w:rsidP="00B11886">
            <w:pPr>
              <w:spacing w:before="2" w:after="0" w:line="206" w:lineRule="exact"/>
              <w:ind w:left="279" w:right="259"/>
              <w:jc w:val="center"/>
              <w:rPr>
                <w:sz w:val="18"/>
                <w:szCs w:val="18"/>
              </w:rPr>
            </w:pPr>
            <w:r w:rsidRPr="008A0A30">
              <w:rPr>
                <w:sz w:val="18"/>
                <w:szCs w:val="18"/>
              </w:rPr>
              <w:t xml:space="preserve">300 once </w:t>
            </w:r>
            <w:r w:rsidRPr="008A0A30">
              <w:rPr>
                <w:sz w:val="18"/>
                <w:szCs w:val="18"/>
              </w:rPr>
              <w:lastRenderedPageBreak/>
              <w:t>daily</w:t>
            </w:r>
          </w:p>
        </w:tc>
        <w:tc>
          <w:tcPr>
            <w:tcW w:w="1169" w:type="dxa"/>
            <w:vMerge w:val="restart"/>
          </w:tcPr>
          <w:p w:rsidR="001E26BE" w:rsidRPr="008A0A30" w:rsidRDefault="001E26BE" w:rsidP="00D541A1">
            <w:pPr>
              <w:spacing w:after="0" w:line="206" w:lineRule="exact"/>
              <w:ind w:left="395" w:right="198" w:hanging="146"/>
              <w:jc w:val="center"/>
              <w:rPr>
                <w:sz w:val="18"/>
                <w:szCs w:val="18"/>
              </w:rPr>
            </w:pPr>
            <w:r w:rsidRPr="008A0A30">
              <w:rPr>
                <w:sz w:val="18"/>
                <w:szCs w:val="18"/>
              </w:rPr>
              <w:lastRenderedPageBreak/>
              <w:t>100 once daily</w:t>
            </w:r>
          </w:p>
        </w:tc>
        <w:tc>
          <w:tcPr>
            <w:tcW w:w="1080" w:type="dxa"/>
            <w:vMerge w:val="restart"/>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24</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1.01 (0.85, 1.19)</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1.24 (1.13, 1.37)</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47"/>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before="7" w:after="0" w:line="150" w:lineRule="exact"/>
              <w:rPr>
                <w:sz w:val="15"/>
                <w:szCs w:val="15"/>
              </w:rPr>
            </w:pPr>
          </w:p>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1.13 (1.07, 1.18)</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1.35 (1.30, 1.40)</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1.45 (1.38, 1.52)</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9" w:after="0" w:line="206" w:lineRule="exact"/>
              <w:ind w:left="109" w:right="58" w:firstLine="264"/>
              <w:rPr>
                <w:sz w:val="18"/>
                <w:szCs w:val="18"/>
              </w:rPr>
            </w:pPr>
            <w:r w:rsidRPr="008A0A30">
              <w:rPr>
                <w:sz w:val="18"/>
                <w:szCs w:val="18"/>
              </w:rPr>
              <w:t>1.05 (0.93, 1.19)</w:t>
            </w:r>
          </w:p>
        </w:tc>
        <w:tc>
          <w:tcPr>
            <w:tcW w:w="1080" w:type="dxa"/>
          </w:tcPr>
          <w:p w:rsidR="001E26BE" w:rsidRPr="008A0A30" w:rsidRDefault="001E26BE" w:rsidP="00B11886">
            <w:pPr>
              <w:spacing w:before="59" w:after="0" w:line="206" w:lineRule="exact"/>
              <w:ind w:left="112" w:right="58" w:firstLine="262"/>
              <w:rPr>
                <w:sz w:val="18"/>
                <w:szCs w:val="18"/>
              </w:rPr>
            </w:pPr>
            <w:r w:rsidRPr="008A0A30">
              <w:rPr>
                <w:sz w:val="18"/>
                <w:szCs w:val="18"/>
              </w:rPr>
              <w:t>1.19 (1.07, 1.34)</w:t>
            </w:r>
          </w:p>
        </w:tc>
        <w:tc>
          <w:tcPr>
            <w:tcW w:w="1099" w:type="dxa"/>
          </w:tcPr>
          <w:p w:rsidR="001E26BE" w:rsidRDefault="001E26BE" w:rsidP="00B11886">
            <w:pPr>
              <w:spacing w:before="59" w:after="0" w:line="206" w:lineRule="exact"/>
              <w:ind w:left="121" w:right="65" w:firstLine="262"/>
              <w:rPr>
                <w:sz w:val="18"/>
                <w:szCs w:val="18"/>
              </w:rPr>
            </w:pPr>
            <w:r w:rsidRPr="008A0A30">
              <w:rPr>
                <w:sz w:val="18"/>
                <w:szCs w:val="18"/>
              </w:rPr>
              <w:t>1.37 (1.22, 1.54)</w:t>
            </w:r>
          </w:p>
          <w:p w:rsidR="009B63B7" w:rsidRPr="008A0A30" w:rsidRDefault="009B63B7" w:rsidP="00B11886">
            <w:pPr>
              <w:spacing w:before="59" w:after="0" w:line="206" w:lineRule="exact"/>
              <w:ind w:left="121" w:right="65" w:firstLine="262"/>
              <w:rPr>
                <w:sz w:val="18"/>
                <w:szCs w:val="18"/>
              </w:rPr>
            </w:pPr>
          </w:p>
        </w:tc>
      </w:tr>
      <w:tr w:rsidR="001E26BE" w:rsidRPr="008A0A30" w:rsidTr="009B63B7">
        <w:trPr>
          <w:trHeight w:hRule="exact" w:val="718"/>
        </w:trPr>
        <w:tc>
          <w:tcPr>
            <w:tcW w:w="1279" w:type="dxa"/>
            <w:vMerge w:val="restart"/>
          </w:tcPr>
          <w:p w:rsidR="001E26BE" w:rsidRPr="008A0A30" w:rsidRDefault="001E26BE" w:rsidP="00B11886">
            <w:pPr>
              <w:spacing w:after="0" w:line="206" w:lineRule="exact"/>
              <w:ind w:left="107" w:right="79"/>
              <w:jc w:val="center"/>
              <w:rPr>
                <w:sz w:val="12"/>
                <w:szCs w:val="12"/>
              </w:rPr>
            </w:pPr>
            <w:r w:rsidRPr="008A0A30">
              <w:rPr>
                <w:sz w:val="18"/>
                <w:szCs w:val="18"/>
              </w:rPr>
              <w:t>Emtricitabine/ rilpivirine/ tenofovir D</w:t>
            </w:r>
            <w:r w:rsidRPr="008A0A30">
              <w:rPr>
                <w:spacing w:val="1"/>
                <w:sz w:val="18"/>
                <w:szCs w:val="18"/>
              </w:rPr>
              <w:t>F</w:t>
            </w:r>
            <w:r w:rsidRPr="008A0A30">
              <w:rPr>
                <w:position w:val="8"/>
                <w:sz w:val="12"/>
                <w:szCs w:val="12"/>
              </w:rPr>
              <w:t>e</w:t>
            </w:r>
          </w:p>
        </w:tc>
        <w:tc>
          <w:tcPr>
            <w:tcW w:w="1319" w:type="dxa"/>
            <w:vMerge w:val="restart"/>
          </w:tcPr>
          <w:p w:rsidR="001E26BE" w:rsidRPr="008A0A30" w:rsidRDefault="001E26BE" w:rsidP="00B11886">
            <w:pPr>
              <w:spacing w:after="0" w:line="206" w:lineRule="exact"/>
              <w:ind w:left="249" w:right="162" w:hanging="38"/>
              <w:rPr>
                <w:sz w:val="18"/>
                <w:szCs w:val="18"/>
              </w:rPr>
            </w:pPr>
            <w:r w:rsidRPr="008A0A30">
              <w:rPr>
                <w:sz w:val="18"/>
                <w:szCs w:val="18"/>
              </w:rPr>
              <w:t>200/25/300 once</w:t>
            </w:r>
            <w:r w:rsidRPr="008A0A30">
              <w:rPr>
                <w:spacing w:val="1"/>
                <w:sz w:val="18"/>
                <w:szCs w:val="18"/>
              </w:rPr>
              <w:t xml:space="preserve"> </w:t>
            </w:r>
            <w:r w:rsidRPr="008A0A30">
              <w:rPr>
                <w:sz w:val="18"/>
                <w:szCs w:val="18"/>
              </w:rPr>
              <w:t>daily</w:t>
            </w:r>
          </w:p>
        </w:tc>
        <w:tc>
          <w:tcPr>
            <w:tcW w:w="1169" w:type="dxa"/>
            <w:vMerge w:val="restart"/>
          </w:tcPr>
          <w:p w:rsidR="001E26BE" w:rsidRPr="008A0A30" w:rsidRDefault="001E26BE" w:rsidP="00D541A1">
            <w:pPr>
              <w:spacing w:after="0" w:line="206" w:lineRule="exact"/>
              <w:ind w:left="395" w:right="198" w:hanging="146"/>
              <w:jc w:val="center"/>
              <w:rPr>
                <w:sz w:val="18"/>
                <w:szCs w:val="18"/>
              </w:rPr>
            </w:pPr>
            <w:r w:rsidRPr="008A0A30">
              <w:rPr>
                <w:sz w:val="18"/>
                <w:szCs w:val="18"/>
              </w:rPr>
              <w:t>100 once daily</w:t>
            </w:r>
          </w:p>
        </w:tc>
        <w:tc>
          <w:tcPr>
            <w:tcW w:w="1080" w:type="dxa"/>
            <w:vMerge w:val="restart"/>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451" w:type="dxa"/>
            <w:vMerge w:val="restart"/>
          </w:tcPr>
          <w:p w:rsidR="001549BC" w:rsidRDefault="001E26BE" w:rsidP="00003AC8">
            <w:pPr>
              <w:spacing w:after="0"/>
              <w:ind w:left="126" w:right="-20"/>
              <w:rPr>
                <w:spacing w:val="1"/>
                <w:sz w:val="18"/>
                <w:szCs w:val="18"/>
              </w:rPr>
            </w:pPr>
            <w:r w:rsidRPr="008A0A30">
              <w:rPr>
                <w:spacing w:val="1"/>
                <w:sz w:val="18"/>
                <w:szCs w:val="18"/>
              </w:rPr>
              <w:t>24</w:t>
            </w:r>
          </w:p>
          <w:p w:rsidR="001549BC" w:rsidRPr="008A0A30" w:rsidRDefault="001549BC" w:rsidP="00B11886">
            <w:pPr>
              <w:spacing w:after="0"/>
              <w:ind w:left="126" w:right="-20"/>
              <w:rPr>
                <w:sz w:val="18"/>
                <w:szCs w:val="18"/>
              </w:rPr>
            </w:pP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4" w:after="0" w:line="242" w:lineRule="auto"/>
              <w:ind w:left="109" w:right="58" w:firstLine="264"/>
              <w:rPr>
                <w:sz w:val="18"/>
                <w:szCs w:val="18"/>
              </w:rPr>
            </w:pPr>
            <w:r w:rsidRPr="008A0A30">
              <w:rPr>
                <w:sz w:val="18"/>
                <w:szCs w:val="18"/>
              </w:rPr>
              <w:t>1.09 (0.95, 1.25)</w:t>
            </w:r>
          </w:p>
        </w:tc>
        <w:tc>
          <w:tcPr>
            <w:tcW w:w="1080" w:type="dxa"/>
          </w:tcPr>
          <w:p w:rsidR="001E26BE" w:rsidRPr="008A0A30" w:rsidRDefault="001E26BE" w:rsidP="00B11886">
            <w:pPr>
              <w:spacing w:before="54" w:after="0" w:line="242" w:lineRule="auto"/>
              <w:ind w:left="112" w:right="58" w:firstLine="262"/>
              <w:rPr>
                <w:sz w:val="18"/>
                <w:szCs w:val="18"/>
              </w:rPr>
            </w:pPr>
            <w:r w:rsidRPr="008A0A30">
              <w:rPr>
                <w:sz w:val="18"/>
                <w:szCs w:val="18"/>
              </w:rPr>
              <w:t>1.16 (1.09, 1.24)</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0.96 (0.90, 1.01)</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1.04 (1.00, 1.07)</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1.12 (1.07, 1.17)</w:t>
            </w:r>
          </w:p>
        </w:tc>
      </w:tr>
      <w:tr w:rsidR="001E26BE" w:rsidRPr="008A0A30" w:rsidTr="009B63B7">
        <w:trPr>
          <w:trHeight w:hRule="exact" w:val="583"/>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549BC" w:rsidRPr="008A0A30" w:rsidRDefault="001E26BE" w:rsidP="009B63B7">
            <w:pPr>
              <w:spacing w:before="57" w:after="0" w:line="206" w:lineRule="exact"/>
              <w:ind w:left="109" w:right="58" w:firstLine="264"/>
              <w:rPr>
                <w:sz w:val="18"/>
                <w:szCs w:val="18"/>
              </w:rPr>
            </w:pPr>
            <w:r w:rsidRPr="008A0A30">
              <w:rPr>
                <w:sz w:val="18"/>
                <w:szCs w:val="18"/>
              </w:rPr>
              <w:t>0.96 (0.85, 1.10)</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0.99 (0.88, 1.11)</w:t>
            </w:r>
          </w:p>
        </w:tc>
        <w:tc>
          <w:tcPr>
            <w:tcW w:w="1099" w:type="dxa"/>
          </w:tcPr>
          <w:p w:rsidR="001549BC" w:rsidRDefault="001E26BE" w:rsidP="009B63B7">
            <w:pPr>
              <w:spacing w:before="57" w:after="0" w:line="206" w:lineRule="exact"/>
              <w:ind w:left="121" w:right="65" w:firstLine="262"/>
              <w:rPr>
                <w:sz w:val="18"/>
                <w:szCs w:val="18"/>
              </w:rPr>
            </w:pPr>
            <w:r w:rsidRPr="008A0A30">
              <w:rPr>
                <w:sz w:val="18"/>
                <w:szCs w:val="18"/>
              </w:rPr>
              <w:t>1.02 (0.91, 1.15)</w:t>
            </w:r>
          </w:p>
          <w:p w:rsidR="001549BC" w:rsidRPr="008A0A30" w:rsidRDefault="001549BC" w:rsidP="00B11886">
            <w:pPr>
              <w:spacing w:before="57" w:after="0" w:line="206" w:lineRule="exact"/>
              <w:ind w:left="121" w:right="65" w:firstLine="262"/>
              <w:rPr>
                <w:sz w:val="18"/>
                <w:szCs w:val="18"/>
              </w:rPr>
            </w:pPr>
          </w:p>
        </w:tc>
      </w:tr>
      <w:tr w:rsidR="001E26BE" w:rsidRPr="008A0A30" w:rsidTr="006E2EAA">
        <w:trPr>
          <w:trHeight w:hRule="exact" w:val="550"/>
        </w:trPr>
        <w:tc>
          <w:tcPr>
            <w:tcW w:w="1279" w:type="dxa"/>
            <w:vMerge w:val="restart"/>
          </w:tcPr>
          <w:p w:rsidR="001E26BE" w:rsidRPr="008A0A30" w:rsidRDefault="001E26BE" w:rsidP="00B11886">
            <w:pPr>
              <w:spacing w:after="0"/>
              <w:ind w:left="228" w:right="-20"/>
              <w:rPr>
                <w:sz w:val="18"/>
                <w:szCs w:val="18"/>
              </w:rPr>
            </w:pPr>
            <w:r w:rsidRPr="008A0A30">
              <w:rPr>
                <w:sz w:val="18"/>
                <w:szCs w:val="18"/>
              </w:rPr>
              <w:t>Famotidine</w:t>
            </w:r>
          </w:p>
        </w:tc>
        <w:tc>
          <w:tcPr>
            <w:tcW w:w="1319" w:type="dxa"/>
            <w:vMerge w:val="restart"/>
          </w:tcPr>
          <w:p w:rsidR="001E26BE" w:rsidRPr="008A0A30" w:rsidRDefault="006E2EAA" w:rsidP="006E2EAA">
            <w:pPr>
              <w:spacing w:after="0"/>
              <w:ind w:left="89" w:right="72"/>
              <w:jc w:val="center"/>
              <w:rPr>
                <w:sz w:val="18"/>
                <w:szCs w:val="18"/>
              </w:rPr>
            </w:pPr>
            <w:r w:rsidRPr="008A0A30">
              <w:rPr>
                <w:sz w:val="18"/>
                <w:szCs w:val="18"/>
              </w:rPr>
              <w:t>40 single dose simultaneousl</w:t>
            </w:r>
            <w:r w:rsidR="001E26BE" w:rsidRPr="008A0A30">
              <w:rPr>
                <w:sz w:val="18"/>
                <w:szCs w:val="18"/>
              </w:rPr>
              <w:t>y</w:t>
            </w:r>
            <w:r w:rsidR="001E26BE" w:rsidRPr="008A0A30">
              <w:rPr>
                <w:spacing w:val="-1"/>
                <w:sz w:val="18"/>
                <w:szCs w:val="18"/>
              </w:rPr>
              <w:t xml:space="preserve"> </w:t>
            </w:r>
            <w:r w:rsidRPr="008A0A30">
              <w:rPr>
                <w:sz w:val="18"/>
                <w:szCs w:val="18"/>
              </w:rPr>
              <w:t xml:space="preserve">with </w:t>
            </w:r>
            <w:r w:rsidR="00C3685A">
              <w:rPr>
                <w:sz w:val="18"/>
                <w:szCs w:val="18"/>
              </w:rPr>
              <w:t>EPCLUSA</w:t>
            </w:r>
          </w:p>
        </w:tc>
        <w:tc>
          <w:tcPr>
            <w:tcW w:w="1169" w:type="dxa"/>
            <w:vMerge w:val="restart"/>
          </w:tcPr>
          <w:p w:rsidR="001E26BE" w:rsidRPr="008A0A30" w:rsidRDefault="00243CE5" w:rsidP="00D541A1">
            <w:pPr>
              <w:spacing w:after="0" w:line="242" w:lineRule="auto"/>
              <w:ind w:left="412" w:right="152" w:hanging="209"/>
              <w:jc w:val="center"/>
              <w:rPr>
                <w:sz w:val="18"/>
                <w:szCs w:val="18"/>
              </w:rPr>
            </w:pPr>
            <w:r w:rsidRPr="008A0A30">
              <w:rPr>
                <w:sz w:val="18"/>
                <w:szCs w:val="18"/>
              </w:rPr>
              <w:t xml:space="preserve">100 </w:t>
            </w:r>
            <w:r w:rsidR="001E26BE" w:rsidRPr="008A0A30">
              <w:rPr>
                <w:sz w:val="18"/>
                <w:szCs w:val="18"/>
              </w:rPr>
              <w:t xml:space="preserve">single </w:t>
            </w:r>
            <w:r w:rsidR="001E26BE" w:rsidRPr="008A0A30">
              <w:rPr>
                <w:spacing w:val="1"/>
                <w:sz w:val="18"/>
                <w:szCs w:val="18"/>
              </w:rPr>
              <w:t>dose</w:t>
            </w:r>
          </w:p>
        </w:tc>
        <w:tc>
          <w:tcPr>
            <w:tcW w:w="1080" w:type="dxa"/>
            <w:vMerge w:val="restart"/>
          </w:tcPr>
          <w:p w:rsidR="001E26BE" w:rsidRPr="008A0A30" w:rsidRDefault="00243CE5" w:rsidP="00D541A1">
            <w:pPr>
              <w:spacing w:after="0" w:line="242" w:lineRule="auto"/>
              <w:ind w:left="366" w:right="109" w:hanging="209"/>
              <w:jc w:val="center"/>
              <w:rPr>
                <w:sz w:val="18"/>
                <w:szCs w:val="18"/>
              </w:rPr>
            </w:pPr>
            <w:r w:rsidRPr="008A0A30">
              <w:rPr>
                <w:sz w:val="18"/>
                <w:szCs w:val="18"/>
              </w:rPr>
              <w:t xml:space="preserve">400 </w:t>
            </w:r>
            <w:r w:rsidR="001E26BE" w:rsidRPr="008A0A30">
              <w:rPr>
                <w:sz w:val="18"/>
                <w:szCs w:val="18"/>
              </w:rPr>
              <w:t xml:space="preserve">single </w:t>
            </w:r>
            <w:r w:rsidR="001E26BE" w:rsidRPr="008A0A30">
              <w:rPr>
                <w:spacing w:val="1"/>
                <w:sz w:val="18"/>
                <w:szCs w:val="18"/>
              </w:rPr>
              <w:t>dose</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60</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9" w:after="0" w:line="206" w:lineRule="exact"/>
              <w:ind w:left="109" w:right="58" w:firstLine="264"/>
              <w:rPr>
                <w:sz w:val="18"/>
                <w:szCs w:val="18"/>
              </w:rPr>
            </w:pPr>
            <w:r w:rsidRPr="008A0A30">
              <w:rPr>
                <w:sz w:val="18"/>
                <w:szCs w:val="18"/>
              </w:rPr>
              <w:t>0.92 (0.82, 1.05)</w:t>
            </w:r>
          </w:p>
        </w:tc>
        <w:tc>
          <w:tcPr>
            <w:tcW w:w="1080" w:type="dxa"/>
          </w:tcPr>
          <w:p w:rsidR="001E26BE" w:rsidRPr="008A0A30" w:rsidRDefault="001E26BE" w:rsidP="00B11886">
            <w:pPr>
              <w:spacing w:before="59" w:after="0" w:line="206" w:lineRule="exact"/>
              <w:ind w:left="112" w:right="58" w:firstLine="262"/>
              <w:rPr>
                <w:sz w:val="18"/>
                <w:szCs w:val="18"/>
              </w:rPr>
            </w:pPr>
            <w:r w:rsidRPr="008A0A30">
              <w:rPr>
                <w:sz w:val="18"/>
                <w:szCs w:val="18"/>
              </w:rPr>
              <w:t>0.82 (0.74, 0.91)</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0.84 (0.78, 0.89)</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0.94 (0.91, 0.98)</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47"/>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0.80 (0.70, 0.91)</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0.81 (0.71, 0.91)</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val="restart"/>
          </w:tcPr>
          <w:p w:rsidR="001E26BE" w:rsidRPr="008A0A30" w:rsidRDefault="001E26BE" w:rsidP="00B11886">
            <w:pPr>
              <w:spacing w:after="0"/>
              <w:ind w:left="71" w:right="54"/>
              <w:jc w:val="center"/>
              <w:rPr>
                <w:sz w:val="18"/>
                <w:szCs w:val="18"/>
              </w:rPr>
            </w:pPr>
            <w:r w:rsidRPr="008A0A30">
              <w:rPr>
                <w:sz w:val="18"/>
                <w:szCs w:val="18"/>
              </w:rPr>
              <w:t>40 single dose</w:t>
            </w:r>
          </w:p>
          <w:p w:rsidR="001E26BE" w:rsidRPr="008A0A30" w:rsidRDefault="001E26BE" w:rsidP="00243CE5">
            <w:pPr>
              <w:spacing w:before="1" w:after="0" w:line="208" w:lineRule="exact"/>
              <w:ind w:left="94" w:right="77"/>
              <w:jc w:val="center"/>
              <w:rPr>
                <w:sz w:val="18"/>
                <w:szCs w:val="18"/>
              </w:rPr>
            </w:pPr>
            <w:r w:rsidRPr="008A0A30">
              <w:rPr>
                <w:sz w:val="18"/>
                <w:szCs w:val="18"/>
              </w:rPr>
              <w:t xml:space="preserve">12 hours prior </w:t>
            </w:r>
            <w:r w:rsidRPr="008A0A30">
              <w:rPr>
                <w:spacing w:val="1"/>
                <w:sz w:val="18"/>
                <w:szCs w:val="18"/>
              </w:rPr>
              <w:t>to</w:t>
            </w:r>
            <w:r w:rsidR="00243CE5" w:rsidRPr="008A0A30">
              <w:rPr>
                <w:spacing w:val="1"/>
                <w:sz w:val="18"/>
                <w:szCs w:val="18"/>
              </w:rPr>
              <w:t xml:space="preserve"> </w:t>
            </w:r>
            <w:r w:rsidR="00C3685A">
              <w:rPr>
                <w:sz w:val="18"/>
                <w:szCs w:val="18"/>
              </w:rPr>
              <w:t>EPCLUSA</w:t>
            </w:r>
          </w:p>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val="restart"/>
          </w:tcPr>
          <w:p w:rsidR="001E26BE" w:rsidRPr="008A0A30" w:rsidRDefault="001E26BE" w:rsidP="00B11886">
            <w:pPr>
              <w:spacing w:before="9" w:after="0" w:line="100" w:lineRule="exact"/>
              <w:rPr>
                <w:sz w:val="10"/>
                <w:szCs w:val="10"/>
              </w:rPr>
            </w:pPr>
          </w:p>
          <w:p w:rsidR="001E26BE" w:rsidRPr="008A0A30" w:rsidRDefault="001E26BE" w:rsidP="00B11886">
            <w:pPr>
              <w:spacing w:after="0"/>
              <w:ind w:left="126" w:right="-20"/>
              <w:rPr>
                <w:sz w:val="18"/>
                <w:szCs w:val="18"/>
              </w:rPr>
            </w:pPr>
            <w:r w:rsidRPr="008A0A30">
              <w:rPr>
                <w:spacing w:val="1"/>
                <w:sz w:val="18"/>
                <w:szCs w:val="18"/>
              </w:rPr>
              <w:t>60</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9" w:after="0" w:line="206" w:lineRule="exact"/>
              <w:ind w:left="109" w:right="58" w:firstLine="264"/>
              <w:rPr>
                <w:sz w:val="18"/>
                <w:szCs w:val="18"/>
              </w:rPr>
            </w:pPr>
            <w:r w:rsidRPr="008A0A30">
              <w:rPr>
                <w:sz w:val="18"/>
                <w:szCs w:val="18"/>
              </w:rPr>
              <w:t>0.77 (0.68, 0.87)</w:t>
            </w:r>
          </w:p>
        </w:tc>
        <w:tc>
          <w:tcPr>
            <w:tcW w:w="1080" w:type="dxa"/>
          </w:tcPr>
          <w:p w:rsidR="001E26BE" w:rsidRPr="008A0A30" w:rsidRDefault="001E26BE" w:rsidP="00B11886">
            <w:pPr>
              <w:spacing w:before="59" w:after="0" w:line="206" w:lineRule="exact"/>
              <w:ind w:left="112" w:right="58" w:firstLine="262"/>
              <w:rPr>
                <w:sz w:val="18"/>
                <w:szCs w:val="18"/>
              </w:rPr>
            </w:pPr>
            <w:r w:rsidRPr="008A0A30">
              <w:rPr>
                <w:sz w:val="18"/>
                <w:szCs w:val="18"/>
              </w:rPr>
              <w:t>0.80 (0.73, 0.88)</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4" w:after="0" w:line="242" w:lineRule="auto"/>
              <w:ind w:left="109" w:right="58" w:firstLine="264"/>
              <w:rPr>
                <w:sz w:val="18"/>
                <w:szCs w:val="18"/>
              </w:rPr>
            </w:pPr>
            <w:r w:rsidRPr="008A0A30">
              <w:rPr>
                <w:sz w:val="18"/>
                <w:szCs w:val="18"/>
              </w:rPr>
              <w:t>1.20 (1.13, 1.28)</w:t>
            </w:r>
          </w:p>
        </w:tc>
        <w:tc>
          <w:tcPr>
            <w:tcW w:w="1080" w:type="dxa"/>
          </w:tcPr>
          <w:p w:rsidR="001E26BE" w:rsidRPr="008A0A30" w:rsidRDefault="001E26BE" w:rsidP="00B11886">
            <w:pPr>
              <w:spacing w:before="54" w:after="0" w:line="242" w:lineRule="auto"/>
              <w:ind w:left="112" w:right="58" w:firstLine="262"/>
              <w:rPr>
                <w:sz w:val="18"/>
                <w:szCs w:val="18"/>
              </w:rPr>
            </w:pPr>
            <w:r w:rsidRPr="008A0A30">
              <w:rPr>
                <w:sz w:val="18"/>
                <w:szCs w:val="18"/>
              </w:rPr>
              <w:t>1.04 (1.01, 1.08)</w:t>
            </w:r>
          </w:p>
        </w:tc>
        <w:tc>
          <w:tcPr>
            <w:tcW w:w="1099" w:type="dxa"/>
          </w:tcPr>
          <w:p w:rsidR="001E26BE" w:rsidRPr="008A0A30" w:rsidRDefault="001E26BE" w:rsidP="00B11886">
            <w:pPr>
              <w:spacing w:after="0"/>
              <w:ind w:left="370"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0.87 (0.76, 1.00)</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0.85 (0.74, 0.97)</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47"/>
        </w:trPr>
        <w:tc>
          <w:tcPr>
            <w:tcW w:w="1279" w:type="dxa"/>
          </w:tcPr>
          <w:p w:rsidR="001E26BE" w:rsidRPr="008A0A30" w:rsidRDefault="001E26BE" w:rsidP="00B11886">
            <w:pPr>
              <w:spacing w:after="0"/>
              <w:ind w:left="144" w:right="-20"/>
              <w:rPr>
                <w:sz w:val="18"/>
                <w:szCs w:val="18"/>
              </w:rPr>
            </w:pPr>
            <w:r w:rsidRPr="008A0A30">
              <w:rPr>
                <w:sz w:val="18"/>
                <w:szCs w:val="18"/>
              </w:rPr>
              <w:t>Ketoconazole</w:t>
            </w:r>
          </w:p>
        </w:tc>
        <w:tc>
          <w:tcPr>
            <w:tcW w:w="1319" w:type="dxa"/>
          </w:tcPr>
          <w:p w:rsidR="001E26BE" w:rsidRPr="008A0A30" w:rsidRDefault="001E26BE" w:rsidP="00B11886">
            <w:pPr>
              <w:spacing w:before="57" w:after="0" w:line="206" w:lineRule="exact"/>
              <w:ind w:left="441" w:right="219" w:hanging="170"/>
              <w:rPr>
                <w:sz w:val="18"/>
                <w:szCs w:val="18"/>
              </w:rPr>
            </w:pPr>
            <w:r w:rsidRPr="008A0A30">
              <w:rPr>
                <w:sz w:val="18"/>
                <w:szCs w:val="18"/>
              </w:rPr>
              <w:t>200</w:t>
            </w:r>
            <w:r w:rsidRPr="008A0A30">
              <w:rPr>
                <w:spacing w:val="1"/>
                <w:sz w:val="18"/>
                <w:szCs w:val="18"/>
              </w:rPr>
              <w:t xml:space="preserve"> </w:t>
            </w:r>
            <w:r w:rsidRPr="008A0A30">
              <w:rPr>
                <w:spacing w:val="-1"/>
                <w:sz w:val="18"/>
                <w:szCs w:val="18"/>
              </w:rPr>
              <w:t xml:space="preserve">twice </w:t>
            </w:r>
            <w:r w:rsidRPr="008A0A30">
              <w:rPr>
                <w:sz w:val="18"/>
                <w:szCs w:val="18"/>
              </w:rPr>
              <w:t>daily</w:t>
            </w:r>
          </w:p>
        </w:tc>
        <w:tc>
          <w:tcPr>
            <w:tcW w:w="1169" w:type="dxa"/>
          </w:tcPr>
          <w:p w:rsidR="001E26BE" w:rsidRPr="008A0A30" w:rsidRDefault="001E26BE" w:rsidP="00B11886">
            <w:pPr>
              <w:spacing w:before="57" w:after="0" w:line="206" w:lineRule="exact"/>
              <w:ind w:left="412" w:right="152" w:hanging="209"/>
              <w:rPr>
                <w:sz w:val="18"/>
                <w:szCs w:val="18"/>
              </w:rPr>
            </w:pPr>
            <w:r w:rsidRPr="008A0A30">
              <w:rPr>
                <w:sz w:val="18"/>
                <w:szCs w:val="18"/>
              </w:rPr>
              <w:t xml:space="preserve">100 single </w:t>
            </w:r>
            <w:r w:rsidRPr="008A0A30">
              <w:rPr>
                <w:spacing w:val="1"/>
                <w:sz w:val="18"/>
                <w:szCs w:val="18"/>
              </w:rPr>
              <w:t>dose</w:t>
            </w:r>
          </w:p>
        </w:tc>
        <w:tc>
          <w:tcPr>
            <w:tcW w:w="1080" w:type="dxa"/>
          </w:tcPr>
          <w:p w:rsidR="001E26BE" w:rsidRPr="008A0A30" w:rsidRDefault="001E26BE" w:rsidP="00B11886">
            <w:pPr>
              <w:spacing w:after="0"/>
              <w:ind w:left="369" w:right="349"/>
              <w:jc w:val="center"/>
              <w:rPr>
                <w:sz w:val="18"/>
                <w:szCs w:val="18"/>
              </w:rPr>
            </w:pPr>
            <w:r w:rsidRPr="008A0A30">
              <w:rPr>
                <w:sz w:val="18"/>
                <w:szCs w:val="18"/>
              </w:rPr>
              <w:t>ND</w:t>
            </w:r>
          </w:p>
        </w:tc>
        <w:tc>
          <w:tcPr>
            <w:tcW w:w="451" w:type="dxa"/>
          </w:tcPr>
          <w:p w:rsidR="001E26BE" w:rsidRPr="008A0A30" w:rsidRDefault="001E26BE" w:rsidP="00B11886">
            <w:pPr>
              <w:spacing w:after="0"/>
              <w:ind w:left="126" w:right="-20"/>
              <w:rPr>
                <w:sz w:val="18"/>
                <w:szCs w:val="18"/>
              </w:rPr>
            </w:pPr>
            <w:r w:rsidRPr="008A0A30">
              <w:rPr>
                <w:spacing w:val="1"/>
                <w:sz w:val="18"/>
                <w:szCs w:val="18"/>
              </w:rPr>
              <w:t>12</w:t>
            </w:r>
          </w:p>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1.29 (1.02, 1.64)</w:t>
            </w:r>
          </w:p>
        </w:tc>
        <w:tc>
          <w:tcPr>
            <w:tcW w:w="1080" w:type="dxa"/>
          </w:tcPr>
          <w:p w:rsidR="001E26BE" w:rsidRPr="008A0A30" w:rsidRDefault="001E26BE" w:rsidP="00B11886">
            <w:pPr>
              <w:spacing w:before="57" w:after="0" w:line="206" w:lineRule="exact"/>
              <w:ind w:left="112" w:right="47" w:firstLine="262"/>
              <w:rPr>
                <w:sz w:val="18"/>
                <w:szCs w:val="18"/>
              </w:rPr>
            </w:pPr>
            <w:r w:rsidRPr="008A0A30">
              <w:rPr>
                <w:sz w:val="18"/>
                <w:szCs w:val="18"/>
              </w:rPr>
              <w:t>1.71 (1.35, 2.18)</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val="restart"/>
          </w:tcPr>
          <w:p w:rsidR="001E26BE" w:rsidRPr="008A0A30" w:rsidRDefault="001E26BE" w:rsidP="00B11886">
            <w:pPr>
              <w:spacing w:after="0"/>
              <w:ind w:left="124" w:right="96"/>
              <w:jc w:val="center"/>
              <w:rPr>
                <w:sz w:val="18"/>
                <w:szCs w:val="18"/>
              </w:rPr>
            </w:pPr>
            <w:r w:rsidRPr="008A0A30">
              <w:rPr>
                <w:sz w:val="18"/>
                <w:szCs w:val="18"/>
              </w:rPr>
              <w:t xml:space="preserve">Lopinavir/ ritonavir + </w:t>
            </w:r>
            <w:r w:rsidRPr="008A0A30">
              <w:rPr>
                <w:spacing w:val="2"/>
                <w:sz w:val="18"/>
                <w:szCs w:val="18"/>
              </w:rPr>
              <w:t>e</w:t>
            </w:r>
            <w:r w:rsidRPr="008A0A30">
              <w:rPr>
                <w:spacing w:val="-3"/>
                <w:sz w:val="18"/>
                <w:szCs w:val="18"/>
              </w:rPr>
              <w:t>m</w:t>
            </w:r>
            <w:r w:rsidRPr="008A0A30">
              <w:rPr>
                <w:sz w:val="18"/>
                <w:szCs w:val="18"/>
              </w:rPr>
              <w:t>tricitabine/ tenofovir DF</w:t>
            </w:r>
          </w:p>
        </w:tc>
        <w:tc>
          <w:tcPr>
            <w:tcW w:w="1319" w:type="dxa"/>
            <w:vMerge w:val="restart"/>
          </w:tcPr>
          <w:p w:rsidR="001E26BE" w:rsidRPr="008A0A30" w:rsidRDefault="001E26BE" w:rsidP="00B11886">
            <w:pPr>
              <w:spacing w:after="0"/>
              <w:ind w:left="121" w:right="101"/>
              <w:jc w:val="center"/>
              <w:rPr>
                <w:sz w:val="18"/>
                <w:szCs w:val="18"/>
              </w:rPr>
            </w:pPr>
            <w:r w:rsidRPr="008A0A30">
              <w:rPr>
                <w:sz w:val="18"/>
                <w:szCs w:val="18"/>
              </w:rPr>
              <w:t>4 x 200/50 +</w:t>
            </w:r>
          </w:p>
          <w:p w:rsidR="001E26BE" w:rsidRPr="008A0A30" w:rsidRDefault="001E26BE" w:rsidP="00B11886">
            <w:pPr>
              <w:spacing w:before="5" w:after="0" w:line="206" w:lineRule="exact"/>
              <w:ind w:left="118" w:right="98"/>
              <w:jc w:val="center"/>
              <w:rPr>
                <w:sz w:val="18"/>
                <w:szCs w:val="18"/>
              </w:rPr>
            </w:pPr>
            <w:r w:rsidRPr="008A0A30">
              <w:rPr>
                <w:sz w:val="18"/>
                <w:szCs w:val="18"/>
              </w:rPr>
              <w:t>200/300 once daily</w:t>
            </w:r>
          </w:p>
        </w:tc>
        <w:tc>
          <w:tcPr>
            <w:tcW w:w="1169" w:type="dxa"/>
            <w:vMerge w:val="restart"/>
          </w:tcPr>
          <w:p w:rsidR="001E26BE" w:rsidRPr="008A0A30" w:rsidRDefault="001E26BE" w:rsidP="00D541A1">
            <w:pPr>
              <w:spacing w:after="0" w:line="242" w:lineRule="auto"/>
              <w:ind w:left="395" w:right="198" w:hanging="146"/>
              <w:jc w:val="center"/>
              <w:rPr>
                <w:sz w:val="18"/>
                <w:szCs w:val="18"/>
              </w:rPr>
            </w:pPr>
            <w:r w:rsidRPr="008A0A30">
              <w:rPr>
                <w:sz w:val="18"/>
                <w:szCs w:val="18"/>
              </w:rPr>
              <w:t>100 once daily</w:t>
            </w:r>
          </w:p>
        </w:tc>
        <w:tc>
          <w:tcPr>
            <w:tcW w:w="1080" w:type="dxa"/>
            <w:vMerge w:val="restart"/>
          </w:tcPr>
          <w:p w:rsidR="001E26BE" w:rsidRPr="008A0A30" w:rsidRDefault="001E26BE" w:rsidP="00D541A1">
            <w:pPr>
              <w:spacing w:after="0" w:line="242" w:lineRule="auto"/>
              <w:ind w:left="352" w:right="154" w:hanging="149"/>
              <w:jc w:val="center"/>
              <w:rPr>
                <w:sz w:val="18"/>
                <w:szCs w:val="18"/>
              </w:rPr>
            </w:pPr>
            <w:r w:rsidRPr="008A0A30">
              <w:rPr>
                <w:sz w:val="18"/>
                <w:szCs w:val="18"/>
              </w:rPr>
              <w:t>400 once daily</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24</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60" w:after="0" w:line="206" w:lineRule="exact"/>
              <w:ind w:left="109" w:right="58" w:firstLine="264"/>
              <w:rPr>
                <w:sz w:val="18"/>
                <w:szCs w:val="18"/>
              </w:rPr>
            </w:pPr>
            <w:r w:rsidRPr="008A0A30">
              <w:rPr>
                <w:sz w:val="18"/>
                <w:szCs w:val="18"/>
              </w:rPr>
              <w:t>0.59 (0.49, 0.71)</w:t>
            </w:r>
          </w:p>
        </w:tc>
        <w:tc>
          <w:tcPr>
            <w:tcW w:w="1080" w:type="dxa"/>
          </w:tcPr>
          <w:p w:rsidR="001E26BE" w:rsidRPr="008A0A30" w:rsidRDefault="001E26BE" w:rsidP="00B11886">
            <w:pPr>
              <w:spacing w:before="60" w:after="0" w:line="206" w:lineRule="exact"/>
              <w:ind w:left="112" w:right="58" w:firstLine="262"/>
              <w:rPr>
                <w:sz w:val="18"/>
                <w:szCs w:val="18"/>
              </w:rPr>
            </w:pPr>
            <w:r w:rsidRPr="008A0A30">
              <w:rPr>
                <w:sz w:val="18"/>
                <w:szCs w:val="18"/>
              </w:rPr>
              <w:t>0.71 (0.64, 0.78)</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4" w:after="0" w:line="242" w:lineRule="auto"/>
              <w:ind w:left="109" w:right="58" w:firstLine="264"/>
              <w:rPr>
                <w:sz w:val="18"/>
                <w:szCs w:val="18"/>
              </w:rPr>
            </w:pPr>
            <w:r w:rsidRPr="008A0A30">
              <w:rPr>
                <w:sz w:val="18"/>
                <w:szCs w:val="18"/>
              </w:rPr>
              <w:t>1.01 (0.98, 1.05)</w:t>
            </w:r>
          </w:p>
        </w:tc>
        <w:tc>
          <w:tcPr>
            <w:tcW w:w="1080" w:type="dxa"/>
          </w:tcPr>
          <w:p w:rsidR="001E26BE" w:rsidRPr="008A0A30" w:rsidRDefault="001E26BE" w:rsidP="00B11886">
            <w:pPr>
              <w:spacing w:before="54" w:after="0" w:line="242" w:lineRule="auto"/>
              <w:ind w:left="112" w:right="58" w:firstLine="262"/>
              <w:rPr>
                <w:sz w:val="18"/>
                <w:szCs w:val="18"/>
              </w:rPr>
            </w:pPr>
            <w:r w:rsidRPr="008A0A30">
              <w:rPr>
                <w:sz w:val="18"/>
                <w:szCs w:val="18"/>
              </w:rPr>
              <w:t>1.15 (1.09, 1.21)</w:t>
            </w:r>
          </w:p>
        </w:tc>
        <w:tc>
          <w:tcPr>
            <w:tcW w:w="1099" w:type="dxa"/>
          </w:tcPr>
          <w:p w:rsidR="001E26BE" w:rsidRPr="008A0A30" w:rsidRDefault="001E26BE" w:rsidP="00B11886">
            <w:pPr>
              <w:spacing w:before="54" w:after="0" w:line="242" w:lineRule="auto"/>
              <w:ind w:left="121" w:right="76" w:firstLine="262"/>
              <w:rPr>
                <w:sz w:val="18"/>
                <w:szCs w:val="18"/>
              </w:rPr>
            </w:pPr>
            <w:r w:rsidRPr="008A0A30">
              <w:rPr>
                <w:sz w:val="18"/>
                <w:szCs w:val="18"/>
              </w:rPr>
              <w:t>1.15 (1.07, 1.25)</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0.70 (0.59, 0.83)</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1.02 (0.89, 1.17)</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1.63 (1.43, 1.85)</w:t>
            </w:r>
          </w:p>
        </w:tc>
      </w:tr>
      <w:tr w:rsidR="001E26BE" w:rsidRPr="008A0A30" w:rsidTr="006E2EAA">
        <w:trPr>
          <w:trHeight w:hRule="exact" w:val="547"/>
        </w:trPr>
        <w:tc>
          <w:tcPr>
            <w:tcW w:w="1279" w:type="dxa"/>
            <w:vMerge w:val="restart"/>
          </w:tcPr>
          <w:p w:rsidR="001E26BE" w:rsidRPr="008A0A30" w:rsidRDefault="001E26BE" w:rsidP="00B11886">
            <w:pPr>
              <w:spacing w:after="0"/>
              <w:ind w:left="235" w:right="-20"/>
              <w:rPr>
                <w:sz w:val="18"/>
                <w:szCs w:val="18"/>
              </w:rPr>
            </w:pPr>
            <w:r w:rsidRPr="008A0A30">
              <w:rPr>
                <w:sz w:val="18"/>
                <w:szCs w:val="18"/>
              </w:rPr>
              <w:t>Methadone</w:t>
            </w:r>
          </w:p>
        </w:tc>
        <w:tc>
          <w:tcPr>
            <w:tcW w:w="1319" w:type="dxa"/>
            <w:vMerge w:val="restart"/>
          </w:tcPr>
          <w:p w:rsidR="001E26BE" w:rsidRPr="008A0A30" w:rsidRDefault="001E26BE" w:rsidP="00B11886">
            <w:pPr>
              <w:spacing w:after="0" w:line="206" w:lineRule="exact"/>
              <w:ind w:left="441" w:right="231" w:hanging="161"/>
              <w:rPr>
                <w:sz w:val="18"/>
                <w:szCs w:val="18"/>
              </w:rPr>
            </w:pPr>
            <w:r w:rsidRPr="008A0A30">
              <w:rPr>
                <w:sz w:val="18"/>
                <w:szCs w:val="18"/>
              </w:rPr>
              <w:t>30 to 130 daily</w:t>
            </w:r>
          </w:p>
        </w:tc>
        <w:tc>
          <w:tcPr>
            <w:tcW w:w="1169" w:type="dxa"/>
            <w:vMerge w:val="restart"/>
          </w:tcPr>
          <w:p w:rsidR="001E26BE" w:rsidRPr="008A0A30" w:rsidRDefault="001E26BE" w:rsidP="00D541A1">
            <w:pPr>
              <w:spacing w:after="0"/>
              <w:ind w:left="412" w:right="394"/>
              <w:jc w:val="center"/>
              <w:rPr>
                <w:sz w:val="18"/>
                <w:szCs w:val="18"/>
              </w:rPr>
            </w:pPr>
            <w:r w:rsidRPr="008A0A30">
              <w:rPr>
                <w:sz w:val="18"/>
                <w:szCs w:val="18"/>
              </w:rPr>
              <w:t>ND</w:t>
            </w:r>
          </w:p>
        </w:tc>
        <w:tc>
          <w:tcPr>
            <w:tcW w:w="1080" w:type="dxa"/>
            <w:vMerge w:val="restart"/>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14</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7" w:after="0" w:line="206" w:lineRule="exact"/>
              <w:ind w:left="109" w:right="58" w:firstLine="262"/>
              <w:rPr>
                <w:sz w:val="18"/>
                <w:szCs w:val="18"/>
              </w:rPr>
            </w:pPr>
            <w:r w:rsidRPr="008A0A30">
              <w:rPr>
                <w:spacing w:val="1"/>
                <w:sz w:val="18"/>
                <w:szCs w:val="18"/>
              </w:rPr>
              <w:t xml:space="preserve">0.95 </w:t>
            </w:r>
            <w:r w:rsidRPr="008A0A30">
              <w:rPr>
                <w:sz w:val="18"/>
                <w:szCs w:val="18"/>
              </w:rPr>
              <w:t>(0.68, 1.33)</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1.30 (1.00, 1.69)</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D541A1">
        <w:trPr>
          <w:trHeight w:hRule="exact" w:val="559"/>
        </w:trPr>
        <w:tc>
          <w:tcPr>
            <w:tcW w:w="1279" w:type="dxa"/>
            <w:vMerge/>
            <w:tcBorders>
              <w:bottom w:val="single" w:sz="4" w:space="0" w:color="auto"/>
            </w:tcBorders>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60" w:after="0" w:line="206" w:lineRule="exact"/>
              <w:ind w:left="109" w:right="58" w:firstLine="262"/>
              <w:rPr>
                <w:sz w:val="18"/>
                <w:szCs w:val="18"/>
              </w:rPr>
            </w:pPr>
            <w:r w:rsidRPr="008A0A30">
              <w:rPr>
                <w:sz w:val="18"/>
                <w:szCs w:val="18"/>
              </w:rPr>
              <w:t>0.73 (0.65, 0.83)</w:t>
            </w:r>
          </w:p>
        </w:tc>
        <w:tc>
          <w:tcPr>
            <w:tcW w:w="1080" w:type="dxa"/>
          </w:tcPr>
          <w:p w:rsidR="001E26BE" w:rsidRPr="008A0A30" w:rsidRDefault="001E26BE" w:rsidP="00B11886">
            <w:pPr>
              <w:spacing w:before="60" w:after="0" w:line="206" w:lineRule="exact"/>
              <w:ind w:left="112" w:right="58" w:firstLine="262"/>
              <w:rPr>
                <w:sz w:val="18"/>
                <w:szCs w:val="18"/>
              </w:rPr>
            </w:pPr>
            <w:r w:rsidRPr="008A0A30">
              <w:rPr>
                <w:spacing w:val="1"/>
                <w:sz w:val="18"/>
                <w:szCs w:val="18"/>
              </w:rPr>
              <w:t xml:space="preserve">1.04 </w:t>
            </w:r>
            <w:r w:rsidRPr="008A0A30">
              <w:rPr>
                <w:sz w:val="18"/>
                <w:szCs w:val="18"/>
              </w:rPr>
              <w:t>(0.89, 1.22)</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75"/>
        </w:trPr>
        <w:tc>
          <w:tcPr>
            <w:tcW w:w="1279" w:type="dxa"/>
            <w:vMerge w:val="restart"/>
          </w:tcPr>
          <w:p w:rsidR="001E26BE" w:rsidRPr="008A0A30" w:rsidRDefault="001E26BE" w:rsidP="00B11886">
            <w:pPr>
              <w:spacing w:after="0"/>
              <w:ind w:left="199" w:right="-20"/>
              <w:rPr>
                <w:sz w:val="18"/>
                <w:szCs w:val="18"/>
              </w:rPr>
            </w:pPr>
            <w:r w:rsidRPr="008A0A30">
              <w:rPr>
                <w:spacing w:val="2"/>
                <w:sz w:val="18"/>
                <w:szCs w:val="18"/>
              </w:rPr>
              <w:t>O</w:t>
            </w:r>
            <w:r w:rsidRPr="008A0A30">
              <w:rPr>
                <w:spacing w:val="-3"/>
                <w:sz w:val="18"/>
                <w:szCs w:val="18"/>
              </w:rPr>
              <w:t>m</w:t>
            </w:r>
            <w:r w:rsidRPr="008A0A30">
              <w:rPr>
                <w:sz w:val="18"/>
                <w:szCs w:val="18"/>
              </w:rPr>
              <w:t>eprazole</w:t>
            </w:r>
          </w:p>
        </w:tc>
        <w:tc>
          <w:tcPr>
            <w:tcW w:w="1319" w:type="dxa"/>
            <w:vMerge w:val="restart"/>
          </w:tcPr>
          <w:p w:rsidR="001E26BE" w:rsidRPr="008A0A30" w:rsidRDefault="001E26BE" w:rsidP="003320AC">
            <w:pPr>
              <w:spacing w:after="0"/>
              <w:ind w:left="106" w:right="86" w:hanging="2"/>
              <w:jc w:val="center"/>
              <w:rPr>
                <w:sz w:val="18"/>
                <w:szCs w:val="18"/>
              </w:rPr>
            </w:pPr>
            <w:r w:rsidRPr="008A0A30">
              <w:rPr>
                <w:sz w:val="18"/>
                <w:szCs w:val="18"/>
              </w:rPr>
              <w:t>20 once daily simultaneously</w:t>
            </w:r>
            <w:r w:rsidRPr="008A0A30">
              <w:rPr>
                <w:spacing w:val="-1"/>
                <w:sz w:val="18"/>
                <w:szCs w:val="18"/>
              </w:rPr>
              <w:t xml:space="preserve"> </w:t>
            </w:r>
            <w:r w:rsidR="00AB16C8" w:rsidRPr="008A0A30">
              <w:rPr>
                <w:sz w:val="18"/>
                <w:szCs w:val="18"/>
              </w:rPr>
              <w:t xml:space="preserve">with </w:t>
            </w:r>
            <w:r w:rsidR="003320AC">
              <w:rPr>
                <w:sz w:val="18"/>
                <w:szCs w:val="18"/>
              </w:rPr>
              <w:t>EPCLUSA</w:t>
            </w:r>
          </w:p>
        </w:tc>
        <w:tc>
          <w:tcPr>
            <w:tcW w:w="1169" w:type="dxa"/>
            <w:vMerge w:val="restart"/>
          </w:tcPr>
          <w:p w:rsidR="001E26BE" w:rsidRPr="008A0A30" w:rsidRDefault="00243CE5" w:rsidP="00D541A1">
            <w:pPr>
              <w:spacing w:after="0" w:line="206" w:lineRule="exact"/>
              <w:ind w:left="174" w:right="124" w:firstLine="29"/>
              <w:jc w:val="center"/>
              <w:rPr>
                <w:sz w:val="18"/>
                <w:szCs w:val="18"/>
              </w:rPr>
            </w:pPr>
            <w:r w:rsidRPr="008A0A30">
              <w:rPr>
                <w:sz w:val="18"/>
                <w:szCs w:val="18"/>
              </w:rPr>
              <w:t xml:space="preserve">100 </w:t>
            </w:r>
            <w:r w:rsidR="001E26BE" w:rsidRPr="008A0A30">
              <w:rPr>
                <w:sz w:val="18"/>
                <w:szCs w:val="18"/>
              </w:rPr>
              <w:t>single dose fasted</w:t>
            </w:r>
          </w:p>
        </w:tc>
        <w:tc>
          <w:tcPr>
            <w:tcW w:w="1080" w:type="dxa"/>
            <w:vMerge w:val="restart"/>
          </w:tcPr>
          <w:p w:rsidR="001E26BE" w:rsidRPr="008A0A30" w:rsidRDefault="001E26BE" w:rsidP="00D541A1">
            <w:pPr>
              <w:spacing w:after="0" w:line="206" w:lineRule="exact"/>
              <w:ind w:left="129" w:right="81" w:firstLine="29"/>
              <w:jc w:val="center"/>
              <w:rPr>
                <w:sz w:val="18"/>
                <w:szCs w:val="18"/>
              </w:rPr>
            </w:pPr>
            <w:r w:rsidRPr="008A0A30">
              <w:rPr>
                <w:sz w:val="18"/>
                <w:szCs w:val="18"/>
              </w:rPr>
              <w:t>400 single dose fasted</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60</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13" w:after="0" w:line="242" w:lineRule="auto"/>
              <w:ind w:left="109" w:right="58" w:firstLine="264"/>
              <w:rPr>
                <w:sz w:val="18"/>
                <w:szCs w:val="18"/>
              </w:rPr>
            </w:pPr>
            <w:r w:rsidRPr="008A0A30">
              <w:rPr>
                <w:sz w:val="18"/>
                <w:szCs w:val="18"/>
              </w:rPr>
              <w:t>0.66 (0.55, 0.78)</w:t>
            </w:r>
          </w:p>
        </w:tc>
        <w:tc>
          <w:tcPr>
            <w:tcW w:w="1080" w:type="dxa"/>
          </w:tcPr>
          <w:p w:rsidR="001E26BE" w:rsidRPr="008A0A30" w:rsidRDefault="001E26BE" w:rsidP="00B11886">
            <w:pPr>
              <w:spacing w:before="13" w:after="0" w:line="242" w:lineRule="auto"/>
              <w:ind w:left="112" w:right="58" w:firstLine="262"/>
              <w:rPr>
                <w:sz w:val="18"/>
                <w:szCs w:val="18"/>
              </w:rPr>
            </w:pPr>
            <w:r w:rsidRPr="008A0A30">
              <w:rPr>
                <w:sz w:val="18"/>
                <w:szCs w:val="18"/>
              </w:rPr>
              <w:t>0.71 (0.60, 0.83)</w:t>
            </w:r>
          </w:p>
        </w:tc>
        <w:tc>
          <w:tcPr>
            <w:tcW w:w="1099" w:type="dxa"/>
          </w:tcPr>
          <w:p w:rsidR="001E26BE" w:rsidRPr="008A0A30" w:rsidRDefault="001E26BE" w:rsidP="00B11886">
            <w:pPr>
              <w:spacing w:after="0"/>
              <w:ind w:left="370" w:right="359"/>
              <w:jc w:val="center"/>
              <w:rPr>
                <w:sz w:val="18"/>
                <w:szCs w:val="18"/>
              </w:rPr>
            </w:pPr>
            <w:r w:rsidRPr="008A0A30">
              <w:rPr>
                <w:sz w:val="18"/>
                <w:szCs w:val="18"/>
              </w:rPr>
              <w:t>NA</w:t>
            </w:r>
          </w:p>
        </w:tc>
      </w:tr>
      <w:tr w:rsidR="001E26BE" w:rsidRPr="008A0A30" w:rsidTr="006E2EAA">
        <w:trPr>
          <w:trHeight w:hRule="exact" w:val="47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19" w:after="0" w:line="206" w:lineRule="exact"/>
              <w:ind w:left="109" w:right="58" w:firstLine="264"/>
              <w:rPr>
                <w:sz w:val="18"/>
                <w:szCs w:val="18"/>
              </w:rPr>
            </w:pPr>
            <w:r w:rsidRPr="008A0A30">
              <w:rPr>
                <w:sz w:val="18"/>
                <w:szCs w:val="18"/>
              </w:rPr>
              <w:t>1.18 (1.10, 1.26)</w:t>
            </w:r>
          </w:p>
        </w:tc>
        <w:tc>
          <w:tcPr>
            <w:tcW w:w="1080" w:type="dxa"/>
          </w:tcPr>
          <w:p w:rsidR="001E26BE" w:rsidRPr="008A0A30" w:rsidRDefault="001E26BE" w:rsidP="00B11886">
            <w:pPr>
              <w:spacing w:before="19" w:after="0" w:line="206" w:lineRule="exact"/>
              <w:ind w:left="112" w:right="47" w:firstLine="262"/>
              <w:rPr>
                <w:sz w:val="18"/>
                <w:szCs w:val="18"/>
              </w:rPr>
            </w:pPr>
            <w:r w:rsidRPr="008A0A30">
              <w:rPr>
                <w:sz w:val="18"/>
                <w:szCs w:val="18"/>
              </w:rPr>
              <w:t>1.00 (0.95, 1.05)</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68"/>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16" w:after="0" w:line="206" w:lineRule="exact"/>
              <w:ind w:left="109" w:right="58" w:firstLine="264"/>
              <w:rPr>
                <w:sz w:val="18"/>
                <w:szCs w:val="18"/>
              </w:rPr>
            </w:pPr>
            <w:r w:rsidRPr="008A0A30">
              <w:rPr>
                <w:sz w:val="18"/>
                <w:szCs w:val="18"/>
              </w:rPr>
              <w:t>0.63 (0.50, 0.78)</w:t>
            </w:r>
          </w:p>
        </w:tc>
        <w:tc>
          <w:tcPr>
            <w:tcW w:w="1080" w:type="dxa"/>
          </w:tcPr>
          <w:p w:rsidR="001E26BE" w:rsidRPr="008A0A30" w:rsidRDefault="001E26BE" w:rsidP="00B11886">
            <w:pPr>
              <w:spacing w:before="16" w:after="0" w:line="206" w:lineRule="exact"/>
              <w:ind w:left="112" w:right="58" w:firstLine="262"/>
              <w:rPr>
                <w:sz w:val="18"/>
                <w:szCs w:val="18"/>
              </w:rPr>
            </w:pPr>
            <w:r w:rsidRPr="008A0A30">
              <w:rPr>
                <w:sz w:val="18"/>
                <w:szCs w:val="18"/>
              </w:rPr>
              <w:t>0.64 (0.52, 0.79)</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68"/>
        </w:trPr>
        <w:tc>
          <w:tcPr>
            <w:tcW w:w="1279" w:type="dxa"/>
            <w:vMerge/>
          </w:tcPr>
          <w:p w:rsidR="001E26BE" w:rsidRPr="008A0A30" w:rsidRDefault="001E26BE" w:rsidP="00B11886"/>
        </w:tc>
        <w:tc>
          <w:tcPr>
            <w:tcW w:w="1319" w:type="dxa"/>
            <w:vMerge w:val="restart"/>
          </w:tcPr>
          <w:p w:rsidR="001E26BE" w:rsidRPr="008A0A30" w:rsidRDefault="001E26BE" w:rsidP="00B11886">
            <w:pPr>
              <w:spacing w:after="0"/>
              <w:ind w:left="102" w:right="84"/>
              <w:jc w:val="center"/>
              <w:rPr>
                <w:sz w:val="18"/>
                <w:szCs w:val="18"/>
              </w:rPr>
            </w:pPr>
            <w:r w:rsidRPr="008A0A30">
              <w:rPr>
                <w:sz w:val="18"/>
                <w:szCs w:val="18"/>
              </w:rPr>
              <w:t>20 once daily</w:t>
            </w:r>
          </w:p>
          <w:p w:rsidR="001E26BE" w:rsidRPr="008A0A30" w:rsidRDefault="001E26BE" w:rsidP="003320AC">
            <w:pPr>
              <w:spacing w:before="2" w:after="0"/>
              <w:ind w:left="94" w:right="77"/>
              <w:jc w:val="center"/>
              <w:rPr>
                <w:sz w:val="18"/>
                <w:szCs w:val="18"/>
              </w:rPr>
            </w:pPr>
            <w:r w:rsidRPr="008A0A30">
              <w:rPr>
                <w:sz w:val="18"/>
                <w:szCs w:val="18"/>
              </w:rPr>
              <w:t xml:space="preserve">12 hours prior </w:t>
            </w:r>
            <w:r w:rsidRPr="008A0A30">
              <w:rPr>
                <w:spacing w:val="1"/>
                <w:sz w:val="18"/>
                <w:szCs w:val="18"/>
              </w:rPr>
              <w:t xml:space="preserve">to </w:t>
            </w:r>
            <w:r w:rsidR="003320AC">
              <w:rPr>
                <w:sz w:val="18"/>
                <w:szCs w:val="18"/>
              </w:rPr>
              <w:t>EPCLUSA</w:t>
            </w:r>
          </w:p>
        </w:tc>
        <w:tc>
          <w:tcPr>
            <w:tcW w:w="1169" w:type="dxa"/>
            <w:vMerge w:val="restart"/>
          </w:tcPr>
          <w:p w:rsidR="001E26BE" w:rsidRPr="008A0A30" w:rsidRDefault="001E26BE" w:rsidP="00D541A1">
            <w:pPr>
              <w:spacing w:after="0" w:line="206" w:lineRule="exact"/>
              <w:ind w:left="174" w:right="124" w:firstLine="29"/>
              <w:jc w:val="center"/>
              <w:rPr>
                <w:sz w:val="18"/>
                <w:szCs w:val="18"/>
              </w:rPr>
            </w:pPr>
            <w:r w:rsidRPr="008A0A30">
              <w:rPr>
                <w:sz w:val="18"/>
                <w:szCs w:val="18"/>
              </w:rPr>
              <w:t>100 single dose fasted</w:t>
            </w:r>
          </w:p>
        </w:tc>
        <w:tc>
          <w:tcPr>
            <w:tcW w:w="1080" w:type="dxa"/>
            <w:vMerge w:val="restart"/>
          </w:tcPr>
          <w:p w:rsidR="001E26BE" w:rsidRPr="008A0A30" w:rsidRDefault="001E26BE" w:rsidP="00D541A1">
            <w:pPr>
              <w:spacing w:after="0" w:line="206" w:lineRule="exact"/>
              <w:ind w:left="129" w:right="81" w:firstLine="29"/>
              <w:jc w:val="center"/>
              <w:rPr>
                <w:sz w:val="18"/>
                <w:szCs w:val="18"/>
              </w:rPr>
            </w:pPr>
            <w:r w:rsidRPr="008A0A30">
              <w:rPr>
                <w:sz w:val="18"/>
                <w:szCs w:val="18"/>
              </w:rPr>
              <w:t>400 single dose fasted</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60</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13" w:after="0" w:line="242" w:lineRule="auto"/>
              <w:ind w:left="109" w:right="58" w:firstLine="264"/>
              <w:rPr>
                <w:sz w:val="18"/>
                <w:szCs w:val="18"/>
              </w:rPr>
            </w:pPr>
            <w:r w:rsidRPr="008A0A30">
              <w:rPr>
                <w:sz w:val="18"/>
                <w:szCs w:val="18"/>
              </w:rPr>
              <w:t>0.55 (0.47, 0.64)</w:t>
            </w:r>
          </w:p>
        </w:tc>
        <w:tc>
          <w:tcPr>
            <w:tcW w:w="1080" w:type="dxa"/>
          </w:tcPr>
          <w:p w:rsidR="001E26BE" w:rsidRPr="008A0A30" w:rsidRDefault="001E26BE" w:rsidP="00B11886">
            <w:pPr>
              <w:spacing w:before="13" w:after="0" w:line="242" w:lineRule="auto"/>
              <w:ind w:left="112" w:right="58" w:firstLine="262"/>
              <w:rPr>
                <w:sz w:val="18"/>
                <w:szCs w:val="18"/>
              </w:rPr>
            </w:pPr>
            <w:r w:rsidRPr="008A0A30">
              <w:rPr>
                <w:sz w:val="18"/>
                <w:szCs w:val="18"/>
              </w:rPr>
              <w:t>0.56 (0.49, 0.65)</w:t>
            </w:r>
          </w:p>
        </w:tc>
        <w:tc>
          <w:tcPr>
            <w:tcW w:w="1099" w:type="dxa"/>
          </w:tcPr>
          <w:p w:rsidR="001E26BE" w:rsidRPr="008A0A30" w:rsidRDefault="001E26BE" w:rsidP="00B11886">
            <w:pPr>
              <w:spacing w:after="0"/>
              <w:ind w:left="370" w:right="359"/>
              <w:jc w:val="center"/>
              <w:rPr>
                <w:sz w:val="18"/>
                <w:szCs w:val="18"/>
              </w:rPr>
            </w:pPr>
            <w:r w:rsidRPr="008A0A30">
              <w:rPr>
                <w:sz w:val="18"/>
                <w:szCs w:val="18"/>
              </w:rPr>
              <w:t>NA</w:t>
            </w:r>
          </w:p>
        </w:tc>
      </w:tr>
      <w:tr w:rsidR="001E26BE" w:rsidRPr="008A0A30" w:rsidTr="006E2EAA">
        <w:trPr>
          <w:trHeight w:hRule="exact" w:val="47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19" w:after="0" w:line="206" w:lineRule="exact"/>
              <w:ind w:left="109" w:right="58" w:firstLine="264"/>
              <w:rPr>
                <w:sz w:val="18"/>
                <w:szCs w:val="18"/>
              </w:rPr>
            </w:pPr>
            <w:r w:rsidRPr="008A0A30">
              <w:rPr>
                <w:sz w:val="18"/>
                <w:szCs w:val="18"/>
              </w:rPr>
              <w:t>1.26 (1.18, 1.34)</w:t>
            </w:r>
          </w:p>
        </w:tc>
        <w:tc>
          <w:tcPr>
            <w:tcW w:w="1080" w:type="dxa"/>
          </w:tcPr>
          <w:p w:rsidR="001E26BE" w:rsidRPr="008A0A30" w:rsidRDefault="001E26BE" w:rsidP="00B11886">
            <w:pPr>
              <w:spacing w:before="19" w:after="0" w:line="206" w:lineRule="exact"/>
              <w:ind w:left="112" w:right="47" w:firstLine="262"/>
              <w:rPr>
                <w:sz w:val="18"/>
                <w:szCs w:val="18"/>
              </w:rPr>
            </w:pPr>
            <w:r w:rsidRPr="008A0A30">
              <w:rPr>
                <w:sz w:val="18"/>
                <w:szCs w:val="18"/>
              </w:rPr>
              <w:t>0.97 (0.94, 1.01)</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68"/>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D541A1">
            <w:pPr>
              <w:jc w:val="center"/>
            </w:pPr>
          </w:p>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AB16C8">
            <w:pPr>
              <w:spacing w:after="0"/>
              <w:ind w:right="-20"/>
              <w:jc w:val="center"/>
              <w:rPr>
                <w:sz w:val="18"/>
                <w:szCs w:val="18"/>
              </w:rPr>
            </w:pPr>
            <w:r w:rsidRPr="008A0A30">
              <w:rPr>
                <w:sz w:val="18"/>
                <w:szCs w:val="18"/>
              </w:rPr>
              <w:t>velpatasvir</w:t>
            </w:r>
          </w:p>
        </w:tc>
        <w:tc>
          <w:tcPr>
            <w:tcW w:w="1078" w:type="dxa"/>
          </w:tcPr>
          <w:p w:rsidR="001E26BE" w:rsidRPr="008A0A30" w:rsidRDefault="001E26BE" w:rsidP="00B11886">
            <w:pPr>
              <w:spacing w:before="13" w:after="0" w:line="242" w:lineRule="auto"/>
              <w:ind w:left="109" w:right="58" w:firstLine="264"/>
              <w:rPr>
                <w:sz w:val="18"/>
                <w:szCs w:val="18"/>
              </w:rPr>
            </w:pPr>
            <w:r w:rsidRPr="008A0A30">
              <w:rPr>
                <w:sz w:val="18"/>
                <w:szCs w:val="18"/>
              </w:rPr>
              <w:t>0.43 (0.35, 0.54)</w:t>
            </w:r>
          </w:p>
        </w:tc>
        <w:tc>
          <w:tcPr>
            <w:tcW w:w="1080" w:type="dxa"/>
          </w:tcPr>
          <w:p w:rsidR="001E26BE" w:rsidRPr="008A0A30" w:rsidRDefault="001E26BE" w:rsidP="00B11886">
            <w:pPr>
              <w:spacing w:before="13" w:after="0" w:line="242" w:lineRule="auto"/>
              <w:ind w:left="112" w:right="58" w:firstLine="262"/>
              <w:rPr>
                <w:sz w:val="18"/>
                <w:szCs w:val="18"/>
              </w:rPr>
            </w:pPr>
            <w:r w:rsidRPr="008A0A30">
              <w:rPr>
                <w:sz w:val="18"/>
                <w:szCs w:val="18"/>
              </w:rPr>
              <w:t>0.45 (0.37, 0.55)</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70"/>
        </w:trPr>
        <w:tc>
          <w:tcPr>
            <w:tcW w:w="1279" w:type="dxa"/>
            <w:vMerge/>
          </w:tcPr>
          <w:p w:rsidR="001E26BE" w:rsidRPr="008A0A30" w:rsidRDefault="001E26BE" w:rsidP="00B11886"/>
        </w:tc>
        <w:tc>
          <w:tcPr>
            <w:tcW w:w="1319" w:type="dxa"/>
            <w:vMerge w:val="restart"/>
          </w:tcPr>
          <w:p w:rsidR="001E26BE" w:rsidRPr="008A0A30" w:rsidRDefault="001E26BE" w:rsidP="00B11886">
            <w:pPr>
              <w:spacing w:after="0"/>
              <w:ind w:left="102" w:right="84"/>
              <w:jc w:val="center"/>
              <w:rPr>
                <w:sz w:val="18"/>
                <w:szCs w:val="18"/>
              </w:rPr>
            </w:pPr>
            <w:r w:rsidRPr="008A0A30">
              <w:rPr>
                <w:sz w:val="18"/>
                <w:szCs w:val="18"/>
              </w:rPr>
              <w:t>20 once daily</w:t>
            </w:r>
          </w:p>
          <w:p w:rsidR="001E26BE" w:rsidRPr="008A0A30" w:rsidRDefault="001E26BE" w:rsidP="00B11886">
            <w:pPr>
              <w:spacing w:before="2" w:after="0" w:line="206" w:lineRule="exact"/>
              <w:ind w:left="139" w:right="122"/>
              <w:jc w:val="center"/>
              <w:rPr>
                <w:sz w:val="18"/>
                <w:szCs w:val="18"/>
              </w:rPr>
            </w:pPr>
            <w:r w:rsidRPr="008A0A30">
              <w:rPr>
                <w:sz w:val="18"/>
                <w:szCs w:val="18"/>
              </w:rPr>
              <w:t xml:space="preserve">2 hours prior </w:t>
            </w:r>
            <w:r w:rsidRPr="008A0A30">
              <w:rPr>
                <w:spacing w:val="1"/>
                <w:sz w:val="18"/>
                <w:szCs w:val="18"/>
              </w:rPr>
              <w:t>to</w:t>
            </w:r>
          </w:p>
          <w:p w:rsidR="001E26BE" w:rsidRPr="008A0A30" w:rsidRDefault="003320AC" w:rsidP="00B11886">
            <w:pPr>
              <w:spacing w:before="3" w:after="0" w:line="206" w:lineRule="exact"/>
              <w:ind w:left="147" w:right="126"/>
              <w:jc w:val="center"/>
              <w:rPr>
                <w:sz w:val="18"/>
                <w:szCs w:val="18"/>
              </w:rPr>
            </w:pPr>
            <w:r>
              <w:rPr>
                <w:sz w:val="18"/>
                <w:szCs w:val="18"/>
              </w:rPr>
              <w:lastRenderedPageBreak/>
              <w:t>EPCLU</w:t>
            </w:r>
            <w:r w:rsidR="00F4504F">
              <w:rPr>
                <w:sz w:val="18"/>
                <w:szCs w:val="18"/>
              </w:rPr>
              <w:t>S</w:t>
            </w:r>
            <w:r>
              <w:rPr>
                <w:sz w:val="18"/>
                <w:szCs w:val="18"/>
              </w:rPr>
              <w:t>A</w:t>
            </w:r>
          </w:p>
        </w:tc>
        <w:tc>
          <w:tcPr>
            <w:tcW w:w="1169" w:type="dxa"/>
            <w:vMerge w:val="restart"/>
          </w:tcPr>
          <w:p w:rsidR="001E26BE" w:rsidRPr="008A0A30" w:rsidRDefault="001E26BE" w:rsidP="00D541A1">
            <w:pPr>
              <w:spacing w:after="0" w:line="206" w:lineRule="exact"/>
              <w:ind w:left="273" w:right="152" w:hanging="70"/>
              <w:jc w:val="center"/>
              <w:rPr>
                <w:sz w:val="18"/>
                <w:szCs w:val="18"/>
              </w:rPr>
            </w:pPr>
            <w:r w:rsidRPr="008A0A30">
              <w:rPr>
                <w:sz w:val="18"/>
                <w:szCs w:val="18"/>
              </w:rPr>
              <w:lastRenderedPageBreak/>
              <w:t>100 single dose fed</w:t>
            </w:r>
          </w:p>
        </w:tc>
        <w:tc>
          <w:tcPr>
            <w:tcW w:w="1080" w:type="dxa"/>
            <w:vMerge w:val="restart"/>
          </w:tcPr>
          <w:p w:rsidR="001E26BE" w:rsidRPr="008A0A30" w:rsidRDefault="001E26BE" w:rsidP="00D541A1">
            <w:pPr>
              <w:spacing w:after="0" w:line="206" w:lineRule="exact"/>
              <w:ind w:left="229" w:right="109" w:hanging="72"/>
              <w:jc w:val="center"/>
              <w:rPr>
                <w:sz w:val="18"/>
                <w:szCs w:val="18"/>
              </w:rPr>
            </w:pPr>
            <w:r w:rsidRPr="008A0A30">
              <w:rPr>
                <w:sz w:val="18"/>
                <w:szCs w:val="18"/>
              </w:rPr>
              <w:t>400 single dose fed</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40</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19" w:after="0" w:line="206" w:lineRule="exact"/>
              <w:ind w:left="109" w:right="58" w:firstLine="264"/>
              <w:rPr>
                <w:sz w:val="18"/>
                <w:szCs w:val="18"/>
              </w:rPr>
            </w:pPr>
            <w:r w:rsidRPr="008A0A30">
              <w:rPr>
                <w:sz w:val="18"/>
                <w:szCs w:val="18"/>
              </w:rPr>
              <w:t>0.84 (0.68, 1.03)</w:t>
            </w:r>
          </w:p>
        </w:tc>
        <w:tc>
          <w:tcPr>
            <w:tcW w:w="1080" w:type="dxa"/>
          </w:tcPr>
          <w:p w:rsidR="001E26BE" w:rsidRPr="008A0A30" w:rsidRDefault="001E26BE" w:rsidP="00B11886">
            <w:pPr>
              <w:spacing w:before="19" w:after="0" w:line="206" w:lineRule="exact"/>
              <w:ind w:left="112" w:right="58" w:firstLine="262"/>
              <w:rPr>
                <w:sz w:val="18"/>
                <w:szCs w:val="18"/>
              </w:rPr>
            </w:pPr>
            <w:r w:rsidRPr="008A0A30">
              <w:rPr>
                <w:sz w:val="18"/>
                <w:szCs w:val="18"/>
              </w:rPr>
              <w:t>1.08 (0.94, 1.25)</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68"/>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16" w:after="0" w:line="206" w:lineRule="exact"/>
              <w:ind w:left="109" w:right="58" w:firstLine="264"/>
              <w:rPr>
                <w:sz w:val="18"/>
                <w:szCs w:val="18"/>
              </w:rPr>
            </w:pPr>
            <w:r w:rsidRPr="008A0A30">
              <w:rPr>
                <w:sz w:val="18"/>
                <w:szCs w:val="18"/>
              </w:rPr>
              <w:t>0.94 (0.88, 1.02)</w:t>
            </w:r>
          </w:p>
        </w:tc>
        <w:tc>
          <w:tcPr>
            <w:tcW w:w="1080" w:type="dxa"/>
          </w:tcPr>
          <w:p w:rsidR="001E26BE" w:rsidRPr="008A0A30" w:rsidRDefault="001E26BE" w:rsidP="00B11886">
            <w:pPr>
              <w:spacing w:before="16" w:after="0" w:line="206" w:lineRule="exact"/>
              <w:ind w:left="112" w:right="47" w:firstLine="262"/>
              <w:rPr>
                <w:sz w:val="18"/>
                <w:szCs w:val="18"/>
              </w:rPr>
            </w:pPr>
            <w:r w:rsidRPr="008A0A30">
              <w:rPr>
                <w:sz w:val="18"/>
                <w:szCs w:val="18"/>
              </w:rPr>
              <w:t>0.99 (0.96, 1.03)</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68"/>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8" w:right="-20"/>
              <w:rPr>
                <w:sz w:val="18"/>
                <w:szCs w:val="18"/>
              </w:rPr>
            </w:pPr>
            <w:r w:rsidRPr="008A0A30">
              <w:rPr>
                <w:sz w:val="18"/>
                <w:szCs w:val="18"/>
              </w:rPr>
              <w:t>velpatasvir</w:t>
            </w:r>
          </w:p>
        </w:tc>
        <w:tc>
          <w:tcPr>
            <w:tcW w:w="1078" w:type="dxa"/>
          </w:tcPr>
          <w:p w:rsidR="001E26BE" w:rsidRPr="008A0A30" w:rsidRDefault="001E26BE" w:rsidP="00B11886">
            <w:pPr>
              <w:spacing w:before="13" w:after="0" w:line="242" w:lineRule="auto"/>
              <w:ind w:left="109" w:right="58" w:firstLine="264"/>
              <w:rPr>
                <w:sz w:val="18"/>
                <w:szCs w:val="18"/>
              </w:rPr>
            </w:pPr>
            <w:r w:rsidRPr="008A0A30">
              <w:rPr>
                <w:sz w:val="18"/>
                <w:szCs w:val="18"/>
              </w:rPr>
              <w:t>0.52 (0.43, 0.64)</w:t>
            </w:r>
          </w:p>
        </w:tc>
        <w:tc>
          <w:tcPr>
            <w:tcW w:w="1080" w:type="dxa"/>
          </w:tcPr>
          <w:p w:rsidR="001E26BE" w:rsidRPr="008A0A30" w:rsidRDefault="001E26BE" w:rsidP="00B11886">
            <w:pPr>
              <w:spacing w:before="13" w:after="0" w:line="242" w:lineRule="auto"/>
              <w:ind w:left="112" w:right="58" w:firstLine="262"/>
              <w:rPr>
                <w:sz w:val="18"/>
                <w:szCs w:val="18"/>
              </w:rPr>
            </w:pPr>
            <w:r w:rsidRPr="008A0A30">
              <w:rPr>
                <w:sz w:val="18"/>
                <w:szCs w:val="18"/>
              </w:rPr>
              <w:t>0.62 (0.51, 0.75)</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70"/>
        </w:trPr>
        <w:tc>
          <w:tcPr>
            <w:tcW w:w="1279" w:type="dxa"/>
            <w:vMerge/>
          </w:tcPr>
          <w:p w:rsidR="001E26BE" w:rsidRPr="008A0A30" w:rsidRDefault="001E26BE" w:rsidP="00B11886"/>
        </w:tc>
        <w:tc>
          <w:tcPr>
            <w:tcW w:w="1319" w:type="dxa"/>
            <w:vMerge w:val="restart"/>
          </w:tcPr>
          <w:p w:rsidR="001E26BE" w:rsidRPr="008A0A30" w:rsidRDefault="001E26BE" w:rsidP="00B11886">
            <w:pPr>
              <w:spacing w:after="0"/>
              <w:ind w:left="102" w:right="84"/>
              <w:jc w:val="center"/>
              <w:rPr>
                <w:sz w:val="18"/>
                <w:szCs w:val="18"/>
              </w:rPr>
            </w:pPr>
            <w:r w:rsidRPr="008A0A30">
              <w:rPr>
                <w:sz w:val="18"/>
                <w:szCs w:val="18"/>
              </w:rPr>
              <w:t>20 once daily</w:t>
            </w:r>
          </w:p>
          <w:p w:rsidR="001E26BE" w:rsidRPr="008A0A30" w:rsidRDefault="001E26BE" w:rsidP="00B11886">
            <w:pPr>
              <w:spacing w:after="0" w:line="206" w:lineRule="exact"/>
              <w:ind w:left="131" w:right="111"/>
              <w:jc w:val="center"/>
              <w:rPr>
                <w:sz w:val="18"/>
                <w:szCs w:val="18"/>
              </w:rPr>
            </w:pPr>
            <w:r w:rsidRPr="008A0A30">
              <w:rPr>
                <w:sz w:val="18"/>
                <w:szCs w:val="18"/>
              </w:rPr>
              <w:t>4 hours after</w:t>
            </w:r>
          </w:p>
          <w:p w:rsidR="001E26BE" w:rsidRPr="008A0A30" w:rsidRDefault="003320AC" w:rsidP="009614B2">
            <w:pPr>
              <w:spacing w:before="5" w:after="0" w:line="206" w:lineRule="exact"/>
              <w:ind w:left="147" w:right="126"/>
              <w:jc w:val="center"/>
              <w:rPr>
                <w:sz w:val="18"/>
                <w:szCs w:val="18"/>
              </w:rPr>
            </w:pPr>
            <w:r>
              <w:rPr>
                <w:sz w:val="18"/>
                <w:szCs w:val="18"/>
              </w:rPr>
              <w:t>EPCLUSA</w:t>
            </w:r>
          </w:p>
        </w:tc>
        <w:tc>
          <w:tcPr>
            <w:tcW w:w="1169" w:type="dxa"/>
            <w:vMerge w:val="restart"/>
          </w:tcPr>
          <w:p w:rsidR="001E26BE" w:rsidRPr="008A0A30" w:rsidRDefault="001E26BE" w:rsidP="00D541A1">
            <w:pPr>
              <w:spacing w:after="0" w:line="242" w:lineRule="auto"/>
              <w:ind w:left="273" w:right="152" w:hanging="70"/>
              <w:jc w:val="center"/>
              <w:rPr>
                <w:sz w:val="18"/>
                <w:szCs w:val="18"/>
              </w:rPr>
            </w:pPr>
            <w:r w:rsidRPr="008A0A30">
              <w:rPr>
                <w:sz w:val="18"/>
                <w:szCs w:val="18"/>
              </w:rPr>
              <w:t>100 single dose fed</w:t>
            </w:r>
          </w:p>
        </w:tc>
        <w:tc>
          <w:tcPr>
            <w:tcW w:w="1080" w:type="dxa"/>
            <w:vMerge w:val="restart"/>
          </w:tcPr>
          <w:p w:rsidR="001E26BE" w:rsidRPr="008A0A30" w:rsidRDefault="001E26BE" w:rsidP="00D541A1">
            <w:pPr>
              <w:spacing w:after="0" w:line="242" w:lineRule="auto"/>
              <w:ind w:left="229" w:right="109" w:hanging="72"/>
              <w:jc w:val="center"/>
              <w:rPr>
                <w:sz w:val="18"/>
                <w:szCs w:val="18"/>
              </w:rPr>
            </w:pPr>
            <w:r w:rsidRPr="008A0A30">
              <w:rPr>
                <w:sz w:val="18"/>
                <w:szCs w:val="18"/>
              </w:rPr>
              <w:t>400 single dose fed</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38</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19" w:after="0" w:line="206" w:lineRule="exact"/>
              <w:ind w:left="109" w:right="58" w:firstLine="264"/>
              <w:rPr>
                <w:sz w:val="18"/>
                <w:szCs w:val="18"/>
              </w:rPr>
            </w:pPr>
            <w:r w:rsidRPr="008A0A30">
              <w:rPr>
                <w:sz w:val="18"/>
                <w:szCs w:val="18"/>
              </w:rPr>
              <w:t>0.79 (0.68, 0.92)</w:t>
            </w:r>
          </w:p>
        </w:tc>
        <w:tc>
          <w:tcPr>
            <w:tcW w:w="1080" w:type="dxa"/>
          </w:tcPr>
          <w:p w:rsidR="001E26BE" w:rsidRPr="008A0A30" w:rsidRDefault="001E26BE" w:rsidP="00B11886">
            <w:pPr>
              <w:spacing w:before="19" w:after="0" w:line="206" w:lineRule="exact"/>
              <w:ind w:left="112" w:right="58" w:firstLine="262"/>
              <w:rPr>
                <w:sz w:val="18"/>
                <w:szCs w:val="18"/>
              </w:rPr>
            </w:pPr>
            <w:r w:rsidRPr="008A0A30">
              <w:rPr>
                <w:sz w:val="18"/>
                <w:szCs w:val="18"/>
              </w:rPr>
              <w:t>1.05 (0.94, 1.16)</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468"/>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13" w:after="0" w:line="242" w:lineRule="auto"/>
              <w:ind w:left="109" w:right="58" w:firstLine="264"/>
              <w:rPr>
                <w:sz w:val="18"/>
                <w:szCs w:val="18"/>
              </w:rPr>
            </w:pPr>
            <w:r w:rsidRPr="008A0A30">
              <w:rPr>
                <w:sz w:val="18"/>
                <w:szCs w:val="18"/>
              </w:rPr>
              <w:t>0.91 (0.85, 0.98)</w:t>
            </w:r>
          </w:p>
        </w:tc>
        <w:tc>
          <w:tcPr>
            <w:tcW w:w="1080" w:type="dxa"/>
          </w:tcPr>
          <w:p w:rsidR="001E26BE" w:rsidRPr="008A0A30" w:rsidRDefault="001E26BE" w:rsidP="00B11886">
            <w:pPr>
              <w:spacing w:before="13" w:after="0" w:line="242" w:lineRule="auto"/>
              <w:ind w:left="112" w:right="58" w:firstLine="262"/>
              <w:rPr>
                <w:sz w:val="18"/>
                <w:szCs w:val="18"/>
              </w:rPr>
            </w:pPr>
            <w:r w:rsidRPr="008A0A30">
              <w:rPr>
                <w:sz w:val="18"/>
                <w:szCs w:val="18"/>
              </w:rPr>
              <w:t>0.99 (0.95, 1.02)</w:t>
            </w:r>
          </w:p>
        </w:tc>
        <w:tc>
          <w:tcPr>
            <w:tcW w:w="1099" w:type="dxa"/>
          </w:tcPr>
          <w:p w:rsidR="001E26BE" w:rsidRPr="008A0A30" w:rsidRDefault="001E26BE" w:rsidP="00B11886">
            <w:pPr>
              <w:spacing w:after="0"/>
              <w:ind w:left="370" w:right="359"/>
              <w:jc w:val="center"/>
              <w:rPr>
                <w:sz w:val="18"/>
                <w:szCs w:val="18"/>
              </w:rPr>
            </w:pPr>
            <w:r w:rsidRPr="008A0A30">
              <w:rPr>
                <w:sz w:val="18"/>
                <w:szCs w:val="18"/>
              </w:rPr>
              <w:t>NA</w:t>
            </w:r>
          </w:p>
        </w:tc>
      </w:tr>
      <w:tr w:rsidR="001E26BE" w:rsidRPr="008A0A30" w:rsidTr="00D541A1">
        <w:trPr>
          <w:trHeight w:hRule="exact" w:val="470"/>
        </w:trPr>
        <w:tc>
          <w:tcPr>
            <w:tcW w:w="1279" w:type="dxa"/>
            <w:vMerge/>
          </w:tcPr>
          <w:p w:rsidR="001E26BE" w:rsidRPr="008A0A30" w:rsidRDefault="001E26BE" w:rsidP="00B11886"/>
        </w:tc>
        <w:tc>
          <w:tcPr>
            <w:tcW w:w="1319" w:type="dxa"/>
            <w:vMerge/>
            <w:tcBorders>
              <w:bottom w:val="single" w:sz="4" w:space="0" w:color="auto"/>
            </w:tcBorders>
          </w:tcPr>
          <w:p w:rsidR="001E26BE" w:rsidRPr="008A0A30" w:rsidRDefault="001E26BE" w:rsidP="00B11886"/>
        </w:tc>
        <w:tc>
          <w:tcPr>
            <w:tcW w:w="1169" w:type="dxa"/>
            <w:vMerge/>
            <w:tcBorders>
              <w:bottom w:val="single" w:sz="4" w:space="0" w:color="auto"/>
            </w:tcBorders>
          </w:tcPr>
          <w:p w:rsidR="001E26BE" w:rsidRPr="008A0A30" w:rsidRDefault="001E26BE" w:rsidP="00B11886"/>
        </w:tc>
        <w:tc>
          <w:tcPr>
            <w:tcW w:w="1080" w:type="dxa"/>
            <w:vMerge/>
            <w:tcBorders>
              <w:bottom w:val="single" w:sz="4" w:space="0" w:color="auto"/>
            </w:tcBorders>
          </w:tcPr>
          <w:p w:rsidR="001E26BE" w:rsidRPr="008A0A30" w:rsidRDefault="001E26BE" w:rsidP="00B11886"/>
        </w:tc>
        <w:tc>
          <w:tcPr>
            <w:tcW w:w="451" w:type="dxa"/>
            <w:vMerge/>
            <w:tcBorders>
              <w:bottom w:val="single" w:sz="4" w:space="0" w:color="auto"/>
            </w:tcBorders>
          </w:tcPr>
          <w:p w:rsidR="001E26BE" w:rsidRPr="008A0A30" w:rsidRDefault="001E26BE" w:rsidP="00B11886"/>
        </w:tc>
        <w:tc>
          <w:tcPr>
            <w:tcW w:w="1080" w:type="dxa"/>
            <w:tcBorders>
              <w:bottom w:val="single" w:sz="4" w:space="0" w:color="auto"/>
            </w:tcBorders>
          </w:tcPr>
          <w:p w:rsidR="001E26BE" w:rsidRPr="008A0A30" w:rsidRDefault="001E26BE" w:rsidP="00B11886">
            <w:pPr>
              <w:spacing w:after="0"/>
              <w:ind w:left="138" w:right="-20"/>
              <w:rPr>
                <w:sz w:val="18"/>
                <w:szCs w:val="18"/>
              </w:rPr>
            </w:pPr>
            <w:r w:rsidRPr="008A0A30">
              <w:rPr>
                <w:sz w:val="18"/>
                <w:szCs w:val="18"/>
              </w:rPr>
              <w:t>velpatasvir</w:t>
            </w:r>
          </w:p>
        </w:tc>
        <w:tc>
          <w:tcPr>
            <w:tcW w:w="1078" w:type="dxa"/>
            <w:tcBorders>
              <w:bottom w:val="single" w:sz="4" w:space="0" w:color="auto"/>
            </w:tcBorders>
          </w:tcPr>
          <w:p w:rsidR="001E26BE" w:rsidRPr="008A0A30" w:rsidRDefault="001E26BE" w:rsidP="00B11886">
            <w:pPr>
              <w:spacing w:before="19" w:after="0" w:line="206" w:lineRule="exact"/>
              <w:ind w:left="109" w:right="58" w:firstLine="264"/>
              <w:rPr>
                <w:sz w:val="18"/>
                <w:szCs w:val="18"/>
              </w:rPr>
            </w:pPr>
            <w:r w:rsidRPr="008A0A30">
              <w:rPr>
                <w:sz w:val="18"/>
                <w:szCs w:val="18"/>
              </w:rPr>
              <w:t>0.67 (0.58, 0.78)</w:t>
            </w:r>
          </w:p>
        </w:tc>
        <w:tc>
          <w:tcPr>
            <w:tcW w:w="1080" w:type="dxa"/>
            <w:tcBorders>
              <w:bottom w:val="single" w:sz="4" w:space="0" w:color="auto"/>
            </w:tcBorders>
          </w:tcPr>
          <w:p w:rsidR="001E26BE" w:rsidRDefault="001E26BE" w:rsidP="00B11886">
            <w:pPr>
              <w:spacing w:before="19" w:after="0" w:line="206" w:lineRule="exact"/>
              <w:ind w:left="112" w:right="58" w:firstLine="262"/>
              <w:rPr>
                <w:sz w:val="18"/>
                <w:szCs w:val="18"/>
              </w:rPr>
            </w:pPr>
            <w:r w:rsidRPr="008A0A30">
              <w:rPr>
                <w:sz w:val="18"/>
                <w:szCs w:val="18"/>
              </w:rPr>
              <w:t>0.74 (0.63, 0.86)</w:t>
            </w:r>
          </w:p>
          <w:p w:rsidR="009661AF" w:rsidRDefault="009661AF" w:rsidP="00B11886">
            <w:pPr>
              <w:spacing w:before="19" w:after="0" w:line="206" w:lineRule="exact"/>
              <w:ind w:left="112" w:right="58" w:firstLine="262"/>
              <w:rPr>
                <w:sz w:val="18"/>
                <w:szCs w:val="18"/>
              </w:rPr>
            </w:pPr>
          </w:p>
          <w:p w:rsidR="009661AF" w:rsidRPr="008A0A30" w:rsidRDefault="009661AF" w:rsidP="00B11886">
            <w:pPr>
              <w:spacing w:before="19" w:after="0" w:line="206" w:lineRule="exact"/>
              <w:ind w:left="112" w:right="58" w:firstLine="262"/>
              <w:rPr>
                <w:sz w:val="18"/>
                <w:szCs w:val="18"/>
              </w:rPr>
            </w:pPr>
          </w:p>
        </w:tc>
        <w:tc>
          <w:tcPr>
            <w:tcW w:w="1099" w:type="dxa"/>
            <w:tcBorders>
              <w:bottom w:val="single" w:sz="4" w:space="0" w:color="auto"/>
            </w:tcBorders>
          </w:tcPr>
          <w:p w:rsidR="001E26BE" w:rsidRDefault="001E26BE" w:rsidP="00B11886">
            <w:pPr>
              <w:spacing w:after="0"/>
              <w:ind w:left="371" w:right="359"/>
              <w:jc w:val="center"/>
              <w:rPr>
                <w:sz w:val="18"/>
                <w:szCs w:val="18"/>
              </w:rPr>
            </w:pPr>
            <w:r w:rsidRPr="008A0A30">
              <w:rPr>
                <w:sz w:val="18"/>
                <w:szCs w:val="18"/>
              </w:rPr>
              <w:t>NA</w:t>
            </w:r>
          </w:p>
          <w:p w:rsidR="009661AF" w:rsidRDefault="009661AF" w:rsidP="00B11886">
            <w:pPr>
              <w:spacing w:after="0"/>
              <w:ind w:left="371" w:right="359"/>
              <w:jc w:val="center"/>
              <w:rPr>
                <w:sz w:val="18"/>
                <w:szCs w:val="18"/>
              </w:rPr>
            </w:pPr>
          </w:p>
          <w:p w:rsidR="009661AF" w:rsidRPr="008A0A30" w:rsidRDefault="009661AF" w:rsidP="00B11886">
            <w:pPr>
              <w:spacing w:after="0"/>
              <w:ind w:left="371" w:right="359"/>
              <w:jc w:val="center"/>
              <w:rPr>
                <w:sz w:val="18"/>
                <w:szCs w:val="18"/>
              </w:rPr>
            </w:pPr>
          </w:p>
        </w:tc>
      </w:tr>
      <w:tr w:rsidR="001E26BE" w:rsidRPr="008A0A30" w:rsidTr="00D541A1">
        <w:trPr>
          <w:trHeight w:hRule="exact" w:val="468"/>
        </w:trPr>
        <w:tc>
          <w:tcPr>
            <w:tcW w:w="1279" w:type="dxa"/>
            <w:vMerge/>
          </w:tcPr>
          <w:p w:rsidR="001E26BE" w:rsidRPr="008A0A30" w:rsidRDefault="001E26BE" w:rsidP="00B11886"/>
        </w:tc>
        <w:tc>
          <w:tcPr>
            <w:tcW w:w="1319" w:type="dxa"/>
            <w:vMerge w:val="restart"/>
            <w:tcBorders>
              <w:bottom w:val="single" w:sz="4" w:space="0" w:color="auto"/>
            </w:tcBorders>
          </w:tcPr>
          <w:p w:rsidR="001E26BE" w:rsidRPr="008A0A30" w:rsidRDefault="001E26BE" w:rsidP="00B11886">
            <w:pPr>
              <w:spacing w:after="0"/>
              <w:ind w:left="102" w:right="84"/>
              <w:jc w:val="center"/>
              <w:rPr>
                <w:sz w:val="18"/>
                <w:szCs w:val="18"/>
              </w:rPr>
            </w:pPr>
            <w:r w:rsidRPr="008A0A30">
              <w:rPr>
                <w:sz w:val="18"/>
                <w:szCs w:val="18"/>
              </w:rPr>
              <w:t>40 once daily</w:t>
            </w:r>
          </w:p>
          <w:p w:rsidR="001E26BE" w:rsidRPr="008A0A30" w:rsidRDefault="009453C5" w:rsidP="003320AC">
            <w:pPr>
              <w:spacing w:before="5" w:after="0" w:line="206" w:lineRule="exact"/>
              <w:ind w:left="147" w:right="126"/>
              <w:jc w:val="center"/>
              <w:rPr>
                <w:sz w:val="18"/>
                <w:szCs w:val="18"/>
              </w:rPr>
            </w:pPr>
            <w:r>
              <w:rPr>
                <w:sz w:val="18"/>
                <w:szCs w:val="18"/>
              </w:rPr>
              <w:t xml:space="preserve">4 hours after </w:t>
            </w:r>
            <w:r w:rsidR="003320AC">
              <w:rPr>
                <w:sz w:val="18"/>
                <w:szCs w:val="18"/>
              </w:rPr>
              <w:t>EPCLUSA</w:t>
            </w:r>
          </w:p>
        </w:tc>
        <w:tc>
          <w:tcPr>
            <w:tcW w:w="1169" w:type="dxa"/>
            <w:vMerge w:val="restart"/>
          </w:tcPr>
          <w:p w:rsidR="001E26BE" w:rsidRPr="008A0A30" w:rsidRDefault="001E26BE" w:rsidP="00D541A1">
            <w:pPr>
              <w:spacing w:after="0" w:line="242" w:lineRule="auto"/>
              <w:ind w:left="273" w:right="152" w:hanging="70"/>
              <w:jc w:val="center"/>
              <w:rPr>
                <w:sz w:val="18"/>
                <w:szCs w:val="18"/>
              </w:rPr>
            </w:pPr>
            <w:r w:rsidRPr="008A0A30">
              <w:rPr>
                <w:sz w:val="18"/>
                <w:szCs w:val="18"/>
              </w:rPr>
              <w:t>100 single dose fed</w:t>
            </w:r>
          </w:p>
        </w:tc>
        <w:tc>
          <w:tcPr>
            <w:tcW w:w="1080" w:type="dxa"/>
            <w:vMerge w:val="restart"/>
          </w:tcPr>
          <w:p w:rsidR="001E26BE" w:rsidRPr="008A0A30" w:rsidRDefault="001E26BE" w:rsidP="00D541A1">
            <w:pPr>
              <w:spacing w:after="0" w:line="242" w:lineRule="auto"/>
              <w:ind w:left="229" w:right="109" w:hanging="72"/>
              <w:jc w:val="center"/>
              <w:rPr>
                <w:sz w:val="18"/>
                <w:szCs w:val="18"/>
              </w:rPr>
            </w:pPr>
            <w:r w:rsidRPr="008A0A30">
              <w:rPr>
                <w:sz w:val="18"/>
                <w:szCs w:val="18"/>
              </w:rPr>
              <w:t>400 single dose fed</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40</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13" w:after="0" w:line="242" w:lineRule="auto"/>
              <w:ind w:left="109" w:right="58" w:firstLine="264"/>
              <w:rPr>
                <w:sz w:val="18"/>
                <w:szCs w:val="18"/>
              </w:rPr>
            </w:pPr>
            <w:r w:rsidRPr="008A0A30">
              <w:rPr>
                <w:sz w:val="18"/>
                <w:szCs w:val="18"/>
              </w:rPr>
              <w:t>0.70 (0.57, 0.87)</w:t>
            </w:r>
          </w:p>
        </w:tc>
        <w:tc>
          <w:tcPr>
            <w:tcW w:w="1080" w:type="dxa"/>
          </w:tcPr>
          <w:p w:rsidR="001E26BE" w:rsidRPr="008A0A30" w:rsidRDefault="001E26BE" w:rsidP="00B11886">
            <w:pPr>
              <w:spacing w:before="13" w:after="0" w:line="242" w:lineRule="auto"/>
              <w:ind w:left="112" w:right="58" w:firstLine="262"/>
              <w:rPr>
                <w:sz w:val="18"/>
                <w:szCs w:val="18"/>
              </w:rPr>
            </w:pPr>
            <w:r w:rsidRPr="008A0A30">
              <w:rPr>
                <w:sz w:val="18"/>
                <w:szCs w:val="18"/>
              </w:rPr>
              <w:t>0.91 (0.76, 1.08)</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9B63B7">
        <w:trPr>
          <w:trHeight w:hRule="exact" w:val="803"/>
        </w:trPr>
        <w:tc>
          <w:tcPr>
            <w:tcW w:w="1279" w:type="dxa"/>
            <w:vMerge/>
          </w:tcPr>
          <w:p w:rsidR="001E26BE" w:rsidRPr="008A0A30" w:rsidRDefault="001E26BE" w:rsidP="00B11886"/>
        </w:tc>
        <w:tc>
          <w:tcPr>
            <w:tcW w:w="1319" w:type="dxa"/>
            <w:vMerge/>
            <w:tcBorders>
              <w:bottom w:val="single" w:sz="4" w:space="0" w:color="auto"/>
            </w:tcBorders>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13" w:after="0" w:line="242" w:lineRule="auto"/>
              <w:ind w:left="109" w:right="58" w:firstLine="264"/>
              <w:rPr>
                <w:sz w:val="18"/>
                <w:szCs w:val="18"/>
              </w:rPr>
            </w:pPr>
            <w:r w:rsidRPr="008A0A30">
              <w:rPr>
                <w:sz w:val="18"/>
                <w:szCs w:val="18"/>
              </w:rPr>
              <w:t>1.01 (0.96, 1.07)</w:t>
            </w:r>
          </w:p>
        </w:tc>
        <w:tc>
          <w:tcPr>
            <w:tcW w:w="1080" w:type="dxa"/>
          </w:tcPr>
          <w:p w:rsidR="001E26BE" w:rsidRPr="008A0A30" w:rsidRDefault="001E26BE" w:rsidP="00B11886">
            <w:pPr>
              <w:spacing w:before="13" w:after="0" w:line="242" w:lineRule="auto"/>
              <w:ind w:left="112" w:right="58" w:firstLine="262"/>
              <w:rPr>
                <w:sz w:val="18"/>
                <w:szCs w:val="18"/>
              </w:rPr>
            </w:pPr>
            <w:r w:rsidRPr="008A0A30">
              <w:rPr>
                <w:sz w:val="18"/>
                <w:szCs w:val="18"/>
              </w:rPr>
              <w:t>0.99 (0.94, 1.03)</w:t>
            </w:r>
          </w:p>
        </w:tc>
        <w:tc>
          <w:tcPr>
            <w:tcW w:w="1099" w:type="dxa"/>
          </w:tcPr>
          <w:p w:rsidR="001E26BE" w:rsidRPr="008A0A30" w:rsidRDefault="001E26BE" w:rsidP="00B11886">
            <w:pPr>
              <w:spacing w:before="7" w:after="0" w:line="110" w:lineRule="exact"/>
              <w:rPr>
                <w:sz w:val="11"/>
                <w:szCs w:val="11"/>
              </w:rPr>
            </w:pPr>
          </w:p>
          <w:p w:rsidR="001E26BE" w:rsidRPr="008A0A30" w:rsidRDefault="001E26BE" w:rsidP="00B11886">
            <w:pPr>
              <w:spacing w:after="0"/>
              <w:ind w:left="370" w:right="359"/>
              <w:jc w:val="center"/>
              <w:rPr>
                <w:sz w:val="18"/>
                <w:szCs w:val="18"/>
              </w:rPr>
            </w:pPr>
            <w:r w:rsidRPr="008A0A30">
              <w:rPr>
                <w:sz w:val="18"/>
                <w:szCs w:val="18"/>
              </w:rPr>
              <w:t>NA</w:t>
            </w:r>
          </w:p>
        </w:tc>
      </w:tr>
      <w:tr w:rsidR="001E26BE" w:rsidRPr="008A0A30" w:rsidTr="00D541A1">
        <w:trPr>
          <w:trHeight w:hRule="exact" w:val="470"/>
        </w:trPr>
        <w:tc>
          <w:tcPr>
            <w:tcW w:w="1279" w:type="dxa"/>
            <w:vMerge/>
            <w:tcBorders>
              <w:bottom w:val="single" w:sz="4" w:space="0" w:color="auto"/>
            </w:tcBorders>
          </w:tcPr>
          <w:p w:rsidR="001E26BE" w:rsidRPr="008A0A30" w:rsidRDefault="001E26BE" w:rsidP="00B11886"/>
        </w:tc>
        <w:tc>
          <w:tcPr>
            <w:tcW w:w="1319" w:type="dxa"/>
            <w:vMerge/>
            <w:tcBorders>
              <w:bottom w:val="single" w:sz="4" w:space="0" w:color="auto"/>
            </w:tcBorders>
          </w:tcPr>
          <w:p w:rsidR="001E26BE" w:rsidRPr="008A0A30" w:rsidRDefault="001E26BE" w:rsidP="00B11886"/>
        </w:tc>
        <w:tc>
          <w:tcPr>
            <w:tcW w:w="1169" w:type="dxa"/>
            <w:vMerge/>
            <w:tcBorders>
              <w:bottom w:val="single" w:sz="4" w:space="0" w:color="auto"/>
            </w:tcBorders>
          </w:tcPr>
          <w:p w:rsidR="001E26BE" w:rsidRPr="008A0A30" w:rsidRDefault="001E26BE" w:rsidP="00B11886"/>
        </w:tc>
        <w:tc>
          <w:tcPr>
            <w:tcW w:w="1080" w:type="dxa"/>
            <w:vMerge/>
            <w:tcBorders>
              <w:bottom w:val="single" w:sz="4" w:space="0" w:color="auto"/>
            </w:tcBorders>
          </w:tcPr>
          <w:p w:rsidR="001E26BE" w:rsidRPr="008A0A30" w:rsidRDefault="001E26BE" w:rsidP="00B11886"/>
        </w:tc>
        <w:tc>
          <w:tcPr>
            <w:tcW w:w="451" w:type="dxa"/>
            <w:vMerge/>
            <w:tcBorders>
              <w:bottom w:val="single" w:sz="4" w:space="0" w:color="auto"/>
            </w:tcBorders>
          </w:tcPr>
          <w:p w:rsidR="001E26BE" w:rsidRPr="008A0A30" w:rsidRDefault="001E26BE" w:rsidP="00B11886"/>
        </w:tc>
        <w:tc>
          <w:tcPr>
            <w:tcW w:w="1080" w:type="dxa"/>
            <w:tcBorders>
              <w:bottom w:val="single" w:sz="4" w:space="0" w:color="auto"/>
            </w:tcBorders>
          </w:tcPr>
          <w:p w:rsidR="001E26BE" w:rsidRPr="008A0A30" w:rsidRDefault="001E26BE" w:rsidP="00B11886">
            <w:pPr>
              <w:spacing w:after="0"/>
              <w:ind w:left="138" w:right="-20"/>
              <w:rPr>
                <w:sz w:val="18"/>
                <w:szCs w:val="18"/>
              </w:rPr>
            </w:pPr>
            <w:r w:rsidRPr="008A0A30">
              <w:rPr>
                <w:sz w:val="18"/>
                <w:szCs w:val="18"/>
              </w:rPr>
              <w:t>velpatasvir</w:t>
            </w:r>
          </w:p>
        </w:tc>
        <w:tc>
          <w:tcPr>
            <w:tcW w:w="1078" w:type="dxa"/>
            <w:tcBorders>
              <w:bottom w:val="single" w:sz="4" w:space="0" w:color="auto"/>
            </w:tcBorders>
          </w:tcPr>
          <w:p w:rsidR="001E26BE" w:rsidRPr="008A0A30" w:rsidRDefault="001E26BE" w:rsidP="00B11886">
            <w:pPr>
              <w:spacing w:before="19" w:after="0" w:line="206" w:lineRule="exact"/>
              <w:ind w:left="109" w:right="58" w:firstLine="264"/>
              <w:rPr>
                <w:sz w:val="18"/>
                <w:szCs w:val="18"/>
              </w:rPr>
            </w:pPr>
            <w:r w:rsidRPr="008A0A30">
              <w:rPr>
                <w:sz w:val="18"/>
                <w:szCs w:val="18"/>
              </w:rPr>
              <w:t>0.44 (0.34, 0.57)</w:t>
            </w:r>
          </w:p>
        </w:tc>
        <w:tc>
          <w:tcPr>
            <w:tcW w:w="1080" w:type="dxa"/>
            <w:tcBorders>
              <w:bottom w:val="single" w:sz="4" w:space="0" w:color="auto"/>
            </w:tcBorders>
          </w:tcPr>
          <w:p w:rsidR="001E26BE" w:rsidRPr="008A0A30" w:rsidRDefault="001E26BE" w:rsidP="00B11886">
            <w:pPr>
              <w:spacing w:before="19" w:after="0" w:line="206" w:lineRule="exact"/>
              <w:ind w:left="112" w:right="58" w:firstLine="262"/>
              <w:rPr>
                <w:sz w:val="18"/>
                <w:szCs w:val="18"/>
              </w:rPr>
            </w:pPr>
            <w:r w:rsidRPr="008A0A30">
              <w:rPr>
                <w:sz w:val="18"/>
                <w:szCs w:val="18"/>
              </w:rPr>
              <w:t>0.47 (0.37, 0.60)</w:t>
            </w:r>
          </w:p>
        </w:tc>
        <w:tc>
          <w:tcPr>
            <w:tcW w:w="1099" w:type="dxa"/>
            <w:tcBorders>
              <w:bottom w:val="single" w:sz="4" w:space="0" w:color="auto"/>
            </w:tcBorders>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D541A1">
        <w:trPr>
          <w:trHeight w:hRule="exact" w:val="550"/>
        </w:trPr>
        <w:tc>
          <w:tcPr>
            <w:tcW w:w="1279" w:type="dxa"/>
            <w:vMerge w:val="restart"/>
            <w:tcBorders>
              <w:top w:val="single" w:sz="4" w:space="0" w:color="auto"/>
            </w:tcBorders>
          </w:tcPr>
          <w:p w:rsidR="001E26BE" w:rsidRPr="008A0A30" w:rsidRDefault="001E26BE" w:rsidP="00B11886">
            <w:pPr>
              <w:spacing w:after="0" w:line="206" w:lineRule="exact"/>
              <w:ind w:left="124" w:right="96" w:hanging="2"/>
              <w:jc w:val="center"/>
              <w:rPr>
                <w:sz w:val="18"/>
                <w:szCs w:val="18"/>
              </w:rPr>
            </w:pPr>
            <w:r w:rsidRPr="008A0A30">
              <w:rPr>
                <w:sz w:val="18"/>
                <w:szCs w:val="18"/>
              </w:rPr>
              <w:t xml:space="preserve">Raltegravir + </w:t>
            </w:r>
            <w:r w:rsidRPr="008A0A30">
              <w:rPr>
                <w:spacing w:val="2"/>
                <w:sz w:val="18"/>
                <w:szCs w:val="18"/>
              </w:rPr>
              <w:t>e</w:t>
            </w:r>
            <w:r w:rsidRPr="008A0A30">
              <w:rPr>
                <w:spacing w:val="-3"/>
                <w:sz w:val="18"/>
                <w:szCs w:val="18"/>
              </w:rPr>
              <w:t>m</w:t>
            </w:r>
            <w:r w:rsidRPr="008A0A30">
              <w:rPr>
                <w:sz w:val="18"/>
                <w:szCs w:val="18"/>
              </w:rPr>
              <w:t>tricitabine/ tenofovir DF</w:t>
            </w:r>
          </w:p>
        </w:tc>
        <w:tc>
          <w:tcPr>
            <w:tcW w:w="1319" w:type="dxa"/>
            <w:vMerge w:val="restart"/>
            <w:tcBorders>
              <w:top w:val="single" w:sz="4" w:space="0" w:color="auto"/>
            </w:tcBorders>
          </w:tcPr>
          <w:p w:rsidR="001E26BE" w:rsidRPr="008A0A30" w:rsidRDefault="001E26BE" w:rsidP="00F4504F">
            <w:pPr>
              <w:spacing w:after="0" w:line="206" w:lineRule="exact"/>
              <w:ind w:left="141" w:right="88" w:firstLine="130"/>
              <w:rPr>
                <w:sz w:val="18"/>
                <w:szCs w:val="18"/>
              </w:rPr>
            </w:pPr>
            <w:r w:rsidRPr="008A0A30">
              <w:rPr>
                <w:sz w:val="18"/>
                <w:szCs w:val="18"/>
              </w:rPr>
              <w:t>400 twice daily</w:t>
            </w:r>
            <w:r w:rsidR="0086479A">
              <w:rPr>
                <w:sz w:val="18"/>
                <w:szCs w:val="18"/>
              </w:rPr>
              <w:t xml:space="preserve"> </w:t>
            </w:r>
            <w:r w:rsidRPr="008A0A30">
              <w:rPr>
                <w:sz w:val="18"/>
                <w:szCs w:val="18"/>
              </w:rPr>
              <w:t>+</w:t>
            </w:r>
            <w:r w:rsidR="00FC3767">
              <w:rPr>
                <w:sz w:val="18"/>
                <w:szCs w:val="18"/>
              </w:rPr>
              <w:t xml:space="preserve"> </w:t>
            </w:r>
            <w:r w:rsidRPr="008A0A30">
              <w:rPr>
                <w:sz w:val="18"/>
                <w:szCs w:val="18"/>
              </w:rPr>
              <w:t>200/30</w:t>
            </w:r>
            <w:r w:rsidR="0086479A">
              <w:rPr>
                <w:sz w:val="18"/>
                <w:szCs w:val="18"/>
              </w:rPr>
              <w:t>0 once daily</w:t>
            </w:r>
          </w:p>
        </w:tc>
        <w:tc>
          <w:tcPr>
            <w:tcW w:w="1169" w:type="dxa"/>
            <w:vMerge w:val="restart"/>
            <w:tcBorders>
              <w:top w:val="single" w:sz="4" w:space="0" w:color="auto"/>
            </w:tcBorders>
          </w:tcPr>
          <w:p w:rsidR="001E26BE" w:rsidRPr="008A0A30" w:rsidRDefault="001E26BE" w:rsidP="00D541A1">
            <w:pPr>
              <w:spacing w:after="0" w:line="206" w:lineRule="exact"/>
              <w:ind w:left="395" w:right="198" w:hanging="146"/>
              <w:jc w:val="center"/>
              <w:rPr>
                <w:sz w:val="18"/>
                <w:szCs w:val="18"/>
              </w:rPr>
            </w:pPr>
            <w:r w:rsidRPr="008A0A30">
              <w:rPr>
                <w:sz w:val="18"/>
                <w:szCs w:val="18"/>
              </w:rPr>
              <w:t>100 once daily</w:t>
            </w:r>
          </w:p>
        </w:tc>
        <w:tc>
          <w:tcPr>
            <w:tcW w:w="1080" w:type="dxa"/>
            <w:vMerge w:val="restart"/>
            <w:tcBorders>
              <w:top w:val="single" w:sz="4" w:space="0" w:color="auto"/>
            </w:tcBorders>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451" w:type="dxa"/>
            <w:vMerge w:val="restart"/>
            <w:tcBorders>
              <w:top w:val="single" w:sz="4" w:space="0" w:color="auto"/>
            </w:tcBorders>
          </w:tcPr>
          <w:p w:rsidR="001E26BE" w:rsidRPr="008A0A30" w:rsidRDefault="001E26BE" w:rsidP="006E2EAA">
            <w:pPr>
              <w:spacing w:after="0"/>
              <w:ind w:right="-20"/>
              <w:jc w:val="center"/>
              <w:rPr>
                <w:sz w:val="18"/>
                <w:szCs w:val="18"/>
              </w:rPr>
            </w:pPr>
            <w:r w:rsidRPr="008A0A30">
              <w:rPr>
                <w:spacing w:val="1"/>
                <w:sz w:val="18"/>
                <w:szCs w:val="18"/>
              </w:rPr>
              <w:t>30</w:t>
            </w:r>
          </w:p>
        </w:tc>
        <w:tc>
          <w:tcPr>
            <w:tcW w:w="1080" w:type="dxa"/>
            <w:tcBorders>
              <w:top w:val="single" w:sz="4" w:space="0" w:color="auto"/>
            </w:tcBorders>
          </w:tcPr>
          <w:p w:rsidR="001E26BE" w:rsidRPr="008A0A30" w:rsidRDefault="001E26BE" w:rsidP="00B11886">
            <w:pPr>
              <w:spacing w:after="0"/>
              <w:ind w:left="150" w:right="-20"/>
              <w:rPr>
                <w:sz w:val="18"/>
                <w:szCs w:val="18"/>
              </w:rPr>
            </w:pPr>
            <w:r w:rsidRPr="008A0A30">
              <w:rPr>
                <w:sz w:val="18"/>
                <w:szCs w:val="18"/>
              </w:rPr>
              <w:t>sofosbuvir</w:t>
            </w:r>
          </w:p>
        </w:tc>
        <w:tc>
          <w:tcPr>
            <w:tcW w:w="1078" w:type="dxa"/>
            <w:tcBorders>
              <w:top w:val="single" w:sz="4" w:space="0" w:color="auto"/>
            </w:tcBorders>
          </w:tcPr>
          <w:p w:rsidR="001E26BE" w:rsidRPr="008A0A30" w:rsidRDefault="001E26BE" w:rsidP="00B11886">
            <w:pPr>
              <w:spacing w:before="57" w:after="0" w:line="206" w:lineRule="exact"/>
              <w:ind w:left="109" w:right="58" w:firstLine="264"/>
              <w:rPr>
                <w:sz w:val="18"/>
                <w:szCs w:val="18"/>
              </w:rPr>
            </w:pPr>
            <w:r w:rsidRPr="008A0A30">
              <w:rPr>
                <w:sz w:val="18"/>
                <w:szCs w:val="18"/>
              </w:rPr>
              <w:t>1.09 (0.97, 1.23)</w:t>
            </w:r>
          </w:p>
        </w:tc>
        <w:tc>
          <w:tcPr>
            <w:tcW w:w="1080" w:type="dxa"/>
            <w:tcBorders>
              <w:top w:val="single" w:sz="4" w:space="0" w:color="auto"/>
            </w:tcBorders>
          </w:tcPr>
          <w:p w:rsidR="001E26BE" w:rsidRPr="008A0A30" w:rsidRDefault="001E26BE" w:rsidP="00B11886">
            <w:pPr>
              <w:spacing w:before="57" w:after="0" w:line="206" w:lineRule="exact"/>
              <w:ind w:left="112" w:right="58" w:firstLine="262"/>
              <w:rPr>
                <w:sz w:val="18"/>
                <w:szCs w:val="18"/>
              </w:rPr>
            </w:pPr>
            <w:r w:rsidRPr="008A0A30">
              <w:rPr>
                <w:sz w:val="18"/>
                <w:szCs w:val="18"/>
              </w:rPr>
              <w:t>1.16 (1.07, 1.25)</w:t>
            </w:r>
          </w:p>
        </w:tc>
        <w:tc>
          <w:tcPr>
            <w:tcW w:w="1099" w:type="dxa"/>
            <w:tcBorders>
              <w:top w:val="single" w:sz="4" w:space="0" w:color="auto"/>
            </w:tcBorders>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47"/>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0.95 (0.91, 0.98)</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1.03 (1.00, 1.06)</w:t>
            </w:r>
          </w:p>
        </w:tc>
        <w:tc>
          <w:tcPr>
            <w:tcW w:w="1099" w:type="dxa"/>
          </w:tcPr>
          <w:p w:rsidR="001E26BE" w:rsidRPr="008A0A30" w:rsidRDefault="001E26BE" w:rsidP="00B11886">
            <w:pPr>
              <w:spacing w:before="57" w:after="0" w:line="206" w:lineRule="exact"/>
              <w:ind w:left="121" w:right="65" w:firstLine="262"/>
              <w:rPr>
                <w:sz w:val="18"/>
                <w:szCs w:val="18"/>
              </w:rPr>
            </w:pPr>
            <w:r w:rsidRPr="008A0A30">
              <w:rPr>
                <w:sz w:val="18"/>
                <w:szCs w:val="18"/>
              </w:rPr>
              <w:t>1.08 (1.04, 1.13)</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60" w:after="0" w:line="206" w:lineRule="exact"/>
              <w:ind w:left="109" w:right="58" w:firstLine="264"/>
              <w:rPr>
                <w:sz w:val="18"/>
                <w:szCs w:val="18"/>
              </w:rPr>
            </w:pPr>
            <w:r w:rsidRPr="008A0A30">
              <w:rPr>
                <w:sz w:val="18"/>
                <w:szCs w:val="18"/>
              </w:rPr>
              <w:t>0.97 (0.87, 1.08)</w:t>
            </w:r>
          </w:p>
        </w:tc>
        <w:tc>
          <w:tcPr>
            <w:tcW w:w="1080" w:type="dxa"/>
          </w:tcPr>
          <w:p w:rsidR="001E26BE" w:rsidRPr="008A0A30" w:rsidRDefault="001E26BE" w:rsidP="00B11886">
            <w:pPr>
              <w:spacing w:before="60" w:after="0" w:line="206" w:lineRule="exact"/>
              <w:ind w:left="112" w:right="58" w:firstLine="262"/>
              <w:rPr>
                <w:sz w:val="18"/>
                <w:szCs w:val="18"/>
              </w:rPr>
            </w:pPr>
            <w:r w:rsidRPr="008A0A30">
              <w:rPr>
                <w:sz w:val="18"/>
                <w:szCs w:val="18"/>
              </w:rPr>
              <w:t>0.98 (0.88, 1.10)</w:t>
            </w:r>
          </w:p>
        </w:tc>
        <w:tc>
          <w:tcPr>
            <w:tcW w:w="1099" w:type="dxa"/>
          </w:tcPr>
          <w:p w:rsidR="001E26BE" w:rsidRPr="008A0A30" w:rsidRDefault="001E26BE" w:rsidP="00B11886">
            <w:pPr>
              <w:spacing w:before="60" w:after="0" w:line="206" w:lineRule="exact"/>
              <w:ind w:left="121" w:right="65" w:firstLine="262"/>
              <w:rPr>
                <w:sz w:val="18"/>
                <w:szCs w:val="18"/>
              </w:rPr>
            </w:pPr>
            <w:r w:rsidRPr="008A0A30">
              <w:rPr>
                <w:sz w:val="18"/>
                <w:szCs w:val="18"/>
              </w:rPr>
              <w:t>0.97 (0.87, 1.07)</w:t>
            </w:r>
          </w:p>
        </w:tc>
      </w:tr>
      <w:tr w:rsidR="001E26BE" w:rsidRPr="008A0A30" w:rsidTr="006E2EAA">
        <w:trPr>
          <w:trHeight w:hRule="exact" w:val="550"/>
        </w:trPr>
        <w:tc>
          <w:tcPr>
            <w:tcW w:w="1279" w:type="dxa"/>
            <w:vMerge w:val="restart"/>
          </w:tcPr>
          <w:p w:rsidR="001E26BE" w:rsidRPr="008A0A30" w:rsidRDefault="001E26BE" w:rsidP="00B11886">
            <w:pPr>
              <w:spacing w:after="0"/>
              <w:ind w:left="300" w:right="-20"/>
              <w:rPr>
                <w:sz w:val="18"/>
                <w:szCs w:val="18"/>
              </w:rPr>
            </w:pPr>
            <w:r w:rsidRPr="008A0A30">
              <w:rPr>
                <w:sz w:val="18"/>
                <w:szCs w:val="18"/>
              </w:rPr>
              <w:t>Rifampin</w:t>
            </w:r>
          </w:p>
        </w:tc>
        <w:tc>
          <w:tcPr>
            <w:tcW w:w="1319" w:type="dxa"/>
            <w:vMerge w:val="restart"/>
          </w:tcPr>
          <w:p w:rsidR="001E26BE" w:rsidRPr="008A0A30" w:rsidRDefault="001E26BE" w:rsidP="00B11886">
            <w:pPr>
              <w:spacing w:after="0" w:line="206" w:lineRule="exact"/>
              <w:ind w:left="441" w:right="243" w:hanging="146"/>
              <w:rPr>
                <w:sz w:val="18"/>
                <w:szCs w:val="18"/>
              </w:rPr>
            </w:pPr>
            <w:r w:rsidRPr="008A0A30">
              <w:rPr>
                <w:sz w:val="18"/>
                <w:szCs w:val="18"/>
              </w:rPr>
              <w:t>600 once daily</w:t>
            </w:r>
          </w:p>
        </w:tc>
        <w:tc>
          <w:tcPr>
            <w:tcW w:w="1169" w:type="dxa"/>
            <w:vMerge w:val="restart"/>
          </w:tcPr>
          <w:p w:rsidR="001E26BE" w:rsidRPr="008A0A30" w:rsidRDefault="001E26BE" w:rsidP="00D541A1">
            <w:pPr>
              <w:spacing w:after="0"/>
              <w:ind w:left="412" w:right="394"/>
              <w:jc w:val="center"/>
              <w:rPr>
                <w:sz w:val="18"/>
                <w:szCs w:val="18"/>
              </w:rPr>
            </w:pPr>
            <w:r w:rsidRPr="008A0A30">
              <w:rPr>
                <w:sz w:val="18"/>
                <w:szCs w:val="18"/>
              </w:rPr>
              <w:t>ND</w:t>
            </w:r>
          </w:p>
        </w:tc>
        <w:tc>
          <w:tcPr>
            <w:tcW w:w="1080" w:type="dxa"/>
            <w:vMerge w:val="restart"/>
          </w:tcPr>
          <w:p w:rsidR="001E26BE" w:rsidRPr="008A0A30" w:rsidRDefault="001E26BE" w:rsidP="00D541A1">
            <w:pPr>
              <w:spacing w:after="0" w:line="206" w:lineRule="exact"/>
              <w:ind w:left="366" w:right="109" w:hanging="209"/>
              <w:jc w:val="center"/>
              <w:rPr>
                <w:sz w:val="18"/>
                <w:szCs w:val="18"/>
              </w:rPr>
            </w:pPr>
            <w:r w:rsidRPr="008A0A30">
              <w:rPr>
                <w:sz w:val="18"/>
                <w:szCs w:val="18"/>
              </w:rPr>
              <w:t xml:space="preserve">400 single </w:t>
            </w:r>
            <w:r w:rsidRPr="008A0A30">
              <w:rPr>
                <w:spacing w:val="1"/>
                <w:sz w:val="18"/>
                <w:szCs w:val="18"/>
              </w:rPr>
              <w:t>dose</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17</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4" w:after="0" w:line="242" w:lineRule="auto"/>
              <w:ind w:left="109" w:right="58" w:firstLine="264"/>
              <w:rPr>
                <w:sz w:val="18"/>
                <w:szCs w:val="18"/>
              </w:rPr>
            </w:pPr>
            <w:r w:rsidRPr="008A0A30">
              <w:rPr>
                <w:sz w:val="18"/>
                <w:szCs w:val="18"/>
              </w:rPr>
              <w:t>0.23 (0.19, 0.29)</w:t>
            </w:r>
          </w:p>
        </w:tc>
        <w:tc>
          <w:tcPr>
            <w:tcW w:w="1080" w:type="dxa"/>
          </w:tcPr>
          <w:p w:rsidR="001E26BE" w:rsidRPr="008A0A30" w:rsidRDefault="001E26BE" w:rsidP="00B11886">
            <w:pPr>
              <w:spacing w:before="54" w:after="0" w:line="242" w:lineRule="auto"/>
              <w:ind w:left="112" w:right="58" w:firstLine="262"/>
              <w:rPr>
                <w:sz w:val="18"/>
                <w:szCs w:val="18"/>
              </w:rPr>
            </w:pPr>
            <w:r w:rsidRPr="008A0A30">
              <w:rPr>
                <w:sz w:val="18"/>
                <w:szCs w:val="18"/>
              </w:rPr>
              <w:t>0.28 (0.24, 0.32)</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0"/>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1.23 (1.14, 1.34)</w:t>
            </w:r>
          </w:p>
        </w:tc>
        <w:tc>
          <w:tcPr>
            <w:tcW w:w="1080" w:type="dxa"/>
          </w:tcPr>
          <w:p w:rsidR="001E26BE" w:rsidRPr="008A0A30" w:rsidRDefault="001E26BE" w:rsidP="00B11886">
            <w:pPr>
              <w:spacing w:before="57" w:after="0" w:line="206" w:lineRule="exact"/>
              <w:ind w:left="112" w:right="52" w:firstLine="262"/>
              <w:rPr>
                <w:sz w:val="18"/>
                <w:szCs w:val="18"/>
              </w:rPr>
            </w:pPr>
            <w:r w:rsidRPr="008A0A30">
              <w:rPr>
                <w:sz w:val="18"/>
                <w:szCs w:val="18"/>
              </w:rPr>
              <w:t>0.95 (0.88, 1.03)</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47"/>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tcPr>
          <w:p w:rsidR="001E26BE" w:rsidRPr="008A0A30" w:rsidRDefault="001E26BE" w:rsidP="00D541A1">
            <w:pPr>
              <w:spacing w:before="57" w:after="0" w:line="206" w:lineRule="exact"/>
              <w:ind w:left="412" w:right="152" w:hanging="209"/>
              <w:jc w:val="center"/>
              <w:rPr>
                <w:sz w:val="18"/>
                <w:szCs w:val="18"/>
              </w:rPr>
            </w:pPr>
            <w:r w:rsidRPr="008A0A30">
              <w:rPr>
                <w:sz w:val="18"/>
                <w:szCs w:val="18"/>
              </w:rPr>
              <w:t xml:space="preserve">100 single </w:t>
            </w:r>
            <w:r w:rsidRPr="008A0A30">
              <w:rPr>
                <w:spacing w:val="1"/>
                <w:sz w:val="18"/>
                <w:szCs w:val="18"/>
              </w:rPr>
              <w:t>dose</w:t>
            </w:r>
          </w:p>
        </w:tc>
        <w:tc>
          <w:tcPr>
            <w:tcW w:w="1080" w:type="dxa"/>
          </w:tcPr>
          <w:p w:rsidR="001E26BE" w:rsidRPr="008A0A30" w:rsidRDefault="001E26BE" w:rsidP="00D541A1">
            <w:pPr>
              <w:spacing w:after="0"/>
              <w:ind w:left="369" w:right="349"/>
              <w:jc w:val="center"/>
              <w:rPr>
                <w:sz w:val="18"/>
                <w:szCs w:val="18"/>
              </w:rPr>
            </w:pPr>
            <w:r w:rsidRPr="008A0A30">
              <w:rPr>
                <w:sz w:val="18"/>
                <w:szCs w:val="18"/>
              </w:rPr>
              <w:t>ND</w:t>
            </w:r>
          </w:p>
        </w:tc>
        <w:tc>
          <w:tcPr>
            <w:tcW w:w="451" w:type="dxa"/>
          </w:tcPr>
          <w:p w:rsidR="001E26BE" w:rsidRPr="008A0A30" w:rsidRDefault="001E26BE" w:rsidP="00B11886">
            <w:pPr>
              <w:spacing w:after="0"/>
              <w:ind w:left="126" w:right="-20"/>
              <w:rPr>
                <w:sz w:val="18"/>
                <w:szCs w:val="18"/>
              </w:rPr>
            </w:pPr>
            <w:r w:rsidRPr="008A0A30">
              <w:rPr>
                <w:spacing w:val="1"/>
                <w:sz w:val="18"/>
                <w:szCs w:val="18"/>
              </w:rPr>
              <w:t>12</w:t>
            </w:r>
          </w:p>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7" w:after="0" w:line="206" w:lineRule="exact"/>
              <w:ind w:left="109" w:right="58" w:firstLine="264"/>
              <w:rPr>
                <w:sz w:val="18"/>
                <w:szCs w:val="18"/>
              </w:rPr>
            </w:pPr>
            <w:r w:rsidRPr="008A0A30">
              <w:rPr>
                <w:sz w:val="18"/>
                <w:szCs w:val="18"/>
              </w:rPr>
              <w:t>0.29 (0.23, 0.37)</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z w:val="18"/>
                <w:szCs w:val="18"/>
              </w:rPr>
              <w:t>0.18 (0.15, 0.22)</w:t>
            </w:r>
          </w:p>
        </w:tc>
        <w:tc>
          <w:tcPr>
            <w:tcW w:w="1099" w:type="dxa"/>
          </w:tcPr>
          <w:p w:rsidR="001E26BE" w:rsidRPr="008A0A30" w:rsidRDefault="001E26BE" w:rsidP="00B11886">
            <w:pPr>
              <w:spacing w:before="97" w:after="0"/>
              <w:ind w:left="366" w:right="354"/>
              <w:jc w:val="center"/>
              <w:rPr>
                <w:sz w:val="18"/>
                <w:szCs w:val="18"/>
              </w:rPr>
            </w:pPr>
            <w:r w:rsidRPr="008A0A30">
              <w:rPr>
                <w:sz w:val="18"/>
                <w:szCs w:val="18"/>
              </w:rPr>
              <w:t>NA</w:t>
            </w:r>
          </w:p>
        </w:tc>
      </w:tr>
      <w:tr w:rsidR="001E26BE" w:rsidRPr="008A0A30" w:rsidTr="006E2EAA">
        <w:trPr>
          <w:trHeight w:hRule="exact" w:val="559"/>
        </w:trPr>
        <w:tc>
          <w:tcPr>
            <w:tcW w:w="1279" w:type="dxa"/>
            <w:vMerge/>
          </w:tcPr>
          <w:p w:rsidR="001E26BE" w:rsidRPr="008A0A30" w:rsidRDefault="001E26BE" w:rsidP="00B11886"/>
        </w:tc>
        <w:tc>
          <w:tcPr>
            <w:tcW w:w="1319" w:type="dxa"/>
          </w:tcPr>
          <w:p w:rsidR="001E26BE" w:rsidRPr="008A0A30" w:rsidRDefault="001E26BE" w:rsidP="00B11886">
            <w:pPr>
              <w:spacing w:before="59" w:after="0" w:line="206" w:lineRule="exact"/>
              <w:ind w:left="457" w:right="198" w:hanging="209"/>
              <w:rPr>
                <w:sz w:val="18"/>
                <w:szCs w:val="18"/>
              </w:rPr>
            </w:pPr>
            <w:r w:rsidRPr="008A0A30">
              <w:rPr>
                <w:sz w:val="18"/>
                <w:szCs w:val="18"/>
              </w:rPr>
              <w:t xml:space="preserve">600 single </w:t>
            </w:r>
            <w:r w:rsidRPr="008A0A30">
              <w:rPr>
                <w:spacing w:val="1"/>
                <w:sz w:val="18"/>
                <w:szCs w:val="18"/>
              </w:rPr>
              <w:t>dose</w:t>
            </w:r>
          </w:p>
        </w:tc>
        <w:tc>
          <w:tcPr>
            <w:tcW w:w="1169" w:type="dxa"/>
          </w:tcPr>
          <w:p w:rsidR="001E26BE" w:rsidRPr="008A0A30" w:rsidRDefault="001E26BE" w:rsidP="00D541A1">
            <w:pPr>
              <w:spacing w:before="59" w:after="0" w:line="206" w:lineRule="exact"/>
              <w:ind w:left="412" w:right="152" w:hanging="209"/>
              <w:jc w:val="center"/>
              <w:rPr>
                <w:sz w:val="18"/>
                <w:szCs w:val="18"/>
              </w:rPr>
            </w:pPr>
            <w:r w:rsidRPr="008A0A30">
              <w:rPr>
                <w:sz w:val="18"/>
                <w:szCs w:val="18"/>
              </w:rPr>
              <w:t xml:space="preserve">100 single </w:t>
            </w:r>
            <w:r w:rsidRPr="008A0A30">
              <w:rPr>
                <w:spacing w:val="1"/>
                <w:sz w:val="18"/>
                <w:szCs w:val="18"/>
              </w:rPr>
              <w:t>dose</w:t>
            </w:r>
          </w:p>
        </w:tc>
        <w:tc>
          <w:tcPr>
            <w:tcW w:w="1080" w:type="dxa"/>
          </w:tcPr>
          <w:p w:rsidR="001E26BE" w:rsidRPr="008A0A30" w:rsidRDefault="001E26BE" w:rsidP="00D541A1">
            <w:pPr>
              <w:spacing w:after="0"/>
              <w:ind w:left="369" w:right="349"/>
              <w:jc w:val="center"/>
              <w:rPr>
                <w:sz w:val="18"/>
                <w:szCs w:val="18"/>
              </w:rPr>
            </w:pPr>
            <w:r w:rsidRPr="008A0A30">
              <w:rPr>
                <w:sz w:val="18"/>
                <w:szCs w:val="18"/>
              </w:rPr>
              <w:t>ND</w:t>
            </w:r>
          </w:p>
        </w:tc>
        <w:tc>
          <w:tcPr>
            <w:tcW w:w="451" w:type="dxa"/>
          </w:tcPr>
          <w:p w:rsidR="001E26BE" w:rsidRPr="008A0A30" w:rsidRDefault="001E26BE" w:rsidP="00B11886">
            <w:pPr>
              <w:spacing w:after="0"/>
              <w:ind w:left="126" w:right="-20"/>
              <w:rPr>
                <w:sz w:val="18"/>
                <w:szCs w:val="18"/>
              </w:rPr>
            </w:pPr>
            <w:r w:rsidRPr="008A0A30">
              <w:rPr>
                <w:spacing w:val="1"/>
                <w:sz w:val="18"/>
                <w:szCs w:val="18"/>
              </w:rPr>
              <w:t>12</w:t>
            </w:r>
          </w:p>
        </w:tc>
        <w:tc>
          <w:tcPr>
            <w:tcW w:w="1080" w:type="dxa"/>
          </w:tcPr>
          <w:p w:rsidR="001E26BE" w:rsidRPr="008A0A30" w:rsidRDefault="001E26BE" w:rsidP="00B11886">
            <w:pPr>
              <w:spacing w:after="0"/>
              <w:ind w:left="136" w:right="-20"/>
              <w:rPr>
                <w:sz w:val="18"/>
                <w:szCs w:val="18"/>
              </w:rPr>
            </w:pPr>
            <w:r w:rsidRPr="008A0A30">
              <w:rPr>
                <w:sz w:val="18"/>
                <w:szCs w:val="18"/>
              </w:rPr>
              <w:t>velpatasvir</w:t>
            </w:r>
          </w:p>
        </w:tc>
        <w:tc>
          <w:tcPr>
            <w:tcW w:w="1078" w:type="dxa"/>
          </w:tcPr>
          <w:p w:rsidR="001E26BE" w:rsidRPr="008A0A30" w:rsidRDefault="001E26BE" w:rsidP="00B11886">
            <w:pPr>
              <w:spacing w:before="59" w:after="0" w:line="206" w:lineRule="exact"/>
              <w:ind w:left="109" w:right="58" w:firstLine="264"/>
              <w:rPr>
                <w:sz w:val="18"/>
                <w:szCs w:val="18"/>
              </w:rPr>
            </w:pPr>
            <w:r w:rsidRPr="008A0A30">
              <w:rPr>
                <w:sz w:val="18"/>
                <w:szCs w:val="18"/>
              </w:rPr>
              <w:t>1.28 (1.05, 1.56)</w:t>
            </w:r>
          </w:p>
        </w:tc>
        <w:tc>
          <w:tcPr>
            <w:tcW w:w="1080" w:type="dxa"/>
          </w:tcPr>
          <w:p w:rsidR="001E26BE" w:rsidRPr="008A0A30" w:rsidRDefault="001E26BE" w:rsidP="00B11886">
            <w:pPr>
              <w:spacing w:before="59" w:after="0" w:line="206" w:lineRule="exact"/>
              <w:ind w:left="112" w:right="58" w:firstLine="262"/>
              <w:rPr>
                <w:sz w:val="18"/>
                <w:szCs w:val="18"/>
              </w:rPr>
            </w:pPr>
            <w:r w:rsidRPr="008A0A30">
              <w:rPr>
                <w:sz w:val="18"/>
                <w:szCs w:val="18"/>
              </w:rPr>
              <w:t>1.46 (1.17, 1.83)</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7"/>
        </w:trPr>
        <w:tc>
          <w:tcPr>
            <w:tcW w:w="1279" w:type="dxa"/>
            <w:vMerge w:val="restart"/>
          </w:tcPr>
          <w:p w:rsidR="001E26BE" w:rsidRPr="008A0A30" w:rsidRDefault="001E26BE" w:rsidP="00B11886">
            <w:pPr>
              <w:spacing w:after="0"/>
              <w:ind w:left="228" w:right="-20"/>
              <w:rPr>
                <w:sz w:val="18"/>
                <w:szCs w:val="18"/>
              </w:rPr>
            </w:pPr>
            <w:r w:rsidRPr="008A0A30">
              <w:rPr>
                <w:sz w:val="18"/>
                <w:szCs w:val="18"/>
              </w:rPr>
              <w:t>Tacrolimus</w:t>
            </w:r>
          </w:p>
        </w:tc>
        <w:tc>
          <w:tcPr>
            <w:tcW w:w="1319" w:type="dxa"/>
            <w:vMerge w:val="restart"/>
          </w:tcPr>
          <w:p w:rsidR="001E26BE" w:rsidRPr="008A0A30" w:rsidRDefault="001E26BE" w:rsidP="00B11886">
            <w:pPr>
              <w:spacing w:after="0"/>
              <w:ind w:left="150" w:right="-20"/>
              <w:rPr>
                <w:sz w:val="18"/>
                <w:szCs w:val="18"/>
              </w:rPr>
            </w:pPr>
            <w:r w:rsidRPr="008A0A30">
              <w:rPr>
                <w:sz w:val="18"/>
                <w:szCs w:val="18"/>
              </w:rPr>
              <w:t>5 single dose</w:t>
            </w:r>
          </w:p>
        </w:tc>
        <w:tc>
          <w:tcPr>
            <w:tcW w:w="1169" w:type="dxa"/>
            <w:vMerge w:val="restart"/>
          </w:tcPr>
          <w:p w:rsidR="001E26BE" w:rsidRPr="008A0A30" w:rsidRDefault="001E26BE" w:rsidP="00D541A1">
            <w:pPr>
              <w:spacing w:after="0"/>
              <w:ind w:left="412" w:right="394"/>
              <w:jc w:val="center"/>
              <w:rPr>
                <w:sz w:val="18"/>
                <w:szCs w:val="18"/>
              </w:rPr>
            </w:pPr>
            <w:r w:rsidRPr="008A0A30">
              <w:rPr>
                <w:sz w:val="18"/>
                <w:szCs w:val="18"/>
              </w:rPr>
              <w:t>ND</w:t>
            </w:r>
          </w:p>
        </w:tc>
        <w:tc>
          <w:tcPr>
            <w:tcW w:w="1080" w:type="dxa"/>
            <w:vMerge w:val="restart"/>
          </w:tcPr>
          <w:p w:rsidR="001E26BE" w:rsidRPr="008A0A30" w:rsidRDefault="001E26BE" w:rsidP="00D541A1">
            <w:pPr>
              <w:spacing w:after="0" w:line="242" w:lineRule="auto"/>
              <w:ind w:left="366" w:right="109" w:hanging="209"/>
              <w:jc w:val="center"/>
              <w:rPr>
                <w:sz w:val="18"/>
                <w:szCs w:val="18"/>
              </w:rPr>
            </w:pPr>
            <w:r w:rsidRPr="008A0A30">
              <w:rPr>
                <w:sz w:val="18"/>
                <w:szCs w:val="18"/>
              </w:rPr>
              <w:t xml:space="preserve">400 single </w:t>
            </w:r>
            <w:r w:rsidRPr="008A0A30">
              <w:rPr>
                <w:spacing w:val="1"/>
                <w:sz w:val="18"/>
                <w:szCs w:val="18"/>
              </w:rPr>
              <w:t>dose</w:t>
            </w:r>
          </w:p>
        </w:tc>
        <w:tc>
          <w:tcPr>
            <w:tcW w:w="451" w:type="dxa"/>
            <w:vMerge w:val="restart"/>
          </w:tcPr>
          <w:p w:rsidR="001E26BE" w:rsidRPr="008A0A30" w:rsidRDefault="001E26BE" w:rsidP="00B11886">
            <w:pPr>
              <w:spacing w:after="0"/>
              <w:ind w:left="126" w:right="-20"/>
              <w:rPr>
                <w:sz w:val="18"/>
                <w:szCs w:val="18"/>
              </w:rPr>
            </w:pPr>
            <w:r w:rsidRPr="008A0A30">
              <w:rPr>
                <w:spacing w:val="1"/>
                <w:sz w:val="18"/>
                <w:szCs w:val="18"/>
              </w:rPr>
              <w:t>16</w:t>
            </w:r>
          </w:p>
        </w:tc>
        <w:tc>
          <w:tcPr>
            <w:tcW w:w="1080" w:type="dxa"/>
          </w:tcPr>
          <w:p w:rsidR="001E26BE" w:rsidRPr="008A0A30" w:rsidRDefault="001E26BE" w:rsidP="00B11886">
            <w:pPr>
              <w:spacing w:after="0"/>
              <w:ind w:left="150" w:right="-20"/>
              <w:rPr>
                <w:sz w:val="18"/>
                <w:szCs w:val="18"/>
              </w:rPr>
            </w:pPr>
            <w:r w:rsidRPr="008A0A30">
              <w:rPr>
                <w:sz w:val="18"/>
                <w:szCs w:val="18"/>
              </w:rPr>
              <w:t>sofosbuvir</w:t>
            </w:r>
          </w:p>
        </w:tc>
        <w:tc>
          <w:tcPr>
            <w:tcW w:w="1078" w:type="dxa"/>
          </w:tcPr>
          <w:p w:rsidR="001E26BE" w:rsidRPr="008A0A30" w:rsidRDefault="001E26BE" w:rsidP="00B11886">
            <w:pPr>
              <w:spacing w:before="57" w:after="0" w:line="206" w:lineRule="exact"/>
              <w:ind w:left="109" w:right="58" w:firstLine="262"/>
              <w:rPr>
                <w:sz w:val="18"/>
                <w:szCs w:val="18"/>
              </w:rPr>
            </w:pPr>
            <w:r w:rsidRPr="008A0A30">
              <w:rPr>
                <w:spacing w:val="1"/>
                <w:sz w:val="18"/>
                <w:szCs w:val="18"/>
              </w:rPr>
              <w:t xml:space="preserve">0.97 </w:t>
            </w:r>
            <w:r w:rsidRPr="008A0A30">
              <w:rPr>
                <w:sz w:val="18"/>
                <w:szCs w:val="18"/>
              </w:rPr>
              <w:t>(0.65, 1.43)</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pacing w:val="1"/>
                <w:sz w:val="18"/>
                <w:szCs w:val="18"/>
              </w:rPr>
              <w:t xml:space="preserve">1.13 </w:t>
            </w:r>
            <w:r w:rsidRPr="008A0A30">
              <w:rPr>
                <w:sz w:val="18"/>
                <w:szCs w:val="18"/>
              </w:rPr>
              <w:t>(0.81, 1.57)</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E2EAA">
        <w:trPr>
          <w:trHeight w:hRule="exact" w:val="557"/>
        </w:trPr>
        <w:tc>
          <w:tcPr>
            <w:tcW w:w="1279" w:type="dxa"/>
            <w:vMerge/>
          </w:tcPr>
          <w:p w:rsidR="001E26BE" w:rsidRPr="008A0A30" w:rsidRDefault="001E26BE" w:rsidP="00B11886"/>
        </w:tc>
        <w:tc>
          <w:tcPr>
            <w:tcW w:w="1319" w:type="dxa"/>
            <w:vMerge/>
          </w:tcPr>
          <w:p w:rsidR="001E26BE" w:rsidRPr="008A0A30" w:rsidRDefault="001E26BE" w:rsidP="00B11886"/>
        </w:tc>
        <w:tc>
          <w:tcPr>
            <w:tcW w:w="1169" w:type="dxa"/>
            <w:vMerge/>
          </w:tcPr>
          <w:p w:rsidR="001E26BE" w:rsidRPr="008A0A30" w:rsidRDefault="001E26BE" w:rsidP="00B11886"/>
        </w:tc>
        <w:tc>
          <w:tcPr>
            <w:tcW w:w="1080" w:type="dxa"/>
            <w:vMerge/>
          </w:tcPr>
          <w:p w:rsidR="001E26BE" w:rsidRPr="008A0A30" w:rsidRDefault="001E26BE" w:rsidP="00B11886"/>
        </w:tc>
        <w:tc>
          <w:tcPr>
            <w:tcW w:w="451" w:type="dxa"/>
            <w:vMerge/>
          </w:tcPr>
          <w:p w:rsidR="001E26BE" w:rsidRPr="008A0A30" w:rsidRDefault="001E26BE" w:rsidP="00B11886"/>
        </w:tc>
        <w:tc>
          <w:tcPr>
            <w:tcW w:w="1080" w:type="dxa"/>
          </w:tcPr>
          <w:p w:rsidR="001E26BE" w:rsidRPr="008A0A30" w:rsidRDefault="001E26BE" w:rsidP="00B11886">
            <w:pPr>
              <w:spacing w:after="0"/>
              <w:ind w:left="117" w:right="-20"/>
              <w:rPr>
                <w:sz w:val="18"/>
                <w:szCs w:val="18"/>
              </w:rPr>
            </w:pPr>
            <w:r w:rsidRPr="008A0A30">
              <w:rPr>
                <w:spacing w:val="-3"/>
                <w:sz w:val="18"/>
                <w:szCs w:val="18"/>
              </w:rPr>
              <w:t>G</w:t>
            </w:r>
            <w:r w:rsidRPr="008A0A30">
              <w:rPr>
                <w:spacing w:val="1"/>
                <w:sz w:val="18"/>
                <w:szCs w:val="18"/>
              </w:rPr>
              <w:t>S</w:t>
            </w:r>
            <w:r w:rsidRPr="008A0A30">
              <w:rPr>
                <w:sz w:val="18"/>
                <w:szCs w:val="18"/>
              </w:rPr>
              <w:t>-</w:t>
            </w:r>
            <w:r w:rsidRPr="008A0A30">
              <w:rPr>
                <w:spacing w:val="1"/>
                <w:sz w:val="18"/>
                <w:szCs w:val="18"/>
              </w:rPr>
              <w:t>331007</w:t>
            </w:r>
          </w:p>
        </w:tc>
        <w:tc>
          <w:tcPr>
            <w:tcW w:w="1078" w:type="dxa"/>
          </w:tcPr>
          <w:p w:rsidR="001E26BE" w:rsidRPr="008A0A30" w:rsidRDefault="001E26BE" w:rsidP="00B11886">
            <w:pPr>
              <w:spacing w:before="57" w:after="0" w:line="206" w:lineRule="exact"/>
              <w:ind w:left="109" w:right="58" w:firstLine="262"/>
              <w:rPr>
                <w:sz w:val="18"/>
                <w:szCs w:val="18"/>
              </w:rPr>
            </w:pPr>
            <w:r w:rsidRPr="008A0A30">
              <w:rPr>
                <w:sz w:val="18"/>
                <w:szCs w:val="18"/>
              </w:rPr>
              <w:t>0.97 (0.83, 1.14)</w:t>
            </w:r>
          </w:p>
        </w:tc>
        <w:tc>
          <w:tcPr>
            <w:tcW w:w="1080" w:type="dxa"/>
          </w:tcPr>
          <w:p w:rsidR="001E26BE" w:rsidRPr="008A0A30" w:rsidRDefault="001E26BE" w:rsidP="00B11886">
            <w:pPr>
              <w:spacing w:before="57" w:after="0" w:line="206" w:lineRule="exact"/>
              <w:ind w:left="112" w:right="58" w:firstLine="262"/>
              <w:rPr>
                <w:sz w:val="18"/>
                <w:szCs w:val="18"/>
              </w:rPr>
            </w:pPr>
            <w:r w:rsidRPr="008A0A30">
              <w:rPr>
                <w:spacing w:val="1"/>
                <w:sz w:val="18"/>
                <w:szCs w:val="18"/>
              </w:rPr>
              <w:t xml:space="preserve">1.00 </w:t>
            </w:r>
            <w:r w:rsidRPr="008A0A30">
              <w:rPr>
                <w:sz w:val="18"/>
                <w:szCs w:val="18"/>
              </w:rPr>
              <w:t>(0.87, 1.13)</w:t>
            </w:r>
          </w:p>
        </w:tc>
        <w:tc>
          <w:tcPr>
            <w:tcW w:w="1099" w:type="dxa"/>
          </w:tcPr>
          <w:p w:rsidR="001E26BE" w:rsidRPr="008A0A30" w:rsidRDefault="001E26BE" w:rsidP="00B11886">
            <w:pPr>
              <w:spacing w:after="0"/>
              <w:ind w:left="371" w:right="359"/>
              <w:jc w:val="center"/>
              <w:rPr>
                <w:sz w:val="18"/>
                <w:szCs w:val="18"/>
              </w:rPr>
            </w:pPr>
            <w:r w:rsidRPr="008A0A30">
              <w:rPr>
                <w:sz w:val="18"/>
                <w:szCs w:val="18"/>
              </w:rPr>
              <w:t>NA</w:t>
            </w:r>
          </w:p>
        </w:tc>
      </w:tr>
    </w:tbl>
    <w:p w:rsidR="001E26BE" w:rsidRPr="00BB341F" w:rsidRDefault="001E26BE" w:rsidP="00905634">
      <w:pPr>
        <w:spacing w:before="0" w:after="0"/>
        <w:rPr>
          <w:rFonts w:cs="Arial"/>
          <w:sz w:val="18"/>
          <w:szCs w:val="18"/>
          <w:lang w:val="en-GB"/>
        </w:rPr>
      </w:pPr>
      <w:r w:rsidRPr="00BB341F">
        <w:rPr>
          <w:rFonts w:cs="Arial"/>
          <w:sz w:val="18"/>
          <w:szCs w:val="18"/>
          <w:lang w:val="en-GB"/>
        </w:rPr>
        <w:t>NA = not available/not applicable, ND = not dosed.</w:t>
      </w:r>
    </w:p>
    <w:p w:rsidR="001E26BE" w:rsidRPr="00BB341F" w:rsidRDefault="001E26BE" w:rsidP="00905634">
      <w:pPr>
        <w:spacing w:before="0" w:after="0"/>
        <w:rPr>
          <w:rFonts w:cs="Arial"/>
          <w:sz w:val="18"/>
          <w:szCs w:val="18"/>
          <w:lang w:val="en-GB"/>
        </w:rPr>
      </w:pPr>
      <w:r w:rsidRPr="00BB341F">
        <w:rPr>
          <w:rFonts w:cs="Arial"/>
          <w:sz w:val="18"/>
          <w:szCs w:val="18"/>
          <w:lang w:val="en-GB"/>
        </w:rPr>
        <w:t>a. All interaction studies conducted in healthy volunteers.</w:t>
      </w:r>
    </w:p>
    <w:p w:rsidR="001E26BE" w:rsidRPr="00BB341F" w:rsidRDefault="001E26BE" w:rsidP="00905634">
      <w:pPr>
        <w:spacing w:before="0" w:after="0"/>
        <w:rPr>
          <w:rFonts w:cs="Arial"/>
          <w:sz w:val="18"/>
          <w:szCs w:val="18"/>
          <w:lang w:val="en-GB"/>
        </w:rPr>
      </w:pPr>
      <w:r w:rsidRPr="00BB341F">
        <w:rPr>
          <w:rFonts w:cs="Arial"/>
          <w:sz w:val="18"/>
          <w:szCs w:val="18"/>
          <w:lang w:val="en-GB"/>
        </w:rPr>
        <w:t>b. Administered as Atripla (efavirenz, emtricitabine and tenofovir DF fixed-dose combination).</w:t>
      </w:r>
    </w:p>
    <w:p w:rsidR="001E26BE" w:rsidRPr="00BB341F" w:rsidRDefault="001E26BE" w:rsidP="00905634">
      <w:pPr>
        <w:spacing w:before="0" w:after="0"/>
        <w:rPr>
          <w:rFonts w:cs="Arial"/>
          <w:sz w:val="18"/>
          <w:szCs w:val="18"/>
          <w:lang w:val="en-GB"/>
        </w:rPr>
      </w:pPr>
      <w:r w:rsidRPr="00BB341F">
        <w:rPr>
          <w:rFonts w:cs="Arial"/>
          <w:sz w:val="18"/>
          <w:szCs w:val="18"/>
          <w:lang w:val="en-GB"/>
        </w:rPr>
        <w:t xml:space="preserve">c. Administered as </w:t>
      </w:r>
      <w:r w:rsidR="002530A6" w:rsidRPr="00BB341F">
        <w:rPr>
          <w:rFonts w:cs="Arial"/>
          <w:sz w:val="18"/>
          <w:szCs w:val="18"/>
          <w:lang w:val="en-GB"/>
        </w:rPr>
        <w:t>Genvoya</w:t>
      </w:r>
      <w:r w:rsidRPr="00BB341F">
        <w:rPr>
          <w:rFonts w:cs="Arial"/>
          <w:sz w:val="18"/>
          <w:szCs w:val="18"/>
          <w:lang w:val="en-GB"/>
        </w:rPr>
        <w:t xml:space="preserve"> (elvitegravir, cobicistat, emtricitabine and tenofovir alafenamide fixed-dose combination).</w:t>
      </w:r>
    </w:p>
    <w:p w:rsidR="00FC3767" w:rsidRDefault="001E26BE" w:rsidP="00905634">
      <w:pPr>
        <w:spacing w:before="0" w:after="0"/>
        <w:rPr>
          <w:rFonts w:cs="Arial"/>
          <w:sz w:val="18"/>
          <w:szCs w:val="18"/>
          <w:lang w:val="en-GB"/>
        </w:rPr>
      </w:pPr>
      <w:r w:rsidRPr="00BB341F">
        <w:rPr>
          <w:rFonts w:cs="Arial"/>
          <w:sz w:val="18"/>
          <w:szCs w:val="18"/>
          <w:lang w:val="en-GB"/>
        </w:rPr>
        <w:t>d. Administered as Stribild (elvitegravir, cobicistat, emtricitabine and tenofovir DF fixed-dose combination).</w:t>
      </w:r>
    </w:p>
    <w:p w:rsidR="001E26BE" w:rsidRDefault="001E26BE" w:rsidP="00905634">
      <w:pPr>
        <w:spacing w:before="0" w:after="0"/>
        <w:rPr>
          <w:rFonts w:cs="Arial"/>
          <w:sz w:val="18"/>
          <w:szCs w:val="18"/>
          <w:lang w:val="en-GB"/>
        </w:rPr>
      </w:pPr>
      <w:r w:rsidRPr="00BB341F">
        <w:rPr>
          <w:rFonts w:cs="Arial"/>
          <w:sz w:val="18"/>
          <w:szCs w:val="18"/>
          <w:lang w:val="en-GB"/>
        </w:rPr>
        <w:t>e. Administered as Complera (emtricitabine, rilpivirine and tenofovir DF fixed-dose combination).</w:t>
      </w:r>
    </w:p>
    <w:p w:rsidR="001E26BE" w:rsidRPr="008A0A30" w:rsidRDefault="00003AC8" w:rsidP="00003AC8">
      <w:pPr>
        <w:pStyle w:val="Caption"/>
      </w:pPr>
      <w:r>
        <w:t xml:space="preserve">Table </w:t>
      </w:r>
      <w:fldSimple w:instr=" SEQ Table \* ARABIC ">
        <w:r w:rsidR="00D60556">
          <w:rPr>
            <w:noProof/>
          </w:rPr>
          <w:t>6</w:t>
        </w:r>
      </w:fldSimple>
      <w:r>
        <w:t xml:space="preserve">. </w:t>
      </w:r>
      <w:r w:rsidR="001E26BE" w:rsidRPr="008A0A30">
        <w:t xml:space="preserve">Changes in Pharmacokinetic Parameters for Coadministered Drug in the Presence </w:t>
      </w:r>
      <w:r w:rsidR="006E2EAA" w:rsidRPr="008A0A30">
        <w:t xml:space="preserve">of Sofosbuvir, Velpatasvir, or </w:t>
      </w:r>
      <w:r w:rsidR="00C3685A">
        <w:t>EPCLUSA</w:t>
      </w:r>
      <w:r w:rsidR="001E26BE" w:rsidRPr="008A0A30">
        <w:rPr>
          <w:vertAlign w:val="superscript"/>
        </w:rPr>
        <w:t>a</w:t>
      </w:r>
    </w:p>
    <w:tbl>
      <w:tblPr>
        <w:tblW w:w="9577" w:type="dxa"/>
        <w:tblInd w:w="96" w:type="dxa"/>
        <w:tblLayout w:type="fixed"/>
        <w:tblCellMar>
          <w:left w:w="0" w:type="dxa"/>
          <w:right w:w="0" w:type="dxa"/>
        </w:tblCellMar>
        <w:tblLook w:val="01E0" w:firstRow="1" w:lastRow="1" w:firstColumn="1" w:lastColumn="1" w:noHBand="0" w:noVBand="0"/>
      </w:tblPr>
      <w:tblGrid>
        <w:gridCol w:w="1728"/>
        <w:gridCol w:w="10"/>
        <w:gridCol w:w="1680"/>
        <w:gridCol w:w="14"/>
        <w:gridCol w:w="1242"/>
        <w:gridCol w:w="16"/>
        <w:gridCol w:w="1080"/>
        <w:gridCol w:w="550"/>
        <w:gridCol w:w="1078"/>
        <w:gridCol w:w="1076"/>
        <w:gridCol w:w="1095"/>
        <w:gridCol w:w="8"/>
      </w:tblGrid>
      <w:tr w:rsidR="001E26BE" w:rsidRPr="008A0A30" w:rsidTr="00003AC8">
        <w:trPr>
          <w:trHeight w:hRule="exact" w:val="1178"/>
          <w:tblHeader/>
        </w:trPr>
        <w:tc>
          <w:tcPr>
            <w:tcW w:w="1728" w:type="dxa"/>
            <w:vMerge w:val="restart"/>
            <w:tcBorders>
              <w:top w:val="single" w:sz="12" w:space="0" w:color="000000"/>
              <w:left w:val="nil"/>
              <w:right w:val="single" w:sz="6" w:space="0" w:color="000000"/>
            </w:tcBorders>
          </w:tcPr>
          <w:p w:rsidR="001E26BE" w:rsidRPr="008A0A30" w:rsidRDefault="001E26BE" w:rsidP="00B11886">
            <w:pPr>
              <w:spacing w:after="0"/>
              <w:ind w:left="108" w:right="-20"/>
              <w:rPr>
                <w:sz w:val="18"/>
                <w:szCs w:val="18"/>
              </w:rPr>
            </w:pPr>
            <w:r w:rsidRPr="008A0A30">
              <w:rPr>
                <w:b/>
                <w:bCs/>
                <w:sz w:val="18"/>
                <w:szCs w:val="18"/>
              </w:rPr>
              <w:t>C</w:t>
            </w:r>
            <w:r w:rsidRPr="008A0A30">
              <w:rPr>
                <w:b/>
                <w:bCs/>
                <w:spacing w:val="-1"/>
                <w:sz w:val="18"/>
                <w:szCs w:val="18"/>
              </w:rPr>
              <w:t>o</w:t>
            </w:r>
            <w:r w:rsidRPr="008A0A30">
              <w:rPr>
                <w:b/>
                <w:bCs/>
                <w:sz w:val="18"/>
                <w:szCs w:val="18"/>
              </w:rPr>
              <w:t>-administered</w:t>
            </w:r>
          </w:p>
          <w:p w:rsidR="001E26BE" w:rsidRPr="008A0A30" w:rsidRDefault="001E26BE" w:rsidP="00B11886">
            <w:pPr>
              <w:spacing w:after="0" w:line="206" w:lineRule="exact"/>
              <w:ind w:left="108" w:right="-20"/>
              <w:rPr>
                <w:sz w:val="18"/>
                <w:szCs w:val="18"/>
              </w:rPr>
            </w:pPr>
            <w:r w:rsidRPr="008A0A30">
              <w:rPr>
                <w:b/>
                <w:bCs/>
                <w:spacing w:val="-1"/>
                <w:sz w:val="18"/>
                <w:szCs w:val="18"/>
              </w:rPr>
              <w:t>Drug</w:t>
            </w:r>
          </w:p>
        </w:tc>
        <w:tc>
          <w:tcPr>
            <w:tcW w:w="1704" w:type="dxa"/>
            <w:gridSpan w:val="3"/>
            <w:vMerge w:val="restart"/>
            <w:tcBorders>
              <w:top w:val="single" w:sz="12" w:space="0" w:color="000000"/>
              <w:left w:val="single" w:sz="6" w:space="0" w:color="000000"/>
              <w:right w:val="single" w:sz="6" w:space="0" w:color="000000"/>
            </w:tcBorders>
          </w:tcPr>
          <w:p w:rsidR="001E26BE" w:rsidRPr="008A0A30" w:rsidRDefault="001E26BE" w:rsidP="00003AC8">
            <w:pPr>
              <w:spacing w:after="0" w:line="206" w:lineRule="exact"/>
              <w:ind w:left="103" w:right="83" w:hanging="5"/>
              <w:jc w:val="center"/>
              <w:rPr>
                <w:sz w:val="18"/>
                <w:szCs w:val="18"/>
              </w:rPr>
            </w:pPr>
            <w:r w:rsidRPr="008A0A30">
              <w:rPr>
                <w:b/>
                <w:bCs/>
                <w:sz w:val="18"/>
                <w:szCs w:val="18"/>
              </w:rPr>
              <w:t>Dose of C</w:t>
            </w:r>
            <w:r w:rsidRPr="008A0A30">
              <w:rPr>
                <w:b/>
                <w:bCs/>
                <w:spacing w:val="-1"/>
                <w:sz w:val="18"/>
                <w:szCs w:val="18"/>
              </w:rPr>
              <w:t>o</w:t>
            </w:r>
            <w:r w:rsidRPr="008A0A30">
              <w:rPr>
                <w:b/>
                <w:bCs/>
                <w:sz w:val="18"/>
                <w:szCs w:val="18"/>
              </w:rPr>
              <w:t xml:space="preserve">- administered Drug </w:t>
            </w:r>
            <w:r w:rsidRPr="008A0A30">
              <w:rPr>
                <w:b/>
                <w:bCs/>
                <w:spacing w:val="2"/>
                <w:sz w:val="18"/>
                <w:szCs w:val="18"/>
              </w:rPr>
              <w:t>(</w:t>
            </w:r>
            <w:r w:rsidRPr="008A0A30">
              <w:rPr>
                <w:b/>
                <w:bCs/>
                <w:spacing w:val="-6"/>
                <w:sz w:val="18"/>
                <w:szCs w:val="18"/>
              </w:rPr>
              <w:t>m</w:t>
            </w:r>
            <w:r w:rsidRPr="008A0A30">
              <w:rPr>
                <w:b/>
                <w:bCs/>
                <w:spacing w:val="1"/>
                <w:sz w:val="18"/>
                <w:szCs w:val="18"/>
              </w:rPr>
              <w:t>g)</w:t>
            </w:r>
          </w:p>
        </w:tc>
        <w:tc>
          <w:tcPr>
            <w:tcW w:w="1258" w:type="dxa"/>
            <w:gridSpan w:val="2"/>
            <w:vMerge w:val="restart"/>
            <w:tcBorders>
              <w:top w:val="single" w:sz="12" w:space="0" w:color="000000"/>
              <w:left w:val="single" w:sz="6" w:space="0" w:color="000000"/>
              <w:right w:val="single" w:sz="6" w:space="0" w:color="000000"/>
            </w:tcBorders>
          </w:tcPr>
          <w:p w:rsidR="001E26BE" w:rsidRPr="008A0A30" w:rsidRDefault="001E26BE" w:rsidP="00243CE5">
            <w:pPr>
              <w:spacing w:after="0"/>
              <w:ind w:left="177" w:right="-20"/>
              <w:rPr>
                <w:sz w:val="18"/>
                <w:szCs w:val="18"/>
              </w:rPr>
            </w:pPr>
            <w:r w:rsidRPr="008A0A30">
              <w:rPr>
                <w:b/>
                <w:bCs/>
                <w:sz w:val="18"/>
                <w:szCs w:val="18"/>
              </w:rPr>
              <w:t>Velpatasvir</w:t>
            </w:r>
            <w:r w:rsidR="00243CE5" w:rsidRPr="008A0A30">
              <w:rPr>
                <w:b/>
                <w:bCs/>
                <w:sz w:val="18"/>
                <w:szCs w:val="18"/>
              </w:rPr>
              <w:t xml:space="preserve"> </w:t>
            </w:r>
            <w:r w:rsidRPr="008A0A30">
              <w:rPr>
                <w:b/>
                <w:bCs/>
                <w:sz w:val="18"/>
                <w:szCs w:val="18"/>
              </w:rPr>
              <w:t>Dose (mg)</w:t>
            </w:r>
          </w:p>
        </w:tc>
        <w:tc>
          <w:tcPr>
            <w:tcW w:w="1080" w:type="dxa"/>
            <w:vMerge w:val="restart"/>
            <w:tcBorders>
              <w:top w:val="single" w:sz="12" w:space="0" w:color="000000"/>
              <w:left w:val="single" w:sz="6" w:space="0" w:color="000000"/>
              <w:right w:val="single" w:sz="6" w:space="0" w:color="000000"/>
            </w:tcBorders>
          </w:tcPr>
          <w:p w:rsidR="001E26BE" w:rsidRPr="008A0A30" w:rsidRDefault="001E26BE" w:rsidP="00243CE5">
            <w:pPr>
              <w:spacing w:after="0"/>
              <w:ind w:left="117" w:right="-20"/>
              <w:rPr>
                <w:sz w:val="18"/>
                <w:szCs w:val="18"/>
              </w:rPr>
            </w:pPr>
            <w:r w:rsidRPr="008A0A30">
              <w:rPr>
                <w:b/>
                <w:bCs/>
                <w:sz w:val="18"/>
                <w:szCs w:val="18"/>
              </w:rPr>
              <w:t>Sofo</w:t>
            </w:r>
            <w:r w:rsidRPr="008A0A30">
              <w:rPr>
                <w:b/>
                <w:bCs/>
                <w:spacing w:val="2"/>
                <w:sz w:val="18"/>
                <w:szCs w:val="18"/>
              </w:rPr>
              <w:t>s</w:t>
            </w:r>
            <w:r w:rsidRPr="008A0A30">
              <w:rPr>
                <w:b/>
                <w:bCs/>
                <w:spacing w:val="-1"/>
                <w:sz w:val="18"/>
                <w:szCs w:val="18"/>
              </w:rPr>
              <w:t>buvir</w:t>
            </w:r>
            <w:r w:rsidR="00243CE5" w:rsidRPr="008A0A30">
              <w:rPr>
                <w:b/>
                <w:bCs/>
                <w:spacing w:val="-1"/>
                <w:sz w:val="18"/>
                <w:szCs w:val="18"/>
              </w:rPr>
              <w:t xml:space="preserve"> </w:t>
            </w:r>
            <w:r w:rsidRPr="008A0A30">
              <w:rPr>
                <w:b/>
                <w:bCs/>
                <w:sz w:val="18"/>
                <w:szCs w:val="18"/>
              </w:rPr>
              <w:t>Dose (mg)</w:t>
            </w:r>
          </w:p>
        </w:tc>
        <w:tc>
          <w:tcPr>
            <w:tcW w:w="550" w:type="dxa"/>
            <w:vMerge w:val="restart"/>
            <w:tcBorders>
              <w:top w:val="single" w:sz="12" w:space="0" w:color="000000"/>
              <w:left w:val="single" w:sz="6" w:space="0" w:color="000000"/>
              <w:right w:val="single" w:sz="6" w:space="0" w:color="000000"/>
            </w:tcBorders>
          </w:tcPr>
          <w:p w:rsidR="001E26BE" w:rsidRPr="008A0A30" w:rsidRDefault="001E26BE" w:rsidP="00B11886">
            <w:pPr>
              <w:spacing w:after="0"/>
              <w:ind w:left="162" w:right="144"/>
              <w:jc w:val="center"/>
              <w:rPr>
                <w:sz w:val="18"/>
                <w:szCs w:val="18"/>
              </w:rPr>
            </w:pPr>
            <w:r w:rsidRPr="008A0A30">
              <w:rPr>
                <w:b/>
                <w:bCs/>
                <w:sz w:val="18"/>
                <w:szCs w:val="18"/>
              </w:rPr>
              <w:t>N</w:t>
            </w:r>
          </w:p>
        </w:tc>
        <w:tc>
          <w:tcPr>
            <w:tcW w:w="3257" w:type="dxa"/>
            <w:gridSpan w:val="4"/>
            <w:tcBorders>
              <w:top w:val="single" w:sz="12" w:space="0" w:color="000000"/>
              <w:left w:val="single" w:sz="6" w:space="0" w:color="000000"/>
              <w:bottom w:val="single" w:sz="6" w:space="0" w:color="000000"/>
              <w:right w:val="nil"/>
            </w:tcBorders>
          </w:tcPr>
          <w:p w:rsidR="001E26BE" w:rsidRPr="008A0A30" w:rsidRDefault="001E26BE" w:rsidP="00003AC8">
            <w:pPr>
              <w:spacing w:before="64" w:after="0" w:line="206" w:lineRule="exact"/>
              <w:ind w:left="115" w:right="103" w:firstLine="2"/>
              <w:jc w:val="center"/>
              <w:rPr>
                <w:sz w:val="18"/>
                <w:szCs w:val="18"/>
              </w:rPr>
            </w:pPr>
            <w:r w:rsidRPr="008A0A30">
              <w:rPr>
                <w:b/>
                <w:bCs/>
                <w:sz w:val="18"/>
                <w:szCs w:val="18"/>
              </w:rPr>
              <w:t>Mean Ratio (90%</w:t>
            </w:r>
            <w:r w:rsidRPr="008A0A30">
              <w:rPr>
                <w:b/>
                <w:bCs/>
                <w:spacing w:val="-5"/>
                <w:sz w:val="18"/>
                <w:szCs w:val="18"/>
              </w:rPr>
              <w:t xml:space="preserve"> </w:t>
            </w:r>
            <w:r w:rsidRPr="008A0A30">
              <w:rPr>
                <w:b/>
                <w:bCs/>
                <w:sz w:val="18"/>
                <w:szCs w:val="18"/>
              </w:rPr>
              <w:t>CI) of Coadministered Drug PK With/Without Sofosbuvir,</w:t>
            </w:r>
            <w:r w:rsidRPr="008A0A30">
              <w:rPr>
                <w:b/>
                <w:bCs/>
                <w:spacing w:val="45"/>
                <w:sz w:val="18"/>
                <w:szCs w:val="18"/>
              </w:rPr>
              <w:t xml:space="preserve"> </w:t>
            </w:r>
            <w:r w:rsidR="00243CE5" w:rsidRPr="008A0A30">
              <w:rPr>
                <w:b/>
                <w:bCs/>
                <w:sz w:val="18"/>
                <w:szCs w:val="18"/>
              </w:rPr>
              <w:t xml:space="preserve">Velpatasvir or </w:t>
            </w:r>
            <w:r w:rsidR="00C3685A">
              <w:rPr>
                <w:b/>
                <w:bCs/>
                <w:sz w:val="18"/>
                <w:szCs w:val="18"/>
              </w:rPr>
              <w:t>EPCLUSA</w:t>
            </w:r>
            <w:r w:rsidR="00243CE5" w:rsidRPr="008A0A30">
              <w:rPr>
                <w:b/>
                <w:bCs/>
                <w:sz w:val="18"/>
                <w:szCs w:val="18"/>
              </w:rPr>
              <w:t xml:space="preserve"> </w:t>
            </w:r>
            <w:r w:rsidRPr="008A0A30">
              <w:rPr>
                <w:b/>
                <w:bCs/>
                <w:sz w:val="18"/>
                <w:szCs w:val="18"/>
              </w:rPr>
              <w:t>No Effect=1.00</w:t>
            </w:r>
          </w:p>
        </w:tc>
      </w:tr>
      <w:tr w:rsidR="001E26BE" w:rsidRPr="008A0A30" w:rsidTr="00003AC8">
        <w:trPr>
          <w:trHeight w:hRule="exact" w:val="348"/>
          <w:tblHeader/>
        </w:trPr>
        <w:tc>
          <w:tcPr>
            <w:tcW w:w="1728" w:type="dxa"/>
            <w:vMerge/>
            <w:tcBorders>
              <w:left w:val="nil"/>
              <w:bottom w:val="single" w:sz="12" w:space="0" w:color="000000"/>
              <w:right w:val="single" w:sz="6" w:space="0" w:color="000000"/>
            </w:tcBorders>
          </w:tcPr>
          <w:p w:rsidR="001E26BE" w:rsidRPr="008A0A30" w:rsidRDefault="001E26BE" w:rsidP="00B11886"/>
        </w:tc>
        <w:tc>
          <w:tcPr>
            <w:tcW w:w="1704" w:type="dxa"/>
            <w:gridSpan w:val="3"/>
            <w:vMerge/>
            <w:tcBorders>
              <w:left w:val="single" w:sz="6" w:space="0" w:color="000000"/>
              <w:bottom w:val="single" w:sz="12" w:space="0" w:color="000000"/>
              <w:right w:val="single" w:sz="6" w:space="0" w:color="000000"/>
            </w:tcBorders>
          </w:tcPr>
          <w:p w:rsidR="001E26BE" w:rsidRPr="008A0A30" w:rsidRDefault="001E26BE" w:rsidP="00B11886"/>
        </w:tc>
        <w:tc>
          <w:tcPr>
            <w:tcW w:w="1258" w:type="dxa"/>
            <w:gridSpan w:val="2"/>
            <w:vMerge/>
            <w:tcBorders>
              <w:left w:val="single" w:sz="6" w:space="0" w:color="000000"/>
              <w:bottom w:val="single" w:sz="12" w:space="0" w:color="000000"/>
              <w:right w:val="single" w:sz="6" w:space="0" w:color="000000"/>
            </w:tcBorders>
          </w:tcPr>
          <w:p w:rsidR="001E26BE" w:rsidRPr="008A0A30" w:rsidRDefault="001E26BE" w:rsidP="00B11886"/>
        </w:tc>
        <w:tc>
          <w:tcPr>
            <w:tcW w:w="1080" w:type="dxa"/>
            <w:vMerge/>
            <w:tcBorders>
              <w:left w:val="single" w:sz="6" w:space="0" w:color="000000"/>
              <w:bottom w:val="single" w:sz="12" w:space="0" w:color="000000"/>
              <w:right w:val="single" w:sz="6" w:space="0" w:color="000000"/>
            </w:tcBorders>
          </w:tcPr>
          <w:p w:rsidR="001E26BE" w:rsidRPr="008A0A30" w:rsidRDefault="001E26BE" w:rsidP="00B11886"/>
        </w:tc>
        <w:tc>
          <w:tcPr>
            <w:tcW w:w="550" w:type="dxa"/>
            <w:vMerge/>
            <w:tcBorders>
              <w:left w:val="single" w:sz="6" w:space="0" w:color="000000"/>
              <w:bottom w:val="single" w:sz="12"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before="60" w:after="0"/>
              <w:ind w:left="322" w:right="301"/>
              <w:jc w:val="center"/>
              <w:rPr>
                <w:sz w:val="12"/>
                <w:szCs w:val="12"/>
              </w:rPr>
            </w:pPr>
            <w:r w:rsidRPr="008A0A30">
              <w:rPr>
                <w:b/>
                <w:bCs/>
                <w:position w:val="3"/>
                <w:sz w:val="18"/>
                <w:szCs w:val="18"/>
              </w:rPr>
              <w:t>C</w:t>
            </w:r>
            <w:r w:rsidRPr="008A0A30">
              <w:rPr>
                <w:b/>
                <w:bCs/>
                <w:sz w:val="12"/>
                <w:szCs w:val="12"/>
              </w:rPr>
              <w:t>max</w:t>
            </w:r>
          </w:p>
        </w:tc>
        <w:tc>
          <w:tcPr>
            <w:tcW w:w="1076" w:type="dxa"/>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before="59" w:after="0"/>
              <w:ind w:left="335" w:right="-20"/>
              <w:rPr>
                <w:sz w:val="18"/>
                <w:szCs w:val="18"/>
              </w:rPr>
            </w:pPr>
            <w:r w:rsidRPr="008A0A30">
              <w:rPr>
                <w:b/>
                <w:bCs/>
                <w:sz w:val="18"/>
                <w:szCs w:val="18"/>
              </w:rPr>
              <w:t>AUC</w:t>
            </w:r>
          </w:p>
        </w:tc>
        <w:tc>
          <w:tcPr>
            <w:tcW w:w="1103" w:type="dxa"/>
            <w:gridSpan w:val="2"/>
            <w:tcBorders>
              <w:top w:val="single" w:sz="6" w:space="0" w:color="000000"/>
              <w:left w:val="single" w:sz="6" w:space="0" w:color="000000"/>
              <w:bottom w:val="single" w:sz="12" w:space="0" w:color="000000"/>
              <w:right w:val="nil"/>
            </w:tcBorders>
          </w:tcPr>
          <w:p w:rsidR="001E26BE" w:rsidRPr="008A0A30" w:rsidRDefault="001E26BE" w:rsidP="00B11886">
            <w:pPr>
              <w:spacing w:before="60" w:after="0"/>
              <w:ind w:left="341" w:right="333"/>
              <w:jc w:val="center"/>
              <w:rPr>
                <w:sz w:val="12"/>
                <w:szCs w:val="12"/>
              </w:rPr>
            </w:pPr>
            <w:r w:rsidRPr="008A0A30">
              <w:rPr>
                <w:b/>
                <w:bCs/>
                <w:position w:val="3"/>
                <w:sz w:val="18"/>
                <w:szCs w:val="18"/>
              </w:rPr>
              <w:t>C</w:t>
            </w:r>
            <w:r w:rsidRPr="008A0A30">
              <w:rPr>
                <w:b/>
                <w:bCs/>
                <w:spacing w:val="-1"/>
                <w:sz w:val="12"/>
                <w:szCs w:val="12"/>
              </w:rPr>
              <w:t>min</w:t>
            </w:r>
          </w:p>
        </w:tc>
      </w:tr>
      <w:tr w:rsidR="001E26BE" w:rsidRPr="008A0A30" w:rsidTr="00653CA5">
        <w:trPr>
          <w:trHeight w:hRule="exact" w:val="538"/>
        </w:trPr>
        <w:tc>
          <w:tcPr>
            <w:tcW w:w="1728" w:type="dxa"/>
            <w:vMerge w:val="restart"/>
            <w:tcBorders>
              <w:top w:val="single" w:sz="12" w:space="0" w:color="000000"/>
              <w:left w:val="nil"/>
              <w:right w:val="single" w:sz="6" w:space="0" w:color="000000"/>
            </w:tcBorders>
          </w:tcPr>
          <w:p w:rsidR="001E26BE" w:rsidRPr="008A0A30" w:rsidRDefault="001E26BE" w:rsidP="00B11886">
            <w:pPr>
              <w:spacing w:after="0"/>
              <w:ind w:left="108" w:right="-20"/>
              <w:rPr>
                <w:sz w:val="18"/>
                <w:szCs w:val="18"/>
              </w:rPr>
            </w:pPr>
            <w:r w:rsidRPr="008A0A30">
              <w:rPr>
                <w:sz w:val="18"/>
                <w:szCs w:val="18"/>
              </w:rPr>
              <w:t>Atazanavir/ ritonavir</w:t>
            </w:r>
          </w:p>
          <w:p w:rsidR="001E26BE" w:rsidRPr="008A0A30" w:rsidRDefault="001E26BE" w:rsidP="00A81AEE">
            <w:pPr>
              <w:spacing w:before="2" w:after="0" w:line="202" w:lineRule="exact"/>
              <w:ind w:left="108" w:right="-20"/>
              <w:rPr>
                <w:sz w:val="12"/>
                <w:szCs w:val="12"/>
              </w:rPr>
            </w:pPr>
            <w:r w:rsidRPr="008A0A30">
              <w:rPr>
                <w:position w:val="-1"/>
                <w:sz w:val="18"/>
                <w:szCs w:val="18"/>
              </w:rPr>
              <w:t>+ emtricitabine/</w:t>
            </w:r>
            <w:r w:rsidR="00243CE5" w:rsidRPr="008A0A30">
              <w:rPr>
                <w:position w:val="-1"/>
                <w:sz w:val="18"/>
                <w:szCs w:val="18"/>
              </w:rPr>
              <w:t xml:space="preserve"> </w:t>
            </w:r>
            <w:r w:rsidRPr="008A0A30">
              <w:rPr>
                <w:sz w:val="18"/>
                <w:szCs w:val="18"/>
              </w:rPr>
              <w:t>tenofovir D</w:t>
            </w:r>
            <w:r w:rsidRPr="008A0A30">
              <w:rPr>
                <w:spacing w:val="1"/>
                <w:sz w:val="18"/>
                <w:szCs w:val="18"/>
              </w:rPr>
              <w:t>F</w:t>
            </w:r>
            <w:r w:rsidRPr="008A0A30">
              <w:rPr>
                <w:position w:val="8"/>
                <w:sz w:val="12"/>
                <w:szCs w:val="12"/>
              </w:rPr>
              <w:t>b</w:t>
            </w:r>
          </w:p>
        </w:tc>
        <w:tc>
          <w:tcPr>
            <w:tcW w:w="1704" w:type="dxa"/>
            <w:gridSpan w:val="3"/>
            <w:tcBorders>
              <w:top w:val="single" w:sz="12" w:space="0" w:color="000000"/>
              <w:left w:val="single" w:sz="6" w:space="0" w:color="000000"/>
              <w:bottom w:val="single" w:sz="6" w:space="0" w:color="000000"/>
              <w:right w:val="single" w:sz="6" w:space="0" w:color="000000"/>
            </w:tcBorders>
          </w:tcPr>
          <w:p w:rsidR="001E26BE" w:rsidRPr="008A0A30" w:rsidRDefault="001E26BE" w:rsidP="00D541A1">
            <w:pPr>
              <w:spacing w:before="61" w:after="0" w:line="204" w:lineRule="exact"/>
              <w:ind w:left="666" w:right="75" w:hanging="540"/>
              <w:rPr>
                <w:sz w:val="18"/>
                <w:szCs w:val="18"/>
              </w:rPr>
            </w:pPr>
            <w:r w:rsidRPr="008A0A30">
              <w:rPr>
                <w:sz w:val="18"/>
                <w:szCs w:val="18"/>
              </w:rPr>
              <w:t>atazanavir 300 once daily</w:t>
            </w:r>
          </w:p>
        </w:tc>
        <w:tc>
          <w:tcPr>
            <w:tcW w:w="1258" w:type="dxa"/>
            <w:gridSpan w:val="2"/>
            <w:vMerge w:val="restart"/>
            <w:tcBorders>
              <w:top w:val="single" w:sz="12" w:space="0" w:color="000000"/>
              <w:left w:val="single" w:sz="6" w:space="0" w:color="000000"/>
              <w:right w:val="single" w:sz="6" w:space="0" w:color="000000"/>
            </w:tcBorders>
          </w:tcPr>
          <w:p w:rsidR="001E26BE" w:rsidRPr="008A0A30" w:rsidRDefault="001E26BE" w:rsidP="00D541A1">
            <w:pPr>
              <w:spacing w:after="0" w:line="206" w:lineRule="exact"/>
              <w:ind w:left="441" w:right="243" w:hanging="146"/>
              <w:jc w:val="center"/>
              <w:rPr>
                <w:sz w:val="18"/>
                <w:szCs w:val="18"/>
              </w:rPr>
            </w:pPr>
            <w:r w:rsidRPr="008A0A30">
              <w:rPr>
                <w:sz w:val="18"/>
                <w:szCs w:val="18"/>
              </w:rPr>
              <w:t>100 once daily</w:t>
            </w:r>
          </w:p>
        </w:tc>
        <w:tc>
          <w:tcPr>
            <w:tcW w:w="1080" w:type="dxa"/>
            <w:vMerge w:val="restart"/>
            <w:tcBorders>
              <w:top w:val="single" w:sz="12" w:space="0" w:color="000000"/>
              <w:left w:val="single" w:sz="6" w:space="0" w:color="000000"/>
              <w:right w:val="single" w:sz="6" w:space="0" w:color="000000"/>
            </w:tcBorders>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550" w:type="dxa"/>
            <w:vMerge w:val="restart"/>
            <w:tcBorders>
              <w:top w:val="single" w:sz="12" w:space="0" w:color="000000"/>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24</w:t>
            </w:r>
          </w:p>
        </w:tc>
        <w:tc>
          <w:tcPr>
            <w:tcW w:w="1078" w:type="dxa"/>
            <w:tcBorders>
              <w:top w:val="single" w:sz="12" w:space="0" w:color="000000"/>
              <w:left w:val="single" w:sz="6" w:space="0" w:color="000000"/>
              <w:bottom w:val="single" w:sz="6" w:space="0" w:color="000000"/>
              <w:right w:val="single" w:sz="6" w:space="0" w:color="000000"/>
            </w:tcBorders>
          </w:tcPr>
          <w:p w:rsidR="001E26BE" w:rsidRPr="008A0A30" w:rsidRDefault="001E26BE" w:rsidP="00B11886">
            <w:pPr>
              <w:spacing w:before="61" w:after="0" w:line="204" w:lineRule="exact"/>
              <w:ind w:left="112" w:right="58" w:firstLine="262"/>
              <w:rPr>
                <w:sz w:val="18"/>
                <w:szCs w:val="18"/>
              </w:rPr>
            </w:pPr>
            <w:r w:rsidRPr="008A0A30">
              <w:rPr>
                <w:sz w:val="18"/>
                <w:szCs w:val="18"/>
              </w:rPr>
              <w:t>1.09 (1.00, 1.19)</w:t>
            </w:r>
          </w:p>
        </w:tc>
        <w:tc>
          <w:tcPr>
            <w:tcW w:w="1076" w:type="dxa"/>
            <w:tcBorders>
              <w:top w:val="single" w:sz="12" w:space="0" w:color="000000"/>
              <w:left w:val="single" w:sz="6" w:space="0" w:color="000000"/>
              <w:bottom w:val="single" w:sz="6" w:space="0" w:color="000000"/>
              <w:right w:val="single" w:sz="6" w:space="0" w:color="000000"/>
            </w:tcBorders>
          </w:tcPr>
          <w:p w:rsidR="001E26BE" w:rsidRPr="008A0A30" w:rsidRDefault="001E26BE" w:rsidP="00B11886">
            <w:pPr>
              <w:spacing w:before="61" w:after="0" w:line="204" w:lineRule="exact"/>
              <w:ind w:left="109" w:right="58" w:firstLine="264"/>
              <w:rPr>
                <w:sz w:val="18"/>
                <w:szCs w:val="18"/>
              </w:rPr>
            </w:pPr>
            <w:r w:rsidRPr="008A0A30">
              <w:rPr>
                <w:sz w:val="18"/>
                <w:szCs w:val="18"/>
              </w:rPr>
              <w:t>1.20 (1.10, 1.31)</w:t>
            </w:r>
          </w:p>
        </w:tc>
        <w:tc>
          <w:tcPr>
            <w:tcW w:w="1103" w:type="dxa"/>
            <w:gridSpan w:val="2"/>
            <w:tcBorders>
              <w:top w:val="single" w:sz="12" w:space="0" w:color="000000"/>
              <w:left w:val="single" w:sz="6" w:space="0" w:color="000000"/>
              <w:bottom w:val="single" w:sz="6" w:space="0" w:color="000000"/>
              <w:right w:val="nil"/>
            </w:tcBorders>
          </w:tcPr>
          <w:p w:rsidR="001E26BE" w:rsidRPr="008A0A30" w:rsidRDefault="001E26BE" w:rsidP="00B11886">
            <w:pPr>
              <w:spacing w:before="61" w:after="0" w:line="204" w:lineRule="exact"/>
              <w:ind w:left="121" w:right="76" w:firstLine="262"/>
              <w:rPr>
                <w:sz w:val="18"/>
                <w:szCs w:val="18"/>
              </w:rPr>
            </w:pPr>
            <w:r w:rsidRPr="008A0A30">
              <w:rPr>
                <w:sz w:val="18"/>
                <w:szCs w:val="18"/>
              </w:rPr>
              <w:t>1.39 (1.20, 1.61)</w:t>
            </w:r>
          </w:p>
        </w:tc>
      </w:tr>
      <w:tr w:rsidR="001E26BE" w:rsidRPr="008A0A30" w:rsidTr="00653CA5">
        <w:trPr>
          <w:trHeight w:hRule="exact" w:val="528"/>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9" w:after="0" w:line="204" w:lineRule="exact"/>
              <w:ind w:left="666" w:right="135" w:hanging="480"/>
              <w:rPr>
                <w:sz w:val="18"/>
                <w:szCs w:val="18"/>
              </w:rPr>
            </w:pPr>
            <w:r w:rsidRPr="008A0A30">
              <w:rPr>
                <w:sz w:val="18"/>
                <w:szCs w:val="18"/>
              </w:rPr>
              <w:t>ritonavir 100 once 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12" w:right="58" w:firstLine="262"/>
              <w:rPr>
                <w:sz w:val="18"/>
                <w:szCs w:val="18"/>
              </w:rPr>
            </w:pPr>
            <w:r w:rsidRPr="008A0A30">
              <w:rPr>
                <w:sz w:val="18"/>
                <w:szCs w:val="18"/>
              </w:rPr>
              <w:t>0.89 (0.82, 0.97)</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09" w:right="58" w:firstLine="264"/>
              <w:rPr>
                <w:sz w:val="18"/>
                <w:szCs w:val="18"/>
              </w:rPr>
            </w:pPr>
            <w:r w:rsidRPr="008A0A30">
              <w:rPr>
                <w:sz w:val="18"/>
                <w:szCs w:val="18"/>
              </w:rPr>
              <w:t>0.97 (0.89, 1.05)</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9" w:after="0" w:line="204" w:lineRule="exact"/>
              <w:ind w:left="121" w:right="76" w:firstLine="262"/>
              <w:rPr>
                <w:sz w:val="18"/>
                <w:szCs w:val="18"/>
              </w:rPr>
            </w:pPr>
            <w:r w:rsidRPr="008A0A30">
              <w:rPr>
                <w:sz w:val="18"/>
                <w:szCs w:val="18"/>
              </w:rPr>
              <w:t>1.29 (1.15,</w:t>
            </w:r>
            <w:r w:rsidRPr="008A0A30">
              <w:rPr>
                <w:spacing w:val="-1"/>
                <w:sz w:val="18"/>
                <w:szCs w:val="18"/>
              </w:rPr>
              <w:t xml:space="preserve"> </w:t>
            </w:r>
            <w:r w:rsidRPr="008A0A30">
              <w:rPr>
                <w:sz w:val="18"/>
                <w:szCs w:val="18"/>
              </w:rPr>
              <w:t>1.44)</w:t>
            </w:r>
          </w:p>
        </w:tc>
      </w:tr>
      <w:tr w:rsidR="001E26BE" w:rsidRPr="008A0A30" w:rsidTr="00653CA5">
        <w:trPr>
          <w:trHeight w:hRule="exact" w:val="530"/>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61" w:after="0" w:line="204" w:lineRule="exact"/>
              <w:ind w:left="474" w:right="162" w:hanging="262"/>
              <w:rPr>
                <w:sz w:val="18"/>
                <w:szCs w:val="18"/>
              </w:rPr>
            </w:pPr>
            <w:r w:rsidRPr="008A0A30">
              <w:rPr>
                <w:spacing w:val="2"/>
                <w:sz w:val="18"/>
                <w:szCs w:val="18"/>
              </w:rPr>
              <w:t>e</w:t>
            </w:r>
            <w:r w:rsidRPr="008A0A30">
              <w:rPr>
                <w:spacing w:val="-3"/>
                <w:sz w:val="18"/>
                <w:szCs w:val="18"/>
              </w:rPr>
              <w:t>m</w:t>
            </w:r>
            <w:r w:rsidRPr="008A0A30">
              <w:rPr>
                <w:sz w:val="18"/>
                <w:szCs w:val="18"/>
              </w:rPr>
              <w:t>tricitabine</w:t>
            </w:r>
            <w:r w:rsidRPr="008A0A30">
              <w:rPr>
                <w:spacing w:val="1"/>
                <w:sz w:val="18"/>
                <w:szCs w:val="18"/>
              </w:rPr>
              <w:t xml:space="preserve"> </w:t>
            </w:r>
            <w:r w:rsidRPr="008A0A30">
              <w:rPr>
                <w:sz w:val="18"/>
                <w:szCs w:val="18"/>
              </w:rPr>
              <w:t>200 once</w:t>
            </w:r>
            <w:r w:rsidRPr="008A0A30">
              <w:rPr>
                <w:spacing w:val="1"/>
                <w:sz w:val="18"/>
                <w:szCs w:val="18"/>
              </w:rPr>
              <w:t xml:space="preserve"> </w:t>
            </w:r>
            <w:r w:rsidRPr="008A0A30">
              <w:rPr>
                <w:sz w:val="18"/>
                <w:szCs w:val="18"/>
              </w:rPr>
              <w:t>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1" w:after="0" w:line="204" w:lineRule="exact"/>
              <w:ind w:left="112" w:right="58" w:firstLine="262"/>
              <w:rPr>
                <w:sz w:val="18"/>
                <w:szCs w:val="18"/>
              </w:rPr>
            </w:pPr>
            <w:r w:rsidRPr="008A0A30">
              <w:rPr>
                <w:sz w:val="18"/>
                <w:szCs w:val="18"/>
              </w:rPr>
              <w:t>1.01 (0.96, 1.06)</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1" w:after="0" w:line="204" w:lineRule="exact"/>
              <w:ind w:left="109" w:right="58" w:firstLine="264"/>
              <w:rPr>
                <w:sz w:val="18"/>
                <w:szCs w:val="18"/>
              </w:rPr>
            </w:pPr>
            <w:r w:rsidRPr="008A0A30">
              <w:rPr>
                <w:sz w:val="18"/>
                <w:szCs w:val="18"/>
              </w:rPr>
              <w:t>1.02 (0.99, 1.04)</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61" w:after="0" w:line="204" w:lineRule="exact"/>
              <w:ind w:left="121" w:right="65" w:firstLine="262"/>
              <w:rPr>
                <w:sz w:val="18"/>
                <w:szCs w:val="18"/>
              </w:rPr>
            </w:pPr>
            <w:r w:rsidRPr="008A0A30">
              <w:rPr>
                <w:sz w:val="18"/>
                <w:szCs w:val="18"/>
              </w:rPr>
              <w:t>1.06 (1.02, 1.11)</w:t>
            </w:r>
          </w:p>
        </w:tc>
      </w:tr>
      <w:tr w:rsidR="001E26BE" w:rsidRPr="008A0A30" w:rsidTr="00653CA5">
        <w:trPr>
          <w:trHeight w:hRule="exact" w:val="528"/>
        </w:trPr>
        <w:tc>
          <w:tcPr>
            <w:tcW w:w="1728" w:type="dxa"/>
            <w:vMerge/>
            <w:tcBorders>
              <w:left w:val="nil"/>
              <w:bottom w:val="single" w:sz="6" w:space="0" w:color="000000"/>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9" w:after="0" w:line="204" w:lineRule="exact"/>
              <w:ind w:left="474" w:right="169" w:hanging="254"/>
              <w:rPr>
                <w:sz w:val="18"/>
                <w:szCs w:val="18"/>
              </w:rPr>
            </w:pPr>
            <w:r w:rsidRPr="008A0A30">
              <w:rPr>
                <w:sz w:val="18"/>
                <w:szCs w:val="18"/>
              </w:rPr>
              <w:t>tenofovir DF 300 once</w:t>
            </w:r>
            <w:r w:rsidRPr="008A0A30">
              <w:rPr>
                <w:spacing w:val="1"/>
                <w:sz w:val="18"/>
                <w:szCs w:val="18"/>
              </w:rPr>
              <w:t xml:space="preserve"> </w:t>
            </w:r>
            <w:r w:rsidRPr="008A0A30">
              <w:rPr>
                <w:sz w:val="18"/>
                <w:szCs w:val="18"/>
              </w:rPr>
              <w:t>daily</w:t>
            </w:r>
          </w:p>
        </w:tc>
        <w:tc>
          <w:tcPr>
            <w:tcW w:w="1258" w:type="dxa"/>
            <w:gridSpan w:val="2"/>
            <w:vMerge/>
            <w:tcBorders>
              <w:left w:val="single" w:sz="6" w:space="0" w:color="000000"/>
              <w:bottom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bottom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12" w:right="58" w:firstLine="262"/>
              <w:rPr>
                <w:sz w:val="18"/>
                <w:szCs w:val="18"/>
              </w:rPr>
            </w:pPr>
            <w:r w:rsidRPr="008A0A30">
              <w:rPr>
                <w:sz w:val="18"/>
                <w:szCs w:val="18"/>
              </w:rPr>
              <w:t>1.55 (1.43, 1.68)</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09" w:right="58" w:firstLine="264"/>
              <w:rPr>
                <w:sz w:val="18"/>
                <w:szCs w:val="18"/>
              </w:rPr>
            </w:pPr>
            <w:r w:rsidRPr="008A0A30">
              <w:rPr>
                <w:sz w:val="18"/>
                <w:szCs w:val="18"/>
              </w:rPr>
              <w:t>1.30 (1.24, 1.36)</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9" w:after="0" w:line="204" w:lineRule="exact"/>
              <w:ind w:left="121" w:right="76" w:firstLine="262"/>
              <w:rPr>
                <w:sz w:val="18"/>
                <w:szCs w:val="18"/>
              </w:rPr>
            </w:pPr>
            <w:r w:rsidRPr="008A0A30">
              <w:rPr>
                <w:sz w:val="18"/>
                <w:szCs w:val="18"/>
              </w:rPr>
              <w:t>1.39 (1.31, 1.48)</w:t>
            </w:r>
          </w:p>
        </w:tc>
      </w:tr>
      <w:tr w:rsidR="001E26BE" w:rsidRPr="008A0A30" w:rsidTr="00653CA5">
        <w:trPr>
          <w:trHeight w:hRule="exact" w:val="530"/>
        </w:trPr>
        <w:tc>
          <w:tcPr>
            <w:tcW w:w="1728" w:type="dxa"/>
            <w:vMerge w:val="restart"/>
            <w:tcBorders>
              <w:top w:val="single" w:sz="6" w:space="0" w:color="000000"/>
              <w:left w:val="nil"/>
              <w:right w:val="single" w:sz="6" w:space="0" w:color="000000"/>
            </w:tcBorders>
          </w:tcPr>
          <w:p w:rsidR="001E26BE" w:rsidRPr="008A0A30" w:rsidRDefault="001E26BE" w:rsidP="00B11886">
            <w:pPr>
              <w:spacing w:after="0"/>
              <w:ind w:left="108" w:right="-20"/>
              <w:rPr>
                <w:sz w:val="18"/>
                <w:szCs w:val="18"/>
              </w:rPr>
            </w:pPr>
            <w:r w:rsidRPr="008A0A30">
              <w:rPr>
                <w:spacing w:val="2"/>
                <w:sz w:val="18"/>
                <w:szCs w:val="18"/>
              </w:rPr>
              <w:t>C</w:t>
            </w:r>
            <w:r w:rsidRPr="008A0A30">
              <w:rPr>
                <w:spacing w:val="-4"/>
                <w:sz w:val="18"/>
                <w:szCs w:val="18"/>
              </w:rPr>
              <w:t>y</w:t>
            </w:r>
            <w:r w:rsidRPr="008A0A30">
              <w:rPr>
                <w:spacing w:val="1"/>
                <w:sz w:val="18"/>
                <w:szCs w:val="18"/>
              </w:rPr>
              <w:t>closporine</w:t>
            </w:r>
          </w:p>
        </w:tc>
        <w:tc>
          <w:tcPr>
            <w:tcW w:w="1704" w:type="dxa"/>
            <w:gridSpan w:val="3"/>
            <w:vMerge w:val="restart"/>
            <w:tcBorders>
              <w:top w:val="single" w:sz="6" w:space="0" w:color="000000"/>
              <w:left w:val="single" w:sz="6" w:space="0" w:color="000000"/>
              <w:right w:val="single" w:sz="6" w:space="0" w:color="000000"/>
            </w:tcBorders>
          </w:tcPr>
          <w:p w:rsidR="001E26BE" w:rsidRPr="008A0A30" w:rsidRDefault="001E26BE" w:rsidP="00D541A1">
            <w:pPr>
              <w:spacing w:after="0"/>
              <w:ind w:left="285" w:right="-20"/>
              <w:rPr>
                <w:sz w:val="18"/>
                <w:szCs w:val="18"/>
              </w:rPr>
            </w:pPr>
            <w:r w:rsidRPr="008A0A30">
              <w:rPr>
                <w:sz w:val="18"/>
                <w:szCs w:val="18"/>
              </w:rPr>
              <w:t>600 single dose</w:t>
            </w:r>
          </w:p>
        </w:tc>
        <w:tc>
          <w:tcPr>
            <w:tcW w:w="1258"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457" w:right="198" w:hanging="209"/>
              <w:jc w:val="center"/>
              <w:rPr>
                <w:sz w:val="18"/>
                <w:szCs w:val="18"/>
              </w:rPr>
            </w:pPr>
            <w:r w:rsidRPr="008A0A30">
              <w:rPr>
                <w:sz w:val="18"/>
                <w:szCs w:val="18"/>
              </w:rPr>
              <w:t xml:space="preserve">100 single </w:t>
            </w:r>
            <w:r w:rsidRPr="008A0A30">
              <w:rPr>
                <w:spacing w:val="1"/>
                <w:sz w:val="18"/>
                <w:szCs w:val="18"/>
              </w:rPr>
              <w:t>dose</w:t>
            </w:r>
          </w:p>
        </w:tc>
        <w:tc>
          <w:tcPr>
            <w:tcW w:w="1080" w:type="dxa"/>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369" w:right="349"/>
              <w:jc w:val="center"/>
              <w:rPr>
                <w:sz w:val="18"/>
                <w:szCs w:val="18"/>
              </w:rPr>
            </w:pPr>
            <w:r w:rsidRPr="008A0A30">
              <w:rPr>
                <w:sz w:val="18"/>
                <w:szCs w:val="18"/>
              </w:rPr>
              <w:t>ND</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12</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0.92 (0.82, 1.02)</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0.88 (0.78, 1.00)</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5A21B5">
        <w:trPr>
          <w:trHeight w:hRule="exact" w:val="617"/>
        </w:trPr>
        <w:tc>
          <w:tcPr>
            <w:tcW w:w="1728" w:type="dxa"/>
            <w:vMerge/>
            <w:tcBorders>
              <w:left w:val="nil"/>
              <w:bottom w:val="single" w:sz="6" w:space="0" w:color="000000"/>
              <w:right w:val="single" w:sz="6" w:space="0" w:color="000000"/>
            </w:tcBorders>
          </w:tcPr>
          <w:p w:rsidR="001E26BE" w:rsidRPr="008A0A30" w:rsidRDefault="001E26BE" w:rsidP="00B11886"/>
        </w:tc>
        <w:tc>
          <w:tcPr>
            <w:tcW w:w="1704" w:type="dxa"/>
            <w:gridSpan w:val="3"/>
            <w:vMerge/>
            <w:tcBorders>
              <w:left w:val="single" w:sz="6" w:space="0" w:color="000000"/>
              <w:bottom w:val="single" w:sz="6" w:space="0" w:color="000000"/>
              <w:right w:val="single" w:sz="6" w:space="0" w:color="000000"/>
            </w:tcBorders>
          </w:tcPr>
          <w:p w:rsidR="001E26BE" w:rsidRPr="008A0A30" w:rsidRDefault="001E26BE" w:rsidP="00D541A1">
            <w:pPr>
              <w:jc w:val="center"/>
            </w:pPr>
          </w:p>
        </w:tc>
        <w:tc>
          <w:tcPr>
            <w:tcW w:w="1258"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457" w:right="440"/>
              <w:jc w:val="center"/>
              <w:rPr>
                <w:sz w:val="18"/>
                <w:szCs w:val="18"/>
              </w:rPr>
            </w:pPr>
            <w:r w:rsidRPr="008A0A30">
              <w:rPr>
                <w:sz w:val="18"/>
                <w:szCs w:val="18"/>
              </w:rPr>
              <w:t>ND</w:t>
            </w:r>
          </w:p>
        </w:tc>
        <w:tc>
          <w:tcPr>
            <w:tcW w:w="1080" w:type="dxa"/>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9" w:after="0" w:line="204" w:lineRule="exact"/>
              <w:ind w:left="366" w:right="109" w:hanging="209"/>
              <w:jc w:val="center"/>
              <w:rPr>
                <w:sz w:val="18"/>
                <w:szCs w:val="18"/>
              </w:rPr>
            </w:pPr>
            <w:r w:rsidRPr="008A0A30">
              <w:rPr>
                <w:sz w:val="18"/>
                <w:szCs w:val="18"/>
              </w:rPr>
              <w:t xml:space="preserve">400 single </w:t>
            </w:r>
            <w:r w:rsidRPr="008A0A30">
              <w:rPr>
                <w:spacing w:val="1"/>
                <w:sz w:val="18"/>
                <w:szCs w:val="18"/>
              </w:rPr>
              <w:t>dose</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19</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12" w:right="58" w:firstLine="262"/>
              <w:rPr>
                <w:sz w:val="18"/>
                <w:szCs w:val="18"/>
              </w:rPr>
            </w:pPr>
            <w:r w:rsidRPr="008A0A30">
              <w:rPr>
                <w:sz w:val="18"/>
                <w:szCs w:val="18"/>
              </w:rPr>
              <w:t>1.06 (0.94, 1.18)</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09" w:right="47" w:firstLine="264"/>
              <w:rPr>
                <w:sz w:val="18"/>
                <w:szCs w:val="18"/>
              </w:rPr>
            </w:pPr>
            <w:r w:rsidRPr="008A0A30">
              <w:rPr>
                <w:sz w:val="18"/>
                <w:szCs w:val="18"/>
              </w:rPr>
              <w:t>0.98 (0.85, 1.14)</w:t>
            </w:r>
          </w:p>
        </w:tc>
        <w:tc>
          <w:tcPr>
            <w:tcW w:w="1103" w:type="dxa"/>
            <w:gridSpan w:val="2"/>
            <w:tcBorders>
              <w:top w:val="single" w:sz="6" w:space="0" w:color="000000"/>
              <w:left w:val="single" w:sz="6" w:space="0" w:color="000000"/>
              <w:bottom w:val="single" w:sz="6" w:space="0" w:color="000000"/>
              <w:right w:val="nil"/>
            </w:tcBorders>
          </w:tcPr>
          <w:p w:rsidR="00243CE5" w:rsidRPr="008A0A30" w:rsidRDefault="001E26BE" w:rsidP="00003AC8">
            <w:pPr>
              <w:spacing w:after="0"/>
              <w:ind w:left="371" w:right="359"/>
              <w:jc w:val="center"/>
              <w:rPr>
                <w:sz w:val="18"/>
                <w:szCs w:val="18"/>
              </w:rPr>
            </w:pPr>
            <w:r w:rsidRPr="008A0A30">
              <w:rPr>
                <w:sz w:val="18"/>
                <w:szCs w:val="18"/>
              </w:rPr>
              <w:t>NA</w:t>
            </w:r>
          </w:p>
        </w:tc>
      </w:tr>
      <w:tr w:rsidR="001E26BE" w:rsidRPr="008A0A30" w:rsidTr="00653CA5">
        <w:trPr>
          <w:trHeight w:hRule="exact" w:val="528"/>
        </w:trPr>
        <w:tc>
          <w:tcPr>
            <w:tcW w:w="1728" w:type="dxa"/>
            <w:vMerge w:val="restart"/>
            <w:tcBorders>
              <w:top w:val="single" w:sz="6" w:space="0" w:color="000000"/>
              <w:left w:val="nil"/>
              <w:right w:val="single" w:sz="6" w:space="0" w:color="000000"/>
            </w:tcBorders>
          </w:tcPr>
          <w:p w:rsidR="001E26BE" w:rsidRPr="008A0A30" w:rsidRDefault="001E26BE" w:rsidP="001621C7">
            <w:pPr>
              <w:spacing w:after="0"/>
              <w:ind w:left="108" w:right="-20"/>
              <w:rPr>
                <w:sz w:val="12"/>
                <w:szCs w:val="12"/>
              </w:rPr>
            </w:pPr>
            <w:r w:rsidRPr="008A0A30">
              <w:rPr>
                <w:sz w:val="18"/>
                <w:szCs w:val="18"/>
              </w:rPr>
              <w:t>Darunavir/ritonavir</w:t>
            </w:r>
            <w:r w:rsidR="00243CE5" w:rsidRPr="008A0A30">
              <w:rPr>
                <w:sz w:val="18"/>
                <w:szCs w:val="18"/>
              </w:rPr>
              <w:t xml:space="preserve"> </w:t>
            </w:r>
            <w:r w:rsidRPr="008A0A30">
              <w:rPr>
                <w:position w:val="-1"/>
                <w:sz w:val="18"/>
                <w:szCs w:val="18"/>
              </w:rPr>
              <w:t>+ emtricitabine/</w:t>
            </w:r>
            <w:r w:rsidR="00243CE5" w:rsidRPr="008A0A30">
              <w:rPr>
                <w:position w:val="-1"/>
                <w:sz w:val="18"/>
                <w:szCs w:val="18"/>
              </w:rPr>
              <w:t xml:space="preserve"> </w:t>
            </w:r>
            <w:r w:rsidRPr="008A0A30">
              <w:rPr>
                <w:sz w:val="18"/>
                <w:szCs w:val="18"/>
              </w:rPr>
              <w:t>tenofovir D</w:t>
            </w:r>
            <w:r w:rsidRPr="008A0A30">
              <w:rPr>
                <w:spacing w:val="1"/>
                <w:sz w:val="18"/>
                <w:szCs w:val="18"/>
              </w:rPr>
              <w:t>F</w:t>
            </w:r>
            <w:r w:rsidRPr="008A0A30">
              <w:rPr>
                <w:position w:val="8"/>
                <w:sz w:val="12"/>
                <w:szCs w:val="12"/>
              </w:rPr>
              <w:t>c</w:t>
            </w:r>
          </w:p>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9" w:after="0" w:line="204" w:lineRule="exact"/>
              <w:ind w:left="666" w:right="102" w:hanging="516"/>
              <w:rPr>
                <w:sz w:val="18"/>
                <w:szCs w:val="18"/>
              </w:rPr>
            </w:pPr>
            <w:r w:rsidRPr="008A0A30">
              <w:rPr>
                <w:sz w:val="18"/>
                <w:szCs w:val="18"/>
              </w:rPr>
              <w:t>darunavir 800 once daily</w:t>
            </w:r>
          </w:p>
        </w:tc>
        <w:tc>
          <w:tcPr>
            <w:tcW w:w="1258" w:type="dxa"/>
            <w:gridSpan w:val="2"/>
            <w:vMerge w:val="restart"/>
            <w:tcBorders>
              <w:top w:val="single" w:sz="6" w:space="0" w:color="000000"/>
              <w:left w:val="single" w:sz="6" w:space="0" w:color="000000"/>
              <w:right w:val="single" w:sz="6" w:space="0" w:color="000000"/>
            </w:tcBorders>
          </w:tcPr>
          <w:p w:rsidR="001E26BE" w:rsidRPr="008A0A30" w:rsidRDefault="001E26BE" w:rsidP="00D541A1">
            <w:pPr>
              <w:spacing w:after="0" w:line="204" w:lineRule="exact"/>
              <w:ind w:left="441" w:right="243" w:hanging="146"/>
              <w:jc w:val="center"/>
              <w:rPr>
                <w:sz w:val="18"/>
                <w:szCs w:val="18"/>
              </w:rPr>
            </w:pPr>
            <w:r w:rsidRPr="008A0A30">
              <w:rPr>
                <w:sz w:val="18"/>
                <w:szCs w:val="18"/>
              </w:rPr>
              <w:t>100 once daily</w:t>
            </w:r>
          </w:p>
        </w:tc>
        <w:tc>
          <w:tcPr>
            <w:tcW w:w="1080" w:type="dxa"/>
            <w:vMerge w:val="restart"/>
            <w:tcBorders>
              <w:top w:val="single" w:sz="6" w:space="0" w:color="000000"/>
              <w:left w:val="single" w:sz="6" w:space="0" w:color="000000"/>
              <w:right w:val="single" w:sz="6" w:space="0" w:color="000000"/>
            </w:tcBorders>
          </w:tcPr>
          <w:p w:rsidR="001E26BE" w:rsidRPr="008A0A30" w:rsidRDefault="001E26BE" w:rsidP="00D541A1">
            <w:pPr>
              <w:spacing w:after="0" w:line="204" w:lineRule="exact"/>
              <w:ind w:left="352" w:right="154" w:hanging="149"/>
              <w:jc w:val="center"/>
              <w:rPr>
                <w:sz w:val="18"/>
                <w:szCs w:val="18"/>
              </w:rPr>
            </w:pPr>
            <w:r w:rsidRPr="008A0A30">
              <w:rPr>
                <w:sz w:val="18"/>
                <w:szCs w:val="18"/>
              </w:rPr>
              <w:t>400 once daily</w:t>
            </w:r>
          </w:p>
        </w:tc>
        <w:tc>
          <w:tcPr>
            <w:tcW w:w="550" w:type="dxa"/>
            <w:vMerge w:val="restart"/>
            <w:tcBorders>
              <w:top w:val="single" w:sz="6" w:space="0" w:color="000000"/>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29</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12" w:right="58" w:firstLine="262"/>
              <w:rPr>
                <w:sz w:val="18"/>
                <w:szCs w:val="18"/>
              </w:rPr>
            </w:pPr>
            <w:r w:rsidRPr="008A0A30">
              <w:rPr>
                <w:sz w:val="18"/>
                <w:szCs w:val="18"/>
              </w:rPr>
              <w:t>0.90 (0.86, 0.95)</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09" w:right="58" w:firstLine="264"/>
              <w:rPr>
                <w:sz w:val="18"/>
                <w:szCs w:val="18"/>
              </w:rPr>
            </w:pPr>
            <w:r w:rsidRPr="008A0A30">
              <w:rPr>
                <w:sz w:val="18"/>
                <w:szCs w:val="18"/>
              </w:rPr>
              <w:t>0.92 (0.87, 0.98)</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9" w:after="0" w:line="204" w:lineRule="exact"/>
              <w:ind w:left="121" w:right="76" w:firstLine="262"/>
              <w:rPr>
                <w:sz w:val="18"/>
                <w:szCs w:val="18"/>
              </w:rPr>
            </w:pPr>
            <w:r w:rsidRPr="008A0A30">
              <w:rPr>
                <w:sz w:val="18"/>
                <w:szCs w:val="18"/>
              </w:rPr>
              <w:t>0.87 (0.79, 0.95)</w:t>
            </w:r>
          </w:p>
        </w:tc>
      </w:tr>
      <w:tr w:rsidR="001E26BE" w:rsidRPr="008A0A30" w:rsidTr="00653CA5">
        <w:trPr>
          <w:trHeight w:hRule="exact" w:val="530"/>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61" w:after="0" w:line="204" w:lineRule="exact"/>
              <w:ind w:left="666" w:right="135" w:hanging="480"/>
              <w:rPr>
                <w:sz w:val="18"/>
                <w:szCs w:val="18"/>
              </w:rPr>
            </w:pPr>
            <w:r w:rsidRPr="008A0A30">
              <w:rPr>
                <w:sz w:val="18"/>
                <w:szCs w:val="18"/>
              </w:rPr>
              <w:t>ritonavir</w:t>
            </w:r>
            <w:r w:rsidRPr="008A0A30">
              <w:rPr>
                <w:spacing w:val="1"/>
                <w:sz w:val="18"/>
                <w:szCs w:val="18"/>
              </w:rPr>
              <w:t xml:space="preserve"> </w:t>
            </w:r>
            <w:r w:rsidRPr="008A0A30">
              <w:rPr>
                <w:sz w:val="18"/>
                <w:szCs w:val="18"/>
              </w:rPr>
              <w:t>100 once 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1" w:after="0" w:line="204" w:lineRule="exact"/>
              <w:ind w:left="112" w:right="58" w:firstLine="262"/>
              <w:rPr>
                <w:sz w:val="18"/>
                <w:szCs w:val="18"/>
              </w:rPr>
            </w:pPr>
            <w:r w:rsidRPr="008A0A30">
              <w:rPr>
                <w:sz w:val="18"/>
                <w:szCs w:val="18"/>
              </w:rPr>
              <w:t>1.07 (0.97, 1.17)</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1" w:after="0" w:line="204" w:lineRule="exact"/>
              <w:ind w:left="109" w:right="58" w:firstLine="264"/>
              <w:rPr>
                <w:sz w:val="18"/>
                <w:szCs w:val="18"/>
              </w:rPr>
            </w:pPr>
            <w:r w:rsidRPr="008A0A30">
              <w:rPr>
                <w:sz w:val="18"/>
                <w:szCs w:val="18"/>
              </w:rPr>
              <w:t>1.12 (1.05, 1.19)</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61" w:after="0" w:line="204" w:lineRule="exact"/>
              <w:ind w:left="121" w:right="76" w:firstLine="262"/>
              <w:rPr>
                <w:sz w:val="18"/>
                <w:szCs w:val="18"/>
              </w:rPr>
            </w:pPr>
            <w:r w:rsidRPr="008A0A30">
              <w:rPr>
                <w:sz w:val="18"/>
                <w:szCs w:val="18"/>
              </w:rPr>
              <w:t>1.09 (1.02, 1.15)</w:t>
            </w:r>
          </w:p>
        </w:tc>
      </w:tr>
      <w:tr w:rsidR="001E26BE" w:rsidRPr="008A0A30" w:rsidTr="00653CA5">
        <w:trPr>
          <w:trHeight w:hRule="exact" w:val="528"/>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9" w:after="0" w:line="204" w:lineRule="exact"/>
              <w:ind w:left="474" w:right="162" w:hanging="262"/>
              <w:rPr>
                <w:sz w:val="18"/>
                <w:szCs w:val="18"/>
              </w:rPr>
            </w:pPr>
            <w:r w:rsidRPr="008A0A30">
              <w:rPr>
                <w:spacing w:val="2"/>
                <w:sz w:val="18"/>
                <w:szCs w:val="18"/>
              </w:rPr>
              <w:t>e</w:t>
            </w:r>
            <w:r w:rsidRPr="008A0A30">
              <w:rPr>
                <w:spacing w:val="-3"/>
                <w:sz w:val="18"/>
                <w:szCs w:val="18"/>
              </w:rPr>
              <w:t>m</w:t>
            </w:r>
            <w:r w:rsidRPr="008A0A30">
              <w:rPr>
                <w:sz w:val="18"/>
                <w:szCs w:val="18"/>
              </w:rPr>
              <w:t>tricitabine</w:t>
            </w:r>
            <w:r w:rsidRPr="008A0A30">
              <w:rPr>
                <w:spacing w:val="1"/>
                <w:sz w:val="18"/>
                <w:szCs w:val="18"/>
              </w:rPr>
              <w:t xml:space="preserve"> </w:t>
            </w:r>
            <w:r w:rsidRPr="008A0A30">
              <w:rPr>
                <w:sz w:val="18"/>
                <w:szCs w:val="18"/>
              </w:rPr>
              <w:t>200 once</w:t>
            </w:r>
            <w:r w:rsidRPr="008A0A30">
              <w:rPr>
                <w:spacing w:val="1"/>
                <w:sz w:val="18"/>
                <w:szCs w:val="18"/>
              </w:rPr>
              <w:t xml:space="preserve"> </w:t>
            </w:r>
            <w:r w:rsidRPr="008A0A30">
              <w:rPr>
                <w:sz w:val="18"/>
                <w:szCs w:val="18"/>
              </w:rPr>
              <w:t>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12" w:right="58" w:firstLine="262"/>
              <w:rPr>
                <w:sz w:val="18"/>
                <w:szCs w:val="18"/>
              </w:rPr>
            </w:pPr>
            <w:r w:rsidRPr="008A0A30">
              <w:rPr>
                <w:sz w:val="18"/>
                <w:szCs w:val="18"/>
              </w:rPr>
              <w:t>1.05 (1.01, 1.08)</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09" w:right="58" w:firstLine="264"/>
              <w:rPr>
                <w:sz w:val="18"/>
                <w:szCs w:val="18"/>
              </w:rPr>
            </w:pPr>
            <w:r w:rsidRPr="008A0A30">
              <w:rPr>
                <w:sz w:val="18"/>
                <w:szCs w:val="18"/>
              </w:rPr>
              <w:t>1.05 (1.02, 1.08)</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9" w:after="0" w:line="204" w:lineRule="exact"/>
              <w:ind w:left="121" w:right="65" w:firstLine="262"/>
              <w:rPr>
                <w:sz w:val="18"/>
                <w:szCs w:val="18"/>
              </w:rPr>
            </w:pPr>
            <w:r w:rsidRPr="008A0A30">
              <w:rPr>
                <w:sz w:val="18"/>
                <w:szCs w:val="18"/>
              </w:rPr>
              <w:t>1.04 (0.98, 1.09)</w:t>
            </w:r>
          </w:p>
        </w:tc>
      </w:tr>
      <w:tr w:rsidR="001E26BE" w:rsidRPr="008A0A30" w:rsidTr="00653CA5">
        <w:trPr>
          <w:trHeight w:hRule="exact" w:val="530"/>
        </w:trPr>
        <w:tc>
          <w:tcPr>
            <w:tcW w:w="1728" w:type="dxa"/>
            <w:vMerge/>
            <w:tcBorders>
              <w:left w:val="nil"/>
              <w:bottom w:val="single" w:sz="6" w:space="0" w:color="000000"/>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220" w:right="169"/>
              <w:jc w:val="center"/>
              <w:rPr>
                <w:sz w:val="18"/>
                <w:szCs w:val="18"/>
              </w:rPr>
            </w:pPr>
            <w:r w:rsidRPr="008A0A30">
              <w:rPr>
                <w:sz w:val="18"/>
                <w:szCs w:val="18"/>
              </w:rPr>
              <w:t>tenofovir DF 300 once</w:t>
            </w:r>
            <w:r w:rsidRPr="008A0A30">
              <w:rPr>
                <w:spacing w:val="1"/>
                <w:sz w:val="18"/>
                <w:szCs w:val="18"/>
              </w:rPr>
              <w:t xml:space="preserve"> </w:t>
            </w:r>
            <w:r w:rsidRPr="008A0A30">
              <w:rPr>
                <w:sz w:val="18"/>
                <w:szCs w:val="18"/>
              </w:rPr>
              <w:t>daily</w:t>
            </w:r>
          </w:p>
        </w:tc>
        <w:tc>
          <w:tcPr>
            <w:tcW w:w="1258" w:type="dxa"/>
            <w:gridSpan w:val="2"/>
            <w:vMerge/>
            <w:tcBorders>
              <w:left w:val="single" w:sz="6" w:space="0" w:color="000000"/>
              <w:bottom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bottom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1.55 (1.45, 1.66)</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1.39 (1.33, 1.44)</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1.52 (1.45, 1.59)</w:t>
            </w:r>
          </w:p>
        </w:tc>
      </w:tr>
      <w:tr w:rsidR="001E26BE" w:rsidRPr="008A0A30" w:rsidTr="00653CA5">
        <w:trPr>
          <w:trHeight w:hRule="exact" w:val="528"/>
        </w:trPr>
        <w:tc>
          <w:tcPr>
            <w:tcW w:w="1728" w:type="dxa"/>
            <w:tcBorders>
              <w:top w:val="single" w:sz="6" w:space="0" w:color="000000"/>
              <w:left w:val="nil"/>
              <w:bottom w:val="single" w:sz="6" w:space="0" w:color="000000"/>
              <w:right w:val="single" w:sz="6" w:space="0" w:color="000000"/>
            </w:tcBorders>
          </w:tcPr>
          <w:p w:rsidR="001E26BE" w:rsidRPr="008A0A30" w:rsidRDefault="001E26BE" w:rsidP="00B11886">
            <w:pPr>
              <w:spacing w:after="0"/>
              <w:ind w:left="108" w:right="-20"/>
              <w:rPr>
                <w:sz w:val="18"/>
                <w:szCs w:val="18"/>
              </w:rPr>
            </w:pPr>
            <w:r w:rsidRPr="008A0A30">
              <w:rPr>
                <w:sz w:val="18"/>
                <w:szCs w:val="18"/>
              </w:rPr>
              <w:t>Digoxin</w:t>
            </w:r>
          </w:p>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right="-20"/>
              <w:jc w:val="center"/>
              <w:rPr>
                <w:sz w:val="18"/>
                <w:szCs w:val="18"/>
              </w:rPr>
            </w:pPr>
            <w:r w:rsidRPr="008A0A30">
              <w:rPr>
                <w:sz w:val="18"/>
                <w:szCs w:val="18"/>
              </w:rPr>
              <w:t>0.25 single dose</w:t>
            </w:r>
          </w:p>
        </w:tc>
        <w:tc>
          <w:tcPr>
            <w:tcW w:w="1258"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453" w:right="430"/>
              <w:jc w:val="center"/>
              <w:rPr>
                <w:sz w:val="18"/>
                <w:szCs w:val="18"/>
              </w:rPr>
            </w:pPr>
            <w:r w:rsidRPr="008A0A30">
              <w:rPr>
                <w:spacing w:val="1"/>
                <w:sz w:val="18"/>
                <w:szCs w:val="18"/>
              </w:rPr>
              <w:t>100</w:t>
            </w:r>
          </w:p>
        </w:tc>
        <w:tc>
          <w:tcPr>
            <w:tcW w:w="1080" w:type="dxa"/>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369" w:right="349"/>
              <w:jc w:val="center"/>
              <w:rPr>
                <w:sz w:val="18"/>
                <w:szCs w:val="18"/>
              </w:rPr>
            </w:pPr>
            <w:r w:rsidRPr="008A0A30">
              <w:rPr>
                <w:sz w:val="18"/>
                <w:szCs w:val="18"/>
              </w:rPr>
              <w:t>ND</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21</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12" w:right="58" w:firstLine="262"/>
              <w:rPr>
                <w:sz w:val="18"/>
                <w:szCs w:val="18"/>
              </w:rPr>
            </w:pPr>
            <w:r w:rsidRPr="008A0A30">
              <w:rPr>
                <w:sz w:val="18"/>
                <w:szCs w:val="18"/>
              </w:rPr>
              <w:t>1.88 (1.71, 2.08)</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4" w:lineRule="exact"/>
              <w:ind w:left="109" w:right="58" w:firstLine="264"/>
              <w:rPr>
                <w:sz w:val="18"/>
                <w:szCs w:val="18"/>
              </w:rPr>
            </w:pPr>
            <w:r w:rsidRPr="008A0A30">
              <w:rPr>
                <w:sz w:val="18"/>
                <w:szCs w:val="18"/>
              </w:rPr>
              <w:t>1.34 (1.13, 1.60)</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653CA5">
        <w:trPr>
          <w:trHeight w:hRule="exact" w:val="528"/>
        </w:trPr>
        <w:tc>
          <w:tcPr>
            <w:tcW w:w="1728" w:type="dxa"/>
            <w:tcBorders>
              <w:top w:val="single" w:sz="6" w:space="0" w:color="000000"/>
              <w:left w:val="nil"/>
              <w:bottom w:val="single" w:sz="6" w:space="0" w:color="000000"/>
              <w:right w:val="single" w:sz="6" w:space="0" w:color="000000"/>
            </w:tcBorders>
          </w:tcPr>
          <w:p w:rsidR="001E26BE" w:rsidRPr="008A0A30" w:rsidRDefault="001E26BE" w:rsidP="00B11886">
            <w:pPr>
              <w:spacing w:after="0"/>
              <w:ind w:left="108" w:right="-20"/>
              <w:rPr>
                <w:sz w:val="18"/>
                <w:szCs w:val="18"/>
              </w:rPr>
            </w:pPr>
            <w:r w:rsidRPr="008A0A30">
              <w:rPr>
                <w:sz w:val="18"/>
                <w:szCs w:val="18"/>
              </w:rPr>
              <w:t>Dolutegravir</w:t>
            </w:r>
          </w:p>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right="-20"/>
              <w:jc w:val="center"/>
              <w:rPr>
                <w:sz w:val="18"/>
                <w:szCs w:val="18"/>
              </w:rPr>
            </w:pPr>
            <w:r w:rsidRPr="008A0A30">
              <w:rPr>
                <w:sz w:val="18"/>
                <w:szCs w:val="18"/>
              </w:rPr>
              <w:t>50 mg once daily</w:t>
            </w:r>
          </w:p>
        </w:tc>
        <w:tc>
          <w:tcPr>
            <w:tcW w:w="1258"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441" w:right="243" w:hanging="146"/>
              <w:jc w:val="center"/>
              <w:rPr>
                <w:sz w:val="18"/>
                <w:szCs w:val="18"/>
              </w:rPr>
            </w:pPr>
            <w:r w:rsidRPr="008A0A30">
              <w:rPr>
                <w:sz w:val="18"/>
                <w:szCs w:val="18"/>
              </w:rPr>
              <w:t>100 once daily</w:t>
            </w:r>
          </w:p>
        </w:tc>
        <w:tc>
          <w:tcPr>
            <w:tcW w:w="1080" w:type="dxa"/>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352" w:right="154" w:hanging="149"/>
              <w:jc w:val="center"/>
              <w:rPr>
                <w:sz w:val="18"/>
                <w:szCs w:val="18"/>
              </w:rPr>
            </w:pPr>
            <w:r w:rsidRPr="008A0A30">
              <w:rPr>
                <w:sz w:val="18"/>
                <w:szCs w:val="18"/>
              </w:rPr>
              <w:t>400 once daily</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24</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1.06 (1.01, 1.11)</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1.06 (1.01, 1.13)</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65" w:firstLine="262"/>
              <w:rPr>
                <w:sz w:val="18"/>
                <w:szCs w:val="18"/>
              </w:rPr>
            </w:pPr>
            <w:r w:rsidRPr="008A0A30">
              <w:rPr>
                <w:sz w:val="18"/>
                <w:szCs w:val="18"/>
              </w:rPr>
              <w:t>1.04 (0.98, 1.10)</w:t>
            </w:r>
          </w:p>
        </w:tc>
      </w:tr>
      <w:tr w:rsidR="001E26BE" w:rsidRPr="008A0A30" w:rsidTr="00653CA5">
        <w:trPr>
          <w:trHeight w:hRule="exact" w:val="550"/>
        </w:trPr>
        <w:tc>
          <w:tcPr>
            <w:tcW w:w="1728" w:type="dxa"/>
            <w:vMerge w:val="restart"/>
            <w:tcBorders>
              <w:top w:val="single" w:sz="6" w:space="0" w:color="000000"/>
              <w:left w:val="nil"/>
              <w:right w:val="single" w:sz="6" w:space="0" w:color="000000"/>
            </w:tcBorders>
          </w:tcPr>
          <w:p w:rsidR="001E26BE" w:rsidRPr="008A0A30" w:rsidRDefault="001E26BE" w:rsidP="00B11886">
            <w:pPr>
              <w:spacing w:after="0" w:line="226" w:lineRule="auto"/>
              <w:ind w:left="108" w:right="559"/>
              <w:rPr>
                <w:sz w:val="12"/>
                <w:szCs w:val="12"/>
              </w:rPr>
            </w:pPr>
            <w:r w:rsidRPr="008A0A30">
              <w:rPr>
                <w:sz w:val="18"/>
                <w:szCs w:val="18"/>
              </w:rPr>
              <w:t xml:space="preserve">Efavirenz/ </w:t>
            </w:r>
            <w:r w:rsidRPr="008A0A30">
              <w:rPr>
                <w:spacing w:val="2"/>
                <w:sz w:val="18"/>
                <w:szCs w:val="18"/>
              </w:rPr>
              <w:t>e</w:t>
            </w:r>
            <w:r w:rsidRPr="008A0A30">
              <w:rPr>
                <w:spacing w:val="-3"/>
                <w:sz w:val="18"/>
                <w:szCs w:val="18"/>
              </w:rPr>
              <w:t>m</w:t>
            </w:r>
            <w:r w:rsidRPr="008A0A30">
              <w:rPr>
                <w:sz w:val="18"/>
                <w:szCs w:val="18"/>
              </w:rPr>
              <w:t>tricitabine/ tenofovir D</w:t>
            </w:r>
            <w:r w:rsidRPr="008A0A30">
              <w:rPr>
                <w:spacing w:val="1"/>
                <w:sz w:val="18"/>
                <w:szCs w:val="18"/>
              </w:rPr>
              <w:t>F</w:t>
            </w:r>
            <w:r w:rsidRPr="008A0A30">
              <w:rPr>
                <w:position w:val="8"/>
                <w:sz w:val="12"/>
                <w:szCs w:val="12"/>
              </w:rPr>
              <w:t>d</w:t>
            </w:r>
          </w:p>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9" w:after="0" w:line="206" w:lineRule="exact"/>
              <w:ind w:left="666" w:right="111" w:hanging="506"/>
              <w:rPr>
                <w:sz w:val="18"/>
                <w:szCs w:val="18"/>
              </w:rPr>
            </w:pPr>
            <w:r w:rsidRPr="008A0A30">
              <w:rPr>
                <w:sz w:val="18"/>
                <w:szCs w:val="18"/>
              </w:rPr>
              <w:t>efavirenz 600 once daily</w:t>
            </w:r>
          </w:p>
        </w:tc>
        <w:tc>
          <w:tcPr>
            <w:tcW w:w="1258" w:type="dxa"/>
            <w:gridSpan w:val="2"/>
            <w:vMerge w:val="restart"/>
            <w:tcBorders>
              <w:top w:val="single" w:sz="6" w:space="0" w:color="000000"/>
              <w:left w:val="single" w:sz="6" w:space="0" w:color="000000"/>
              <w:right w:val="single" w:sz="6" w:space="0" w:color="000000"/>
            </w:tcBorders>
          </w:tcPr>
          <w:p w:rsidR="001E26BE" w:rsidRPr="008A0A30" w:rsidRDefault="001E26BE" w:rsidP="00D541A1">
            <w:pPr>
              <w:spacing w:after="0" w:line="242" w:lineRule="auto"/>
              <w:ind w:left="441" w:right="243" w:hanging="146"/>
              <w:jc w:val="center"/>
              <w:rPr>
                <w:sz w:val="18"/>
                <w:szCs w:val="18"/>
              </w:rPr>
            </w:pPr>
            <w:r w:rsidRPr="008A0A30">
              <w:rPr>
                <w:sz w:val="18"/>
                <w:szCs w:val="18"/>
              </w:rPr>
              <w:t>100</w:t>
            </w:r>
            <w:r w:rsidRPr="008A0A30">
              <w:rPr>
                <w:spacing w:val="1"/>
                <w:sz w:val="18"/>
                <w:szCs w:val="18"/>
              </w:rPr>
              <w:t xml:space="preserve"> </w:t>
            </w:r>
            <w:r w:rsidRPr="008A0A30">
              <w:rPr>
                <w:sz w:val="18"/>
                <w:szCs w:val="18"/>
              </w:rPr>
              <w:t>once daily</w:t>
            </w:r>
          </w:p>
        </w:tc>
        <w:tc>
          <w:tcPr>
            <w:tcW w:w="1080" w:type="dxa"/>
            <w:vMerge w:val="restart"/>
            <w:tcBorders>
              <w:top w:val="single" w:sz="6" w:space="0" w:color="000000"/>
              <w:left w:val="single" w:sz="6" w:space="0" w:color="000000"/>
              <w:right w:val="single" w:sz="6" w:space="0" w:color="000000"/>
            </w:tcBorders>
          </w:tcPr>
          <w:p w:rsidR="001E26BE" w:rsidRPr="008A0A30" w:rsidRDefault="001E26BE" w:rsidP="00D541A1">
            <w:pPr>
              <w:spacing w:after="0" w:line="242" w:lineRule="auto"/>
              <w:ind w:left="352" w:right="154" w:hanging="149"/>
              <w:jc w:val="center"/>
              <w:rPr>
                <w:sz w:val="18"/>
                <w:szCs w:val="18"/>
              </w:rPr>
            </w:pPr>
            <w:r w:rsidRPr="008A0A30">
              <w:rPr>
                <w:sz w:val="18"/>
                <w:szCs w:val="18"/>
              </w:rPr>
              <w:t>400 once daily</w:t>
            </w:r>
          </w:p>
        </w:tc>
        <w:tc>
          <w:tcPr>
            <w:tcW w:w="550" w:type="dxa"/>
            <w:vMerge w:val="restart"/>
            <w:tcBorders>
              <w:top w:val="single" w:sz="6" w:space="0" w:color="000000"/>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15</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112" w:right="58" w:firstLine="262"/>
              <w:rPr>
                <w:sz w:val="18"/>
                <w:szCs w:val="18"/>
              </w:rPr>
            </w:pPr>
            <w:r w:rsidRPr="008A0A30">
              <w:rPr>
                <w:sz w:val="18"/>
                <w:szCs w:val="18"/>
              </w:rPr>
              <w:t>0.81 (0.74, 0.89)</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109" w:right="58" w:firstLine="264"/>
              <w:rPr>
                <w:sz w:val="18"/>
                <w:szCs w:val="18"/>
              </w:rPr>
            </w:pPr>
            <w:r w:rsidRPr="008A0A30">
              <w:rPr>
                <w:sz w:val="18"/>
                <w:szCs w:val="18"/>
              </w:rPr>
              <w:t>0.85 (0.80, 0.91)</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9" w:after="0" w:line="206" w:lineRule="exact"/>
              <w:ind w:left="121" w:right="76" w:firstLine="262"/>
              <w:rPr>
                <w:sz w:val="18"/>
                <w:szCs w:val="18"/>
              </w:rPr>
            </w:pPr>
            <w:r w:rsidRPr="008A0A30">
              <w:rPr>
                <w:sz w:val="18"/>
                <w:szCs w:val="18"/>
              </w:rPr>
              <w:t>0.90 (0.85, 0.95)</w:t>
            </w:r>
          </w:p>
        </w:tc>
      </w:tr>
      <w:tr w:rsidR="001E26BE" w:rsidRPr="008A0A30" w:rsidTr="00653CA5">
        <w:trPr>
          <w:trHeight w:hRule="exact" w:val="550"/>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4" w:after="0" w:line="242" w:lineRule="auto"/>
              <w:ind w:left="212" w:right="162"/>
              <w:jc w:val="center"/>
              <w:rPr>
                <w:sz w:val="18"/>
                <w:szCs w:val="18"/>
              </w:rPr>
            </w:pPr>
            <w:r w:rsidRPr="008A0A30">
              <w:rPr>
                <w:spacing w:val="2"/>
                <w:sz w:val="18"/>
                <w:szCs w:val="18"/>
              </w:rPr>
              <w:t>e</w:t>
            </w:r>
            <w:r w:rsidRPr="008A0A30">
              <w:rPr>
                <w:spacing w:val="-3"/>
                <w:sz w:val="18"/>
                <w:szCs w:val="18"/>
              </w:rPr>
              <w:t>m</w:t>
            </w:r>
            <w:r w:rsidRPr="008A0A30">
              <w:rPr>
                <w:sz w:val="18"/>
                <w:szCs w:val="18"/>
              </w:rPr>
              <w:t>tricitabine</w:t>
            </w:r>
            <w:r w:rsidRPr="008A0A30">
              <w:rPr>
                <w:spacing w:val="1"/>
                <w:sz w:val="18"/>
                <w:szCs w:val="18"/>
              </w:rPr>
              <w:t xml:space="preserve"> </w:t>
            </w:r>
            <w:r w:rsidRPr="008A0A30">
              <w:rPr>
                <w:sz w:val="18"/>
                <w:szCs w:val="18"/>
              </w:rPr>
              <w:t>200 once</w:t>
            </w:r>
            <w:r w:rsidRPr="008A0A30">
              <w:rPr>
                <w:spacing w:val="1"/>
                <w:sz w:val="18"/>
                <w:szCs w:val="18"/>
              </w:rPr>
              <w:t xml:space="preserve"> </w:t>
            </w:r>
            <w:r w:rsidRPr="008A0A30">
              <w:rPr>
                <w:sz w:val="18"/>
                <w:szCs w:val="18"/>
              </w:rPr>
              <w:t>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1.07 (0.98, 1.18)</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1.07 (1.00, 1.14)</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65" w:firstLine="262"/>
              <w:rPr>
                <w:sz w:val="18"/>
                <w:szCs w:val="18"/>
              </w:rPr>
            </w:pPr>
            <w:r w:rsidRPr="008A0A30">
              <w:rPr>
                <w:sz w:val="18"/>
                <w:szCs w:val="18"/>
              </w:rPr>
              <w:t>1.10 (0.97, 1.25)</w:t>
            </w:r>
          </w:p>
        </w:tc>
      </w:tr>
      <w:tr w:rsidR="001E26BE" w:rsidRPr="008A0A30" w:rsidTr="00D541A1">
        <w:trPr>
          <w:trHeight w:hRule="exact" w:val="550"/>
        </w:trPr>
        <w:tc>
          <w:tcPr>
            <w:tcW w:w="1728" w:type="dxa"/>
            <w:vMerge/>
            <w:tcBorders>
              <w:left w:val="nil"/>
              <w:bottom w:val="single" w:sz="6" w:space="0" w:color="000000"/>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220" w:right="169"/>
              <w:jc w:val="center"/>
              <w:rPr>
                <w:sz w:val="18"/>
                <w:szCs w:val="18"/>
              </w:rPr>
            </w:pPr>
            <w:r w:rsidRPr="008A0A30">
              <w:rPr>
                <w:sz w:val="18"/>
                <w:szCs w:val="18"/>
              </w:rPr>
              <w:t>tenofovir DF 300 once</w:t>
            </w:r>
            <w:r w:rsidRPr="008A0A30">
              <w:rPr>
                <w:spacing w:val="1"/>
                <w:sz w:val="18"/>
                <w:szCs w:val="18"/>
              </w:rPr>
              <w:t xml:space="preserve"> </w:t>
            </w:r>
            <w:r w:rsidRPr="008A0A30">
              <w:rPr>
                <w:sz w:val="18"/>
                <w:szCs w:val="18"/>
              </w:rPr>
              <w:t>daily</w:t>
            </w:r>
          </w:p>
        </w:tc>
        <w:tc>
          <w:tcPr>
            <w:tcW w:w="1258" w:type="dxa"/>
            <w:gridSpan w:val="2"/>
            <w:vMerge/>
            <w:tcBorders>
              <w:left w:val="single" w:sz="6" w:space="0" w:color="000000"/>
              <w:bottom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bottom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1.77 (1.53, 2.04)</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1.81 (1.68, 1.94)</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2.21 (2.00,</w:t>
            </w:r>
            <w:r w:rsidRPr="008A0A30">
              <w:rPr>
                <w:spacing w:val="-1"/>
                <w:sz w:val="18"/>
                <w:szCs w:val="18"/>
              </w:rPr>
              <w:t xml:space="preserve"> </w:t>
            </w:r>
            <w:r w:rsidRPr="008A0A30">
              <w:rPr>
                <w:sz w:val="18"/>
                <w:szCs w:val="18"/>
              </w:rPr>
              <w:t>2.43)</w:t>
            </w:r>
          </w:p>
        </w:tc>
      </w:tr>
      <w:tr w:rsidR="001E26BE" w:rsidRPr="008A0A30" w:rsidTr="00653CA5">
        <w:trPr>
          <w:trHeight w:hRule="exact" w:val="547"/>
        </w:trPr>
        <w:tc>
          <w:tcPr>
            <w:tcW w:w="1728" w:type="dxa"/>
            <w:vMerge w:val="restart"/>
            <w:tcBorders>
              <w:top w:val="single" w:sz="6" w:space="0" w:color="000000"/>
              <w:left w:val="nil"/>
              <w:right w:val="single" w:sz="6" w:space="0" w:color="000000"/>
            </w:tcBorders>
          </w:tcPr>
          <w:p w:rsidR="001E26BE" w:rsidRPr="008A0A30" w:rsidRDefault="001E26BE" w:rsidP="00243CE5">
            <w:pPr>
              <w:spacing w:after="0" w:line="206" w:lineRule="exact"/>
              <w:ind w:left="108" w:right="94"/>
              <w:rPr>
                <w:sz w:val="12"/>
                <w:szCs w:val="12"/>
              </w:rPr>
            </w:pPr>
            <w:r w:rsidRPr="008A0A30">
              <w:rPr>
                <w:sz w:val="18"/>
                <w:szCs w:val="18"/>
              </w:rPr>
              <w:t>Elvitegravir/</w:t>
            </w:r>
            <w:r w:rsidR="00243CE5" w:rsidRPr="008A0A30">
              <w:rPr>
                <w:sz w:val="18"/>
                <w:szCs w:val="18"/>
              </w:rPr>
              <w:t xml:space="preserve"> cobicis</w:t>
            </w:r>
            <w:r w:rsidRPr="008A0A30">
              <w:rPr>
                <w:sz w:val="18"/>
                <w:szCs w:val="18"/>
              </w:rPr>
              <w:t>at/</w:t>
            </w:r>
            <w:r w:rsidR="00243CE5" w:rsidRPr="008A0A30">
              <w:rPr>
                <w:sz w:val="18"/>
                <w:szCs w:val="18"/>
              </w:rPr>
              <w:br/>
            </w:r>
            <w:r w:rsidRPr="008A0A30">
              <w:rPr>
                <w:spacing w:val="2"/>
                <w:sz w:val="18"/>
                <w:szCs w:val="18"/>
              </w:rPr>
              <w:t>e</w:t>
            </w:r>
            <w:r w:rsidRPr="008A0A30">
              <w:rPr>
                <w:spacing w:val="-3"/>
                <w:sz w:val="18"/>
                <w:szCs w:val="18"/>
              </w:rPr>
              <w:t>m</w:t>
            </w:r>
            <w:r w:rsidRPr="008A0A30">
              <w:rPr>
                <w:sz w:val="18"/>
                <w:szCs w:val="18"/>
              </w:rPr>
              <w:t>tricitabine/</w:t>
            </w:r>
            <w:r w:rsidR="00243CE5" w:rsidRPr="008A0A30">
              <w:rPr>
                <w:sz w:val="18"/>
                <w:szCs w:val="18"/>
              </w:rPr>
              <w:br/>
            </w:r>
            <w:r w:rsidRPr="008A0A30">
              <w:rPr>
                <w:sz w:val="18"/>
                <w:szCs w:val="18"/>
              </w:rPr>
              <w:t>tenofovir alafenamid</w:t>
            </w:r>
            <w:r w:rsidRPr="008A0A30">
              <w:rPr>
                <w:spacing w:val="-1"/>
                <w:sz w:val="18"/>
                <w:szCs w:val="18"/>
              </w:rPr>
              <w:t>e</w:t>
            </w:r>
            <w:r w:rsidRPr="008A0A30">
              <w:rPr>
                <w:position w:val="8"/>
                <w:sz w:val="12"/>
                <w:szCs w:val="12"/>
              </w:rPr>
              <w:t>e</w:t>
            </w:r>
          </w:p>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474" w:right="221" w:hanging="202"/>
              <w:rPr>
                <w:sz w:val="18"/>
                <w:szCs w:val="18"/>
              </w:rPr>
            </w:pPr>
            <w:r w:rsidRPr="008A0A30">
              <w:rPr>
                <w:sz w:val="18"/>
                <w:szCs w:val="18"/>
              </w:rPr>
              <w:t>elvitegravir 150 once</w:t>
            </w:r>
            <w:r w:rsidRPr="008A0A30">
              <w:rPr>
                <w:spacing w:val="1"/>
                <w:sz w:val="18"/>
                <w:szCs w:val="18"/>
              </w:rPr>
              <w:t xml:space="preserve"> </w:t>
            </w:r>
            <w:r w:rsidRPr="008A0A30">
              <w:rPr>
                <w:sz w:val="18"/>
                <w:szCs w:val="18"/>
              </w:rPr>
              <w:t>daily</w:t>
            </w:r>
          </w:p>
        </w:tc>
        <w:tc>
          <w:tcPr>
            <w:tcW w:w="1258" w:type="dxa"/>
            <w:gridSpan w:val="2"/>
            <w:vMerge w:val="restart"/>
            <w:tcBorders>
              <w:top w:val="single" w:sz="6" w:space="0" w:color="000000"/>
              <w:left w:val="single" w:sz="6" w:space="0" w:color="000000"/>
              <w:right w:val="single" w:sz="6" w:space="0" w:color="000000"/>
            </w:tcBorders>
          </w:tcPr>
          <w:p w:rsidR="001E26BE" w:rsidRPr="008A0A30" w:rsidRDefault="001E26BE" w:rsidP="00D541A1">
            <w:pPr>
              <w:spacing w:after="0" w:line="206" w:lineRule="exact"/>
              <w:ind w:left="441" w:right="243" w:hanging="146"/>
              <w:jc w:val="center"/>
              <w:rPr>
                <w:sz w:val="18"/>
                <w:szCs w:val="18"/>
              </w:rPr>
            </w:pPr>
            <w:r w:rsidRPr="008A0A30">
              <w:rPr>
                <w:sz w:val="18"/>
                <w:szCs w:val="18"/>
              </w:rPr>
              <w:t>100 once daily</w:t>
            </w:r>
          </w:p>
        </w:tc>
        <w:tc>
          <w:tcPr>
            <w:tcW w:w="1080" w:type="dxa"/>
            <w:vMerge w:val="restart"/>
            <w:tcBorders>
              <w:top w:val="single" w:sz="6" w:space="0" w:color="000000"/>
              <w:left w:val="single" w:sz="6" w:space="0" w:color="000000"/>
              <w:right w:val="single" w:sz="6" w:space="0" w:color="000000"/>
            </w:tcBorders>
          </w:tcPr>
          <w:p w:rsidR="001E26BE" w:rsidRPr="008A0A30" w:rsidRDefault="001E26BE" w:rsidP="00D541A1">
            <w:pPr>
              <w:spacing w:after="0" w:line="206" w:lineRule="exact"/>
              <w:ind w:left="352" w:right="143" w:hanging="149"/>
              <w:jc w:val="center"/>
              <w:rPr>
                <w:sz w:val="18"/>
                <w:szCs w:val="18"/>
              </w:rPr>
            </w:pPr>
            <w:r w:rsidRPr="008A0A30">
              <w:rPr>
                <w:sz w:val="18"/>
                <w:szCs w:val="18"/>
              </w:rPr>
              <w:t>400 once daily</w:t>
            </w:r>
          </w:p>
        </w:tc>
        <w:tc>
          <w:tcPr>
            <w:tcW w:w="550" w:type="dxa"/>
            <w:vMerge w:val="restart"/>
            <w:tcBorders>
              <w:top w:val="single" w:sz="6" w:space="0" w:color="000000"/>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24</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0.87 (0.80, 0.94)</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0.94 (0.88, 1.00)</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1.08 (0.97, 1.20)</w:t>
            </w:r>
          </w:p>
        </w:tc>
      </w:tr>
      <w:tr w:rsidR="001E26BE" w:rsidRPr="008A0A30" w:rsidTr="00653CA5">
        <w:trPr>
          <w:trHeight w:hRule="exact" w:val="550"/>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60" w:after="0" w:line="206" w:lineRule="exact"/>
              <w:ind w:left="666" w:right="101" w:hanging="516"/>
              <w:rPr>
                <w:sz w:val="18"/>
                <w:szCs w:val="18"/>
              </w:rPr>
            </w:pPr>
            <w:r w:rsidRPr="008A0A30">
              <w:rPr>
                <w:sz w:val="18"/>
                <w:szCs w:val="18"/>
              </w:rPr>
              <w:t>cobicistat 150 once 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12" w:right="58" w:firstLine="262"/>
              <w:rPr>
                <w:sz w:val="18"/>
                <w:szCs w:val="18"/>
              </w:rPr>
            </w:pPr>
            <w:r w:rsidRPr="008A0A30">
              <w:rPr>
                <w:sz w:val="18"/>
                <w:szCs w:val="18"/>
              </w:rPr>
              <w:t>1.16 (1.09, 1.23)</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09" w:right="58" w:firstLine="264"/>
              <w:rPr>
                <w:sz w:val="18"/>
                <w:szCs w:val="18"/>
              </w:rPr>
            </w:pPr>
            <w:r w:rsidRPr="008A0A30">
              <w:rPr>
                <w:sz w:val="18"/>
                <w:szCs w:val="18"/>
              </w:rPr>
              <w:t>1.30 (1.23, 1.38)</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60" w:after="0" w:line="206" w:lineRule="exact"/>
              <w:ind w:left="121" w:right="76" w:firstLine="262"/>
              <w:rPr>
                <w:sz w:val="18"/>
                <w:szCs w:val="18"/>
              </w:rPr>
            </w:pPr>
            <w:r w:rsidRPr="008A0A30">
              <w:rPr>
                <w:sz w:val="18"/>
                <w:szCs w:val="18"/>
              </w:rPr>
              <w:t>2.03 (1.67, 2.48)</w:t>
            </w:r>
          </w:p>
        </w:tc>
      </w:tr>
      <w:tr w:rsidR="001E26BE" w:rsidRPr="008A0A30" w:rsidTr="00D541A1">
        <w:trPr>
          <w:trHeight w:hRule="exact" w:val="550"/>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4" w:after="0" w:line="242" w:lineRule="auto"/>
              <w:ind w:left="212" w:right="162"/>
              <w:jc w:val="center"/>
              <w:rPr>
                <w:sz w:val="18"/>
                <w:szCs w:val="18"/>
              </w:rPr>
            </w:pPr>
            <w:r w:rsidRPr="008A0A30">
              <w:rPr>
                <w:spacing w:val="2"/>
                <w:sz w:val="18"/>
                <w:szCs w:val="18"/>
              </w:rPr>
              <w:t>e</w:t>
            </w:r>
            <w:r w:rsidRPr="008A0A30">
              <w:rPr>
                <w:spacing w:val="-3"/>
                <w:sz w:val="18"/>
                <w:szCs w:val="18"/>
              </w:rPr>
              <w:t>m</w:t>
            </w:r>
            <w:r w:rsidRPr="008A0A30">
              <w:rPr>
                <w:sz w:val="18"/>
                <w:szCs w:val="18"/>
              </w:rPr>
              <w:t>tricitabine</w:t>
            </w:r>
            <w:r w:rsidRPr="008A0A30">
              <w:rPr>
                <w:spacing w:val="1"/>
                <w:sz w:val="18"/>
                <w:szCs w:val="18"/>
              </w:rPr>
              <w:t xml:space="preserve"> </w:t>
            </w:r>
            <w:r w:rsidRPr="008A0A30">
              <w:rPr>
                <w:sz w:val="18"/>
                <w:szCs w:val="18"/>
              </w:rPr>
              <w:t>200 once</w:t>
            </w:r>
            <w:r w:rsidRPr="008A0A30">
              <w:rPr>
                <w:spacing w:val="1"/>
                <w:sz w:val="18"/>
                <w:szCs w:val="18"/>
              </w:rPr>
              <w:t xml:space="preserve"> </w:t>
            </w:r>
            <w:r w:rsidRPr="008A0A30">
              <w:rPr>
                <w:sz w:val="18"/>
                <w:szCs w:val="18"/>
              </w:rPr>
              <w:t>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1.02 (0.97, 1.06)</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1.01 (0.98, 1.04)</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65" w:firstLine="262"/>
              <w:rPr>
                <w:sz w:val="18"/>
                <w:szCs w:val="18"/>
              </w:rPr>
            </w:pPr>
            <w:r w:rsidRPr="008A0A30">
              <w:rPr>
                <w:sz w:val="18"/>
                <w:szCs w:val="18"/>
              </w:rPr>
              <w:t>1.02 (0.97, 1.07)</w:t>
            </w:r>
          </w:p>
        </w:tc>
      </w:tr>
      <w:tr w:rsidR="001E26BE" w:rsidRPr="008A0A30" w:rsidTr="00D541A1">
        <w:trPr>
          <w:trHeight w:hRule="exact" w:val="763"/>
        </w:trPr>
        <w:tc>
          <w:tcPr>
            <w:tcW w:w="1728" w:type="dxa"/>
            <w:vMerge/>
            <w:tcBorders>
              <w:left w:val="nil"/>
              <w:right w:val="single" w:sz="6" w:space="0" w:color="000000"/>
            </w:tcBorders>
          </w:tcPr>
          <w:p w:rsidR="001E26BE" w:rsidRPr="008A0A30" w:rsidRDefault="001E26BE" w:rsidP="00B11886"/>
        </w:tc>
        <w:tc>
          <w:tcPr>
            <w:tcW w:w="1704" w:type="dxa"/>
            <w:gridSpan w:val="3"/>
            <w:tcBorders>
              <w:top w:val="single" w:sz="6" w:space="0" w:color="000000"/>
              <w:left w:val="single" w:sz="6" w:space="0" w:color="000000"/>
              <w:right w:val="single" w:sz="6" w:space="0" w:color="000000"/>
            </w:tcBorders>
          </w:tcPr>
          <w:p w:rsidR="001E26BE" w:rsidRPr="008A0A30" w:rsidRDefault="001E26BE" w:rsidP="00D541A1">
            <w:pPr>
              <w:spacing w:before="54" w:after="0"/>
              <w:ind w:left="84" w:right="66"/>
              <w:jc w:val="center"/>
              <w:rPr>
                <w:sz w:val="18"/>
                <w:szCs w:val="18"/>
              </w:rPr>
            </w:pPr>
            <w:r w:rsidRPr="008A0A30">
              <w:rPr>
                <w:sz w:val="18"/>
                <w:szCs w:val="18"/>
              </w:rPr>
              <w:t>tenofovir alafenamide 10 once daily</w:t>
            </w:r>
          </w:p>
        </w:tc>
        <w:tc>
          <w:tcPr>
            <w:tcW w:w="1258" w:type="dxa"/>
            <w:gridSpan w:val="2"/>
            <w:vMerge/>
            <w:tcBorders>
              <w:left w:val="single" w:sz="6" w:space="0" w:color="000000"/>
              <w:right w:val="single" w:sz="6" w:space="0" w:color="000000"/>
            </w:tcBorders>
          </w:tcPr>
          <w:p w:rsidR="001E26BE" w:rsidRPr="008A0A30" w:rsidRDefault="001E26BE" w:rsidP="00D541A1">
            <w:pPr>
              <w:jc w:val="center"/>
            </w:pPr>
          </w:p>
        </w:tc>
        <w:tc>
          <w:tcPr>
            <w:tcW w:w="1080" w:type="dxa"/>
            <w:vMerge/>
            <w:tcBorders>
              <w:left w:val="single" w:sz="6" w:space="0" w:color="000000"/>
              <w:right w:val="single" w:sz="6" w:space="0" w:color="000000"/>
            </w:tcBorders>
          </w:tcPr>
          <w:p w:rsidR="001E26BE" w:rsidRPr="008A0A30" w:rsidRDefault="001E26BE" w:rsidP="00D541A1">
            <w:pPr>
              <w:jc w:val="center"/>
            </w:pPr>
          </w:p>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4" w:space="0" w:color="auto"/>
              <w:right w:val="single" w:sz="6" w:space="0" w:color="000000"/>
            </w:tcBorders>
          </w:tcPr>
          <w:p w:rsidR="001E26BE" w:rsidRPr="008A0A30" w:rsidRDefault="001E26BE" w:rsidP="00B11886">
            <w:pPr>
              <w:spacing w:after="0" w:line="206" w:lineRule="exact"/>
              <w:ind w:left="112" w:right="58" w:firstLine="262"/>
              <w:rPr>
                <w:sz w:val="18"/>
                <w:szCs w:val="18"/>
              </w:rPr>
            </w:pPr>
            <w:r w:rsidRPr="008A0A30">
              <w:rPr>
                <w:sz w:val="18"/>
                <w:szCs w:val="18"/>
              </w:rPr>
              <w:t>0.80 (0.68, 0.94)</w:t>
            </w:r>
          </w:p>
        </w:tc>
        <w:tc>
          <w:tcPr>
            <w:tcW w:w="1076" w:type="dxa"/>
            <w:tcBorders>
              <w:top w:val="single" w:sz="6" w:space="0" w:color="000000"/>
              <w:left w:val="single" w:sz="6" w:space="0" w:color="000000"/>
              <w:bottom w:val="single" w:sz="4" w:space="0" w:color="auto"/>
              <w:right w:val="single" w:sz="6" w:space="0" w:color="000000"/>
            </w:tcBorders>
          </w:tcPr>
          <w:p w:rsidR="001E26BE" w:rsidRPr="008A0A30" w:rsidRDefault="001E26BE" w:rsidP="00B11886">
            <w:pPr>
              <w:spacing w:after="0" w:line="206" w:lineRule="exact"/>
              <w:ind w:left="109" w:right="47" w:firstLine="264"/>
              <w:rPr>
                <w:sz w:val="18"/>
                <w:szCs w:val="18"/>
              </w:rPr>
            </w:pPr>
            <w:r w:rsidRPr="008A0A30">
              <w:rPr>
                <w:sz w:val="18"/>
                <w:szCs w:val="18"/>
              </w:rPr>
              <w:t>0.87 (0.81, 0.94)</w:t>
            </w:r>
          </w:p>
        </w:tc>
        <w:tc>
          <w:tcPr>
            <w:tcW w:w="1103" w:type="dxa"/>
            <w:gridSpan w:val="2"/>
            <w:tcBorders>
              <w:top w:val="single" w:sz="6" w:space="0" w:color="000000"/>
              <w:left w:val="single" w:sz="6" w:space="0" w:color="000000"/>
              <w:bottom w:val="single" w:sz="4" w:space="0" w:color="auto"/>
              <w:right w:val="nil"/>
            </w:tcBorders>
          </w:tcPr>
          <w:p w:rsidR="001E26BE" w:rsidRPr="008A0A30" w:rsidRDefault="001E26BE" w:rsidP="00B11886">
            <w:pPr>
              <w:spacing w:after="0"/>
              <w:ind w:left="371" w:right="359"/>
              <w:jc w:val="center"/>
              <w:rPr>
                <w:sz w:val="18"/>
                <w:szCs w:val="18"/>
              </w:rPr>
            </w:pPr>
            <w:r w:rsidRPr="008A0A30">
              <w:rPr>
                <w:sz w:val="18"/>
                <w:szCs w:val="18"/>
              </w:rPr>
              <w:t>NA</w:t>
            </w:r>
          </w:p>
        </w:tc>
      </w:tr>
      <w:tr w:rsidR="001E26BE" w:rsidRPr="008A0A30" w:rsidTr="00D541A1">
        <w:trPr>
          <w:gridAfter w:val="1"/>
          <w:wAfter w:w="8" w:type="dxa"/>
          <w:trHeight w:hRule="exact" w:val="557"/>
        </w:trPr>
        <w:tc>
          <w:tcPr>
            <w:tcW w:w="1738" w:type="dxa"/>
            <w:gridSpan w:val="2"/>
            <w:vMerge w:val="restart"/>
            <w:tcBorders>
              <w:top w:val="single" w:sz="4" w:space="0" w:color="auto"/>
              <w:left w:val="nil"/>
              <w:right w:val="single" w:sz="6" w:space="0" w:color="000000"/>
            </w:tcBorders>
          </w:tcPr>
          <w:p w:rsidR="001E26BE" w:rsidRPr="008A0A30" w:rsidRDefault="001E26BE" w:rsidP="005502B9">
            <w:pPr>
              <w:tabs>
                <w:tab w:val="left" w:pos="594"/>
              </w:tabs>
              <w:spacing w:after="0" w:line="206" w:lineRule="exact"/>
              <w:ind w:left="108" w:right="94"/>
              <w:rPr>
                <w:sz w:val="12"/>
                <w:szCs w:val="12"/>
              </w:rPr>
            </w:pPr>
            <w:r w:rsidRPr="008A0A30">
              <w:rPr>
                <w:sz w:val="18"/>
                <w:szCs w:val="18"/>
              </w:rPr>
              <w:t>Elvitegravir/</w:t>
            </w:r>
            <w:r w:rsidR="00243CE5" w:rsidRPr="008A0A30">
              <w:rPr>
                <w:sz w:val="18"/>
                <w:szCs w:val="18"/>
              </w:rPr>
              <w:br/>
              <w:t>cobicist</w:t>
            </w:r>
            <w:r w:rsidRPr="008A0A30">
              <w:rPr>
                <w:sz w:val="18"/>
                <w:szCs w:val="18"/>
              </w:rPr>
              <w:t>at/</w:t>
            </w:r>
            <w:r w:rsidR="005502B9">
              <w:rPr>
                <w:sz w:val="18"/>
                <w:szCs w:val="18"/>
              </w:rPr>
              <w:br/>
            </w:r>
            <w:r w:rsidRPr="008A0A30">
              <w:rPr>
                <w:spacing w:val="2"/>
                <w:sz w:val="18"/>
                <w:szCs w:val="18"/>
              </w:rPr>
              <w:t>e</w:t>
            </w:r>
            <w:r w:rsidRPr="008A0A30">
              <w:rPr>
                <w:spacing w:val="-3"/>
                <w:sz w:val="18"/>
                <w:szCs w:val="18"/>
              </w:rPr>
              <w:t>m</w:t>
            </w:r>
            <w:r w:rsidRPr="008A0A30">
              <w:rPr>
                <w:sz w:val="18"/>
                <w:szCs w:val="18"/>
              </w:rPr>
              <w:t>tricitabine/</w:t>
            </w:r>
            <w:r w:rsidR="00243CE5" w:rsidRPr="008A0A30">
              <w:rPr>
                <w:sz w:val="18"/>
                <w:szCs w:val="18"/>
              </w:rPr>
              <w:br/>
            </w:r>
            <w:r w:rsidRPr="008A0A30">
              <w:rPr>
                <w:sz w:val="18"/>
                <w:szCs w:val="18"/>
              </w:rPr>
              <w:t>tenofovir D</w:t>
            </w:r>
            <w:r w:rsidRPr="008A0A30">
              <w:rPr>
                <w:spacing w:val="1"/>
                <w:sz w:val="18"/>
                <w:szCs w:val="18"/>
              </w:rPr>
              <w:t>F</w:t>
            </w:r>
            <w:r w:rsidRPr="008A0A30">
              <w:rPr>
                <w:position w:val="8"/>
                <w:sz w:val="12"/>
                <w:szCs w:val="12"/>
              </w:rPr>
              <w:t>f</w:t>
            </w:r>
          </w:p>
        </w:tc>
        <w:tc>
          <w:tcPr>
            <w:tcW w:w="1680" w:type="dxa"/>
            <w:tcBorders>
              <w:top w:val="single" w:sz="4" w:space="0" w:color="auto"/>
              <w:left w:val="single" w:sz="6" w:space="0" w:color="000000"/>
              <w:bottom w:val="single" w:sz="6" w:space="0" w:color="000000"/>
              <w:right w:val="single" w:sz="6" w:space="0" w:color="000000"/>
            </w:tcBorders>
          </w:tcPr>
          <w:p w:rsidR="001E26BE" w:rsidRPr="008A0A30" w:rsidRDefault="001E26BE" w:rsidP="00D541A1">
            <w:pPr>
              <w:spacing w:before="60" w:after="0" w:line="206" w:lineRule="exact"/>
              <w:ind w:left="474" w:right="221" w:hanging="202"/>
              <w:rPr>
                <w:sz w:val="18"/>
                <w:szCs w:val="18"/>
              </w:rPr>
            </w:pPr>
            <w:r w:rsidRPr="008A0A30">
              <w:rPr>
                <w:sz w:val="18"/>
                <w:szCs w:val="18"/>
              </w:rPr>
              <w:t>elvitegravir 150 once daily</w:t>
            </w:r>
          </w:p>
        </w:tc>
        <w:tc>
          <w:tcPr>
            <w:tcW w:w="1256" w:type="dxa"/>
            <w:gridSpan w:val="2"/>
            <w:vMerge w:val="restart"/>
            <w:tcBorders>
              <w:top w:val="single" w:sz="4" w:space="0" w:color="auto"/>
              <w:left w:val="single" w:sz="6" w:space="0" w:color="000000"/>
              <w:right w:val="single" w:sz="6" w:space="0" w:color="000000"/>
            </w:tcBorders>
          </w:tcPr>
          <w:p w:rsidR="001E26BE" w:rsidRPr="008A0A30" w:rsidRDefault="001E26BE" w:rsidP="00D541A1">
            <w:pPr>
              <w:spacing w:after="0" w:line="206" w:lineRule="exact"/>
              <w:ind w:left="441" w:right="243" w:hanging="146"/>
              <w:jc w:val="center"/>
              <w:rPr>
                <w:sz w:val="18"/>
                <w:szCs w:val="18"/>
              </w:rPr>
            </w:pPr>
            <w:r w:rsidRPr="008A0A30">
              <w:rPr>
                <w:sz w:val="18"/>
                <w:szCs w:val="18"/>
              </w:rPr>
              <w:t>100 once daily</w:t>
            </w:r>
          </w:p>
        </w:tc>
        <w:tc>
          <w:tcPr>
            <w:tcW w:w="1096" w:type="dxa"/>
            <w:gridSpan w:val="2"/>
            <w:vMerge w:val="restart"/>
            <w:tcBorders>
              <w:top w:val="single" w:sz="4" w:space="0" w:color="auto"/>
              <w:left w:val="single" w:sz="6" w:space="0" w:color="000000"/>
              <w:right w:val="single" w:sz="6" w:space="0" w:color="000000"/>
            </w:tcBorders>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550" w:type="dxa"/>
            <w:vMerge w:val="restart"/>
            <w:tcBorders>
              <w:top w:val="single" w:sz="4" w:space="0" w:color="auto"/>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24</w:t>
            </w:r>
          </w:p>
        </w:tc>
        <w:tc>
          <w:tcPr>
            <w:tcW w:w="1078"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12" w:right="58" w:firstLine="262"/>
              <w:rPr>
                <w:sz w:val="18"/>
                <w:szCs w:val="18"/>
              </w:rPr>
            </w:pPr>
            <w:r w:rsidRPr="008A0A30">
              <w:rPr>
                <w:sz w:val="18"/>
                <w:szCs w:val="18"/>
              </w:rPr>
              <w:t>0.93 (0.86, 1.00)</w:t>
            </w:r>
          </w:p>
        </w:tc>
        <w:tc>
          <w:tcPr>
            <w:tcW w:w="1076"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09" w:right="58" w:firstLine="264"/>
              <w:rPr>
                <w:sz w:val="18"/>
                <w:szCs w:val="18"/>
              </w:rPr>
            </w:pPr>
            <w:r w:rsidRPr="008A0A30">
              <w:rPr>
                <w:sz w:val="18"/>
                <w:szCs w:val="18"/>
              </w:rPr>
              <w:t>0.93 (0.87, 0.99)</w:t>
            </w:r>
          </w:p>
        </w:tc>
        <w:tc>
          <w:tcPr>
            <w:tcW w:w="1095" w:type="dxa"/>
            <w:tcBorders>
              <w:top w:val="single" w:sz="4" w:space="0" w:color="auto"/>
              <w:left w:val="single" w:sz="6" w:space="0" w:color="000000"/>
              <w:bottom w:val="single" w:sz="6" w:space="0" w:color="000000"/>
              <w:right w:val="nil"/>
            </w:tcBorders>
          </w:tcPr>
          <w:p w:rsidR="001E26BE" w:rsidRPr="008A0A30" w:rsidRDefault="001E26BE" w:rsidP="00B11886">
            <w:pPr>
              <w:spacing w:before="60" w:after="0" w:line="206" w:lineRule="exact"/>
              <w:ind w:left="121" w:right="76" w:firstLine="262"/>
              <w:rPr>
                <w:sz w:val="18"/>
                <w:szCs w:val="18"/>
              </w:rPr>
            </w:pPr>
            <w:r w:rsidRPr="008A0A30">
              <w:rPr>
                <w:sz w:val="18"/>
                <w:szCs w:val="18"/>
              </w:rPr>
              <w:t>0.97 (0.91, 1.04)</w:t>
            </w:r>
          </w:p>
        </w:tc>
      </w:tr>
      <w:tr w:rsidR="001E26BE" w:rsidRPr="008A0A30" w:rsidTr="00D541A1">
        <w:trPr>
          <w:gridAfter w:val="1"/>
          <w:wAfter w:w="8" w:type="dxa"/>
          <w:trHeight w:hRule="exact" w:val="550"/>
        </w:trPr>
        <w:tc>
          <w:tcPr>
            <w:tcW w:w="1738" w:type="dxa"/>
            <w:gridSpan w:val="2"/>
            <w:vMerge/>
            <w:tcBorders>
              <w:left w:val="nil"/>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666" w:right="101" w:hanging="516"/>
              <w:rPr>
                <w:sz w:val="18"/>
                <w:szCs w:val="18"/>
              </w:rPr>
            </w:pPr>
            <w:r w:rsidRPr="008A0A30">
              <w:rPr>
                <w:sz w:val="18"/>
                <w:szCs w:val="18"/>
              </w:rPr>
              <w:t>cobicistat 150 once daily</w:t>
            </w:r>
          </w:p>
        </w:tc>
        <w:tc>
          <w:tcPr>
            <w:tcW w:w="1256" w:type="dxa"/>
            <w:gridSpan w:val="2"/>
            <w:vMerge/>
            <w:tcBorders>
              <w:left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right w:val="single" w:sz="6" w:space="0" w:color="000000"/>
            </w:tcBorders>
          </w:tcPr>
          <w:p w:rsidR="001E26BE" w:rsidRPr="008A0A30" w:rsidRDefault="001E26BE" w:rsidP="00B11886"/>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12" w:right="58" w:firstLine="262"/>
              <w:rPr>
                <w:sz w:val="18"/>
                <w:szCs w:val="18"/>
              </w:rPr>
            </w:pPr>
            <w:r w:rsidRPr="008A0A30">
              <w:rPr>
                <w:sz w:val="18"/>
                <w:szCs w:val="18"/>
              </w:rPr>
              <w:t>1.11 (1.06, 1.17)</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09" w:right="58" w:firstLine="264"/>
              <w:rPr>
                <w:sz w:val="18"/>
                <w:szCs w:val="18"/>
              </w:rPr>
            </w:pPr>
            <w:r w:rsidRPr="008A0A30">
              <w:rPr>
                <w:sz w:val="18"/>
                <w:szCs w:val="18"/>
              </w:rPr>
              <w:t>1.23 (1.17, 1.29)</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60" w:after="0" w:line="206" w:lineRule="exact"/>
              <w:ind w:left="121" w:right="76" w:firstLine="262"/>
              <w:rPr>
                <w:sz w:val="18"/>
                <w:szCs w:val="18"/>
              </w:rPr>
            </w:pPr>
            <w:r w:rsidRPr="008A0A30">
              <w:rPr>
                <w:sz w:val="18"/>
                <w:szCs w:val="18"/>
              </w:rPr>
              <w:t>1.71 (1.54, 1.90)</w:t>
            </w:r>
          </w:p>
        </w:tc>
      </w:tr>
      <w:tr w:rsidR="001E26BE" w:rsidRPr="008A0A30" w:rsidTr="00D541A1">
        <w:trPr>
          <w:gridAfter w:val="1"/>
          <w:wAfter w:w="8" w:type="dxa"/>
          <w:trHeight w:hRule="exact" w:val="550"/>
        </w:trPr>
        <w:tc>
          <w:tcPr>
            <w:tcW w:w="1738" w:type="dxa"/>
            <w:gridSpan w:val="2"/>
            <w:vMerge/>
            <w:tcBorders>
              <w:left w:val="nil"/>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474" w:right="162" w:hanging="262"/>
              <w:rPr>
                <w:sz w:val="18"/>
                <w:szCs w:val="18"/>
              </w:rPr>
            </w:pPr>
            <w:r w:rsidRPr="008A0A30">
              <w:rPr>
                <w:spacing w:val="2"/>
                <w:sz w:val="18"/>
                <w:szCs w:val="18"/>
              </w:rPr>
              <w:t>e</w:t>
            </w:r>
            <w:r w:rsidRPr="008A0A30">
              <w:rPr>
                <w:spacing w:val="-3"/>
                <w:sz w:val="18"/>
                <w:szCs w:val="18"/>
              </w:rPr>
              <w:t>m</w:t>
            </w:r>
            <w:r w:rsidRPr="008A0A30">
              <w:rPr>
                <w:sz w:val="18"/>
                <w:szCs w:val="18"/>
              </w:rPr>
              <w:t>tricitabine</w:t>
            </w:r>
            <w:r w:rsidRPr="008A0A30">
              <w:rPr>
                <w:spacing w:val="1"/>
                <w:sz w:val="18"/>
                <w:szCs w:val="18"/>
              </w:rPr>
              <w:t xml:space="preserve"> </w:t>
            </w:r>
            <w:r w:rsidRPr="008A0A30">
              <w:rPr>
                <w:sz w:val="18"/>
                <w:szCs w:val="18"/>
              </w:rPr>
              <w:t>200 once</w:t>
            </w:r>
            <w:r w:rsidRPr="008A0A30">
              <w:rPr>
                <w:spacing w:val="1"/>
                <w:sz w:val="18"/>
                <w:szCs w:val="18"/>
              </w:rPr>
              <w:t xml:space="preserve"> </w:t>
            </w:r>
            <w:r w:rsidRPr="008A0A30">
              <w:rPr>
                <w:sz w:val="18"/>
                <w:szCs w:val="18"/>
              </w:rPr>
              <w:t>daily</w:t>
            </w:r>
          </w:p>
        </w:tc>
        <w:tc>
          <w:tcPr>
            <w:tcW w:w="1256" w:type="dxa"/>
            <w:gridSpan w:val="2"/>
            <w:vMerge/>
            <w:tcBorders>
              <w:left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right w:val="single" w:sz="6" w:space="0" w:color="000000"/>
            </w:tcBorders>
          </w:tcPr>
          <w:p w:rsidR="001E26BE" w:rsidRPr="008A0A30" w:rsidRDefault="001E26BE" w:rsidP="00B11886"/>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1.02 (0.97, 1.08)</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1.01 (0.98, 1.04)</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55" w:firstLine="262"/>
              <w:rPr>
                <w:sz w:val="18"/>
                <w:szCs w:val="18"/>
              </w:rPr>
            </w:pPr>
            <w:r w:rsidRPr="008A0A30">
              <w:rPr>
                <w:sz w:val="18"/>
                <w:szCs w:val="18"/>
              </w:rPr>
              <w:t>1.06 (1.01, 1.11)</w:t>
            </w:r>
          </w:p>
        </w:tc>
      </w:tr>
      <w:tr w:rsidR="001E26BE" w:rsidRPr="008A0A30" w:rsidTr="00D541A1">
        <w:trPr>
          <w:gridAfter w:val="1"/>
          <w:wAfter w:w="8" w:type="dxa"/>
          <w:trHeight w:hRule="exact" w:val="550"/>
        </w:trPr>
        <w:tc>
          <w:tcPr>
            <w:tcW w:w="1738" w:type="dxa"/>
            <w:gridSpan w:val="2"/>
            <w:vMerge/>
            <w:tcBorders>
              <w:left w:val="nil"/>
              <w:bottom w:val="single" w:sz="6" w:space="0" w:color="000000"/>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474" w:right="169" w:hanging="254"/>
              <w:rPr>
                <w:sz w:val="18"/>
                <w:szCs w:val="18"/>
              </w:rPr>
            </w:pPr>
            <w:r w:rsidRPr="008A0A30">
              <w:rPr>
                <w:sz w:val="18"/>
                <w:szCs w:val="18"/>
              </w:rPr>
              <w:t>tenofovir DF 300 once</w:t>
            </w:r>
            <w:r w:rsidRPr="008A0A30">
              <w:rPr>
                <w:spacing w:val="1"/>
                <w:sz w:val="18"/>
                <w:szCs w:val="18"/>
              </w:rPr>
              <w:t xml:space="preserve"> </w:t>
            </w:r>
            <w:r w:rsidRPr="008A0A30">
              <w:rPr>
                <w:sz w:val="18"/>
                <w:szCs w:val="18"/>
              </w:rPr>
              <w:t>daily</w:t>
            </w:r>
          </w:p>
        </w:tc>
        <w:tc>
          <w:tcPr>
            <w:tcW w:w="125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1.36 (1.25, 1.47)</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1.35 (1.29, 1.42)</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1.45 (1.39, 1.51)</w:t>
            </w:r>
          </w:p>
        </w:tc>
      </w:tr>
      <w:tr w:rsidR="001E26BE" w:rsidRPr="008A0A30" w:rsidTr="00D541A1">
        <w:trPr>
          <w:gridAfter w:val="1"/>
          <w:wAfter w:w="8" w:type="dxa"/>
          <w:trHeight w:hRule="exact" w:val="547"/>
        </w:trPr>
        <w:tc>
          <w:tcPr>
            <w:tcW w:w="1738" w:type="dxa"/>
            <w:gridSpan w:val="2"/>
            <w:vMerge w:val="restart"/>
            <w:tcBorders>
              <w:top w:val="single" w:sz="6" w:space="0" w:color="000000"/>
              <w:left w:val="nil"/>
              <w:right w:val="single" w:sz="6" w:space="0" w:color="000000"/>
            </w:tcBorders>
          </w:tcPr>
          <w:p w:rsidR="001E26BE" w:rsidRPr="008A0A30" w:rsidRDefault="001E26BE" w:rsidP="00243CE5">
            <w:pPr>
              <w:spacing w:after="0" w:line="226" w:lineRule="auto"/>
              <w:ind w:left="108" w:right="83"/>
              <w:rPr>
                <w:sz w:val="12"/>
                <w:szCs w:val="12"/>
              </w:rPr>
            </w:pPr>
            <w:r w:rsidRPr="008A0A30">
              <w:rPr>
                <w:sz w:val="18"/>
                <w:szCs w:val="18"/>
              </w:rPr>
              <w:t>Emtricitabine/ rilpivirine/</w:t>
            </w:r>
            <w:r w:rsidR="00243CE5" w:rsidRPr="008A0A30">
              <w:rPr>
                <w:sz w:val="18"/>
                <w:szCs w:val="18"/>
              </w:rPr>
              <w:br/>
            </w:r>
            <w:r w:rsidRPr="008A0A30">
              <w:rPr>
                <w:sz w:val="18"/>
                <w:szCs w:val="18"/>
              </w:rPr>
              <w:t>tenofovir D</w:t>
            </w:r>
            <w:r w:rsidRPr="008A0A30">
              <w:rPr>
                <w:spacing w:val="1"/>
                <w:sz w:val="18"/>
                <w:szCs w:val="18"/>
              </w:rPr>
              <w:t>F</w:t>
            </w:r>
            <w:r w:rsidRPr="008A0A30">
              <w:rPr>
                <w:position w:val="8"/>
                <w:sz w:val="12"/>
                <w:szCs w:val="12"/>
              </w:rPr>
              <w:t>g</w:t>
            </w:r>
          </w:p>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243CE5">
            <w:pPr>
              <w:spacing w:before="54" w:after="0"/>
              <w:ind w:left="146" w:right="125"/>
              <w:jc w:val="center"/>
              <w:rPr>
                <w:sz w:val="18"/>
                <w:szCs w:val="18"/>
              </w:rPr>
            </w:pPr>
            <w:r w:rsidRPr="008A0A30">
              <w:rPr>
                <w:spacing w:val="2"/>
                <w:sz w:val="18"/>
                <w:szCs w:val="18"/>
              </w:rPr>
              <w:t>e</w:t>
            </w:r>
            <w:r w:rsidRPr="008A0A30">
              <w:rPr>
                <w:spacing w:val="-3"/>
                <w:sz w:val="18"/>
                <w:szCs w:val="18"/>
              </w:rPr>
              <w:t>m</w:t>
            </w:r>
            <w:r w:rsidRPr="008A0A30">
              <w:rPr>
                <w:sz w:val="18"/>
                <w:szCs w:val="18"/>
              </w:rPr>
              <w:t>tricitabine once</w:t>
            </w:r>
            <w:r w:rsidR="00243CE5" w:rsidRPr="008A0A30">
              <w:rPr>
                <w:sz w:val="18"/>
                <w:szCs w:val="18"/>
              </w:rPr>
              <w:t xml:space="preserve"> </w:t>
            </w:r>
            <w:r w:rsidRPr="008A0A30">
              <w:rPr>
                <w:sz w:val="18"/>
                <w:szCs w:val="18"/>
              </w:rPr>
              <w:t>200</w:t>
            </w:r>
            <w:r w:rsidRPr="008A0A30">
              <w:rPr>
                <w:spacing w:val="1"/>
                <w:sz w:val="18"/>
                <w:szCs w:val="18"/>
              </w:rPr>
              <w:t xml:space="preserve"> </w:t>
            </w:r>
            <w:r w:rsidRPr="008A0A30">
              <w:rPr>
                <w:sz w:val="18"/>
                <w:szCs w:val="18"/>
              </w:rPr>
              <w:t>daily</w:t>
            </w:r>
          </w:p>
        </w:tc>
        <w:tc>
          <w:tcPr>
            <w:tcW w:w="1256" w:type="dxa"/>
            <w:gridSpan w:val="2"/>
            <w:vMerge w:val="restart"/>
            <w:tcBorders>
              <w:top w:val="single" w:sz="6" w:space="0" w:color="000000"/>
              <w:left w:val="single" w:sz="6" w:space="0" w:color="000000"/>
              <w:right w:val="single" w:sz="6" w:space="0" w:color="000000"/>
            </w:tcBorders>
          </w:tcPr>
          <w:p w:rsidR="001E26BE" w:rsidRPr="008A0A30" w:rsidRDefault="001E26BE" w:rsidP="00D541A1">
            <w:pPr>
              <w:spacing w:after="0" w:line="206" w:lineRule="exact"/>
              <w:ind w:left="441" w:right="243" w:hanging="146"/>
              <w:jc w:val="center"/>
              <w:rPr>
                <w:sz w:val="18"/>
                <w:szCs w:val="18"/>
              </w:rPr>
            </w:pPr>
            <w:r w:rsidRPr="008A0A30">
              <w:rPr>
                <w:sz w:val="18"/>
                <w:szCs w:val="18"/>
              </w:rPr>
              <w:t>100 once daily</w:t>
            </w:r>
          </w:p>
        </w:tc>
        <w:tc>
          <w:tcPr>
            <w:tcW w:w="1096" w:type="dxa"/>
            <w:gridSpan w:val="2"/>
            <w:vMerge w:val="restart"/>
            <w:tcBorders>
              <w:top w:val="single" w:sz="6" w:space="0" w:color="000000"/>
              <w:left w:val="single" w:sz="6" w:space="0" w:color="000000"/>
              <w:right w:val="single" w:sz="6" w:space="0" w:color="000000"/>
            </w:tcBorders>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550" w:type="dxa"/>
            <w:vMerge w:val="restart"/>
            <w:tcBorders>
              <w:top w:val="single" w:sz="6" w:space="0" w:color="000000"/>
              <w:left w:val="single" w:sz="6" w:space="0" w:color="000000"/>
              <w:right w:val="single" w:sz="6" w:space="0" w:color="000000"/>
            </w:tcBorders>
          </w:tcPr>
          <w:p w:rsidR="001E26BE" w:rsidRPr="008A0A30" w:rsidRDefault="001E26BE" w:rsidP="00B11886">
            <w:pPr>
              <w:spacing w:before="7" w:after="0" w:line="100" w:lineRule="exact"/>
              <w:rPr>
                <w:sz w:val="10"/>
                <w:szCs w:val="10"/>
              </w:rPr>
            </w:pPr>
          </w:p>
          <w:p w:rsidR="001E26BE" w:rsidRPr="008A0A30" w:rsidRDefault="001E26BE" w:rsidP="00B11886">
            <w:pPr>
              <w:spacing w:after="0"/>
              <w:ind w:left="172" w:right="-20"/>
              <w:rPr>
                <w:sz w:val="18"/>
                <w:szCs w:val="18"/>
              </w:rPr>
            </w:pPr>
            <w:r w:rsidRPr="008A0A30">
              <w:rPr>
                <w:spacing w:val="1"/>
                <w:sz w:val="18"/>
                <w:szCs w:val="18"/>
              </w:rPr>
              <w:t>24</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0.95 (0.90, 1.00)</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0.99 (0.97, 1.02)</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1.05 (0.99, 1.11)</w:t>
            </w:r>
          </w:p>
        </w:tc>
      </w:tr>
      <w:tr w:rsidR="001E26BE" w:rsidRPr="008A0A30" w:rsidTr="00D541A1">
        <w:trPr>
          <w:gridAfter w:val="1"/>
          <w:wAfter w:w="8" w:type="dxa"/>
          <w:trHeight w:hRule="exact" w:val="550"/>
        </w:trPr>
        <w:tc>
          <w:tcPr>
            <w:tcW w:w="1738" w:type="dxa"/>
            <w:gridSpan w:val="2"/>
            <w:vMerge/>
            <w:tcBorders>
              <w:left w:val="nil"/>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666" w:right="130" w:hanging="485"/>
              <w:rPr>
                <w:sz w:val="18"/>
                <w:szCs w:val="18"/>
              </w:rPr>
            </w:pPr>
            <w:r w:rsidRPr="008A0A30">
              <w:rPr>
                <w:sz w:val="18"/>
                <w:szCs w:val="18"/>
              </w:rPr>
              <w:t>rilpivirine 25 once daily</w:t>
            </w:r>
          </w:p>
        </w:tc>
        <w:tc>
          <w:tcPr>
            <w:tcW w:w="1256" w:type="dxa"/>
            <w:gridSpan w:val="2"/>
            <w:vMerge/>
            <w:tcBorders>
              <w:left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right w:val="single" w:sz="6" w:space="0" w:color="000000"/>
            </w:tcBorders>
          </w:tcPr>
          <w:p w:rsidR="001E26BE" w:rsidRPr="008A0A30" w:rsidRDefault="001E26BE" w:rsidP="00B11886"/>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112" w:right="58" w:firstLine="262"/>
              <w:rPr>
                <w:sz w:val="18"/>
                <w:szCs w:val="18"/>
              </w:rPr>
            </w:pPr>
            <w:r w:rsidRPr="008A0A30">
              <w:rPr>
                <w:sz w:val="18"/>
                <w:szCs w:val="18"/>
              </w:rPr>
              <w:t>0.93 (0.88, 0.98)</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109" w:right="58" w:firstLine="264"/>
              <w:rPr>
                <w:sz w:val="18"/>
                <w:szCs w:val="18"/>
              </w:rPr>
            </w:pPr>
            <w:r w:rsidRPr="008A0A30">
              <w:rPr>
                <w:sz w:val="18"/>
                <w:szCs w:val="18"/>
              </w:rPr>
              <w:t>0.95 (0.90, 1.00)</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9" w:after="0" w:line="206" w:lineRule="exact"/>
              <w:ind w:left="121" w:right="65" w:firstLine="262"/>
              <w:rPr>
                <w:sz w:val="18"/>
                <w:szCs w:val="18"/>
              </w:rPr>
            </w:pPr>
            <w:r w:rsidRPr="008A0A30">
              <w:rPr>
                <w:sz w:val="18"/>
                <w:szCs w:val="18"/>
              </w:rPr>
              <w:t>0.96 (0.90, 1.03)</w:t>
            </w:r>
          </w:p>
        </w:tc>
      </w:tr>
      <w:tr w:rsidR="001E26BE" w:rsidRPr="008A0A30" w:rsidTr="00D541A1">
        <w:trPr>
          <w:gridAfter w:val="1"/>
          <w:wAfter w:w="8" w:type="dxa"/>
          <w:trHeight w:hRule="exact" w:val="550"/>
        </w:trPr>
        <w:tc>
          <w:tcPr>
            <w:tcW w:w="1738" w:type="dxa"/>
            <w:gridSpan w:val="2"/>
            <w:vMerge/>
            <w:tcBorders>
              <w:left w:val="nil"/>
              <w:bottom w:val="single" w:sz="6" w:space="0" w:color="000000"/>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474" w:right="169" w:hanging="254"/>
              <w:rPr>
                <w:sz w:val="18"/>
                <w:szCs w:val="18"/>
              </w:rPr>
            </w:pPr>
            <w:r w:rsidRPr="008A0A30">
              <w:rPr>
                <w:sz w:val="18"/>
                <w:szCs w:val="18"/>
              </w:rPr>
              <w:t>tenofovir DF 300 once</w:t>
            </w:r>
            <w:r w:rsidRPr="008A0A30">
              <w:rPr>
                <w:spacing w:val="1"/>
                <w:sz w:val="18"/>
                <w:szCs w:val="18"/>
              </w:rPr>
              <w:t xml:space="preserve"> </w:t>
            </w:r>
            <w:r w:rsidRPr="008A0A30">
              <w:rPr>
                <w:sz w:val="18"/>
                <w:szCs w:val="18"/>
              </w:rPr>
              <w:t>daily</w:t>
            </w:r>
          </w:p>
        </w:tc>
        <w:tc>
          <w:tcPr>
            <w:tcW w:w="125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1.44 (1.33, 1.55)</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1.40 (1.34, 1.46)</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76" w:firstLine="262"/>
              <w:rPr>
                <w:sz w:val="18"/>
                <w:szCs w:val="18"/>
              </w:rPr>
            </w:pPr>
            <w:r w:rsidRPr="008A0A30">
              <w:rPr>
                <w:sz w:val="18"/>
                <w:szCs w:val="18"/>
              </w:rPr>
              <w:t>1.84 (1.76, 1.92)</w:t>
            </w:r>
          </w:p>
        </w:tc>
      </w:tr>
      <w:tr w:rsidR="001E26BE" w:rsidRPr="008A0A30" w:rsidTr="00D541A1">
        <w:trPr>
          <w:gridAfter w:val="1"/>
          <w:wAfter w:w="8" w:type="dxa"/>
          <w:trHeight w:hRule="exact" w:val="547"/>
        </w:trPr>
        <w:tc>
          <w:tcPr>
            <w:tcW w:w="1738" w:type="dxa"/>
            <w:gridSpan w:val="2"/>
            <w:vMerge w:val="restart"/>
            <w:tcBorders>
              <w:top w:val="single" w:sz="4" w:space="0" w:color="auto"/>
              <w:left w:val="nil"/>
              <w:right w:val="single" w:sz="6" w:space="0" w:color="000000"/>
            </w:tcBorders>
          </w:tcPr>
          <w:p w:rsidR="001E26BE" w:rsidRPr="008A0A30" w:rsidRDefault="001E26BE" w:rsidP="00243CE5">
            <w:pPr>
              <w:spacing w:after="0"/>
              <w:ind w:left="108" w:right="-20"/>
              <w:rPr>
                <w:sz w:val="18"/>
                <w:szCs w:val="18"/>
              </w:rPr>
            </w:pPr>
            <w:r w:rsidRPr="008A0A30">
              <w:rPr>
                <w:sz w:val="18"/>
                <w:szCs w:val="18"/>
              </w:rPr>
              <w:t>Lopinavir/</w:t>
            </w:r>
            <w:r w:rsidR="00243CE5" w:rsidRPr="008A0A30">
              <w:rPr>
                <w:sz w:val="18"/>
                <w:szCs w:val="18"/>
              </w:rPr>
              <w:br/>
            </w:r>
            <w:r w:rsidRPr="008A0A30">
              <w:rPr>
                <w:sz w:val="18"/>
                <w:szCs w:val="18"/>
              </w:rPr>
              <w:t>ritonavir</w:t>
            </w:r>
            <w:r w:rsidR="00243CE5" w:rsidRPr="008A0A30">
              <w:rPr>
                <w:sz w:val="18"/>
                <w:szCs w:val="18"/>
              </w:rPr>
              <w:t xml:space="preserve"> </w:t>
            </w:r>
            <w:r w:rsidRPr="008A0A30">
              <w:rPr>
                <w:sz w:val="18"/>
                <w:szCs w:val="18"/>
              </w:rPr>
              <w:t>+</w:t>
            </w:r>
          </w:p>
          <w:p w:rsidR="001E26BE" w:rsidRPr="008A0A30" w:rsidRDefault="001E26BE" w:rsidP="00B11886">
            <w:pPr>
              <w:spacing w:before="1" w:after="0" w:line="208" w:lineRule="exact"/>
              <w:ind w:left="108" w:right="102"/>
              <w:rPr>
                <w:sz w:val="18"/>
                <w:szCs w:val="18"/>
              </w:rPr>
            </w:pPr>
            <w:r w:rsidRPr="008A0A30">
              <w:rPr>
                <w:spacing w:val="2"/>
                <w:sz w:val="18"/>
                <w:szCs w:val="18"/>
              </w:rPr>
              <w:t>e</w:t>
            </w:r>
            <w:r w:rsidRPr="008A0A30">
              <w:rPr>
                <w:spacing w:val="-3"/>
                <w:sz w:val="18"/>
                <w:szCs w:val="18"/>
              </w:rPr>
              <w:t>m</w:t>
            </w:r>
            <w:r w:rsidRPr="008A0A30">
              <w:rPr>
                <w:sz w:val="18"/>
                <w:szCs w:val="18"/>
              </w:rPr>
              <w:t>tricitabine/</w:t>
            </w:r>
            <w:r w:rsidR="00243CE5" w:rsidRPr="008A0A30">
              <w:rPr>
                <w:sz w:val="18"/>
                <w:szCs w:val="18"/>
              </w:rPr>
              <w:br/>
              <w:t>tenofo</w:t>
            </w:r>
            <w:r w:rsidRPr="008A0A30">
              <w:rPr>
                <w:sz w:val="18"/>
                <w:szCs w:val="18"/>
              </w:rPr>
              <w:t>vir DF</w:t>
            </w:r>
          </w:p>
        </w:tc>
        <w:tc>
          <w:tcPr>
            <w:tcW w:w="1680"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474" w:right="178" w:hanging="247"/>
              <w:rPr>
                <w:sz w:val="18"/>
                <w:szCs w:val="18"/>
              </w:rPr>
            </w:pPr>
            <w:r w:rsidRPr="008A0A30">
              <w:rPr>
                <w:sz w:val="18"/>
                <w:szCs w:val="18"/>
              </w:rPr>
              <w:t>lopinavir 200 x 4 once</w:t>
            </w:r>
            <w:r w:rsidRPr="008A0A30">
              <w:rPr>
                <w:spacing w:val="1"/>
                <w:sz w:val="18"/>
                <w:szCs w:val="18"/>
              </w:rPr>
              <w:t xml:space="preserve"> </w:t>
            </w:r>
            <w:r w:rsidRPr="008A0A30">
              <w:rPr>
                <w:sz w:val="18"/>
                <w:szCs w:val="18"/>
              </w:rPr>
              <w:t>daily</w:t>
            </w:r>
          </w:p>
        </w:tc>
        <w:tc>
          <w:tcPr>
            <w:tcW w:w="1256" w:type="dxa"/>
            <w:gridSpan w:val="2"/>
            <w:vMerge w:val="restart"/>
            <w:tcBorders>
              <w:top w:val="single" w:sz="4" w:space="0" w:color="auto"/>
              <w:left w:val="single" w:sz="6" w:space="0" w:color="000000"/>
              <w:right w:val="single" w:sz="6" w:space="0" w:color="000000"/>
            </w:tcBorders>
          </w:tcPr>
          <w:p w:rsidR="001E26BE" w:rsidRPr="008A0A30" w:rsidRDefault="001E26BE" w:rsidP="00D541A1">
            <w:pPr>
              <w:spacing w:after="0" w:line="206" w:lineRule="exact"/>
              <w:ind w:left="441" w:right="243" w:hanging="146"/>
              <w:jc w:val="center"/>
              <w:rPr>
                <w:sz w:val="18"/>
                <w:szCs w:val="18"/>
              </w:rPr>
            </w:pPr>
            <w:r w:rsidRPr="008A0A30">
              <w:rPr>
                <w:sz w:val="18"/>
                <w:szCs w:val="18"/>
              </w:rPr>
              <w:t>100 once daily</w:t>
            </w:r>
          </w:p>
        </w:tc>
        <w:tc>
          <w:tcPr>
            <w:tcW w:w="1096" w:type="dxa"/>
            <w:gridSpan w:val="2"/>
            <w:vMerge w:val="restart"/>
            <w:tcBorders>
              <w:top w:val="single" w:sz="4" w:space="0" w:color="auto"/>
              <w:left w:val="single" w:sz="6" w:space="0" w:color="000000"/>
              <w:right w:val="single" w:sz="6" w:space="0" w:color="000000"/>
            </w:tcBorders>
          </w:tcPr>
          <w:p w:rsidR="001E26BE" w:rsidRPr="008A0A30" w:rsidRDefault="001E26BE" w:rsidP="00D541A1">
            <w:pPr>
              <w:spacing w:after="0" w:line="206" w:lineRule="exact"/>
              <w:ind w:left="352" w:right="154" w:hanging="149"/>
              <w:jc w:val="center"/>
              <w:rPr>
                <w:sz w:val="18"/>
                <w:szCs w:val="18"/>
              </w:rPr>
            </w:pPr>
            <w:r w:rsidRPr="008A0A30">
              <w:rPr>
                <w:sz w:val="18"/>
                <w:szCs w:val="18"/>
              </w:rPr>
              <w:t>400 once daily</w:t>
            </w:r>
          </w:p>
        </w:tc>
        <w:tc>
          <w:tcPr>
            <w:tcW w:w="550" w:type="dxa"/>
            <w:vMerge w:val="restart"/>
            <w:tcBorders>
              <w:top w:val="single" w:sz="4" w:space="0" w:color="auto"/>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24</w:t>
            </w:r>
          </w:p>
        </w:tc>
        <w:tc>
          <w:tcPr>
            <w:tcW w:w="1078"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0.97 (0.92, 1.02)</w:t>
            </w:r>
          </w:p>
        </w:tc>
        <w:tc>
          <w:tcPr>
            <w:tcW w:w="1076"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1.00 (0.93, 1.06)</w:t>
            </w:r>
          </w:p>
        </w:tc>
        <w:tc>
          <w:tcPr>
            <w:tcW w:w="1095" w:type="dxa"/>
            <w:tcBorders>
              <w:top w:val="single" w:sz="4" w:space="0" w:color="auto"/>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1.11 (0.96, 1.30)</w:t>
            </w:r>
          </w:p>
        </w:tc>
      </w:tr>
      <w:tr w:rsidR="001E26BE" w:rsidRPr="008A0A30" w:rsidTr="00D541A1">
        <w:trPr>
          <w:gridAfter w:val="1"/>
          <w:wAfter w:w="8" w:type="dxa"/>
          <w:trHeight w:hRule="exact" w:val="550"/>
        </w:trPr>
        <w:tc>
          <w:tcPr>
            <w:tcW w:w="1738" w:type="dxa"/>
            <w:gridSpan w:val="2"/>
            <w:vMerge/>
            <w:tcBorders>
              <w:left w:val="nil"/>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474" w:right="239" w:hanging="187"/>
              <w:rPr>
                <w:sz w:val="18"/>
                <w:szCs w:val="18"/>
              </w:rPr>
            </w:pPr>
            <w:r w:rsidRPr="008A0A30">
              <w:rPr>
                <w:sz w:val="18"/>
                <w:szCs w:val="18"/>
              </w:rPr>
              <w:t>ritonavir 50 x 4 once</w:t>
            </w:r>
            <w:r w:rsidRPr="008A0A30">
              <w:rPr>
                <w:spacing w:val="1"/>
                <w:sz w:val="18"/>
                <w:szCs w:val="18"/>
              </w:rPr>
              <w:t xml:space="preserve"> </w:t>
            </w:r>
            <w:r w:rsidRPr="008A0A30">
              <w:rPr>
                <w:sz w:val="18"/>
                <w:szCs w:val="18"/>
              </w:rPr>
              <w:t>daily</w:t>
            </w:r>
          </w:p>
        </w:tc>
        <w:tc>
          <w:tcPr>
            <w:tcW w:w="1256" w:type="dxa"/>
            <w:gridSpan w:val="2"/>
            <w:vMerge/>
            <w:tcBorders>
              <w:left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right w:val="single" w:sz="6" w:space="0" w:color="000000"/>
            </w:tcBorders>
          </w:tcPr>
          <w:p w:rsidR="001E26BE" w:rsidRPr="008A0A30" w:rsidRDefault="001E26BE" w:rsidP="00B11886"/>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112" w:right="58" w:firstLine="262"/>
              <w:rPr>
                <w:sz w:val="18"/>
                <w:szCs w:val="18"/>
              </w:rPr>
            </w:pPr>
            <w:r w:rsidRPr="008A0A30">
              <w:rPr>
                <w:sz w:val="18"/>
                <w:szCs w:val="18"/>
              </w:rPr>
              <w:t>0.94 (0.83, 1.07)</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9" w:after="0" w:line="206" w:lineRule="exact"/>
              <w:ind w:left="109" w:right="58" w:firstLine="264"/>
              <w:rPr>
                <w:sz w:val="18"/>
                <w:szCs w:val="18"/>
              </w:rPr>
            </w:pPr>
            <w:r w:rsidRPr="008A0A30">
              <w:rPr>
                <w:sz w:val="18"/>
                <w:szCs w:val="18"/>
              </w:rPr>
              <w:t>0.97 (0.89, 1.05)</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9" w:after="0" w:line="206" w:lineRule="exact"/>
              <w:ind w:left="121" w:right="70" w:firstLine="262"/>
              <w:rPr>
                <w:sz w:val="18"/>
                <w:szCs w:val="18"/>
              </w:rPr>
            </w:pPr>
            <w:r w:rsidRPr="008A0A30">
              <w:rPr>
                <w:sz w:val="18"/>
                <w:szCs w:val="18"/>
              </w:rPr>
              <w:t>1.07 (0.95, 1.20)</w:t>
            </w:r>
          </w:p>
        </w:tc>
      </w:tr>
      <w:tr w:rsidR="001E26BE" w:rsidRPr="008A0A30" w:rsidTr="00D541A1">
        <w:trPr>
          <w:gridAfter w:val="1"/>
          <w:wAfter w:w="8" w:type="dxa"/>
          <w:trHeight w:hRule="exact" w:val="550"/>
        </w:trPr>
        <w:tc>
          <w:tcPr>
            <w:tcW w:w="1738" w:type="dxa"/>
            <w:gridSpan w:val="2"/>
            <w:vMerge/>
            <w:tcBorders>
              <w:left w:val="nil"/>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474" w:right="162" w:hanging="262"/>
              <w:rPr>
                <w:sz w:val="18"/>
                <w:szCs w:val="18"/>
              </w:rPr>
            </w:pPr>
            <w:r w:rsidRPr="008A0A30">
              <w:rPr>
                <w:spacing w:val="2"/>
                <w:sz w:val="18"/>
                <w:szCs w:val="18"/>
              </w:rPr>
              <w:t>e</w:t>
            </w:r>
            <w:r w:rsidRPr="008A0A30">
              <w:rPr>
                <w:spacing w:val="-3"/>
                <w:sz w:val="18"/>
                <w:szCs w:val="18"/>
              </w:rPr>
              <w:t>m</w:t>
            </w:r>
            <w:r w:rsidRPr="008A0A30">
              <w:rPr>
                <w:sz w:val="18"/>
                <w:szCs w:val="18"/>
              </w:rPr>
              <w:t>tricitabine</w:t>
            </w:r>
            <w:r w:rsidRPr="008A0A30">
              <w:rPr>
                <w:spacing w:val="1"/>
                <w:sz w:val="18"/>
                <w:szCs w:val="18"/>
              </w:rPr>
              <w:t xml:space="preserve"> </w:t>
            </w:r>
            <w:r w:rsidRPr="008A0A30">
              <w:rPr>
                <w:sz w:val="18"/>
                <w:szCs w:val="18"/>
              </w:rPr>
              <w:t>200 once</w:t>
            </w:r>
            <w:r w:rsidRPr="008A0A30">
              <w:rPr>
                <w:spacing w:val="1"/>
                <w:sz w:val="18"/>
                <w:szCs w:val="18"/>
              </w:rPr>
              <w:t xml:space="preserve"> </w:t>
            </w:r>
            <w:r w:rsidRPr="008A0A30">
              <w:rPr>
                <w:sz w:val="18"/>
                <w:szCs w:val="18"/>
              </w:rPr>
              <w:t>daily</w:t>
            </w:r>
          </w:p>
        </w:tc>
        <w:tc>
          <w:tcPr>
            <w:tcW w:w="1256" w:type="dxa"/>
            <w:gridSpan w:val="2"/>
            <w:vMerge/>
            <w:tcBorders>
              <w:left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right w:val="single" w:sz="6" w:space="0" w:color="000000"/>
            </w:tcBorders>
          </w:tcPr>
          <w:p w:rsidR="001E26BE" w:rsidRPr="008A0A30" w:rsidRDefault="001E26BE" w:rsidP="00B11886"/>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1.02 (0.93, 1.12)</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1.00 (0.94, 1.06)</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55" w:firstLine="262"/>
              <w:rPr>
                <w:sz w:val="18"/>
                <w:szCs w:val="18"/>
              </w:rPr>
            </w:pPr>
            <w:r w:rsidRPr="008A0A30">
              <w:rPr>
                <w:sz w:val="18"/>
                <w:szCs w:val="18"/>
              </w:rPr>
              <w:t>0.97 (0.91, 1.04)</w:t>
            </w:r>
          </w:p>
        </w:tc>
      </w:tr>
      <w:tr w:rsidR="001E26BE" w:rsidRPr="008A0A30" w:rsidTr="00D541A1">
        <w:trPr>
          <w:gridAfter w:val="1"/>
          <w:wAfter w:w="8" w:type="dxa"/>
          <w:trHeight w:hRule="exact" w:val="550"/>
        </w:trPr>
        <w:tc>
          <w:tcPr>
            <w:tcW w:w="1738" w:type="dxa"/>
            <w:gridSpan w:val="2"/>
            <w:vMerge/>
            <w:tcBorders>
              <w:left w:val="nil"/>
              <w:bottom w:val="single" w:sz="6" w:space="0" w:color="000000"/>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474" w:right="169" w:hanging="254"/>
              <w:rPr>
                <w:sz w:val="18"/>
                <w:szCs w:val="18"/>
              </w:rPr>
            </w:pPr>
            <w:r w:rsidRPr="008A0A30">
              <w:rPr>
                <w:sz w:val="18"/>
                <w:szCs w:val="18"/>
              </w:rPr>
              <w:t>tenofovir DF 300 once</w:t>
            </w:r>
            <w:r w:rsidRPr="008A0A30">
              <w:rPr>
                <w:spacing w:val="1"/>
                <w:sz w:val="18"/>
                <w:szCs w:val="18"/>
              </w:rPr>
              <w:t xml:space="preserve"> </w:t>
            </w:r>
            <w:r w:rsidRPr="008A0A30">
              <w:rPr>
                <w:sz w:val="18"/>
                <w:szCs w:val="18"/>
              </w:rPr>
              <w:t>daily</w:t>
            </w:r>
          </w:p>
        </w:tc>
        <w:tc>
          <w:tcPr>
            <w:tcW w:w="125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1.42 (1.27, 1.57)</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1.22 (1.14, 1.31)</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1.28 (1.20, 1.37)</w:t>
            </w:r>
          </w:p>
        </w:tc>
      </w:tr>
      <w:tr w:rsidR="001E26BE" w:rsidRPr="008A0A30" w:rsidTr="00D541A1">
        <w:trPr>
          <w:gridAfter w:val="1"/>
          <w:wAfter w:w="8" w:type="dxa"/>
          <w:trHeight w:hRule="exact" w:val="547"/>
        </w:trPr>
        <w:tc>
          <w:tcPr>
            <w:tcW w:w="1738" w:type="dxa"/>
            <w:gridSpan w:val="2"/>
            <w:tcBorders>
              <w:top w:val="single" w:sz="6" w:space="0" w:color="000000"/>
              <w:left w:val="nil"/>
              <w:bottom w:val="single" w:sz="6" w:space="0" w:color="000000"/>
              <w:right w:val="single" w:sz="6" w:space="0" w:color="000000"/>
            </w:tcBorders>
          </w:tcPr>
          <w:p w:rsidR="001E26BE" w:rsidRPr="008A0A30" w:rsidRDefault="001E26BE" w:rsidP="00B11886">
            <w:pPr>
              <w:spacing w:after="0"/>
              <w:ind w:left="108" w:right="-20"/>
              <w:rPr>
                <w:sz w:val="18"/>
                <w:szCs w:val="18"/>
              </w:rPr>
            </w:pPr>
            <w:r w:rsidRPr="008A0A30">
              <w:rPr>
                <w:sz w:val="18"/>
                <w:szCs w:val="18"/>
              </w:rPr>
              <w:t>R-Methadone</w:t>
            </w:r>
          </w:p>
        </w:tc>
        <w:tc>
          <w:tcPr>
            <w:tcW w:w="1680" w:type="dxa"/>
            <w:vMerge w:val="restart"/>
            <w:tcBorders>
              <w:top w:val="single" w:sz="6" w:space="0" w:color="000000"/>
              <w:left w:val="single" w:sz="6" w:space="0" w:color="000000"/>
              <w:right w:val="single" w:sz="6" w:space="0" w:color="000000"/>
            </w:tcBorders>
          </w:tcPr>
          <w:p w:rsidR="001E26BE" w:rsidRPr="008A0A30" w:rsidRDefault="001E26BE" w:rsidP="00B11886">
            <w:pPr>
              <w:spacing w:after="0"/>
              <w:ind w:left="304" w:right="-20"/>
              <w:rPr>
                <w:sz w:val="18"/>
                <w:szCs w:val="18"/>
              </w:rPr>
            </w:pPr>
            <w:r w:rsidRPr="008A0A30">
              <w:rPr>
                <w:sz w:val="18"/>
                <w:szCs w:val="18"/>
              </w:rPr>
              <w:t>30 to 130 daily</w:t>
            </w:r>
          </w:p>
        </w:tc>
        <w:tc>
          <w:tcPr>
            <w:tcW w:w="1256" w:type="dxa"/>
            <w:gridSpan w:val="2"/>
            <w:vMerge w:val="restart"/>
            <w:tcBorders>
              <w:top w:val="single" w:sz="6" w:space="0" w:color="000000"/>
              <w:left w:val="single" w:sz="6" w:space="0" w:color="000000"/>
              <w:right w:val="single" w:sz="6" w:space="0" w:color="000000"/>
            </w:tcBorders>
          </w:tcPr>
          <w:p w:rsidR="001E26BE" w:rsidRPr="008A0A30" w:rsidRDefault="001E26BE" w:rsidP="00D541A1">
            <w:pPr>
              <w:spacing w:after="0"/>
              <w:ind w:left="457" w:right="440"/>
              <w:jc w:val="center"/>
              <w:rPr>
                <w:sz w:val="18"/>
                <w:szCs w:val="18"/>
              </w:rPr>
            </w:pPr>
            <w:r w:rsidRPr="008A0A30">
              <w:rPr>
                <w:sz w:val="18"/>
                <w:szCs w:val="18"/>
              </w:rPr>
              <w:t>ND</w:t>
            </w:r>
          </w:p>
        </w:tc>
        <w:tc>
          <w:tcPr>
            <w:tcW w:w="1096" w:type="dxa"/>
            <w:gridSpan w:val="2"/>
            <w:vMerge w:val="restart"/>
            <w:tcBorders>
              <w:top w:val="single" w:sz="6" w:space="0" w:color="000000"/>
              <w:left w:val="single" w:sz="6" w:space="0" w:color="000000"/>
              <w:right w:val="single" w:sz="6" w:space="0" w:color="000000"/>
            </w:tcBorders>
          </w:tcPr>
          <w:p w:rsidR="001E26BE" w:rsidRPr="008A0A30" w:rsidRDefault="001E26BE" w:rsidP="00D541A1">
            <w:pPr>
              <w:spacing w:after="0" w:line="242" w:lineRule="auto"/>
              <w:ind w:left="352" w:right="154" w:hanging="149"/>
              <w:jc w:val="center"/>
              <w:rPr>
                <w:sz w:val="18"/>
                <w:szCs w:val="18"/>
              </w:rPr>
            </w:pPr>
            <w:r w:rsidRPr="008A0A30">
              <w:rPr>
                <w:sz w:val="18"/>
                <w:szCs w:val="18"/>
              </w:rPr>
              <w:t>400 once daily</w:t>
            </w:r>
          </w:p>
        </w:tc>
        <w:tc>
          <w:tcPr>
            <w:tcW w:w="550" w:type="dxa"/>
            <w:vMerge w:val="restart"/>
            <w:tcBorders>
              <w:top w:val="single" w:sz="6" w:space="0" w:color="000000"/>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14</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0.99 (0.85, 1.16)</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1.01 (0.85, 1.21)</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65" w:firstLine="262"/>
              <w:rPr>
                <w:sz w:val="18"/>
                <w:szCs w:val="18"/>
              </w:rPr>
            </w:pPr>
            <w:r w:rsidRPr="008A0A30">
              <w:rPr>
                <w:sz w:val="18"/>
                <w:szCs w:val="18"/>
              </w:rPr>
              <w:t>0.94 (0.77, 1.14)</w:t>
            </w:r>
          </w:p>
        </w:tc>
      </w:tr>
      <w:tr w:rsidR="001E26BE" w:rsidRPr="008A0A30" w:rsidTr="00D541A1">
        <w:trPr>
          <w:gridAfter w:val="1"/>
          <w:wAfter w:w="8" w:type="dxa"/>
          <w:trHeight w:hRule="exact" w:val="550"/>
        </w:trPr>
        <w:tc>
          <w:tcPr>
            <w:tcW w:w="1738" w:type="dxa"/>
            <w:gridSpan w:val="2"/>
            <w:tcBorders>
              <w:top w:val="single" w:sz="6" w:space="0" w:color="000000"/>
              <w:left w:val="nil"/>
              <w:bottom w:val="single" w:sz="6" w:space="0" w:color="000000"/>
              <w:right w:val="single" w:sz="6" w:space="0" w:color="000000"/>
            </w:tcBorders>
          </w:tcPr>
          <w:p w:rsidR="001E26BE" w:rsidRPr="008A0A30" w:rsidRDefault="001E26BE" w:rsidP="00B11886">
            <w:pPr>
              <w:spacing w:after="0"/>
              <w:ind w:left="108" w:right="-20"/>
              <w:rPr>
                <w:sz w:val="18"/>
                <w:szCs w:val="18"/>
              </w:rPr>
            </w:pPr>
            <w:r w:rsidRPr="008A0A30">
              <w:rPr>
                <w:spacing w:val="1"/>
                <w:sz w:val="18"/>
                <w:szCs w:val="18"/>
              </w:rPr>
              <w:t>S</w:t>
            </w:r>
            <w:r w:rsidRPr="008A0A30">
              <w:rPr>
                <w:sz w:val="18"/>
                <w:szCs w:val="18"/>
              </w:rPr>
              <w:t>-Methadone</w:t>
            </w:r>
          </w:p>
        </w:tc>
        <w:tc>
          <w:tcPr>
            <w:tcW w:w="1680" w:type="dxa"/>
            <w:vMerge/>
            <w:tcBorders>
              <w:left w:val="single" w:sz="6" w:space="0" w:color="000000"/>
              <w:bottom w:val="single" w:sz="6" w:space="0" w:color="000000"/>
              <w:right w:val="single" w:sz="6" w:space="0" w:color="000000"/>
            </w:tcBorders>
          </w:tcPr>
          <w:p w:rsidR="001E26BE" w:rsidRPr="008A0A30" w:rsidRDefault="001E26BE" w:rsidP="00B11886"/>
        </w:tc>
        <w:tc>
          <w:tcPr>
            <w:tcW w:w="125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1096" w:type="dxa"/>
            <w:gridSpan w:val="2"/>
            <w:vMerge/>
            <w:tcBorders>
              <w:left w:val="single" w:sz="6" w:space="0" w:color="000000"/>
              <w:bottom w:val="single" w:sz="6" w:space="0" w:color="000000"/>
              <w:right w:val="single" w:sz="6" w:space="0" w:color="000000"/>
            </w:tcBorders>
          </w:tcPr>
          <w:p w:rsidR="001E26BE" w:rsidRPr="008A0A30" w:rsidRDefault="001E26BE" w:rsidP="00B11886"/>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12" w:right="58" w:firstLine="262"/>
              <w:rPr>
                <w:sz w:val="18"/>
                <w:szCs w:val="18"/>
              </w:rPr>
            </w:pPr>
            <w:r w:rsidRPr="008A0A30">
              <w:rPr>
                <w:sz w:val="18"/>
                <w:szCs w:val="18"/>
              </w:rPr>
              <w:t>0.95 (0.79,</w:t>
            </w:r>
            <w:r w:rsidRPr="008A0A30">
              <w:rPr>
                <w:spacing w:val="-1"/>
                <w:sz w:val="18"/>
                <w:szCs w:val="18"/>
              </w:rPr>
              <w:t xml:space="preserve"> </w:t>
            </w:r>
            <w:r w:rsidRPr="008A0A30">
              <w:rPr>
                <w:sz w:val="18"/>
                <w:szCs w:val="18"/>
              </w:rPr>
              <w:t>1.13)</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09" w:right="58" w:firstLine="264"/>
              <w:rPr>
                <w:sz w:val="18"/>
                <w:szCs w:val="18"/>
              </w:rPr>
            </w:pPr>
            <w:r w:rsidRPr="008A0A30">
              <w:rPr>
                <w:sz w:val="18"/>
                <w:szCs w:val="18"/>
              </w:rPr>
              <w:t>0.95 (0.77, 1.17)</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60" w:after="0" w:line="206" w:lineRule="exact"/>
              <w:ind w:left="121" w:right="65" w:firstLine="262"/>
              <w:rPr>
                <w:sz w:val="18"/>
                <w:szCs w:val="18"/>
              </w:rPr>
            </w:pPr>
            <w:r w:rsidRPr="008A0A30">
              <w:rPr>
                <w:sz w:val="18"/>
                <w:szCs w:val="18"/>
              </w:rPr>
              <w:t>0.95 (0.74, 1.22)</w:t>
            </w:r>
          </w:p>
        </w:tc>
      </w:tr>
      <w:tr w:rsidR="001E26BE" w:rsidRPr="008A0A30" w:rsidTr="00D541A1">
        <w:trPr>
          <w:gridAfter w:val="1"/>
          <w:wAfter w:w="8" w:type="dxa"/>
          <w:trHeight w:hRule="exact" w:val="550"/>
        </w:trPr>
        <w:tc>
          <w:tcPr>
            <w:tcW w:w="1738" w:type="dxa"/>
            <w:gridSpan w:val="2"/>
            <w:vMerge w:val="restart"/>
            <w:tcBorders>
              <w:top w:val="single" w:sz="6" w:space="0" w:color="000000"/>
              <w:left w:val="nil"/>
              <w:right w:val="single" w:sz="6" w:space="0" w:color="000000"/>
            </w:tcBorders>
          </w:tcPr>
          <w:p w:rsidR="001E26BE" w:rsidRPr="008A0A30" w:rsidRDefault="001E26BE" w:rsidP="00B11886">
            <w:pPr>
              <w:spacing w:after="0"/>
              <w:ind w:left="108" w:right="-20"/>
              <w:rPr>
                <w:sz w:val="18"/>
                <w:szCs w:val="18"/>
              </w:rPr>
            </w:pPr>
            <w:r w:rsidRPr="008A0A30">
              <w:rPr>
                <w:sz w:val="18"/>
                <w:szCs w:val="18"/>
              </w:rPr>
              <w:t>Norelgestromin</w:t>
            </w:r>
          </w:p>
        </w:tc>
        <w:tc>
          <w:tcPr>
            <w:tcW w:w="1680" w:type="dxa"/>
            <w:vMerge w:val="restart"/>
            <w:tcBorders>
              <w:top w:val="single" w:sz="6" w:space="0" w:color="000000"/>
              <w:left w:val="single" w:sz="6" w:space="0" w:color="000000"/>
              <w:bottom w:val="single" w:sz="4" w:space="0" w:color="auto"/>
              <w:right w:val="single" w:sz="6" w:space="0" w:color="000000"/>
            </w:tcBorders>
          </w:tcPr>
          <w:p w:rsidR="001E26BE" w:rsidRPr="008A0A30" w:rsidRDefault="001E26BE" w:rsidP="00B11886">
            <w:pPr>
              <w:spacing w:after="0"/>
              <w:ind w:left="349" w:right="329"/>
              <w:jc w:val="center"/>
              <w:rPr>
                <w:sz w:val="18"/>
                <w:szCs w:val="18"/>
              </w:rPr>
            </w:pPr>
            <w:r w:rsidRPr="008A0A30">
              <w:rPr>
                <w:sz w:val="18"/>
                <w:szCs w:val="18"/>
              </w:rPr>
              <w:t>norgestimate</w:t>
            </w:r>
          </w:p>
          <w:p w:rsidR="001E26BE" w:rsidRPr="008A0A30" w:rsidRDefault="001E26BE" w:rsidP="002530A6">
            <w:pPr>
              <w:spacing w:before="2" w:after="0" w:line="206" w:lineRule="exact"/>
              <w:ind w:left="108" w:right="85"/>
              <w:jc w:val="center"/>
              <w:rPr>
                <w:sz w:val="18"/>
                <w:szCs w:val="18"/>
              </w:rPr>
            </w:pPr>
            <w:r w:rsidRPr="008A0A30">
              <w:rPr>
                <w:sz w:val="18"/>
                <w:szCs w:val="18"/>
              </w:rPr>
              <w:t>0.180/0.215/0.250/</w:t>
            </w:r>
            <w:r w:rsidR="002530A6">
              <w:rPr>
                <w:sz w:val="18"/>
                <w:szCs w:val="18"/>
              </w:rPr>
              <w:t xml:space="preserve"> </w:t>
            </w:r>
            <w:r w:rsidRPr="008A0A30">
              <w:rPr>
                <w:sz w:val="18"/>
                <w:szCs w:val="18"/>
              </w:rPr>
              <w:t>ethinyl estradiol</w:t>
            </w:r>
            <w:r w:rsidR="00243CE5" w:rsidRPr="008A0A30">
              <w:rPr>
                <w:sz w:val="18"/>
                <w:szCs w:val="18"/>
              </w:rPr>
              <w:t xml:space="preserve"> </w:t>
            </w:r>
            <w:r w:rsidRPr="008A0A30">
              <w:rPr>
                <w:sz w:val="18"/>
                <w:szCs w:val="18"/>
              </w:rPr>
              <w:t>0.025 once daily</w:t>
            </w:r>
          </w:p>
        </w:tc>
        <w:tc>
          <w:tcPr>
            <w:tcW w:w="125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4" w:after="0" w:line="242" w:lineRule="auto"/>
              <w:ind w:left="441" w:right="243" w:hanging="146"/>
              <w:jc w:val="center"/>
              <w:rPr>
                <w:sz w:val="18"/>
                <w:szCs w:val="18"/>
              </w:rPr>
            </w:pPr>
            <w:r w:rsidRPr="008A0A30">
              <w:rPr>
                <w:sz w:val="18"/>
                <w:szCs w:val="18"/>
              </w:rPr>
              <w:t>100 once daily</w:t>
            </w:r>
          </w:p>
        </w:tc>
        <w:tc>
          <w:tcPr>
            <w:tcW w:w="109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369" w:right="349"/>
              <w:jc w:val="center"/>
              <w:rPr>
                <w:sz w:val="18"/>
                <w:szCs w:val="18"/>
              </w:rPr>
            </w:pPr>
            <w:r w:rsidRPr="008A0A30">
              <w:rPr>
                <w:sz w:val="18"/>
                <w:szCs w:val="18"/>
              </w:rPr>
              <w:t>ND</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13</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0.97 (0.88, 1.07)</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0.90 (0.82, 0.98)</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76" w:firstLine="262"/>
              <w:rPr>
                <w:sz w:val="18"/>
                <w:szCs w:val="18"/>
              </w:rPr>
            </w:pPr>
            <w:r w:rsidRPr="008A0A30">
              <w:rPr>
                <w:sz w:val="18"/>
                <w:szCs w:val="18"/>
              </w:rPr>
              <w:t>0.92 (0.83, 1.03)</w:t>
            </w:r>
          </w:p>
        </w:tc>
      </w:tr>
      <w:tr w:rsidR="001E26BE" w:rsidRPr="008A0A30" w:rsidTr="00D541A1">
        <w:trPr>
          <w:gridAfter w:val="1"/>
          <w:wAfter w:w="8" w:type="dxa"/>
          <w:trHeight w:hRule="exact" w:val="550"/>
        </w:trPr>
        <w:tc>
          <w:tcPr>
            <w:tcW w:w="1738" w:type="dxa"/>
            <w:gridSpan w:val="2"/>
            <w:vMerge/>
            <w:tcBorders>
              <w:left w:val="nil"/>
              <w:bottom w:val="single" w:sz="6" w:space="0" w:color="000000"/>
              <w:right w:val="single" w:sz="6" w:space="0" w:color="000000"/>
            </w:tcBorders>
          </w:tcPr>
          <w:p w:rsidR="001E26BE" w:rsidRPr="008A0A30" w:rsidRDefault="001E26BE" w:rsidP="00B11886"/>
        </w:tc>
        <w:tc>
          <w:tcPr>
            <w:tcW w:w="1680" w:type="dxa"/>
            <w:vMerge/>
            <w:tcBorders>
              <w:left w:val="single" w:sz="6" w:space="0" w:color="000000"/>
              <w:bottom w:val="single" w:sz="4" w:space="0" w:color="auto"/>
              <w:right w:val="single" w:sz="6" w:space="0" w:color="000000"/>
            </w:tcBorders>
          </w:tcPr>
          <w:p w:rsidR="001E26BE" w:rsidRPr="008A0A30" w:rsidRDefault="001E26BE" w:rsidP="00B11886"/>
        </w:tc>
        <w:tc>
          <w:tcPr>
            <w:tcW w:w="125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457" w:right="440"/>
              <w:jc w:val="center"/>
              <w:rPr>
                <w:sz w:val="18"/>
                <w:szCs w:val="18"/>
              </w:rPr>
            </w:pPr>
            <w:r w:rsidRPr="008A0A30">
              <w:rPr>
                <w:sz w:val="18"/>
                <w:szCs w:val="18"/>
              </w:rPr>
              <w:t>ND</w:t>
            </w:r>
          </w:p>
        </w:tc>
        <w:tc>
          <w:tcPr>
            <w:tcW w:w="109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352" w:right="154" w:hanging="149"/>
              <w:jc w:val="center"/>
              <w:rPr>
                <w:sz w:val="18"/>
                <w:szCs w:val="18"/>
              </w:rPr>
            </w:pPr>
            <w:r w:rsidRPr="008A0A30">
              <w:rPr>
                <w:sz w:val="18"/>
                <w:szCs w:val="18"/>
              </w:rPr>
              <w:t>400 once daily</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15</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1.07 (0.94, 1.22)</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1.06 (0.92,</w:t>
            </w:r>
            <w:r w:rsidRPr="008A0A30">
              <w:rPr>
                <w:spacing w:val="-1"/>
                <w:sz w:val="18"/>
                <w:szCs w:val="18"/>
              </w:rPr>
              <w:t xml:space="preserve"> </w:t>
            </w:r>
            <w:r w:rsidRPr="008A0A30">
              <w:rPr>
                <w:sz w:val="18"/>
                <w:szCs w:val="18"/>
              </w:rPr>
              <w:t>1.21)</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65" w:firstLine="262"/>
              <w:rPr>
                <w:sz w:val="18"/>
                <w:szCs w:val="18"/>
              </w:rPr>
            </w:pPr>
            <w:r w:rsidRPr="008A0A30">
              <w:rPr>
                <w:sz w:val="18"/>
                <w:szCs w:val="18"/>
              </w:rPr>
              <w:t>1.07 (0.89, 1.28)</w:t>
            </w:r>
          </w:p>
        </w:tc>
      </w:tr>
      <w:tr w:rsidR="001E26BE" w:rsidRPr="008A0A30" w:rsidTr="00D541A1">
        <w:trPr>
          <w:gridAfter w:val="1"/>
          <w:wAfter w:w="8" w:type="dxa"/>
          <w:trHeight w:hRule="exact" w:val="547"/>
        </w:trPr>
        <w:tc>
          <w:tcPr>
            <w:tcW w:w="1738" w:type="dxa"/>
            <w:gridSpan w:val="2"/>
            <w:vMerge w:val="restart"/>
            <w:tcBorders>
              <w:top w:val="single" w:sz="6" w:space="0" w:color="000000"/>
              <w:left w:val="nil"/>
              <w:right w:val="single" w:sz="6" w:space="0" w:color="000000"/>
            </w:tcBorders>
          </w:tcPr>
          <w:p w:rsidR="001E26BE" w:rsidRPr="008A0A30" w:rsidRDefault="001E26BE" w:rsidP="00B11886">
            <w:pPr>
              <w:spacing w:after="0"/>
              <w:ind w:left="108" w:right="-20"/>
              <w:rPr>
                <w:sz w:val="18"/>
                <w:szCs w:val="18"/>
              </w:rPr>
            </w:pPr>
            <w:r w:rsidRPr="008A0A30">
              <w:rPr>
                <w:sz w:val="18"/>
                <w:szCs w:val="18"/>
              </w:rPr>
              <w:t>Norgestrel</w:t>
            </w:r>
          </w:p>
        </w:tc>
        <w:tc>
          <w:tcPr>
            <w:tcW w:w="1680" w:type="dxa"/>
            <w:vMerge/>
            <w:tcBorders>
              <w:left w:val="single" w:sz="6" w:space="0" w:color="000000"/>
              <w:bottom w:val="single" w:sz="4" w:space="0" w:color="auto"/>
              <w:right w:val="single" w:sz="6" w:space="0" w:color="000000"/>
            </w:tcBorders>
          </w:tcPr>
          <w:p w:rsidR="001E26BE" w:rsidRPr="008A0A30" w:rsidRDefault="001E26BE" w:rsidP="00B11886"/>
        </w:tc>
        <w:tc>
          <w:tcPr>
            <w:tcW w:w="125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7" w:after="0" w:line="206" w:lineRule="exact"/>
              <w:ind w:left="441" w:right="243" w:hanging="146"/>
              <w:jc w:val="center"/>
              <w:rPr>
                <w:sz w:val="18"/>
                <w:szCs w:val="18"/>
              </w:rPr>
            </w:pPr>
            <w:r w:rsidRPr="008A0A30">
              <w:rPr>
                <w:sz w:val="18"/>
                <w:szCs w:val="18"/>
              </w:rPr>
              <w:t>100 once daily</w:t>
            </w:r>
          </w:p>
        </w:tc>
        <w:tc>
          <w:tcPr>
            <w:tcW w:w="109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369" w:right="349"/>
              <w:jc w:val="center"/>
              <w:rPr>
                <w:sz w:val="18"/>
                <w:szCs w:val="18"/>
              </w:rPr>
            </w:pPr>
            <w:r w:rsidRPr="008A0A30">
              <w:rPr>
                <w:sz w:val="18"/>
                <w:szCs w:val="18"/>
              </w:rPr>
              <w:t>ND</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13</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0.96 (0.78, 1.19)</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0.91 (0.73, 1.15)</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65" w:firstLine="262"/>
              <w:rPr>
                <w:sz w:val="18"/>
                <w:szCs w:val="18"/>
              </w:rPr>
            </w:pPr>
            <w:r w:rsidRPr="008A0A30">
              <w:rPr>
                <w:sz w:val="18"/>
                <w:szCs w:val="18"/>
              </w:rPr>
              <w:t>0.92 (0.73, 1.18)</w:t>
            </w:r>
          </w:p>
        </w:tc>
      </w:tr>
      <w:tr w:rsidR="001E26BE" w:rsidRPr="008A0A30" w:rsidTr="00D541A1">
        <w:trPr>
          <w:gridAfter w:val="1"/>
          <w:wAfter w:w="8" w:type="dxa"/>
          <w:trHeight w:hRule="exact" w:val="550"/>
        </w:trPr>
        <w:tc>
          <w:tcPr>
            <w:tcW w:w="1738" w:type="dxa"/>
            <w:gridSpan w:val="2"/>
            <w:vMerge/>
            <w:tcBorders>
              <w:left w:val="nil"/>
              <w:bottom w:val="single" w:sz="6" w:space="0" w:color="000000"/>
              <w:right w:val="single" w:sz="6" w:space="0" w:color="000000"/>
            </w:tcBorders>
          </w:tcPr>
          <w:p w:rsidR="001E26BE" w:rsidRPr="008A0A30" w:rsidRDefault="001E26BE" w:rsidP="00B11886"/>
        </w:tc>
        <w:tc>
          <w:tcPr>
            <w:tcW w:w="1680" w:type="dxa"/>
            <w:vMerge/>
            <w:tcBorders>
              <w:left w:val="single" w:sz="6" w:space="0" w:color="000000"/>
              <w:bottom w:val="single" w:sz="4" w:space="0" w:color="auto"/>
              <w:right w:val="single" w:sz="6" w:space="0" w:color="000000"/>
            </w:tcBorders>
          </w:tcPr>
          <w:p w:rsidR="001E26BE" w:rsidRPr="008A0A30" w:rsidRDefault="001E26BE" w:rsidP="00B11886"/>
        </w:tc>
        <w:tc>
          <w:tcPr>
            <w:tcW w:w="125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457" w:right="440"/>
              <w:jc w:val="center"/>
              <w:rPr>
                <w:sz w:val="18"/>
                <w:szCs w:val="18"/>
              </w:rPr>
            </w:pPr>
            <w:r w:rsidRPr="008A0A30">
              <w:rPr>
                <w:sz w:val="18"/>
                <w:szCs w:val="18"/>
              </w:rPr>
              <w:t>ND</w:t>
            </w:r>
          </w:p>
        </w:tc>
        <w:tc>
          <w:tcPr>
            <w:tcW w:w="109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60" w:after="0" w:line="206" w:lineRule="exact"/>
              <w:ind w:left="352" w:right="154" w:hanging="149"/>
              <w:jc w:val="center"/>
              <w:rPr>
                <w:sz w:val="18"/>
                <w:szCs w:val="18"/>
              </w:rPr>
            </w:pPr>
            <w:r w:rsidRPr="008A0A30">
              <w:rPr>
                <w:sz w:val="18"/>
                <w:szCs w:val="18"/>
              </w:rPr>
              <w:t>400 once daily</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15</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12" w:right="58" w:firstLine="262"/>
              <w:rPr>
                <w:sz w:val="18"/>
                <w:szCs w:val="18"/>
              </w:rPr>
            </w:pPr>
            <w:r w:rsidRPr="008A0A30">
              <w:rPr>
                <w:sz w:val="18"/>
                <w:szCs w:val="18"/>
              </w:rPr>
              <w:t>1.18 (0.99, 1.41)</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09" w:right="58" w:firstLine="264"/>
              <w:rPr>
                <w:sz w:val="18"/>
                <w:szCs w:val="18"/>
              </w:rPr>
            </w:pPr>
            <w:r w:rsidRPr="008A0A30">
              <w:rPr>
                <w:sz w:val="18"/>
                <w:szCs w:val="18"/>
              </w:rPr>
              <w:t>1.19 (0.98, 1.45)</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60" w:after="0" w:line="206" w:lineRule="exact"/>
              <w:ind w:left="121" w:right="59" w:firstLine="262"/>
              <w:rPr>
                <w:sz w:val="18"/>
                <w:szCs w:val="18"/>
              </w:rPr>
            </w:pPr>
            <w:r w:rsidRPr="008A0A30">
              <w:rPr>
                <w:sz w:val="18"/>
                <w:szCs w:val="18"/>
              </w:rPr>
              <w:t>1.23 (1.00, 1.51)</w:t>
            </w:r>
          </w:p>
        </w:tc>
      </w:tr>
      <w:tr w:rsidR="001E26BE" w:rsidRPr="008A0A30" w:rsidTr="00D541A1">
        <w:trPr>
          <w:gridAfter w:val="1"/>
          <w:wAfter w:w="8" w:type="dxa"/>
          <w:trHeight w:hRule="exact" w:val="550"/>
        </w:trPr>
        <w:tc>
          <w:tcPr>
            <w:tcW w:w="1738" w:type="dxa"/>
            <w:gridSpan w:val="2"/>
            <w:vMerge w:val="restart"/>
            <w:tcBorders>
              <w:top w:val="single" w:sz="6" w:space="0" w:color="000000"/>
              <w:left w:val="nil"/>
              <w:bottom w:val="single" w:sz="4" w:space="0" w:color="auto"/>
              <w:right w:val="single" w:sz="6" w:space="0" w:color="000000"/>
            </w:tcBorders>
          </w:tcPr>
          <w:p w:rsidR="001E26BE" w:rsidRPr="008A0A30" w:rsidRDefault="001E26BE" w:rsidP="00B11886">
            <w:pPr>
              <w:spacing w:after="0"/>
              <w:ind w:left="108" w:right="-20"/>
              <w:rPr>
                <w:sz w:val="18"/>
                <w:szCs w:val="18"/>
              </w:rPr>
            </w:pPr>
            <w:r w:rsidRPr="008A0A30">
              <w:rPr>
                <w:sz w:val="18"/>
                <w:szCs w:val="18"/>
              </w:rPr>
              <w:t>Ethinyl estradiol</w:t>
            </w:r>
          </w:p>
        </w:tc>
        <w:tc>
          <w:tcPr>
            <w:tcW w:w="1680" w:type="dxa"/>
            <w:vMerge/>
            <w:tcBorders>
              <w:left w:val="single" w:sz="6" w:space="0" w:color="000000"/>
              <w:bottom w:val="single" w:sz="4" w:space="0" w:color="auto"/>
              <w:right w:val="single" w:sz="6" w:space="0" w:color="000000"/>
            </w:tcBorders>
          </w:tcPr>
          <w:p w:rsidR="001E26BE" w:rsidRPr="008A0A30" w:rsidRDefault="001E26BE" w:rsidP="00B11886"/>
        </w:tc>
        <w:tc>
          <w:tcPr>
            <w:tcW w:w="125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before="54" w:after="0" w:line="242" w:lineRule="auto"/>
              <w:ind w:left="441" w:right="243" w:hanging="146"/>
              <w:jc w:val="center"/>
              <w:rPr>
                <w:sz w:val="18"/>
                <w:szCs w:val="18"/>
              </w:rPr>
            </w:pPr>
            <w:r w:rsidRPr="008A0A30">
              <w:rPr>
                <w:sz w:val="18"/>
                <w:szCs w:val="18"/>
              </w:rPr>
              <w:t>100 once daily</w:t>
            </w:r>
          </w:p>
        </w:tc>
        <w:tc>
          <w:tcPr>
            <w:tcW w:w="1096" w:type="dxa"/>
            <w:gridSpan w:val="2"/>
            <w:tcBorders>
              <w:top w:val="single" w:sz="6" w:space="0" w:color="000000"/>
              <w:left w:val="single" w:sz="6" w:space="0" w:color="000000"/>
              <w:bottom w:val="single" w:sz="6" w:space="0" w:color="000000"/>
              <w:right w:val="single" w:sz="6" w:space="0" w:color="000000"/>
            </w:tcBorders>
          </w:tcPr>
          <w:p w:rsidR="001E26BE" w:rsidRPr="008A0A30" w:rsidRDefault="001E26BE" w:rsidP="00D541A1">
            <w:pPr>
              <w:spacing w:after="0"/>
              <w:ind w:left="369" w:right="349"/>
              <w:jc w:val="center"/>
              <w:rPr>
                <w:sz w:val="18"/>
                <w:szCs w:val="18"/>
              </w:rPr>
            </w:pPr>
            <w:r w:rsidRPr="008A0A30">
              <w:rPr>
                <w:sz w:val="18"/>
                <w:szCs w:val="18"/>
              </w:rPr>
              <w:t>ND</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12</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1.39 (1.17, 1.66)</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1.04 (0.87, 1.24)</w:t>
            </w:r>
          </w:p>
        </w:tc>
        <w:tc>
          <w:tcPr>
            <w:tcW w:w="1095" w:type="dxa"/>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76" w:firstLine="262"/>
              <w:rPr>
                <w:sz w:val="18"/>
                <w:szCs w:val="18"/>
              </w:rPr>
            </w:pPr>
            <w:r w:rsidRPr="008A0A30">
              <w:rPr>
                <w:sz w:val="18"/>
                <w:szCs w:val="18"/>
              </w:rPr>
              <w:t>0.83 (0.65, 1.06)</w:t>
            </w:r>
          </w:p>
        </w:tc>
      </w:tr>
      <w:tr w:rsidR="001E26BE" w:rsidRPr="008A0A30" w:rsidTr="00D541A1">
        <w:trPr>
          <w:gridAfter w:val="1"/>
          <w:wAfter w:w="8" w:type="dxa"/>
          <w:trHeight w:hRule="exact" w:val="557"/>
        </w:trPr>
        <w:tc>
          <w:tcPr>
            <w:tcW w:w="1738" w:type="dxa"/>
            <w:gridSpan w:val="2"/>
            <w:vMerge/>
            <w:tcBorders>
              <w:left w:val="nil"/>
              <w:bottom w:val="single" w:sz="4" w:space="0" w:color="auto"/>
              <w:right w:val="single" w:sz="6" w:space="0" w:color="000000"/>
            </w:tcBorders>
          </w:tcPr>
          <w:p w:rsidR="001E26BE" w:rsidRPr="008A0A30" w:rsidRDefault="001E26BE" w:rsidP="00B11886"/>
        </w:tc>
        <w:tc>
          <w:tcPr>
            <w:tcW w:w="1680" w:type="dxa"/>
            <w:vMerge/>
            <w:tcBorders>
              <w:left w:val="single" w:sz="6" w:space="0" w:color="000000"/>
              <w:bottom w:val="single" w:sz="4" w:space="0" w:color="auto"/>
              <w:right w:val="single" w:sz="6" w:space="0" w:color="000000"/>
            </w:tcBorders>
          </w:tcPr>
          <w:p w:rsidR="001E26BE" w:rsidRPr="008A0A30" w:rsidRDefault="001E26BE" w:rsidP="00B11886"/>
        </w:tc>
        <w:tc>
          <w:tcPr>
            <w:tcW w:w="1256" w:type="dxa"/>
            <w:gridSpan w:val="2"/>
            <w:tcBorders>
              <w:top w:val="single" w:sz="6" w:space="0" w:color="000000"/>
              <w:left w:val="single" w:sz="6" w:space="0" w:color="000000"/>
              <w:bottom w:val="single" w:sz="4" w:space="0" w:color="auto"/>
              <w:right w:val="single" w:sz="6" w:space="0" w:color="000000"/>
            </w:tcBorders>
          </w:tcPr>
          <w:p w:rsidR="001E26BE" w:rsidRPr="008A0A30" w:rsidRDefault="001E26BE" w:rsidP="00D541A1">
            <w:pPr>
              <w:spacing w:after="0"/>
              <w:ind w:left="457" w:right="440"/>
              <w:jc w:val="center"/>
              <w:rPr>
                <w:sz w:val="18"/>
                <w:szCs w:val="18"/>
              </w:rPr>
            </w:pPr>
            <w:r w:rsidRPr="008A0A30">
              <w:rPr>
                <w:sz w:val="18"/>
                <w:szCs w:val="18"/>
              </w:rPr>
              <w:t>ND</w:t>
            </w:r>
          </w:p>
        </w:tc>
        <w:tc>
          <w:tcPr>
            <w:tcW w:w="1096" w:type="dxa"/>
            <w:gridSpan w:val="2"/>
            <w:tcBorders>
              <w:top w:val="single" w:sz="6" w:space="0" w:color="000000"/>
              <w:left w:val="single" w:sz="6" w:space="0" w:color="000000"/>
              <w:bottom w:val="single" w:sz="4" w:space="0" w:color="auto"/>
              <w:right w:val="single" w:sz="6" w:space="0" w:color="000000"/>
            </w:tcBorders>
          </w:tcPr>
          <w:p w:rsidR="001E26BE" w:rsidRPr="008A0A30" w:rsidRDefault="001E26BE" w:rsidP="00D541A1">
            <w:pPr>
              <w:spacing w:before="57" w:after="0" w:line="206" w:lineRule="exact"/>
              <w:ind w:left="352" w:right="154" w:hanging="149"/>
              <w:jc w:val="center"/>
              <w:rPr>
                <w:sz w:val="18"/>
                <w:szCs w:val="18"/>
              </w:rPr>
            </w:pPr>
            <w:r w:rsidRPr="008A0A30">
              <w:rPr>
                <w:sz w:val="18"/>
                <w:szCs w:val="18"/>
              </w:rPr>
              <w:t>400 once daily</w:t>
            </w:r>
          </w:p>
        </w:tc>
        <w:tc>
          <w:tcPr>
            <w:tcW w:w="550" w:type="dxa"/>
            <w:tcBorders>
              <w:top w:val="single" w:sz="6" w:space="0" w:color="000000"/>
              <w:left w:val="single" w:sz="6" w:space="0" w:color="000000"/>
              <w:bottom w:val="single" w:sz="4" w:space="0" w:color="auto"/>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15</w:t>
            </w:r>
          </w:p>
        </w:tc>
        <w:tc>
          <w:tcPr>
            <w:tcW w:w="1078" w:type="dxa"/>
            <w:tcBorders>
              <w:top w:val="single" w:sz="6" w:space="0" w:color="000000"/>
              <w:left w:val="single" w:sz="6" w:space="0" w:color="000000"/>
              <w:bottom w:val="single" w:sz="4" w:space="0" w:color="auto"/>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1.15 (0.97, 1.36)</w:t>
            </w:r>
          </w:p>
        </w:tc>
        <w:tc>
          <w:tcPr>
            <w:tcW w:w="1076" w:type="dxa"/>
            <w:tcBorders>
              <w:top w:val="single" w:sz="6" w:space="0" w:color="000000"/>
              <w:left w:val="single" w:sz="6" w:space="0" w:color="000000"/>
              <w:bottom w:val="single" w:sz="4" w:space="0" w:color="auto"/>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1.09 (0.94, 1.26)</w:t>
            </w:r>
          </w:p>
        </w:tc>
        <w:tc>
          <w:tcPr>
            <w:tcW w:w="1095" w:type="dxa"/>
            <w:tcBorders>
              <w:top w:val="single" w:sz="6" w:space="0" w:color="000000"/>
              <w:left w:val="single" w:sz="6" w:space="0" w:color="000000"/>
              <w:bottom w:val="single" w:sz="4" w:space="0" w:color="auto"/>
              <w:right w:val="nil"/>
            </w:tcBorders>
          </w:tcPr>
          <w:p w:rsidR="001E26BE" w:rsidRPr="008A0A30" w:rsidRDefault="001E26BE" w:rsidP="00B11886">
            <w:pPr>
              <w:spacing w:before="57" w:after="0" w:line="206" w:lineRule="exact"/>
              <w:ind w:left="121" w:right="65" w:firstLine="262"/>
              <w:rPr>
                <w:sz w:val="18"/>
                <w:szCs w:val="18"/>
              </w:rPr>
            </w:pPr>
            <w:r w:rsidRPr="008A0A30">
              <w:rPr>
                <w:sz w:val="18"/>
                <w:szCs w:val="18"/>
              </w:rPr>
              <w:t>0.99 (0.80, 1.23)</w:t>
            </w:r>
          </w:p>
        </w:tc>
      </w:tr>
      <w:tr w:rsidR="00243CE5" w:rsidRPr="008A0A30" w:rsidTr="00D541A1">
        <w:trPr>
          <w:trHeight w:hRule="exact" w:val="557"/>
        </w:trPr>
        <w:tc>
          <w:tcPr>
            <w:tcW w:w="1738" w:type="dxa"/>
            <w:gridSpan w:val="2"/>
            <w:tcBorders>
              <w:top w:val="single" w:sz="4" w:space="0" w:color="auto"/>
              <w:left w:val="nil"/>
              <w:bottom w:val="single" w:sz="6" w:space="0" w:color="000000"/>
              <w:right w:val="single" w:sz="6" w:space="0" w:color="000000"/>
            </w:tcBorders>
          </w:tcPr>
          <w:p w:rsidR="001E26BE" w:rsidRPr="008A0A30" w:rsidRDefault="001E26BE" w:rsidP="00B11886">
            <w:pPr>
              <w:spacing w:after="0"/>
              <w:ind w:left="122" w:right="-20"/>
              <w:rPr>
                <w:sz w:val="18"/>
                <w:szCs w:val="18"/>
              </w:rPr>
            </w:pPr>
            <w:r w:rsidRPr="008A0A30">
              <w:rPr>
                <w:sz w:val="18"/>
                <w:szCs w:val="18"/>
              </w:rPr>
              <w:t>Pravastatin</w:t>
            </w:r>
          </w:p>
        </w:tc>
        <w:tc>
          <w:tcPr>
            <w:tcW w:w="1680"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681" w:right="51" w:hanging="581"/>
              <w:rPr>
                <w:sz w:val="18"/>
                <w:szCs w:val="18"/>
              </w:rPr>
            </w:pPr>
            <w:r w:rsidRPr="008A0A30">
              <w:rPr>
                <w:sz w:val="18"/>
                <w:szCs w:val="18"/>
              </w:rPr>
              <w:t>pravastatin 40 single dose</w:t>
            </w:r>
          </w:p>
        </w:tc>
        <w:tc>
          <w:tcPr>
            <w:tcW w:w="1272" w:type="dxa"/>
            <w:gridSpan w:val="3"/>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441" w:right="243" w:hanging="146"/>
              <w:rPr>
                <w:sz w:val="18"/>
                <w:szCs w:val="18"/>
              </w:rPr>
            </w:pPr>
            <w:r w:rsidRPr="008A0A30">
              <w:rPr>
                <w:sz w:val="18"/>
                <w:szCs w:val="18"/>
              </w:rPr>
              <w:t>100 once daily</w:t>
            </w:r>
          </w:p>
        </w:tc>
        <w:tc>
          <w:tcPr>
            <w:tcW w:w="1080"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after="0"/>
              <w:ind w:left="369" w:right="349"/>
              <w:jc w:val="center"/>
              <w:rPr>
                <w:sz w:val="18"/>
                <w:szCs w:val="18"/>
              </w:rPr>
            </w:pPr>
            <w:r w:rsidRPr="008A0A30">
              <w:rPr>
                <w:sz w:val="18"/>
                <w:szCs w:val="18"/>
              </w:rPr>
              <w:t>ND</w:t>
            </w:r>
          </w:p>
        </w:tc>
        <w:tc>
          <w:tcPr>
            <w:tcW w:w="550"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18</w:t>
            </w:r>
          </w:p>
        </w:tc>
        <w:tc>
          <w:tcPr>
            <w:tcW w:w="1078"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12" w:right="58" w:firstLine="262"/>
              <w:rPr>
                <w:sz w:val="18"/>
                <w:szCs w:val="18"/>
              </w:rPr>
            </w:pPr>
            <w:r w:rsidRPr="008A0A30">
              <w:rPr>
                <w:sz w:val="18"/>
                <w:szCs w:val="18"/>
              </w:rPr>
              <w:t>1.28 (1.08, 1.52)</w:t>
            </w:r>
          </w:p>
        </w:tc>
        <w:tc>
          <w:tcPr>
            <w:tcW w:w="1076" w:type="dxa"/>
            <w:tcBorders>
              <w:top w:val="single" w:sz="4" w:space="0" w:color="auto"/>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09" w:right="47" w:firstLine="264"/>
              <w:rPr>
                <w:sz w:val="18"/>
                <w:szCs w:val="18"/>
              </w:rPr>
            </w:pPr>
            <w:r w:rsidRPr="008A0A30">
              <w:rPr>
                <w:sz w:val="18"/>
                <w:szCs w:val="18"/>
              </w:rPr>
              <w:t>1.35 (1.18, 1.54)</w:t>
            </w:r>
          </w:p>
        </w:tc>
        <w:tc>
          <w:tcPr>
            <w:tcW w:w="1103" w:type="dxa"/>
            <w:gridSpan w:val="2"/>
            <w:tcBorders>
              <w:top w:val="single" w:sz="4" w:space="0" w:color="auto"/>
              <w:left w:val="single" w:sz="6" w:space="0" w:color="000000"/>
              <w:bottom w:val="single" w:sz="6" w:space="0" w:color="000000"/>
              <w:right w:val="nil"/>
            </w:tcBorders>
          </w:tcPr>
          <w:p w:rsidR="001E26BE" w:rsidRPr="008A0A30" w:rsidRDefault="001E26BE" w:rsidP="00B11886">
            <w:pPr>
              <w:spacing w:after="0"/>
              <w:ind w:left="371" w:right="359"/>
              <w:jc w:val="center"/>
              <w:rPr>
                <w:sz w:val="18"/>
                <w:szCs w:val="18"/>
              </w:rPr>
            </w:pPr>
            <w:r w:rsidRPr="008A0A30">
              <w:rPr>
                <w:sz w:val="18"/>
                <w:szCs w:val="18"/>
              </w:rPr>
              <w:t>NA</w:t>
            </w:r>
          </w:p>
        </w:tc>
      </w:tr>
      <w:tr w:rsidR="00243CE5" w:rsidRPr="008A0A30" w:rsidTr="00D541A1">
        <w:trPr>
          <w:trHeight w:hRule="exact" w:val="550"/>
        </w:trPr>
        <w:tc>
          <w:tcPr>
            <w:tcW w:w="1738" w:type="dxa"/>
            <w:gridSpan w:val="2"/>
            <w:tcBorders>
              <w:top w:val="single" w:sz="6" w:space="0" w:color="000000"/>
              <w:left w:val="nil"/>
              <w:bottom w:val="single" w:sz="6" w:space="0" w:color="000000"/>
              <w:right w:val="single" w:sz="6" w:space="0" w:color="000000"/>
            </w:tcBorders>
          </w:tcPr>
          <w:p w:rsidR="001E26BE" w:rsidRPr="008A0A30" w:rsidRDefault="001E26BE" w:rsidP="00B11886">
            <w:pPr>
              <w:spacing w:after="0"/>
              <w:ind w:left="122" w:right="-20"/>
              <w:rPr>
                <w:sz w:val="18"/>
                <w:szCs w:val="18"/>
              </w:rPr>
            </w:pPr>
            <w:r w:rsidRPr="008A0A30">
              <w:rPr>
                <w:sz w:val="18"/>
                <w:szCs w:val="18"/>
              </w:rPr>
              <w:t>Rosuvastatin</w:t>
            </w:r>
          </w:p>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443" w:right="248" w:hanging="146"/>
              <w:rPr>
                <w:sz w:val="18"/>
                <w:szCs w:val="18"/>
              </w:rPr>
            </w:pPr>
            <w:r w:rsidRPr="008A0A30">
              <w:rPr>
                <w:sz w:val="18"/>
                <w:szCs w:val="18"/>
              </w:rPr>
              <w:t>rosuvastatin 10 single dose</w:t>
            </w:r>
          </w:p>
        </w:tc>
        <w:tc>
          <w:tcPr>
            <w:tcW w:w="1272" w:type="dxa"/>
            <w:gridSpan w:val="3"/>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441" w:right="243" w:hanging="146"/>
              <w:rPr>
                <w:sz w:val="18"/>
                <w:szCs w:val="18"/>
              </w:rPr>
            </w:pPr>
            <w:r w:rsidRPr="008A0A30">
              <w:rPr>
                <w:sz w:val="18"/>
                <w:szCs w:val="18"/>
              </w:rPr>
              <w:t>100</w:t>
            </w:r>
            <w:r w:rsidRPr="008A0A30">
              <w:rPr>
                <w:spacing w:val="1"/>
                <w:sz w:val="18"/>
                <w:szCs w:val="18"/>
              </w:rPr>
              <w:t xml:space="preserve"> </w:t>
            </w:r>
            <w:r w:rsidRPr="008A0A30">
              <w:rPr>
                <w:sz w:val="18"/>
                <w:szCs w:val="18"/>
              </w:rPr>
              <w:t>once daily</w:t>
            </w:r>
          </w:p>
        </w:tc>
        <w:tc>
          <w:tcPr>
            <w:tcW w:w="10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369" w:right="349"/>
              <w:jc w:val="center"/>
              <w:rPr>
                <w:sz w:val="18"/>
                <w:szCs w:val="18"/>
              </w:rPr>
            </w:pPr>
            <w:r w:rsidRPr="008A0A30">
              <w:rPr>
                <w:sz w:val="18"/>
                <w:szCs w:val="18"/>
              </w:rPr>
              <w:t>ND</w:t>
            </w:r>
          </w:p>
        </w:tc>
        <w:tc>
          <w:tcPr>
            <w:tcW w:w="55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18</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12" w:right="58" w:firstLine="262"/>
              <w:rPr>
                <w:sz w:val="18"/>
                <w:szCs w:val="18"/>
              </w:rPr>
            </w:pPr>
            <w:r w:rsidRPr="008A0A30">
              <w:rPr>
                <w:sz w:val="18"/>
                <w:szCs w:val="18"/>
              </w:rPr>
              <w:t>2.61 (2.32, 2.92)</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60" w:after="0" w:line="206" w:lineRule="exact"/>
              <w:ind w:left="109" w:right="47" w:firstLine="264"/>
              <w:rPr>
                <w:sz w:val="18"/>
                <w:szCs w:val="18"/>
              </w:rPr>
            </w:pPr>
            <w:r w:rsidRPr="008A0A30">
              <w:rPr>
                <w:sz w:val="18"/>
                <w:szCs w:val="18"/>
              </w:rPr>
              <w:t>2.69 (2.46, 2.94)</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after="0"/>
              <w:ind w:left="371" w:right="359"/>
              <w:jc w:val="center"/>
              <w:rPr>
                <w:sz w:val="18"/>
                <w:szCs w:val="18"/>
              </w:rPr>
            </w:pPr>
            <w:r w:rsidRPr="008A0A30">
              <w:rPr>
                <w:sz w:val="18"/>
                <w:szCs w:val="18"/>
              </w:rPr>
              <w:t>NA</w:t>
            </w:r>
          </w:p>
        </w:tc>
      </w:tr>
      <w:tr w:rsidR="00243CE5" w:rsidRPr="008A0A30" w:rsidTr="00D541A1">
        <w:trPr>
          <w:trHeight w:hRule="exact" w:val="550"/>
        </w:trPr>
        <w:tc>
          <w:tcPr>
            <w:tcW w:w="1738" w:type="dxa"/>
            <w:gridSpan w:val="2"/>
            <w:vMerge w:val="restart"/>
            <w:tcBorders>
              <w:top w:val="single" w:sz="6" w:space="0" w:color="000000"/>
              <w:left w:val="nil"/>
              <w:right w:val="single" w:sz="6" w:space="0" w:color="000000"/>
            </w:tcBorders>
          </w:tcPr>
          <w:p w:rsidR="001E26BE" w:rsidRPr="008A0A30" w:rsidRDefault="001E26BE" w:rsidP="004D126B">
            <w:pPr>
              <w:spacing w:after="0"/>
              <w:ind w:left="122" w:right="-20"/>
              <w:rPr>
                <w:sz w:val="18"/>
                <w:szCs w:val="18"/>
              </w:rPr>
            </w:pPr>
            <w:r w:rsidRPr="008A0A30">
              <w:rPr>
                <w:sz w:val="18"/>
                <w:szCs w:val="18"/>
              </w:rPr>
              <w:t>Raltegravir</w:t>
            </w:r>
            <w:r w:rsidR="00F91F87" w:rsidRPr="008A0A30">
              <w:rPr>
                <w:sz w:val="18"/>
                <w:szCs w:val="18"/>
              </w:rPr>
              <w:t xml:space="preserve"> </w:t>
            </w:r>
            <w:r w:rsidRPr="008A0A30">
              <w:rPr>
                <w:sz w:val="18"/>
                <w:szCs w:val="18"/>
              </w:rPr>
              <w:t>+</w:t>
            </w:r>
            <w:r w:rsidR="00F91F87" w:rsidRPr="008A0A30">
              <w:rPr>
                <w:sz w:val="18"/>
                <w:szCs w:val="18"/>
              </w:rPr>
              <w:t xml:space="preserve"> </w:t>
            </w:r>
            <w:r w:rsidRPr="008A0A30">
              <w:rPr>
                <w:sz w:val="18"/>
                <w:szCs w:val="18"/>
              </w:rPr>
              <w:t>emtricitabine/</w:t>
            </w:r>
            <w:r w:rsidR="00F91F87" w:rsidRPr="008A0A30">
              <w:rPr>
                <w:sz w:val="18"/>
                <w:szCs w:val="18"/>
              </w:rPr>
              <w:br/>
            </w:r>
            <w:r w:rsidRPr="008A0A30">
              <w:rPr>
                <w:sz w:val="18"/>
                <w:szCs w:val="18"/>
              </w:rPr>
              <w:t>tenofovir DF</w:t>
            </w:r>
          </w:p>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474" w:right="162" w:hanging="262"/>
              <w:rPr>
                <w:sz w:val="18"/>
                <w:szCs w:val="18"/>
              </w:rPr>
            </w:pPr>
            <w:r w:rsidRPr="008A0A30">
              <w:rPr>
                <w:spacing w:val="2"/>
                <w:sz w:val="18"/>
                <w:szCs w:val="18"/>
              </w:rPr>
              <w:t>e</w:t>
            </w:r>
            <w:r w:rsidRPr="008A0A30">
              <w:rPr>
                <w:spacing w:val="-3"/>
                <w:sz w:val="18"/>
                <w:szCs w:val="18"/>
              </w:rPr>
              <w:t>m</w:t>
            </w:r>
            <w:r w:rsidRPr="008A0A30">
              <w:rPr>
                <w:sz w:val="18"/>
                <w:szCs w:val="18"/>
              </w:rPr>
              <w:t>tricitabine</w:t>
            </w:r>
            <w:r w:rsidRPr="008A0A30">
              <w:rPr>
                <w:spacing w:val="1"/>
                <w:sz w:val="18"/>
                <w:szCs w:val="18"/>
              </w:rPr>
              <w:t xml:space="preserve"> </w:t>
            </w:r>
            <w:r w:rsidRPr="008A0A30">
              <w:rPr>
                <w:sz w:val="18"/>
                <w:szCs w:val="18"/>
              </w:rPr>
              <w:t>200 once daily</w:t>
            </w:r>
          </w:p>
        </w:tc>
        <w:tc>
          <w:tcPr>
            <w:tcW w:w="1272" w:type="dxa"/>
            <w:gridSpan w:val="3"/>
            <w:vMerge w:val="restart"/>
            <w:tcBorders>
              <w:top w:val="single" w:sz="6" w:space="0" w:color="000000"/>
              <w:left w:val="single" w:sz="6" w:space="0" w:color="000000"/>
              <w:right w:val="single" w:sz="6" w:space="0" w:color="000000"/>
            </w:tcBorders>
          </w:tcPr>
          <w:p w:rsidR="001E26BE" w:rsidRPr="008A0A30" w:rsidRDefault="001E26BE" w:rsidP="00B11886">
            <w:pPr>
              <w:spacing w:after="0" w:line="206" w:lineRule="exact"/>
              <w:ind w:left="441" w:right="243" w:hanging="146"/>
              <w:rPr>
                <w:sz w:val="18"/>
                <w:szCs w:val="18"/>
              </w:rPr>
            </w:pPr>
            <w:r w:rsidRPr="008A0A30">
              <w:rPr>
                <w:sz w:val="18"/>
                <w:szCs w:val="18"/>
              </w:rPr>
              <w:t>100 once daily</w:t>
            </w:r>
          </w:p>
        </w:tc>
        <w:tc>
          <w:tcPr>
            <w:tcW w:w="1080" w:type="dxa"/>
            <w:vMerge w:val="restart"/>
            <w:tcBorders>
              <w:top w:val="single" w:sz="6" w:space="0" w:color="000000"/>
              <w:left w:val="single" w:sz="6" w:space="0" w:color="000000"/>
              <w:right w:val="single" w:sz="6" w:space="0" w:color="000000"/>
            </w:tcBorders>
          </w:tcPr>
          <w:p w:rsidR="001E26BE" w:rsidRPr="008A0A30" w:rsidRDefault="001E26BE" w:rsidP="00B11886">
            <w:pPr>
              <w:spacing w:after="0" w:line="206" w:lineRule="exact"/>
              <w:ind w:left="352" w:right="154" w:hanging="149"/>
              <w:rPr>
                <w:sz w:val="18"/>
                <w:szCs w:val="18"/>
              </w:rPr>
            </w:pPr>
            <w:r w:rsidRPr="008A0A30">
              <w:rPr>
                <w:sz w:val="18"/>
                <w:szCs w:val="18"/>
              </w:rPr>
              <w:t>400 once daily</w:t>
            </w:r>
          </w:p>
        </w:tc>
        <w:tc>
          <w:tcPr>
            <w:tcW w:w="550" w:type="dxa"/>
            <w:vMerge w:val="restart"/>
            <w:tcBorders>
              <w:top w:val="single" w:sz="6" w:space="0" w:color="000000"/>
              <w:left w:val="single" w:sz="6"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30</w:t>
            </w:r>
          </w:p>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12" w:right="58" w:firstLine="262"/>
              <w:rPr>
                <w:sz w:val="18"/>
                <w:szCs w:val="18"/>
              </w:rPr>
            </w:pPr>
            <w:r w:rsidRPr="008A0A30">
              <w:rPr>
                <w:sz w:val="18"/>
                <w:szCs w:val="18"/>
              </w:rPr>
              <w:t>1.08 (1.04, 1.12)</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4" w:after="0" w:line="242" w:lineRule="auto"/>
              <w:ind w:left="109" w:right="58" w:firstLine="264"/>
              <w:rPr>
                <w:sz w:val="18"/>
                <w:szCs w:val="18"/>
              </w:rPr>
            </w:pPr>
            <w:r w:rsidRPr="008A0A30">
              <w:rPr>
                <w:sz w:val="18"/>
                <w:szCs w:val="18"/>
              </w:rPr>
              <w:t>1.05 (1.03, 1.07)</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4" w:after="0" w:line="242" w:lineRule="auto"/>
              <w:ind w:left="121" w:right="76" w:firstLine="262"/>
              <w:rPr>
                <w:sz w:val="18"/>
                <w:szCs w:val="18"/>
              </w:rPr>
            </w:pPr>
            <w:r w:rsidRPr="008A0A30">
              <w:rPr>
                <w:sz w:val="18"/>
                <w:szCs w:val="18"/>
              </w:rPr>
              <w:t>1.02 (0.97, 1.08)</w:t>
            </w:r>
          </w:p>
        </w:tc>
      </w:tr>
      <w:tr w:rsidR="00243CE5" w:rsidRPr="008A0A30" w:rsidTr="00D541A1">
        <w:trPr>
          <w:trHeight w:hRule="exact" w:val="550"/>
        </w:trPr>
        <w:tc>
          <w:tcPr>
            <w:tcW w:w="1738" w:type="dxa"/>
            <w:gridSpan w:val="2"/>
            <w:vMerge/>
            <w:tcBorders>
              <w:left w:val="nil"/>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474" w:right="169" w:hanging="254"/>
              <w:rPr>
                <w:sz w:val="18"/>
                <w:szCs w:val="18"/>
              </w:rPr>
            </w:pPr>
            <w:r w:rsidRPr="008A0A30">
              <w:rPr>
                <w:sz w:val="18"/>
                <w:szCs w:val="18"/>
              </w:rPr>
              <w:t>tenofovir DF 300 once</w:t>
            </w:r>
            <w:r w:rsidRPr="008A0A30">
              <w:rPr>
                <w:spacing w:val="1"/>
                <w:sz w:val="18"/>
                <w:szCs w:val="18"/>
              </w:rPr>
              <w:t xml:space="preserve"> </w:t>
            </w:r>
            <w:r w:rsidRPr="008A0A30">
              <w:rPr>
                <w:sz w:val="18"/>
                <w:szCs w:val="18"/>
              </w:rPr>
              <w:t>daily</w:t>
            </w:r>
          </w:p>
        </w:tc>
        <w:tc>
          <w:tcPr>
            <w:tcW w:w="1272" w:type="dxa"/>
            <w:gridSpan w:val="3"/>
            <w:vMerge/>
            <w:tcBorders>
              <w:left w:val="single" w:sz="6" w:space="0" w:color="000000"/>
              <w:right w:val="single" w:sz="6" w:space="0" w:color="000000"/>
            </w:tcBorders>
          </w:tcPr>
          <w:p w:rsidR="001E26BE" w:rsidRPr="008A0A30" w:rsidRDefault="001E26BE" w:rsidP="00B11886"/>
        </w:tc>
        <w:tc>
          <w:tcPr>
            <w:tcW w:w="1080" w:type="dxa"/>
            <w:vMerge/>
            <w:tcBorders>
              <w:left w:val="single" w:sz="6" w:space="0" w:color="000000"/>
              <w:right w:val="single" w:sz="6" w:space="0" w:color="000000"/>
            </w:tcBorders>
          </w:tcPr>
          <w:p w:rsidR="001E26BE" w:rsidRPr="008A0A30" w:rsidRDefault="001E26BE" w:rsidP="00B11886"/>
        </w:tc>
        <w:tc>
          <w:tcPr>
            <w:tcW w:w="550" w:type="dxa"/>
            <w:vMerge/>
            <w:tcBorders>
              <w:left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1.46 (1.39, 1.54)</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1.40 (1.34, 1.45)</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65" w:firstLine="262"/>
              <w:rPr>
                <w:sz w:val="18"/>
                <w:szCs w:val="18"/>
              </w:rPr>
            </w:pPr>
            <w:r w:rsidRPr="008A0A30">
              <w:rPr>
                <w:sz w:val="18"/>
                <w:szCs w:val="18"/>
              </w:rPr>
              <w:t>1.70 (1.61, 1.79)</w:t>
            </w:r>
          </w:p>
        </w:tc>
      </w:tr>
      <w:tr w:rsidR="00243CE5" w:rsidRPr="008A0A30" w:rsidTr="00D541A1">
        <w:trPr>
          <w:trHeight w:hRule="exact" w:val="547"/>
        </w:trPr>
        <w:tc>
          <w:tcPr>
            <w:tcW w:w="1738" w:type="dxa"/>
            <w:gridSpan w:val="2"/>
            <w:vMerge/>
            <w:tcBorders>
              <w:left w:val="nil"/>
              <w:bottom w:val="single" w:sz="6" w:space="0" w:color="000000"/>
              <w:right w:val="single" w:sz="6" w:space="0" w:color="000000"/>
            </w:tcBorders>
          </w:tcPr>
          <w:p w:rsidR="001E26BE" w:rsidRPr="008A0A30" w:rsidRDefault="001E26BE" w:rsidP="00B11886"/>
        </w:tc>
        <w:tc>
          <w:tcPr>
            <w:tcW w:w="1680"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450" w:right="262" w:hanging="137"/>
              <w:rPr>
                <w:sz w:val="18"/>
                <w:szCs w:val="18"/>
              </w:rPr>
            </w:pPr>
            <w:r w:rsidRPr="008A0A30">
              <w:rPr>
                <w:sz w:val="18"/>
                <w:szCs w:val="18"/>
              </w:rPr>
              <w:t>raltegravir 400 twice daily</w:t>
            </w:r>
          </w:p>
        </w:tc>
        <w:tc>
          <w:tcPr>
            <w:tcW w:w="1272" w:type="dxa"/>
            <w:gridSpan w:val="3"/>
            <w:vMerge/>
            <w:tcBorders>
              <w:left w:val="single" w:sz="6" w:space="0" w:color="000000"/>
              <w:bottom w:val="single" w:sz="6" w:space="0" w:color="000000"/>
              <w:right w:val="single" w:sz="6" w:space="0" w:color="000000"/>
            </w:tcBorders>
          </w:tcPr>
          <w:p w:rsidR="001E26BE" w:rsidRPr="008A0A30" w:rsidRDefault="001E26BE" w:rsidP="00B11886"/>
        </w:tc>
        <w:tc>
          <w:tcPr>
            <w:tcW w:w="1080" w:type="dxa"/>
            <w:vMerge/>
            <w:tcBorders>
              <w:left w:val="single" w:sz="6" w:space="0" w:color="000000"/>
              <w:bottom w:val="single" w:sz="6" w:space="0" w:color="000000"/>
              <w:right w:val="single" w:sz="6" w:space="0" w:color="000000"/>
            </w:tcBorders>
          </w:tcPr>
          <w:p w:rsidR="001E26BE" w:rsidRPr="008A0A30" w:rsidRDefault="001E26BE" w:rsidP="00B11886"/>
        </w:tc>
        <w:tc>
          <w:tcPr>
            <w:tcW w:w="550" w:type="dxa"/>
            <w:vMerge/>
            <w:tcBorders>
              <w:left w:val="single" w:sz="6" w:space="0" w:color="000000"/>
              <w:bottom w:val="single" w:sz="6" w:space="0" w:color="000000"/>
              <w:right w:val="single" w:sz="6" w:space="0" w:color="000000"/>
            </w:tcBorders>
          </w:tcPr>
          <w:p w:rsidR="001E26BE" w:rsidRPr="008A0A30" w:rsidRDefault="001E26BE" w:rsidP="00B11886"/>
        </w:tc>
        <w:tc>
          <w:tcPr>
            <w:tcW w:w="1078"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12" w:right="58" w:firstLine="262"/>
              <w:rPr>
                <w:sz w:val="18"/>
                <w:szCs w:val="18"/>
              </w:rPr>
            </w:pPr>
            <w:r w:rsidRPr="008A0A30">
              <w:rPr>
                <w:sz w:val="18"/>
                <w:szCs w:val="18"/>
              </w:rPr>
              <w:t>1.03 (0.74, 1.43)</w:t>
            </w:r>
          </w:p>
        </w:tc>
        <w:tc>
          <w:tcPr>
            <w:tcW w:w="1076" w:type="dxa"/>
            <w:tcBorders>
              <w:top w:val="single" w:sz="6" w:space="0" w:color="000000"/>
              <w:left w:val="single" w:sz="6" w:space="0" w:color="000000"/>
              <w:bottom w:val="single" w:sz="6" w:space="0" w:color="000000"/>
              <w:right w:val="single" w:sz="6" w:space="0" w:color="000000"/>
            </w:tcBorders>
          </w:tcPr>
          <w:p w:rsidR="001E26BE" w:rsidRPr="008A0A30" w:rsidRDefault="001E26BE" w:rsidP="00B11886">
            <w:pPr>
              <w:spacing w:before="57" w:after="0" w:line="206" w:lineRule="exact"/>
              <w:ind w:left="109" w:right="58" w:firstLine="264"/>
              <w:rPr>
                <w:sz w:val="18"/>
                <w:szCs w:val="18"/>
              </w:rPr>
            </w:pPr>
            <w:r w:rsidRPr="008A0A30">
              <w:rPr>
                <w:sz w:val="18"/>
                <w:szCs w:val="18"/>
              </w:rPr>
              <w:t>0.97 (0.73, 1.28)</w:t>
            </w:r>
          </w:p>
        </w:tc>
        <w:tc>
          <w:tcPr>
            <w:tcW w:w="1103" w:type="dxa"/>
            <w:gridSpan w:val="2"/>
            <w:tcBorders>
              <w:top w:val="single" w:sz="6" w:space="0" w:color="000000"/>
              <w:left w:val="single" w:sz="6" w:space="0" w:color="000000"/>
              <w:bottom w:val="single" w:sz="6" w:space="0" w:color="000000"/>
              <w:right w:val="nil"/>
            </w:tcBorders>
          </w:tcPr>
          <w:p w:rsidR="001E26BE" w:rsidRPr="008A0A30" w:rsidRDefault="001E26BE" w:rsidP="00B11886">
            <w:pPr>
              <w:spacing w:before="57" w:after="0" w:line="206" w:lineRule="exact"/>
              <w:ind w:left="121" w:right="76" w:firstLine="262"/>
              <w:rPr>
                <w:sz w:val="18"/>
                <w:szCs w:val="18"/>
              </w:rPr>
            </w:pPr>
            <w:r w:rsidRPr="008A0A30">
              <w:rPr>
                <w:sz w:val="18"/>
                <w:szCs w:val="18"/>
              </w:rPr>
              <w:t>0.79 (0.42, 1.48)</w:t>
            </w:r>
          </w:p>
        </w:tc>
      </w:tr>
      <w:tr w:rsidR="00243CE5" w:rsidRPr="008A0A30" w:rsidTr="009B63B7">
        <w:trPr>
          <w:trHeight w:hRule="exact" w:val="508"/>
        </w:trPr>
        <w:tc>
          <w:tcPr>
            <w:tcW w:w="1738" w:type="dxa"/>
            <w:gridSpan w:val="2"/>
            <w:tcBorders>
              <w:top w:val="single" w:sz="6" w:space="0" w:color="000000"/>
              <w:left w:val="nil"/>
              <w:bottom w:val="single" w:sz="12" w:space="0" w:color="000000"/>
              <w:right w:val="single" w:sz="6" w:space="0" w:color="000000"/>
            </w:tcBorders>
          </w:tcPr>
          <w:p w:rsidR="001E26BE" w:rsidRPr="008A0A30" w:rsidRDefault="001E26BE" w:rsidP="00B11886">
            <w:pPr>
              <w:spacing w:after="0"/>
              <w:ind w:left="122" w:right="-20"/>
              <w:rPr>
                <w:sz w:val="18"/>
                <w:szCs w:val="18"/>
              </w:rPr>
            </w:pPr>
            <w:r w:rsidRPr="008A0A30">
              <w:rPr>
                <w:sz w:val="18"/>
                <w:szCs w:val="18"/>
              </w:rPr>
              <w:t>Tacrolimus</w:t>
            </w:r>
          </w:p>
        </w:tc>
        <w:tc>
          <w:tcPr>
            <w:tcW w:w="1680" w:type="dxa"/>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after="0"/>
              <w:ind w:left="376" w:right="-20"/>
              <w:rPr>
                <w:sz w:val="18"/>
                <w:szCs w:val="18"/>
              </w:rPr>
            </w:pPr>
            <w:r w:rsidRPr="008A0A30">
              <w:rPr>
                <w:sz w:val="18"/>
                <w:szCs w:val="18"/>
              </w:rPr>
              <w:t>5 single dose</w:t>
            </w:r>
          </w:p>
        </w:tc>
        <w:tc>
          <w:tcPr>
            <w:tcW w:w="1272" w:type="dxa"/>
            <w:gridSpan w:val="3"/>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after="0"/>
              <w:ind w:left="457" w:right="440"/>
              <w:jc w:val="center"/>
              <w:rPr>
                <w:sz w:val="18"/>
                <w:szCs w:val="18"/>
              </w:rPr>
            </w:pPr>
            <w:r w:rsidRPr="008A0A30">
              <w:rPr>
                <w:sz w:val="18"/>
                <w:szCs w:val="18"/>
              </w:rPr>
              <w:t>ND</w:t>
            </w:r>
          </w:p>
        </w:tc>
        <w:tc>
          <w:tcPr>
            <w:tcW w:w="1080" w:type="dxa"/>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before="59" w:after="0" w:line="206" w:lineRule="exact"/>
              <w:ind w:left="366" w:right="109" w:hanging="209"/>
              <w:rPr>
                <w:sz w:val="18"/>
                <w:szCs w:val="18"/>
              </w:rPr>
            </w:pPr>
            <w:r w:rsidRPr="008A0A30">
              <w:rPr>
                <w:sz w:val="18"/>
                <w:szCs w:val="18"/>
              </w:rPr>
              <w:t xml:space="preserve">400 single </w:t>
            </w:r>
            <w:r w:rsidRPr="008A0A30">
              <w:rPr>
                <w:spacing w:val="1"/>
                <w:sz w:val="18"/>
                <w:szCs w:val="18"/>
              </w:rPr>
              <w:t>dose</w:t>
            </w:r>
          </w:p>
        </w:tc>
        <w:tc>
          <w:tcPr>
            <w:tcW w:w="550" w:type="dxa"/>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after="0"/>
              <w:ind w:left="172" w:right="-20"/>
              <w:rPr>
                <w:sz w:val="18"/>
                <w:szCs w:val="18"/>
              </w:rPr>
            </w:pPr>
            <w:r w:rsidRPr="008A0A30">
              <w:rPr>
                <w:spacing w:val="1"/>
                <w:sz w:val="18"/>
                <w:szCs w:val="18"/>
              </w:rPr>
              <w:t>16</w:t>
            </w:r>
          </w:p>
        </w:tc>
        <w:tc>
          <w:tcPr>
            <w:tcW w:w="1078" w:type="dxa"/>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before="59" w:after="0" w:line="206" w:lineRule="exact"/>
              <w:ind w:left="112" w:right="58" w:firstLine="262"/>
              <w:rPr>
                <w:sz w:val="18"/>
                <w:szCs w:val="18"/>
              </w:rPr>
            </w:pPr>
            <w:r w:rsidRPr="008A0A30">
              <w:rPr>
                <w:sz w:val="18"/>
                <w:szCs w:val="18"/>
              </w:rPr>
              <w:t>0.73 (0.59, 0.90)</w:t>
            </w:r>
          </w:p>
        </w:tc>
        <w:tc>
          <w:tcPr>
            <w:tcW w:w="1076" w:type="dxa"/>
            <w:tcBorders>
              <w:top w:val="single" w:sz="6" w:space="0" w:color="000000"/>
              <w:left w:val="single" w:sz="6" w:space="0" w:color="000000"/>
              <w:bottom w:val="single" w:sz="12" w:space="0" w:color="000000"/>
              <w:right w:val="single" w:sz="6" w:space="0" w:color="000000"/>
            </w:tcBorders>
          </w:tcPr>
          <w:p w:rsidR="001E26BE" w:rsidRPr="008A0A30" w:rsidRDefault="001E26BE" w:rsidP="00B11886">
            <w:pPr>
              <w:spacing w:before="59" w:after="0" w:line="206" w:lineRule="exact"/>
              <w:ind w:left="109" w:right="58" w:firstLine="264"/>
              <w:rPr>
                <w:sz w:val="18"/>
                <w:szCs w:val="18"/>
              </w:rPr>
            </w:pPr>
            <w:r w:rsidRPr="008A0A30">
              <w:rPr>
                <w:sz w:val="18"/>
                <w:szCs w:val="18"/>
              </w:rPr>
              <w:t>1.09 (0.84, 1.40)</w:t>
            </w:r>
          </w:p>
        </w:tc>
        <w:tc>
          <w:tcPr>
            <w:tcW w:w="1103" w:type="dxa"/>
            <w:gridSpan w:val="2"/>
            <w:tcBorders>
              <w:top w:val="single" w:sz="6" w:space="0" w:color="000000"/>
              <w:left w:val="single" w:sz="6" w:space="0" w:color="000000"/>
              <w:bottom w:val="single" w:sz="12" w:space="0" w:color="000000"/>
              <w:right w:val="nil"/>
            </w:tcBorders>
          </w:tcPr>
          <w:p w:rsidR="001E26BE" w:rsidRPr="008A0A30" w:rsidRDefault="001E26BE" w:rsidP="00B11886">
            <w:pPr>
              <w:spacing w:after="0"/>
              <w:ind w:left="371" w:right="359"/>
              <w:jc w:val="center"/>
              <w:rPr>
                <w:sz w:val="18"/>
                <w:szCs w:val="18"/>
              </w:rPr>
            </w:pPr>
            <w:r w:rsidRPr="008A0A30">
              <w:rPr>
                <w:sz w:val="18"/>
                <w:szCs w:val="18"/>
              </w:rPr>
              <w:t>NA</w:t>
            </w:r>
          </w:p>
        </w:tc>
      </w:tr>
    </w:tbl>
    <w:p w:rsidR="001E26BE" w:rsidRPr="00BB341F" w:rsidRDefault="001E26BE" w:rsidP="00905634">
      <w:pPr>
        <w:spacing w:before="0" w:after="0"/>
        <w:rPr>
          <w:rFonts w:cs="Arial"/>
          <w:sz w:val="18"/>
          <w:szCs w:val="18"/>
          <w:lang w:val="en-GB"/>
        </w:rPr>
      </w:pPr>
      <w:r w:rsidRPr="00BB341F">
        <w:rPr>
          <w:rFonts w:cs="Arial"/>
          <w:sz w:val="18"/>
          <w:szCs w:val="18"/>
          <w:lang w:val="en-GB"/>
        </w:rPr>
        <w:t>NA = not available/not applicable, ND = not dosed.</w:t>
      </w:r>
    </w:p>
    <w:p w:rsidR="001E26BE" w:rsidRPr="00BB341F" w:rsidRDefault="001E26BE" w:rsidP="00905634">
      <w:pPr>
        <w:spacing w:before="0" w:after="0"/>
        <w:rPr>
          <w:rFonts w:cs="Arial"/>
          <w:sz w:val="18"/>
          <w:szCs w:val="18"/>
          <w:lang w:val="en-GB"/>
        </w:rPr>
      </w:pPr>
      <w:r w:rsidRPr="00BB341F">
        <w:rPr>
          <w:rFonts w:cs="Arial"/>
          <w:sz w:val="18"/>
          <w:szCs w:val="18"/>
          <w:lang w:val="en-GB"/>
        </w:rPr>
        <w:t>a. All interaction studies conducted in healthy volunteers.</w:t>
      </w:r>
    </w:p>
    <w:p w:rsidR="00FC3767" w:rsidRDefault="001E26BE" w:rsidP="00905634">
      <w:pPr>
        <w:tabs>
          <w:tab w:val="left" w:pos="284"/>
          <w:tab w:val="left" w:pos="426"/>
          <w:tab w:val="left" w:pos="709"/>
        </w:tabs>
        <w:spacing w:before="0" w:after="0"/>
        <w:rPr>
          <w:rFonts w:cs="Arial"/>
          <w:sz w:val="18"/>
          <w:szCs w:val="18"/>
          <w:lang w:val="en-GB"/>
        </w:rPr>
      </w:pPr>
      <w:r w:rsidRPr="00BB341F">
        <w:rPr>
          <w:rFonts w:cs="Arial"/>
          <w:sz w:val="18"/>
          <w:szCs w:val="18"/>
          <w:lang w:val="en-GB"/>
        </w:rPr>
        <w:t>b. Comparison based on exposures when administered as atazanavir/ritonavir + emtricitabine/tenofovir DF.</w:t>
      </w:r>
    </w:p>
    <w:p w:rsidR="00FC3767" w:rsidRDefault="001E26BE" w:rsidP="00905634">
      <w:pPr>
        <w:tabs>
          <w:tab w:val="left" w:pos="284"/>
          <w:tab w:val="left" w:pos="426"/>
          <w:tab w:val="left" w:pos="709"/>
        </w:tabs>
        <w:spacing w:before="0" w:after="0"/>
        <w:rPr>
          <w:rFonts w:cs="Arial"/>
          <w:sz w:val="18"/>
          <w:szCs w:val="18"/>
          <w:lang w:val="en-GB"/>
        </w:rPr>
      </w:pPr>
      <w:r w:rsidRPr="00BB341F">
        <w:rPr>
          <w:rFonts w:cs="Arial"/>
          <w:sz w:val="18"/>
          <w:szCs w:val="18"/>
          <w:lang w:val="en-GB"/>
        </w:rPr>
        <w:t>c. Comparison based on exposures when administered as darunavir/ritonavir + emtricitabine/tenofovir DF.</w:t>
      </w:r>
    </w:p>
    <w:p w:rsidR="001E26BE" w:rsidRPr="00BB341F" w:rsidRDefault="001E26BE" w:rsidP="00905634">
      <w:pPr>
        <w:tabs>
          <w:tab w:val="left" w:pos="284"/>
          <w:tab w:val="left" w:pos="426"/>
          <w:tab w:val="left" w:pos="709"/>
        </w:tabs>
        <w:spacing w:before="0" w:after="0"/>
        <w:rPr>
          <w:rFonts w:cs="Arial"/>
          <w:sz w:val="18"/>
          <w:szCs w:val="18"/>
          <w:lang w:val="en-GB"/>
        </w:rPr>
      </w:pPr>
      <w:r w:rsidRPr="00BB341F">
        <w:rPr>
          <w:rFonts w:cs="Arial"/>
          <w:sz w:val="18"/>
          <w:szCs w:val="18"/>
          <w:lang w:val="en-GB"/>
        </w:rPr>
        <w:t>d. Administered as Atripla (efavirenz, emtricitabine and tenofovir DF fixed-dose combination).</w:t>
      </w:r>
    </w:p>
    <w:p w:rsidR="001E26BE" w:rsidRPr="00BB341F" w:rsidRDefault="001E26BE" w:rsidP="00905634">
      <w:pPr>
        <w:spacing w:before="0" w:after="0"/>
        <w:rPr>
          <w:rFonts w:cs="Arial"/>
          <w:sz w:val="18"/>
          <w:szCs w:val="18"/>
          <w:lang w:val="en-GB"/>
        </w:rPr>
      </w:pPr>
      <w:r w:rsidRPr="00BB341F">
        <w:rPr>
          <w:rFonts w:cs="Arial"/>
          <w:sz w:val="18"/>
          <w:szCs w:val="18"/>
          <w:lang w:val="en-GB"/>
        </w:rPr>
        <w:t xml:space="preserve">e. Administered as </w:t>
      </w:r>
      <w:r w:rsidR="005A21B5" w:rsidRPr="00BB341F">
        <w:rPr>
          <w:rFonts w:cs="Arial"/>
          <w:sz w:val="18"/>
          <w:szCs w:val="18"/>
          <w:lang w:val="en-GB"/>
        </w:rPr>
        <w:t>Genvoya</w:t>
      </w:r>
      <w:r w:rsidRPr="00BB341F">
        <w:rPr>
          <w:rFonts w:cs="Arial"/>
          <w:sz w:val="18"/>
          <w:szCs w:val="18"/>
          <w:lang w:val="en-GB"/>
        </w:rPr>
        <w:t xml:space="preserve"> (elvitegravir, cobicistat, emtricitabine and tenofovir alafenamide fixed-dose combination).</w:t>
      </w:r>
    </w:p>
    <w:p w:rsidR="00FC3767" w:rsidRDefault="001E26BE" w:rsidP="00905634">
      <w:pPr>
        <w:spacing w:before="0" w:after="0"/>
        <w:rPr>
          <w:rFonts w:cs="Arial"/>
          <w:sz w:val="18"/>
          <w:szCs w:val="18"/>
          <w:lang w:val="en-GB"/>
        </w:rPr>
      </w:pPr>
      <w:r w:rsidRPr="00BB341F">
        <w:rPr>
          <w:rFonts w:cs="Arial"/>
          <w:sz w:val="18"/>
          <w:szCs w:val="18"/>
          <w:lang w:val="en-GB"/>
        </w:rPr>
        <w:t>f. Administered as Stribild (elvitegravir, cobicistat, emtricitabine and tenofovir DF fixed-dose combination).</w:t>
      </w:r>
    </w:p>
    <w:p w:rsidR="001E26BE" w:rsidRPr="00BB341F" w:rsidRDefault="001E26BE" w:rsidP="00905634">
      <w:pPr>
        <w:spacing w:before="0" w:after="0"/>
        <w:rPr>
          <w:rFonts w:cs="Arial"/>
          <w:sz w:val="18"/>
          <w:szCs w:val="18"/>
          <w:lang w:val="en-GB"/>
        </w:rPr>
      </w:pPr>
      <w:r w:rsidRPr="00BB341F">
        <w:rPr>
          <w:rFonts w:cs="Arial"/>
          <w:sz w:val="18"/>
          <w:szCs w:val="18"/>
          <w:lang w:val="en-GB"/>
        </w:rPr>
        <w:t xml:space="preserve">g. Administered as </w:t>
      </w:r>
      <w:r w:rsidR="005A21B5" w:rsidRPr="00BB341F">
        <w:rPr>
          <w:rFonts w:cs="Arial"/>
          <w:sz w:val="18"/>
          <w:szCs w:val="18"/>
          <w:lang w:val="en-GB"/>
        </w:rPr>
        <w:t>Eviplera</w:t>
      </w:r>
      <w:r w:rsidRPr="00BB341F">
        <w:rPr>
          <w:rFonts w:cs="Arial"/>
          <w:sz w:val="18"/>
          <w:szCs w:val="18"/>
          <w:lang w:val="en-GB"/>
        </w:rPr>
        <w:t xml:space="preserve"> (emtricitabine, rilpivirine and tenofovir DF fixed-dose combination).</w:t>
      </w:r>
    </w:p>
    <w:p w:rsidR="00B7441E" w:rsidRPr="008A0A30" w:rsidRDefault="00B7441E" w:rsidP="00FC3767">
      <w:pPr>
        <w:pStyle w:val="Heading1"/>
      </w:pPr>
      <w:r w:rsidRPr="008A0A30">
        <w:lastRenderedPageBreak/>
        <w:t>C</w:t>
      </w:r>
      <w:r w:rsidR="0006444E" w:rsidRPr="008A0A30">
        <w:t>LINICAL TRIALS</w:t>
      </w:r>
    </w:p>
    <w:p w:rsidR="00E70BC7" w:rsidRPr="008A0A30" w:rsidRDefault="00E70BC7" w:rsidP="00514AEE">
      <w:pPr>
        <w:pStyle w:val="Heading2"/>
      </w:pPr>
      <w:r w:rsidRPr="008A0A30">
        <w:t>Description of Clinical Studies</w:t>
      </w:r>
    </w:p>
    <w:p w:rsidR="00E70BC7" w:rsidRDefault="00E70BC7" w:rsidP="00E70BC7">
      <w:r w:rsidRPr="008A0A30">
        <w:t>The efficacy</w:t>
      </w:r>
      <w:r w:rsidRPr="008A0A30">
        <w:rPr>
          <w:spacing w:val="-5"/>
        </w:rPr>
        <w:t xml:space="preserve"> </w:t>
      </w:r>
      <w:r w:rsidRPr="008A0A30">
        <w:t xml:space="preserve">of </w:t>
      </w:r>
      <w:r w:rsidR="00C3685A">
        <w:t>EPCLUSA</w:t>
      </w:r>
      <w:r w:rsidRPr="008A0A30">
        <w:t xml:space="preserve"> was evaluated in three Phase 3 </w:t>
      </w:r>
      <w:r w:rsidR="008B6AAF" w:rsidRPr="008A0A30">
        <w:t>trials</w:t>
      </w:r>
      <w:r w:rsidRPr="008A0A30">
        <w:t xml:space="preserve"> in </w:t>
      </w:r>
      <w:r w:rsidR="00B11886" w:rsidRPr="008A0A30">
        <w:t>patients</w:t>
      </w:r>
      <w:r w:rsidRPr="008A0A30">
        <w:t xml:space="preserve"> with geno</w:t>
      </w:r>
      <w:r w:rsidRPr="008A0A30">
        <w:rPr>
          <w:spacing w:val="4"/>
        </w:rPr>
        <w:t>t</w:t>
      </w:r>
      <w:r w:rsidRPr="008A0A30">
        <w:rPr>
          <w:spacing w:val="-5"/>
        </w:rPr>
        <w:t>y</w:t>
      </w:r>
      <w:r w:rsidRPr="008A0A30">
        <w:rPr>
          <w:spacing w:val="2"/>
        </w:rPr>
        <w:t>p</w:t>
      </w:r>
      <w:r w:rsidRPr="008A0A30">
        <w:t xml:space="preserve">e 1 to 6 HCV infection with or without compensated cirrhosis and one Phase 3 </w:t>
      </w:r>
      <w:r w:rsidR="008B6AAF" w:rsidRPr="008A0A30">
        <w:t>trial</w:t>
      </w:r>
      <w:r w:rsidRPr="008A0A30">
        <w:t xml:space="preserve"> in </w:t>
      </w:r>
      <w:r w:rsidR="00A26D7D">
        <w:t>patients</w:t>
      </w:r>
      <w:r w:rsidR="00A26D7D" w:rsidRPr="008A0A30">
        <w:t xml:space="preserve"> </w:t>
      </w:r>
      <w:r w:rsidRPr="008A0A30">
        <w:t>with geno</w:t>
      </w:r>
      <w:r w:rsidRPr="008A0A30">
        <w:rPr>
          <w:spacing w:val="5"/>
        </w:rPr>
        <w:t>t</w:t>
      </w:r>
      <w:r w:rsidRPr="008A0A30">
        <w:t>ype 1 to 6 HCV infection with decompensated cirrhosis, as summarised in Table 7.</w:t>
      </w:r>
    </w:p>
    <w:p w:rsidR="00E70BC7" w:rsidRPr="008A0A30" w:rsidRDefault="00003AC8" w:rsidP="00003AC8">
      <w:pPr>
        <w:pStyle w:val="Caption"/>
      </w:pPr>
      <w:r>
        <w:t xml:space="preserve">Table </w:t>
      </w:r>
      <w:fldSimple w:instr=" SEQ Table \* ARABIC ">
        <w:r w:rsidR="00D60556">
          <w:rPr>
            <w:noProof/>
          </w:rPr>
          <w:t>7</w:t>
        </w:r>
      </w:fldSimple>
      <w:r>
        <w:t xml:space="preserve">. </w:t>
      </w:r>
      <w:r w:rsidR="00BC7183" w:rsidRPr="008A0A30">
        <w:t xml:space="preserve">Trials Conducted with </w:t>
      </w:r>
      <w:r w:rsidR="00C3685A">
        <w:t>EPCLUSA</w:t>
      </w:r>
      <w:r w:rsidR="00E70BC7" w:rsidRPr="008A0A30">
        <w:t xml:space="preserve"> in </w:t>
      </w:r>
      <w:r w:rsidR="00B11886" w:rsidRPr="008A0A30">
        <w:t>Patients</w:t>
      </w:r>
      <w:r w:rsidR="00E70BC7" w:rsidRPr="008A0A30">
        <w:t xml:space="preserve"> with Genotype 1,</w:t>
      </w:r>
      <w:r w:rsidR="005232DF" w:rsidRPr="008A0A30">
        <w:t xml:space="preserve"> </w:t>
      </w:r>
      <w:r w:rsidR="00E70BC7" w:rsidRPr="008A0A30">
        <w:rPr>
          <w:position w:val="-1"/>
        </w:rPr>
        <w:t>2, 3, 4, 5 or 6 HCV Infection</w:t>
      </w:r>
    </w:p>
    <w:tbl>
      <w:tblPr>
        <w:tblW w:w="9498" w:type="dxa"/>
        <w:tblLayout w:type="fixed"/>
        <w:tblCellMar>
          <w:left w:w="0" w:type="dxa"/>
          <w:right w:w="0" w:type="dxa"/>
        </w:tblCellMar>
        <w:tblLook w:val="01E0" w:firstRow="1" w:lastRow="1" w:firstColumn="1" w:lastColumn="1" w:noHBand="0" w:noVBand="0"/>
        <w:tblDescription w:val="Table 7. Trials Conducted with EPCLUSA in Patients with Genotype 1, 2, 3, 4, 5 or 6 HCV Infection"/>
      </w:tblPr>
      <w:tblGrid>
        <w:gridCol w:w="1843"/>
        <w:gridCol w:w="3776"/>
        <w:gridCol w:w="3879"/>
      </w:tblGrid>
      <w:tr w:rsidR="00E70BC7" w:rsidRPr="008A0A30" w:rsidTr="00003AC8">
        <w:trPr>
          <w:trHeight w:hRule="exact" w:val="700"/>
          <w:tblHeader/>
        </w:trPr>
        <w:tc>
          <w:tcPr>
            <w:tcW w:w="1843" w:type="dxa"/>
            <w:tcBorders>
              <w:top w:val="single" w:sz="12" w:space="0" w:color="000000"/>
              <w:left w:val="nil"/>
              <w:bottom w:val="single" w:sz="12" w:space="0" w:color="000000"/>
              <w:right w:val="single" w:sz="6" w:space="0" w:color="000000"/>
            </w:tcBorders>
          </w:tcPr>
          <w:p w:rsidR="00E70BC7" w:rsidRPr="008A0A30" w:rsidRDefault="00E70BC7" w:rsidP="009B63B7">
            <w:pPr>
              <w:spacing w:before="20" w:after="20"/>
              <w:rPr>
                <w:b/>
              </w:rPr>
            </w:pPr>
            <w:r w:rsidRPr="008A0A30">
              <w:rPr>
                <w:b/>
              </w:rPr>
              <w:t>Trial</w:t>
            </w:r>
          </w:p>
        </w:tc>
        <w:tc>
          <w:tcPr>
            <w:tcW w:w="3776" w:type="dxa"/>
            <w:tcBorders>
              <w:top w:val="single" w:sz="12" w:space="0" w:color="000000"/>
              <w:left w:val="single" w:sz="6" w:space="0" w:color="000000"/>
              <w:bottom w:val="single" w:sz="12" w:space="0" w:color="000000"/>
              <w:right w:val="single" w:sz="6" w:space="0" w:color="000000"/>
            </w:tcBorders>
          </w:tcPr>
          <w:p w:rsidR="00E70BC7" w:rsidRPr="008A0A30" w:rsidRDefault="00E70BC7" w:rsidP="009B63B7">
            <w:pPr>
              <w:spacing w:before="20" w:after="20"/>
              <w:jc w:val="center"/>
              <w:rPr>
                <w:b/>
              </w:rPr>
            </w:pPr>
            <w:r w:rsidRPr="008A0A30">
              <w:rPr>
                <w:b/>
              </w:rPr>
              <w:t>Population</w:t>
            </w:r>
          </w:p>
        </w:tc>
        <w:tc>
          <w:tcPr>
            <w:tcW w:w="3879" w:type="dxa"/>
            <w:tcBorders>
              <w:top w:val="single" w:sz="12" w:space="0" w:color="000000"/>
              <w:left w:val="single" w:sz="6" w:space="0" w:color="000000"/>
              <w:bottom w:val="single" w:sz="12" w:space="0" w:color="000000"/>
              <w:right w:val="nil"/>
            </w:tcBorders>
          </w:tcPr>
          <w:p w:rsidR="00E70BC7" w:rsidRPr="008A0A30" w:rsidRDefault="00E70BC7" w:rsidP="009B63B7">
            <w:pPr>
              <w:spacing w:before="20" w:after="20"/>
              <w:jc w:val="center"/>
              <w:rPr>
                <w:b/>
              </w:rPr>
            </w:pPr>
            <w:r w:rsidRPr="008A0A30">
              <w:rPr>
                <w:b/>
              </w:rPr>
              <w:t>Study Arms</w:t>
            </w:r>
            <w:r w:rsidRPr="008A0A30">
              <w:rPr>
                <w:b/>
              </w:rPr>
              <w:br/>
              <w:t xml:space="preserve">(Number of </w:t>
            </w:r>
            <w:r w:rsidR="00A26D7D">
              <w:rPr>
                <w:b/>
              </w:rPr>
              <w:t>Patients</w:t>
            </w:r>
            <w:r w:rsidR="00A26D7D" w:rsidRPr="008A0A30">
              <w:rPr>
                <w:b/>
              </w:rPr>
              <w:t xml:space="preserve"> </w:t>
            </w:r>
            <w:r w:rsidRPr="008A0A30">
              <w:rPr>
                <w:b/>
              </w:rPr>
              <w:t>Treated)</w:t>
            </w:r>
          </w:p>
        </w:tc>
      </w:tr>
      <w:tr w:rsidR="00E70BC7" w:rsidRPr="008A0A30" w:rsidTr="00E70BC7">
        <w:trPr>
          <w:trHeight w:hRule="exact" w:val="986"/>
        </w:trPr>
        <w:tc>
          <w:tcPr>
            <w:tcW w:w="1843" w:type="dxa"/>
            <w:tcBorders>
              <w:top w:val="single" w:sz="12" w:space="0" w:color="000000"/>
              <w:left w:val="nil"/>
              <w:bottom w:val="single" w:sz="6" w:space="0" w:color="000000"/>
              <w:right w:val="single" w:sz="6" w:space="0" w:color="000000"/>
            </w:tcBorders>
          </w:tcPr>
          <w:p w:rsidR="00E70BC7" w:rsidRPr="008A0A30" w:rsidRDefault="00E70BC7" w:rsidP="009B63B7">
            <w:pPr>
              <w:spacing w:before="20" w:after="20"/>
            </w:pPr>
            <w:r w:rsidRPr="008A0A30">
              <w:t>ASTRAL-1</w:t>
            </w:r>
          </w:p>
        </w:tc>
        <w:tc>
          <w:tcPr>
            <w:tcW w:w="3776" w:type="dxa"/>
            <w:tcBorders>
              <w:top w:val="single" w:sz="12" w:space="0" w:color="000000"/>
              <w:left w:val="single" w:sz="6" w:space="0" w:color="000000"/>
              <w:bottom w:val="single" w:sz="6" w:space="0" w:color="000000"/>
              <w:right w:val="single" w:sz="6" w:space="0" w:color="000000"/>
            </w:tcBorders>
          </w:tcPr>
          <w:p w:rsidR="00E70BC7" w:rsidRPr="008A0A30" w:rsidRDefault="00E70BC7" w:rsidP="009B63B7">
            <w:pPr>
              <w:spacing w:before="20" w:after="20"/>
              <w:jc w:val="center"/>
            </w:pPr>
            <w:r w:rsidRPr="008A0A30">
              <w:t>Genotype 1, 2, 4, 5, and 6</w:t>
            </w:r>
            <w:r w:rsidR="009B63B7">
              <w:br/>
            </w:r>
            <w:r w:rsidRPr="008A0A30">
              <w:t>TN and TE, without cirrhosis or with compensated cirrhosis</w:t>
            </w:r>
          </w:p>
        </w:tc>
        <w:tc>
          <w:tcPr>
            <w:tcW w:w="3879" w:type="dxa"/>
            <w:tcBorders>
              <w:top w:val="single" w:sz="12" w:space="0" w:color="000000"/>
              <w:left w:val="single" w:sz="6" w:space="0" w:color="000000"/>
              <w:bottom w:val="single" w:sz="6" w:space="0" w:color="000000"/>
              <w:right w:val="nil"/>
            </w:tcBorders>
          </w:tcPr>
          <w:p w:rsidR="00E70BC7" w:rsidRPr="008A0A30" w:rsidRDefault="00C3685A" w:rsidP="009B63B7">
            <w:pPr>
              <w:spacing w:before="20" w:after="20"/>
              <w:jc w:val="center"/>
            </w:pPr>
            <w:r>
              <w:t>EPCLUSA</w:t>
            </w:r>
            <w:r w:rsidR="00E70BC7" w:rsidRPr="008A0A30">
              <w:t xml:space="preserve"> 12 weeks (624) </w:t>
            </w:r>
            <w:r w:rsidR="00E70BC7" w:rsidRPr="008A0A30">
              <w:br/>
              <w:t>Placebo 12 weeks (116)</w:t>
            </w:r>
          </w:p>
        </w:tc>
      </w:tr>
      <w:tr w:rsidR="00E70BC7" w:rsidRPr="008A0A30" w:rsidTr="00E70BC7">
        <w:trPr>
          <w:trHeight w:hRule="exact" w:val="886"/>
        </w:trPr>
        <w:tc>
          <w:tcPr>
            <w:tcW w:w="1843" w:type="dxa"/>
            <w:tcBorders>
              <w:top w:val="single" w:sz="6" w:space="0" w:color="000000"/>
              <w:left w:val="nil"/>
              <w:bottom w:val="single" w:sz="6" w:space="0" w:color="000000"/>
              <w:right w:val="single" w:sz="6" w:space="0" w:color="000000"/>
            </w:tcBorders>
          </w:tcPr>
          <w:p w:rsidR="00E70BC7" w:rsidRPr="008A0A30" w:rsidRDefault="00E70BC7" w:rsidP="009B63B7">
            <w:pPr>
              <w:spacing w:before="20" w:after="20"/>
            </w:pPr>
            <w:r w:rsidRPr="008A0A30">
              <w:t>ASTRAL-2</w:t>
            </w:r>
          </w:p>
        </w:tc>
        <w:tc>
          <w:tcPr>
            <w:tcW w:w="3776" w:type="dxa"/>
            <w:tcBorders>
              <w:top w:val="single" w:sz="6" w:space="0" w:color="000000"/>
              <w:left w:val="single" w:sz="6" w:space="0" w:color="000000"/>
              <w:bottom w:val="single" w:sz="6" w:space="0" w:color="000000"/>
              <w:right w:val="single" w:sz="6" w:space="0" w:color="000000"/>
            </w:tcBorders>
          </w:tcPr>
          <w:p w:rsidR="00E70BC7" w:rsidRPr="008A0A30" w:rsidRDefault="00E70BC7" w:rsidP="009B63B7">
            <w:pPr>
              <w:spacing w:before="20" w:after="20"/>
              <w:jc w:val="center"/>
            </w:pPr>
            <w:r w:rsidRPr="008A0A30">
              <w:t xml:space="preserve">Genotype 2 </w:t>
            </w:r>
            <w:r w:rsidRPr="008A0A30">
              <w:br/>
              <w:t>TN and TE, without cirrhosis or with compensated cirrhosis</w:t>
            </w:r>
          </w:p>
        </w:tc>
        <w:tc>
          <w:tcPr>
            <w:tcW w:w="3879" w:type="dxa"/>
            <w:tcBorders>
              <w:top w:val="single" w:sz="6" w:space="0" w:color="000000"/>
              <w:left w:val="single" w:sz="6" w:space="0" w:color="000000"/>
              <w:bottom w:val="single" w:sz="6" w:space="0" w:color="000000"/>
              <w:right w:val="nil"/>
            </w:tcBorders>
          </w:tcPr>
          <w:p w:rsidR="00E70BC7" w:rsidRPr="008A0A30" w:rsidRDefault="00C3685A" w:rsidP="009B63B7">
            <w:pPr>
              <w:spacing w:before="20" w:after="20"/>
              <w:jc w:val="center"/>
            </w:pPr>
            <w:r>
              <w:t>EPCLUSA</w:t>
            </w:r>
            <w:r w:rsidR="00E70BC7" w:rsidRPr="008A0A30">
              <w:t xml:space="preserve"> 12 weeks (134) </w:t>
            </w:r>
            <w:r w:rsidR="004D126B">
              <w:br/>
            </w:r>
            <w:r w:rsidR="00E70BC7" w:rsidRPr="008A0A30">
              <w:t>SOF+RBV 12 weeks (132)</w:t>
            </w:r>
          </w:p>
        </w:tc>
      </w:tr>
      <w:tr w:rsidR="00E70BC7" w:rsidRPr="008A0A30" w:rsidTr="00E70BC7">
        <w:trPr>
          <w:trHeight w:hRule="exact" w:val="927"/>
        </w:trPr>
        <w:tc>
          <w:tcPr>
            <w:tcW w:w="1843" w:type="dxa"/>
            <w:tcBorders>
              <w:top w:val="single" w:sz="6" w:space="0" w:color="000000"/>
              <w:left w:val="nil"/>
              <w:bottom w:val="single" w:sz="6" w:space="0" w:color="000000"/>
              <w:right w:val="single" w:sz="6" w:space="0" w:color="000000"/>
            </w:tcBorders>
          </w:tcPr>
          <w:p w:rsidR="00E70BC7" w:rsidRPr="008A0A30" w:rsidRDefault="00E70BC7" w:rsidP="009B63B7">
            <w:pPr>
              <w:spacing w:before="20" w:after="20"/>
            </w:pPr>
            <w:r w:rsidRPr="008A0A30">
              <w:t>ASTRAL-3</w:t>
            </w:r>
          </w:p>
        </w:tc>
        <w:tc>
          <w:tcPr>
            <w:tcW w:w="3776" w:type="dxa"/>
            <w:tcBorders>
              <w:top w:val="single" w:sz="6" w:space="0" w:color="000000"/>
              <w:left w:val="single" w:sz="6" w:space="0" w:color="000000"/>
              <w:bottom w:val="single" w:sz="6" w:space="0" w:color="000000"/>
              <w:right w:val="single" w:sz="6" w:space="0" w:color="000000"/>
            </w:tcBorders>
          </w:tcPr>
          <w:p w:rsidR="00E70BC7" w:rsidRPr="008A0A30" w:rsidRDefault="00E70BC7" w:rsidP="009B63B7">
            <w:pPr>
              <w:spacing w:before="20" w:after="20"/>
              <w:jc w:val="center"/>
            </w:pPr>
            <w:r w:rsidRPr="008A0A30">
              <w:t>Genotype 3</w:t>
            </w:r>
            <w:r w:rsidR="009B63B7">
              <w:br/>
            </w:r>
            <w:r w:rsidRPr="008A0A30">
              <w:t>TN and TE, without cirrhosis or with compensated cirrhosis</w:t>
            </w:r>
          </w:p>
        </w:tc>
        <w:tc>
          <w:tcPr>
            <w:tcW w:w="3879" w:type="dxa"/>
            <w:tcBorders>
              <w:top w:val="single" w:sz="6" w:space="0" w:color="000000"/>
              <w:left w:val="single" w:sz="6" w:space="0" w:color="000000"/>
              <w:bottom w:val="single" w:sz="6" w:space="0" w:color="000000"/>
              <w:right w:val="nil"/>
            </w:tcBorders>
          </w:tcPr>
          <w:p w:rsidR="00E70BC7" w:rsidRPr="008A0A30" w:rsidRDefault="00C3685A" w:rsidP="009B63B7">
            <w:pPr>
              <w:spacing w:before="20" w:after="20"/>
              <w:jc w:val="center"/>
            </w:pPr>
            <w:r>
              <w:t>EPCLUSA</w:t>
            </w:r>
            <w:r w:rsidR="00E70BC7" w:rsidRPr="008A0A30">
              <w:t xml:space="preserve"> 12 weeks (277) </w:t>
            </w:r>
            <w:r w:rsidR="004D126B">
              <w:br/>
            </w:r>
            <w:r w:rsidR="00E70BC7" w:rsidRPr="008A0A30">
              <w:t>SOF+RBV 24 weeks (275)</w:t>
            </w:r>
          </w:p>
        </w:tc>
      </w:tr>
      <w:tr w:rsidR="00E70BC7" w:rsidRPr="008A0A30" w:rsidTr="009B63B7">
        <w:trPr>
          <w:trHeight w:hRule="exact" w:val="818"/>
        </w:trPr>
        <w:tc>
          <w:tcPr>
            <w:tcW w:w="1843" w:type="dxa"/>
            <w:tcBorders>
              <w:top w:val="single" w:sz="6" w:space="0" w:color="000000"/>
              <w:left w:val="nil"/>
              <w:bottom w:val="single" w:sz="12" w:space="0" w:color="000000"/>
              <w:right w:val="single" w:sz="6" w:space="0" w:color="000000"/>
            </w:tcBorders>
          </w:tcPr>
          <w:p w:rsidR="00E70BC7" w:rsidRPr="008A0A30" w:rsidRDefault="00E70BC7" w:rsidP="009B63B7">
            <w:pPr>
              <w:spacing w:before="20" w:after="20"/>
            </w:pPr>
            <w:r w:rsidRPr="008A0A30">
              <w:t>ASTRAL-4</w:t>
            </w:r>
          </w:p>
        </w:tc>
        <w:tc>
          <w:tcPr>
            <w:tcW w:w="3776" w:type="dxa"/>
            <w:tcBorders>
              <w:top w:val="single" w:sz="6" w:space="0" w:color="000000"/>
              <w:left w:val="single" w:sz="6" w:space="0" w:color="000000"/>
              <w:bottom w:val="single" w:sz="12" w:space="0" w:color="000000"/>
              <w:right w:val="single" w:sz="6" w:space="0" w:color="000000"/>
            </w:tcBorders>
          </w:tcPr>
          <w:p w:rsidR="00E70BC7" w:rsidRPr="008A0A30" w:rsidRDefault="00E70BC7" w:rsidP="009B63B7">
            <w:pPr>
              <w:spacing w:before="20" w:after="20"/>
              <w:jc w:val="center"/>
            </w:pPr>
            <w:r w:rsidRPr="008A0A30">
              <w:t>Genotype 1, 2, 3,4, 5, and 6</w:t>
            </w:r>
            <w:r w:rsidR="009B63B7">
              <w:t xml:space="preserve"> </w:t>
            </w:r>
            <w:r w:rsidR="009B63B7">
              <w:br/>
            </w:r>
            <w:r w:rsidRPr="008A0A30">
              <w:t>TN and TE, with CPT class B decompensated cirrhosis</w:t>
            </w:r>
          </w:p>
        </w:tc>
        <w:tc>
          <w:tcPr>
            <w:tcW w:w="3879" w:type="dxa"/>
            <w:tcBorders>
              <w:top w:val="single" w:sz="6" w:space="0" w:color="000000"/>
              <w:left w:val="single" w:sz="6" w:space="0" w:color="000000"/>
              <w:bottom w:val="single" w:sz="12" w:space="0" w:color="000000"/>
              <w:right w:val="nil"/>
            </w:tcBorders>
          </w:tcPr>
          <w:p w:rsidR="00E70BC7" w:rsidRPr="008A0A30" w:rsidRDefault="00C3685A" w:rsidP="009B63B7">
            <w:pPr>
              <w:spacing w:before="20" w:after="20"/>
              <w:jc w:val="center"/>
            </w:pPr>
            <w:r>
              <w:t>EPCLUSA</w:t>
            </w:r>
            <w:r w:rsidR="00E70BC7" w:rsidRPr="008A0A30">
              <w:t xml:space="preserve"> 12 weeks (90)</w:t>
            </w:r>
            <w:r w:rsidR="009B63B7">
              <w:br/>
            </w:r>
            <w:r>
              <w:t>EPCLUSA</w:t>
            </w:r>
            <w:r w:rsidR="00E70BC7" w:rsidRPr="008A0A30">
              <w:t>+RBV 12 weeks (87)</w:t>
            </w:r>
            <w:r w:rsidR="009B63B7">
              <w:t xml:space="preserve"> </w:t>
            </w:r>
            <w:r w:rsidR="009B63B7">
              <w:br/>
            </w:r>
            <w:r>
              <w:t>EPCLUSA</w:t>
            </w:r>
            <w:r w:rsidR="00E70BC7" w:rsidRPr="008A0A30">
              <w:t xml:space="preserve"> 24 weeks (90)</w:t>
            </w:r>
          </w:p>
        </w:tc>
      </w:tr>
    </w:tbl>
    <w:p w:rsidR="00FC3767" w:rsidRDefault="00E70BC7" w:rsidP="005232DF">
      <w:pPr>
        <w:spacing w:before="0" w:after="0"/>
        <w:rPr>
          <w:sz w:val="18"/>
        </w:rPr>
      </w:pPr>
      <w:r w:rsidRPr="008A0A30">
        <w:rPr>
          <w:sz w:val="18"/>
        </w:rPr>
        <w:t xml:space="preserve">TN: treatment-naïve </w:t>
      </w:r>
      <w:r w:rsidR="00A26D7D">
        <w:rPr>
          <w:sz w:val="18"/>
        </w:rPr>
        <w:t>patients</w:t>
      </w:r>
      <w:r w:rsidRPr="008A0A30">
        <w:rPr>
          <w:sz w:val="18"/>
        </w:rPr>
        <w:t>;</w:t>
      </w:r>
    </w:p>
    <w:p w:rsidR="00FC3767" w:rsidRDefault="00E70BC7" w:rsidP="005232DF">
      <w:pPr>
        <w:spacing w:before="0" w:after="0"/>
        <w:rPr>
          <w:sz w:val="18"/>
        </w:rPr>
      </w:pPr>
      <w:r w:rsidRPr="008A0A30">
        <w:rPr>
          <w:sz w:val="18"/>
        </w:rPr>
        <w:t xml:space="preserve">TE: </w:t>
      </w:r>
      <w:r w:rsidR="00E40B33">
        <w:rPr>
          <w:sz w:val="18"/>
        </w:rPr>
        <w:t>t</w:t>
      </w:r>
      <w:r w:rsidRPr="008A0A30">
        <w:rPr>
          <w:sz w:val="18"/>
        </w:rPr>
        <w:t xml:space="preserve">reatment-experienced </w:t>
      </w:r>
      <w:r w:rsidR="00A26D7D">
        <w:rPr>
          <w:sz w:val="18"/>
        </w:rPr>
        <w:t>patients</w:t>
      </w:r>
      <w:r w:rsidR="00A26D7D" w:rsidRPr="008A0A30">
        <w:rPr>
          <w:sz w:val="18"/>
        </w:rPr>
        <w:t xml:space="preserve"> </w:t>
      </w:r>
      <w:r w:rsidRPr="008A0A30">
        <w:rPr>
          <w:sz w:val="18"/>
        </w:rPr>
        <w:t>(including those who have failed a peginterferon alfa +</w:t>
      </w:r>
      <w:r w:rsidR="005232DF" w:rsidRPr="008A0A30">
        <w:rPr>
          <w:sz w:val="18"/>
        </w:rPr>
        <w:t xml:space="preserve"> </w:t>
      </w:r>
      <w:r w:rsidRPr="008A0A30">
        <w:rPr>
          <w:sz w:val="18"/>
        </w:rPr>
        <w:t>ribavirin based regimen with or without an HCV protease inhibitor);</w:t>
      </w:r>
    </w:p>
    <w:p w:rsidR="00FC3767" w:rsidRDefault="00E70BC7" w:rsidP="005232DF">
      <w:pPr>
        <w:spacing w:before="0" w:after="0"/>
        <w:rPr>
          <w:sz w:val="18"/>
        </w:rPr>
      </w:pPr>
      <w:r w:rsidRPr="008A0A30">
        <w:rPr>
          <w:sz w:val="18"/>
        </w:rPr>
        <w:t>SOF=sofosbuvir,</w:t>
      </w:r>
    </w:p>
    <w:p w:rsidR="00FC3767" w:rsidRDefault="00E70BC7" w:rsidP="005232DF">
      <w:pPr>
        <w:spacing w:before="0" w:after="0"/>
        <w:rPr>
          <w:sz w:val="18"/>
        </w:rPr>
      </w:pPr>
      <w:r w:rsidRPr="008A0A30">
        <w:rPr>
          <w:sz w:val="18"/>
        </w:rPr>
        <w:t>RBV=ribavirin,</w:t>
      </w:r>
    </w:p>
    <w:p w:rsidR="00E70BC7" w:rsidRPr="008A0A30" w:rsidRDefault="00E70BC7" w:rsidP="009B63B7">
      <w:pPr>
        <w:spacing w:before="0" w:after="0"/>
        <w:rPr>
          <w:sz w:val="18"/>
        </w:rPr>
      </w:pPr>
      <w:r w:rsidRPr="008A0A30">
        <w:rPr>
          <w:sz w:val="18"/>
        </w:rPr>
        <w:t xml:space="preserve">CPT=Child Pugh </w:t>
      </w:r>
      <w:r w:rsidRPr="008A0A30">
        <w:rPr>
          <w:spacing w:val="-2"/>
          <w:sz w:val="18"/>
        </w:rPr>
        <w:t>T</w:t>
      </w:r>
      <w:r w:rsidRPr="008A0A30">
        <w:rPr>
          <w:sz w:val="18"/>
        </w:rPr>
        <w:t>urcotte</w:t>
      </w:r>
    </w:p>
    <w:p w:rsidR="00FC3767" w:rsidRDefault="00E70BC7" w:rsidP="00BB341F">
      <w:r w:rsidRPr="008A0A30">
        <w:t xml:space="preserve">The </w:t>
      </w:r>
      <w:r w:rsidR="00C9694E" w:rsidRPr="008A0A30">
        <w:t>ribavirin</w:t>
      </w:r>
      <w:r w:rsidRPr="008A0A30">
        <w:t xml:space="preserve"> dose was weight</w:t>
      </w:r>
      <w:r w:rsidRPr="008A0A30">
        <w:rPr>
          <w:spacing w:val="-1"/>
        </w:rPr>
        <w:t>-</w:t>
      </w:r>
      <w:r w:rsidR="00B11886" w:rsidRPr="008A0A30">
        <w:t>based (1</w:t>
      </w:r>
      <w:r w:rsidRPr="008A0A30">
        <w:t>000 mg dai</w:t>
      </w:r>
      <w:r w:rsidRPr="008A0A30">
        <w:rPr>
          <w:spacing w:val="5"/>
        </w:rPr>
        <w:t>l</w:t>
      </w:r>
      <w:r w:rsidRPr="008A0A30">
        <w:t>y administered in two divided doses for patients &lt;</w:t>
      </w:r>
      <w:r w:rsidR="00BC7183" w:rsidRPr="008A0A30">
        <w:t xml:space="preserve"> </w:t>
      </w:r>
      <w:r w:rsidRPr="008A0A30">
        <w:t>75 kg and 1200 mg for those</w:t>
      </w:r>
      <w:r w:rsidRPr="008A0A30">
        <w:rPr>
          <w:spacing w:val="-1"/>
        </w:rPr>
        <w:t xml:space="preserve"> </w:t>
      </w:r>
      <w:r w:rsidRPr="008A0A30">
        <w:t>≥</w:t>
      </w:r>
      <w:r w:rsidR="00BC7183" w:rsidRPr="008A0A30">
        <w:t xml:space="preserve"> </w:t>
      </w:r>
      <w:r w:rsidRPr="008A0A30">
        <w:t>75 kg) and administered in two divided doses when used in combination with sofosbuvir in the ASTRA</w:t>
      </w:r>
      <w:r w:rsidRPr="008A0A30">
        <w:rPr>
          <w:spacing w:val="-2"/>
        </w:rPr>
        <w:t>L</w:t>
      </w:r>
      <w:r w:rsidRPr="008A0A30">
        <w:rPr>
          <w:spacing w:val="-1"/>
        </w:rPr>
        <w:t>-</w:t>
      </w:r>
      <w:r w:rsidRPr="008A0A30">
        <w:t xml:space="preserve">2 and </w:t>
      </w:r>
      <w:r w:rsidRPr="008A0A30">
        <w:rPr>
          <w:spacing w:val="1"/>
        </w:rPr>
        <w:t>ASTRA</w:t>
      </w:r>
      <w:r w:rsidRPr="008A0A30">
        <w:rPr>
          <w:spacing w:val="-2"/>
        </w:rPr>
        <w:t>L</w:t>
      </w:r>
      <w:r w:rsidRPr="008A0A30">
        <w:rPr>
          <w:spacing w:val="-1"/>
        </w:rPr>
        <w:t>-</w:t>
      </w:r>
      <w:r w:rsidRPr="008A0A30">
        <w:t>3</w:t>
      </w:r>
      <w:r w:rsidR="00BC7183" w:rsidRPr="008A0A30">
        <w:t xml:space="preserve"> </w:t>
      </w:r>
      <w:r w:rsidR="00E6583F" w:rsidRPr="008A0A30">
        <w:t>trials</w:t>
      </w:r>
      <w:r w:rsidR="00BC7183" w:rsidRPr="008A0A30">
        <w:t xml:space="preserve"> or in combination with </w:t>
      </w:r>
      <w:r w:rsidR="00C3685A">
        <w:t>EPCLUSA</w:t>
      </w:r>
      <w:r w:rsidRPr="008A0A30">
        <w:t xml:space="preserve"> in the ASTRA</w:t>
      </w:r>
      <w:r w:rsidRPr="008A0A30">
        <w:rPr>
          <w:spacing w:val="-5"/>
        </w:rPr>
        <w:t>L</w:t>
      </w:r>
      <w:r w:rsidRPr="008A0A30">
        <w:rPr>
          <w:spacing w:val="-1"/>
        </w:rPr>
        <w:t>-</w:t>
      </w:r>
      <w:r w:rsidRPr="008A0A30">
        <w:t xml:space="preserve">4 </w:t>
      </w:r>
      <w:r w:rsidR="00E6583F" w:rsidRPr="008A0A30">
        <w:t>trial</w:t>
      </w:r>
      <w:r w:rsidRPr="008A0A30">
        <w:t xml:space="preserve">. RBV dose adjustments were performed according to the RBV </w:t>
      </w:r>
      <w:r w:rsidR="00046447" w:rsidRPr="008A0A30">
        <w:t>product</w:t>
      </w:r>
      <w:r w:rsidRPr="008A0A30">
        <w:t xml:space="preserve"> information. Serum HCV RNA values were measured during the clinical trials using the COBAS AmpliPrep/COBAS Taqman HCV test (version 2.0) with a lower limit</w:t>
      </w:r>
      <w:r w:rsidR="005232DF" w:rsidRPr="008A0A30">
        <w:t xml:space="preserve"> </w:t>
      </w:r>
      <w:r w:rsidRPr="008A0A30">
        <w:t>of quantification (LLOQ) of 15 IU per m</w:t>
      </w:r>
      <w:r w:rsidRPr="008A0A30">
        <w:rPr>
          <w:spacing w:val="-5"/>
        </w:rPr>
        <w:t>L</w:t>
      </w:r>
      <w:r w:rsidRPr="008A0A30">
        <w:t>. Sustained virologic response (SVR12), defined as HCV RNA less than LLOQ at 12 weeks after the cessation of treatment, was the primary endpoint to determine the HCV cure r</w:t>
      </w:r>
      <w:r w:rsidRPr="008A0A30">
        <w:rPr>
          <w:spacing w:val="-1"/>
        </w:rPr>
        <w:t>a</w:t>
      </w:r>
      <w:r w:rsidRPr="008A0A30">
        <w:t>te.</w:t>
      </w:r>
    </w:p>
    <w:p w:rsidR="00C9694E" w:rsidRPr="008A0A30" w:rsidRDefault="00C9694E" w:rsidP="00BB341F">
      <w:pPr>
        <w:pStyle w:val="Heading3"/>
      </w:pPr>
      <w:bookmarkStart w:id="1" w:name="_Toc434324402"/>
      <w:r w:rsidRPr="008A0A30">
        <w:t xml:space="preserve">Clinical </w:t>
      </w:r>
      <w:r w:rsidR="007566A6">
        <w:t>Studies</w:t>
      </w:r>
      <w:r w:rsidRPr="008A0A30">
        <w:t xml:space="preserve"> in </w:t>
      </w:r>
      <w:r w:rsidR="007566A6">
        <w:t>Patients</w:t>
      </w:r>
      <w:r w:rsidRPr="008A0A30">
        <w:t xml:space="preserve"> without Cirrhosis and </w:t>
      </w:r>
      <w:r w:rsidR="007566A6">
        <w:t>Patients</w:t>
      </w:r>
      <w:r w:rsidRPr="008A0A30">
        <w:t xml:space="preserve"> with Compensated Cirrhosis</w:t>
      </w:r>
      <w:bookmarkEnd w:id="1"/>
    </w:p>
    <w:p w:rsidR="00FC3767" w:rsidRDefault="00C9694E" w:rsidP="00AC3AB4">
      <w:pPr>
        <w:pStyle w:val="Heading4"/>
      </w:pPr>
      <w:r w:rsidRPr="008A0A30">
        <w:t>Genotype 1, 2, 4, 5, and 6 HCV Infected Adults (ASTRAL-1)</w:t>
      </w:r>
    </w:p>
    <w:p w:rsidR="00FC3767" w:rsidRDefault="00D37C11" w:rsidP="00AC3AB4">
      <w:bookmarkStart w:id="2" w:name="_Ref353536082"/>
      <w:r w:rsidRPr="008A0A30">
        <w:t>ASTRAL-1 was a randomis</w:t>
      </w:r>
      <w:r w:rsidR="00C9694E" w:rsidRPr="008A0A30">
        <w:t xml:space="preserve">ed, double-blind, placebo-controlled </w:t>
      </w:r>
      <w:r w:rsidR="008B6AAF" w:rsidRPr="008A0A30">
        <w:t>trial</w:t>
      </w:r>
      <w:r w:rsidR="00C9694E" w:rsidRPr="008A0A30">
        <w:t xml:space="preserve"> that evalua</w:t>
      </w:r>
      <w:r w:rsidRPr="008A0A30">
        <w:t xml:space="preserve">ted 12 weeks of treatment with </w:t>
      </w:r>
      <w:r w:rsidR="00C3685A">
        <w:t>EPCLUSA</w:t>
      </w:r>
      <w:r w:rsidR="00C9694E" w:rsidRPr="008A0A30">
        <w:t xml:space="preserve"> compared with 12 weeks of placebo in </w:t>
      </w:r>
      <w:r w:rsidR="00A26D7D">
        <w:t>patients</w:t>
      </w:r>
      <w:r w:rsidR="00A26D7D" w:rsidRPr="008A0A30">
        <w:t xml:space="preserve"> </w:t>
      </w:r>
      <w:r w:rsidR="00C9694E" w:rsidRPr="008A0A30">
        <w:t>with genotype 1, 2, 4, 5, or 6 HCV infection.</w:t>
      </w:r>
      <w:r w:rsidR="00FC3767">
        <w:t xml:space="preserve"> </w:t>
      </w:r>
      <w:r w:rsidRPr="008A0A30">
        <w:t>Patients</w:t>
      </w:r>
      <w:r w:rsidR="00C9694E" w:rsidRPr="008A0A30">
        <w:t xml:space="preserve"> with genotype 1, 2, 4</w:t>
      </w:r>
      <w:r w:rsidR="00E40B33">
        <w:t>,</w:t>
      </w:r>
      <w:r w:rsidR="00C9694E" w:rsidRPr="008A0A30">
        <w:t xml:space="preserve"> or 6 HCV inf</w:t>
      </w:r>
      <w:r w:rsidRPr="008A0A30">
        <w:t>ection were randomis</w:t>
      </w:r>
      <w:r w:rsidR="00C9694E" w:rsidRPr="008A0A30">
        <w:t>ed in</w:t>
      </w:r>
      <w:r w:rsidRPr="008A0A30">
        <w:t xml:space="preserve"> a 5:1 ratio to treatment with </w:t>
      </w:r>
      <w:r w:rsidR="00C3685A">
        <w:t>EPCLUSA</w:t>
      </w:r>
      <w:r w:rsidR="00C9694E" w:rsidRPr="008A0A30">
        <w:t xml:space="preserve"> for 12 weeks or placebo for 12 weeks. </w:t>
      </w:r>
      <w:r w:rsidRPr="008A0A30">
        <w:t>Patients</w:t>
      </w:r>
      <w:r w:rsidR="00C9694E" w:rsidRPr="008A0A30">
        <w:t xml:space="preserve"> with genotype 5 HCV </w:t>
      </w:r>
      <w:r w:rsidRPr="008A0A30">
        <w:t xml:space="preserve">infection were enrolled to the </w:t>
      </w:r>
      <w:r w:rsidR="00C3685A">
        <w:t>EPCLUSA</w:t>
      </w:r>
      <w:r w:rsidRPr="008A0A30">
        <w:t xml:space="preserve"> group. Randomis</w:t>
      </w:r>
      <w:r w:rsidR="00C9694E" w:rsidRPr="008A0A30">
        <w:t>ation was stratified by HCV genotype (1, 2, 4, 6, and indeterminate) and the presence or absence of cirrhosis.</w:t>
      </w:r>
    </w:p>
    <w:p w:rsidR="00C9694E" w:rsidRPr="008A0A30" w:rsidRDefault="00C9694E" w:rsidP="00C9694E">
      <w:pPr>
        <w:pStyle w:val="Text10"/>
      </w:pPr>
      <w:r w:rsidRPr="008A0A30">
        <w:lastRenderedPageBreak/>
        <w:t>Demographics and baseline characteris</w:t>
      </w:r>
      <w:r w:rsidR="00D37C11" w:rsidRPr="008A0A30">
        <w:t xml:space="preserve">tics were balanced between the </w:t>
      </w:r>
      <w:r w:rsidR="00C3685A">
        <w:t>EPCLUSA</w:t>
      </w:r>
      <w:r w:rsidRPr="008A0A30">
        <w:t xml:space="preserve"> and placebo group. Of the 740 treated </w:t>
      </w:r>
      <w:r w:rsidR="00D37C11" w:rsidRPr="008A0A30">
        <w:t>patients</w:t>
      </w:r>
      <w:r w:rsidRPr="008A0A30">
        <w:t xml:space="preserve">, the median age was 56 years (range: 18 to 82); 60% of the </w:t>
      </w:r>
      <w:r w:rsidR="00D37C11" w:rsidRPr="008A0A30">
        <w:t>patients</w:t>
      </w:r>
      <w:r w:rsidRPr="008A0A30">
        <w:t xml:space="preserve"> were male; 79% were White, 9% were Black; 21% had a baseline body mass index at least 30 kg/m</w:t>
      </w:r>
      <w:r w:rsidRPr="008A0A30">
        <w:rPr>
          <w:vertAlign w:val="superscript"/>
        </w:rPr>
        <w:t>2</w:t>
      </w:r>
      <w:r w:rsidRPr="008A0A30">
        <w:t xml:space="preserve">; the proportions of </w:t>
      </w:r>
      <w:r w:rsidR="00A26D7D">
        <w:t>patients</w:t>
      </w:r>
      <w:r w:rsidR="00A26D7D" w:rsidRPr="008A0A30">
        <w:t xml:space="preserve"> </w:t>
      </w:r>
      <w:r w:rsidRPr="008A0A30">
        <w:t>with genotype 1, 2, 4, 5, or 6 HCV infection were 53%, 17%, 19%, 5%</w:t>
      </w:r>
      <w:r w:rsidR="00EC666B">
        <w:t>,</w:t>
      </w:r>
      <w:r w:rsidRPr="008A0A30">
        <w:t xml:space="preserve"> and 7%, respectively; 69% had non-CC IL28B alleles (CT or TT); 74% had baseline HCV RNA levels at least 800,000 IU/mL;</w:t>
      </w:r>
      <w:r w:rsidR="00EC666B">
        <w:t xml:space="preserve"> </w:t>
      </w:r>
      <w:r w:rsidRPr="008A0A30">
        <w:t>19% had compensated cirrhosis; and 32% were treatment-experienced.</w:t>
      </w:r>
    </w:p>
    <w:p w:rsidR="00C9694E" w:rsidRPr="008A0A30" w:rsidRDefault="00C9694E" w:rsidP="00C9694E">
      <w:pPr>
        <w:pStyle w:val="Text10"/>
        <w:rPr>
          <w:vertAlign w:val="superscript"/>
        </w:rPr>
      </w:pPr>
      <w:r w:rsidRPr="008A0A30">
        <w:fldChar w:fldCharType="begin"/>
      </w:r>
      <w:r w:rsidRPr="008A0A30">
        <w:instrText xml:space="preserve"> REF _Ref434241969 \h </w:instrText>
      </w:r>
      <w:r w:rsidR="00D541A1" w:rsidRPr="008A0A30">
        <w:instrText xml:space="preserve"> \* MERGEFORMAT </w:instrText>
      </w:r>
      <w:r w:rsidRPr="008A0A30">
        <w:fldChar w:fldCharType="separate"/>
      </w:r>
      <w:r w:rsidR="00260ACB" w:rsidRPr="008A0A30">
        <w:t>Table </w:t>
      </w:r>
      <w:r w:rsidRPr="008A0A30">
        <w:fldChar w:fldCharType="end"/>
      </w:r>
      <w:r w:rsidR="0038332D">
        <w:t xml:space="preserve"> </w:t>
      </w:r>
      <w:r w:rsidR="00E6583F" w:rsidRPr="008A0A30">
        <w:t xml:space="preserve">8 </w:t>
      </w:r>
      <w:r w:rsidRPr="008A0A30">
        <w:t xml:space="preserve">presents the SVR12 </w:t>
      </w:r>
      <w:r w:rsidR="009A4735">
        <w:t>and othe</w:t>
      </w:r>
      <w:r w:rsidR="007A5254">
        <w:t xml:space="preserve">r virologic outcomes in EPCLUSA </w:t>
      </w:r>
      <w:r w:rsidR="009A4735">
        <w:t xml:space="preserve">treated patients in </w:t>
      </w:r>
      <w:r w:rsidRPr="008A0A30">
        <w:t xml:space="preserve">the ASTRAL-1 </w:t>
      </w:r>
      <w:r w:rsidR="008B6AAF" w:rsidRPr="008A0A30">
        <w:t>t</w:t>
      </w:r>
      <w:r w:rsidR="00B533D7">
        <w:t>rial</w:t>
      </w:r>
      <w:r w:rsidRPr="008A0A30">
        <w:t xml:space="preserve"> by HCV genotype. No </w:t>
      </w:r>
      <w:r w:rsidR="004A21F3" w:rsidRPr="008A0A30">
        <w:t>patients</w:t>
      </w:r>
      <w:r w:rsidRPr="008A0A30">
        <w:t xml:space="preserve"> in the placebo group achieved SVR12.</w:t>
      </w:r>
    </w:p>
    <w:p w:rsidR="00C9694E" w:rsidRPr="008A0A30" w:rsidRDefault="00003AC8" w:rsidP="00003AC8">
      <w:pPr>
        <w:pStyle w:val="Caption"/>
      </w:pPr>
      <w:bookmarkStart w:id="3" w:name="_Ref434241969"/>
      <w:bookmarkStart w:id="4" w:name="_Toc426372112"/>
      <w:bookmarkStart w:id="5" w:name="_Toc434324431"/>
      <w:bookmarkEnd w:id="2"/>
      <w:r>
        <w:t xml:space="preserve">Table </w:t>
      </w:r>
      <w:fldSimple w:instr=" SEQ Table \* ARABIC ">
        <w:r w:rsidR="00D60556">
          <w:rPr>
            <w:noProof/>
          </w:rPr>
          <w:t>8</w:t>
        </w:r>
      </w:fldSimple>
      <w:bookmarkEnd w:id="3"/>
      <w:r>
        <w:t xml:space="preserve">. </w:t>
      </w:r>
      <w:r w:rsidR="009A4735" w:rsidRPr="009A4735">
        <w:t>Study ASTRAL-1:</w:t>
      </w:r>
      <w:r w:rsidR="009A4735">
        <w:t xml:space="preserve"> </w:t>
      </w:r>
      <w:r w:rsidR="00C9694E" w:rsidRPr="008A0A30">
        <w:t>SVR12</w:t>
      </w:r>
      <w:r w:rsidR="009A4735">
        <w:t xml:space="preserve"> and Virologic Outcomes</w:t>
      </w:r>
      <w:r w:rsidR="00C9694E" w:rsidRPr="008A0A30">
        <w:t xml:space="preserve"> </w:t>
      </w:r>
      <w:bookmarkEnd w:id="4"/>
      <w:r w:rsidR="00C9694E" w:rsidRPr="008A0A30">
        <w:t>by HCV Genotype</w:t>
      </w:r>
      <w:bookmarkEnd w:id="5"/>
    </w:p>
    <w:tbl>
      <w:tblPr>
        <w:tblW w:w="5092" w:type="pct"/>
        <w:tblCellMar>
          <w:left w:w="60" w:type="dxa"/>
          <w:right w:w="60" w:type="dxa"/>
        </w:tblCellMar>
        <w:tblLook w:val="0000" w:firstRow="0" w:lastRow="0" w:firstColumn="0" w:lastColumn="0" w:noHBand="0" w:noVBand="0"/>
        <w:tblDescription w:val="Table 8. Study ASTRAL-1: SVR12 and Virologic Outcomes by HCV Genotype"/>
      </w:tblPr>
      <w:tblGrid>
        <w:gridCol w:w="1377"/>
        <w:gridCol w:w="1035"/>
        <w:gridCol w:w="1035"/>
        <w:gridCol w:w="1035"/>
        <w:gridCol w:w="1035"/>
        <w:gridCol w:w="1035"/>
        <w:gridCol w:w="1035"/>
        <w:gridCol w:w="953"/>
        <w:gridCol w:w="820"/>
      </w:tblGrid>
      <w:tr w:rsidR="00C9694E" w:rsidRPr="008A0A30" w:rsidTr="00003AC8">
        <w:trPr>
          <w:cantSplit/>
          <w:trHeight w:val="20"/>
          <w:tblHeader/>
        </w:trPr>
        <w:tc>
          <w:tcPr>
            <w:tcW w:w="735" w:type="pct"/>
            <w:vMerge w:val="restart"/>
            <w:tcBorders>
              <w:top w:val="single" w:sz="12"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p>
        </w:tc>
        <w:tc>
          <w:tcPr>
            <w:tcW w:w="4265" w:type="pct"/>
            <w:gridSpan w:val="8"/>
            <w:tcBorders>
              <w:top w:val="single" w:sz="12" w:space="0" w:color="auto"/>
              <w:bottom w:val="single" w:sz="4" w:space="0" w:color="auto"/>
            </w:tcBorders>
            <w:vAlign w:val="bottom"/>
          </w:tcPr>
          <w:p w:rsidR="00C9694E" w:rsidRPr="008A0A30" w:rsidRDefault="00C3685A" w:rsidP="00C269F9">
            <w:pPr>
              <w:pStyle w:val="TableHeaderCenter"/>
              <w:spacing w:before="40" w:after="40"/>
              <w:rPr>
                <w:rFonts w:ascii="Times New Roman" w:hAnsi="Times New Roman"/>
                <w:sz w:val="18"/>
                <w:szCs w:val="18"/>
              </w:rPr>
            </w:pPr>
            <w:r>
              <w:rPr>
                <w:rFonts w:ascii="Times New Roman" w:hAnsi="Times New Roman"/>
                <w:sz w:val="18"/>
                <w:szCs w:val="18"/>
              </w:rPr>
              <w:t>EPCLUSA</w:t>
            </w:r>
            <w:r w:rsidR="00C9694E" w:rsidRPr="008A0A30">
              <w:rPr>
                <w:rFonts w:ascii="Times New Roman" w:hAnsi="Times New Roman"/>
                <w:sz w:val="18"/>
                <w:szCs w:val="18"/>
              </w:rPr>
              <w:t xml:space="preserve"> 12 </w:t>
            </w:r>
            <w:r w:rsidR="00D37C11" w:rsidRPr="008A0A30">
              <w:rPr>
                <w:rFonts w:ascii="Times New Roman" w:hAnsi="Times New Roman"/>
                <w:sz w:val="18"/>
                <w:szCs w:val="18"/>
              </w:rPr>
              <w:t>Weeks</w:t>
            </w:r>
            <w:r w:rsidR="00C9694E" w:rsidRPr="008A0A30">
              <w:rPr>
                <w:rFonts w:ascii="Times New Roman" w:hAnsi="Times New Roman"/>
                <w:sz w:val="18"/>
                <w:szCs w:val="18"/>
              </w:rPr>
              <w:br/>
              <w:t>(N=624)</w:t>
            </w:r>
          </w:p>
        </w:tc>
      </w:tr>
      <w:tr w:rsidR="00C9694E" w:rsidRPr="008A0A30" w:rsidTr="00003AC8">
        <w:trPr>
          <w:cantSplit/>
          <w:trHeight w:val="20"/>
          <w:tblHeader/>
        </w:trPr>
        <w:tc>
          <w:tcPr>
            <w:tcW w:w="735" w:type="pct"/>
            <w:vMerge/>
            <w:tcBorders>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p>
        </w:tc>
        <w:tc>
          <w:tcPr>
            <w:tcW w:w="553" w:type="pct"/>
            <w:vMerge w:val="restart"/>
            <w:tcBorders>
              <w:top w:val="single" w:sz="4"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Total</w:t>
            </w:r>
            <w:r w:rsidRPr="008A0A30">
              <w:rPr>
                <w:rFonts w:ascii="Times New Roman" w:hAnsi="Times New Roman"/>
                <w:sz w:val="18"/>
                <w:szCs w:val="18"/>
              </w:rPr>
              <w:br/>
              <w:t>(all GTs) (N=624)</w:t>
            </w:r>
          </w:p>
        </w:tc>
        <w:tc>
          <w:tcPr>
            <w:tcW w:w="1659" w:type="pct"/>
            <w:gridSpan w:val="3"/>
            <w:tcBorders>
              <w:top w:val="single" w:sz="4" w:space="0" w:color="auto"/>
              <w:bottom w:val="single" w:sz="4"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GT-1</w:t>
            </w:r>
          </w:p>
        </w:tc>
        <w:tc>
          <w:tcPr>
            <w:tcW w:w="553" w:type="pct"/>
            <w:vMerge w:val="restart"/>
            <w:tcBorders>
              <w:top w:val="single" w:sz="4" w:space="0" w:color="auto"/>
              <w:left w:val="single" w:sz="4"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GT-2 (N=104)</w:t>
            </w:r>
          </w:p>
        </w:tc>
        <w:tc>
          <w:tcPr>
            <w:tcW w:w="553" w:type="pct"/>
            <w:vMerge w:val="restart"/>
            <w:tcBorders>
              <w:top w:val="single" w:sz="4" w:space="0" w:color="auto"/>
              <w:left w:val="single" w:sz="4"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GT-4 (N=116)</w:t>
            </w:r>
          </w:p>
        </w:tc>
        <w:tc>
          <w:tcPr>
            <w:tcW w:w="509" w:type="pct"/>
            <w:vMerge w:val="restart"/>
            <w:tcBorders>
              <w:top w:val="single" w:sz="4" w:space="0" w:color="auto"/>
              <w:left w:val="single" w:sz="4"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GT-5 (N=35)</w:t>
            </w:r>
          </w:p>
        </w:tc>
        <w:tc>
          <w:tcPr>
            <w:tcW w:w="438" w:type="pct"/>
            <w:vMerge w:val="restart"/>
            <w:tcBorders>
              <w:top w:val="single" w:sz="4" w:space="0" w:color="auto"/>
              <w:lef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GT-6 (N=41)</w:t>
            </w:r>
          </w:p>
        </w:tc>
      </w:tr>
      <w:tr w:rsidR="00C9694E" w:rsidRPr="008A0A30" w:rsidTr="00003AC8">
        <w:trPr>
          <w:cantSplit/>
          <w:trHeight w:val="20"/>
          <w:tblHeader/>
        </w:trPr>
        <w:tc>
          <w:tcPr>
            <w:tcW w:w="735" w:type="pct"/>
            <w:vMerge/>
            <w:tcBorders>
              <w:bottom w:val="single" w:sz="12"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p>
        </w:tc>
        <w:tc>
          <w:tcPr>
            <w:tcW w:w="553" w:type="pct"/>
            <w:vMerge/>
            <w:tcBorders>
              <w:bottom w:val="single" w:sz="12" w:space="0" w:color="auto"/>
              <w:right w:val="single" w:sz="4" w:space="0" w:color="auto"/>
            </w:tcBorders>
          </w:tcPr>
          <w:p w:rsidR="00C9694E" w:rsidRPr="008A0A30" w:rsidRDefault="00C9694E" w:rsidP="00C269F9">
            <w:pPr>
              <w:pStyle w:val="TableHeaderCenter"/>
              <w:spacing w:before="40" w:after="40"/>
              <w:rPr>
                <w:rFonts w:ascii="Times New Roman" w:hAnsi="Times New Roman"/>
                <w:sz w:val="18"/>
                <w:szCs w:val="18"/>
              </w:rPr>
            </w:pPr>
          </w:p>
        </w:tc>
        <w:tc>
          <w:tcPr>
            <w:tcW w:w="553" w:type="pct"/>
            <w:tcBorders>
              <w:top w:val="single" w:sz="4" w:space="0" w:color="auto"/>
              <w:bottom w:val="single" w:sz="12" w:space="0" w:color="auto"/>
              <w:right w:val="single" w:sz="4" w:space="0" w:color="auto"/>
            </w:tcBorders>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GT-1a (N=210)</w:t>
            </w:r>
          </w:p>
        </w:tc>
        <w:tc>
          <w:tcPr>
            <w:tcW w:w="553" w:type="pct"/>
            <w:tcBorders>
              <w:top w:val="single" w:sz="4" w:space="0" w:color="auto"/>
              <w:bottom w:val="single" w:sz="12" w:space="0" w:color="auto"/>
              <w:right w:val="single" w:sz="4" w:space="0" w:color="auto"/>
            </w:tcBorders>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GT-1b (N=118)</w:t>
            </w:r>
          </w:p>
        </w:tc>
        <w:tc>
          <w:tcPr>
            <w:tcW w:w="553" w:type="pct"/>
            <w:tcBorders>
              <w:top w:val="single" w:sz="4" w:space="0" w:color="auto"/>
              <w:left w:val="single" w:sz="4" w:space="0" w:color="auto"/>
              <w:bottom w:val="single" w:sz="12"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r w:rsidRPr="008A0A30">
              <w:rPr>
                <w:rFonts w:ascii="Times New Roman" w:hAnsi="Times New Roman"/>
                <w:sz w:val="18"/>
                <w:szCs w:val="18"/>
              </w:rPr>
              <w:t>Total (N=328)</w:t>
            </w:r>
          </w:p>
        </w:tc>
        <w:tc>
          <w:tcPr>
            <w:tcW w:w="553" w:type="pct"/>
            <w:vMerge/>
            <w:tcBorders>
              <w:left w:val="single" w:sz="4" w:space="0" w:color="auto"/>
              <w:bottom w:val="single" w:sz="12" w:space="0" w:color="auto"/>
              <w:right w:val="single" w:sz="4"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p>
        </w:tc>
        <w:tc>
          <w:tcPr>
            <w:tcW w:w="553" w:type="pct"/>
            <w:vMerge/>
            <w:tcBorders>
              <w:left w:val="single" w:sz="4" w:space="0" w:color="auto"/>
              <w:bottom w:val="single" w:sz="12" w:space="0" w:color="auto"/>
              <w:right w:val="single" w:sz="4" w:space="0" w:color="auto"/>
            </w:tcBorders>
          </w:tcPr>
          <w:p w:rsidR="00C9694E" w:rsidRPr="008A0A30" w:rsidRDefault="00C9694E" w:rsidP="00C269F9">
            <w:pPr>
              <w:pStyle w:val="TableHeaderCenter"/>
              <w:spacing w:before="40" w:after="40"/>
              <w:rPr>
                <w:rFonts w:ascii="Times New Roman" w:hAnsi="Times New Roman"/>
                <w:sz w:val="18"/>
                <w:szCs w:val="18"/>
              </w:rPr>
            </w:pPr>
          </w:p>
        </w:tc>
        <w:tc>
          <w:tcPr>
            <w:tcW w:w="509" w:type="pct"/>
            <w:vMerge/>
            <w:tcBorders>
              <w:left w:val="single" w:sz="4" w:space="0" w:color="auto"/>
              <w:bottom w:val="single" w:sz="12" w:space="0" w:color="auto"/>
              <w:right w:val="single" w:sz="4" w:space="0" w:color="auto"/>
            </w:tcBorders>
          </w:tcPr>
          <w:p w:rsidR="00C9694E" w:rsidRPr="008A0A30" w:rsidRDefault="00C9694E" w:rsidP="00C269F9">
            <w:pPr>
              <w:pStyle w:val="TableHeaderCenter"/>
              <w:spacing w:before="40" w:after="40"/>
              <w:rPr>
                <w:rFonts w:ascii="Times New Roman" w:hAnsi="Times New Roman"/>
                <w:sz w:val="18"/>
                <w:szCs w:val="18"/>
              </w:rPr>
            </w:pPr>
          </w:p>
        </w:tc>
        <w:tc>
          <w:tcPr>
            <w:tcW w:w="438" w:type="pct"/>
            <w:vMerge/>
            <w:tcBorders>
              <w:left w:val="single" w:sz="4" w:space="0" w:color="auto"/>
              <w:bottom w:val="single" w:sz="12" w:space="0" w:color="auto"/>
            </w:tcBorders>
            <w:vAlign w:val="bottom"/>
          </w:tcPr>
          <w:p w:rsidR="00C9694E" w:rsidRPr="008A0A30" w:rsidRDefault="00C9694E" w:rsidP="00C269F9">
            <w:pPr>
              <w:pStyle w:val="TableHeaderCenter"/>
              <w:spacing w:before="40" w:after="40"/>
              <w:rPr>
                <w:rFonts w:ascii="Times New Roman" w:hAnsi="Times New Roman"/>
                <w:sz w:val="18"/>
                <w:szCs w:val="18"/>
              </w:rPr>
            </w:pPr>
          </w:p>
        </w:tc>
      </w:tr>
      <w:tr w:rsidR="00C9694E" w:rsidRPr="008A0A30" w:rsidTr="00C269F9">
        <w:trPr>
          <w:cantSplit/>
          <w:trHeight w:val="20"/>
        </w:trPr>
        <w:tc>
          <w:tcPr>
            <w:tcW w:w="735" w:type="pct"/>
            <w:tcBorders>
              <w:top w:val="single" w:sz="12" w:space="0" w:color="auto"/>
              <w:bottom w:val="single" w:sz="4" w:space="0" w:color="auto"/>
              <w:right w:val="single" w:sz="4" w:space="0" w:color="auto"/>
            </w:tcBorders>
            <w:vAlign w:val="center"/>
          </w:tcPr>
          <w:p w:rsidR="00C9694E" w:rsidRPr="008A0A30" w:rsidRDefault="00C9694E" w:rsidP="00C269F9">
            <w:pPr>
              <w:pStyle w:val="TableCellLeft"/>
              <w:spacing w:before="40" w:after="40"/>
              <w:rPr>
                <w:sz w:val="18"/>
                <w:szCs w:val="18"/>
              </w:rPr>
            </w:pPr>
            <w:r w:rsidRPr="008A0A30">
              <w:rPr>
                <w:sz w:val="18"/>
                <w:szCs w:val="18"/>
              </w:rPr>
              <w:t>SVR12</w:t>
            </w:r>
          </w:p>
        </w:tc>
        <w:tc>
          <w:tcPr>
            <w:tcW w:w="553" w:type="pct"/>
            <w:tcBorders>
              <w:top w:val="single" w:sz="12" w:space="0" w:color="auto"/>
              <w:bottom w:val="single" w:sz="4" w:space="0" w:color="auto"/>
              <w:right w:val="single" w:sz="4" w:space="0" w:color="auto"/>
            </w:tcBorders>
          </w:tcPr>
          <w:p w:rsidR="00C9694E" w:rsidRPr="008A0A30" w:rsidRDefault="00C9694E" w:rsidP="00C269F9">
            <w:pPr>
              <w:pStyle w:val="TableCellCenter"/>
              <w:spacing w:before="40" w:after="40"/>
              <w:rPr>
                <w:sz w:val="18"/>
                <w:szCs w:val="18"/>
              </w:rPr>
            </w:pPr>
            <w:r w:rsidRPr="008A0A30">
              <w:rPr>
                <w:sz w:val="18"/>
                <w:szCs w:val="18"/>
              </w:rPr>
              <w:t>99% (618/624)</w:t>
            </w:r>
          </w:p>
        </w:tc>
        <w:tc>
          <w:tcPr>
            <w:tcW w:w="553" w:type="pct"/>
            <w:tcBorders>
              <w:top w:val="single" w:sz="12" w:space="0" w:color="auto"/>
              <w:bottom w:val="single" w:sz="4" w:space="0" w:color="auto"/>
              <w:right w:val="single" w:sz="4" w:space="0" w:color="auto"/>
            </w:tcBorders>
          </w:tcPr>
          <w:p w:rsidR="00C9694E" w:rsidRPr="008A0A30" w:rsidRDefault="00C9694E" w:rsidP="00C269F9">
            <w:pPr>
              <w:pStyle w:val="TableCellCenter"/>
              <w:spacing w:before="40" w:after="40"/>
              <w:rPr>
                <w:sz w:val="18"/>
                <w:szCs w:val="18"/>
              </w:rPr>
            </w:pPr>
            <w:r w:rsidRPr="008A0A30">
              <w:rPr>
                <w:sz w:val="18"/>
                <w:szCs w:val="18"/>
              </w:rPr>
              <w:t>98% (206/210)</w:t>
            </w:r>
          </w:p>
        </w:tc>
        <w:tc>
          <w:tcPr>
            <w:tcW w:w="553" w:type="pct"/>
            <w:tcBorders>
              <w:top w:val="single" w:sz="12" w:space="0" w:color="auto"/>
              <w:bottom w:val="single" w:sz="4" w:space="0" w:color="auto"/>
              <w:right w:val="single" w:sz="4" w:space="0" w:color="auto"/>
            </w:tcBorders>
          </w:tcPr>
          <w:p w:rsidR="00C9694E" w:rsidRPr="008A0A30" w:rsidRDefault="00C9694E" w:rsidP="00C269F9">
            <w:pPr>
              <w:pStyle w:val="TableCellCenter"/>
              <w:spacing w:before="40" w:after="40"/>
              <w:rPr>
                <w:sz w:val="18"/>
                <w:szCs w:val="18"/>
              </w:rPr>
            </w:pPr>
            <w:r w:rsidRPr="008A0A30">
              <w:rPr>
                <w:sz w:val="18"/>
                <w:szCs w:val="18"/>
              </w:rPr>
              <w:t>99% (117/118)</w:t>
            </w:r>
          </w:p>
        </w:tc>
        <w:tc>
          <w:tcPr>
            <w:tcW w:w="553" w:type="pct"/>
            <w:tcBorders>
              <w:top w:val="single" w:sz="12"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98% (323/328)</w:t>
            </w:r>
          </w:p>
        </w:tc>
        <w:tc>
          <w:tcPr>
            <w:tcW w:w="553" w:type="pct"/>
            <w:tcBorders>
              <w:top w:val="single" w:sz="12"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100% (104/104)</w:t>
            </w:r>
          </w:p>
        </w:tc>
        <w:tc>
          <w:tcPr>
            <w:tcW w:w="553" w:type="pct"/>
            <w:tcBorders>
              <w:top w:val="single" w:sz="12" w:space="0" w:color="auto"/>
              <w:left w:val="single" w:sz="4" w:space="0" w:color="auto"/>
              <w:bottom w:val="single" w:sz="4" w:space="0" w:color="auto"/>
              <w:right w:val="single" w:sz="4" w:space="0" w:color="auto"/>
            </w:tcBorders>
          </w:tcPr>
          <w:p w:rsidR="00C9694E" w:rsidRPr="008A0A30" w:rsidRDefault="00C9694E" w:rsidP="00C269F9">
            <w:pPr>
              <w:pStyle w:val="TableCellCenter"/>
              <w:spacing w:before="40" w:after="40"/>
              <w:rPr>
                <w:sz w:val="18"/>
                <w:szCs w:val="18"/>
              </w:rPr>
            </w:pPr>
            <w:r w:rsidRPr="008A0A30">
              <w:rPr>
                <w:sz w:val="18"/>
                <w:szCs w:val="18"/>
              </w:rPr>
              <w:t>100% (116/116)</w:t>
            </w:r>
          </w:p>
        </w:tc>
        <w:tc>
          <w:tcPr>
            <w:tcW w:w="509" w:type="pct"/>
            <w:tcBorders>
              <w:top w:val="single" w:sz="12" w:space="0" w:color="auto"/>
              <w:left w:val="single" w:sz="4" w:space="0" w:color="auto"/>
              <w:bottom w:val="single" w:sz="4" w:space="0" w:color="auto"/>
              <w:right w:val="single" w:sz="4" w:space="0" w:color="auto"/>
            </w:tcBorders>
          </w:tcPr>
          <w:p w:rsidR="00C9694E" w:rsidRPr="008A0A30" w:rsidRDefault="00C9694E" w:rsidP="00C269F9">
            <w:pPr>
              <w:pStyle w:val="TableCellCenter"/>
              <w:spacing w:before="40" w:after="40"/>
              <w:rPr>
                <w:sz w:val="18"/>
                <w:szCs w:val="18"/>
              </w:rPr>
            </w:pPr>
            <w:r w:rsidRPr="008A0A30">
              <w:rPr>
                <w:sz w:val="18"/>
                <w:szCs w:val="18"/>
              </w:rPr>
              <w:t>97% (34/35)</w:t>
            </w:r>
          </w:p>
        </w:tc>
        <w:tc>
          <w:tcPr>
            <w:tcW w:w="438" w:type="pct"/>
            <w:tcBorders>
              <w:top w:val="single" w:sz="12" w:space="0" w:color="auto"/>
              <w:left w:val="single" w:sz="4" w:space="0" w:color="auto"/>
              <w:bottom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100% (41/41)</w:t>
            </w:r>
          </w:p>
        </w:tc>
      </w:tr>
      <w:tr w:rsidR="00C9694E" w:rsidRPr="008A0A30" w:rsidTr="00C269F9">
        <w:trPr>
          <w:cantSplit/>
          <w:trHeight w:val="20"/>
        </w:trPr>
        <w:tc>
          <w:tcPr>
            <w:tcW w:w="5000" w:type="pct"/>
            <w:gridSpan w:val="9"/>
            <w:tcBorders>
              <w:top w:val="single" w:sz="4" w:space="0" w:color="auto"/>
              <w:bottom w:val="single" w:sz="4" w:space="0" w:color="auto"/>
            </w:tcBorders>
            <w:vAlign w:val="center"/>
          </w:tcPr>
          <w:p w:rsidR="00C9694E" w:rsidRPr="008A0A30" w:rsidRDefault="00C9694E" w:rsidP="00C269F9">
            <w:pPr>
              <w:pStyle w:val="TableCellLeft"/>
              <w:spacing w:before="40" w:after="40"/>
              <w:rPr>
                <w:sz w:val="18"/>
                <w:szCs w:val="18"/>
              </w:rPr>
            </w:pPr>
            <w:r w:rsidRPr="008A0A30">
              <w:rPr>
                <w:sz w:val="18"/>
                <w:szCs w:val="18"/>
              </w:rPr>
              <w:t xml:space="preserve">Outcome for </w:t>
            </w:r>
            <w:r w:rsidR="004A21F3" w:rsidRPr="008A0A30">
              <w:rPr>
                <w:sz w:val="18"/>
                <w:szCs w:val="18"/>
              </w:rPr>
              <w:t>Patients</w:t>
            </w:r>
            <w:r w:rsidRPr="008A0A30">
              <w:rPr>
                <w:sz w:val="18"/>
                <w:szCs w:val="18"/>
              </w:rPr>
              <w:t xml:space="preserve"> without SVR</w:t>
            </w:r>
          </w:p>
        </w:tc>
      </w:tr>
      <w:tr w:rsidR="00C9694E" w:rsidRPr="008A0A30" w:rsidTr="00C269F9">
        <w:trPr>
          <w:cantSplit/>
          <w:trHeight w:val="20"/>
        </w:trPr>
        <w:tc>
          <w:tcPr>
            <w:tcW w:w="735"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Left"/>
              <w:spacing w:before="40" w:after="40"/>
              <w:ind w:left="270"/>
              <w:rPr>
                <w:sz w:val="18"/>
                <w:szCs w:val="18"/>
              </w:rPr>
            </w:pPr>
            <w:r w:rsidRPr="008A0A30">
              <w:rPr>
                <w:sz w:val="18"/>
                <w:szCs w:val="18"/>
              </w:rPr>
              <w:t xml:space="preserve">On-Treatment Virologic Failure </w:t>
            </w:r>
          </w:p>
        </w:tc>
        <w:tc>
          <w:tcPr>
            <w:tcW w:w="553"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0/624</w:t>
            </w:r>
          </w:p>
        </w:tc>
        <w:tc>
          <w:tcPr>
            <w:tcW w:w="553"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0/210</w:t>
            </w:r>
          </w:p>
        </w:tc>
        <w:tc>
          <w:tcPr>
            <w:tcW w:w="553"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0/118</w:t>
            </w:r>
          </w:p>
        </w:tc>
        <w:tc>
          <w:tcPr>
            <w:tcW w:w="553"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0/328</w:t>
            </w:r>
          </w:p>
        </w:tc>
        <w:tc>
          <w:tcPr>
            <w:tcW w:w="553"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0/104</w:t>
            </w:r>
          </w:p>
        </w:tc>
        <w:tc>
          <w:tcPr>
            <w:tcW w:w="553"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0/116</w:t>
            </w:r>
          </w:p>
        </w:tc>
        <w:tc>
          <w:tcPr>
            <w:tcW w:w="509"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0/35</w:t>
            </w:r>
          </w:p>
        </w:tc>
        <w:tc>
          <w:tcPr>
            <w:tcW w:w="438" w:type="pct"/>
            <w:tcBorders>
              <w:top w:val="single" w:sz="4" w:space="0" w:color="auto"/>
              <w:left w:val="single" w:sz="4" w:space="0" w:color="auto"/>
              <w:bottom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0/41</w:t>
            </w:r>
          </w:p>
        </w:tc>
      </w:tr>
      <w:tr w:rsidR="00C9694E" w:rsidRPr="008A0A30" w:rsidTr="00C269F9">
        <w:trPr>
          <w:cantSplit/>
          <w:trHeight w:val="20"/>
        </w:trPr>
        <w:tc>
          <w:tcPr>
            <w:tcW w:w="735"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Left"/>
              <w:spacing w:before="40" w:after="40"/>
              <w:ind w:left="270"/>
              <w:rPr>
                <w:sz w:val="18"/>
                <w:szCs w:val="18"/>
              </w:rPr>
            </w:pPr>
            <w:r w:rsidRPr="008A0A30">
              <w:rPr>
                <w:sz w:val="18"/>
                <w:szCs w:val="18"/>
              </w:rPr>
              <w:t>Relapse</w:t>
            </w:r>
            <w:r w:rsidRPr="008A0A30">
              <w:rPr>
                <w:sz w:val="18"/>
                <w:szCs w:val="18"/>
                <w:vertAlign w:val="superscript"/>
              </w:rPr>
              <w:t>a</w:t>
            </w:r>
          </w:p>
        </w:tc>
        <w:tc>
          <w:tcPr>
            <w:tcW w:w="553"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&lt;1% (2/623)</w:t>
            </w:r>
          </w:p>
        </w:tc>
        <w:tc>
          <w:tcPr>
            <w:tcW w:w="553"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&lt;1% (1/209)</w:t>
            </w:r>
          </w:p>
        </w:tc>
        <w:tc>
          <w:tcPr>
            <w:tcW w:w="553" w:type="pct"/>
            <w:tcBorders>
              <w:top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1% (1/118)</w:t>
            </w:r>
          </w:p>
        </w:tc>
        <w:tc>
          <w:tcPr>
            <w:tcW w:w="553"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1% (2/327)</w:t>
            </w:r>
          </w:p>
        </w:tc>
        <w:tc>
          <w:tcPr>
            <w:tcW w:w="553"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0/104</w:t>
            </w:r>
          </w:p>
        </w:tc>
        <w:tc>
          <w:tcPr>
            <w:tcW w:w="553"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0/116</w:t>
            </w:r>
          </w:p>
        </w:tc>
        <w:tc>
          <w:tcPr>
            <w:tcW w:w="509" w:type="pct"/>
            <w:tcBorders>
              <w:top w:val="single" w:sz="4" w:space="0" w:color="auto"/>
              <w:left w:val="single" w:sz="4" w:space="0" w:color="auto"/>
              <w:bottom w:val="single" w:sz="4"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0/35</w:t>
            </w:r>
          </w:p>
        </w:tc>
        <w:tc>
          <w:tcPr>
            <w:tcW w:w="438" w:type="pct"/>
            <w:tcBorders>
              <w:top w:val="single" w:sz="4" w:space="0" w:color="auto"/>
              <w:left w:val="single" w:sz="4" w:space="0" w:color="auto"/>
              <w:bottom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0/41</w:t>
            </w:r>
          </w:p>
        </w:tc>
      </w:tr>
      <w:tr w:rsidR="00C9694E" w:rsidRPr="008A0A30" w:rsidTr="00C269F9">
        <w:trPr>
          <w:cantSplit/>
          <w:trHeight w:val="20"/>
        </w:trPr>
        <w:tc>
          <w:tcPr>
            <w:tcW w:w="735" w:type="pct"/>
            <w:tcBorders>
              <w:top w:val="single" w:sz="4" w:space="0" w:color="auto"/>
              <w:bottom w:val="single" w:sz="12" w:space="0" w:color="auto"/>
              <w:right w:val="single" w:sz="4" w:space="0" w:color="auto"/>
            </w:tcBorders>
            <w:vAlign w:val="center"/>
          </w:tcPr>
          <w:p w:rsidR="00C9694E" w:rsidRPr="008A0A30" w:rsidRDefault="00C9694E" w:rsidP="00C269F9">
            <w:pPr>
              <w:pStyle w:val="TableCellLeft"/>
              <w:spacing w:before="40" w:after="40"/>
              <w:ind w:left="270"/>
              <w:rPr>
                <w:sz w:val="18"/>
                <w:szCs w:val="18"/>
              </w:rPr>
            </w:pPr>
            <w:r w:rsidRPr="008A0A30">
              <w:rPr>
                <w:sz w:val="18"/>
                <w:szCs w:val="18"/>
              </w:rPr>
              <w:t>Other</w:t>
            </w:r>
            <w:r w:rsidRPr="008A0A30">
              <w:rPr>
                <w:sz w:val="18"/>
                <w:szCs w:val="18"/>
                <w:vertAlign w:val="superscript"/>
              </w:rPr>
              <w:t>b</w:t>
            </w:r>
          </w:p>
        </w:tc>
        <w:tc>
          <w:tcPr>
            <w:tcW w:w="553" w:type="pct"/>
            <w:tcBorders>
              <w:top w:val="single" w:sz="4" w:space="0" w:color="auto"/>
              <w:bottom w:val="single" w:sz="12"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1% (4/624)</w:t>
            </w:r>
          </w:p>
        </w:tc>
        <w:tc>
          <w:tcPr>
            <w:tcW w:w="553" w:type="pct"/>
            <w:tcBorders>
              <w:top w:val="single" w:sz="4" w:space="0" w:color="auto"/>
              <w:bottom w:val="single" w:sz="12"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1% (3/210)</w:t>
            </w:r>
          </w:p>
        </w:tc>
        <w:tc>
          <w:tcPr>
            <w:tcW w:w="553" w:type="pct"/>
            <w:tcBorders>
              <w:top w:val="single" w:sz="4" w:space="0" w:color="auto"/>
              <w:bottom w:val="single" w:sz="12"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0/118</w:t>
            </w:r>
          </w:p>
        </w:tc>
        <w:tc>
          <w:tcPr>
            <w:tcW w:w="553" w:type="pct"/>
            <w:tcBorders>
              <w:top w:val="single" w:sz="4" w:space="0" w:color="auto"/>
              <w:left w:val="single" w:sz="4" w:space="0" w:color="auto"/>
              <w:bottom w:val="single" w:sz="12"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1% (3/328)</w:t>
            </w:r>
          </w:p>
        </w:tc>
        <w:tc>
          <w:tcPr>
            <w:tcW w:w="553" w:type="pct"/>
            <w:tcBorders>
              <w:top w:val="single" w:sz="4" w:space="0" w:color="auto"/>
              <w:left w:val="single" w:sz="4" w:space="0" w:color="auto"/>
              <w:bottom w:val="single" w:sz="12"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0/104</w:t>
            </w:r>
          </w:p>
        </w:tc>
        <w:tc>
          <w:tcPr>
            <w:tcW w:w="553" w:type="pct"/>
            <w:tcBorders>
              <w:top w:val="single" w:sz="4" w:space="0" w:color="auto"/>
              <w:left w:val="single" w:sz="4" w:space="0" w:color="auto"/>
              <w:bottom w:val="single" w:sz="12"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0/116</w:t>
            </w:r>
          </w:p>
        </w:tc>
        <w:tc>
          <w:tcPr>
            <w:tcW w:w="509" w:type="pct"/>
            <w:tcBorders>
              <w:top w:val="single" w:sz="4" w:space="0" w:color="auto"/>
              <w:left w:val="single" w:sz="4" w:space="0" w:color="auto"/>
              <w:bottom w:val="single" w:sz="12" w:space="0" w:color="auto"/>
              <w:right w:val="single" w:sz="4"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3% (1/35)</w:t>
            </w:r>
          </w:p>
        </w:tc>
        <w:tc>
          <w:tcPr>
            <w:tcW w:w="438" w:type="pct"/>
            <w:tcBorders>
              <w:top w:val="single" w:sz="4" w:space="0" w:color="auto"/>
              <w:left w:val="single" w:sz="4" w:space="0" w:color="auto"/>
              <w:bottom w:val="single" w:sz="12" w:space="0" w:color="auto"/>
            </w:tcBorders>
            <w:vAlign w:val="center"/>
          </w:tcPr>
          <w:p w:rsidR="00C9694E" w:rsidRPr="008A0A30" w:rsidRDefault="00C9694E" w:rsidP="00C269F9">
            <w:pPr>
              <w:pStyle w:val="TableCellCenter"/>
              <w:spacing w:before="40" w:after="40"/>
              <w:rPr>
                <w:sz w:val="18"/>
                <w:szCs w:val="18"/>
              </w:rPr>
            </w:pPr>
            <w:r w:rsidRPr="008A0A30">
              <w:rPr>
                <w:sz w:val="18"/>
                <w:szCs w:val="18"/>
              </w:rPr>
              <w:t>0/41</w:t>
            </w:r>
          </w:p>
        </w:tc>
      </w:tr>
    </w:tbl>
    <w:p w:rsidR="00C9694E" w:rsidRPr="008A0A30" w:rsidRDefault="00C9694E" w:rsidP="00D37C11">
      <w:pPr>
        <w:pStyle w:val="TableFooter"/>
        <w:spacing w:before="0" w:after="0"/>
        <w:ind w:left="329" w:hanging="329"/>
      </w:pPr>
      <w:r w:rsidRPr="008A0A30">
        <w:t>a</w:t>
      </w:r>
      <w:r w:rsidRPr="008A0A30">
        <w:tab/>
        <w:t xml:space="preserve">The denominator for relapse is the number of </w:t>
      </w:r>
      <w:r w:rsidR="004A21F3" w:rsidRPr="008A0A30">
        <w:t>patients</w:t>
      </w:r>
      <w:r w:rsidRPr="008A0A30">
        <w:t xml:space="preserve"> with HCV RNA &lt;LLOQ at their last on-treatment assessment.</w:t>
      </w:r>
    </w:p>
    <w:p w:rsidR="00C9694E" w:rsidRPr="008A0A30" w:rsidRDefault="00C9694E" w:rsidP="00BB341F">
      <w:pPr>
        <w:pStyle w:val="TableFooter"/>
        <w:spacing w:before="0" w:after="360"/>
        <w:ind w:left="329" w:hanging="329"/>
      </w:pPr>
      <w:r w:rsidRPr="008A0A30">
        <w:t>b</w:t>
      </w:r>
      <w:r w:rsidRPr="008A0A30">
        <w:tab/>
        <w:t xml:space="preserve">Other includes </w:t>
      </w:r>
      <w:r w:rsidR="004A21F3" w:rsidRPr="008A0A30">
        <w:t>patients</w:t>
      </w:r>
      <w:r w:rsidRPr="008A0A30">
        <w:t xml:space="preserve"> who did not achieve SVR and did not meet virologic failure criteria.</w:t>
      </w:r>
    </w:p>
    <w:p w:rsidR="004A21F3" w:rsidRPr="008A0A30" w:rsidRDefault="009255C7" w:rsidP="00AC3AB4">
      <w:pPr>
        <w:pStyle w:val="Heading4"/>
      </w:pPr>
      <w:r w:rsidRPr="008A0A30">
        <w:t>Genotype 2 HCV Infected Adults (ASTRAL-2)</w:t>
      </w:r>
    </w:p>
    <w:p w:rsidR="00FC3767" w:rsidRDefault="009255C7" w:rsidP="00592DB0">
      <w:r w:rsidRPr="008A0A30">
        <w:t xml:space="preserve">ASTRAL-2 was a randomised, open-label </w:t>
      </w:r>
      <w:r w:rsidR="008B6AAF" w:rsidRPr="008A0A30">
        <w:t>trial</w:t>
      </w:r>
      <w:r w:rsidRPr="008A0A30">
        <w:t xml:space="preserve"> that evaluated 12 weeks of treatment with </w:t>
      </w:r>
      <w:r w:rsidR="00C3685A">
        <w:t>EPCLUSA</w:t>
      </w:r>
      <w:r w:rsidRPr="008A0A30">
        <w:t xml:space="preserve"> compared with 12 weeks of treatment with SOF+RBV in patients with genotype 2 HCV infection. Patients were randomised in a 1:1 ratio to treatment with </w:t>
      </w:r>
      <w:r w:rsidR="00C3685A">
        <w:t>EPCLUSA</w:t>
      </w:r>
      <w:r w:rsidRPr="008A0A30">
        <w:t xml:space="preserve"> for 12 weeks or SOF+RBV for 12 weeks. Randomisation was stratified by the presence or absence of cirrhosis and prior treatment experience (treatment na</w:t>
      </w:r>
      <w:r w:rsidR="00EC666B" w:rsidRPr="00EC666B">
        <w:t>ï</w:t>
      </w:r>
      <w:r w:rsidRPr="008A0A30">
        <w:t>ve vs treatment experienced).</w:t>
      </w:r>
    </w:p>
    <w:p w:rsidR="00FC3767" w:rsidRDefault="009255C7" w:rsidP="00592DB0">
      <w:r w:rsidRPr="008A0A30">
        <w:t xml:space="preserve">Demographics and baseline characteristics were balanced across the two treatment groups. Of the 266 treated </w:t>
      </w:r>
      <w:r w:rsidR="000B4A4B" w:rsidRPr="008A0A30">
        <w:t>patients</w:t>
      </w:r>
      <w:r w:rsidRPr="008A0A30">
        <w:t xml:space="preserve">, the median age was 58 years (range: 23 to 81); 59% of the </w:t>
      </w:r>
      <w:r w:rsidR="000B4A4B" w:rsidRPr="008A0A30">
        <w:t xml:space="preserve">patients </w:t>
      </w:r>
      <w:r w:rsidRPr="008A0A30">
        <w:t>were male; 88% were White, 7% were Black; 33% had a baseline body mass index at least 30 kg/m</w:t>
      </w:r>
      <w:r w:rsidRPr="008A0A30">
        <w:rPr>
          <w:vertAlign w:val="superscript"/>
        </w:rPr>
        <w:t>2</w:t>
      </w:r>
      <w:r w:rsidRPr="008A0A30">
        <w:t>; 62% had non-CC IL28B alleles (CT or TT); 80% had baseline HCV RNA levels at least 800,000 IU/mL; 14% had compensated cirrhosis</w:t>
      </w:r>
      <w:r w:rsidR="00E92103">
        <w:t>;</w:t>
      </w:r>
      <w:r w:rsidRPr="008A0A30">
        <w:t xml:space="preserve"> and 15% were treatment-experienced.</w:t>
      </w:r>
    </w:p>
    <w:p w:rsidR="00FC3767" w:rsidRDefault="00B533D7" w:rsidP="00592DB0">
      <w:r>
        <w:t>Table 9</w:t>
      </w:r>
      <w:r w:rsidR="009255C7" w:rsidRPr="008A0A30">
        <w:t xml:space="preserve"> presents the SVR12</w:t>
      </w:r>
      <w:r w:rsidR="009A4735">
        <w:t xml:space="preserve"> and other virologic outcomes </w:t>
      </w:r>
      <w:r w:rsidR="007A5254">
        <w:t>from</w:t>
      </w:r>
      <w:r w:rsidR="009255C7" w:rsidRPr="008A0A30">
        <w:t xml:space="preserve"> the ASTRAL-2 </w:t>
      </w:r>
      <w:r w:rsidR="008B6AAF" w:rsidRPr="008A0A30">
        <w:t>trial</w:t>
      </w:r>
      <w:r w:rsidR="009255C7" w:rsidRPr="008A0A30">
        <w:t>.</w:t>
      </w:r>
    </w:p>
    <w:p w:rsidR="009255C7" w:rsidRPr="008A0A30" w:rsidRDefault="00003AC8" w:rsidP="00003AC8">
      <w:pPr>
        <w:pStyle w:val="Caption"/>
      </w:pPr>
      <w:bookmarkStart w:id="6" w:name="_Ref434241983"/>
      <w:bookmarkStart w:id="7" w:name="_Toc426372114"/>
      <w:bookmarkStart w:id="8" w:name="_Toc434324432"/>
      <w:r>
        <w:lastRenderedPageBreak/>
        <w:t xml:space="preserve">Table </w:t>
      </w:r>
      <w:fldSimple w:instr=" SEQ Table \* ARABIC ">
        <w:r w:rsidR="00D60556">
          <w:rPr>
            <w:noProof/>
          </w:rPr>
          <w:t>9</w:t>
        </w:r>
      </w:fldSimple>
      <w:bookmarkEnd w:id="6"/>
      <w:r>
        <w:t xml:space="preserve">. </w:t>
      </w:r>
      <w:r w:rsidR="009A4735">
        <w:t>Study ASTRAL-2:</w:t>
      </w:r>
      <w:r w:rsidR="007A5254">
        <w:t xml:space="preserve"> </w:t>
      </w:r>
      <w:r w:rsidR="009255C7" w:rsidRPr="008A0A30">
        <w:t>SVR12</w:t>
      </w:r>
      <w:r w:rsidR="009A4735">
        <w:t xml:space="preserve"> and Virologic Outcomes</w:t>
      </w:r>
      <w:r w:rsidR="009255C7" w:rsidRPr="008A0A30">
        <w:t xml:space="preserve"> </w:t>
      </w:r>
      <w:bookmarkEnd w:id="7"/>
      <w:r w:rsidR="009255C7" w:rsidRPr="008A0A30">
        <w:t>(HCV Genotype 2)</w:t>
      </w:r>
      <w:bookmarkEnd w:id="8"/>
    </w:p>
    <w:tbl>
      <w:tblPr>
        <w:tblW w:w="5000" w:type="pct"/>
        <w:tblCellMar>
          <w:left w:w="60" w:type="dxa"/>
          <w:right w:w="60" w:type="dxa"/>
        </w:tblCellMar>
        <w:tblLook w:val="0000" w:firstRow="0" w:lastRow="0" w:firstColumn="0" w:lastColumn="0" w:noHBand="0" w:noVBand="0"/>
        <w:tblDescription w:val="Table 9. Study ASTRAL-2: SVR12 and Virologic Outcomes (HCV Genotype 2)"/>
      </w:tblPr>
      <w:tblGrid>
        <w:gridCol w:w="3477"/>
        <w:gridCol w:w="2857"/>
        <w:gridCol w:w="2857"/>
      </w:tblGrid>
      <w:tr w:rsidR="009255C7" w:rsidRPr="008A0A30" w:rsidTr="000B4A4B">
        <w:trPr>
          <w:trHeight w:val="20"/>
        </w:trPr>
        <w:tc>
          <w:tcPr>
            <w:tcW w:w="1892" w:type="pct"/>
            <w:tcBorders>
              <w:top w:val="single" w:sz="12" w:space="0" w:color="auto"/>
              <w:bottom w:val="single" w:sz="12" w:space="0" w:color="auto"/>
              <w:right w:val="single" w:sz="4" w:space="0" w:color="auto"/>
            </w:tcBorders>
            <w:vAlign w:val="bottom"/>
          </w:tcPr>
          <w:p w:rsidR="009255C7" w:rsidRPr="008A0A30" w:rsidRDefault="009255C7" w:rsidP="00C269F9">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jc w:val="center"/>
              <w:rPr>
                <w:rFonts w:eastAsia="MS Mincho"/>
                <w:b/>
                <w:szCs w:val="24"/>
              </w:rPr>
            </w:pPr>
          </w:p>
        </w:tc>
        <w:tc>
          <w:tcPr>
            <w:tcW w:w="1554" w:type="pct"/>
            <w:tcBorders>
              <w:top w:val="single" w:sz="12" w:space="0" w:color="auto"/>
              <w:left w:val="single" w:sz="4" w:space="0" w:color="auto"/>
              <w:bottom w:val="single" w:sz="12" w:space="0" w:color="auto"/>
              <w:right w:val="single" w:sz="4" w:space="0" w:color="auto"/>
            </w:tcBorders>
            <w:vAlign w:val="bottom"/>
          </w:tcPr>
          <w:p w:rsidR="009255C7" w:rsidRPr="008A0A30" w:rsidRDefault="00C3685A" w:rsidP="00C269F9">
            <w:pPr>
              <w:pStyle w:val="TableHeaderCenter"/>
              <w:keepNext/>
              <w:keepLines/>
              <w:spacing w:before="40" w:after="40"/>
              <w:rPr>
                <w:rFonts w:ascii="Times New Roman" w:hAnsi="Times New Roman"/>
                <w:sz w:val="24"/>
              </w:rPr>
            </w:pPr>
            <w:r>
              <w:rPr>
                <w:rFonts w:ascii="Times New Roman" w:hAnsi="Times New Roman"/>
                <w:sz w:val="24"/>
              </w:rPr>
              <w:t>EPCLUSA</w:t>
            </w:r>
            <w:r w:rsidR="009255C7" w:rsidRPr="008A0A30">
              <w:rPr>
                <w:rFonts w:ascii="Times New Roman" w:hAnsi="Times New Roman"/>
                <w:sz w:val="24"/>
              </w:rPr>
              <w:t xml:space="preserve"> 12 Weeks</w:t>
            </w:r>
            <w:r w:rsidR="009255C7" w:rsidRPr="008A0A30">
              <w:rPr>
                <w:rFonts w:ascii="Times New Roman" w:hAnsi="Times New Roman"/>
                <w:sz w:val="24"/>
              </w:rPr>
              <w:br/>
              <w:t>(N=134)</w:t>
            </w:r>
          </w:p>
        </w:tc>
        <w:tc>
          <w:tcPr>
            <w:tcW w:w="1554" w:type="pct"/>
            <w:tcBorders>
              <w:top w:val="single" w:sz="12" w:space="0" w:color="auto"/>
              <w:left w:val="single" w:sz="4" w:space="0" w:color="auto"/>
              <w:bottom w:val="single" w:sz="12" w:space="0" w:color="auto"/>
            </w:tcBorders>
            <w:vAlign w:val="bottom"/>
          </w:tcPr>
          <w:p w:rsidR="009255C7" w:rsidRPr="008A0A30" w:rsidRDefault="009255C7" w:rsidP="002E53F1">
            <w:pPr>
              <w:pStyle w:val="TableHeaderCenter"/>
              <w:keepNext/>
              <w:keepLines/>
              <w:spacing w:before="40" w:after="40"/>
              <w:rPr>
                <w:rFonts w:ascii="Times New Roman" w:hAnsi="Times New Roman"/>
                <w:sz w:val="24"/>
              </w:rPr>
            </w:pPr>
            <w:r w:rsidRPr="008A0A30">
              <w:rPr>
                <w:rFonts w:ascii="Times New Roman" w:hAnsi="Times New Roman"/>
                <w:sz w:val="24"/>
              </w:rPr>
              <w:t>SOF+RBV 12 Weeks</w:t>
            </w:r>
            <w:r w:rsidRPr="008A0A30">
              <w:rPr>
                <w:rFonts w:ascii="Times New Roman" w:hAnsi="Times New Roman"/>
                <w:sz w:val="24"/>
              </w:rPr>
              <w:br/>
              <w:t>(N= 132)</w:t>
            </w:r>
          </w:p>
        </w:tc>
      </w:tr>
      <w:tr w:rsidR="009255C7" w:rsidRPr="008A0A30" w:rsidTr="000B4A4B">
        <w:trPr>
          <w:trHeight w:val="20"/>
        </w:trPr>
        <w:tc>
          <w:tcPr>
            <w:tcW w:w="1892" w:type="pct"/>
            <w:tcBorders>
              <w:top w:val="single" w:sz="12" w:space="0" w:color="auto"/>
              <w:bottom w:val="single" w:sz="4" w:space="0" w:color="auto"/>
              <w:right w:val="single" w:sz="4" w:space="0" w:color="auto"/>
            </w:tcBorders>
            <w:vAlign w:val="bottom"/>
          </w:tcPr>
          <w:p w:rsidR="009255C7" w:rsidRPr="008A0A30" w:rsidRDefault="009255C7" w:rsidP="00C269F9">
            <w:pPr>
              <w:pStyle w:val="Table-Text"/>
              <w:spacing w:before="40" w:after="40"/>
              <w:rPr>
                <w:sz w:val="24"/>
                <w:szCs w:val="24"/>
              </w:rPr>
            </w:pPr>
            <w:r w:rsidRPr="008A0A30">
              <w:rPr>
                <w:sz w:val="24"/>
                <w:szCs w:val="24"/>
              </w:rPr>
              <w:t>SVR12</w:t>
            </w:r>
          </w:p>
        </w:tc>
        <w:tc>
          <w:tcPr>
            <w:tcW w:w="1554" w:type="pct"/>
            <w:tcBorders>
              <w:top w:val="single" w:sz="12" w:space="0" w:color="auto"/>
              <w:left w:val="single" w:sz="4" w:space="0" w:color="auto"/>
              <w:bottom w:val="single" w:sz="4" w:space="0" w:color="auto"/>
              <w:right w:val="single" w:sz="4"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99% (133/134)</w:t>
            </w:r>
          </w:p>
        </w:tc>
        <w:tc>
          <w:tcPr>
            <w:tcW w:w="1554" w:type="pct"/>
            <w:tcBorders>
              <w:top w:val="single" w:sz="12" w:space="0" w:color="auto"/>
              <w:left w:val="single" w:sz="4" w:space="0" w:color="auto"/>
              <w:bottom w:val="single" w:sz="4"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94% (124/132)</w:t>
            </w:r>
          </w:p>
        </w:tc>
      </w:tr>
      <w:tr w:rsidR="009255C7" w:rsidRPr="008A0A30" w:rsidTr="00333FAE">
        <w:trPr>
          <w:trHeight w:val="20"/>
        </w:trPr>
        <w:tc>
          <w:tcPr>
            <w:tcW w:w="5000" w:type="pct"/>
            <w:gridSpan w:val="3"/>
            <w:tcBorders>
              <w:top w:val="single" w:sz="4" w:space="0" w:color="auto"/>
              <w:bottom w:val="single" w:sz="4" w:space="0" w:color="auto"/>
            </w:tcBorders>
            <w:vAlign w:val="bottom"/>
          </w:tcPr>
          <w:p w:rsidR="009255C7" w:rsidRPr="008A0A30" w:rsidRDefault="009255C7" w:rsidP="00C269F9">
            <w:pPr>
              <w:pStyle w:val="Table-Text"/>
              <w:spacing w:before="40" w:after="40"/>
              <w:rPr>
                <w:sz w:val="24"/>
                <w:szCs w:val="24"/>
              </w:rPr>
            </w:pPr>
            <w:r w:rsidRPr="008A0A30">
              <w:rPr>
                <w:sz w:val="24"/>
                <w:szCs w:val="24"/>
              </w:rPr>
              <w:t xml:space="preserve">Outcome for </w:t>
            </w:r>
            <w:r w:rsidR="004A21F3" w:rsidRPr="008A0A30">
              <w:rPr>
                <w:sz w:val="24"/>
                <w:szCs w:val="24"/>
              </w:rPr>
              <w:t>Patients</w:t>
            </w:r>
            <w:r w:rsidRPr="008A0A30">
              <w:rPr>
                <w:sz w:val="24"/>
                <w:szCs w:val="24"/>
              </w:rPr>
              <w:t xml:space="preserve"> without SVR</w:t>
            </w:r>
          </w:p>
        </w:tc>
      </w:tr>
      <w:tr w:rsidR="009255C7" w:rsidRPr="008A0A30" w:rsidTr="000B4A4B">
        <w:trPr>
          <w:trHeight w:val="20"/>
        </w:trPr>
        <w:tc>
          <w:tcPr>
            <w:tcW w:w="1892" w:type="pct"/>
            <w:tcBorders>
              <w:top w:val="single" w:sz="4" w:space="0" w:color="auto"/>
              <w:bottom w:val="single" w:sz="4" w:space="0" w:color="auto"/>
              <w:right w:val="single" w:sz="4" w:space="0" w:color="auto"/>
            </w:tcBorders>
            <w:vAlign w:val="bottom"/>
          </w:tcPr>
          <w:p w:rsidR="009255C7" w:rsidRPr="008A0A30" w:rsidRDefault="009255C7" w:rsidP="00C269F9">
            <w:pPr>
              <w:pStyle w:val="Table-Text"/>
              <w:spacing w:before="40" w:after="40"/>
              <w:ind w:firstLine="270"/>
              <w:rPr>
                <w:sz w:val="24"/>
                <w:szCs w:val="24"/>
              </w:rPr>
            </w:pPr>
            <w:r w:rsidRPr="008A0A30">
              <w:rPr>
                <w:sz w:val="24"/>
                <w:szCs w:val="24"/>
              </w:rPr>
              <w:t xml:space="preserve">On-Treatment Virologic Failure </w:t>
            </w:r>
          </w:p>
        </w:tc>
        <w:tc>
          <w:tcPr>
            <w:tcW w:w="1554" w:type="pct"/>
            <w:tcBorders>
              <w:top w:val="single" w:sz="4" w:space="0" w:color="auto"/>
              <w:left w:val="single" w:sz="4" w:space="0" w:color="auto"/>
              <w:bottom w:val="single" w:sz="4" w:space="0" w:color="auto"/>
              <w:right w:val="single" w:sz="4"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0/134</w:t>
            </w:r>
          </w:p>
        </w:tc>
        <w:tc>
          <w:tcPr>
            <w:tcW w:w="1554" w:type="pct"/>
            <w:tcBorders>
              <w:top w:val="single" w:sz="4" w:space="0" w:color="auto"/>
              <w:left w:val="single" w:sz="4" w:space="0" w:color="auto"/>
              <w:bottom w:val="single" w:sz="4"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0/132</w:t>
            </w:r>
          </w:p>
        </w:tc>
      </w:tr>
      <w:tr w:rsidR="009255C7" w:rsidRPr="008A0A30" w:rsidTr="000B4A4B">
        <w:trPr>
          <w:trHeight w:val="20"/>
        </w:trPr>
        <w:tc>
          <w:tcPr>
            <w:tcW w:w="1892" w:type="pct"/>
            <w:tcBorders>
              <w:top w:val="single" w:sz="4" w:space="0" w:color="auto"/>
              <w:bottom w:val="single" w:sz="4" w:space="0" w:color="auto"/>
              <w:right w:val="single" w:sz="4" w:space="0" w:color="auto"/>
            </w:tcBorders>
            <w:vAlign w:val="bottom"/>
          </w:tcPr>
          <w:p w:rsidR="009255C7" w:rsidRPr="008A0A30" w:rsidRDefault="009255C7" w:rsidP="00C269F9">
            <w:pPr>
              <w:pStyle w:val="Table-Text"/>
              <w:spacing w:before="40" w:after="40"/>
              <w:ind w:firstLine="270"/>
              <w:rPr>
                <w:sz w:val="24"/>
                <w:szCs w:val="24"/>
              </w:rPr>
            </w:pPr>
            <w:r w:rsidRPr="008A0A30">
              <w:rPr>
                <w:sz w:val="24"/>
                <w:szCs w:val="24"/>
              </w:rPr>
              <w:t>Relapse</w:t>
            </w:r>
            <w:r w:rsidRPr="008A0A30">
              <w:rPr>
                <w:sz w:val="24"/>
                <w:szCs w:val="24"/>
                <w:vertAlign w:val="superscript"/>
              </w:rPr>
              <w:t>a</w:t>
            </w:r>
          </w:p>
        </w:tc>
        <w:tc>
          <w:tcPr>
            <w:tcW w:w="1554" w:type="pct"/>
            <w:tcBorders>
              <w:top w:val="single" w:sz="4" w:space="0" w:color="auto"/>
              <w:left w:val="single" w:sz="4" w:space="0" w:color="auto"/>
              <w:bottom w:val="single" w:sz="4" w:space="0" w:color="auto"/>
              <w:right w:val="single" w:sz="4"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0/133</w:t>
            </w:r>
          </w:p>
        </w:tc>
        <w:tc>
          <w:tcPr>
            <w:tcW w:w="1554" w:type="pct"/>
            <w:tcBorders>
              <w:top w:val="single" w:sz="4" w:space="0" w:color="auto"/>
              <w:left w:val="single" w:sz="4" w:space="0" w:color="auto"/>
              <w:bottom w:val="single" w:sz="4"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5% (6/132)</w:t>
            </w:r>
          </w:p>
        </w:tc>
      </w:tr>
      <w:tr w:rsidR="009255C7" w:rsidRPr="008A0A30" w:rsidTr="00C269F9">
        <w:trPr>
          <w:trHeight w:val="439"/>
        </w:trPr>
        <w:tc>
          <w:tcPr>
            <w:tcW w:w="1892" w:type="pct"/>
            <w:tcBorders>
              <w:top w:val="single" w:sz="4" w:space="0" w:color="auto"/>
              <w:bottom w:val="single" w:sz="12" w:space="0" w:color="auto"/>
              <w:right w:val="single" w:sz="4" w:space="0" w:color="auto"/>
            </w:tcBorders>
            <w:vAlign w:val="bottom"/>
          </w:tcPr>
          <w:p w:rsidR="009255C7" w:rsidRPr="008A0A30" w:rsidRDefault="009255C7" w:rsidP="00C269F9">
            <w:pPr>
              <w:pStyle w:val="Table-Text"/>
              <w:spacing w:before="40" w:after="40"/>
              <w:ind w:firstLine="270"/>
              <w:rPr>
                <w:sz w:val="24"/>
                <w:szCs w:val="24"/>
              </w:rPr>
            </w:pPr>
            <w:r w:rsidRPr="008A0A30">
              <w:rPr>
                <w:sz w:val="24"/>
                <w:szCs w:val="24"/>
              </w:rPr>
              <w:t>Other</w:t>
            </w:r>
            <w:r w:rsidRPr="008A0A30">
              <w:rPr>
                <w:sz w:val="24"/>
                <w:szCs w:val="24"/>
                <w:vertAlign w:val="superscript"/>
              </w:rPr>
              <w:t>b</w:t>
            </w:r>
            <w:r w:rsidRPr="008A0A30">
              <w:rPr>
                <w:sz w:val="24"/>
                <w:szCs w:val="24"/>
              </w:rPr>
              <w:t xml:space="preserve"> </w:t>
            </w:r>
          </w:p>
        </w:tc>
        <w:tc>
          <w:tcPr>
            <w:tcW w:w="1554" w:type="pct"/>
            <w:tcBorders>
              <w:top w:val="single" w:sz="4" w:space="0" w:color="auto"/>
              <w:left w:val="single" w:sz="4" w:space="0" w:color="auto"/>
              <w:bottom w:val="single" w:sz="12" w:space="0" w:color="auto"/>
              <w:right w:val="single" w:sz="4"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1% (1/134)</w:t>
            </w:r>
          </w:p>
        </w:tc>
        <w:tc>
          <w:tcPr>
            <w:tcW w:w="1554" w:type="pct"/>
            <w:tcBorders>
              <w:top w:val="single" w:sz="4" w:space="0" w:color="auto"/>
              <w:left w:val="single" w:sz="4" w:space="0" w:color="auto"/>
              <w:bottom w:val="single" w:sz="12" w:space="0" w:color="auto"/>
            </w:tcBorders>
            <w:vAlign w:val="center"/>
          </w:tcPr>
          <w:p w:rsidR="009255C7" w:rsidRPr="008A0A30" w:rsidRDefault="009255C7" w:rsidP="00C269F9">
            <w:pPr>
              <w:pStyle w:val="Table-Text"/>
              <w:spacing w:before="40" w:after="40"/>
              <w:jc w:val="center"/>
              <w:rPr>
                <w:sz w:val="24"/>
                <w:szCs w:val="24"/>
              </w:rPr>
            </w:pPr>
            <w:r w:rsidRPr="008A0A30">
              <w:rPr>
                <w:sz w:val="24"/>
                <w:szCs w:val="24"/>
              </w:rPr>
              <w:t>2% (2/132)</w:t>
            </w:r>
          </w:p>
        </w:tc>
      </w:tr>
    </w:tbl>
    <w:p w:rsidR="009255C7" w:rsidRPr="008A0A30" w:rsidRDefault="009255C7" w:rsidP="00905634">
      <w:pPr>
        <w:pStyle w:val="TableFooter"/>
        <w:spacing w:before="0" w:after="0"/>
        <w:ind w:left="329" w:hanging="329"/>
      </w:pPr>
      <w:r w:rsidRPr="008A0A30">
        <w:t>a</w:t>
      </w:r>
      <w:r w:rsidRPr="008A0A30">
        <w:tab/>
        <w:t xml:space="preserve">The denominator for relapse is the number of </w:t>
      </w:r>
      <w:r w:rsidR="00EC666B">
        <w:t>patients</w:t>
      </w:r>
      <w:r w:rsidR="00EC666B" w:rsidRPr="008A0A30">
        <w:t xml:space="preserve"> </w:t>
      </w:r>
      <w:r w:rsidRPr="008A0A30">
        <w:t>with HCV RNA &lt;LLOQ at their last on-treatment assessment.</w:t>
      </w:r>
    </w:p>
    <w:p w:rsidR="00C269F9" w:rsidRPr="008A0A30" w:rsidRDefault="009255C7" w:rsidP="00905634">
      <w:pPr>
        <w:pStyle w:val="TableFooter"/>
        <w:spacing w:before="0" w:after="360"/>
        <w:ind w:left="329" w:hanging="329"/>
      </w:pPr>
      <w:r w:rsidRPr="008A0A30">
        <w:t>b</w:t>
      </w:r>
      <w:r w:rsidRPr="008A0A30">
        <w:tab/>
        <w:t xml:space="preserve">Other includes </w:t>
      </w:r>
      <w:r w:rsidR="004A21F3" w:rsidRPr="008A0A30">
        <w:t>patients</w:t>
      </w:r>
      <w:r w:rsidRPr="008A0A30">
        <w:t xml:space="preserve"> who did not achieve SVR and did not meet virologic failure criteria.</w:t>
      </w:r>
    </w:p>
    <w:p w:rsidR="009255C7" w:rsidRPr="008A0A30" w:rsidRDefault="000B4A4B" w:rsidP="00C269F9">
      <w:r w:rsidRPr="008A0A30">
        <w:t xml:space="preserve">Treatment with </w:t>
      </w:r>
      <w:r w:rsidR="00C3685A">
        <w:t>EPCLUSA</w:t>
      </w:r>
      <w:r w:rsidR="009255C7" w:rsidRPr="008A0A30">
        <w:t xml:space="preserve"> for 12 weeks demonstrated statistical superiority (p = 0.018) compared to treatment with SOF+RBV for 12 weeks (treatment difference +5.2%; 95% confidence interval: +0.2% to +10.3%).</w:t>
      </w:r>
    </w:p>
    <w:p w:rsidR="00C417C3" w:rsidRPr="00514AEE" w:rsidRDefault="00C417C3" w:rsidP="00E5208A">
      <w:pPr>
        <w:pStyle w:val="Heading4"/>
      </w:pPr>
      <w:r w:rsidRPr="00514AEE">
        <w:t>Genotype 3 HCV Infected Adults (ASTRAL-3)</w:t>
      </w:r>
    </w:p>
    <w:p w:rsidR="00FC3767" w:rsidRDefault="00C417C3" w:rsidP="00C417C3">
      <w:pPr>
        <w:pStyle w:val="Text10"/>
      </w:pPr>
      <w:r w:rsidRPr="008A0A30">
        <w:t xml:space="preserve">ASTRAL-3 was a randomised, open-label </w:t>
      </w:r>
      <w:r w:rsidR="008B6AAF" w:rsidRPr="008A0A30">
        <w:t>trial</w:t>
      </w:r>
      <w:r w:rsidRPr="008A0A30">
        <w:t xml:space="preserve"> that evaluated 12 weeks of treatment with </w:t>
      </w:r>
      <w:r w:rsidR="00C3685A">
        <w:t>EPCLUSA</w:t>
      </w:r>
      <w:r w:rsidRPr="008A0A30">
        <w:t xml:space="preserve"> compared with 24 weeks of treatment with SOF+RBV in </w:t>
      </w:r>
      <w:r w:rsidR="00E662B6" w:rsidRPr="008A0A30">
        <w:t>patients</w:t>
      </w:r>
      <w:r w:rsidRPr="008A0A30">
        <w:t xml:space="preserve"> with genotype 3 HCV infection. Patients were randomised in a 1:1 ratio to treatment with </w:t>
      </w:r>
      <w:r w:rsidR="00C3685A">
        <w:t>EPCLUSA</w:t>
      </w:r>
      <w:r w:rsidRPr="008A0A30">
        <w:t xml:space="preserve"> for 12 weeks or SOF+RBV for 24 weeks. Randomisation was stratified by the presence or absence of cirrhosis and prior treatment experience (treatment naïve vs treatment experienced).</w:t>
      </w:r>
    </w:p>
    <w:p w:rsidR="00901EC0" w:rsidRPr="008A0A30" w:rsidRDefault="00C417C3" w:rsidP="00C417C3">
      <w:r w:rsidRPr="008A0A30">
        <w:t>Demographics and baseline characteristics were balanced across the treatment groups. Of the 552 treated patients, the median age was 52 years (range: 19 to 76); 62% of the patients were male; 89% were White, 9% were Asian; 20% had a baseline body mass index at least 30 kg/m</w:t>
      </w:r>
      <w:r w:rsidRPr="008A0A30">
        <w:rPr>
          <w:vertAlign w:val="superscript"/>
        </w:rPr>
        <w:t>2</w:t>
      </w:r>
      <w:r w:rsidRPr="008A0A30">
        <w:t>; 61% had non-CC IL28B alleles (CT or TT); 70% had baseline HCV RNA levels at least 800,000 IU/mL</w:t>
      </w:r>
      <w:r w:rsidR="00EC666B">
        <w:t>;</w:t>
      </w:r>
      <w:r w:rsidRPr="008A0A30">
        <w:t xml:space="preserve"> 30% had compensated cirrhosis</w:t>
      </w:r>
      <w:r w:rsidR="00EC666B">
        <w:t>;</w:t>
      </w:r>
      <w:r w:rsidRPr="008A0A30">
        <w:t xml:space="preserve"> and 26% were treatment-experienced.</w:t>
      </w:r>
    </w:p>
    <w:p w:rsidR="00C417C3" w:rsidRDefault="00B533D7" w:rsidP="00146E9F">
      <w:r>
        <w:t>Table 10</w:t>
      </w:r>
      <w:r w:rsidR="00C417C3" w:rsidRPr="008A0A30">
        <w:t xml:space="preserve"> presents the SVR12 </w:t>
      </w:r>
      <w:r w:rsidR="00A61D97">
        <w:t xml:space="preserve">and other virologic outcomes </w:t>
      </w:r>
      <w:r w:rsidR="00C417C3" w:rsidRPr="008A0A30">
        <w:t xml:space="preserve">for the ASTRAL-3 </w:t>
      </w:r>
      <w:r w:rsidR="008B6AAF" w:rsidRPr="008A0A30">
        <w:t>trial</w:t>
      </w:r>
      <w:r w:rsidR="00C417C3" w:rsidRPr="008A0A30">
        <w:t>.</w:t>
      </w:r>
    </w:p>
    <w:p w:rsidR="00C417C3" w:rsidRPr="008A0A30" w:rsidRDefault="00003AC8" w:rsidP="00003AC8">
      <w:pPr>
        <w:pStyle w:val="Caption"/>
      </w:pPr>
      <w:bookmarkStart w:id="9" w:name="_Ref434241991"/>
      <w:bookmarkStart w:id="10" w:name="_Toc426372116"/>
      <w:bookmarkStart w:id="11" w:name="_Toc434324433"/>
      <w:r>
        <w:t xml:space="preserve">Table </w:t>
      </w:r>
      <w:r w:rsidR="00383BF1">
        <w:fldChar w:fldCharType="begin"/>
      </w:r>
      <w:r w:rsidR="00383BF1">
        <w:instrText xml:space="preserve"> SEQ Table \* ARABIC </w:instrText>
      </w:r>
      <w:r w:rsidR="00383BF1">
        <w:fldChar w:fldCharType="separate"/>
      </w:r>
      <w:r w:rsidR="00D60556">
        <w:rPr>
          <w:noProof/>
        </w:rPr>
        <w:t>10</w:t>
      </w:r>
      <w:r w:rsidR="00383BF1">
        <w:rPr>
          <w:noProof/>
        </w:rPr>
        <w:fldChar w:fldCharType="end"/>
      </w:r>
      <w:bookmarkEnd w:id="9"/>
      <w:bookmarkEnd w:id="10"/>
      <w:r>
        <w:t>.</w:t>
      </w:r>
      <w:r w:rsidR="00A61D97" w:rsidRPr="00600E71">
        <w:t>Study ASTRAL-3:</w:t>
      </w:r>
      <w:r w:rsidR="007A5254" w:rsidRPr="00600E71">
        <w:t xml:space="preserve"> </w:t>
      </w:r>
      <w:r w:rsidR="00C417C3" w:rsidRPr="00600E71">
        <w:t>SVR12</w:t>
      </w:r>
      <w:r w:rsidR="00A61D97" w:rsidRPr="00600E71">
        <w:t xml:space="preserve"> and Virologic Outcomes</w:t>
      </w:r>
      <w:r w:rsidR="00C417C3" w:rsidRPr="00600E71">
        <w:t xml:space="preserve"> (HCV Genotype 3)</w:t>
      </w:r>
      <w:bookmarkEnd w:id="11"/>
    </w:p>
    <w:tbl>
      <w:tblPr>
        <w:tblW w:w="5000" w:type="pct"/>
        <w:tblCellMar>
          <w:left w:w="60" w:type="dxa"/>
          <w:right w:w="60" w:type="dxa"/>
        </w:tblCellMar>
        <w:tblLook w:val="0000" w:firstRow="0" w:lastRow="0" w:firstColumn="0" w:lastColumn="0" w:noHBand="0" w:noVBand="0"/>
        <w:tblDescription w:val="Table 10 Study ASTRAL-3: SVR12 and Virologic Outcomes (HCV Genotype 3)"/>
      </w:tblPr>
      <w:tblGrid>
        <w:gridCol w:w="3296"/>
        <w:gridCol w:w="2947"/>
        <w:gridCol w:w="2948"/>
      </w:tblGrid>
      <w:tr w:rsidR="00C417C3" w:rsidRPr="008A0A30" w:rsidTr="00003AC8">
        <w:trPr>
          <w:trHeight w:val="20"/>
          <w:tblHeader/>
        </w:trPr>
        <w:tc>
          <w:tcPr>
            <w:tcW w:w="1793" w:type="pct"/>
            <w:tcBorders>
              <w:top w:val="single" w:sz="12" w:space="0" w:color="auto"/>
              <w:bottom w:val="single" w:sz="12" w:space="0" w:color="auto"/>
              <w:right w:val="single" w:sz="4" w:space="0" w:color="auto"/>
            </w:tcBorders>
            <w:vAlign w:val="bottom"/>
          </w:tcPr>
          <w:p w:rsidR="00C417C3" w:rsidRPr="008A0A30" w:rsidRDefault="00C417C3" w:rsidP="00C269F9">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jc w:val="center"/>
              <w:rPr>
                <w:rFonts w:eastAsia="MS Mincho"/>
                <w:b/>
                <w:szCs w:val="24"/>
              </w:rPr>
            </w:pPr>
            <w:bookmarkStart w:id="12" w:name="_Toc426372117"/>
          </w:p>
        </w:tc>
        <w:tc>
          <w:tcPr>
            <w:tcW w:w="1603" w:type="pct"/>
            <w:tcBorders>
              <w:top w:val="single" w:sz="12" w:space="0" w:color="auto"/>
              <w:left w:val="single" w:sz="4" w:space="0" w:color="auto"/>
              <w:bottom w:val="single" w:sz="12" w:space="0" w:color="auto"/>
              <w:right w:val="single" w:sz="4" w:space="0" w:color="auto"/>
            </w:tcBorders>
            <w:vAlign w:val="bottom"/>
          </w:tcPr>
          <w:p w:rsidR="00C417C3" w:rsidRPr="008A0A30" w:rsidRDefault="00C3685A" w:rsidP="00C269F9">
            <w:pPr>
              <w:pStyle w:val="TableHeaderCenter"/>
              <w:keepNext/>
              <w:keepLines/>
              <w:spacing w:before="40" w:after="40"/>
              <w:rPr>
                <w:rFonts w:ascii="Times New Roman" w:hAnsi="Times New Roman"/>
                <w:sz w:val="24"/>
              </w:rPr>
            </w:pPr>
            <w:r>
              <w:rPr>
                <w:rFonts w:ascii="Times New Roman" w:hAnsi="Times New Roman"/>
                <w:sz w:val="24"/>
              </w:rPr>
              <w:t>EPCLUSA</w:t>
            </w:r>
            <w:r w:rsidR="00C417C3" w:rsidRPr="008A0A30">
              <w:rPr>
                <w:rFonts w:ascii="Times New Roman" w:hAnsi="Times New Roman"/>
                <w:sz w:val="24"/>
              </w:rPr>
              <w:t xml:space="preserve"> 12 Weeks</w:t>
            </w:r>
            <w:r w:rsidR="00C417C3" w:rsidRPr="008A0A30">
              <w:rPr>
                <w:rFonts w:ascii="Times New Roman" w:hAnsi="Times New Roman"/>
                <w:sz w:val="24"/>
              </w:rPr>
              <w:br/>
              <w:t>(N = 277)</w:t>
            </w:r>
          </w:p>
        </w:tc>
        <w:tc>
          <w:tcPr>
            <w:tcW w:w="1604" w:type="pct"/>
            <w:tcBorders>
              <w:top w:val="single" w:sz="12" w:space="0" w:color="auto"/>
              <w:left w:val="single" w:sz="4" w:space="0" w:color="auto"/>
              <w:bottom w:val="single" w:sz="12" w:space="0" w:color="auto"/>
            </w:tcBorders>
            <w:vAlign w:val="bottom"/>
          </w:tcPr>
          <w:p w:rsidR="00C417C3" w:rsidRPr="008A0A30" w:rsidRDefault="00C417C3" w:rsidP="00C269F9">
            <w:pPr>
              <w:pStyle w:val="TableHeaderCenter"/>
              <w:keepNext/>
              <w:keepLines/>
              <w:spacing w:before="40" w:after="40"/>
              <w:rPr>
                <w:rFonts w:ascii="Times New Roman" w:hAnsi="Times New Roman"/>
                <w:sz w:val="24"/>
              </w:rPr>
            </w:pPr>
            <w:r w:rsidRPr="008A0A30">
              <w:rPr>
                <w:rFonts w:ascii="Times New Roman" w:hAnsi="Times New Roman"/>
                <w:sz w:val="24"/>
              </w:rPr>
              <w:t>SOF+RBV 24 Weeks</w:t>
            </w:r>
            <w:r w:rsidRPr="008A0A30">
              <w:rPr>
                <w:rFonts w:ascii="Times New Roman" w:hAnsi="Times New Roman"/>
                <w:sz w:val="24"/>
              </w:rPr>
              <w:br/>
              <w:t>(N = 275)</w:t>
            </w:r>
          </w:p>
        </w:tc>
      </w:tr>
      <w:tr w:rsidR="00C417C3" w:rsidRPr="008A0A30" w:rsidTr="00333FAE">
        <w:trPr>
          <w:trHeight w:val="20"/>
        </w:trPr>
        <w:tc>
          <w:tcPr>
            <w:tcW w:w="1793" w:type="pct"/>
            <w:tcBorders>
              <w:top w:val="single" w:sz="12" w:space="0" w:color="auto"/>
              <w:bottom w:val="single" w:sz="4" w:space="0" w:color="auto"/>
              <w:right w:val="single" w:sz="4" w:space="0" w:color="auto"/>
            </w:tcBorders>
            <w:vAlign w:val="bottom"/>
          </w:tcPr>
          <w:p w:rsidR="00C417C3" w:rsidRPr="008A0A30" w:rsidRDefault="00C417C3" w:rsidP="00C269F9">
            <w:pPr>
              <w:pStyle w:val="Table-Text"/>
              <w:spacing w:before="40" w:after="40"/>
              <w:rPr>
                <w:sz w:val="24"/>
                <w:szCs w:val="24"/>
              </w:rPr>
            </w:pPr>
            <w:r w:rsidRPr="008A0A30">
              <w:rPr>
                <w:sz w:val="24"/>
                <w:szCs w:val="24"/>
              </w:rPr>
              <w:t>SVR12</w:t>
            </w:r>
          </w:p>
        </w:tc>
        <w:tc>
          <w:tcPr>
            <w:tcW w:w="1603" w:type="pct"/>
            <w:tcBorders>
              <w:top w:val="single" w:sz="12" w:space="0" w:color="auto"/>
              <w:left w:val="single" w:sz="4" w:space="0" w:color="auto"/>
              <w:bottom w:val="single" w:sz="4" w:space="0" w:color="auto"/>
              <w:right w:val="single" w:sz="4"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95% (264/277)</w:t>
            </w:r>
          </w:p>
        </w:tc>
        <w:tc>
          <w:tcPr>
            <w:tcW w:w="1604" w:type="pct"/>
            <w:tcBorders>
              <w:top w:val="single" w:sz="12" w:space="0" w:color="auto"/>
              <w:left w:val="single" w:sz="4" w:space="0" w:color="auto"/>
              <w:bottom w:val="single" w:sz="4"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80% (221/275)</w:t>
            </w:r>
          </w:p>
        </w:tc>
      </w:tr>
      <w:tr w:rsidR="00C417C3" w:rsidRPr="008A0A30" w:rsidTr="00333FAE">
        <w:trPr>
          <w:trHeight w:val="20"/>
        </w:trPr>
        <w:tc>
          <w:tcPr>
            <w:tcW w:w="5000" w:type="pct"/>
            <w:gridSpan w:val="3"/>
            <w:tcBorders>
              <w:top w:val="single" w:sz="4" w:space="0" w:color="auto"/>
              <w:bottom w:val="single" w:sz="4" w:space="0" w:color="auto"/>
            </w:tcBorders>
            <w:vAlign w:val="bottom"/>
          </w:tcPr>
          <w:p w:rsidR="00C417C3" w:rsidRPr="008A0A30" w:rsidRDefault="00C417C3" w:rsidP="00A26D7D">
            <w:pPr>
              <w:pStyle w:val="Table-Text"/>
              <w:spacing w:before="40" w:after="40"/>
              <w:rPr>
                <w:sz w:val="24"/>
                <w:szCs w:val="24"/>
              </w:rPr>
            </w:pPr>
            <w:r w:rsidRPr="008A0A30">
              <w:rPr>
                <w:sz w:val="24"/>
                <w:szCs w:val="24"/>
              </w:rPr>
              <w:t xml:space="preserve">Outcome for </w:t>
            </w:r>
            <w:r w:rsidR="00A26D7D">
              <w:rPr>
                <w:sz w:val="24"/>
                <w:szCs w:val="24"/>
              </w:rPr>
              <w:t>patients</w:t>
            </w:r>
            <w:r w:rsidR="00A26D7D" w:rsidRPr="008A0A30">
              <w:rPr>
                <w:sz w:val="24"/>
                <w:szCs w:val="24"/>
              </w:rPr>
              <w:t xml:space="preserve"> </w:t>
            </w:r>
            <w:r w:rsidRPr="008A0A30">
              <w:rPr>
                <w:sz w:val="24"/>
                <w:szCs w:val="24"/>
              </w:rPr>
              <w:t>without SVR</w:t>
            </w:r>
          </w:p>
        </w:tc>
      </w:tr>
      <w:tr w:rsidR="00C417C3" w:rsidRPr="008A0A30" w:rsidTr="00333FAE">
        <w:trPr>
          <w:trHeight w:val="20"/>
        </w:trPr>
        <w:tc>
          <w:tcPr>
            <w:tcW w:w="1793" w:type="pct"/>
            <w:tcBorders>
              <w:top w:val="single" w:sz="4" w:space="0" w:color="auto"/>
              <w:bottom w:val="single" w:sz="4" w:space="0" w:color="auto"/>
              <w:right w:val="single" w:sz="4" w:space="0" w:color="auto"/>
            </w:tcBorders>
            <w:vAlign w:val="bottom"/>
          </w:tcPr>
          <w:p w:rsidR="00C417C3" w:rsidRPr="008A0A30" w:rsidRDefault="00C417C3" w:rsidP="00E92103">
            <w:pPr>
              <w:pStyle w:val="Table-Text"/>
              <w:spacing w:before="40" w:after="40"/>
              <w:ind w:firstLine="270"/>
              <w:rPr>
                <w:sz w:val="24"/>
                <w:szCs w:val="24"/>
              </w:rPr>
            </w:pPr>
            <w:r w:rsidRPr="008A0A30">
              <w:rPr>
                <w:sz w:val="24"/>
                <w:szCs w:val="24"/>
              </w:rPr>
              <w:t xml:space="preserve">On-Treatment Virologic Failure </w:t>
            </w:r>
          </w:p>
        </w:tc>
        <w:tc>
          <w:tcPr>
            <w:tcW w:w="1603" w:type="pct"/>
            <w:tcBorders>
              <w:top w:val="single" w:sz="4" w:space="0" w:color="auto"/>
              <w:left w:val="single" w:sz="4" w:space="0" w:color="auto"/>
              <w:bottom w:val="single" w:sz="4" w:space="0" w:color="auto"/>
              <w:right w:val="single" w:sz="4"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0/277</w:t>
            </w:r>
          </w:p>
        </w:tc>
        <w:tc>
          <w:tcPr>
            <w:tcW w:w="1604" w:type="pct"/>
            <w:tcBorders>
              <w:top w:val="single" w:sz="4" w:space="0" w:color="auto"/>
              <w:left w:val="single" w:sz="4" w:space="0" w:color="auto"/>
              <w:bottom w:val="single" w:sz="4"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 xml:space="preserve">&lt;1% (1/275) </w:t>
            </w:r>
          </w:p>
        </w:tc>
      </w:tr>
      <w:tr w:rsidR="00C417C3" w:rsidRPr="008A0A30" w:rsidTr="00333FAE">
        <w:trPr>
          <w:trHeight w:val="20"/>
        </w:trPr>
        <w:tc>
          <w:tcPr>
            <w:tcW w:w="1793" w:type="pct"/>
            <w:tcBorders>
              <w:top w:val="single" w:sz="4" w:space="0" w:color="auto"/>
              <w:bottom w:val="single" w:sz="4" w:space="0" w:color="auto"/>
              <w:right w:val="single" w:sz="4" w:space="0" w:color="auto"/>
            </w:tcBorders>
            <w:vAlign w:val="bottom"/>
          </w:tcPr>
          <w:p w:rsidR="00C417C3" w:rsidRPr="008A0A30" w:rsidRDefault="00C417C3" w:rsidP="00C269F9">
            <w:pPr>
              <w:pStyle w:val="Table-Text"/>
              <w:spacing w:before="40" w:after="40"/>
              <w:ind w:firstLine="270"/>
              <w:rPr>
                <w:sz w:val="24"/>
                <w:szCs w:val="24"/>
              </w:rPr>
            </w:pPr>
            <w:r w:rsidRPr="008A0A30">
              <w:rPr>
                <w:sz w:val="24"/>
                <w:szCs w:val="24"/>
              </w:rPr>
              <w:t>Relapse</w:t>
            </w:r>
            <w:r w:rsidRPr="008A0A30">
              <w:rPr>
                <w:sz w:val="24"/>
                <w:szCs w:val="24"/>
                <w:vertAlign w:val="superscript"/>
              </w:rPr>
              <w:t>a</w:t>
            </w:r>
          </w:p>
        </w:tc>
        <w:tc>
          <w:tcPr>
            <w:tcW w:w="1603" w:type="pct"/>
            <w:tcBorders>
              <w:top w:val="single" w:sz="4" w:space="0" w:color="auto"/>
              <w:left w:val="single" w:sz="4" w:space="0" w:color="auto"/>
              <w:bottom w:val="single" w:sz="4" w:space="0" w:color="auto"/>
              <w:right w:val="single" w:sz="4"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4% (11/276)</w:t>
            </w:r>
          </w:p>
        </w:tc>
        <w:tc>
          <w:tcPr>
            <w:tcW w:w="1604" w:type="pct"/>
            <w:tcBorders>
              <w:top w:val="single" w:sz="4" w:space="0" w:color="auto"/>
              <w:left w:val="single" w:sz="4" w:space="0" w:color="auto"/>
              <w:bottom w:val="single" w:sz="4"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14% (38/272)</w:t>
            </w:r>
          </w:p>
        </w:tc>
      </w:tr>
      <w:tr w:rsidR="00C417C3" w:rsidRPr="008A0A30" w:rsidTr="00333FAE">
        <w:trPr>
          <w:trHeight w:val="20"/>
        </w:trPr>
        <w:tc>
          <w:tcPr>
            <w:tcW w:w="1793" w:type="pct"/>
            <w:tcBorders>
              <w:top w:val="single" w:sz="4" w:space="0" w:color="auto"/>
              <w:bottom w:val="single" w:sz="12" w:space="0" w:color="auto"/>
              <w:right w:val="single" w:sz="4" w:space="0" w:color="auto"/>
            </w:tcBorders>
            <w:vAlign w:val="bottom"/>
          </w:tcPr>
          <w:p w:rsidR="00C417C3" w:rsidRPr="008A0A30" w:rsidRDefault="00C417C3" w:rsidP="00C269F9">
            <w:pPr>
              <w:pStyle w:val="Table-Text"/>
              <w:spacing w:before="40" w:after="40"/>
              <w:ind w:firstLine="270"/>
              <w:rPr>
                <w:sz w:val="24"/>
                <w:szCs w:val="24"/>
              </w:rPr>
            </w:pPr>
            <w:r w:rsidRPr="008A0A30">
              <w:rPr>
                <w:sz w:val="24"/>
                <w:szCs w:val="24"/>
              </w:rPr>
              <w:t>Other</w:t>
            </w:r>
            <w:r w:rsidRPr="008A0A30">
              <w:rPr>
                <w:sz w:val="24"/>
                <w:szCs w:val="24"/>
                <w:vertAlign w:val="superscript"/>
              </w:rPr>
              <w:t>b</w:t>
            </w:r>
            <w:r w:rsidRPr="008A0A30">
              <w:rPr>
                <w:sz w:val="24"/>
                <w:szCs w:val="24"/>
              </w:rPr>
              <w:t xml:space="preserve"> </w:t>
            </w:r>
          </w:p>
        </w:tc>
        <w:tc>
          <w:tcPr>
            <w:tcW w:w="1603" w:type="pct"/>
            <w:tcBorders>
              <w:top w:val="single" w:sz="4" w:space="0" w:color="auto"/>
              <w:left w:val="single" w:sz="4" w:space="0" w:color="auto"/>
              <w:bottom w:val="single" w:sz="12" w:space="0" w:color="auto"/>
              <w:right w:val="single" w:sz="4"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1% (2/277)</w:t>
            </w:r>
          </w:p>
        </w:tc>
        <w:tc>
          <w:tcPr>
            <w:tcW w:w="1604" w:type="pct"/>
            <w:tcBorders>
              <w:top w:val="single" w:sz="4" w:space="0" w:color="auto"/>
              <w:left w:val="single" w:sz="4" w:space="0" w:color="auto"/>
              <w:bottom w:val="single" w:sz="12" w:space="0" w:color="auto"/>
            </w:tcBorders>
            <w:vAlign w:val="center"/>
          </w:tcPr>
          <w:p w:rsidR="00C417C3" w:rsidRPr="008A0A30" w:rsidRDefault="00C417C3" w:rsidP="00C269F9">
            <w:pPr>
              <w:pStyle w:val="Table-Text"/>
              <w:spacing w:before="40" w:after="40"/>
              <w:jc w:val="center"/>
              <w:rPr>
                <w:sz w:val="24"/>
                <w:szCs w:val="24"/>
              </w:rPr>
            </w:pPr>
            <w:r w:rsidRPr="008A0A30">
              <w:rPr>
                <w:sz w:val="24"/>
                <w:szCs w:val="24"/>
              </w:rPr>
              <w:t>5% (15/275)</w:t>
            </w:r>
          </w:p>
        </w:tc>
      </w:tr>
    </w:tbl>
    <w:p w:rsidR="00C417C3" w:rsidRPr="008A0A30" w:rsidRDefault="00C417C3" w:rsidP="00E662B6">
      <w:pPr>
        <w:pStyle w:val="TableFooter"/>
        <w:spacing w:before="0" w:after="0"/>
        <w:ind w:left="329" w:hanging="329"/>
      </w:pPr>
      <w:r w:rsidRPr="008A0A30">
        <w:t>a</w:t>
      </w:r>
      <w:r w:rsidRPr="008A0A30">
        <w:tab/>
        <w:t xml:space="preserve">The denominator for relapse is the number of </w:t>
      </w:r>
      <w:r w:rsidR="00BA5FD2" w:rsidRPr="008A0A30">
        <w:t>patients</w:t>
      </w:r>
      <w:r w:rsidRPr="008A0A30">
        <w:t xml:space="preserve"> with HCV RNA &lt;LLOQ at their last on-treatment assessment.</w:t>
      </w:r>
    </w:p>
    <w:p w:rsidR="00C417C3" w:rsidRPr="008A0A30" w:rsidRDefault="00C417C3" w:rsidP="00905634">
      <w:pPr>
        <w:pStyle w:val="TableFooter"/>
        <w:spacing w:before="0" w:after="360"/>
        <w:ind w:left="329" w:hanging="329"/>
      </w:pPr>
      <w:r w:rsidRPr="008A0A30">
        <w:t>b</w:t>
      </w:r>
      <w:r w:rsidRPr="008A0A30">
        <w:tab/>
        <w:t xml:space="preserve">Other includes </w:t>
      </w:r>
      <w:r w:rsidR="00BA5FD2" w:rsidRPr="008A0A30">
        <w:t>patients</w:t>
      </w:r>
      <w:r w:rsidRPr="008A0A30">
        <w:t xml:space="preserve"> who did not achieve SVR and did not meet virologic failure criteria.</w:t>
      </w:r>
    </w:p>
    <w:p w:rsidR="00C417C3" w:rsidRPr="008A0A30" w:rsidRDefault="00E662B6" w:rsidP="00C417C3">
      <w:pPr>
        <w:pStyle w:val="Text10"/>
        <w:widowControl w:val="0"/>
      </w:pPr>
      <w:r w:rsidRPr="008A0A30">
        <w:t xml:space="preserve">Treatment with </w:t>
      </w:r>
      <w:r w:rsidR="00C3685A">
        <w:t>EPCLUSA</w:t>
      </w:r>
      <w:r w:rsidR="00C417C3" w:rsidRPr="008A0A30">
        <w:t xml:space="preserve"> for 12 weeks demonstrated statistical superiority (p &lt; 0.001) compared to treatment with SOF+RBV for 24 weeks (treatment difference +14.8%; 95% confidence interval: +9.6% to +20.0%).</w:t>
      </w:r>
    </w:p>
    <w:p w:rsidR="00FC3767" w:rsidRDefault="00C417C3" w:rsidP="00C417C3">
      <w:pPr>
        <w:pStyle w:val="Text10"/>
        <w:widowControl w:val="0"/>
      </w:pPr>
      <w:r w:rsidRPr="008A0A30">
        <w:t>SVR12 for selected subgroups are presented in</w:t>
      </w:r>
      <w:r w:rsidR="00B533D7">
        <w:t xml:space="preserve"> </w:t>
      </w:r>
      <w:r w:rsidR="00D60556">
        <w:fldChar w:fldCharType="begin"/>
      </w:r>
      <w:r w:rsidR="00D60556">
        <w:instrText xml:space="preserve"> REF _Ref434242001 \h </w:instrText>
      </w:r>
      <w:r w:rsidR="00D60556">
        <w:fldChar w:fldCharType="separate"/>
      </w:r>
      <w:r w:rsidR="00D60556">
        <w:t xml:space="preserve">Table </w:t>
      </w:r>
      <w:r w:rsidR="00D60556">
        <w:rPr>
          <w:noProof/>
        </w:rPr>
        <w:t>11</w:t>
      </w:r>
      <w:r w:rsidR="00D60556">
        <w:fldChar w:fldCharType="end"/>
      </w:r>
      <w:r w:rsidRPr="008A0A30">
        <w:t>.</w:t>
      </w:r>
    </w:p>
    <w:p w:rsidR="00C417C3" w:rsidRPr="008A0A30" w:rsidRDefault="00003AC8" w:rsidP="00003AC8">
      <w:pPr>
        <w:pStyle w:val="Caption"/>
        <w:rPr>
          <w:b w:val="0"/>
        </w:rPr>
      </w:pPr>
      <w:bookmarkStart w:id="13" w:name="_Ref434242001"/>
      <w:bookmarkStart w:id="14" w:name="_Toc434324434"/>
      <w:r>
        <w:lastRenderedPageBreak/>
        <w:t xml:space="preserve">Table </w:t>
      </w:r>
      <w:fldSimple w:instr=" SEQ Table \* ARABIC ">
        <w:r w:rsidR="00D60556">
          <w:rPr>
            <w:noProof/>
          </w:rPr>
          <w:t>11</w:t>
        </w:r>
      </w:fldSimple>
      <w:bookmarkEnd w:id="12"/>
      <w:bookmarkEnd w:id="13"/>
      <w:r>
        <w:t xml:space="preserve">. </w:t>
      </w:r>
      <w:r w:rsidR="00A61D97" w:rsidRPr="00A61D97">
        <w:t>Study ASTRAL-3:</w:t>
      </w:r>
      <w:r w:rsidR="00A61D97">
        <w:rPr>
          <w:b w:val="0"/>
        </w:rPr>
        <w:t xml:space="preserve"> </w:t>
      </w:r>
      <w:r w:rsidR="00C417C3" w:rsidRPr="008A0A30">
        <w:t>SVR12 for Selected Subgroups (HCV Genotype 3)</w:t>
      </w:r>
      <w:bookmarkEnd w:id="14"/>
    </w:p>
    <w:tbl>
      <w:tblPr>
        <w:tblW w:w="5000" w:type="pct"/>
        <w:tblBorders>
          <w:top w:val="single" w:sz="6" w:space="0" w:color="auto"/>
          <w:bottom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Description w:val="Table 11. Study ASTRAL-3: SVR12 for Selected Subgroups (HCV Genotype 3)"/>
      </w:tblPr>
      <w:tblGrid>
        <w:gridCol w:w="1729"/>
        <w:gridCol w:w="1638"/>
        <w:gridCol w:w="2034"/>
        <w:gridCol w:w="1515"/>
        <w:gridCol w:w="2155"/>
      </w:tblGrid>
      <w:tr w:rsidR="00C417C3" w:rsidRPr="008A0A30" w:rsidTr="00333FAE">
        <w:trPr>
          <w:cantSplit/>
          <w:tblHeader/>
        </w:trPr>
        <w:tc>
          <w:tcPr>
            <w:tcW w:w="953" w:type="pct"/>
            <w:vMerge w:val="restart"/>
            <w:tcBorders>
              <w:top w:val="single" w:sz="12" w:space="0" w:color="auto"/>
            </w:tcBorders>
            <w:shd w:val="clear" w:color="auto" w:fill="FFFFFF"/>
            <w:vAlign w:val="bottom"/>
          </w:tcPr>
          <w:p w:rsidR="00C417C3" w:rsidRPr="008A0A30" w:rsidRDefault="00C417C3" w:rsidP="00C269F9">
            <w:pPr>
              <w:pStyle w:val="TableHeaderCenter"/>
              <w:spacing w:before="40" w:after="40"/>
              <w:rPr>
                <w:sz w:val="24"/>
              </w:rPr>
            </w:pPr>
          </w:p>
        </w:tc>
        <w:tc>
          <w:tcPr>
            <w:tcW w:w="2024" w:type="pct"/>
            <w:gridSpan w:val="2"/>
            <w:tcBorders>
              <w:top w:val="single" w:sz="12" w:space="0" w:color="auto"/>
            </w:tcBorders>
            <w:shd w:val="clear" w:color="auto" w:fill="FFFFFF"/>
            <w:vAlign w:val="bottom"/>
          </w:tcPr>
          <w:p w:rsidR="00C417C3" w:rsidRPr="008A0A30" w:rsidRDefault="00C3685A" w:rsidP="00C269F9">
            <w:pPr>
              <w:pStyle w:val="TableHeaderCenter"/>
              <w:spacing w:before="40" w:after="40"/>
              <w:rPr>
                <w:sz w:val="24"/>
              </w:rPr>
            </w:pPr>
            <w:r>
              <w:rPr>
                <w:sz w:val="24"/>
              </w:rPr>
              <w:t>EPCLUSA</w:t>
            </w:r>
            <w:r w:rsidR="00C417C3" w:rsidRPr="008A0A30">
              <w:rPr>
                <w:sz w:val="24"/>
              </w:rPr>
              <w:t xml:space="preserve"> 12 Weeks</w:t>
            </w:r>
          </w:p>
        </w:tc>
        <w:tc>
          <w:tcPr>
            <w:tcW w:w="2023" w:type="pct"/>
            <w:gridSpan w:val="2"/>
            <w:tcBorders>
              <w:top w:val="single" w:sz="12" w:space="0" w:color="auto"/>
            </w:tcBorders>
            <w:shd w:val="clear" w:color="auto" w:fill="FFFFFF"/>
            <w:vAlign w:val="bottom"/>
          </w:tcPr>
          <w:p w:rsidR="00C417C3" w:rsidRPr="008A0A30" w:rsidRDefault="00C417C3" w:rsidP="00C269F9">
            <w:pPr>
              <w:pStyle w:val="TableHeaderCenter"/>
              <w:spacing w:before="40" w:after="40"/>
              <w:rPr>
                <w:sz w:val="24"/>
              </w:rPr>
            </w:pPr>
            <w:r w:rsidRPr="008A0A30">
              <w:rPr>
                <w:sz w:val="24"/>
              </w:rPr>
              <w:t>SOF+RBV 24 Weeks</w:t>
            </w:r>
            <w:r w:rsidRPr="008A0A30">
              <w:rPr>
                <w:sz w:val="24"/>
                <w:vertAlign w:val="superscript"/>
              </w:rPr>
              <w:t>a</w:t>
            </w:r>
          </w:p>
        </w:tc>
      </w:tr>
      <w:tr w:rsidR="00C417C3" w:rsidRPr="008A0A30" w:rsidTr="00333FAE">
        <w:trPr>
          <w:cantSplit/>
          <w:tblHeader/>
        </w:trPr>
        <w:tc>
          <w:tcPr>
            <w:tcW w:w="953" w:type="pct"/>
            <w:vMerge/>
            <w:tcBorders>
              <w:bottom w:val="single" w:sz="12" w:space="0" w:color="auto"/>
            </w:tcBorders>
            <w:shd w:val="clear" w:color="auto" w:fill="FFFFFF"/>
            <w:vAlign w:val="center"/>
          </w:tcPr>
          <w:p w:rsidR="00C417C3" w:rsidRPr="008A0A30" w:rsidRDefault="00C417C3" w:rsidP="00C269F9">
            <w:pPr>
              <w:pStyle w:val="TableHeaderCenter"/>
              <w:spacing w:before="40" w:after="40"/>
              <w:rPr>
                <w:sz w:val="24"/>
              </w:rPr>
            </w:pPr>
          </w:p>
        </w:tc>
        <w:tc>
          <w:tcPr>
            <w:tcW w:w="903" w:type="pct"/>
            <w:tcBorders>
              <w:bottom w:val="single" w:sz="12" w:space="0" w:color="auto"/>
            </w:tcBorders>
            <w:shd w:val="clear" w:color="auto" w:fill="FFFFFF"/>
            <w:vAlign w:val="bottom"/>
          </w:tcPr>
          <w:p w:rsidR="00C417C3" w:rsidRPr="008A0A30" w:rsidRDefault="00C417C3" w:rsidP="00C269F9">
            <w:pPr>
              <w:pStyle w:val="TableHeaderCenter"/>
              <w:spacing w:before="40" w:after="40"/>
              <w:rPr>
                <w:sz w:val="24"/>
              </w:rPr>
            </w:pPr>
            <w:r w:rsidRPr="008A0A30">
              <w:rPr>
                <w:sz w:val="24"/>
              </w:rPr>
              <w:t>Treatment-Naïve</w:t>
            </w:r>
            <w:r w:rsidRPr="008A0A30">
              <w:rPr>
                <w:sz w:val="24"/>
              </w:rPr>
              <w:br/>
              <w:t>(N=206)</w:t>
            </w:r>
          </w:p>
        </w:tc>
        <w:tc>
          <w:tcPr>
            <w:tcW w:w="1121" w:type="pct"/>
            <w:tcBorders>
              <w:bottom w:val="single" w:sz="12" w:space="0" w:color="auto"/>
            </w:tcBorders>
            <w:shd w:val="clear" w:color="auto" w:fill="FFFFFF"/>
            <w:vAlign w:val="bottom"/>
          </w:tcPr>
          <w:p w:rsidR="00C417C3" w:rsidRPr="008A0A30" w:rsidRDefault="00C417C3" w:rsidP="00D60556">
            <w:pPr>
              <w:pStyle w:val="TableHeaderCenter"/>
              <w:spacing w:before="40" w:after="40"/>
              <w:rPr>
                <w:sz w:val="24"/>
              </w:rPr>
            </w:pPr>
            <w:r w:rsidRPr="008A0A30">
              <w:rPr>
                <w:sz w:val="24"/>
              </w:rPr>
              <w:t>Treatment-Experienced</w:t>
            </w:r>
            <w:r w:rsidRPr="008A0A30">
              <w:rPr>
                <w:sz w:val="24"/>
              </w:rPr>
              <w:br/>
              <w:t>(N=71)</w:t>
            </w:r>
          </w:p>
        </w:tc>
        <w:tc>
          <w:tcPr>
            <w:tcW w:w="835" w:type="pct"/>
            <w:tcBorders>
              <w:bottom w:val="single" w:sz="12" w:space="0" w:color="auto"/>
            </w:tcBorders>
            <w:shd w:val="clear" w:color="auto" w:fill="FFFFFF"/>
            <w:vAlign w:val="bottom"/>
          </w:tcPr>
          <w:p w:rsidR="00C417C3" w:rsidRPr="008A0A30" w:rsidRDefault="00C417C3" w:rsidP="00C269F9">
            <w:pPr>
              <w:pStyle w:val="TableHeaderCenter"/>
              <w:spacing w:before="40" w:after="40"/>
              <w:rPr>
                <w:sz w:val="24"/>
              </w:rPr>
            </w:pPr>
            <w:r w:rsidRPr="008A0A30">
              <w:rPr>
                <w:sz w:val="24"/>
              </w:rPr>
              <w:t>Treatment-Naïve</w:t>
            </w:r>
            <w:r w:rsidRPr="008A0A30">
              <w:rPr>
                <w:sz w:val="24"/>
              </w:rPr>
              <w:br/>
              <w:t>(N=201)</w:t>
            </w:r>
          </w:p>
        </w:tc>
        <w:tc>
          <w:tcPr>
            <w:tcW w:w="1188" w:type="pct"/>
            <w:tcBorders>
              <w:bottom w:val="single" w:sz="12" w:space="0" w:color="auto"/>
            </w:tcBorders>
            <w:shd w:val="clear" w:color="auto" w:fill="FFFFFF"/>
            <w:vAlign w:val="bottom"/>
          </w:tcPr>
          <w:p w:rsidR="00C417C3" w:rsidRPr="008A0A30" w:rsidRDefault="00C417C3" w:rsidP="00C269F9">
            <w:pPr>
              <w:pStyle w:val="TableHeaderCenter"/>
              <w:spacing w:before="40" w:after="40"/>
              <w:rPr>
                <w:sz w:val="24"/>
              </w:rPr>
            </w:pPr>
            <w:r w:rsidRPr="008A0A30">
              <w:rPr>
                <w:sz w:val="24"/>
              </w:rPr>
              <w:t>Treatment-Experienced</w:t>
            </w:r>
            <w:r w:rsidRPr="008A0A30">
              <w:rPr>
                <w:sz w:val="24"/>
              </w:rPr>
              <w:br/>
              <w:t>(N=69)</w:t>
            </w:r>
          </w:p>
        </w:tc>
      </w:tr>
      <w:tr w:rsidR="00C417C3" w:rsidRPr="008A0A30" w:rsidTr="00333FAE">
        <w:trPr>
          <w:cantSplit/>
        </w:trPr>
        <w:tc>
          <w:tcPr>
            <w:tcW w:w="953" w:type="pct"/>
            <w:tcBorders>
              <w:top w:val="single" w:sz="12" w:space="0" w:color="auto"/>
            </w:tcBorders>
            <w:shd w:val="clear" w:color="auto" w:fill="FFFFFF"/>
          </w:tcPr>
          <w:p w:rsidR="00C417C3" w:rsidRPr="008A0A30" w:rsidRDefault="00C417C3" w:rsidP="00C269F9">
            <w:pPr>
              <w:pStyle w:val="TableCellLeft"/>
              <w:spacing w:before="40" w:after="40"/>
              <w:rPr>
                <w:sz w:val="24"/>
              </w:rPr>
            </w:pPr>
            <w:r w:rsidRPr="008A0A30">
              <w:rPr>
                <w:sz w:val="24"/>
              </w:rPr>
              <w:t>Without cirrhosis</w:t>
            </w:r>
          </w:p>
        </w:tc>
        <w:tc>
          <w:tcPr>
            <w:tcW w:w="903" w:type="pct"/>
            <w:tcBorders>
              <w:top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98% (160/163)</w:t>
            </w:r>
          </w:p>
        </w:tc>
        <w:tc>
          <w:tcPr>
            <w:tcW w:w="1121" w:type="pct"/>
            <w:tcBorders>
              <w:top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91% (31/34)</w:t>
            </w:r>
          </w:p>
        </w:tc>
        <w:tc>
          <w:tcPr>
            <w:tcW w:w="835" w:type="pct"/>
            <w:tcBorders>
              <w:top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90% (141/156)</w:t>
            </w:r>
          </w:p>
        </w:tc>
        <w:tc>
          <w:tcPr>
            <w:tcW w:w="1188" w:type="pct"/>
            <w:tcBorders>
              <w:top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71% (22/31)</w:t>
            </w:r>
          </w:p>
        </w:tc>
      </w:tr>
      <w:tr w:rsidR="00C417C3" w:rsidRPr="008A0A30" w:rsidTr="00333FAE">
        <w:trPr>
          <w:cantSplit/>
        </w:trPr>
        <w:tc>
          <w:tcPr>
            <w:tcW w:w="953" w:type="pct"/>
            <w:tcBorders>
              <w:bottom w:val="single" w:sz="12" w:space="0" w:color="auto"/>
            </w:tcBorders>
            <w:shd w:val="clear" w:color="auto" w:fill="FFFFFF"/>
          </w:tcPr>
          <w:p w:rsidR="00C417C3" w:rsidRPr="008A0A30" w:rsidRDefault="00C417C3" w:rsidP="00C269F9">
            <w:pPr>
              <w:pStyle w:val="TableCellLeft"/>
              <w:spacing w:before="40" w:after="40"/>
              <w:rPr>
                <w:sz w:val="24"/>
              </w:rPr>
            </w:pPr>
            <w:r w:rsidRPr="008A0A30">
              <w:rPr>
                <w:sz w:val="24"/>
              </w:rPr>
              <w:t>With cirrhosis</w:t>
            </w:r>
          </w:p>
        </w:tc>
        <w:tc>
          <w:tcPr>
            <w:tcW w:w="903" w:type="pct"/>
            <w:tcBorders>
              <w:bottom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93% (40/43)</w:t>
            </w:r>
          </w:p>
        </w:tc>
        <w:tc>
          <w:tcPr>
            <w:tcW w:w="1121" w:type="pct"/>
            <w:tcBorders>
              <w:bottom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89% (33/37)</w:t>
            </w:r>
          </w:p>
        </w:tc>
        <w:tc>
          <w:tcPr>
            <w:tcW w:w="835" w:type="pct"/>
            <w:tcBorders>
              <w:bottom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73% (33/45)</w:t>
            </w:r>
          </w:p>
        </w:tc>
        <w:tc>
          <w:tcPr>
            <w:tcW w:w="1188" w:type="pct"/>
            <w:tcBorders>
              <w:bottom w:val="single" w:sz="12" w:space="0" w:color="auto"/>
            </w:tcBorders>
            <w:shd w:val="clear" w:color="auto" w:fill="FFFFFF"/>
            <w:vAlign w:val="center"/>
          </w:tcPr>
          <w:p w:rsidR="00C417C3" w:rsidRPr="008A0A30" w:rsidRDefault="00C417C3" w:rsidP="00C269F9">
            <w:pPr>
              <w:pStyle w:val="TableCellCenter"/>
              <w:spacing w:before="40" w:after="40"/>
              <w:rPr>
                <w:sz w:val="24"/>
              </w:rPr>
            </w:pPr>
            <w:r w:rsidRPr="008A0A30">
              <w:rPr>
                <w:sz w:val="24"/>
              </w:rPr>
              <w:t>58% (22/38)</w:t>
            </w:r>
          </w:p>
        </w:tc>
      </w:tr>
    </w:tbl>
    <w:p w:rsidR="00C417C3" w:rsidRPr="008A0A30" w:rsidRDefault="00C417C3" w:rsidP="00905634">
      <w:pPr>
        <w:pStyle w:val="TableFooter"/>
        <w:spacing w:before="0" w:after="360"/>
        <w:ind w:left="329" w:hanging="329"/>
      </w:pPr>
      <w:r w:rsidRPr="008A0A30">
        <w:t>a</w:t>
      </w:r>
      <w:r w:rsidRPr="008A0A30">
        <w:tab/>
        <w:t xml:space="preserve">Five </w:t>
      </w:r>
      <w:r w:rsidR="00E662B6" w:rsidRPr="008A0A30">
        <w:t>patients</w:t>
      </w:r>
      <w:r w:rsidRPr="008A0A30">
        <w:t xml:space="preserve"> with missing cirrhosis status in the SOF+RBV 24 Week group were excluded from this subgroup analysis.</w:t>
      </w:r>
    </w:p>
    <w:p w:rsidR="00FC3767" w:rsidRDefault="00260792" w:rsidP="00514AEE">
      <w:pPr>
        <w:pStyle w:val="Heading3"/>
      </w:pPr>
      <w:bookmarkStart w:id="15" w:name="_Toc434324403"/>
      <w:r w:rsidRPr="008A0A30">
        <w:t xml:space="preserve">Clinical </w:t>
      </w:r>
      <w:r w:rsidR="00A42C9F" w:rsidRPr="008A0A30">
        <w:t>Studies</w:t>
      </w:r>
      <w:r w:rsidRPr="008A0A30">
        <w:t xml:space="preserve"> in </w:t>
      </w:r>
      <w:r w:rsidR="00A42C9F" w:rsidRPr="008A0A30">
        <w:t>Patients</w:t>
      </w:r>
      <w:r w:rsidRPr="008A0A30">
        <w:t xml:space="preserve"> with Decompensated Cirrhosis</w:t>
      </w:r>
      <w:bookmarkEnd w:id="15"/>
    </w:p>
    <w:p w:rsidR="00260792" w:rsidRPr="008A0A30" w:rsidRDefault="00BD575F" w:rsidP="00BD575F">
      <w:pPr>
        <w:pStyle w:val="Heading4"/>
      </w:pPr>
      <w:r w:rsidRPr="008A0A30">
        <w:t>ASTRAL-4</w:t>
      </w:r>
    </w:p>
    <w:p w:rsidR="00FC3767" w:rsidRDefault="00260792" w:rsidP="00260792">
      <w:pPr>
        <w:pStyle w:val="Text10"/>
      </w:pPr>
      <w:r w:rsidRPr="008A0A30">
        <w:t xml:space="preserve">ASTRAL-4 was a randomised, open-label </w:t>
      </w:r>
      <w:r w:rsidR="008B6AAF" w:rsidRPr="008A0A30">
        <w:t>trial</w:t>
      </w:r>
      <w:r w:rsidRPr="008A0A30">
        <w:t xml:space="preserve"> in </w:t>
      </w:r>
      <w:r w:rsidR="00A42C9F" w:rsidRPr="008A0A30">
        <w:t>patients</w:t>
      </w:r>
      <w:r w:rsidRPr="008A0A30">
        <w:t xml:space="preserve"> with genotype 1, 2, 3, 4, 5</w:t>
      </w:r>
      <w:r w:rsidR="00EC666B">
        <w:t>,</w:t>
      </w:r>
      <w:r w:rsidRPr="008A0A30">
        <w:t xml:space="preserve"> or 6 HCV infection and Child-Pugh B cirrhosis.</w:t>
      </w:r>
      <w:r w:rsidR="00FC3767">
        <w:t xml:space="preserve"> </w:t>
      </w:r>
      <w:r w:rsidR="00A42C9F" w:rsidRPr="008A0A30">
        <w:t>Patients</w:t>
      </w:r>
      <w:r w:rsidRPr="008A0A30">
        <w:t xml:space="preserve"> were randomised in a 1:1:1 ratio to treatment with </w:t>
      </w:r>
      <w:r w:rsidR="00C3685A">
        <w:t>EPCLUSA</w:t>
      </w:r>
      <w:r w:rsidRPr="008A0A30">
        <w:t xml:space="preserve"> for 12 weeks, </w:t>
      </w:r>
      <w:r w:rsidR="00C3685A">
        <w:t>EPCLUSA</w:t>
      </w:r>
      <w:r w:rsidRPr="008A0A30">
        <w:t xml:space="preserve">+RBV for </w:t>
      </w:r>
      <w:r w:rsidR="00A42C9F" w:rsidRPr="008A0A30">
        <w:t>12 weeks</w:t>
      </w:r>
      <w:r w:rsidR="00E92103">
        <w:t>,</w:t>
      </w:r>
      <w:r w:rsidR="00A42C9F" w:rsidRPr="008A0A30">
        <w:t xml:space="preserve"> or </w:t>
      </w:r>
      <w:r w:rsidR="00C3685A">
        <w:t>EPCLUSA</w:t>
      </w:r>
      <w:r w:rsidR="00A42C9F" w:rsidRPr="008A0A30">
        <w:t xml:space="preserve"> for 24 weeks. Randomis</w:t>
      </w:r>
      <w:r w:rsidRPr="008A0A30">
        <w:t>ation was stratified by HCV genotype (1, 2, 3, 4, 5, 6 and indeterminate).</w:t>
      </w:r>
    </w:p>
    <w:p w:rsidR="00FC3767" w:rsidRDefault="00260792" w:rsidP="00260792">
      <w:pPr>
        <w:pStyle w:val="Text10"/>
      </w:pPr>
      <w:r w:rsidRPr="008A0A30">
        <w:t xml:space="preserve">Demographics and baseline characteristics were balanced across the treatment groups. Of the 267 treated </w:t>
      </w:r>
      <w:r w:rsidR="00A42C9F" w:rsidRPr="008A0A30">
        <w:t>patients</w:t>
      </w:r>
      <w:r w:rsidRPr="008A0A30">
        <w:t xml:space="preserve">, the median age was 59 years (range: 40 to 73); 70% of the </w:t>
      </w:r>
      <w:r w:rsidR="00A42C9F" w:rsidRPr="008A0A30">
        <w:t xml:space="preserve">patients </w:t>
      </w:r>
      <w:r w:rsidRPr="008A0A30">
        <w:t>were male; 90% were White, 6% were Black; 42% had a baseline body mass index at least 30 kg/m</w:t>
      </w:r>
      <w:r w:rsidRPr="008A0A30">
        <w:rPr>
          <w:vertAlign w:val="superscript"/>
        </w:rPr>
        <w:t>2</w:t>
      </w:r>
      <w:r w:rsidRPr="008A0A30">
        <w:t xml:space="preserve">; The proportions of </w:t>
      </w:r>
      <w:r w:rsidR="00A42C9F" w:rsidRPr="008A0A30">
        <w:t xml:space="preserve">patients </w:t>
      </w:r>
      <w:r w:rsidRPr="008A0A30">
        <w:t xml:space="preserve">with genotype 1, 2, 3, 4, or 6 HCV were 78%, 4%, 15%, 3%, and &lt;1% (1 </w:t>
      </w:r>
      <w:r w:rsidR="00E92103">
        <w:t>patient</w:t>
      </w:r>
      <w:r w:rsidRPr="008A0A30">
        <w:t xml:space="preserve">), respectively. No </w:t>
      </w:r>
      <w:r w:rsidR="00A42C9F" w:rsidRPr="008A0A30">
        <w:t xml:space="preserve">patients </w:t>
      </w:r>
      <w:r w:rsidRPr="008A0A30">
        <w:t>with genotype 5 HCV infection were enrolled. 76% had non-CC IL28B alleles (CT or TT); 56% had baseline HCV RNA levels at least 800,000 IU/mL</w:t>
      </w:r>
      <w:r w:rsidR="00EC666B">
        <w:t>;</w:t>
      </w:r>
      <w:r w:rsidRPr="008A0A30">
        <w:t xml:space="preserve"> 55% were treatment-experienced; 90% and 95% of </w:t>
      </w:r>
      <w:r w:rsidR="00A42C9F" w:rsidRPr="008A0A30">
        <w:t xml:space="preserve">patients </w:t>
      </w:r>
      <w:r w:rsidRPr="008A0A30">
        <w:t>had CPT B cirrhosis and Model for End Stage Liver Disease (MELD) score ≤15 at baseline, respectively.</w:t>
      </w:r>
    </w:p>
    <w:p w:rsidR="00260792" w:rsidRDefault="00260792" w:rsidP="00260792">
      <w:pPr>
        <w:pStyle w:val="Text10"/>
      </w:pPr>
      <w:r w:rsidRPr="008A0A30">
        <w:fldChar w:fldCharType="begin"/>
      </w:r>
      <w:r w:rsidRPr="008A0A30">
        <w:instrText xml:space="preserve"> REF _Ref434242015 \h </w:instrText>
      </w:r>
      <w:r w:rsidR="00D541A1" w:rsidRPr="008A0A30">
        <w:instrText xml:space="preserve"> \* MERGEFORMAT </w:instrText>
      </w:r>
      <w:r w:rsidRPr="008A0A30">
        <w:fldChar w:fldCharType="separate"/>
      </w:r>
      <w:r w:rsidR="00260ACB" w:rsidRPr="008A0A30">
        <w:t>Table</w:t>
      </w:r>
      <w:r w:rsidRPr="008A0A30">
        <w:fldChar w:fldCharType="end"/>
      </w:r>
      <w:r w:rsidR="0038332D">
        <w:t xml:space="preserve"> </w:t>
      </w:r>
      <w:r w:rsidR="00A42C9F" w:rsidRPr="008A0A30">
        <w:t>12</w:t>
      </w:r>
      <w:r w:rsidRPr="008A0A30">
        <w:t xml:space="preserve"> presents the SVR12 for the ASTRAL-4 </w:t>
      </w:r>
      <w:r w:rsidR="008B6AAF" w:rsidRPr="008A0A30">
        <w:t>trial</w:t>
      </w:r>
      <w:r w:rsidRPr="008A0A30">
        <w:t xml:space="preserve"> by HCV genotype.</w:t>
      </w:r>
    </w:p>
    <w:p w:rsidR="00260792" w:rsidRPr="00AC3AB4" w:rsidRDefault="00003AC8" w:rsidP="00003AC8">
      <w:pPr>
        <w:pStyle w:val="Caption"/>
      </w:pPr>
      <w:bookmarkStart w:id="16" w:name="_Ref434242015"/>
      <w:bookmarkStart w:id="17" w:name="_Toc426372120"/>
      <w:bookmarkStart w:id="18" w:name="_Toc434324435"/>
      <w:r>
        <w:t xml:space="preserve">Table </w:t>
      </w:r>
      <w:fldSimple w:instr=" SEQ Table \* ARABIC ">
        <w:r w:rsidR="00D60556">
          <w:rPr>
            <w:noProof/>
          </w:rPr>
          <w:t>12</w:t>
        </w:r>
      </w:fldSimple>
      <w:bookmarkEnd w:id="16"/>
      <w:r>
        <w:t xml:space="preserve">. </w:t>
      </w:r>
      <w:r w:rsidR="00A61D97" w:rsidRPr="00A61D97">
        <w:t>Study ASTRAL-4:</w:t>
      </w:r>
      <w:r w:rsidR="00A61D97" w:rsidRPr="00AC3AB4">
        <w:t xml:space="preserve"> </w:t>
      </w:r>
      <w:r w:rsidR="00260792" w:rsidRPr="008A0A30">
        <w:t xml:space="preserve">SVR12 </w:t>
      </w:r>
      <w:bookmarkEnd w:id="17"/>
      <w:r w:rsidR="00260792" w:rsidRPr="008A0A30">
        <w:t>by HCV Genotype</w:t>
      </w:r>
      <w:bookmarkEnd w:id="18"/>
    </w:p>
    <w:tbl>
      <w:tblPr>
        <w:tblStyle w:val="TableGrid"/>
        <w:tblW w:w="5000" w:type="pct"/>
        <w:tblLook w:val="04A0" w:firstRow="1" w:lastRow="0" w:firstColumn="1" w:lastColumn="0" w:noHBand="0" w:noVBand="1"/>
        <w:tblDescription w:val="Table 12 Study ASTRAL-4: SVR12 by HCV Genotype"/>
      </w:tblPr>
      <w:tblGrid>
        <w:gridCol w:w="2432"/>
        <w:gridCol w:w="2119"/>
        <w:gridCol w:w="2407"/>
        <w:gridCol w:w="2329"/>
      </w:tblGrid>
      <w:tr w:rsidR="00260792" w:rsidRPr="008A0A30" w:rsidTr="00003AC8">
        <w:trPr>
          <w:tblHeader/>
        </w:trPr>
        <w:tc>
          <w:tcPr>
            <w:tcW w:w="1309" w:type="pct"/>
            <w:tcBorders>
              <w:top w:val="single" w:sz="12" w:space="0" w:color="auto"/>
              <w:left w:val="nil"/>
              <w:bottom w:val="single" w:sz="12" w:space="0" w:color="auto"/>
            </w:tcBorders>
          </w:tcPr>
          <w:p w:rsidR="00260792" w:rsidRPr="008A0A30" w:rsidRDefault="00260792" w:rsidP="00C269F9">
            <w:pPr>
              <w:pStyle w:val="Text10"/>
              <w:keepNext/>
              <w:keepLines/>
              <w:widowControl w:val="0"/>
              <w:spacing w:before="40" w:after="40"/>
              <w:jc w:val="center"/>
            </w:pPr>
          </w:p>
        </w:tc>
        <w:tc>
          <w:tcPr>
            <w:tcW w:w="1141" w:type="pct"/>
            <w:tcBorders>
              <w:top w:val="single" w:sz="12" w:space="0" w:color="auto"/>
              <w:bottom w:val="single" w:sz="12" w:space="0" w:color="auto"/>
            </w:tcBorders>
          </w:tcPr>
          <w:p w:rsidR="00260792" w:rsidRPr="008A0A30" w:rsidRDefault="00C3685A" w:rsidP="00C269F9">
            <w:pPr>
              <w:pStyle w:val="Text10"/>
              <w:keepNext/>
              <w:keepLines/>
              <w:widowControl w:val="0"/>
              <w:spacing w:before="40" w:after="40"/>
              <w:jc w:val="center"/>
              <w:rPr>
                <w:b/>
              </w:rPr>
            </w:pPr>
            <w:r>
              <w:rPr>
                <w:b/>
              </w:rPr>
              <w:t>EPCLUSA</w:t>
            </w:r>
            <w:r w:rsidR="00260792" w:rsidRPr="008A0A30">
              <w:rPr>
                <w:b/>
              </w:rPr>
              <w:t xml:space="preserve"> </w:t>
            </w:r>
            <w:r w:rsidR="00260792" w:rsidRPr="008A0A30">
              <w:rPr>
                <w:b/>
              </w:rPr>
              <w:br/>
              <w:t>12 Weeks</w:t>
            </w:r>
            <w:r w:rsidR="00260792" w:rsidRPr="008A0A30">
              <w:rPr>
                <w:b/>
              </w:rPr>
              <w:br/>
              <w:t>(N=90)</w:t>
            </w:r>
          </w:p>
        </w:tc>
        <w:tc>
          <w:tcPr>
            <w:tcW w:w="1296" w:type="pct"/>
            <w:tcBorders>
              <w:top w:val="single" w:sz="12" w:space="0" w:color="auto"/>
              <w:bottom w:val="single" w:sz="12" w:space="0" w:color="auto"/>
            </w:tcBorders>
          </w:tcPr>
          <w:p w:rsidR="00260792" w:rsidRPr="008A0A30" w:rsidRDefault="00C3685A" w:rsidP="00C269F9">
            <w:pPr>
              <w:pStyle w:val="Text10"/>
              <w:keepNext/>
              <w:keepLines/>
              <w:widowControl w:val="0"/>
              <w:spacing w:before="40" w:after="40"/>
              <w:jc w:val="center"/>
              <w:rPr>
                <w:b/>
              </w:rPr>
            </w:pPr>
            <w:r>
              <w:rPr>
                <w:b/>
              </w:rPr>
              <w:t>EPCLUSA</w:t>
            </w:r>
            <w:r w:rsidR="00260792" w:rsidRPr="008A0A30">
              <w:rPr>
                <w:b/>
              </w:rPr>
              <w:t xml:space="preserve">+RBV </w:t>
            </w:r>
            <w:r w:rsidR="00260792" w:rsidRPr="008A0A30">
              <w:rPr>
                <w:b/>
              </w:rPr>
              <w:br/>
              <w:t xml:space="preserve">12 Weeks </w:t>
            </w:r>
            <w:r w:rsidR="00260792" w:rsidRPr="008A0A30">
              <w:rPr>
                <w:b/>
              </w:rPr>
              <w:br/>
              <w:t>(N=87)</w:t>
            </w:r>
          </w:p>
        </w:tc>
        <w:tc>
          <w:tcPr>
            <w:tcW w:w="1254" w:type="pct"/>
            <w:tcBorders>
              <w:top w:val="single" w:sz="12" w:space="0" w:color="auto"/>
              <w:bottom w:val="single" w:sz="12" w:space="0" w:color="auto"/>
              <w:right w:val="nil"/>
            </w:tcBorders>
          </w:tcPr>
          <w:p w:rsidR="00260792" w:rsidRPr="008A0A30" w:rsidRDefault="00C3685A" w:rsidP="00C269F9">
            <w:pPr>
              <w:pStyle w:val="Text10"/>
              <w:keepNext/>
              <w:keepLines/>
              <w:widowControl w:val="0"/>
              <w:spacing w:before="40" w:after="40"/>
              <w:jc w:val="center"/>
              <w:rPr>
                <w:b/>
              </w:rPr>
            </w:pPr>
            <w:r>
              <w:rPr>
                <w:b/>
              </w:rPr>
              <w:t>EPCLUSA</w:t>
            </w:r>
            <w:r w:rsidR="00260792" w:rsidRPr="008A0A30">
              <w:rPr>
                <w:b/>
              </w:rPr>
              <w:t xml:space="preserve"> </w:t>
            </w:r>
            <w:r w:rsidR="00260792" w:rsidRPr="008A0A30">
              <w:rPr>
                <w:b/>
              </w:rPr>
              <w:br/>
              <w:t xml:space="preserve">24 Weeks </w:t>
            </w:r>
            <w:r w:rsidR="00260792" w:rsidRPr="008A0A30">
              <w:rPr>
                <w:b/>
              </w:rPr>
              <w:br/>
              <w:t>(N=90)</w:t>
            </w:r>
          </w:p>
        </w:tc>
      </w:tr>
      <w:tr w:rsidR="00260792" w:rsidRPr="008A0A30" w:rsidTr="0038332D">
        <w:tc>
          <w:tcPr>
            <w:tcW w:w="1309" w:type="pct"/>
            <w:tcBorders>
              <w:top w:val="single" w:sz="12" w:space="0" w:color="auto"/>
              <w:left w:val="nil"/>
              <w:bottom w:val="single" w:sz="6" w:space="0" w:color="auto"/>
            </w:tcBorders>
          </w:tcPr>
          <w:p w:rsidR="00260792" w:rsidRPr="008A0A30" w:rsidRDefault="00260792" w:rsidP="00C269F9">
            <w:pPr>
              <w:pStyle w:val="Table-Text"/>
              <w:spacing w:before="40" w:after="40"/>
              <w:rPr>
                <w:sz w:val="24"/>
              </w:rPr>
            </w:pPr>
            <w:r w:rsidRPr="008A0A30">
              <w:rPr>
                <w:sz w:val="24"/>
              </w:rPr>
              <w:t>Overall SVR12</w:t>
            </w:r>
          </w:p>
        </w:tc>
        <w:tc>
          <w:tcPr>
            <w:tcW w:w="1141" w:type="pct"/>
            <w:tcBorders>
              <w:top w:val="single" w:sz="12" w:space="0" w:color="auto"/>
              <w:bottom w:val="single" w:sz="6" w:space="0" w:color="auto"/>
            </w:tcBorders>
          </w:tcPr>
          <w:p w:rsidR="00260792" w:rsidRPr="008A0A30" w:rsidRDefault="00260792" w:rsidP="00C269F9">
            <w:pPr>
              <w:pStyle w:val="Table-Text"/>
              <w:spacing w:before="40" w:after="40"/>
              <w:jc w:val="center"/>
              <w:rPr>
                <w:sz w:val="24"/>
              </w:rPr>
            </w:pPr>
            <w:r w:rsidRPr="008A0A30">
              <w:rPr>
                <w:sz w:val="24"/>
              </w:rPr>
              <w:t>83% (75/90)</w:t>
            </w:r>
          </w:p>
        </w:tc>
        <w:tc>
          <w:tcPr>
            <w:tcW w:w="1296" w:type="pct"/>
            <w:tcBorders>
              <w:top w:val="single" w:sz="12" w:space="0" w:color="auto"/>
              <w:bottom w:val="single" w:sz="6" w:space="0" w:color="auto"/>
            </w:tcBorders>
          </w:tcPr>
          <w:p w:rsidR="00260792" w:rsidRPr="008A0A30" w:rsidRDefault="00260792" w:rsidP="00C269F9">
            <w:pPr>
              <w:pStyle w:val="Table-Text"/>
              <w:spacing w:before="40" w:after="40"/>
              <w:jc w:val="center"/>
              <w:rPr>
                <w:sz w:val="24"/>
              </w:rPr>
            </w:pPr>
            <w:r w:rsidRPr="008A0A30">
              <w:rPr>
                <w:sz w:val="24"/>
              </w:rPr>
              <w:t>94% (82/87)</w:t>
            </w:r>
          </w:p>
        </w:tc>
        <w:tc>
          <w:tcPr>
            <w:tcW w:w="1254" w:type="pct"/>
            <w:tcBorders>
              <w:top w:val="single" w:sz="12" w:space="0" w:color="auto"/>
              <w:bottom w:val="single" w:sz="6" w:space="0" w:color="auto"/>
              <w:right w:val="nil"/>
            </w:tcBorders>
          </w:tcPr>
          <w:p w:rsidR="00260792" w:rsidRPr="008A0A30" w:rsidRDefault="00260792" w:rsidP="00C269F9">
            <w:pPr>
              <w:pStyle w:val="Table-Text"/>
              <w:spacing w:before="40" w:after="40"/>
              <w:jc w:val="center"/>
              <w:rPr>
                <w:sz w:val="24"/>
              </w:rPr>
            </w:pPr>
            <w:r w:rsidRPr="008A0A30">
              <w:rPr>
                <w:sz w:val="24"/>
              </w:rPr>
              <w:t>86% (77/90)</w:t>
            </w:r>
          </w:p>
        </w:tc>
      </w:tr>
      <w:tr w:rsidR="00260792" w:rsidRPr="008A0A30" w:rsidTr="0038332D">
        <w:tc>
          <w:tcPr>
            <w:tcW w:w="1309" w:type="pct"/>
            <w:tcBorders>
              <w:top w:val="single" w:sz="6" w:space="0" w:color="auto"/>
              <w:left w:val="nil"/>
            </w:tcBorders>
          </w:tcPr>
          <w:p w:rsidR="00260792" w:rsidRPr="008A0A30" w:rsidRDefault="00260792" w:rsidP="00C269F9">
            <w:pPr>
              <w:pStyle w:val="Table-Text"/>
              <w:tabs>
                <w:tab w:val="clear" w:pos="360"/>
                <w:tab w:val="left" w:pos="0"/>
              </w:tabs>
              <w:spacing w:before="40" w:after="40"/>
              <w:ind w:firstLine="55"/>
              <w:rPr>
                <w:sz w:val="24"/>
              </w:rPr>
            </w:pPr>
            <w:r w:rsidRPr="008A0A30">
              <w:rPr>
                <w:sz w:val="24"/>
              </w:rPr>
              <w:t>Genotype 1</w:t>
            </w:r>
          </w:p>
        </w:tc>
        <w:tc>
          <w:tcPr>
            <w:tcW w:w="1141" w:type="pct"/>
            <w:tcBorders>
              <w:top w:val="single" w:sz="6" w:space="0" w:color="auto"/>
            </w:tcBorders>
          </w:tcPr>
          <w:p w:rsidR="00260792" w:rsidRPr="008A0A30" w:rsidRDefault="00260792" w:rsidP="00C269F9">
            <w:pPr>
              <w:pStyle w:val="Table-Text"/>
              <w:spacing w:before="40" w:after="40"/>
              <w:jc w:val="center"/>
              <w:rPr>
                <w:sz w:val="24"/>
              </w:rPr>
            </w:pPr>
            <w:r w:rsidRPr="008A0A30">
              <w:rPr>
                <w:sz w:val="24"/>
              </w:rPr>
              <w:t>88% (60/68)</w:t>
            </w:r>
          </w:p>
        </w:tc>
        <w:tc>
          <w:tcPr>
            <w:tcW w:w="1296" w:type="pct"/>
            <w:tcBorders>
              <w:top w:val="single" w:sz="6" w:space="0" w:color="auto"/>
            </w:tcBorders>
          </w:tcPr>
          <w:p w:rsidR="00260792" w:rsidRPr="008A0A30" w:rsidRDefault="00260792" w:rsidP="00C269F9">
            <w:pPr>
              <w:pStyle w:val="Table-Text"/>
              <w:spacing w:before="40" w:after="40"/>
              <w:jc w:val="center"/>
              <w:rPr>
                <w:sz w:val="24"/>
              </w:rPr>
            </w:pPr>
            <w:r w:rsidRPr="008A0A30">
              <w:rPr>
                <w:sz w:val="24"/>
              </w:rPr>
              <w:t>96% (65/68)</w:t>
            </w:r>
          </w:p>
        </w:tc>
        <w:tc>
          <w:tcPr>
            <w:tcW w:w="1254" w:type="pct"/>
            <w:tcBorders>
              <w:top w:val="single" w:sz="6" w:space="0" w:color="auto"/>
              <w:right w:val="nil"/>
            </w:tcBorders>
          </w:tcPr>
          <w:p w:rsidR="00260792" w:rsidRPr="008A0A30" w:rsidRDefault="00260792" w:rsidP="00C269F9">
            <w:pPr>
              <w:pStyle w:val="Table-Text"/>
              <w:spacing w:before="40" w:after="40"/>
              <w:jc w:val="center"/>
              <w:rPr>
                <w:sz w:val="24"/>
              </w:rPr>
            </w:pPr>
            <w:r w:rsidRPr="008A0A30">
              <w:rPr>
                <w:sz w:val="24"/>
              </w:rPr>
              <w:t>92% (65/71)</w:t>
            </w:r>
          </w:p>
        </w:tc>
      </w:tr>
      <w:tr w:rsidR="00260792" w:rsidRPr="008A0A30" w:rsidTr="0038332D">
        <w:tc>
          <w:tcPr>
            <w:tcW w:w="1309" w:type="pct"/>
            <w:tcBorders>
              <w:left w:val="nil"/>
            </w:tcBorders>
          </w:tcPr>
          <w:p w:rsidR="00260792" w:rsidRPr="008A0A30" w:rsidRDefault="00260792" w:rsidP="00C269F9">
            <w:pPr>
              <w:pStyle w:val="Table-Text"/>
              <w:spacing w:before="40" w:after="40"/>
              <w:ind w:firstLine="505"/>
              <w:rPr>
                <w:sz w:val="24"/>
              </w:rPr>
            </w:pPr>
            <w:r w:rsidRPr="008A0A30">
              <w:rPr>
                <w:sz w:val="24"/>
              </w:rPr>
              <w:t>Genotype 1a</w:t>
            </w:r>
          </w:p>
        </w:tc>
        <w:tc>
          <w:tcPr>
            <w:tcW w:w="1141" w:type="pct"/>
          </w:tcPr>
          <w:p w:rsidR="00260792" w:rsidRPr="008A0A30" w:rsidRDefault="00260792" w:rsidP="00C269F9">
            <w:pPr>
              <w:pStyle w:val="Table-Text"/>
              <w:spacing w:before="40" w:after="40"/>
              <w:jc w:val="center"/>
              <w:rPr>
                <w:sz w:val="24"/>
              </w:rPr>
            </w:pPr>
            <w:r w:rsidRPr="008A0A30">
              <w:rPr>
                <w:sz w:val="24"/>
              </w:rPr>
              <w:t>88% (44/50)</w:t>
            </w:r>
          </w:p>
        </w:tc>
        <w:tc>
          <w:tcPr>
            <w:tcW w:w="1296" w:type="pct"/>
          </w:tcPr>
          <w:p w:rsidR="00260792" w:rsidRPr="008A0A30" w:rsidRDefault="00260792" w:rsidP="00C269F9">
            <w:pPr>
              <w:pStyle w:val="Table-Text"/>
              <w:spacing w:before="40" w:after="40"/>
              <w:jc w:val="center"/>
              <w:rPr>
                <w:sz w:val="24"/>
              </w:rPr>
            </w:pPr>
            <w:r w:rsidRPr="008A0A30">
              <w:rPr>
                <w:sz w:val="24"/>
              </w:rPr>
              <w:t>94% (51/54)</w:t>
            </w:r>
          </w:p>
        </w:tc>
        <w:tc>
          <w:tcPr>
            <w:tcW w:w="1254" w:type="pct"/>
            <w:tcBorders>
              <w:right w:val="nil"/>
            </w:tcBorders>
          </w:tcPr>
          <w:p w:rsidR="00260792" w:rsidRPr="008A0A30" w:rsidRDefault="00260792" w:rsidP="00C269F9">
            <w:pPr>
              <w:pStyle w:val="Table-Text"/>
              <w:spacing w:before="40" w:after="40"/>
              <w:jc w:val="center"/>
              <w:rPr>
                <w:sz w:val="24"/>
              </w:rPr>
            </w:pPr>
            <w:r w:rsidRPr="008A0A30">
              <w:rPr>
                <w:sz w:val="24"/>
              </w:rPr>
              <w:t>93% (51/55)</w:t>
            </w:r>
          </w:p>
        </w:tc>
      </w:tr>
      <w:tr w:rsidR="00260792" w:rsidRPr="008A0A30" w:rsidTr="0038332D">
        <w:tc>
          <w:tcPr>
            <w:tcW w:w="1309" w:type="pct"/>
            <w:tcBorders>
              <w:left w:val="nil"/>
            </w:tcBorders>
          </w:tcPr>
          <w:p w:rsidR="00260792" w:rsidRPr="008A0A30" w:rsidRDefault="00260792" w:rsidP="00C269F9">
            <w:pPr>
              <w:pStyle w:val="Table-Text"/>
              <w:spacing w:before="40" w:after="40"/>
              <w:ind w:firstLine="505"/>
              <w:rPr>
                <w:sz w:val="24"/>
              </w:rPr>
            </w:pPr>
            <w:r w:rsidRPr="008A0A30">
              <w:rPr>
                <w:sz w:val="24"/>
              </w:rPr>
              <w:t>Genotype 1b</w:t>
            </w:r>
          </w:p>
        </w:tc>
        <w:tc>
          <w:tcPr>
            <w:tcW w:w="1141" w:type="pct"/>
          </w:tcPr>
          <w:p w:rsidR="00260792" w:rsidRPr="008A0A30" w:rsidRDefault="00260792" w:rsidP="00C269F9">
            <w:pPr>
              <w:pStyle w:val="Table-Text"/>
              <w:spacing w:before="40" w:after="40"/>
              <w:jc w:val="center"/>
              <w:rPr>
                <w:sz w:val="24"/>
              </w:rPr>
            </w:pPr>
            <w:r w:rsidRPr="008A0A30">
              <w:rPr>
                <w:sz w:val="24"/>
              </w:rPr>
              <w:t>89% (16/18)</w:t>
            </w:r>
          </w:p>
        </w:tc>
        <w:tc>
          <w:tcPr>
            <w:tcW w:w="1296" w:type="pct"/>
          </w:tcPr>
          <w:p w:rsidR="00260792" w:rsidRPr="008A0A30" w:rsidRDefault="00260792" w:rsidP="00C269F9">
            <w:pPr>
              <w:pStyle w:val="Table-Text"/>
              <w:spacing w:before="40" w:after="40"/>
              <w:jc w:val="center"/>
              <w:rPr>
                <w:sz w:val="24"/>
              </w:rPr>
            </w:pPr>
            <w:r w:rsidRPr="008A0A30">
              <w:rPr>
                <w:sz w:val="24"/>
              </w:rPr>
              <w:t>100% (14/14)</w:t>
            </w:r>
          </w:p>
        </w:tc>
        <w:tc>
          <w:tcPr>
            <w:tcW w:w="1254" w:type="pct"/>
            <w:tcBorders>
              <w:right w:val="nil"/>
            </w:tcBorders>
          </w:tcPr>
          <w:p w:rsidR="00260792" w:rsidRPr="008A0A30" w:rsidRDefault="00260792" w:rsidP="00C269F9">
            <w:pPr>
              <w:pStyle w:val="Table-Text"/>
              <w:spacing w:before="40" w:after="40"/>
              <w:jc w:val="center"/>
              <w:rPr>
                <w:sz w:val="24"/>
              </w:rPr>
            </w:pPr>
            <w:r w:rsidRPr="008A0A30">
              <w:rPr>
                <w:sz w:val="24"/>
              </w:rPr>
              <w:t>88% (14/16)</w:t>
            </w:r>
          </w:p>
        </w:tc>
      </w:tr>
      <w:tr w:rsidR="00260792" w:rsidRPr="008A0A30" w:rsidTr="0038332D">
        <w:tc>
          <w:tcPr>
            <w:tcW w:w="1309" w:type="pct"/>
            <w:tcBorders>
              <w:left w:val="nil"/>
            </w:tcBorders>
          </w:tcPr>
          <w:p w:rsidR="00260792" w:rsidRPr="008A0A30" w:rsidRDefault="00260792" w:rsidP="00C269F9">
            <w:pPr>
              <w:pStyle w:val="Table-Text"/>
              <w:spacing w:before="40" w:after="40"/>
              <w:ind w:firstLine="55"/>
              <w:rPr>
                <w:sz w:val="24"/>
              </w:rPr>
            </w:pPr>
            <w:r w:rsidRPr="008A0A30">
              <w:rPr>
                <w:sz w:val="24"/>
              </w:rPr>
              <w:t>Genotype 3</w:t>
            </w:r>
          </w:p>
        </w:tc>
        <w:tc>
          <w:tcPr>
            <w:tcW w:w="1141" w:type="pct"/>
          </w:tcPr>
          <w:p w:rsidR="00260792" w:rsidRPr="008A0A30" w:rsidRDefault="00260792" w:rsidP="00C269F9">
            <w:pPr>
              <w:pStyle w:val="Table-Text"/>
              <w:spacing w:before="40" w:after="40"/>
              <w:jc w:val="center"/>
              <w:rPr>
                <w:sz w:val="24"/>
              </w:rPr>
            </w:pPr>
            <w:r w:rsidRPr="008A0A30">
              <w:rPr>
                <w:sz w:val="24"/>
              </w:rPr>
              <w:t>50% (7/14)</w:t>
            </w:r>
          </w:p>
        </w:tc>
        <w:tc>
          <w:tcPr>
            <w:tcW w:w="1296" w:type="pct"/>
          </w:tcPr>
          <w:p w:rsidR="00260792" w:rsidRPr="008A0A30" w:rsidRDefault="00260792" w:rsidP="00C269F9">
            <w:pPr>
              <w:pStyle w:val="Table-Text"/>
              <w:spacing w:before="40" w:after="40"/>
              <w:jc w:val="center"/>
              <w:rPr>
                <w:sz w:val="24"/>
              </w:rPr>
            </w:pPr>
            <w:r w:rsidRPr="008A0A30">
              <w:rPr>
                <w:sz w:val="24"/>
              </w:rPr>
              <w:t>85% (11/13)</w:t>
            </w:r>
          </w:p>
        </w:tc>
        <w:tc>
          <w:tcPr>
            <w:tcW w:w="1254" w:type="pct"/>
            <w:tcBorders>
              <w:right w:val="nil"/>
            </w:tcBorders>
          </w:tcPr>
          <w:p w:rsidR="00260792" w:rsidRPr="008A0A30" w:rsidRDefault="00260792" w:rsidP="00C269F9">
            <w:pPr>
              <w:pStyle w:val="Table-Text"/>
              <w:spacing w:before="40" w:after="40"/>
              <w:jc w:val="center"/>
              <w:rPr>
                <w:sz w:val="24"/>
              </w:rPr>
            </w:pPr>
            <w:r w:rsidRPr="008A0A30">
              <w:rPr>
                <w:sz w:val="24"/>
              </w:rPr>
              <w:t>50% (6/12)</w:t>
            </w:r>
          </w:p>
        </w:tc>
      </w:tr>
      <w:tr w:rsidR="00260792" w:rsidRPr="008A0A30" w:rsidTr="0038332D">
        <w:tc>
          <w:tcPr>
            <w:tcW w:w="1309" w:type="pct"/>
            <w:tcBorders>
              <w:left w:val="nil"/>
              <w:bottom w:val="single" w:sz="12" w:space="0" w:color="auto"/>
            </w:tcBorders>
          </w:tcPr>
          <w:p w:rsidR="00260792" w:rsidRPr="008A0A30" w:rsidRDefault="00260792" w:rsidP="00B533D7">
            <w:pPr>
              <w:pStyle w:val="Table-Text"/>
              <w:spacing w:before="40" w:after="40"/>
              <w:ind w:left="55"/>
              <w:rPr>
                <w:sz w:val="24"/>
              </w:rPr>
            </w:pPr>
            <w:r w:rsidRPr="008A0A30">
              <w:rPr>
                <w:sz w:val="24"/>
              </w:rPr>
              <w:t>Genotype 2,</w:t>
            </w:r>
            <w:r w:rsidR="00FC3767">
              <w:rPr>
                <w:sz w:val="24"/>
              </w:rPr>
              <w:t xml:space="preserve"> </w:t>
            </w:r>
            <w:r w:rsidRPr="008A0A30">
              <w:rPr>
                <w:sz w:val="24"/>
              </w:rPr>
              <w:t>4 and</w:t>
            </w:r>
            <w:r w:rsidR="00FC3767">
              <w:rPr>
                <w:sz w:val="24"/>
              </w:rPr>
              <w:t xml:space="preserve"> </w:t>
            </w:r>
            <w:r w:rsidRPr="008A0A30">
              <w:rPr>
                <w:sz w:val="24"/>
              </w:rPr>
              <w:t>6</w:t>
            </w:r>
          </w:p>
        </w:tc>
        <w:tc>
          <w:tcPr>
            <w:tcW w:w="1141" w:type="pct"/>
            <w:tcBorders>
              <w:bottom w:val="single" w:sz="12" w:space="0" w:color="auto"/>
            </w:tcBorders>
          </w:tcPr>
          <w:p w:rsidR="00260792" w:rsidRPr="008A0A30" w:rsidRDefault="00260792" w:rsidP="00B533D7">
            <w:pPr>
              <w:pStyle w:val="Table-Text"/>
              <w:spacing w:before="40" w:after="40"/>
              <w:jc w:val="center"/>
              <w:rPr>
                <w:sz w:val="24"/>
              </w:rPr>
            </w:pPr>
            <w:r w:rsidRPr="008A0A30">
              <w:rPr>
                <w:sz w:val="24"/>
              </w:rPr>
              <w:t>100% (8/8)</w:t>
            </w:r>
            <w:r w:rsidRPr="008A0A30">
              <w:rPr>
                <w:sz w:val="24"/>
                <w:vertAlign w:val="superscript"/>
              </w:rPr>
              <w:t>a</w:t>
            </w:r>
          </w:p>
        </w:tc>
        <w:tc>
          <w:tcPr>
            <w:tcW w:w="1296" w:type="pct"/>
            <w:tcBorders>
              <w:bottom w:val="single" w:sz="12" w:space="0" w:color="auto"/>
            </w:tcBorders>
          </w:tcPr>
          <w:p w:rsidR="00260792" w:rsidRPr="008A0A30" w:rsidRDefault="00260792" w:rsidP="00B533D7">
            <w:pPr>
              <w:pStyle w:val="Table-Text"/>
              <w:spacing w:before="40" w:after="40"/>
              <w:jc w:val="center"/>
              <w:rPr>
                <w:sz w:val="24"/>
              </w:rPr>
            </w:pPr>
            <w:r w:rsidRPr="008A0A30">
              <w:rPr>
                <w:sz w:val="24"/>
              </w:rPr>
              <w:t>100% (6/6)</w:t>
            </w:r>
            <w:r w:rsidRPr="008A0A30">
              <w:rPr>
                <w:sz w:val="24"/>
                <w:vertAlign w:val="superscript"/>
              </w:rPr>
              <w:t>b</w:t>
            </w:r>
          </w:p>
        </w:tc>
        <w:tc>
          <w:tcPr>
            <w:tcW w:w="1254" w:type="pct"/>
            <w:tcBorders>
              <w:bottom w:val="single" w:sz="12" w:space="0" w:color="auto"/>
              <w:right w:val="nil"/>
            </w:tcBorders>
          </w:tcPr>
          <w:p w:rsidR="00260792" w:rsidRPr="008A0A30" w:rsidRDefault="00260792" w:rsidP="00B533D7">
            <w:pPr>
              <w:pStyle w:val="Table-Text"/>
              <w:spacing w:before="40" w:after="40"/>
              <w:jc w:val="center"/>
              <w:rPr>
                <w:sz w:val="24"/>
              </w:rPr>
            </w:pPr>
            <w:r w:rsidRPr="008A0A30">
              <w:rPr>
                <w:sz w:val="24"/>
              </w:rPr>
              <w:t>86% (6/7)</w:t>
            </w:r>
            <w:r w:rsidRPr="008A0A30">
              <w:rPr>
                <w:sz w:val="24"/>
                <w:vertAlign w:val="superscript"/>
              </w:rPr>
              <w:t>c</w:t>
            </w:r>
          </w:p>
        </w:tc>
      </w:tr>
    </w:tbl>
    <w:p w:rsidR="00260792" w:rsidRPr="008A0A30" w:rsidRDefault="00260792" w:rsidP="00A42C9F">
      <w:pPr>
        <w:pStyle w:val="TableFooter"/>
        <w:spacing w:before="0" w:after="0"/>
        <w:ind w:left="329" w:hanging="329"/>
      </w:pPr>
      <w:r w:rsidRPr="008A0A30">
        <w:t>a</w:t>
      </w:r>
      <w:r w:rsidRPr="008A0A30">
        <w:tab/>
        <w:t>N=4 for genotype 2 and N=4 for genotype 4</w:t>
      </w:r>
    </w:p>
    <w:p w:rsidR="00260792" w:rsidRPr="008A0A30" w:rsidRDefault="00260792" w:rsidP="00A42C9F">
      <w:pPr>
        <w:pStyle w:val="TableFooter"/>
        <w:spacing w:before="0" w:after="0"/>
        <w:ind w:left="329" w:hanging="329"/>
      </w:pPr>
      <w:r w:rsidRPr="008A0A30">
        <w:t>b</w:t>
      </w:r>
      <w:r w:rsidRPr="008A0A30">
        <w:tab/>
        <w:t>N=4 for genotype 2 and N=2 for genotype 4</w:t>
      </w:r>
    </w:p>
    <w:p w:rsidR="00FC3767" w:rsidRDefault="00260792" w:rsidP="00BB341F">
      <w:pPr>
        <w:pStyle w:val="TableFooter"/>
        <w:spacing w:before="0" w:after="360"/>
        <w:ind w:left="329" w:hanging="329"/>
      </w:pPr>
      <w:r w:rsidRPr="008A0A30">
        <w:t>c</w:t>
      </w:r>
      <w:r w:rsidRPr="008A0A30">
        <w:tab/>
        <w:t>N=4 for genotype 2, N=2 for genotype 4</w:t>
      </w:r>
      <w:r w:rsidR="00E92103">
        <w:t>,</w:t>
      </w:r>
      <w:r w:rsidRPr="008A0A30">
        <w:t xml:space="preserve"> and N=1 for genotype 6.</w:t>
      </w:r>
    </w:p>
    <w:p w:rsidR="00260792" w:rsidRPr="008A0A30" w:rsidRDefault="00B533D7" w:rsidP="00003AC8">
      <w:r>
        <w:t>Table 13</w:t>
      </w:r>
      <w:r w:rsidR="00260792" w:rsidRPr="008A0A30">
        <w:t xml:space="preserve"> presents the virologic outcome for </w:t>
      </w:r>
      <w:r w:rsidR="00A42C9F" w:rsidRPr="008A0A30">
        <w:t xml:space="preserve">patients </w:t>
      </w:r>
      <w:r w:rsidR="00260792" w:rsidRPr="008A0A30">
        <w:t xml:space="preserve">with genotype 1 or 3 HCV infection in the ASTRAL-4 </w:t>
      </w:r>
      <w:r w:rsidR="008B6AAF" w:rsidRPr="008A0A30">
        <w:t>trial</w:t>
      </w:r>
      <w:r w:rsidR="00260792" w:rsidRPr="008A0A30">
        <w:t>.</w:t>
      </w:r>
    </w:p>
    <w:p w:rsidR="00FA2653" w:rsidRDefault="00260792" w:rsidP="00003AC8">
      <w:r w:rsidRPr="008A0A30">
        <w:t xml:space="preserve">No </w:t>
      </w:r>
      <w:r w:rsidR="00A42C9F" w:rsidRPr="008A0A30">
        <w:t xml:space="preserve">patients </w:t>
      </w:r>
      <w:r w:rsidRPr="008A0A30">
        <w:t>with genotype 2, 4</w:t>
      </w:r>
      <w:r w:rsidR="00E92103">
        <w:t>,</w:t>
      </w:r>
      <w:r w:rsidRPr="008A0A30">
        <w:t xml:space="preserve"> or 6 HCV infection experienced virologic failure.</w:t>
      </w:r>
    </w:p>
    <w:p w:rsidR="00260792" w:rsidRPr="008A0A30" w:rsidRDefault="00003AC8" w:rsidP="00003AC8">
      <w:pPr>
        <w:pStyle w:val="Caption"/>
      </w:pPr>
      <w:bookmarkStart w:id="19" w:name="_Ref434242022"/>
      <w:bookmarkStart w:id="20" w:name="_Toc434324436"/>
      <w:r>
        <w:lastRenderedPageBreak/>
        <w:t xml:space="preserve">Table </w:t>
      </w:r>
      <w:fldSimple w:instr=" SEQ Table \* ARABIC ">
        <w:r w:rsidR="00D60556">
          <w:rPr>
            <w:noProof/>
          </w:rPr>
          <w:t>13</w:t>
        </w:r>
      </w:fldSimple>
      <w:bookmarkEnd w:id="19"/>
      <w:r>
        <w:t xml:space="preserve">. </w:t>
      </w:r>
      <w:r w:rsidR="00A61D97" w:rsidRPr="008A0A30">
        <w:t>Study ASTRAL-4</w:t>
      </w:r>
      <w:r w:rsidR="00A61D97">
        <w:t xml:space="preserve">: </w:t>
      </w:r>
      <w:r w:rsidR="00260792" w:rsidRPr="008A0A30">
        <w:t xml:space="preserve">Virologic Outcome for </w:t>
      </w:r>
      <w:r w:rsidR="00A42C9F" w:rsidRPr="008A0A30">
        <w:t xml:space="preserve">Patients </w:t>
      </w:r>
      <w:r w:rsidR="00260792" w:rsidRPr="008A0A30">
        <w:t>with Genotype 1 and 3 HCV Infection</w:t>
      </w:r>
      <w:bookmarkEnd w:id="20"/>
    </w:p>
    <w:tbl>
      <w:tblPr>
        <w:tblStyle w:val="TableGrid"/>
        <w:tblW w:w="5000" w:type="pct"/>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Description w:val="Table 13 Study ASTRAL-4: Virologic Outcome for Patients with Genotype 1 and 3 HCV Infection"/>
      </w:tblPr>
      <w:tblGrid>
        <w:gridCol w:w="1972"/>
        <w:gridCol w:w="2309"/>
        <w:gridCol w:w="2597"/>
        <w:gridCol w:w="2409"/>
      </w:tblGrid>
      <w:tr w:rsidR="00260792" w:rsidRPr="008A0A30" w:rsidTr="00D60556">
        <w:trPr>
          <w:trHeight w:val="20"/>
          <w:tblHeader/>
        </w:trPr>
        <w:tc>
          <w:tcPr>
            <w:tcW w:w="1062" w:type="pct"/>
            <w:tcBorders>
              <w:top w:val="single" w:sz="12" w:space="0" w:color="auto"/>
              <w:bottom w:val="single" w:sz="12" w:space="0" w:color="auto"/>
            </w:tcBorders>
          </w:tcPr>
          <w:p w:rsidR="00260792" w:rsidRPr="008A0A30" w:rsidRDefault="00260792" w:rsidP="00333FAE">
            <w:pPr>
              <w:pStyle w:val="TableHeaderCenter"/>
              <w:rPr>
                <w:rFonts w:ascii="Times New Roman" w:hAnsi="Times New Roman"/>
                <w:sz w:val="24"/>
              </w:rPr>
            </w:pPr>
          </w:p>
        </w:tc>
        <w:tc>
          <w:tcPr>
            <w:tcW w:w="1243" w:type="pct"/>
            <w:tcBorders>
              <w:top w:val="single" w:sz="12" w:space="0" w:color="auto"/>
              <w:bottom w:val="single" w:sz="12" w:space="0" w:color="auto"/>
            </w:tcBorders>
          </w:tcPr>
          <w:p w:rsidR="00260792" w:rsidRPr="008A0A30" w:rsidRDefault="00C3685A" w:rsidP="00333FAE">
            <w:pPr>
              <w:pStyle w:val="TableHeaderCenter"/>
              <w:rPr>
                <w:rFonts w:ascii="Times New Roman" w:hAnsi="Times New Roman"/>
                <w:sz w:val="24"/>
              </w:rPr>
            </w:pPr>
            <w:r>
              <w:rPr>
                <w:rFonts w:ascii="Times New Roman" w:hAnsi="Times New Roman"/>
                <w:sz w:val="24"/>
              </w:rPr>
              <w:t>EPCLUSA</w:t>
            </w:r>
            <w:r w:rsidR="00260792" w:rsidRPr="008A0A30">
              <w:rPr>
                <w:rFonts w:ascii="Times New Roman" w:hAnsi="Times New Roman"/>
                <w:sz w:val="24"/>
              </w:rPr>
              <w:br/>
              <w:t>12 Weeks</w:t>
            </w:r>
          </w:p>
        </w:tc>
        <w:tc>
          <w:tcPr>
            <w:tcW w:w="1398" w:type="pct"/>
            <w:tcBorders>
              <w:top w:val="single" w:sz="12" w:space="0" w:color="auto"/>
              <w:bottom w:val="single" w:sz="12" w:space="0" w:color="auto"/>
            </w:tcBorders>
          </w:tcPr>
          <w:p w:rsidR="00260792" w:rsidRPr="008A0A30" w:rsidRDefault="00C3685A" w:rsidP="00A42C9F">
            <w:pPr>
              <w:pStyle w:val="TableHeaderCenter"/>
              <w:rPr>
                <w:rFonts w:ascii="Times New Roman" w:hAnsi="Times New Roman"/>
                <w:sz w:val="24"/>
              </w:rPr>
            </w:pPr>
            <w:r>
              <w:rPr>
                <w:rFonts w:ascii="Times New Roman" w:hAnsi="Times New Roman"/>
                <w:sz w:val="24"/>
              </w:rPr>
              <w:t>EPCLUSA</w:t>
            </w:r>
            <w:r w:rsidR="00D60556">
              <w:rPr>
                <w:rFonts w:ascii="Times New Roman" w:hAnsi="Times New Roman"/>
                <w:sz w:val="24"/>
              </w:rPr>
              <w:t>+RBV</w:t>
            </w:r>
            <w:r w:rsidR="00260792" w:rsidRPr="008A0A30">
              <w:rPr>
                <w:rFonts w:ascii="Times New Roman" w:hAnsi="Times New Roman"/>
                <w:sz w:val="24"/>
              </w:rPr>
              <w:br/>
              <w:t>12 Weeks</w:t>
            </w:r>
          </w:p>
        </w:tc>
        <w:tc>
          <w:tcPr>
            <w:tcW w:w="1296" w:type="pct"/>
            <w:tcBorders>
              <w:top w:val="single" w:sz="12" w:space="0" w:color="auto"/>
              <w:bottom w:val="single" w:sz="12" w:space="0" w:color="auto"/>
            </w:tcBorders>
          </w:tcPr>
          <w:p w:rsidR="00260792" w:rsidRPr="008A0A30" w:rsidRDefault="00C3685A" w:rsidP="00333FAE">
            <w:pPr>
              <w:pStyle w:val="TableHeaderCenter"/>
              <w:rPr>
                <w:rFonts w:ascii="Times New Roman" w:hAnsi="Times New Roman"/>
                <w:sz w:val="24"/>
              </w:rPr>
            </w:pPr>
            <w:r>
              <w:rPr>
                <w:rFonts w:ascii="Times New Roman" w:hAnsi="Times New Roman"/>
                <w:sz w:val="24"/>
              </w:rPr>
              <w:t>EPCLUSA</w:t>
            </w:r>
            <w:r w:rsidR="00260792" w:rsidRPr="008A0A30">
              <w:rPr>
                <w:rFonts w:ascii="Times New Roman" w:hAnsi="Times New Roman"/>
                <w:sz w:val="24"/>
              </w:rPr>
              <w:br/>
              <w:t xml:space="preserve">24 Weeks </w:t>
            </w:r>
          </w:p>
        </w:tc>
      </w:tr>
      <w:tr w:rsidR="00260792" w:rsidRPr="008A0A30" w:rsidTr="00333FAE">
        <w:trPr>
          <w:trHeight w:val="20"/>
        </w:trPr>
        <w:tc>
          <w:tcPr>
            <w:tcW w:w="5000" w:type="pct"/>
            <w:gridSpan w:val="4"/>
            <w:tcBorders>
              <w:top w:val="single" w:sz="12" w:space="0" w:color="auto"/>
            </w:tcBorders>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Cs w:val="24"/>
              </w:rPr>
            </w:pPr>
            <w:r w:rsidRPr="008A0A30">
              <w:rPr>
                <w:szCs w:val="24"/>
              </w:rPr>
              <w:t>Virologic Failure (relapse and on-treatment failure)</w:t>
            </w:r>
          </w:p>
        </w:tc>
      </w:tr>
      <w:tr w:rsidR="00260792" w:rsidRPr="008A0A30" w:rsidTr="00333FAE">
        <w:trPr>
          <w:trHeight w:val="20"/>
        </w:trPr>
        <w:tc>
          <w:tcPr>
            <w:tcW w:w="1062"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rPr>
                <w:szCs w:val="24"/>
              </w:rPr>
            </w:pPr>
            <w:r w:rsidRPr="008A0A30">
              <w:rPr>
                <w:szCs w:val="24"/>
              </w:rPr>
              <w:t>Genotype 1</w:t>
            </w:r>
            <w:r w:rsidRPr="008A0A30">
              <w:rPr>
                <w:szCs w:val="24"/>
                <w:vertAlign w:val="superscript"/>
              </w:rPr>
              <w:t>a</w:t>
            </w:r>
          </w:p>
        </w:tc>
        <w:tc>
          <w:tcPr>
            <w:tcW w:w="1243"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7% (5/68)</w:t>
            </w:r>
          </w:p>
        </w:tc>
        <w:tc>
          <w:tcPr>
            <w:tcW w:w="1398"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1% (1/68)</w:t>
            </w:r>
          </w:p>
        </w:tc>
        <w:tc>
          <w:tcPr>
            <w:tcW w:w="1296"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4% (3/71)</w:t>
            </w:r>
          </w:p>
        </w:tc>
      </w:tr>
      <w:tr w:rsidR="00260792" w:rsidRPr="008A0A30" w:rsidTr="00333FAE">
        <w:trPr>
          <w:trHeight w:val="20"/>
        </w:trPr>
        <w:tc>
          <w:tcPr>
            <w:tcW w:w="1062"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jc w:val="right"/>
              <w:rPr>
                <w:szCs w:val="24"/>
              </w:rPr>
            </w:pPr>
            <w:r w:rsidRPr="008A0A30">
              <w:rPr>
                <w:szCs w:val="24"/>
              </w:rPr>
              <w:t>Genotype 1a</w:t>
            </w:r>
          </w:p>
        </w:tc>
        <w:tc>
          <w:tcPr>
            <w:tcW w:w="1243"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bCs/>
                <w:szCs w:val="24"/>
              </w:rPr>
              <w:t xml:space="preserve">6% (3/50) </w:t>
            </w:r>
          </w:p>
        </w:tc>
        <w:tc>
          <w:tcPr>
            <w:tcW w:w="1398"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bCs/>
                <w:szCs w:val="24"/>
              </w:rPr>
              <w:t>2% (1/54 )</w:t>
            </w:r>
          </w:p>
        </w:tc>
        <w:tc>
          <w:tcPr>
            <w:tcW w:w="1296"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bCs/>
                <w:szCs w:val="24"/>
              </w:rPr>
              <w:t>4% (2/55)</w:t>
            </w:r>
          </w:p>
        </w:tc>
      </w:tr>
      <w:tr w:rsidR="00260792" w:rsidRPr="008A0A30" w:rsidTr="00333FAE">
        <w:trPr>
          <w:trHeight w:val="20"/>
        </w:trPr>
        <w:tc>
          <w:tcPr>
            <w:tcW w:w="1062"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jc w:val="right"/>
              <w:rPr>
                <w:szCs w:val="24"/>
              </w:rPr>
            </w:pPr>
            <w:r w:rsidRPr="008A0A30">
              <w:rPr>
                <w:szCs w:val="24"/>
              </w:rPr>
              <w:t>Genotype 1b</w:t>
            </w:r>
          </w:p>
        </w:tc>
        <w:tc>
          <w:tcPr>
            <w:tcW w:w="1243"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bCs/>
                <w:szCs w:val="24"/>
              </w:rPr>
              <w:t>11% (2/18)</w:t>
            </w:r>
          </w:p>
        </w:tc>
        <w:tc>
          <w:tcPr>
            <w:tcW w:w="1398"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0% (0/14)</w:t>
            </w:r>
          </w:p>
        </w:tc>
        <w:tc>
          <w:tcPr>
            <w:tcW w:w="1296"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bCs/>
                <w:szCs w:val="24"/>
              </w:rPr>
              <w:t xml:space="preserve"> 6% (1/16)</w:t>
            </w:r>
          </w:p>
        </w:tc>
      </w:tr>
      <w:tr w:rsidR="00260792" w:rsidRPr="008A0A30" w:rsidTr="00333FAE">
        <w:trPr>
          <w:trHeight w:val="20"/>
        </w:trPr>
        <w:tc>
          <w:tcPr>
            <w:tcW w:w="1062"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ind w:firstLine="235"/>
              <w:rPr>
                <w:szCs w:val="24"/>
              </w:rPr>
            </w:pPr>
            <w:r w:rsidRPr="008A0A30">
              <w:rPr>
                <w:szCs w:val="24"/>
              </w:rPr>
              <w:t>Genotype 3</w:t>
            </w:r>
          </w:p>
        </w:tc>
        <w:tc>
          <w:tcPr>
            <w:tcW w:w="1243"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43% (6/14)</w:t>
            </w:r>
          </w:p>
        </w:tc>
        <w:tc>
          <w:tcPr>
            <w:tcW w:w="1398"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15% (2</w:t>
            </w:r>
            <w:r w:rsidRPr="008A0A30">
              <w:rPr>
                <w:szCs w:val="24"/>
                <w:vertAlign w:val="superscript"/>
              </w:rPr>
              <w:t>b</w:t>
            </w:r>
            <w:r w:rsidRPr="008A0A30">
              <w:rPr>
                <w:szCs w:val="24"/>
              </w:rPr>
              <w:t>/13)</w:t>
            </w:r>
          </w:p>
        </w:tc>
        <w:tc>
          <w:tcPr>
            <w:tcW w:w="1296" w:type="pct"/>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42% (5</w:t>
            </w:r>
            <w:r w:rsidRPr="008A0A30">
              <w:rPr>
                <w:szCs w:val="24"/>
                <w:vertAlign w:val="superscript"/>
              </w:rPr>
              <w:t>c</w:t>
            </w:r>
            <w:r w:rsidRPr="008A0A30">
              <w:rPr>
                <w:szCs w:val="24"/>
              </w:rPr>
              <w:t>/12)</w:t>
            </w:r>
          </w:p>
        </w:tc>
      </w:tr>
      <w:tr w:rsidR="00260792" w:rsidRPr="008A0A30" w:rsidTr="00333FAE">
        <w:trPr>
          <w:trHeight w:val="20"/>
        </w:trPr>
        <w:tc>
          <w:tcPr>
            <w:tcW w:w="1062" w:type="pct"/>
            <w:tcBorders>
              <w:bottom w:val="single" w:sz="12" w:space="0" w:color="auto"/>
            </w:tcBorders>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rPr>
                <w:szCs w:val="24"/>
              </w:rPr>
            </w:pPr>
            <w:r w:rsidRPr="008A0A30">
              <w:rPr>
                <w:szCs w:val="24"/>
              </w:rPr>
              <w:t>Other</w:t>
            </w:r>
            <w:r w:rsidRPr="008A0A30">
              <w:rPr>
                <w:szCs w:val="24"/>
                <w:vertAlign w:val="superscript"/>
              </w:rPr>
              <w:t>d</w:t>
            </w:r>
          </w:p>
        </w:tc>
        <w:tc>
          <w:tcPr>
            <w:tcW w:w="1243" w:type="pct"/>
            <w:tcBorders>
              <w:bottom w:val="single" w:sz="12" w:space="0" w:color="auto"/>
            </w:tcBorders>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5% (4/82)</w:t>
            </w:r>
          </w:p>
        </w:tc>
        <w:tc>
          <w:tcPr>
            <w:tcW w:w="1398" w:type="pct"/>
            <w:tcBorders>
              <w:bottom w:val="single" w:sz="12" w:space="0" w:color="auto"/>
            </w:tcBorders>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2% (2/81)</w:t>
            </w:r>
          </w:p>
        </w:tc>
        <w:tc>
          <w:tcPr>
            <w:tcW w:w="1296" w:type="pct"/>
            <w:tcBorders>
              <w:bottom w:val="single" w:sz="12" w:space="0" w:color="auto"/>
            </w:tcBorders>
          </w:tcPr>
          <w:p w:rsidR="00260792" w:rsidRPr="008A0A30" w:rsidRDefault="00260792" w:rsidP="00333FA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rPr>
                <w:szCs w:val="24"/>
              </w:rPr>
            </w:pPr>
            <w:r w:rsidRPr="008A0A30">
              <w:rPr>
                <w:szCs w:val="24"/>
              </w:rPr>
              <w:t>5% (4/83)</w:t>
            </w:r>
          </w:p>
        </w:tc>
      </w:tr>
    </w:tbl>
    <w:p w:rsidR="00260792" w:rsidRPr="008A0A30" w:rsidRDefault="00260792" w:rsidP="008A0A30">
      <w:pPr>
        <w:pStyle w:val="TableFooter"/>
        <w:numPr>
          <w:ilvl w:val="0"/>
          <w:numId w:val="19"/>
        </w:numPr>
        <w:tabs>
          <w:tab w:val="left" w:pos="360"/>
        </w:tabs>
        <w:ind w:left="360"/>
        <w:contextualSpacing/>
      </w:pPr>
      <w:r w:rsidRPr="008A0A30">
        <w:t xml:space="preserve">No </w:t>
      </w:r>
      <w:r w:rsidR="00A42C9F" w:rsidRPr="008A0A30">
        <w:t xml:space="preserve">patients </w:t>
      </w:r>
      <w:r w:rsidRPr="008A0A30">
        <w:t>with genotype 1 HCV had on-treatment virologic failure.</w:t>
      </w:r>
    </w:p>
    <w:p w:rsidR="00260792" w:rsidRPr="008A0A30" w:rsidRDefault="00260792" w:rsidP="008A0A30">
      <w:pPr>
        <w:pStyle w:val="TableFooter"/>
        <w:numPr>
          <w:ilvl w:val="0"/>
          <w:numId w:val="19"/>
        </w:numPr>
        <w:tabs>
          <w:tab w:val="left" w:pos="360"/>
        </w:tabs>
        <w:ind w:left="360"/>
        <w:contextualSpacing/>
      </w:pPr>
      <w:r w:rsidRPr="008A0A30">
        <w:t xml:space="preserve">One </w:t>
      </w:r>
      <w:r w:rsidR="00A42C9F" w:rsidRPr="008A0A30">
        <w:t xml:space="preserve">patients </w:t>
      </w:r>
      <w:r w:rsidRPr="008A0A30">
        <w:t>had on-treatment virologic failure; pharmacokinetic data from this patient was consistent with non-adherence.</w:t>
      </w:r>
    </w:p>
    <w:p w:rsidR="00260792" w:rsidRPr="008A0A30" w:rsidRDefault="00260792" w:rsidP="008A0A30">
      <w:pPr>
        <w:pStyle w:val="TableFooter"/>
        <w:numPr>
          <w:ilvl w:val="0"/>
          <w:numId w:val="19"/>
        </w:numPr>
        <w:tabs>
          <w:tab w:val="left" w:pos="360"/>
        </w:tabs>
        <w:ind w:left="360"/>
        <w:contextualSpacing/>
      </w:pPr>
      <w:r w:rsidRPr="008A0A30">
        <w:t xml:space="preserve">One </w:t>
      </w:r>
      <w:r w:rsidR="00A42C9F" w:rsidRPr="008A0A30">
        <w:t xml:space="preserve">patients </w:t>
      </w:r>
      <w:r w:rsidRPr="008A0A30">
        <w:t>had on-treatment virologic failure.</w:t>
      </w:r>
    </w:p>
    <w:p w:rsidR="00C269F9" w:rsidRPr="008A0A30" w:rsidRDefault="00260792" w:rsidP="00BB341F">
      <w:pPr>
        <w:pStyle w:val="TableFooter"/>
        <w:numPr>
          <w:ilvl w:val="0"/>
          <w:numId w:val="19"/>
        </w:numPr>
        <w:tabs>
          <w:tab w:val="left" w:pos="360"/>
        </w:tabs>
        <w:spacing w:after="360"/>
        <w:ind w:left="357" w:hanging="357"/>
        <w:contextualSpacing/>
      </w:pPr>
      <w:r w:rsidRPr="008A0A30">
        <w:t xml:space="preserve">Other includes </w:t>
      </w:r>
      <w:r w:rsidR="00A26D7D">
        <w:t>patients</w:t>
      </w:r>
      <w:r w:rsidR="00A26D7D" w:rsidRPr="008A0A30">
        <w:t xml:space="preserve"> </w:t>
      </w:r>
      <w:r w:rsidRPr="008A0A30">
        <w:t>who did not achieve SVR and did not meet virologic failure criteria.</w:t>
      </w:r>
    </w:p>
    <w:p w:rsidR="00260792" w:rsidRPr="008A0A30" w:rsidRDefault="00260792" w:rsidP="00C269F9">
      <w:r w:rsidRPr="008A0A30">
        <w:t>Changes in MELD and CPT score from baseline to post-treatment Week 12 were analy</w:t>
      </w:r>
      <w:r w:rsidR="00A42C9F" w:rsidRPr="008A0A30">
        <w:t>s</w:t>
      </w:r>
      <w:r w:rsidRPr="008A0A30">
        <w:t xml:space="preserve">ed for </w:t>
      </w:r>
      <w:r w:rsidR="00A42C9F" w:rsidRPr="008A0A30">
        <w:t xml:space="preserve">patients </w:t>
      </w:r>
      <w:r w:rsidRPr="008A0A30">
        <w:t>who achieved SVR12 to assess the effect of SVR12 on hepatic function. Of the 82 </w:t>
      </w:r>
      <w:r w:rsidR="00A42C9F" w:rsidRPr="008A0A30">
        <w:t xml:space="preserve">patients treated with </w:t>
      </w:r>
      <w:r w:rsidR="00C3685A">
        <w:t>EPCLUSA</w:t>
      </w:r>
      <w:r w:rsidRPr="008A0A30">
        <w:t>+RBV for 12 weeks who achieved SVR12, 81 had MELD and CPT assessments at baseline and post-treatment week 12</w:t>
      </w:r>
      <w:r w:rsidR="00A42C9F" w:rsidRPr="008A0A30">
        <w:t>.</w:t>
      </w:r>
    </w:p>
    <w:p w:rsidR="00260792" w:rsidRPr="008A0A30" w:rsidRDefault="00260792" w:rsidP="00260792">
      <w:pPr>
        <w:pStyle w:val="Text10"/>
        <w:widowControl w:val="0"/>
      </w:pPr>
      <w:r w:rsidRPr="008A0A30">
        <w:rPr>
          <w:i/>
        </w:rPr>
        <w:t>Change in MELD score:</w:t>
      </w:r>
      <w:r w:rsidRPr="008A0A30">
        <w:t xml:space="preserve"> Among those who achieved SVR1</w:t>
      </w:r>
      <w:r w:rsidR="00A42C9F" w:rsidRPr="008A0A30">
        <w:t xml:space="preserve">2 with 12 weeks treatment with </w:t>
      </w:r>
      <w:r w:rsidR="00C3685A">
        <w:t>EPCLUSA</w:t>
      </w:r>
      <w:r w:rsidRPr="008A0A30">
        <w:t xml:space="preserve">+RBV, 51% (41/81) and 15% (12/81) had an improvement or no change in MELD score from baseline to post-treatment week 12, respectively. Of the 10 </w:t>
      </w:r>
      <w:r w:rsidR="00A42C9F" w:rsidRPr="008A0A30">
        <w:t xml:space="preserve">patients </w:t>
      </w:r>
      <w:r w:rsidRPr="008A0A30">
        <w:t>whose MELD score was ≥ 15 at baseline, 40% (4/10) had a MELD score &lt; 15 at post-treatment Week 12</w:t>
      </w:r>
      <w:r w:rsidR="00EC666B">
        <w:t>;</w:t>
      </w:r>
      <w:r w:rsidRPr="008A0A30">
        <w:t xml:space="preserve"> Improvement in MELD score was due to improvement</w:t>
      </w:r>
      <w:r w:rsidR="00EC666B">
        <w:t>s</w:t>
      </w:r>
      <w:r w:rsidRPr="008A0A30">
        <w:t xml:space="preserve"> (decreases) in bilirubin.</w:t>
      </w:r>
    </w:p>
    <w:p w:rsidR="00260792" w:rsidRPr="008A0A30" w:rsidRDefault="00260792" w:rsidP="00260792">
      <w:pPr>
        <w:pStyle w:val="Text10"/>
        <w:widowControl w:val="0"/>
      </w:pPr>
      <w:r w:rsidRPr="008A0A30">
        <w:rPr>
          <w:i/>
        </w:rPr>
        <w:t>Change in CPT:</w:t>
      </w:r>
      <w:r w:rsidRPr="008A0A30">
        <w:t xml:space="preserve"> Among those who achieved SVR12 with 12 weeks treatment with </w:t>
      </w:r>
      <w:r w:rsidR="00C3685A">
        <w:t>EPCLUSA</w:t>
      </w:r>
      <w:r w:rsidRPr="008A0A30">
        <w:t>+RBV, 41% (33/81) and 49% (40/81) had an improvement or no change of CPT scores from baseline to post-treatment week 12, respectively; Improvement in CPT score was due to improvements in albumin (increases) and bilirubin (decreases).</w:t>
      </w:r>
    </w:p>
    <w:p w:rsidR="00260792" w:rsidRPr="008A0A30" w:rsidRDefault="00260792" w:rsidP="00260792">
      <w:pPr>
        <w:pStyle w:val="Text10"/>
        <w:widowControl w:val="0"/>
      </w:pPr>
      <w:r w:rsidRPr="008A0A30">
        <w:t>Similar proport</w:t>
      </w:r>
      <w:r w:rsidR="00A42C9F" w:rsidRPr="008A0A30">
        <w:t xml:space="preserve">ions of </w:t>
      </w:r>
      <w:r w:rsidR="00A26D7D">
        <w:t>patients</w:t>
      </w:r>
      <w:r w:rsidR="00A26D7D" w:rsidRPr="008A0A30">
        <w:t xml:space="preserve"> </w:t>
      </w:r>
      <w:r w:rsidR="00A42C9F" w:rsidRPr="008A0A30">
        <w:t xml:space="preserve">treated with </w:t>
      </w:r>
      <w:r w:rsidR="00C3685A">
        <w:t>EPCLUSA</w:t>
      </w:r>
      <w:r w:rsidR="001057ED" w:rsidRPr="008A0A30">
        <w:t xml:space="preserve"> for 12 or 24 weeks had</w:t>
      </w:r>
      <w:r w:rsidRPr="008A0A30">
        <w:t xml:space="preserve"> improvements in MELD and CPT scores compared with </w:t>
      </w:r>
      <w:r w:rsidR="00A26D7D">
        <w:t>patients</w:t>
      </w:r>
      <w:r w:rsidR="00A26D7D" w:rsidRPr="008A0A30">
        <w:t xml:space="preserve"> </w:t>
      </w:r>
      <w:r w:rsidRPr="008A0A30">
        <w:t xml:space="preserve">treated with </w:t>
      </w:r>
      <w:r w:rsidR="00C3685A">
        <w:t>EPCLUSA</w:t>
      </w:r>
      <w:r w:rsidRPr="008A0A30">
        <w:t>+RBV for 12 weeks</w:t>
      </w:r>
      <w:r w:rsidR="004F4171" w:rsidRPr="008A0A30">
        <w:t>.</w:t>
      </w:r>
    </w:p>
    <w:p w:rsidR="007254DD" w:rsidRPr="008A0A30" w:rsidRDefault="007254DD" w:rsidP="00FC3767">
      <w:pPr>
        <w:pStyle w:val="Heading1"/>
      </w:pPr>
      <w:r w:rsidRPr="008A0A30">
        <w:t>INDICATIONS</w:t>
      </w:r>
    </w:p>
    <w:p w:rsidR="005F4372" w:rsidRDefault="00C3685A" w:rsidP="00017E9F">
      <w:pPr>
        <w:rPr>
          <w:noProof/>
          <w:szCs w:val="24"/>
        </w:rPr>
      </w:pPr>
      <w:r>
        <w:t>EPCLUSA</w:t>
      </w:r>
      <w:r w:rsidR="00E23E9E" w:rsidRPr="008A0A30">
        <w:t xml:space="preserve"> (sofosbuvir</w:t>
      </w:r>
      <w:r w:rsidR="001A405A">
        <w:t>/</w:t>
      </w:r>
      <w:r w:rsidR="001A405A" w:rsidRPr="008A0A30">
        <w:t>velpatasvir</w:t>
      </w:r>
      <w:r w:rsidR="001A405A">
        <w:t xml:space="preserve"> </w:t>
      </w:r>
      <w:r w:rsidR="00E23E9E" w:rsidRPr="008A0A30">
        <w:t>fixed-dose combination)</w:t>
      </w:r>
      <w:r w:rsidR="00AD6CE4" w:rsidRPr="008A0A30">
        <w:t xml:space="preserve"> is </w:t>
      </w:r>
      <w:r w:rsidR="0078780E" w:rsidRPr="008A0A30">
        <w:t>indicated for</w:t>
      </w:r>
      <w:r w:rsidR="00AD6CE4" w:rsidRPr="008A0A30">
        <w:t xml:space="preserve"> the treatment of chronic hepatitis C </w:t>
      </w:r>
      <w:r w:rsidR="00B704B2">
        <w:t xml:space="preserve">virus </w:t>
      </w:r>
      <w:r w:rsidR="00AD6CE4" w:rsidRPr="008A0A30">
        <w:t>(HC</w:t>
      </w:r>
      <w:r w:rsidR="00B704B2">
        <w:t>V</w:t>
      </w:r>
      <w:r w:rsidR="00AD6CE4" w:rsidRPr="008A0A30">
        <w:t xml:space="preserve">) infection </w:t>
      </w:r>
      <w:r w:rsidR="00163E2E">
        <w:t xml:space="preserve">(genotype 1, 2, 3, 4, 5 or 6) </w:t>
      </w:r>
      <w:r w:rsidR="00AD6CE4" w:rsidRPr="008A0A30">
        <w:t>in adults.</w:t>
      </w:r>
    </w:p>
    <w:p w:rsidR="00FC3767" w:rsidRDefault="00C641FC" w:rsidP="00017E9F">
      <w:pPr>
        <w:rPr>
          <w:noProof/>
          <w:szCs w:val="24"/>
        </w:rPr>
      </w:pPr>
      <w:r w:rsidRPr="00C641FC">
        <w:rPr>
          <w:noProof/>
          <w:szCs w:val="24"/>
        </w:rPr>
        <w:t>(see DOSAGE AND ADMINISTRATION section for the recommended regimens for different patient subgroups).</w:t>
      </w:r>
    </w:p>
    <w:p w:rsidR="007254DD" w:rsidRPr="008A0A30" w:rsidRDefault="007254DD" w:rsidP="00FC3767">
      <w:pPr>
        <w:pStyle w:val="Heading1"/>
      </w:pPr>
      <w:r w:rsidRPr="008A0A30">
        <w:t>CONTRAINDICATIONS</w:t>
      </w:r>
    </w:p>
    <w:p w:rsidR="00FC3767" w:rsidRDefault="00C3685A" w:rsidP="00017E9F">
      <w:pPr>
        <w:rPr>
          <w:lang w:eastAsia="en-AU"/>
        </w:rPr>
      </w:pPr>
      <w:r>
        <w:rPr>
          <w:lang w:eastAsia="en-AU"/>
        </w:rPr>
        <w:t>EPCLUSA</w:t>
      </w:r>
      <w:r w:rsidR="00097818" w:rsidRPr="008A0A30">
        <w:rPr>
          <w:lang w:eastAsia="en-AU"/>
        </w:rPr>
        <w:t xml:space="preserve"> tablets are contraindicated in patients with known hypersensitivity to the active substance or to any other component of the tablets.</w:t>
      </w:r>
    </w:p>
    <w:p w:rsidR="00176A45" w:rsidRPr="008A0A30" w:rsidRDefault="00C3685A" w:rsidP="00017E9F">
      <w:pPr>
        <w:rPr>
          <w:lang w:eastAsia="en-AU"/>
        </w:rPr>
      </w:pPr>
      <w:r>
        <w:rPr>
          <w:lang w:eastAsia="en-AU"/>
        </w:rPr>
        <w:lastRenderedPageBreak/>
        <w:t>EPCLUSA</w:t>
      </w:r>
      <w:r w:rsidR="00176A45" w:rsidRPr="008A0A30">
        <w:rPr>
          <w:lang w:eastAsia="en-AU"/>
        </w:rPr>
        <w:t xml:space="preserve"> is a fixed-dose combination of sofosbuvir</w:t>
      </w:r>
      <w:r w:rsidR="001A405A">
        <w:rPr>
          <w:lang w:eastAsia="en-AU"/>
        </w:rPr>
        <w:t xml:space="preserve"> and </w:t>
      </w:r>
      <w:r w:rsidR="001A405A" w:rsidRPr="008A0A30">
        <w:rPr>
          <w:lang w:eastAsia="en-AU"/>
        </w:rPr>
        <w:t>velpatasvir</w:t>
      </w:r>
      <w:r w:rsidR="00176A45" w:rsidRPr="008A0A30">
        <w:rPr>
          <w:lang w:eastAsia="en-AU"/>
        </w:rPr>
        <w:t>.</w:t>
      </w:r>
      <w:r w:rsidR="00FC3767">
        <w:rPr>
          <w:lang w:eastAsia="en-AU"/>
        </w:rPr>
        <w:t xml:space="preserve"> </w:t>
      </w:r>
      <w:r>
        <w:rPr>
          <w:lang w:eastAsia="en-AU"/>
        </w:rPr>
        <w:t>EPCLUSA</w:t>
      </w:r>
      <w:r w:rsidR="00176A45" w:rsidRPr="008A0A30">
        <w:rPr>
          <w:lang w:eastAsia="en-AU"/>
        </w:rPr>
        <w:t xml:space="preserve"> should not be administered concurrently with other medicinal products containing any of the same active components.</w:t>
      </w:r>
    </w:p>
    <w:p w:rsidR="002E5869" w:rsidRPr="008A0A30" w:rsidRDefault="007254DD" w:rsidP="00FC3767">
      <w:pPr>
        <w:pStyle w:val="Heading1"/>
      </w:pPr>
      <w:r w:rsidRPr="008A0A30">
        <w:t>PRECAUTIONS</w:t>
      </w:r>
    </w:p>
    <w:p w:rsidR="008F0915" w:rsidRPr="008A0A30" w:rsidRDefault="0053699A" w:rsidP="00FC3767">
      <w:pPr>
        <w:pStyle w:val="Heading2"/>
      </w:pPr>
      <w:r w:rsidRPr="008A0A30">
        <w:t>Symptomatic Bradycardia When Sofosbuvir Is Coadministered with Amiodarone and Another HCV Direct Acting Antiviral</w:t>
      </w:r>
    </w:p>
    <w:p w:rsidR="00B6148F" w:rsidRPr="008A0A30" w:rsidRDefault="00B6148F" w:rsidP="00FC3767">
      <w:r w:rsidRPr="008A0A30">
        <w:t>Postmarketing cases of symptomatic bradycardia and cases requiring pacemaker intervention have been reported when amiodarone is coadministered with sofosbuvir in combination with daclatasvir or simeprevir. A fatal cardiac arrest was reported in a patient taking amiodarone who was coadministered a sofosbuvir-containing regimen (HARVONI (ledipasvir/sofosbuvir)). Bradycardia has generally occurred within hours to days, but cases have been observed up to 2 weeks after initiating HCV treatment. Patients also taking beta blockers, or those with underlying cardiac comorbidities and/or advanced liver disease may be at increased risk for symptomatic bradycardia with coadministration of amiodarone. Bradycardia generally resolved after discontinuation of HCV treatment. The mechanism for this effect is unknown.</w:t>
      </w:r>
    </w:p>
    <w:p w:rsidR="008F0915" w:rsidRPr="008A0A30" w:rsidRDefault="008F0915" w:rsidP="00FC3767">
      <w:r w:rsidRPr="008A0A30">
        <w:t xml:space="preserve">Coadministration of amiodarone with </w:t>
      </w:r>
      <w:r w:rsidR="00C3685A">
        <w:t>EPCLUSA</w:t>
      </w:r>
      <w:r w:rsidRPr="008A0A30">
        <w:t xml:space="preserve"> is not recommended. For patients taking amiodarone who have no other alternative, viable treatment options and who will be coadministered </w:t>
      </w:r>
      <w:r w:rsidR="00C3685A">
        <w:t>EPCLUSA</w:t>
      </w:r>
      <w:r w:rsidRPr="008A0A30">
        <w:t>:</w:t>
      </w:r>
    </w:p>
    <w:p w:rsidR="00FC3767" w:rsidRDefault="008F0915" w:rsidP="00FC3767">
      <w:pPr>
        <w:pStyle w:val="ListParagraph"/>
        <w:numPr>
          <w:ilvl w:val="0"/>
          <w:numId w:val="18"/>
        </w:numPr>
      </w:pPr>
      <w:r w:rsidRPr="008A0A30">
        <w:t>Counsel patients about the risk of symptomatic bradycardia</w:t>
      </w:r>
    </w:p>
    <w:p w:rsidR="00FC3767" w:rsidRDefault="008F0915" w:rsidP="00FC3767">
      <w:pPr>
        <w:pStyle w:val="ListParagraph"/>
        <w:numPr>
          <w:ilvl w:val="0"/>
          <w:numId w:val="18"/>
        </w:numPr>
      </w:pPr>
      <w:r w:rsidRPr="008A0A30">
        <w:t>Cardiac monitoring in an in-patient setting for the first 48 hours of coadministration is recommended, after which outpatient or self-monitoring of the heart rate should occur on a daily basis through at least the first 2 weeks of treatment.</w:t>
      </w:r>
    </w:p>
    <w:p w:rsidR="00FC3767" w:rsidRDefault="008F0915" w:rsidP="00FC3767">
      <w:r w:rsidRPr="008A0A30">
        <w:t xml:space="preserve">Patients who are taking </w:t>
      </w:r>
      <w:r w:rsidR="00C3685A">
        <w:t>EPCLUSA</w:t>
      </w:r>
      <w:r w:rsidRPr="008A0A30">
        <w:t xml:space="preserve"> who need to start amiodarone therapy due to no other alternative, viable treatment options should undergo similar cardiac monitoring as outlined above.</w:t>
      </w:r>
    </w:p>
    <w:p w:rsidR="00FC3767" w:rsidRDefault="008F0915" w:rsidP="00FC3767">
      <w:r w:rsidRPr="008A0A30">
        <w:t xml:space="preserve">Due to amiodarone’s long half-life, patients discontinuing amiodarone just prior to starting </w:t>
      </w:r>
      <w:r w:rsidR="00C3685A">
        <w:t>EPCLUSA</w:t>
      </w:r>
      <w:r w:rsidRPr="008A0A30">
        <w:t xml:space="preserve"> should also undergo similar cardiac monitoring as outlined above.</w:t>
      </w:r>
    </w:p>
    <w:p w:rsidR="008F0915" w:rsidRPr="008A0A30" w:rsidRDefault="008F0915" w:rsidP="00FC3767">
      <w:pPr>
        <w:rPr>
          <w:noProof/>
        </w:rPr>
      </w:pPr>
      <w:r w:rsidRPr="008A0A30">
        <w:t>Patients who develop signs or symptoms of bradycardia should seek medical evaluation</w:t>
      </w:r>
      <w:r w:rsidR="00136CF1" w:rsidRPr="008A0A30">
        <w:t xml:space="preserve"> </w:t>
      </w:r>
      <w:r w:rsidRPr="008A0A30">
        <w:t>immediately. Symptoms may include near-fainting or fainting, dizziness or lightheadedness,</w:t>
      </w:r>
      <w:r w:rsidR="00136CF1" w:rsidRPr="008A0A30">
        <w:t xml:space="preserve"> </w:t>
      </w:r>
      <w:r w:rsidRPr="008A0A30">
        <w:t>malaise, weakness, excessive tiredness, shortness of breath, chest pains, confusion</w:t>
      </w:r>
      <w:r w:rsidR="00EC666B">
        <w:t>,</w:t>
      </w:r>
      <w:r w:rsidRPr="008A0A30">
        <w:t xml:space="preserve"> or memory</w:t>
      </w:r>
      <w:r w:rsidR="00136CF1" w:rsidRPr="008A0A30">
        <w:t xml:space="preserve"> </w:t>
      </w:r>
      <w:r w:rsidRPr="008A0A30">
        <w:t>problems.</w:t>
      </w:r>
    </w:p>
    <w:p w:rsidR="003C772A" w:rsidRPr="003B5DD1" w:rsidRDefault="003C772A" w:rsidP="00FC3767">
      <w:pPr>
        <w:pStyle w:val="Text10"/>
      </w:pPr>
      <w:r w:rsidRPr="003B5DD1">
        <w:rPr>
          <w:b/>
          <w:bCs/>
          <w:iCs/>
          <w:lang w:val="en-GB"/>
        </w:rPr>
        <w:t xml:space="preserve">Hepatitis B </w:t>
      </w:r>
      <w:r>
        <w:rPr>
          <w:b/>
          <w:bCs/>
          <w:iCs/>
          <w:lang w:val="en-GB"/>
        </w:rPr>
        <w:t>V</w:t>
      </w:r>
      <w:r w:rsidRPr="003B5DD1">
        <w:rPr>
          <w:b/>
          <w:bCs/>
          <w:iCs/>
          <w:lang w:val="en-GB"/>
        </w:rPr>
        <w:t>irus</w:t>
      </w:r>
      <w:r>
        <w:rPr>
          <w:b/>
          <w:bCs/>
          <w:iCs/>
          <w:lang w:val="en-GB"/>
        </w:rPr>
        <w:t xml:space="preserve"> Reactivation</w:t>
      </w:r>
    </w:p>
    <w:p w:rsidR="005F4372" w:rsidRDefault="005614F2" w:rsidP="00FC3767">
      <w:pPr>
        <w:pStyle w:val="Default"/>
        <w:rPr>
          <w:bCs/>
          <w:iCs/>
          <w:lang w:val="en-AU"/>
        </w:rPr>
      </w:pPr>
      <w:r w:rsidRPr="00E74D96">
        <w:rPr>
          <w:bCs/>
          <w:iCs/>
          <w:lang w:val="en-AU"/>
        </w:rPr>
        <w:t>Cases of Hepatitis B virus (HBV) reactivation, including fatal cases, have been reported during and after treatment of HCV with direct-acting antiviral agents in HCV/HBV co-infected patients. Screening for current or past HBV infection, including testing for HBV surface antigen (HBsAg) and HBV core antibody (anti-HBc), should be performed in all patients before initiation of treatment with EPCLUSA.</w:t>
      </w:r>
    </w:p>
    <w:p w:rsidR="005614F2" w:rsidRPr="00D60556" w:rsidRDefault="005614F2" w:rsidP="00FC3767">
      <w:r w:rsidRPr="00E74D96">
        <w:rPr>
          <w:bCs/>
          <w:iCs/>
          <w:szCs w:val="24"/>
          <w:lang w:val="en-AU"/>
        </w:rPr>
        <w:t>Patients with serologic evidence of current or past HBV infection should be monitored and treated according to current clinical practice guidelines to manage potential HBV reactivation. Consider initiation of HBV antiviral therapy, if indicated.</w:t>
      </w:r>
    </w:p>
    <w:p w:rsidR="00652037" w:rsidRPr="008A0A30" w:rsidRDefault="00652037" w:rsidP="00FC3767">
      <w:pPr>
        <w:pStyle w:val="Heading2"/>
      </w:pPr>
      <w:r w:rsidRPr="008A0A30">
        <w:lastRenderedPageBreak/>
        <w:t>Use with Potent Inducers of P-gp and/or Moderate to Potent Inducers of CYP</w:t>
      </w:r>
    </w:p>
    <w:p w:rsidR="003B5DD1" w:rsidRPr="008A0A30" w:rsidRDefault="00652037" w:rsidP="00FC3767">
      <w:r w:rsidRPr="008A0A30">
        <w:t xml:space="preserve">Drugs that are potent inducers of P-gp and/or moderate to potent inducers of CYP2B6, CYP2C8, or CYP3A4 (e.g., rifampin, St. John’s wort, carbamazepine) may significantly decrease plasma concentrations of sofosbuvir and/or velpatasvir leading to reduced therapeutic effect of </w:t>
      </w:r>
      <w:r w:rsidR="00C3685A">
        <w:t>EPCLUSA</w:t>
      </w:r>
      <w:r w:rsidRPr="008A0A30">
        <w:t xml:space="preserve">. The use of these agents with </w:t>
      </w:r>
      <w:r w:rsidR="00C3685A">
        <w:t>EPCLUSA</w:t>
      </w:r>
      <w:r w:rsidRPr="008A0A30">
        <w:t xml:space="preserve"> is not recommended (see </w:t>
      </w:r>
      <w:r w:rsidRPr="008A0A30">
        <w:rPr>
          <w:i/>
        </w:rPr>
        <w:t>Interactions with Other Medicines</w:t>
      </w:r>
      <w:r w:rsidRPr="008A0A30">
        <w:t>).</w:t>
      </w:r>
    </w:p>
    <w:p w:rsidR="005C713E" w:rsidRPr="008A0A30" w:rsidRDefault="004357C3" w:rsidP="00FC3767">
      <w:pPr>
        <w:pStyle w:val="Heading2"/>
      </w:pPr>
      <w:r w:rsidRPr="008A0A30">
        <w:t>Effects on</w:t>
      </w:r>
      <w:r w:rsidR="005C713E" w:rsidRPr="008A0A30">
        <w:t xml:space="preserve"> </w:t>
      </w:r>
      <w:r w:rsidR="002142CE" w:rsidRPr="008A0A30">
        <w:t>Fertility</w:t>
      </w:r>
    </w:p>
    <w:p w:rsidR="001A405A" w:rsidRPr="008A0A30" w:rsidRDefault="001A405A" w:rsidP="00FC3767">
      <w:r w:rsidRPr="008A0A30">
        <w:rPr>
          <w:i/>
        </w:rPr>
        <w:t>Sofosbuvir</w:t>
      </w:r>
      <w:r w:rsidRPr="008A0A30">
        <w:t>:</w:t>
      </w:r>
      <w:r w:rsidR="00FC3767">
        <w:t xml:space="preserve"> </w:t>
      </w:r>
      <w:r w:rsidRPr="008A0A30">
        <w:rPr>
          <w:shd w:val="clear" w:color="auto" w:fill="FFFFFF" w:themeFill="background1"/>
        </w:rPr>
        <w:t>Sofosbuvir had no effects on embryo-fetal viability or on fertility when evaluated in rats. At the highest dose tested, AUC exposure to the predominant circulating metabolite GS-331007 was approximately 4-fold the exposure in humans at the recommended clinical dose</w:t>
      </w:r>
      <w:r w:rsidRPr="008A0A30">
        <w:t>.</w:t>
      </w:r>
    </w:p>
    <w:p w:rsidR="00FC3767" w:rsidRDefault="00C37F3C" w:rsidP="00FC3767">
      <w:r w:rsidRPr="008A0A30">
        <w:rPr>
          <w:i/>
        </w:rPr>
        <w:t>Velpatasvir</w:t>
      </w:r>
      <w:r w:rsidRPr="008A0A30">
        <w:t>: Velpatasvir had no effects on embryo-fetal viability or on fertility when evaluated in rats. At the highest dose tested, velpatasvir exposure was approximately 6-fold the exposure in humans at the recommended clinical dose.</w:t>
      </w:r>
    </w:p>
    <w:p w:rsidR="00FC3767" w:rsidRDefault="00005C1B" w:rsidP="00FC3767">
      <w:pPr>
        <w:pStyle w:val="Heading2"/>
      </w:pPr>
      <w:r w:rsidRPr="008A0A30">
        <w:t>Use in Pregnancy</w:t>
      </w:r>
    </w:p>
    <w:p w:rsidR="00005C1B" w:rsidRPr="008A0A30" w:rsidRDefault="00C3685A" w:rsidP="00FC3767">
      <w:pPr>
        <w:pStyle w:val="Heading3"/>
      </w:pPr>
      <w:r>
        <w:t>EPCLUSA</w:t>
      </w:r>
      <w:r w:rsidR="000D6B4A" w:rsidRPr="008A0A30">
        <w:t xml:space="preserve"> (</w:t>
      </w:r>
      <w:r w:rsidR="00005C1B" w:rsidRPr="008A0A30">
        <w:t xml:space="preserve">Pregnancy Category </w:t>
      </w:r>
      <w:r w:rsidR="002D76EC" w:rsidRPr="008A0A30">
        <w:t>B1</w:t>
      </w:r>
      <w:r w:rsidR="000D6B4A" w:rsidRPr="008A0A30">
        <w:t>)</w:t>
      </w:r>
    </w:p>
    <w:p w:rsidR="00FC3767" w:rsidRDefault="00F949E1" w:rsidP="00FC3767">
      <w:r w:rsidRPr="008A0A30">
        <w:t xml:space="preserve">There are no adequate and well-controlled studies with </w:t>
      </w:r>
      <w:r w:rsidR="00C3685A">
        <w:t>EPCLUSA</w:t>
      </w:r>
      <w:r w:rsidRPr="008A0A30">
        <w:t xml:space="preserve"> in pregnant women.</w:t>
      </w:r>
    </w:p>
    <w:p w:rsidR="00FC3767" w:rsidRDefault="00F949E1" w:rsidP="00FC3767">
      <w:r w:rsidRPr="008A0A30">
        <w:t>In animal reproduction studies, no evidence of adverse developmental outcomes was observed with the administration of sofosbuvir or velpatasvir.</w:t>
      </w:r>
    </w:p>
    <w:p w:rsidR="00FC3767" w:rsidRDefault="003715F7" w:rsidP="00FC3767">
      <w:r w:rsidRPr="008A0A30">
        <w:rPr>
          <w:i/>
          <w:color w:val="000000"/>
        </w:rPr>
        <w:t>Sofosbuvir</w:t>
      </w:r>
      <w:r w:rsidRPr="008A0A30">
        <w:t>:</w:t>
      </w:r>
      <w:r w:rsidR="00FC3767">
        <w:t xml:space="preserve"> </w:t>
      </w:r>
      <w:r w:rsidRPr="008A0A30">
        <w:t xml:space="preserve">No effect on fetal development has been observed in rats and rabbits at the highest doses tested. In the rat and rabbit, exposure to the predominant circulating metabolite GS-331007 was approximately </w:t>
      </w:r>
      <w:r w:rsidR="0043224E" w:rsidRPr="0043224E">
        <w:t>2- to 5-fol</w:t>
      </w:r>
      <w:r w:rsidR="00410856">
        <w:t>d and 6- to 14-fold</w:t>
      </w:r>
      <w:r w:rsidR="0043224E" w:rsidRPr="0043224E">
        <w:t xml:space="preserve"> </w:t>
      </w:r>
      <w:r w:rsidRPr="008A0A30">
        <w:t>the exposure in humans at the recommended clinical dose, respectively.</w:t>
      </w:r>
      <w:r w:rsidR="00333FAE" w:rsidRPr="008A0A30">
        <w:t xml:space="preserve"> </w:t>
      </w:r>
      <w:r w:rsidR="00E97207" w:rsidRPr="00E97207">
        <w:t xml:space="preserve">Sofosbuvir had no adverse effects on behaviour, reproduction, or development </w:t>
      </w:r>
      <w:r w:rsidR="0098086C">
        <w:t>of the offspring in the rat pre- and post-</w:t>
      </w:r>
      <w:r w:rsidR="00E97207" w:rsidRPr="00E97207">
        <w:t>natal development study at AUC exposures approximately 6-fold higher than the human exposure at the recommended clinical dose.</w:t>
      </w:r>
    </w:p>
    <w:p w:rsidR="00565C80" w:rsidRPr="008A0A30" w:rsidRDefault="00565C80" w:rsidP="00FC3767">
      <w:r w:rsidRPr="008A0A30">
        <w:rPr>
          <w:i/>
        </w:rPr>
        <w:t>Velpatasvir</w:t>
      </w:r>
      <w:r w:rsidRPr="008A0A30">
        <w:t>:</w:t>
      </w:r>
      <w:r w:rsidR="00FC3767">
        <w:t xml:space="preserve"> </w:t>
      </w:r>
      <w:r w:rsidRPr="008A0A30">
        <w:t xml:space="preserve">No effects on fetal development have been observed in mice, rats and rabbits at the highest doses tested. </w:t>
      </w:r>
      <w:r w:rsidRPr="004D52D4">
        <w:t xml:space="preserve">In the </w:t>
      </w:r>
      <w:r w:rsidR="00387D60">
        <w:t>mouse</w:t>
      </w:r>
      <w:r w:rsidRPr="004D52D4">
        <w:t>, rat and rabbit, AUC exposure to velpatasvir was approximately 31-, 6-, and 0.7-fold, respectively, the exposure in humans at the recommended clinical dose.</w:t>
      </w:r>
      <w:r w:rsidR="00FC3767">
        <w:t xml:space="preserve"> </w:t>
      </w:r>
      <w:r w:rsidRPr="008A0A30">
        <w:t>Velpatasvir had no adverse effects on behavio</w:t>
      </w:r>
      <w:r w:rsidR="00D266E2">
        <w:t>u</w:t>
      </w:r>
      <w:r w:rsidRPr="008A0A30">
        <w:t>r, reproduction, or development of the offspring in the rat pre- and post-natal development study at AUC exposures approximately 5-fold higher, respectively than the human exposure at the recommended clinical dose.</w:t>
      </w:r>
    </w:p>
    <w:p w:rsidR="00A929E6" w:rsidRPr="008A0A30" w:rsidRDefault="00A929E6" w:rsidP="00FC3767">
      <w:r w:rsidRPr="008A0A30">
        <w:t xml:space="preserve">Because animal reproduction studies are not always predictive of human response, </w:t>
      </w:r>
      <w:r w:rsidR="00C3685A">
        <w:t>EPCLUSA</w:t>
      </w:r>
      <w:r w:rsidRPr="008A0A30">
        <w:t xml:space="preserve"> should be used during pregnancy only if the potential benefit justifies the potential risk to the fetus.</w:t>
      </w:r>
    </w:p>
    <w:p w:rsidR="00846EAF" w:rsidRPr="008A0A30" w:rsidRDefault="000D6B4A" w:rsidP="00FC3767">
      <w:pPr>
        <w:pStyle w:val="Heading3"/>
      </w:pPr>
      <w:r w:rsidRPr="008A0A30">
        <w:t>Ribavirin (Pregnancy Category X)</w:t>
      </w:r>
    </w:p>
    <w:p w:rsidR="000D6B4A" w:rsidRPr="008A0A30" w:rsidRDefault="000D6B4A" w:rsidP="00FC3767">
      <w:r w:rsidRPr="008A0A30">
        <w:t xml:space="preserve">Significant teratogenic and/or embryocidal effects have been demonstrated in all animal species exposed to ribavirin. When </w:t>
      </w:r>
      <w:r w:rsidR="00C3685A">
        <w:t>EPCLUSA</w:t>
      </w:r>
      <w:r w:rsidRPr="008A0A30">
        <w:t xml:space="preserve"> is used in combination with ribavirin extreme </w:t>
      </w:r>
      <w:r w:rsidRPr="008A0A30">
        <w:lastRenderedPageBreak/>
        <w:t xml:space="preserve">care must be taken to avoid pregnancy in female patients and in female partners of male patients. Women of childbearing potential and their male partners must use effective contraception during treatment and for approximately six months after the treatment has concluded as recommended in the product information for ribavirin. If ribavirin is co-administered with </w:t>
      </w:r>
      <w:r w:rsidR="00C3685A">
        <w:t>EPCLUSA</w:t>
      </w:r>
      <w:r w:rsidRPr="008A0A30">
        <w:t>, the contraindications regarding use of ribavirin apply (refer to ribavirin product information).</w:t>
      </w:r>
    </w:p>
    <w:p w:rsidR="00005C1B" w:rsidRPr="008A0A30" w:rsidRDefault="00005C1B" w:rsidP="00FC3767">
      <w:pPr>
        <w:pStyle w:val="Heading2"/>
      </w:pPr>
      <w:r w:rsidRPr="008A0A30">
        <w:t>Use in Lactation</w:t>
      </w:r>
    </w:p>
    <w:p w:rsidR="00FC3767" w:rsidRDefault="00BC6B9D" w:rsidP="00FC3767">
      <w:r w:rsidRPr="008A0A30">
        <w:t>It is not known whether sofosbuvir or velpatasvir or their metabolites are present in human breast milk.</w:t>
      </w:r>
    </w:p>
    <w:p w:rsidR="00D20622" w:rsidRPr="008A0A30" w:rsidRDefault="00F37DD8" w:rsidP="00FC3767">
      <w:r w:rsidRPr="008A0A30">
        <w:t xml:space="preserve">The predominant circulating metabolite of sofosbuvir (GS-331007) was the primary component observed in the milk of lactating rats, without effect on nursing pups. </w:t>
      </w:r>
      <w:r w:rsidR="00E83765" w:rsidRPr="008A0A30">
        <w:t xml:space="preserve">Velpatasvir was present in the milk of lactating rats, without clear effects on nursing pups. </w:t>
      </w:r>
      <w:r w:rsidR="00D20622" w:rsidRPr="008A0A30">
        <w:t xml:space="preserve">The development and health benefits of breastfeeding should be considered along with the mother’s clinical need for </w:t>
      </w:r>
      <w:r w:rsidR="00C3685A">
        <w:t>EPCLUSA</w:t>
      </w:r>
      <w:r w:rsidR="00D20622" w:rsidRPr="008A0A30">
        <w:t xml:space="preserve"> and any potential adverse effects on the breastfed infant from </w:t>
      </w:r>
      <w:r w:rsidR="00C3685A">
        <w:t>EPCLUSA</w:t>
      </w:r>
      <w:r w:rsidR="00D20622" w:rsidRPr="008A0A30">
        <w:t xml:space="preserve"> or from the underlying maternal condition.</w:t>
      </w:r>
    </w:p>
    <w:p w:rsidR="00005C1B" w:rsidRPr="008A0A30" w:rsidRDefault="004357C3" w:rsidP="00FC3767">
      <w:pPr>
        <w:pStyle w:val="Heading2"/>
      </w:pPr>
      <w:r w:rsidRPr="008A0A30">
        <w:t>Paediatric Use</w:t>
      </w:r>
    </w:p>
    <w:p w:rsidR="004601F9" w:rsidRPr="008A0A30" w:rsidRDefault="004601F9" w:rsidP="00FC3767">
      <w:pPr>
        <w:pStyle w:val="Text10"/>
      </w:pPr>
      <w:r w:rsidRPr="008A0A30">
        <w:t xml:space="preserve">Safety and effectiveness of </w:t>
      </w:r>
      <w:r w:rsidR="00C3685A">
        <w:t>EPCLUSA</w:t>
      </w:r>
      <w:r w:rsidR="00E07F0F" w:rsidRPr="008A0A30">
        <w:t xml:space="preserve"> </w:t>
      </w:r>
      <w:r w:rsidRPr="008A0A30">
        <w:t>in children less than 18 years of age have not been established.</w:t>
      </w:r>
    </w:p>
    <w:p w:rsidR="00005C1B" w:rsidRPr="008A0A30" w:rsidRDefault="00005C1B" w:rsidP="00FC3767">
      <w:pPr>
        <w:pStyle w:val="Heading2"/>
      </w:pPr>
      <w:r w:rsidRPr="008A0A30">
        <w:t>Use in the Elderly</w:t>
      </w:r>
    </w:p>
    <w:p w:rsidR="00FC3767" w:rsidRDefault="006D324E" w:rsidP="00FC3767">
      <w:r w:rsidRPr="008A0A30">
        <w:t xml:space="preserve">Clinical studies of </w:t>
      </w:r>
      <w:r w:rsidR="00C3685A">
        <w:t>EPCLUSA</w:t>
      </w:r>
      <w:r w:rsidRPr="008A0A30">
        <w:t xml:space="preserve"> included 156 patients aged 65 and over (12% of total number of </w:t>
      </w:r>
      <w:r w:rsidR="00A26D7D">
        <w:t>patients</w:t>
      </w:r>
      <w:r w:rsidR="00A26D7D" w:rsidRPr="008A0A30">
        <w:t xml:space="preserve"> </w:t>
      </w:r>
      <w:r w:rsidRPr="008A0A30">
        <w:t>in the Phase 3 clinical trials). No overall differences in safety or effectiveness were observed between these patients and younger patients, and other reported clinical experience has not identified differences in responses between the elderly and younger patients, but greater sensitivity of some older individuals cannot be ruled out.</w:t>
      </w:r>
    </w:p>
    <w:p w:rsidR="00005C1B" w:rsidRPr="008A0A30" w:rsidRDefault="00005C1B" w:rsidP="00FC3767">
      <w:pPr>
        <w:pStyle w:val="Heading2"/>
      </w:pPr>
      <w:r w:rsidRPr="008A0A30">
        <w:t>Genotoxicity</w:t>
      </w:r>
    </w:p>
    <w:p w:rsidR="00F32357" w:rsidRPr="008A0A30" w:rsidRDefault="00F32357" w:rsidP="00FC3767">
      <w:pPr>
        <w:rPr>
          <w:noProof/>
        </w:rPr>
      </w:pPr>
      <w:r w:rsidRPr="008A0A30">
        <w:rPr>
          <w:noProof/>
        </w:rPr>
        <w:t xml:space="preserve">Sofosbuvir was not genotoxic in a battery of </w:t>
      </w:r>
      <w:r w:rsidRPr="008A0A30">
        <w:rPr>
          <w:i/>
          <w:noProof/>
        </w:rPr>
        <w:t>in vitro</w:t>
      </w:r>
      <w:r w:rsidRPr="008A0A30">
        <w:rPr>
          <w:noProof/>
        </w:rPr>
        <w:t xml:space="preserve"> or </w:t>
      </w:r>
      <w:r w:rsidRPr="008A0A30">
        <w:rPr>
          <w:i/>
          <w:noProof/>
        </w:rPr>
        <w:t>in vivo</w:t>
      </w:r>
      <w:r w:rsidRPr="008A0A30">
        <w:rPr>
          <w:noProof/>
        </w:rPr>
        <w:t xml:space="preserve"> assays, including bacterial mutagenicity, chromosome aberration using human peripheral blood lymphocytes</w:t>
      </w:r>
      <w:r w:rsidR="00EC666B">
        <w:rPr>
          <w:noProof/>
        </w:rPr>
        <w:t>,</w:t>
      </w:r>
      <w:r w:rsidRPr="008A0A30">
        <w:rPr>
          <w:noProof/>
        </w:rPr>
        <w:t xml:space="preserve"> and </w:t>
      </w:r>
      <w:r w:rsidRPr="008A0A30">
        <w:rPr>
          <w:i/>
          <w:noProof/>
        </w:rPr>
        <w:t>in vivo</w:t>
      </w:r>
      <w:r w:rsidRPr="008A0A30">
        <w:rPr>
          <w:noProof/>
        </w:rPr>
        <w:t xml:space="preserve"> mouse micronucleus assays.</w:t>
      </w:r>
    </w:p>
    <w:p w:rsidR="00565C80" w:rsidRPr="008A0A30" w:rsidRDefault="00565C80" w:rsidP="00FC3767">
      <w:pPr>
        <w:rPr>
          <w:noProof/>
        </w:rPr>
      </w:pPr>
      <w:r w:rsidRPr="008A0A30">
        <w:rPr>
          <w:noProof/>
        </w:rPr>
        <w:t xml:space="preserve">Velapatasvir was not genotoxic in a battery of </w:t>
      </w:r>
      <w:r w:rsidRPr="008A0A30">
        <w:rPr>
          <w:i/>
          <w:noProof/>
        </w:rPr>
        <w:t>in vitro</w:t>
      </w:r>
      <w:r w:rsidRPr="008A0A30">
        <w:rPr>
          <w:noProof/>
        </w:rPr>
        <w:t xml:space="preserve"> or </w:t>
      </w:r>
      <w:r w:rsidRPr="008A0A30">
        <w:rPr>
          <w:i/>
          <w:noProof/>
        </w:rPr>
        <w:t>in vivo</w:t>
      </w:r>
      <w:r w:rsidRPr="008A0A30">
        <w:rPr>
          <w:noProof/>
        </w:rPr>
        <w:t xml:space="preserve"> assays, including bacterial mutagenicity, chromosome aberration using human peripheral blood lymphocytes</w:t>
      </w:r>
      <w:r w:rsidR="00EC666B">
        <w:rPr>
          <w:noProof/>
        </w:rPr>
        <w:t>,</w:t>
      </w:r>
      <w:r w:rsidRPr="008A0A30">
        <w:rPr>
          <w:noProof/>
        </w:rPr>
        <w:t xml:space="preserve"> and </w:t>
      </w:r>
      <w:r w:rsidRPr="008A0A30">
        <w:rPr>
          <w:i/>
          <w:noProof/>
        </w:rPr>
        <w:t>in vivo</w:t>
      </w:r>
      <w:r w:rsidRPr="008A0A30">
        <w:rPr>
          <w:noProof/>
        </w:rPr>
        <w:t xml:space="preserve"> rat micronucleus assays.</w:t>
      </w:r>
    </w:p>
    <w:p w:rsidR="00FC3767" w:rsidRDefault="00005C1B" w:rsidP="00FC3767">
      <w:pPr>
        <w:pStyle w:val="Heading2"/>
      </w:pPr>
      <w:r w:rsidRPr="008A0A30">
        <w:t>Carcinogenicity</w:t>
      </w:r>
    </w:p>
    <w:p w:rsidR="006A0870" w:rsidRPr="008A0A30" w:rsidRDefault="006A0870" w:rsidP="00017E9F">
      <w:r w:rsidRPr="008A0A30">
        <w:t xml:space="preserve">Carcinogenicity studies in mice and rats do not indicate any carcinogenicity potential of sofosbuvir administered at doses up to </w:t>
      </w:r>
      <w:r w:rsidR="00775924" w:rsidRPr="008A0A30">
        <w:t>2</w:t>
      </w:r>
      <w:r w:rsidRPr="008A0A30">
        <w:t>00 mg/kg/day in</w:t>
      </w:r>
      <w:r w:rsidR="00775924" w:rsidRPr="008A0A30">
        <w:t xml:space="preserve"> male mice</w:t>
      </w:r>
      <w:r w:rsidRPr="008A0A30">
        <w:t xml:space="preserve"> and </w:t>
      </w:r>
      <w:r w:rsidR="00775924" w:rsidRPr="008A0A30">
        <w:t xml:space="preserve">600 </w:t>
      </w:r>
      <w:r w:rsidRPr="008A0A30">
        <w:t>mg/kg/day in</w:t>
      </w:r>
      <w:r w:rsidR="00775924" w:rsidRPr="008A0A30">
        <w:t xml:space="preserve"> female mice, and 750 mg/kg/day in</w:t>
      </w:r>
      <w:r w:rsidRPr="008A0A30">
        <w:t xml:space="preserve"> rat</w:t>
      </w:r>
      <w:r w:rsidR="00775924" w:rsidRPr="008A0A30">
        <w:t>s</w:t>
      </w:r>
      <w:r w:rsidRPr="008A0A30">
        <w:t xml:space="preserve">. Exposure to GS-331007 in these studies </w:t>
      </w:r>
      <w:r w:rsidR="00775924" w:rsidRPr="008A0A30">
        <w:t xml:space="preserve">in mice was up to </w:t>
      </w:r>
      <w:r w:rsidR="00A53936">
        <w:t>3</w:t>
      </w:r>
      <w:r w:rsidR="00775924" w:rsidRPr="008A0A30">
        <w:t xml:space="preserve"> x (male) and </w:t>
      </w:r>
      <w:r w:rsidR="00E97207">
        <w:t>15</w:t>
      </w:r>
      <w:r w:rsidR="00775924" w:rsidRPr="008A0A30">
        <w:t xml:space="preserve"> x (female), and in rats up to </w:t>
      </w:r>
      <w:r w:rsidR="00E97207">
        <w:t>7</w:t>
      </w:r>
      <w:r w:rsidR="00775924" w:rsidRPr="008A0A30">
        <w:t xml:space="preserve"> x (male) and </w:t>
      </w:r>
      <w:r w:rsidR="00E97207">
        <w:t>9</w:t>
      </w:r>
      <w:r w:rsidR="00775924" w:rsidRPr="008A0A30">
        <w:t xml:space="preserve"> x (female)</w:t>
      </w:r>
      <w:r w:rsidRPr="008A0A30">
        <w:t xml:space="preserve"> higher than the clinical exposure at 400 mg sofosbuvir.</w:t>
      </w:r>
    </w:p>
    <w:p w:rsidR="002E53F1" w:rsidRPr="008A0A30" w:rsidRDefault="002E53F1" w:rsidP="002E53F1">
      <w:pPr>
        <w:rPr>
          <w:rFonts w:eastAsia="Arial Unicode MS"/>
        </w:rPr>
      </w:pPr>
      <w:r w:rsidRPr="008A0A30">
        <w:rPr>
          <w:rFonts w:eastAsia="Arial Unicode MS"/>
        </w:rPr>
        <w:t>Carcinogenicity studies of velpatasvir in mice and rats are ongoing.</w:t>
      </w:r>
    </w:p>
    <w:p w:rsidR="007254DD" w:rsidRPr="008A0A30" w:rsidRDefault="00124DA7" w:rsidP="00FC3767">
      <w:pPr>
        <w:pStyle w:val="Heading1"/>
      </w:pPr>
      <w:r w:rsidRPr="008A0A30">
        <w:lastRenderedPageBreak/>
        <w:t>INTERACTIONS WITH OTHER MEDICINES</w:t>
      </w:r>
    </w:p>
    <w:p w:rsidR="002D500F" w:rsidRPr="008A0A30" w:rsidRDefault="002D500F" w:rsidP="00FC3767">
      <w:pPr>
        <w:rPr>
          <w:noProof/>
        </w:rPr>
      </w:pPr>
      <w:r w:rsidRPr="008A0A30">
        <w:rPr>
          <w:noProof/>
        </w:rPr>
        <w:t xml:space="preserve">As </w:t>
      </w:r>
      <w:r w:rsidR="00C3685A">
        <w:rPr>
          <w:noProof/>
        </w:rPr>
        <w:t>EPCLUSA</w:t>
      </w:r>
      <w:r w:rsidRPr="008A0A30">
        <w:rPr>
          <w:noProof/>
        </w:rPr>
        <w:t xml:space="preserve"> contains sofosbuvir</w:t>
      </w:r>
      <w:r w:rsidR="00565C80" w:rsidRPr="00565C80">
        <w:rPr>
          <w:noProof/>
        </w:rPr>
        <w:t xml:space="preserve"> </w:t>
      </w:r>
      <w:r w:rsidR="00565C80" w:rsidRPr="008A0A30">
        <w:rPr>
          <w:noProof/>
        </w:rPr>
        <w:t>and velpatasvir</w:t>
      </w:r>
      <w:r w:rsidRPr="008A0A30">
        <w:rPr>
          <w:noProof/>
        </w:rPr>
        <w:t>, any interactions that have been identified with these agen</w:t>
      </w:r>
      <w:r w:rsidR="002C7CFE" w:rsidRPr="008A0A30">
        <w:rPr>
          <w:noProof/>
        </w:rPr>
        <w:t xml:space="preserve">ts individually may occur with </w:t>
      </w:r>
      <w:r w:rsidR="00C3685A">
        <w:rPr>
          <w:noProof/>
        </w:rPr>
        <w:t>EPCLUSA</w:t>
      </w:r>
      <w:r w:rsidRPr="008A0A30">
        <w:rPr>
          <w:noProof/>
        </w:rPr>
        <w:t>.</w:t>
      </w:r>
    </w:p>
    <w:p w:rsidR="00FC3767" w:rsidRDefault="002D500F" w:rsidP="00FC3767">
      <w:pPr>
        <w:pStyle w:val="Heading2"/>
      </w:pPr>
      <w:r w:rsidRPr="008A0A30">
        <w:t xml:space="preserve">Potential for </w:t>
      </w:r>
      <w:r w:rsidR="00C3685A">
        <w:t>EPCLUSA</w:t>
      </w:r>
      <w:r w:rsidRPr="008A0A30">
        <w:t xml:space="preserve"> to Affect Other Drugs</w:t>
      </w:r>
    </w:p>
    <w:p w:rsidR="00E239F4" w:rsidRPr="008A0A30" w:rsidRDefault="00333FAE" w:rsidP="00FC3767">
      <w:r w:rsidRPr="008A0A30">
        <w:t xml:space="preserve">Velpatasvir is an inhibitor of drug transporter P-gp, BCRP, OATP1B1 and OATP1B3. Coadministration of </w:t>
      </w:r>
      <w:r w:rsidR="00C3685A">
        <w:t>EPCLUSA</w:t>
      </w:r>
      <w:r w:rsidRPr="008A0A30">
        <w:t xml:space="preserve"> with drugs that are substrates of these transporters may increase the exposure of such drugs. The drug-drug interaction potential of velpatasvir is limited to the presystemic processes (intestinal efflux and hepatic uptake); clinically relevant interactions in systemic circulation are not expected.</w:t>
      </w:r>
    </w:p>
    <w:p w:rsidR="00AA0AA5" w:rsidRPr="008A0A30" w:rsidRDefault="00AA0AA5" w:rsidP="00FC3767">
      <w:pPr>
        <w:pStyle w:val="Heading2"/>
      </w:pPr>
      <w:r w:rsidRPr="008A0A30">
        <w:t xml:space="preserve">Potential for Other Drugs to Affect </w:t>
      </w:r>
      <w:r w:rsidR="00C3685A">
        <w:t>EPCLUSA</w:t>
      </w:r>
    </w:p>
    <w:p w:rsidR="00035BEA" w:rsidRPr="008A0A30" w:rsidRDefault="00035BEA" w:rsidP="00FC3767">
      <w:pPr>
        <w:rPr>
          <w:noProof/>
        </w:rPr>
      </w:pPr>
      <w:r w:rsidRPr="008A0A30">
        <w:rPr>
          <w:noProof/>
        </w:rPr>
        <w:t xml:space="preserve">Sofosbuvir and velpatasvir are substrates of drug transporters P-gp and BCRP while GS-331007 is not. </w:t>
      </w:r>
      <w:r w:rsidRPr="008A0A30">
        <w:rPr>
          <w:i/>
          <w:noProof/>
        </w:rPr>
        <w:t>In vitro</w:t>
      </w:r>
      <w:r w:rsidRPr="008A0A30">
        <w:rPr>
          <w:noProof/>
        </w:rPr>
        <w:t>, slow metabolic turnover of velpatasvir by CYP2B6, CYP2C8, and CYP3A4 was observed.</w:t>
      </w:r>
    </w:p>
    <w:p w:rsidR="00035BEA" w:rsidRPr="008A0A30" w:rsidRDefault="00035BEA" w:rsidP="00FC3767">
      <w:pPr>
        <w:rPr>
          <w:noProof/>
        </w:rPr>
      </w:pPr>
      <w:r w:rsidRPr="008A0A30">
        <w:rPr>
          <w:noProof/>
        </w:rPr>
        <w:t xml:space="preserve">Drugs that are potent inducers of P-gp and/or moderate to potent inducers of CYP2B6, CYP2C8, or CYP3A4 (e.g., rifampin, St. John’s wort, carbamazepine) may decrease plasma concentrations of sofosbuvir and/or velpatasvir leading to reduced therapeutic effect of </w:t>
      </w:r>
      <w:r w:rsidR="00C3685A">
        <w:rPr>
          <w:noProof/>
        </w:rPr>
        <w:t>EPCLUSA</w:t>
      </w:r>
      <w:r w:rsidRPr="008A0A30">
        <w:rPr>
          <w:noProof/>
        </w:rPr>
        <w:t xml:space="preserve">. The use of these agents with </w:t>
      </w:r>
      <w:r w:rsidR="00C3685A">
        <w:rPr>
          <w:noProof/>
        </w:rPr>
        <w:t>EPCLUSA</w:t>
      </w:r>
      <w:r w:rsidRPr="008A0A30">
        <w:rPr>
          <w:noProof/>
        </w:rPr>
        <w:t xml:space="preserve"> is not recommended (see </w:t>
      </w:r>
      <w:r w:rsidRPr="008A0A30">
        <w:rPr>
          <w:i/>
          <w:noProof/>
        </w:rPr>
        <w:t>Precautions</w:t>
      </w:r>
      <w:r w:rsidRPr="008A0A30">
        <w:rPr>
          <w:noProof/>
        </w:rPr>
        <w:t xml:space="preserve">: </w:t>
      </w:r>
      <w:r w:rsidRPr="008A0A30">
        <w:rPr>
          <w:i/>
          <w:noProof/>
        </w:rPr>
        <w:t>Use with Potent Inducers of P-gp and/or Moderate to Potent Inducers of CYP</w:t>
      </w:r>
      <w:r w:rsidRPr="008A0A30">
        <w:rPr>
          <w:noProof/>
        </w:rPr>
        <w:t xml:space="preserve">). Coadministration with drugs that inhibit P-gp and/or BCRP may increase sofosbuvir and/or velpatasvir plasma concentrations without increasing GS-331007 plasma concentration. Drugs that inhibit CYP2B6, CYP2C8, or CYP3A4 may increase plasma concentration of velpatasvir. </w:t>
      </w:r>
      <w:r w:rsidR="00C3685A">
        <w:rPr>
          <w:noProof/>
        </w:rPr>
        <w:t>EPCLUSA</w:t>
      </w:r>
      <w:r w:rsidRPr="008A0A30">
        <w:rPr>
          <w:noProof/>
        </w:rPr>
        <w:t xml:space="preserve"> may be coadministered with P-gp, BCRP, and CYP inhibitors.</w:t>
      </w:r>
    </w:p>
    <w:p w:rsidR="00FC3767" w:rsidRDefault="001A1DC1" w:rsidP="00FC3767">
      <w:pPr>
        <w:pStyle w:val="Heading2"/>
      </w:pPr>
      <w:r w:rsidRPr="008A0A30">
        <w:t>Established and Other Potentially Significant Drug Interactions</w:t>
      </w:r>
    </w:p>
    <w:p w:rsidR="001A1DC1" w:rsidRDefault="003E6D4D" w:rsidP="00017E9F">
      <w:pPr>
        <w:rPr>
          <w:noProof/>
        </w:rPr>
      </w:pPr>
      <w:r w:rsidRPr="008A0A30">
        <w:rPr>
          <w:noProof/>
        </w:rPr>
        <w:t xml:space="preserve">Table 14 provides a listing of established or potentially clinically significant drug interations. The drug interactions described are based on studies conducted with either </w:t>
      </w:r>
      <w:r w:rsidR="00C3685A">
        <w:rPr>
          <w:noProof/>
        </w:rPr>
        <w:t>EPCLUSA</w:t>
      </w:r>
      <w:r w:rsidR="00122322" w:rsidRPr="008A0A30">
        <w:rPr>
          <w:noProof/>
        </w:rPr>
        <w:t xml:space="preserve">, the components of </w:t>
      </w:r>
      <w:r w:rsidR="00C3685A">
        <w:rPr>
          <w:noProof/>
        </w:rPr>
        <w:t>EPCLUSA</w:t>
      </w:r>
      <w:r w:rsidRPr="008A0A30">
        <w:rPr>
          <w:noProof/>
        </w:rPr>
        <w:t xml:space="preserve"> (sofosbuvir and velpatasvir) as individual agents, or are predicted drug i</w:t>
      </w:r>
      <w:r w:rsidR="00CA03F0" w:rsidRPr="008A0A30">
        <w:rPr>
          <w:noProof/>
        </w:rPr>
        <w:t xml:space="preserve">nterations that may occur with </w:t>
      </w:r>
      <w:r w:rsidR="00C3685A">
        <w:rPr>
          <w:noProof/>
        </w:rPr>
        <w:t>EPCLUSA</w:t>
      </w:r>
      <w:r w:rsidRPr="008A0A30">
        <w:rPr>
          <w:noProof/>
        </w:rPr>
        <w:t xml:space="preserve">. This table is not all inclusive (see </w:t>
      </w:r>
      <w:r w:rsidRPr="008A0A30">
        <w:rPr>
          <w:i/>
          <w:noProof/>
        </w:rPr>
        <w:t>Pharmacokinetic</w:t>
      </w:r>
      <w:r w:rsidR="00CA03F0" w:rsidRPr="008A0A30">
        <w:rPr>
          <w:i/>
          <w:noProof/>
        </w:rPr>
        <w:t>s: Assessment of Drug Interactions</w:t>
      </w:r>
      <w:r w:rsidRPr="008A0A30">
        <w:rPr>
          <w:noProof/>
        </w:rPr>
        <w:t>).</w:t>
      </w:r>
    </w:p>
    <w:p w:rsidR="00C269F9" w:rsidRPr="008A0A30" w:rsidRDefault="00D60556" w:rsidP="00D60556">
      <w:pPr>
        <w:pStyle w:val="Caption"/>
        <w:rPr>
          <w:noProof/>
        </w:rPr>
      </w:pPr>
      <w:r>
        <w:t xml:space="preserve">Table </w:t>
      </w:r>
      <w:fldSimple w:instr=" SEQ Table \* ARABIC ">
        <w:r>
          <w:rPr>
            <w:noProof/>
          </w:rPr>
          <w:t>14</w:t>
        </w:r>
      </w:fldSimple>
      <w:r>
        <w:t xml:space="preserve">. </w:t>
      </w:r>
      <w:r w:rsidR="00C269F9" w:rsidRPr="008A0A30">
        <w:t>Established and Other Potentially Significant</w:t>
      </w:r>
      <w:r w:rsidR="00B533D7" w:rsidRPr="00B533D7">
        <w:rPr>
          <w:vertAlign w:val="superscript"/>
        </w:rPr>
        <w:t>a</w:t>
      </w:r>
      <w:r w:rsidR="00C269F9" w:rsidRPr="008A0A30">
        <w:t xml:space="preserve"> Drug Interactions</w:t>
      </w:r>
    </w:p>
    <w:tbl>
      <w:tblPr>
        <w:tblW w:w="5000" w:type="pct"/>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Description w:val="Table 14. Established and Other Potentially Significanta Drug Interactions"/>
      </w:tblPr>
      <w:tblGrid>
        <w:gridCol w:w="2431"/>
        <w:gridCol w:w="1930"/>
        <w:gridCol w:w="4926"/>
      </w:tblGrid>
      <w:tr w:rsidR="00E55E0D" w:rsidRPr="008A0A30" w:rsidTr="009B63B7">
        <w:trPr>
          <w:trHeight w:val="20"/>
          <w:tblHeader/>
        </w:trPr>
        <w:tc>
          <w:tcPr>
            <w:tcW w:w="1309" w:type="pct"/>
            <w:tcBorders>
              <w:top w:val="single" w:sz="12" w:space="0" w:color="auto"/>
              <w:bottom w:val="single" w:sz="12" w:space="0" w:color="auto"/>
            </w:tcBorders>
          </w:tcPr>
          <w:p w:rsidR="00C269F9" w:rsidRPr="008A0A30" w:rsidRDefault="00C269F9" w:rsidP="00175E29">
            <w:pPr>
              <w:spacing w:before="40" w:after="120"/>
              <w:rPr>
                <w:b/>
                <w:szCs w:val="24"/>
              </w:rPr>
            </w:pPr>
            <w:r w:rsidRPr="008A0A30">
              <w:rPr>
                <w:b/>
                <w:szCs w:val="24"/>
              </w:rPr>
              <w:t>Concomitant Drug Class:</w:t>
            </w:r>
            <w:r w:rsidR="00FC3767">
              <w:rPr>
                <w:b/>
                <w:szCs w:val="24"/>
              </w:rPr>
              <w:t xml:space="preserve"> </w:t>
            </w:r>
            <w:r w:rsidRPr="008A0A30">
              <w:rPr>
                <w:b/>
                <w:szCs w:val="24"/>
              </w:rPr>
              <w:t>Drug Name</w:t>
            </w:r>
          </w:p>
        </w:tc>
        <w:tc>
          <w:tcPr>
            <w:tcW w:w="1039" w:type="pct"/>
            <w:tcBorders>
              <w:top w:val="single" w:sz="12" w:space="0" w:color="auto"/>
              <w:bottom w:val="single" w:sz="12" w:space="0" w:color="auto"/>
            </w:tcBorders>
            <w:vAlign w:val="bottom"/>
          </w:tcPr>
          <w:p w:rsidR="00C269F9" w:rsidRPr="008A0A30" w:rsidRDefault="00C269F9" w:rsidP="00175E29">
            <w:pPr>
              <w:spacing w:before="40" w:after="120"/>
              <w:rPr>
                <w:b/>
                <w:szCs w:val="24"/>
              </w:rPr>
            </w:pPr>
            <w:r w:rsidRPr="008A0A30">
              <w:rPr>
                <w:b/>
                <w:szCs w:val="24"/>
              </w:rPr>
              <w:t>Effect on Concentration</w:t>
            </w:r>
            <w:r w:rsidRPr="008A0A30">
              <w:rPr>
                <w:b/>
                <w:szCs w:val="24"/>
                <w:vertAlign w:val="superscript"/>
              </w:rPr>
              <w:t>b</w:t>
            </w:r>
          </w:p>
        </w:tc>
        <w:tc>
          <w:tcPr>
            <w:tcW w:w="2652" w:type="pct"/>
            <w:tcBorders>
              <w:top w:val="single" w:sz="12" w:space="0" w:color="auto"/>
              <w:bottom w:val="single" w:sz="12" w:space="0" w:color="auto"/>
            </w:tcBorders>
            <w:vAlign w:val="bottom"/>
          </w:tcPr>
          <w:p w:rsidR="00C269F9" w:rsidRPr="008A0A30" w:rsidRDefault="00C269F9" w:rsidP="00175E29">
            <w:pPr>
              <w:spacing w:before="40" w:after="120"/>
              <w:rPr>
                <w:b/>
                <w:szCs w:val="24"/>
              </w:rPr>
            </w:pPr>
            <w:r w:rsidRPr="008A0A30">
              <w:rPr>
                <w:b/>
                <w:szCs w:val="24"/>
              </w:rPr>
              <w:t>Clinical Comment</w:t>
            </w:r>
          </w:p>
        </w:tc>
      </w:tr>
      <w:tr w:rsidR="00E55E0D" w:rsidRPr="008A0A30" w:rsidTr="009B63B7">
        <w:trPr>
          <w:trHeight w:val="20"/>
        </w:trPr>
        <w:tc>
          <w:tcPr>
            <w:tcW w:w="1309" w:type="pct"/>
            <w:tcBorders>
              <w:top w:val="single" w:sz="12" w:space="0" w:color="auto"/>
              <w:bottom w:val="nil"/>
            </w:tcBorders>
          </w:tcPr>
          <w:p w:rsidR="00C269F9" w:rsidRPr="00003AC8" w:rsidRDefault="00C269F9" w:rsidP="00175E29">
            <w:pPr>
              <w:spacing w:before="40" w:after="120"/>
              <w:rPr>
                <w:b/>
                <w:szCs w:val="24"/>
              </w:rPr>
            </w:pPr>
            <w:r w:rsidRPr="008A0A30">
              <w:rPr>
                <w:b/>
                <w:szCs w:val="24"/>
              </w:rPr>
              <w:t>Acid Reducing Agents:</w:t>
            </w:r>
          </w:p>
        </w:tc>
        <w:tc>
          <w:tcPr>
            <w:tcW w:w="1039" w:type="pct"/>
            <w:tcBorders>
              <w:top w:val="single" w:sz="12" w:space="0" w:color="auto"/>
              <w:bottom w:val="nil"/>
            </w:tcBorders>
          </w:tcPr>
          <w:p w:rsidR="00C269F9" w:rsidRPr="008A0A30" w:rsidRDefault="00C269F9" w:rsidP="00175E29">
            <w:pPr>
              <w:spacing w:before="40" w:after="120"/>
              <w:rPr>
                <w:szCs w:val="24"/>
              </w:rPr>
            </w:pPr>
            <w:r w:rsidRPr="008A0A30">
              <w:rPr>
                <w:szCs w:val="24"/>
              </w:rPr>
              <w:sym w:font="Symbol" w:char="F0AF"/>
            </w:r>
            <w:r w:rsidRPr="008A0A30">
              <w:rPr>
                <w:szCs w:val="24"/>
              </w:rPr>
              <w:t xml:space="preserve"> velpatasvir</w:t>
            </w:r>
          </w:p>
        </w:tc>
        <w:tc>
          <w:tcPr>
            <w:tcW w:w="2652" w:type="pct"/>
            <w:tcBorders>
              <w:top w:val="single" w:sz="12" w:space="0" w:color="auto"/>
              <w:bottom w:val="nil"/>
            </w:tcBorders>
          </w:tcPr>
          <w:p w:rsidR="007810CC" w:rsidRPr="008A0A30" w:rsidRDefault="00C269F9" w:rsidP="00175E29">
            <w:pPr>
              <w:spacing w:before="40" w:after="120"/>
              <w:rPr>
                <w:szCs w:val="24"/>
              </w:rPr>
            </w:pPr>
            <w:r w:rsidRPr="008A0A30">
              <w:rPr>
                <w:szCs w:val="24"/>
              </w:rPr>
              <w:t xml:space="preserve">Velpatasvir solubility decreases as pH increases. Drugs that increase gastric pH are expected to decrease concentration of velpatasvir. </w:t>
            </w:r>
          </w:p>
        </w:tc>
      </w:tr>
      <w:tr w:rsidR="00D41EE3" w:rsidRPr="008A0A30" w:rsidTr="009B63B7">
        <w:trPr>
          <w:trHeight w:val="20"/>
        </w:trPr>
        <w:tc>
          <w:tcPr>
            <w:tcW w:w="1309" w:type="pct"/>
            <w:tcBorders>
              <w:top w:val="nil"/>
              <w:bottom w:val="nil"/>
            </w:tcBorders>
          </w:tcPr>
          <w:p w:rsidR="00D41EE3" w:rsidRPr="008A0A30" w:rsidRDefault="00D41EE3" w:rsidP="006C3888">
            <w:pPr>
              <w:spacing w:before="40" w:after="120"/>
              <w:rPr>
                <w:szCs w:val="24"/>
              </w:rPr>
            </w:pPr>
            <w:r w:rsidRPr="008A0A30">
              <w:rPr>
                <w:szCs w:val="24"/>
              </w:rPr>
              <w:t>Antacids (e.g., aluminum and magnesium hydroxide)</w:t>
            </w:r>
          </w:p>
        </w:tc>
        <w:tc>
          <w:tcPr>
            <w:tcW w:w="1039" w:type="pct"/>
            <w:tcBorders>
              <w:top w:val="nil"/>
              <w:bottom w:val="nil"/>
            </w:tcBorders>
          </w:tcPr>
          <w:p w:rsidR="00D41EE3" w:rsidRPr="008A0A30" w:rsidRDefault="00D41EE3" w:rsidP="006C3888">
            <w:pPr>
              <w:spacing w:before="40" w:after="120"/>
              <w:rPr>
                <w:szCs w:val="24"/>
              </w:rPr>
            </w:pPr>
          </w:p>
        </w:tc>
        <w:tc>
          <w:tcPr>
            <w:tcW w:w="2652" w:type="pct"/>
            <w:tcBorders>
              <w:top w:val="nil"/>
              <w:bottom w:val="nil"/>
            </w:tcBorders>
          </w:tcPr>
          <w:p w:rsidR="00D41EE3" w:rsidRPr="008A0A30" w:rsidRDefault="00D41EE3" w:rsidP="00175E29">
            <w:pPr>
              <w:spacing w:before="40" w:after="120"/>
              <w:rPr>
                <w:szCs w:val="24"/>
              </w:rPr>
            </w:pPr>
            <w:r w:rsidRPr="008A0A30">
              <w:rPr>
                <w:szCs w:val="24"/>
              </w:rPr>
              <w:t xml:space="preserve">It is recommended to separate antacid and </w:t>
            </w:r>
            <w:r w:rsidR="00C3685A">
              <w:rPr>
                <w:szCs w:val="24"/>
              </w:rPr>
              <w:t>EPCLUSA</w:t>
            </w:r>
            <w:r w:rsidRPr="008A0A30">
              <w:rPr>
                <w:szCs w:val="24"/>
              </w:rPr>
              <w:t xml:space="preserve"> administration by 4 hours.</w:t>
            </w:r>
          </w:p>
        </w:tc>
      </w:tr>
      <w:tr w:rsidR="00D41EE3" w:rsidRPr="008A0A30" w:rsidTr="009B63B7">
        <w:trPr>
          <w:trHeight w:val="20"/>
        </w:trPr>
        <w:tc>
          <w:tcPr>
            <w:tcW w:w="1309" w:type="pct"/>
            <w:tcBorders>
              <w:top w:val="nil"/>
              <w:bottom w:val="nil"/>
            </w:tcBorders>
          </w:tcPr>
          <w:p w:rsidR="00D41EE3" w:rsidRPr="008A0A30" w:rsidRDefault="00D41EE3" w:rsidP="006C3888">
            <w:pPr>
              <w:spacing w:before="40" w:after="120"/>
              <w:rPr>
                <w:szCs w:val="24"/>
                <w:vertAlign w:val="superscript"/>
              </w:rPr>
            </w:pPr>
            <w:r w:rsidRPr="008A0A30">
              <w:rPr>
                <w:szCs w:val="24"/>
              </w:rPr>
              <w:t>H</w:t>
            </w:r>
            <w:r w:rsidRPr="00B533D7">
              <w:rPr>
                <w:szCs w:val="24"/>
                <w:vertAlign w:val="subscript"/>
              </w:rPr>
              <w:t>2</w:t>
            </w:r>
            <w:r w:rsidRPr="008A0A30">
              <w:rPr>
                <w:szCs w:val="24"/>
              </w:rPr>
              <w:t>-receptor antagonists (e.g., famotidine)</w:t>
            </w:r>
            <w:r w:rsidRPr="008A0A30">
              <w:rPr>
                <w:szCs w:val="24"/>
                <w:vertAlign w:val="superscript"/>
              </w:rPr>
              <w:t>c</w:t>
            </w:r>
          </w:p>
        </w:tc>
        <w:tc>
          <w:tcPr>
            <w:tcW w:w="1039" w:type="pct"/>
            <w:tcBorders>
              <w:top w:val="nil"/>
              <w:bottom w:val="nil"/>
            </w:tcBorders>
          </w:tcPr>
          <w:p w:rsidR="00D41EE3" w:rsidRPr="008A0A30" w:rsidRDefault="00D41EE3" w:rsidP="006C3888">
            <w:pPr>
              <w:spacing w:before="40" w:after="120"/>
              <w:rPr>
                <w:szCs w:val="24"/>
              </w:rPr>
            </w:pPr>
          </w:p>
        </w:tc>
        <w:tc>
          <w:tcPr>
            <w:tcW w:w="2652" w:type="pct"/>
            <w:tcBorders>
              <w:top w:val="nil"/>
              <w:bottom w:val="nil"/>
            </w:tcBorders>
          </w:tcPr>
          <w:p w:rsidR="00D41EE3" w:rsidRPr="008A0A30" w:rsidRDefault="00D41EE3" w:rsidP="00175E29">
            <w:pPr>
              <w:spacing w:before="40" w:after="120"/>
              <w:rPr>
                <w:szCs w:val="24"/>
              </w:rPr>
            </w:pPr>
            <w:r w:rsidRPr="008A0A30">
              <w:rPr>
                <w:szCs w:val="24"/>
              </w:rPr>
              <w:t>H</w:t>
            </w:r>
            <w:r w:rsidRPr="00B533D7">
              <w:rPr>
                <w:szCs w:val="24"/>
                <w:vertAlign w:val="subscript"/>
              </w:rPr>
              <w:t>2</w:t>
            </w:r>
            <w:r w:rsidRPr="008A0A30">
              <w:rPr>
                <w:szCs w:val="24"/>
              </w:rPr>
              <w:t xml:space="preserve">-receptor antagonists may be administered simultaneously with or staggered from </w:t>
            </w:r>
            <w:r w:rsidR="00C3685A">
              <w:rPr>
                <w:szCs w:val="24"/>
              </w:rPr>
              <w:t>EPCLUSA</w:t>
            </w:r>
            <w:r w:rsidRPr="008A0A30">
              <w:rPr>
                <w:szCs w:val="24"/>
              </w:rPr>
              <w:t xml:space="preserve"> at a dose that does not exceed doses </w:t>
            </w:r>
            <w:r w:rsidRPr="008A0A30">
              <w:rPr>
                <w:szCs w:val="24"/>
              </w:rPr>
              <w:lastRenderedPageBreak/>
              <w:t>comparable with famotidine 40 mg twice daily.</w:t>
            </w:r>
          </w:p>
        </w:tc>
      </w:tr>
      <w:tr w:rsidR="00D41EE3" w:rsidRPr="008A0A30" w:rsidTr="009B63B7">
        <w:trPr>
          <w:trHeight w:val="20"/>
        </w:trPr>
        <w:tc>
          <w:tcPr>
            <w:tcW w:w="1309" w:type="pct"/>
            <w:tcBorders>
              <w:top w:val="nil"/>
              <w:bottom w:val="single" w:sz="4" w:space="0" w:color="auto"/>
            </w:tcBorders>
          </w:tcPr>
          <w:p w:rsidR="00D41EE3" w:rsidRPr="008A0A30" w:rsidRDefault="00D41EE3" w:rsidP="006C3888">
            <w:pPr>
              <w:spacing w:before="40" w:after="120"/>
              <w:rPr>
                <w:b/>
                <w:szCs w:val="24"/>
              </w:rPr>
            </w:pPr>
            <w:r w:rsidRPr="008A0A30">
              <w:rPr>
                <w:szCs w:val="24"/>
              </w:rPr>
              <w:lastRenderedPageBreak/>
              <w:t>Proton-pump inhibitors (e.g., omeprazole)</w:t>
            </w:r>
            <w:r w:rsidRPr="008A0A30">
              <w:rPr>
                <w:szCs w:val="24"/>
                <w:vertAlign w:val="superscript"/>
              </w:rPr>
              <w:t>c</w:t>
            </w:r>
          </w:p>
        </w:tc>
        <w:tc>
          <w:tcPr>
            <w:tcW w:w="1039" w:type="pct"/>
            <w:tcBorders>
              <w:top w:val="nil"/>
              <w:bottom w:val="single" w:sz="4" w:space="0" w:color="auto"/>
            </w:tcBorders>
          </w:tcPr>
          <w:p w:rsidR="00D41EE3" w:rsidRPr="008A0A30" w:rsidRDefault="00D41EE3" w:rsidP="006C3888">
            <w:pPr>
              <w:spacing w:before="40" w:after="120"/>
              <w:rPr>
                <w:szCs w:val="24"/>
              </w:rPr>
            </w:pPr>
          </w:p>
        </w:tc>
        <w:tc>
          <w:tcPr>
            <w:tcW w:w="2652" w:type="pct"/>
            <w:tcBorders>
              <w:top w:val="nil"/>
              <w:bottom w:val="single" w:sz="4" w:space="0" w:color="auto"/>
            </w:tcBorders>
          </w:tcPr>
          <w:p w:rsidR="00D41EE3" w:rsidRPr="008A0A30" w:rsidRDefault="00D41EE3" w:rsidP="006C3888">
            <w:pPr>
              <w:spacing w:before="40" w:after="120"/>
              <w:rPr>
                <w:szCs w:val="24"/>
              </w:rPr>
            </w:pPr>
            <w:r w:rsidRPr="008A0A30">
              <w:rPr>
                <w:szCs w:val="24"/>
              </w:rPr>
              <w:t xml:space="preserve">Proton-pump inhibitor doses comparable with omeprazole 20 mg can be administered with </w:t>
            </w:r>
            <w:r w:rsidR="00C3685A">
              <w:rPr>
                <w:szCs w:val="24"/>
              </w:rPr>
              <w:t>EPCLUSA</w:t>
            </w:r>
            <w:r w:rsidRPr="008A0A30">
              <w:rPr>
                <w:szCs w:val="24"/>
              </w:rPr>
              <w:t xml:space="preserve"> when </w:t>
            </w:r>
            <w:r w:rsidR="00C3685A">
              <w:rPr>
                <w:szCs w:val="24"/>
              </w:rPr>
              <w:t>EPCLUSA</w:t>
            </w:r>
            <w:r w:rsidRPr="008A0A30">
              <w:rPr>
                <w:szCs w:val="24"/>
              </w:rPr>
              <w:t xml:space="preserve"> is administered with food.</w:t>
            </w:r>
          </w:p>
        </w:tc>
      </w:tr>
      <w:tr w:rsidR="00E55E0D" w:rsidRPr="008A0A30" w:rsidTr="009B63B7">
        <w:trPr>
          <w:trHeight w:val="20"/>
        </w:trPr>
        <w:tc>
          <w:tcPr>
            <w:tcW w:w="1309" w:type="pct"/>
            <w:tcBorders>
              <w:top w:val="single" w:sz="4" w:space="0" w:color="auto"/>
              <w:bottom w:val="nil"/>
            </w:tcBorders>
          </w:tcPr>
          <w:p w:rsidR="00FC3767" w:rsidRDefault="00C269F9" w:rsidP="006C3888">
            <w:pPr>
              <w:spacing w:before="40" w:after="120"/>
              <w:rPr>
                <w:b/>
                <w:szCs w:val="24"/>
              </w:rPr>
            </w:pPr>
            <w:r w:rsidRPr="008A0A30">
              <w:rPr>
                <w:b/>
                <w:szCs w:val="24"/>
              </w:rPr>
              <w:t>Antiarrhythmics:</w:t>
            </w:r>
          </w:p>
          <w:p w:rsidR="00C269F9" w:rsidRPr="008A0A30" w:rsidRDefault="00C269F9" w:rsidP="006C3888">
            <w:pPr>
              <w:spacing w:before="40" w:after="120"/>
              <w:rPr>
                <w:szCs w:val="24"/>
              </w:rPr>
            </w:pPr>
            <w:r w:rsidRPr="008A0A30">
              <w:rPr>
                <w:szCs w:val="24"/>
              </w:rPr>
              <w:t>amiodarone</w:t>
            </w:r>
          </w:p>
        </w:tc>
        <w:tc>
          <w:tcPr>
            <w:tcW w:w="1039" w:type="pct"/>
            <w:tcBorders>
              <w:top w:val="single" w:sz="4" w:space="0" w:color="auto"/>
              <w:bottom w:val="nil"/>
            </w:tcBorders>
          </w:tcPr>
          <w:p w:rsidR="00C269F9" w:rsidRPr="008A0A30" w:rsidRDefault="00C269F9" w:rsidP="006C3888">
            <w:pPr>
              <w:spacing w:before="40" w:after="120"/>
              <w:rPr>
                <w:szCs w:val="24"/>
              </w:rPr>
            </w:pPr>
            <w:r w:rsidRPr="008A0A30">
              <w:rPr>
                <w:szCs w:val="24"/>
              </w:rPr>
              <w:t>Effect on amiodarone, sofosbuvir,</w:t>
            </w:r>
            <w:r w:rsidR="00FC3767">
              <w:rPr>
                <w:szCs w:val="24"/>
              </w:rPr>
              <w:t xml:space="preserve"> </w:t>
            </w:r>
            <w:r w:rsidRPr="008A0A30">
              <w:rPr>
                <w:szCs w:val="24"/>
              </w:rPr>
              <w:t>and velpatasvir concentrations unknown</w:t>
            </w:r>
          </w:p>
        </w:tc>
        <w:tc>
          <w:tcPr>
            <w:tcW w:w="2652" w:type="pct"/>
            <w:tcBorders>
              <w:top w:val="single" w:sz="4" w:space="0" w:color="auto"/>
              <w:bottom w:val="nil"/>
            </w:tcBorders>
          </w:tcPr>
          <w:p w:rsidR="00C269F9" w:rsidRPr="008A0A30" w:rsidRDefault="00C269F9" w:rsidP="00175E29">
            <w:pPr>
              <w:spacing w:before="40" w:after="120"/>
              <w:rPr>
                <w:szCs w:val="24"/>
              </w:rPr>
            </w:pPr>
            <w:r w:rsidRPr="008A0A30">
              <w:rPr>
                <w:szCs w:val="24"/>
              </w:rPr>
              <w:t>Coadm</w:t>
            </w:r>
            <w:r w:rsidR="007810CC" w:rsidRPr="008A0A30">
              <w:rPr>
                <w:szCs w:val="24"/>
              </w:rPr>
              <w:t xml:space="preserve">inistration of amiodarone with </w:t>
            </w:r>
            <w:r w:rsidR="00C3685A">
              <w:rPr>
                <w:szCs w:val="24"/>
              </w:rPr>
              <w:t>EPCLUSA</w:t>
            </w:r>
            <w:r w:rsidRPr="008A0A30">
              <w:rPr>
                <w:szCs w:val="24"/>
              </w:rPr>
              <w:t xml:space="preserve"> may result in symptomatic bradycardia. The mechanism of this effect is unknown. Coadm</w:t>
            </w:r>
            <w:r w:rsidR="007810CC" w:rsidRPr="008A0A30">
              <w:rPr>
                <w:szCs w:val="24"/>
              </w:rPr>
              <w:t xml:space="preserve">inistration of amiodarone with </w:t>
            </w:r>
            <w:r w:rsidR="00C3685A">
              <w:rPr>
                <w:szCs w:val="24"/>
              </w:rPr>
              <w:t>EPCLUSA</w:t>
            </w:r>
            <w:r w:rsidRPr="008A0A30">
              <w:rPr>
                <w:szCs w:val="24"/>
              </w:rPr>
              <w:t xml:space="preserve"> is not recommended; if coadministration is required, cardiac monitoring is recommended (see </w:t>
            </w:r>
            <w:r w:rsidR="007810CC" w:rsidRPr="008A0A30">
              <w:rPr>
                <w:i/>
                <w:szCs w:val="24"/>
              </w:rPr>
              <w:t>Precautions</w:t>
            </w:r>
            <w:r w:rsidRPr="008A0A30">
              <w:rPr>
                <w:i/>
                <w:szCs w:val="24"/>
              </w:rPr>
              <w:t>: Symptomatic Bradycardia When Coadministered with Amiodarone</w:t>
            </w:r>
            <w:r w:rsidRPr="008A0A30">
              <w:rPr>
                <w:szCs w:val="24"/>
              </w:rPr>
              <w:t>).</w:t>
            </w:r>
          </w:p>
        </w:tc>
      </w:tr>
      <w:tr w:rsidR="00E55E0D" w:rsidRPr="008A0A30" w:rsidTr="009B63B7">
        <w:trPr>
          <w:trHeight w:val="20"/>
        </w:trPr>
        <w:tc>
          <w:tcPr>
            <w:tcW w:w="1309" w:type="pct"/>
            <w:tcBorders>
              <w:top w:val="nil"/>
            </w:tcBorders>
          </w:tcPr>
          <w:p w:rsidR="00C269F9" w:rsidRPr="008A0A30" w:rsidRDefault="00C269F9" w:rsidP="006C3888">
            <w:pPr>
              <w:spacing w:before="40" w:after="120"/>
              <w:rPr>
                <w:szCs w:val="24"/>
              </w:rPr>
            </w:pPr>
            <w:r w:rsidRPr="008A0A30">
              <w:rPr>
                <w:szCs w:val="24"/>
              </w:rPr>
              <w:t>digoxin</w:t>
            </w:r>
            <w:r w:rsidRPr="008A0A30">
              <w:rPr>
                <w:szCs w:val="24"/>
                <w:vertAlign w:val="superscript"/>
              </w:rPr>
              <w:t>c</w:t>
            </w:r>
          </w:p>
        </w:tc>
        <w:tc>
          <w:tcPr>
            <w:tcW w:w="1039" w:type="pct"/>
            <w:tcBorders>
              <w:top w:val="nil"/>
            </w:tcBorders>
          </w:tcPr>
          <w:p w:rsidR="00C269F9" w:rsidRPr="008A0A30" w:rsidRDefault="00C269F9" w:rsidP="006C3888">
            <w:pPr>
              <w:spacing w:before="40" w:after="120"/>
              <w:rPr>
                <w:szCs w:val="24"/>
              </w:rPr>
            </w:pPr>
            <w:r w:rsidRPr="008A0A30">
              <w:rPr>
                <w:szCs w:val="24"/>
              </w:rPr>
              <w:sym w:font="Symbol" w:char="F0AD"/>
            </w:r>
            <w:r w:rsidRPr="008A0A30">
              <w:rPr>
                <w:szCs w:val="24"/>
              </w:rPr>
              <w:t xml:space="preserve"> digoxin</w:t>
            </w:r>
          </w:p>
        </w:tc>
        <w:tc>
          <w:tcPr>
            <w:tcW w:w="2652" w:type="pct"/>
            <w:tcBorders>
              <w:top w:val="nil"/>
            </w:tcBorders>
          </w:tcPr>
          <w:p w:rsidR="00C269F9" w:rsidRPr="008A0A30" w:rsidRDefault="007810CC" w:rsidP="006C3888">
            <w:pPr>
              <w:spacing w:before="40" w:after="120"/>
              <w:rPr>
                <w:szCs w:val="24"/>
              </w:rPr>
            </w:pPr>
            <w:r w:rsidRPr="008A0A30">
              <w:rPr>
                <w:szCs w:val="24"/>
              </w:rPr>
              <w:t xml:space="preserve">Coadministration of </w:t>
            </w:r>
            <w:r w:rsidR="00C3685A">
              <w:rPr>
                <w:szCs w:val="24"/>
              </w:rPr>
              <w:t>EPCLUSA</w:t>
            </w:r>
            <w:r w:rsidR="00C269F9" w:rsidRPr="008A0A30">
              <w:rPr>
                <w:szCs w:val="24"/>
              </w:rPr>
              <w:t xml:space="preserve"> with digoxin may increase the concentration of digoxin. Caution is warranted and therapeutic concentration monitoring of digoxin is recomm</w:t>
            </w:r>
            <w:r w:rsidRPr="008A0A30">
              <w:rPr>
                <w:szCs w:val="24"/>
              </w:rPr>
              <w:t xml:space="preserve">ended when coadministered with </w:t>
            </w:r>
            <w:r w:rsidR="00C3685A">
              <w:rPr>
                <w:szCs w:val="24"/>
              </w:rPr>
              <w:t>EPCLUSA</w:t>
            </w:r>
            <w:r w:rsidR="00C269F9" w:rsidRPr="008A0A30">
              <w:rPr>
                <w:szCs w:val="24"/>
              </w:rPr>
              <w:t>.</w:t>
            </w:r>
          </w:p>
        </w:tc>
      </w:tr>
      <w:tr w:rsidR="00E55E0D" w:rsidRPr="008A0A30" w:rsidTr="009B63B7">
        <w:trPr>
          <w:trHeight w:val="20"/>
        </w:trPr>
        <w:tc>
          <w:tcPr>
            <w:tcW w:w="1309" w:type="pct"/>
          </w:tcPr>
          <w:p w:rsidR="00C269F9" w:rsidRPr="008A0A30" w:rsidRDefault="00C269F9" w:rsidP="006C3888">
            <w:pPr>
              <w:spacing w:before="40" w:after="120"/>
              <w:rPr>
                <w:b/>
                <w:szCs w:val="24"/>
              </w:rPr>
            </w:pPr>
            <w:r w:rsidRPr="008A0A30">
              <w:rPr>
                <w:b/>
                <w:szCs w:val="24"/>
              </w:rPr>
              <w:t>Anticonvulsants:</w:t>
            </w:r>
          </w:p>
          <w:p w:rsidR="00C269F9" w:rsidRPr="008A0A30" w:rsidRDefault="00C269F9" w:rsidP="006C3888">
            <w:pPr>
              <w:spacing w:before="40" w:after="120"/>
              <w:rPr>
                <w:szCs w:val="24"/>
              </w:rPr>
            </w:pPr>
            <w:r w:rsidRPr="008A0A30">
              <w:rPr>
                <w:szCs w:val="24"/>
              </w:rPr>
              <w:t xml:space="preserve">carbamazepine </w:t>
            </w:r>
            <w:r w:rsidRPr="008A0A30">
              <w:rPr>
                <w:szCs w:val="24"/>
              </w:rPr>
              <w:br/>
              <w:t xml:space="preserve">phenytoin </w:t>
            </w:r>
            <w:r w:rsidRPr="008A0A30">
              <w:rPr>
                <w:szCs w:val="24"/>
              </w:rPr>
              <w:br/>
              <w:t xml:space="preserve">phenobarbital </w:t>
            </w:r>
            <w:r w:rsidRPr="008A0A30">
              <w:rPr>
                <w:szCs w:val="24"/>
              </w:rPr>
              <w:br/>
              <w:t>oxcarbazepine</w:t>
            </w:r>
          </w:p>
        </w:tc>
        <w:tc>
          <w:tcPr>
            <w:tcW w:w="1039" w:type="pct"/>
          </w:tcPr>
          <w:p w:rsidR="00C269F9" w:rsidRPr="008A0A30" w:rsidRDefault="00C269F9" w:rsidP="006C3888">
            <w:pPr>
              <w:spacing w:before="40" w:after="120"/>
              <w:rPr>
                <w:szCs w:val="24"/>
              </w:rPr>
            </w:pPr>
            <w:r w:rsidRPr="008A0A30">
              <w:rPr>
                <w:szCs w:val="24"/>
              </w:rPr>
              <w:sym w:font="Symbol" w:char="F0AF"/>
            </w:r>
            <w:r w:rsidRPr="008A0A30">
              <w:rPr>
                <w:szCs w:val="24"/>
              </w:rPr>
              <w:t xml:space="preserve"> sofosbuvir</w:t>
            </w:r>
          </w:p>
          <w:p w:rsidR="00C269F9" w:rsidRPr="008A0A30" w:rsidRDefault="00C269F9" w:rsidP="006C3888">
            <w:pPr>
              <w:spacing w:before="40" w:after="120"/>
              <w:rPr>
                <w:szCs w:val="24"/>
              </w:rPr>
            </w:pPr>
            <w:r w:rsidRPr="008A0A30">
              <w:rPr>
                <w:szCs w:val="24"/>
              </w:rPr>
              <w:sym w:font="Symbol" w:char="F0AF"/>
            </w:r>
            <w:r w:rsidRPr="008A0A30">
              <w:rPr>
                <w:szCs w:val="24"/>
              </w:rPr>
              <w:t xml:space="preserve"> velpatasvir</w:t>
            </w:r>
          </w:p>
        </w:tc>
        <w:tc>
          <w:tcPr>
            <w:tcW w:w="2652" w:type="pct"/>
          </w:tcPr>
          <w:p w:rsidR="00C269F9" w:rsidRPr="008A0A30" w:rsidRDefault="007810CC" w:rsidP="006C3888">
            <w:pPr>
              <w:spacing w:before="40" w:after="120"/>
              <w:rPr>
                <w:szCs w:val="24"/>
              </w:rPr>
            </w:pPr>
            <w:r w:rsidRPr="008A0A30">
              <w:rPr>
                <w:szCs w:val="24"/>
              </w:rPr>
              <w:t xml:space="preserve">Coadministration of </w:t>
            </w:r>
            <w:r w:rsidR="00C3685A">
              <w:rPr>
                <w:szCs w:val="24"/>
              </w:rPr>
              <w:t>EPCLUSA</w:t>
            </w:r>
            <w:r w:rsidR="00C269F9" w:rsidRPr="008A0A30">
              <w:rPr>
                <w:szCs w:val="24"/>
              </w:rPr>
              <w:t xml:space="preserve"> with carbamazepine, phenytoin, phenobarbital or</w:t>
            </w:r>
            <w:r w:rsidR="00C269F9" w:rsidRPr="008A0A30">
              <w:rPr>
                <w:szCs w:val="24"/>
              </w:rPr>
              <w:br/>
              <w:t>oxcarbazepine is expected to decrease the concentration of sofosbuvir and velpatasvir, leading to</w:t>
            </w:r>
            <w:r w:rsidRPr="008A0A30">
              <w:rPr>
                <w:szCs w:val="24"/>
              </w:rPr>
              <w:t xml:space="preserve"> reduced therapeutic effect of </w:t>
            </w:r>
            <w:r w:rsidR="00C3685A">
              <w:rPr>
                <w:szCs w:val="24"/>
              </w:rPr>
              <w:t>EPCLUSA</w:t>
            </w:r>
            <w:r w:rsidR="00C269F9" w:rsidRPr="008A0A30">
              <w:rPr>
                <w:szCs w:val="24"/>
              </w:rPr>
              <w:t>. Coadministration is not recommended.</w:t>
            </w:r>
          </w:p>
        </w:tc>
      </w:tr>
      <w:tr w:rsidR="00E55E0D" w:rsidRPr="008A0A30" w:rsidTr="009B63B7">
        <w:trPr>
          <w:trHeight w:val="20"/>
        </w:trPr>
        <w:tc>
          <w:tcPr>
            <w:tcW w:w="1309" w:type="pct"/>
            <w:tcBorders>
              <w:bottom w:val="single" w:sz="6" w:space="0" w:color="auto"/>
            </w:tcBorders>
          </w:tcPr>
          <w:p w:rsidR="00FC3767" w:rsidRDefault="00C269F9" w:rsidP="006C3888">
            <w:pPr>
              <w:spacing w:before="40" w:after="120"/>
              <w:rPr>
                <w:b/>
                <w:szCs w:val="24"/>
              </w:rPr>
            </w:pPr>
            <w:r w:rsidRPr="008A0A30">
              <w:rPr>
                <w:b/>
                <w:szCs w:val="24"/>
              </w:rPr>
              <w:t>Antimycobacterials:</w:t>
            </w:r>
          </w:p>
          <w:p w:rsidR="00C269F9" w:rsidRPr="008A0A30" w:rsidRDefault="00C269F9" w:rsidP="006C3888">
            <w:pPr>
              <w:spacing w:before="40" w:after="120"/>
              <w:rPr>
                <w:szCs w:val="24"/>
              </w:rPr>
            </w:pPr>
            <w:r w:rsidRPr="008A0A30">
              <w:rPr>
                <w:szCs w:val="24"/>
              </w:rPr>
              <w:t>rifabutin</w:t>
            </w:r>
            <w:r w:rsidRPr="008A0A30">
              <w:rPr>
                <w:szCs w:val="24"/>
              </w:rPr>
              <w:br/>
              <w:t>rifampin</w:t>
            </w:r>
            <w:r w:rsidRPr="008A0A30">
              <w:rPr>
                <w:szCs w:val="24"/>
                <w:vertAlign w:val="superscript"/>
              </w:rPr>
              <w:t>c</w:t>
            </w:r>
            <w:r w:rsidRPr="008A0A30">
              <w:rPr>
                <w:szCs w:val="24"/>
              </w:rPr>
              <w:br/>
              <w:t>rifapentine</w:t>
            </w:r>
          </w:p>
        </w:tc>
        <w:tc>
          <w:tcPr>
            <w:tcW w:w="1039" w:type="pct"/>
            <w:tcBorders>
              <w:bottom w:val="single" w:sz="6" w:space="0" w:color="auto"/>
            </w:tcBorders>
          </w:tcPr>
          <w:p w:rsidR="00C269F9" w:rsidRPr="008A0A30" w:rsidRDefault="00C269F9" w:rsidP="006C3888">
            <w:pPr>
              <w:spacing w:before="40" w:after="120"/>
              <w:rPr>
                <w:szCs w:val="24"/>
              </w:rPr>
            </w:pPr>
            <w:r w:rsidRPr="008A0A30">
              <w:rPr>
                <w:szCs w:val="24"/>
              </w:rPr>
              <w:sym w:font="Symbol" w:char="F0AF"/>
            </w:r>
            <w:r w:rsidRPr="008A0A30">
              <w:rPr>
                <w:szCs w:val="24"/>
              </w:rPr>
              <w:t xml:space="preserve"> sofosbuvir</w:t>
            </w:r>
          </w:p>
          <w:p w:rsidR="00C269F9" w:rsidRPr="008A0A30" w:rsidRDefault="00C269F9" w:rsidP="006C3888">
            <w:pPr>
              <w:spacing w:before="40" w:after="120"/>
              <w:rPr>
                <w:szCs w:val="24"/>
              </w:rPr>
            </w:pPr>
            <w:r w:rsidRPr="008A0A30">
              <w:rPr>
                <w:szCs w:val="24"/>
              </w:rPr>
              <w:sym w:font="Symbol" w:char="F0AF"/>
            </w:r>
            <w:r w:rsidRPr="008A0A30">
              <w:rPr>
                <w:szCs w:val="24"/>
              </w:rPr>
              <w:t xml:space="preserve"> velpatasvir</w:t>
            </w:r>
          </w:p>
        </w:tc>
        <w:tc>
          <w:tcPr>
            <w:tcW w:w="2652" w:type="pct"/>
            <w:tcBorders>
              <w:bottom w:val="single" w:sz="6" w:space="0" w:color="auto"/>
            </w:tcBorders>
          </w:tcPr>
          <w:p w:rsidR="00C269F9" w:rsidRPr="008A0A30" w:rsidRDefault="007810CC" w:rsidP="006C3888">
            <w:pPr>
              <w:spacing w:before="40" w:after="120"/>
              <w:rPr>
                <w:szCs w:val="24"/>
              </w:rPr>
            </w:pPr>
            <w:r w:rsidRPr="008A0A30">
              <w:rPr>
                <w:szCs w:val="24"/>
              </w:rPr>
              <w:t xml:space="preserve">Coadministration of </w:t>
            </w:r>
            <w:r w:rsidR="00C3685A">
              <w:rPr>
                <w:szCs w:val="24"/>
              </w:rPr>
              <w:t>EPCLUSA</w:t>
            </w:r>
            <w:r w:rsidRPr="008A0A30">
              <w:rPr>
                <w:szCs w:val="24"/>
              </w:rPr>
              <w:t xml:space="preserve"> </w:t>
            </w:r>
            <w:r w:rsidR="00C269F9" w:rsidRPr="008A0A30">
              <w:rPr>
                <w:szCs w:val="24"/>
              </w:rPr>
              <w:t>with rifabutin,</w:t>
            </w:r>
            <w:r w:rsidR="00C269F9" w:rsidRPr="008A0A30">
              <w:rPr>
                <w:szCs w:val="24"/>
              </w:rPr>
              <w:br/>
              <w:t>rifampin, or rifapentine</w:t>
            </w:r>
            <w:r w:rsidR="00FC3767">
              <w:rPr>
                <w:szCs w:val="24"/>
              </w:rPr>
              <w:t xml:space="preserve"> </w:t>
            </w:r>
            <w:r w:rsidR="00C269F9" w:rsidRPr="008A0A30">
              <w:rPr>
                <w:szCs w:val="24"/>
              </w:rPr>
              <w:t>is expected to decrease the concentration of sofosbuvir and velpatasvir, leading to</w:t>
            </w:r>
            <w:r w:rsidRPr="008A0A30">
              <w:rPr>
                <w:szCs w:val="24"/>
              </w:rPr>
              <w:t xml:space="preserve"> reduced therapeutic effect of </w:t>
            </w:r>
            <w:r w:rsidR="00C3685A">
              <w:rPr>
                <w:szCs w:val="24"/>
              </w:rPr>
              <w:t>EPCLUSA</w:t>
            </w:r>
            <w:r w:rsidR="00C269F9" w:rsidRPr="008A0A30">
              <w:rPr>
                <w:szCs w:val="24"/>
              </w:rPr>
              <w:t>. Coadministration is not recommended.</w:t>
            </w:r>
          </w:p>
        </w:tc>
      </w:tr>
      <w:tr w:rsidR="00E55E0D" w:rsidRPr="008A0A30" w:rsidTr="009B63B7">
        <w:trPr>
          <w:trHeight w:val="1499"/>
        </w:trPr>
        <w:tc>
          <w:tcPr>
            <w:tcW w:w="1309" w:type="pct"/>
            <w:tcBorders>
              <w:top w:val="single" w:sz="6" w:space="0" w:color="auto"/>
              <w:bottom w:val="nil"/>
            </w:tcBorders>
          </w:tcPr>
          <w:p w:rsidR="00C71825" w:rsidRPr="008A0A30" w:rsidRDefault="00C71825" w:rsidP="006C3888">
            <w:pPr>
              <w:spacing w:before="40" w:after="120"/>
              <w:rPr>
                <w:b/>
                <w:szCs w:val="24"/>
              </w:rPr>
            </w:pPr>
            <w:r w:rsidRPr="008A0A30">
              <w:rPr>
                <w:b/>
                <w:szCs w:val="24"/>
              </w:rPr>
              <w:t>Antiretrovirals:</w:t>
            </w:r>
          </w:p>
          <w:p w:rsidR="00C269F9" w:rsidRPr="008A0A30" w:rsidRDefault="00C269F9" w:rsidP="006C3888">
            <w:pPr>
              <w:spacing w:before="40" w:after="120"/>
              <w:rPr>
                <w:szCs w:val="24"/>
              </w:rPr>
            </w:pPr>
            <w:r w:rsidRPr="008A0A30">
              <w:rPr>
                <w:szCs w:val="24"/>
              </w:rPr>
              <w:t>efavirenz</w:t>
            </w:r>
            <w:r w:rsidRPr="008A0A30">
              <w:rPr>
                <w:szCs w:val="24"/>
                <w:vertAlign w:val="superscript"/>
              </w:rPr>
              <w:t>c</w:t>
            </w:r>
          </w:p>
        </w:tc>
        <w:tc>
          <w:tcPr>
            <w:tcW w:w="1039" w:type="pct"/>
            <w:tcBorders>
              <w:top w:val="single" w:sz="6" w:space="0" w:color="auto"/>
              <w:bottom w:val="nil"/>
            </w:tcBorders>
          </w:tcPr>
          <w:p w:rsidR="00C269F9" w:rsidRPr="008A0A30" w:rsidRDefault="00C269F9" w:rsidP="006C3888">
            <w:pPr>
              <w:spacing w:before="40" w:after="120"/>
              <w:rPr>
                <w:szCs w:val="24"/>
              </w:rPr>
            </w:pPr>
            <w:r w:rsidRPr="008A0A30">
              <w:rPr>
                <w:szCs w:val="24"/>
              </w:rPr>
              <w:sym w:font="Symbol" w:char="F0AF"/>
            </w:r>
            <w:r w:rsidRPr="008A0A30">
              <w:rPr>
                <w:szCs w:val="24"/>
              </w:rPr>
              <w:t xml:space="preserve"> velpatasvir</w:t>
            </w:r>
          </w:p>
        </w:tc>
        <w:tc>
          <w:tcPr>
            <w:tcW w:w="2652" w:type="pct"/>
            <w:tcBorders>
              <w:top w:val="single" w:sz="6" w:space="0" w:color="auto"/>
              <w:bottom w:val="nil"/>
            </w:tcBorders>
          </w:tcPr>
          <w:p w:rsidR="00003AC8" w:rsidRDefault="007810CC" w:rsidP="00003AC8">
            <w:pPr>
              <w:spacing w:before="40" w:after="120"/>
              <w:rPr>
                <w:szCs w:val="24"/>
              </w:rPr>
            </w:pPr>
            <w:r w:rsidRPr="008A0A30">
              <w:rPr>
                <w:szCs w:val="24"/>
              </w:rPr>
              <w:t xml:space="preserve">Coadministration of </w:t>
            </w:r>
            <w:r w:rsidR="00C3685A">
              <w:rPr>
                <w:szCs w:val="24"/>
              </w:rPr>
              <w:t>EPCLUSA</w:t>
            </w:r>
            <w:r w:rsidR="00C269F9" w:rsidRPr="008A0A30">
              <w:rPr>
                <w:szCs w:val="24"/>
              </w:rPr>
              <w:t xml:space="preserve"> with efavirenz is expected to decrease the concentration of v</w:t>
            </w:r>
            <w:r w:rsidR="00003AC8">
              <w:rPr>
                <w:szCs w:val="24"/>
              </w:rPr>
              <w:t>elpatasvir.</w:t>
            </w:r>
          </w:p>
          <w:p w:rsidR="00C269F9" w:rsidRPr="008A0A30" w:rsidRDefault="007810CC" w:rsidP="00003AC8">
            <w:pPr>
              <w:spacing w:before="40" w:after="120"/>
              <w:rPr>
                <w:szCs w:val="24"/>
              </w:rPr>
            </w:pPr>
            <w:r w:rsidRPr="008A0A30">
              <w:rPr>
                <w:szCs w:val="24"/>
              </w:rPr>
              <w:t xml:space="preserve">Coadministration of </w:t>
            </w:r>
            <w:r w:rsidR="00C3685A">
              <w:rPr>
                <w:szCs w:val="24"/>
              </w:rPr>
              <w:t>EPCLUSA</w:t>
            </w:r>
            <w:r w:rsidR="00C269F9" w:rsidRPr="008A0A30">
              <w:rPr>
                <w:szCs w:val="24"/>
              </w:rPr>
              <w:t xml:space="preserve"> with efavirenz containing regimens is not recommended.</w:t>
            </w:r>
          </w:p>
        </w:tc>
      </w:tr>
      <w:tr w:rsidR="00F642A8" w:rsidRPr="008A0A30" w:rsidTr="009B63B7">
        <w:trPr>
          <w:trHeight w:val="20"/>
        </w:trPr>
        <w:tc>
          <w:tcPr>
            <w:tcW w:w="1309" w:type="pct"/>
            <w:tcBorders>
              <w:top w:val="nil"/>
              <w:bottom w:val="single" w:sz="6" w:space="0" w:color="auto"/>
            </w:tcBorders>
          </w:tcPr>
          <w:p w:rsidR="00F642A8" w:rsidRPr="008A0A30" w:rsidRDefault="00F83648" w:rsidP="006C3888">
            <w:pPr>
              <w:spacing w:before="40" w:after="120"/>
              <w:rPr>
                <w:b/>
                <w:szCs w:val="24"/>
              </w:rPr>
            </w:pPr>
            <w:r w:rsidRPr="008A0A30">
              <w:rPr>
                <w:szCs w:val="24"/>
              </w:rPr>
              <w:t>tenofovir disoproxil fumurate (tenofovir DF)</w:t>
            </w:r>
            <w:r w:rsidRPr="008A0A30">
              <w:rPr>
                <w:szCs w:val="24"/>
                <w:vertAlign w:val="superscript"/>
              </w:rPr>
              <w:t>c</w:t>
            </w:r>
          </w:p>
        </w:tc>
        <w:tc>
          <w:tcPr>
            <w:tcW w:w="1039" w:type="pct"/>
            <w:tcBorders>
              <w:top w:val="nil"/>
              <w:bottom w:val="single" w:sz="6" w:space="0" w:color="auto"/>
            </w:tcBorders>
          </w:tcPr>
          <w:p w:rsidR="00F642A8" w:rsidRPr="008A0A30" w:rsidRDefault="00F642A8" w:rsidP="006C3888">
            <w:pPr>
              <w:spacing w:before="40" w:after="120"/>
              <w:rPr>
                <w:szCs w:val="24"/>
              </w:rPr>
            </w:pPr>
            <w:r w:rsidRPr="008A0A30">
              <w:rPr>
                <w:szCs w:val="24"/>
              </w:rPr>
              <w:sym w:font="Symbol" w:char="F0AD"/>
            </w:r>
            <w:r w:rsidRPr="008A0A30">
              <w:rPr>
                <w:szCs w:val="24"/>
              </w:rPr>
              <w:t xml:space="preserve"> tenofovir</w:t>
            </w:r>
          </w:p>
        </w:tc>
        <w:tc>
          <w:tcPr>
            <w:tcW w:w="2652" w:type="pct"/>
            <w:tcBorders>
              <w:top w:val="nil"/>
              <w:bottom w:val="single" w:sz="6" w:space="0" w:color="auto"/>
            </w:tcBorders>
          </w:tcPr>
          <w:p w:rsidR="000E78B3" w:rsidRPr="008A0A30" w:rsidRDefault="00C3685A" w:rsidP="006C3888">
            <w:pPr>
              <w:pStyle w:val="Default"/>
              <w:spacing w:before="40" w:after="120"/>
              <w:rPr>
                <w:color w:val="auto"/>
              </w:rPr>
            </w:pPr>
            <w:r>
              <w:rPr>
                <w:color w:val="auto"/>
              </w:rPr>
              <w:t>EPCLUSA</w:t>
            </w:r>
            <w:r w:rsidR="00F83648" w:rsidRPr="008A0A30">
              <w:rPr>
                <w:color w:val="auto"/>
              </w:rPr>
              <w:t xml:space="preserve"> has been shown to increase tenofovir exposure. Patients receiving tenofovir DF and </w:t>
            </w:r>
            <w:r>
              <w:rPr>
                <w:color w:val="auto"/>
              </w:rPr>
              <w:t>EPCLUSA</w:t>
            </w:r>
            <w:r w:rsidR="00F83648" w:rsidRPr="008A0A30">
              <w:rPr>
                <w:color w:val="auto"/>
              </w:rPr>
              <w:t xml:space="preserve"> concomitantly should be monitored for adverse reactions associated with tenofovir DF. Refer to the tenofovir DF-containing product’s </w:t>
            </w:r>
            <w:r w:rsidR="00046447" w:rsidRPr="008A0A30">
              <w:rPr>
                <w:color w:val="auto"/>
              </w:rPr>
              <w:t>product</w:t>
            </w:r>
            <w:r w:rsidR="00F83648" w:rsidRPr="008A0A30">
              <w:rPr>
                <w:color w:val="auto"/>
              </w:rPr>
              <w:t xml:space="preserve"> information for recommendations on renal monitoring.</w:t>
            </w:r>
          </w:p>
        </w:tc>
      </w:tr>
      <w:tr w:rsidR="0049445A" w:rsidRPr="008A0A30" w:rsidTr="009B63B7">
        <w:trPr>
          <w:trHeight w:val="20"/>
        </w:trPr>
        <w:tc>
          <w:tcPr>
            <w:tcW w:w="1309" w:type="pct"/>
            <w:tcBorders>
              <w:top w:val="single" w:sz="6" w:space="0" w:color="auto"/>
              <w:bottom w:val="single" w:sz="6" w:space="0" w:color="auto"/>
            </w:tcBorders>
          </w:tcPr>
          <w:p w:rsidR="0049445A" w:rsidRPr="008A0A30" w:rsidRDefault="0049445A" w:rsidP="006C3888">
            <w:pPr>
              <w:spacing w:before="40" w:after="120"/>
              <w:rPr>
                <w:b/>
                <w:szCs w:val="24"/>
              </w:rPr>
            </w:pPr>
            <w:r w:rsidRPr="008A0A30">
              <w:rPr>
                <w:b/>
                <w:szCs w:val="24"/>
              </w:rPr>
              <w:lastRenderedPageBreak/>
              <w:t>Herbal Supplements:</w:t>
            </w:r>
          </w:p>
          <w:p w:rsidR="0049445A" w:rsidRPr="008A0A30" w:rsidRDefault="0049445A" w:rsidP="006C3888">
            <w:pPr>
              <w:spacing w:before="40" w:after="120"/>
              <w:rPr>
                <w:b/>
                <w:szCs w:val="24"/>
              </w:rPr>
            </w:pPr>
            <w:r w:rsidRPr="008A0A30">
              <w:rPr>
                <w:szCs w:val="24"/>
              </w:rPr>
              <w:t>St. John’s wort</w:t>
            </w:r>
          </w:p>
        </w:tc>
        <w:tc>
          <w:tcPr>
            <w:tcW w:w="1039" w:type="pct"/>
            <w:tcBorders>
              <w:top w:val="single" w:sz="6" w:space="0" w:color="auto"/>
              <w:bottom w:val="single" w:sz="6" w:space="0" w:color="auto"/>
            </w:tcBorders>
          </w:tcPr>
          <w:p w:rsidR="0049445A" w:rsidRPr="008A0A30" w:rsidRDefault="0049445A" w:rsidP="006C3888">
            <w:pPr>
              <w:spacing w:before="40" w:after="120"/>
              <w:rPr>
                <w:szCs w:val="24"/>
              </w:rPr>
            </w:pPr>
            <w:r w:rsidRPr="008A0A30">
              <w:rPr>
                <w:szCs w:val="24"/>
              </w:rPr>
              <w:sym w:font="Symbol" w:char="F0AF"/>
            </w:r>
            <w:r w:rsidRPr="008A0A30">
              <w:rPr>
                <w:szCs w:val="24"/>
              </w:rPr>
              <w:t xml:space="preserve"> sofosbuvir</w:t>
            </w:r>
          </w:p>
          <w:p w:rsidR="0049445A" w:rsidRPr="008A0A30" w:rsidRDefault="0049445A" w:rsidP="006C3888">
            <w:pPr>
              <w:spacing w:before="40" w:after="120"/>
              <w:rPr>
                <w:szCs w:val="24"/>
              </w:rPr>
            </w:pPr>
            <w:r w:rsidRPr="008A0A30">
              <w:rPr>
                <w:szCs w:val="24"/>
              </w:rPr>
              <w:sym w:font="Symbol" w:char="F0AF"/>
            </w:r>
            <w:r w:rsidRPr="008A0A30">
              <w:rPr>
                <w:szCs w:val="24"/>
              </w:rPr>
              <w:t xml:space="preserve"> velpatasvir</w:t>
            </w:r>
          </w:p>
        </w:tc>
        <w:tc>
          <w:tcPr>
            <w:tcW w:w="2652" w:type="pct"/>
            <w:tcBorders>
              <w:top w:val="single" w:sz="6" w:space="0" w:color="auto"/>
              <w:bottom w:val="single" w:sz="6" w:space="0" w:color="auto"/>
            </w:tcBorders>
          </w:tcPr>
          <w:p w:rsidR="0049445A" w:rsidRPr="008A0A30" w:rsidRDefault="0049445A" w:rsidP="006C3888">
            <w:pPr>
              <w:spacing w:before="40" w:after="120"/>
              <w:rPr>
                <w:szCs w:val="24"/>
              </w:rPr>
            </w:pPr>
            <w:r w:rsidRPr="008A0A30">
              <w:rPr>
                <w:szCs w:val="24"/>
              </w:rPr>
              <w:t xml:space="preserve">Coadministration of </w:t>
            </w:r>
            <w:r w:rsidR="00C3685A">
              <w:rPr>
                <w:szCs w:val="24"/>
              </w:rPr>
              <w:t>EPCLUSA</w:t>
            </w:r>
            <w:r w:rsidRPr="008A0A30">
              <w:rPr>
                <w:szCs w:val="24"/>
              </w:rPr>
              <w:t xml:space="preserve"> with St. John’s wort is expected to decrease the concentration of sofosbuvir and velpatasvir, leading to reduced therapeutic effect of </w:t>
            </w:r>
            <w:r w:rsidR="00C3685A">
              <w:rPr>
                <w:szCs w:val="24"/>
              </w:rPr>
              <w:t>EPCLUSA</w:t>
            </w:r>
            <w:r w:rsidRPr="008A0A30">
              <w:rPr>
                <w:szCs w:val="24"/>
              </w:rPr>
              <w:t>. Coadministration is not recommended.</w:t>
            </w:r>
          </w:p>
        </w:tc>
      </w:tr>
      <w:tr w:rsidR="0049445A" w:rsidRPr="008A0A30" w:rsidTr="009B63B7">
        <w:trPr>
          <w:trHeight w:val="20"/>
        </w:trPr>
        <w:tc>
          <w:tcPr>
            <w:tcW w:w="1309" w:type="pct"/>
            <w:tcBorders>
              <w:top w:val="single" w:sz="6" w:space="0" w:color="auto"/>
              <w:bottom w:val="single" w:sz="12" w:space="0" w:color="auto"/>
            </w:tcBorders>
          </w:tcPr>
          <w:p w:rsidR="0049445A" w:rsidRPr="008A0A30" w:rsidRDefault="0049445A" w:rsidP="006C3888">
            <w:pPr>
              <w:spacing w:before="40" w:after="120"/>
              <w:rPr>
                <w:b/>
                <w:szCs w:val="24"/>
              </w:rPr>
            </w:pPr>
            <w:r w:rsidRPr="008A0A30">
              <w:rPr>
                <w:b/>
                <w:szCs w:val="24"/>
              </w:rPr>
              <w:t>HMG-CoA Reductase Inhibitors:</w:t>
            </w:r>
          </w:p>
          <w:p w:rsidR="0049445A" w:rsidRPr="008A0A30" w:rsidRDefault="0049445A" w:rsidP="006C3888">
            <w:pPr>
              <w:spacing w:before="40" w:after="120"/>
              <w:rPr>
                <w:szCs w:val="24"/>
              </w:rPr>
            </w:pPr>
            <w:r w:rsidRPr="008A0A30">
              <w:rPr>
                <w:szCs w:val="24"/>
              </w:rPr>
              <w:t>rosuvastatin</w:t>
            </w:r>
            <w:r w:rsidRPr="008A0A30">
              <w:rPr>
                <w:szCs w:val="24"/>
                <w:vertAlign w:val="superscript"/>
              </w:rPr>
              <w:t>c</w:t>
            </w:r>
          </w:p>
        </w:tc>
        <w:tc>
          <w:tcPr>
            <w:tcW w:w="1039" w:type="pct"/>
            <w:tcBorders>
              <w:top w:val="single" w:sz="6" w:space="0" w:color="auto"/>
              <w:bottom w:val="single" w:sz="12" w:space="0" w:color="auto"/>
            </w:tcBorders>
          </w:tcPr>
          <w:p w:rsidR="0049445A" w:rsidRPr="008A0A30" w:rsidRDefault="0049445A" w:rsidP="006C3888">
            <w:pPr>
              <w:spacing w:before="40" w:after="120"/>
              <w:rPr>
                <w:szCs w:val="24"/>
              </w:rPr>
            </w:pPr>
            <w:r w:rsidRPr="008A0A30">
              <w:rPr>
                <w:szCs w:val="24"/>
              </w:rPr>
              <w:sym w:font="Symbol" w:char="F0AD"/>
            </w:r>
            <w:r w:rsidRPr="008A0A30">
              <w:rPr>
                <w:szCs w:val="24"/>
              </w:rPr>
              <w:t xml:space="preserve"> rosuvastatin</w:t>
            </w:r>
          </w:p>
        </w:tc>
        <w:tc>
          <w:tcPr>
            <w:tcW w:w="2652" w:type="pct"/>
            <w:tcBorders>
              <w:top w:val="single" w:sz="6" w:space="0" w:color="auto"/>
              <w:bottom w:val="single" w:sz="12" w:space="0" w:color="auto"/>
            </w:tcBorders>
          </w:tcPr>
          <w:p w:rsidR="0049445A" w:rsidRPr="008A0A30" w:rsidRDefault="0049445A" w:rsidP="006C3888">
            <w:pPr>
              <w:spacing w:before="40" w:after="120"/>
              <w:rPr>
                <w:szCs w:val="24"/>
              </w:rPr>
            </w:pPr>
            <w:r w:rsidRPr="008A0A30">
              <w:rPr>
                <w:szCs w:val="24"/>
              </w:rPr>
              <w:t xml:space="preserve">Coadministration of </w:t>
            </w:r>
            <w:r w:rsidR="00C3685A">
              <w:rPr>
                <w:szCs w:val="24"/>
              </w:rPr>
              <w:t>EPCLUSA</w:t>
            </w:r>
            <w:r w:rsidRPr="008A0A30">
              <w:rPr>
                <w:szCs w:val="24"/>
              </w:rPr>
              <w:t xml:space="preserve"> with rosuvastatin may increase the concentration of rosuvastatin, which is associated with increased risk of myopathy, including rhabdomyolysis. Rosuvastatin may be administered with </w:t>
            </w:r>
            <w:r w:rsidR="00C3685A">
              <w:rPr>
                <w:szCs w:val="24"/>
              </w:rPr>
              <w:t>EPCLUSA</w:t>
            </w:r>
            <w:r w:rsidRPr="008A0A30">
              <w:rPr>
                <w:szCs w:val="24"/>
              </w:rPr>
              <w:t xml:space="preserve"> at a dose that does not exceed 10 mg. </w:t>
            </w:r>
          </w:p>
        </w:tc>
      </w:tr>
    </w:tbl>
    <w:p w:rsidR="00CA03F0" w:rsidRPr="008A0A30" w:rsidRDefault="00CA03F0" w:rsidP="00E55E0D">
      <w:pPr>
        <w:pStyle w:val="TableFooter"/>
        <w:spacing w:before="0" w:after="0"/>
        <w:ind w:left="329" w:hanging="329"/>
      </w:pPr>
      <w:r w:rsidRPr="008A0A30">
        <w:t>a</w:t>
      </w:r>
      <w:r w:rsidRPr="008A0A30">
        <w:tab/>
        <w:t>This table is not all inclusive.</w:t>
      </w:r>
    </w:p>
    <w:p w:rsidR="00FC3767" w:rsidRDefault="00CA03F0" w:rsidP="00E55E0D">
      <w:pPr>
        <w:pStyle w:val="TableFooter"/>
        <w:spacing w:before="0" w:after="0"/>
        <w:ind w:left="329" w:hanging="329"/>
      </w:pPr>
      <w:r w:rsidRPr="008A0A30">
        <w:t>b</w:t>
      </w:r>
      <w:r w:rsidRPr="008A0A30">
        <w:tab/>
      </w:r>
      <w:r w:rsidRPr="008A0A30">
        <w:sym w:font="Symbol" w:char="F0AD"/>
      </w:r>
      <w:r w:rsidRPr="008A0A30">
        <w:t xml:space="preserve"> = increase, ↓ = decrease</w:t>
      </w:r>
    </w:p>
    <w:p w:rsidR="00900707" w:rsidRDefault="00CA03F0" w:rsidP="003B5DD1">
      <w:pPr>
        <w:pStyle w:val="TableFooter"/>
        <w:spacing w:before="0" w:after="360"/>
        <w:ind w:left="329" w:hanging="329"/>
        <w:rPr>
          <w:b/>
          <w:noProof/>
          <w:szCs w:val="24"/>
          <w:lang w:val="en-AU"/>
        </w:rPr>
      </w:pPr>
      <w:r w:rsidRPr="008A0A30">
        <w:t>c</w:t>
      </w:r>
      <w:r w:rsidRPr="008A0A30">
        <w:tab/>
        <w:t>These interactions have been studied in healthy adults.</w:t>
      </w:r>
    </w:p>
    <w:p w:rsidR="00FE48DC" w:rsidRPr="008A0A30" w:rsidRDefault="001D70B1" w:rsidP="00A86ACB">
      <w:pPr>
        <w:pStyle w:val="Heading2"/>
        <w:rPr>
          <w:lang w:val="en-AU"/>
        </w:rPr>
      </w:pPr>
      <w:r w:rsidRPr="008A0A30">
        <w:rPr>
          <w:lang w:val="en-AU"/>
        </w:rPr>
        <w:t>Drugs without Clinically</w:t>
      </w:r>
      <w:r w:rsidR="00B83E92" w:rsidRPr="008A0A30">
        <w:rPr>
          <w:lang w:val="en-AU"/>
        </w:rPr>
        <w:t xml:space="preserve"> Significant Interactions with </w:t>
      </w:r>
      <w:r w:rsidR="00C3685A">
        <w:rPr>
          <w:lang w:val="en-AU"/>
        </w:rPr>
        <w:t>EPCLUSA</w:t>
      </w:r>
    </w:p>
    <w:p w:rsidR="001D70B1" w:rsidRPr="008A0A30" w:rsidRDefault="00D97A36" w:rsidP="00017E9F">
      <w:pPr>
        <w:pStyle w:val="Text10"/>
        <w:rPr>
          <w:lang w:val="en-AU"/>
        </w:rPr>
      </w:pPr>
      <w:r w:rsidRPr="008A0A30">
        <w:rPr>
          <w:lang w:val="en-AU"/>
        </w:rPr>
        <w:t xml:space="preserve">Based on drug interaction studies conducted with the components of </w:t>
      </w:r>
      <w:r w:rsidR="00C3685A">
        <w:rPr>
          <w:lang w:val="en-AU"/>
        </w:rPr>
        <w:t>EPCLUSA</w:t>
      </w:r>
      <w:r w:rsidRPr="008A0A30">
        <w:rPr>
          <w:lang w:val="en-AU"/>
        </w:rPr>
        <w:t xml:space="preserve"> (sofosbuvir or velpatasvir) or </w:t>
      </w:r>
      <w:r w:rsidR="00C3685A">
        <w:rPr>
          <w:lang w:val="en-AU"/>
        </w:rPr>
        <w:t>EPCLUSA</w:t>
      </w:r>
      <w:r w:rsidRPr="008A0A30">
        <w:rPr>
          <w:lang w:val="en-AU"/>
        </w:rPr>
        <w:t xml:space="preserve">, no clinically significant drug interactions have been either observed or are expected when </w:t>
      </w:r>
      <w:r w:rsidR="00C3685A">
        <w:rPr>
          <w:lang w:val="en-AU"/>
        </w:rPr>
        <w:t>EPCLUSA</w:t>
      </w:r>
      <w:r w:rsidRPr="008A0A30">
        <w:rPr>
          <w:lang w:val="en-AU"/>
        </w:rPr>
        <w:t xml:space="preserve"> is combined with the following drugs (see </w:t>
      </w:r>
      <w:r w:rsidRPr="008A0A30">
        <w:rPr>
          <w:i/>
          <w:lang w:val="en-AU"/>
        </w:rPr>
        <w:t>Pharmacokinetics: Assessment of Drug Interactions</w:t>
      </w:r>
      <w:r w:rsidRPr="008A0A30">
        <w:rPr>
          <w:lang w:val="en-AU"/>
        </w:rPr>
        <w:t>): atazanavir/ritonavir, cyclosporine, darunavir/ritonavir, dolutegravir, elvitegravir/cobicistat/emtricitabine/tenofovir alafenamide, emtricitabine,</w:t>
      </w:r>
      <w:r w:rsidR="00FC3767">
        <w:rPr>
          <w:lang w:val="en-AU"/>
        </w:rPr>
        <w:t xml:space="preserve"> </w:t>
      </w:r>
      <w:r w:rsidRPr="008A0A30">
        <w:rPr>
          <w:lang w:val="en-AU"/>
        </w:rPr>
        <w:t>ketoconazole, lopinavir/ritonavir, methadone, oral contraceptives, pravastatin, raltegravir, rilpivirine, or tacrolimus.</w:t>
      </w:r>
    </w:p>
    <w:p w:rsidR="007254DD" w:rsidRPr="008A0A30" w:rsidRDefault="007254DD" w:rsidP="00D97A36">
      <w:pPr>
        <w:pStyle w:val="Heading3"/>
      </w:pPr>
      <w:r w:rsidRPr="008A0A30">
        <w:t>Effects on ability to drive and use machines</w:t>
      </w:r>
    </w:p>
    <w:p w:rsidR="00FC3767" w:rsidRDefault="00B83E92" w:rsidP="00017E9F">
      <w:pPr>
        <w:pStyle w:val="Text10"/>
      </w:pPr>
      <w:r w:rsidRPr="008A0A30">
        <w:t xml:space="preserve">No studies on the effects of </w:t>
      </w:r>
      <w:r w:rsidR="00C3685A">
        <w:t>EPCLUSA</w:t>
      </w:r>
      <w:r w:rsidR="00CE6663" w:rsidRPr="008A0A30">
        <w:t xml:space="preserve"> on the ability to drive and use machines have been performed.</w:t>
      </w:r>
    </w:p>
    <w:p w:rsidR="00B74FDB" w:rsidRPr="008A0A30" w:rsidRDefault="007254DD" w:rsidP="00FC3767">
      <w:pPr>
        <w:pStyle w:val="Heading1"/>
      </w:pPr>
      <w:r w:rsidRPr="008A0A30">
        <w:t xml:space="preserve">ADVERSE </w:t>
      </w:r>
      <w:r w:rsidR="00B74FDB" w:rsidRPr="008A0A30">
        <w:t>EFFECTS</w:t>
      </w:r>
    </w:p>
    <w:p w:rsidR="00084FA4" w:rsidRPr="008A0A30" w:rsidRDefault="00084FA4" w:rsidP="00FC3767">
      <w:pPr>
        <w:pStyle w:val="Heading2"/>
      </w:pPr>
      <w:r w:rsidRPr="008A0A30">
        <w:t>Clinical Trials</w:t>
      </w:r>
    </w:p>
    <w:p w:rsidR="00D97A36" w:rsidRPr="008A0A30" w:rsidRDefault="00084FA4" w:rsidP="00FC3767">
      <w:pPr>
        <w:rPr>
          <w:b/>
        </w:rPr>
      </w:pPr>
      <w:r w:rsidRPr="008A0A30">
        <w:t xml:space="preserve">The safety assessment of </w:t>
      </w:r>
      <w:r w:rsidR="00C3685A">
        <w:t>EPCLUSA</w:t>
      </w:r>
      <w:r w:rsidR="00D97A36" w:rsidRPr="008A0A30">
        <w:t xml:space="preserve"> </w:t>
      </w:r>
      <w:r w:rsidR="00F638EF" w:rsidRPr="008A0A30">
        <w:t>is</w:t>
      </w:r>
      <w:r w:rsidR="00D97A36" w:rsidRPr="008A0A30">
        <w:t xml:space="preserve"> based on pooled Phase 3 clinical trial data (ASTRAL-1, ASTRAL-2, and ASTRAL-3) from </w:t>
      </w:r>
      <w:r w:rsidR="00A26D7D" w:rsidRPr="00A26D7D">
        <w:t>patients</w:t>
      </w:r>
      <w:r w:rsidR="00A26D7D" w:rsidRPr="008A0A30">
        <w:t xml:space="preserve"> </w:t>
      </w:r>
      <w:r w:rsidR="00D97A36" w:rsidRPr="008A0A30">
        <w:t>with genotype 1, 2, 3, 4, 5</w:t>
      </w:r>
      <w:r w:rsidR="00EC666B">
        <w:t>,</w:t>
      </w:r>
      <w:r w:rsidR="00D97A36" w:rsidRPr="008A0A30">
        <w:t xml:space="preserve"> or 6 HCV infection (with or without compensated cirrhosis) including:</w:t>
      </w:r>
    </w:p>
    <w:p w:rsidR="00D97A36" w:rsidRPr="00003AC8" w:rsidRDefault="009453C5" w:rsidP="00003AC8">
      <w:pPr>
        <w:pStyle w:val="ListParagraph"/>
        <w:numPr>
          <w:ilvl w:val="0"/>
          <w:numId w:val="27"/>
        </w:numPr>
        <w:spacing w:after="100" w:afterAutospacing="1"/>
        <w:ind w:left="1071" w:hanging="357"/>
        <w:rPr>
          <w:b/>
        </w:rPr>
      </w:pPr>
      <w:r>
        <w:t xml:space="preserve">1035 </w:t>
      </w:r>
      <w:r w:rsidR="00A26D7D" w:rsidRPr="00A26D7D">
        <w:t xml:space="preserve">patients </w:t>
      </w:r>
      <w:r>
        <w:t xml:space="preserve">who received </w:t>
      </w:r>
      <w:r w:rsidR="00C3685A">
        <w:t>EPCLUSA</w:t>
      </w:r>
      <w:r w:rsidR="00D97A36" w:rsidRPr="008A0A30">
        <w:t xml:space="preserve"> for 12 weeks,</w:t>
      </w:r>
    </w:p>
    <w:p w:rsidR="00D97A36" w:rsidRPr="00003AC8" w:rsidRDefault="00D97A36" w:rsidP="00003AC8">
      <w:pPr>
        <w:pStyle w:val="ListParagraph"/>
        <w:numPr>
          <w:ilvl w:val="0"/>
          <w:numId w:val="27"/>
        </w:numPr>
        <w:spacing w:after="100" w:afterAutospacing="1"/>
        <w:ind w:left="1071" w:hanging="357"/>
        <w:rPr>
          <w:b/>
        </w:rPr>
      </w:pPr>
      <w:r w:rsidRPr="008A0A30">
        <w:t xml:space="preserve">116 </w:t>
      </w:r>
      <w:r w:rsidR="00A26D7D" w:rsidRPr="00A26D7D">
        <w:t xml:space="preserve">patients </w:t>
      </w:r>
      <w:r w:rsidRPr="008A0A30">
        <w:t>who received placebo (PBO) for 12 weeks,</w:t>
      </w:r>
    </w:p>
    <w:p w:rsidR="00D97A36" w:rsidRPr="00003AC8" w:rsidRDefault="00D97A36" w:rsidP="00003AC8">
      <w:pPr>
        <w:pStyle w:val="ListParagraph"/>
        <w:numPr>
          <w:ilvl w:val="0"/>
          <w:numId w:val="27"/>
        </w:numPr>
        <w:spacing w:after="100" w:afterAutospacing="1"/>
        <w:ind w:left="1071" w:hanging="357"/>
        <w:rPr>
          <w:b/>
        </w:rPr>
      </w:pPr>
      <w:r w:rsidRPr="008A0A30">
        <w:t xml:space="preserve">132 </w:t>
      </w:r>
      <w:r w:rsidR="00A26D7D" w:rsidRPr="00A26D7D">
        <w:t xml:space="preserve">patients </w:t>
      </w:r>
      <w:r w:rsidRPr="008A0A30">
        <w:t>who received sofosbuvir (SOF) + ribavirin (RBV) for 12 weeks,</w:t>
      </w:r>
    </w:p>
    <w:p w:rsidR="00D97A36" w:rsidRPr="00003AC8" w:rsidRDefault="00D97A36" w:rsidP="00003AC8">
      <w:pPr>
        <w:pStyle w:val="ListParagraph"/>
        <w:numPr>
          <w:ilvl w:val="0"/>
          <w:numId w:val="27"/>
        </w:numPr>
        <w:spacing w:after="100" w:afterAutospacing="1"/>
        <w:ind w:left="1071" w:hanging="357"/>
        <w:rPr>
          <w:b/>
        </w:rPr>
      </w:pPr>
      <w:r w:rsidRPr="008A0A30">
        <w:t xml:space="preserve">275 </w:t>
      </w:r>
      <w:r w:rsidR="00A26D7D" w:rsidRPr="00A26D7D">
        <w:t xml:space="preserve">patients </w:t>
      </w:r>
      <w:r w:rsidRPr="008A0A30">
        <w:t>who received SOF + RBV for 24 weeks</w:t>
      </w:r>
    </w:p>
    <w:p w:rsidR="00FC3767" w:rsidRDefault="00D97A36" w:rsidP="00FC3767">
      <w:r w:rsidRPr="008A0A30">
        <w:t xml:space="preserve">The proportion of </w:t>
      </w:r>
      <w:r w:rsidR="00A26D7D" w:rsidRPr="00A26D7D">
        <w:t>patients</w:t>
      </w:r>
      <w:r w:rsidRPr="008A0A30">
        <w:t xml:space="preserve"> who permanently discontinued treatment due to adverse events w</w:t>
      </w:r>
      <w:r w:rsidR="00D43981" w:rsidRPr="008A0A30">
        <w:t xml:space="preserve">as 0.2% for </w:t>
      </w:r>
      <w:r w:rsidR="00A26D7D" w:rsidRPr="00A26D7D">
        <w:t xml:space="preserve">patients </w:t>
      </w:r>
      <w:r w:rsidR="00D43981" w:rsidRPr="008A0A30">
        <w:t xml:space="preserve">receiving </w:t>
      </w:r>
      <w:r w:rsidR="00C3685A">
        <w:t>EPCLUSA</w:t>
      </w:r>
      <w:r w:rsidRPr="008A0A30">
        <w:t xml:space="preserve"> for 12 weeks.</w:t>
      </w:r>
    </w:p>
    <w:p w:rsidR="00D97A36" w:rsidRPr="008A0A30" w:rsidRDefault="00D97A36" w:rsidP="00FC3767">
      <w:pPr>
        <w:rPr>
          <w:b/>
        </w:rPr>
      </w:pPr>
      <w:r w:rsidRPr="008A0A30">
        <w:t>No adve</w:t>
      </w:r>
      <w:r w:rsidR="00D43981" w:rsidRPr="008A0A30">
        <w:t xml:space="preserve">rse drug reactions specific to </w:t>
      </w:r>
      <w:r w:rsidR="00C3685A">
        <w:t>EPCLUSA</w:t>
      </w:r>
      <w:r w:rsidRPr="008A0A30">
        <w:t xml:space="preserve"> have been identified.</w:t>
      </w:r>
      <w:r w:rsidR="00FC3767">
        <w:t xml:space="preserve"> </w:t>
      </w:r>
      <w:r w:rsidRPr="008A0A30">
        <w:t>In clinical trials, headache, fatigue, nausea</w:t>
      </w:r>
      <w:r w:rsidR="00E92103">
        <w:t>,</w:t>
      </w:r>
      <w:r w:rsidRPr="008A0A30">
        <w:t xml:space="preserve"> and nasopharyngitis were the most common (incidence ≥10%) treatment emergent adverse events reported in </w:t>
      </w:r>
      <w:r w:rsidR="00A26D7D" w:rsidRPr="00A26D7D">
        <w:t xml:space="preserve">patients </w:t>
      </w:r>
      <w:r w:rsidRPr="008A0A30">
        <w:t xml:space="preserve">treated with 12 weeks of </w:t>
      </w:r>
      <w:r w:rsidR="00C3685A">
        <w:t>EPCLUSA</w:t>
      </w:r>
      <w:r w:rsidRPr="008A0A30">
        <w:t>.</w:t>
      </w:r>
    </w:p>
    <w:p w:rsidR="00FC3767" w:rsidRDefault="00046447" w:rsidP="00FC3767">
      <w:r w:rsidRPr="008A0A30">
        <w:lastRenderedPageBreak/>
        <w:t xml:space="preserve">Table 15 lists adverse events observed in at least 5% of </w:t>
      </w:r>
      <w:r w:rsidR="00A26D7D" w:rsidRPr="00A26D7D">
        <w:t xml:space="preserve">patients </w:t>
      </w:r>
      <w:r w:rsidRPr="008A0A30">
        <w:t xml:space="preserve">receiving 12 weeks treatment with </w:t>
      </w:r>
      <w:r w:rsidR="00C3685A">
        <w:t>EPCLUSA</w:t>
      </w:r>
      <w:r w:rsidRPr="008A0A30">
        <w:t xml:space="preserve"> in clinical trials compared to placebo. The majority of adverse events presented in Table 15 occurred at severity of grade 1.</w:t>
      </w:r>
    </w:p>
    <w:p w:rsidR="00046447" w:rsidRPr="008A0A30" w:rsidRDefault="00D60556" w:rsidP="00D60556">
      <w:pPr>
        <w:pStyle w:val="Caption"/>
      </w:pPr>
      <w:r>
        <w:t xml:space="preserve">Table </w:t>
      </w:r>
      <w:fldSimple w:instr=" SEQ Table \* ARABIC ">
        <w:r>
          <w:rPr>
            <w:noProof/>
          </w:rPr>
          <w:t>15</w:t>
        </w:r>
      </w:fldSimple>
      <w:r>
        <w:t xml:space="preserve">. </w:t>
      </w:r>
      <w:r w:rsidR="00046447" w:rsidRPr="008A0A30">
        <w:t xml:space="preserve">Adverse Events (All Grades and without Regard to Causality) Reported in ≥5% of </w:t>
      </w:r>
      <w:r w:rsidR="00A26D7D">
        <w:t>P</w:t>
      </w:r>
      <w:r w:rsidR="00A26D7D" w:rsidRPr="00A26D7D">
        <w:t xml:space="preserve">atients </w:t>
      </w:r>
      <w:r w:rsidR="00046447" w:rsidRPr="008A0A30">
        <w:t xml:space="preserve">Receiving 12 Weeks of Treatment with </w:t>
      </w:r>
      <w:r w:rsidR="00C3685A">
        <w:t>EPCLUSA</w:t>
      </w:r>
      <w:r w:rsidR="00046447" w:rsidRPr="008A0A30">
        <w:t xml:space="preserve"> Compared to Placebo</w:t>
      </w:r>
    </w:p>
    <w:tbl>
      <w:tblPr>
        <w:tblW w:w="4715" w:type="pct"/>
        <w:tblInd w:w="108" w:type="dxa"/>
        <w:tblBorders>
          <w:top w:val="nil"/>
          <w:left w:val="nil"/>
          <w:bottom w:val="nil"/>
          <w:right w:val="nil"/>
        </w:tblBorders>
        <w:tblLook w:val="0000" w:firstRow="0" w:lastRow="0" w:firstColumn="0" w:lastColumn="0" w:noHBand="0" w:noVBand="0"/>
        <w:tblDescription w:val="Table 15 Adverse Events (All Grades and without Regard to Causality) Reported in ≥5% of Patients Receiving 12 Weeks of Treatment with EPCLUSA Compared to Placebo"/>
      </w:tblPr>
      <w:tblGrid>
        <w:gridCol w:w="2736"/>
        <w:gridCol w:w="3013"/>
        <w:gridCol w:w="3009"/>
      </w:tblGrid>
      <w:tr w:rsidR="00742470" w:rsidRPr="008A0A30" w:rsidTr="004040E5">
        <w:trPr>
          <w:trHeight w:val="227"/>
          <w:tblHeader/>
        </w:trPr>
        <w:tc>
          <w:tcPr>
            <w:tcW w:w="1562" w:type="pct"/>
            <w:tcBorders>
              <w:top w:val="single" w:sz="12" w:space="0" w:color="auto"/>
              <w:left w:val="nil"/>
              <w:bottom w:val="single" w:sz="12"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p>
        </w:tc>
        <w:tc>
          <w:tcPr>
            <w:tcW w:w="1720" w:type="pct"/>
            <w:tcBorders>
              <w:top w:val="single" w:sz="12" w:space="0" w:color="auto"/>
              <w:left w:val="single" w:sz="4" w:space="0" w:color="auto"/>
              <w:bottom w:val="single" w:sz="12" w:space="0" w:color="auto"/>
              <w:right w:val="single" w:sz="4" w:space="0" w:color="auto"/>
            </w:tcBorders>
          </w:tcPr>
          <w:p w:rsidR="00046447" w:rsidRPr="008A0A30" w:rsidRDefault="00C3685A" w:rsidP="00FC3767">
            <w:pPr>
              <w:autoSpaceDE w:val="0"/>
              <w:autoSpaceDN w:val="0"/>
              <w:adjustRightInd w:val="0"/>
              <w:spacing w:before="40" w:after="40"/>
              <w:jc w:val="center"/>
              <w:rPr>
                <w:color w:val="000000"/>
                <w:szCs w:val="24"/>
                <w:lang w:val="en-AU"/>
              </w:rPr>
            </w:pPr>
            <w:r>
              <w:rPr>
                <w:b/>
                <w:bCs/>
                <w:color w:val="000000"/>
                <w:szCs w:val="24"/>
                <w:lang w:val="en-AU"/>
              </w:rPr>
              <w:t>EPCLUSA</w:t>
            </w:r>
            <w:r w:rsidR="00046447" w:rsidRPr="008A0A30">
              <w:rPr>
                <w:b/>
                <w:bCs/>
                <w:color w:val="000000"/>
                <w:szCs w:val="24"/>
                <w:lang w:val="en-AU"/>
              </w:rPr>
              <w:t xml:space="preserve"> 12 weeks (N=1035)</w:t>
            </w:r>
          </w:p>
        </w:tc>
        <w:tc>
          <w:tcPr>
            <w:tcW w:w="1718" w:type="pct"/>
            <w:tcBorders>
              <w:top w:val="single" w:sz="12" w:space="0" w:color="auto"/>
              <w:left w:val="single" w:sz="4" w:space="0" w:color="auto"/>
              <w:bottom w:val="single" w:sz="12" w:space="0" w:color="auto"/>
              <w:right w:val="nil"/>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b/>
                <w:bCs/>
                <w:color w:val="000000"/>
                <w:szCs w:val="24"/>
                <w:lang w:val="en-AU"/>
              </w:rPr>
              <w:t>Placebo 12 weeks</w:t>
            </w:r>
            <w:r w:rsidR="001D0F64">
              <w:rPr>
                <w:b/>
                <w:bCs/>
                <w:color w:val="000000"/>
                <w:szCs w:val="24"/>
                <w:lang w:val="en-AU"/>
              </w:rPr>
              <w:br/>
            </w:r>
            <w:r w:rsidRPr="008A0A30">
              <w:rPr>
                <w:b/>
                <w:bCs/>
                <w:color w:val="000000"/>
                <w:szCs w:val="24"/>
                <w:lang w:val="en-AU"/>
              </w:rPr>
              <w:t>(N=116)</w:t>
            </w:r>
          </w:p>
        </w:tc>
      </w:tr>
      <w:tr w:rsidR="00742470" w:rsidRPr="008A0A30" w:rsidTr="00742470">
        <w:trPr>
          <w:trHeight w:val="93"/>
        </w:trPr>
        <w:tc>
          <w:tcPr>
            <w:tcW w:w="1562" w:type="pct"/>
            <w:tcBorders>
              <w:top w:val="single" w:sz="12"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Headache</w:t>
            </w:r>
          </w:p>
        </w:tc>
        <w:tc>
          <w:tcPr>
            <w:tcW w:w="1720" w:type="pct"/>
            <w:tcBorders>
              <w:top w:val="single" w:sz="12"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29%</w:t>
            </w:r>
          </w:p>
        </w:tc>
        <w:tc>
          <w:tcPr>
            <w:tcW w:w="1718" w:type="pct"/>
            <w:tcBorders>
              <w:top w:val="single" w:sz="12"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28%</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Fatigue</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21%</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20%</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Nausea</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13%</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11%</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Nasopharyngitis</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12%</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10%</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Insomnia</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8%</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9%</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Diarrhea</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7%</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7%</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Asthenia</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6%</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8%</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Cough</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6%</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3%</w:t>
            </w:r>
          </w:p>
        </w:tc>
      </w:tr>
      <w:tr w:rsidR="00742470" w:rsidRPr="008A0A30" w:rsidTr="00742470">
        <w:trPr>
          <w:trHeight w:val="93"/>
        </w:trPr>
        <w:tc>
          <w:tcPr>
            <w:tcW w:w="1562" w:type="pct"/>
            <w:tcBorders>
              <w:top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Back pain</w:t>
            </w:r>
          </w:p>
        </w:tc>
        <w:tc>
          <w:tcPr>
            <w:tcW w:w="1720" w:type="pct"/>
            <w:tcBorders>
              <w:top w:val="single" w:sz="4" w:space="0" w:color="auto"/>
              <w:left w:val="single" w:sz="4" w:space="0" w:color="auto"/>
              <w:bottom w:val="single" w:sz="4"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5%</w:t>
            </w:r>
          </w:p>
        </w:tc>
        <w:tc>
          <w:tcPr>
            <w:tcW w:w="1718" w:type="pct"/>
            <w:tcBorders>
              <w:top w:val="single" w:sz="4" w:space="0" w:color="auto"/>
              <w:left w:val="single" w:sz="4" w:space="0" w:color="auto"/>
              <w:bottom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9%</w:t>
            </w:r>
          </w:p>
        </w:tc>
      </w:tr>
      <w:tr w:rsidR="00742470" w:rsidRPr="008A0A30" w:rsidTr="00742470">
        <w:trPr>
          <w:trHeight w:val="93"/>
        </w:trPr>
        <w:tc>
          <w:tcPr>
            <w:tcW w:w="1562" w:type="pct"/>
            <w:tcBorders>
              <w:top w:val="single" w:sz="4" w:space="0" w:color="auto"/>
              <w:bottom w:val="single" w:sz="12" w:space="0" w:color="auto"/>
              <w:right w:val="single" w:sz="4" w:space="0" w:color="auto"/>
            </w:tcBorders>
          </w:tcPr>
          <w:p w:rsidR="00046447" w:rsidRPr="008A0A30" w:rsidRDefault="00046447" w:rsidP="00FC3767">
            <w:pPr>
              <w:autoSpaceDE w:val="0"/>
              <w:autoSpaceDN w:val="0"/>
              <w:adjustRightInd w:val="0"/>
              <w:spacing w:before="40" w:after="40"/>
              <w:rPr>
                <w:color w:val="000000"/>
                <w:szCs w:val="24"/>
                <w:lang w:val="en-AU"/>
              </w:rPr>
            </w:pPr>
            <w:r w:rsidRPr="008A0A30">
              <w:rPr>
                <w:color w:val="000000"/>
                <w:szCs w:val="24"/>
                <w:lang w:val="en-AU"/>
              </w:rPr>
              <w:t>Arthralgia</w:t>
            </w:r>
          </w:p>
        </w:tc>
        <w:tc>
          <w:tcPr>
            <w:tcW w:w="1720" w:type="pct"/>
            <w:tcBorders>
              <w:top w:val="single" w:sz="4" w:space="0" w:color="auto"/>
              <w:left w:val="single" w:sz="4" w:space="0" w:color="auto"/>
              <w:bottom w:val="single" w:sz="12" w:space="0" w:color="auto"/>
              <w:right w:val="single" w:sz="4"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5%</w:t>
            </w:r>
          </w:p>
        </w:tc>
        <w:tc>
          <w:tcPr>
            <w:tcW w:w="1718" w:type="pct"/>
            <w:tcBorders>
              <w:top w:val="single" w:sz="4" w:space="0" w:color="auto"/>
              <w:left w:val="single" w:sz="4" w:space="0" w:color="auto"/>
              <w:bottom w:val="single" w:sz="12" w:space="0" w:color="auto"/>
            </w:tcBorders>
          </w:tcPr>
          <w:p w:rsidR="00046447" w:rsidRPr="008A0A30" w:rsidRDefault="00046447" w:rsidP="00FC3767">
            <w:pPr>
              <w:autoSpaceDE w:val="0"/>
              <w:autoSpaceDN w:val="0"/>
              <w:adjustRightInd w:val="0"/>
              <w:spacing w:before="40" w:after="40"/>
              <w:jc w:val="center"/>
              <w:rPr>
                <w:color w:val="000000"/>
                <w:szCs w:val="24"/>
                <w:lang w:val="en-AU"/>
              </w:rPr>
            </w:pPr>
            <w:r w:rsidRPr="008A0A30">
              <w:rPr>
                <w:color w:val="000000"/>
                <w:szCs w:val="24"/>
                <w:lang w:val="en-AU"/>
              </w:rPr>
              <w:t>8%</w:t>
            </w:r>
          </w:p>
        </w:tc>
      </w:tr>
    </w:tbl>
    <w:p w:rsidR="00D97A36" w:rsidRPr="008A0A30" w:rsidRDefault="00A26D7D" w:rsidP="00FC3767">
      <w:pPr>
        <w:pStyle w:val="Heading3"/>
      </w:pPr>
      <w:r>
        <w:t xml:space="preserve">Patients </w:t>
      </w:r>
      <w:r w:rsidR="00D97A36" w:rsidRPr="008A0A30">
        <w:t>with Decompensated Cirrhosis</w:t>
      </w:r>
    </w:p>
    <w:p w:rsidR="00D97A36" w:rsidRPr="008A0A30" w:rsidRDefault="00D97A36" w:rsidP="00FC3767">
      <w:pPr>
        <w:rPr>
          <w:b/>
        </w:rPr>
      </w:pPr>
      <w:r w:rsidRPr="008A0A30">
        <w:t>No adve</w:t>
      </w:r>
      <w:r w:rsidR="00D43981" w:rsidRPr="008A0A30">
        <w:t xml:space="preserve">rse drug reactions specific to </w:t>
      </w:r>
      <w:r w:rsidR="00C3685A">
        <w:t>EPCLUSA</w:t>
      </w:r>
      <w:r w:rsidRPr="008A0A30">
        <w:t xml:space="preserve"> were identified from one open-label trial (ASTRAL-4) in which </w:t>
      </w:r>
      <w:r w:rsidR="00A26D7D" w:rsidRPr="00A26D7D">
        <w:t xml:space="preserve">patients </w:t>
      </w:r>
      <w:r w:rsidRPr="008A0A30">
        <w:t>with Child-P</w:t>
      </w:r>
      <w:r w:rsidR="00D43981" w:rsidRPr="008A0A30">
        <w:t xml:space="preserve">ugh Class B cirrhosis received </w:t>
      </w:r>
      <w:r w:rsidR="00C3685A">
        <w:t>EPCLUSA</w:t>
      </w:r>
      <w:r w:rsidR="00D43981" w:rsidRPr="008A0A30">
        <w:t xml:space="preserve"> for 12 weeks (N=90), </w:t>
      </w:r>
      <w:r w:rsidR="00C3685A">
        <w:t>EPCLUSA</w:t>
      </w:r>
      <w:r w:rsidRPr="008A0A30">
        <w:t xml:space="preserve">+RBV for 12 weeks (N=87) or </w:t>
      </w:r>
      <w:r w:rsidR="00C3685A">
        <w:t>EPCLUSA</w:t>
      </w:r>
      <w:r w:rsidRPr="008A0A30">
        <w:t xml:space="preserve"> for 24 weeks (N=90). The adverse events observed were consistent with expected clinical sequelae of decompensated liver disease, or the known toxicity profile of ribavirin for </w:t>
      </w:r>
      <w:r w:rsidR="00A26D7D" w:rsidRPr="00A26D7D">
        <w:t xml:space="preserve">patients </w:t>
      </w:r>
      <w:r w:rsidRPr="008A0A30">
        <w:t xml:space="preserve">receiving </w:t>
      </w:r>
      <w:r w:rsidR="00C3685A">
        <w:t>EPCLUSA</w:t>
      </w:r>
      <w:r w:rsidRPr="008A0A30">
        <w:t xml:space="preserve"> in combination with RBV.</w:t>
      </w:r>
    </w:p>
    <w:p w:rsidR="004B04C4" w:rsidRPr="008A0A30" w:rsidRDefault="00D97A36" w:rsidP="00FC3767">
      <w:pPr>
        <w:rPr>
          <w:b/>
        </w:rPr>
      </w:pPr>
      <w:r w:rsidRPr="008A0A30">
        <w:t xml:space="preserve">Among the 87 </w:t>
      </w:r>
      <w:r w:rsidR="00A26D7D" w:rsidRPr="00A26D7D">
        <w:t xml:space="preserve">patients </w:t>
      </w:r>
      <w:r w:rsidR="00B04D4F" w:rsidRPr="008A0A30">
        <w:t xml:space="preserve">who were treated with </w:t>
      </w:r>
      <w:r w:rsidR="00C3685A">
        <w:t>EPCLUSA</w:t>
      </w:r>
      <w:r w:rsidRPr="008A0A30">
        <w:t>+RBV for 12 weeks, decreases in h</w:t>
      </w:r>
      <w:r w:rsidR="00B533D7">
        <w:t>a</w:t>
      </w:r>
      <w:r w:rsidRPr="008A0A30">
        <w:t xml:space="preserve">emoglobin to less than 10 mg/dL and 8.5 mg/dL during treatment were experienced by 23% and 7% </w:t>
      </w:r>
      <w:r w:rsidR="00A26D7D" w:rsidRPr="00A26D7D">
        <w:t>patients</w:t>
      </w:r>
      <w:r w:rsidRPr="008A0A30">
        <w:t>, respectively. Ribavirin was discontinued i</w:t>
      </w:r>
      <w:r w:rsidR="00B04D4F" w:rsidRPr="008A0A30">
        <w:t xml:space="preserve">n 15% of </w:t>
      </w:r>
      <w:r w:rsidR="00A26D7D" w:rsidRPr="00A26D7D">
        <w:t xml:space="preserve">patients </w:t>
      </w:r>
      <w:r w:rsidR="00B04D4F" w:rsidRPr="008A0A30">
        <w:t xml:space="preserve">treated with </w:t>
      </w:r>
      <w:r w:rsidR="00C3685A">
        <w:t>EPCLUSA</w:t>
      </w:r>
      <w:r w:rsidRPr="008A0A30">
        <w:t>+RBV for 12 weeks due to adverse events.</w:t>
      </w:r>
    </w:p>
    <w:p w:rsidR="00FC3767" w:rsidRDefault="00046447" w:rsidP="00FC3767">
      <w:pPr>
        <w:pStyle w:val="Heading3"/>
      </w:pPr>
      <w:r w:rsidRPr="008A0A30">
        <w:t>Post marketing</w:t>
      </w:r>
      <w:r w:rsidR="00084FA4" w:rsidRPr="008A0A30">
        <w:t xml:space="preserve"> </w:t>
      </w:r>
      <w:r w:rsidRPr="008A0A30">
        <w:t>Surveillance</w:t>
      </w:r>
    </w:p>
    <w:p w:rsidR="00084FA4" w:rsidRPr="008A0A30" w:rsidRDefault="00084FA4" w:rsidP="00FC3767">
      <w:pPr>
        <w:rPr>
          <w:noProof/>
        </w:rPr>
      </w:pPr>
      <w:r w:rsidRPr="008A0A30">
        <w:rPr>
          <w:noProof/>
        </w:rPr>
        <w:t>The following possible adverse reactions were identified during postapproval use of sofosbuvir.</w:t>
      </w:r>
      <w:r w:rsidR="00FC3767">
        <w:rPr>
          <w:noProof/>
        </w:rPr>
        <w:t xml:space="preserve"> </w:t>
      </w:r>
      <w:r w:rsidRPr="008A0A30">
        <w:rPr>
          <w:noProof/>
        </w:rPr>
        <w:t>Because these reactions were reported voluntarily from a population of unknown size, estimates of frequency cannot be made.</w:t>
      </w:r>
    </w:p>
    <w:p w:rsidR="00084FA4" w:rsidRPr="008A0A30" w:rsidRDefault="00084FA4" w:rsidP="00FC3767">
      <w:pPr>
        <w:pStyle w:val="Heading3"/>
      </w:pPr>
      <w:r w:rsidRPr="008A0A30">
        <w:t>Cardiac Disorders</w:t>
      </w:r>
    </w:p>
    <w:p w:rsidR="00483EC1" w:rsidRPr="00483EC1" w:rsidRDefault="00084FA4" w:rsidP="00084FA4">
      <w:pPr>
        <w:rPr>
          <w:noProof/>
        </w:rPr>
      </w:pPr>
      <w:r w:rsidRPr="008A0A30">
        <w:rPr>
          <w:noProof/>
        </w:rPr>
        <w:t xml:space="preserve">Symptomatic bradycardia (when amiodarone is coadministered with sofosbuvir in combination with another HCV direct acting antiviral) (see </w:t>
      </w:r>
      <w:r w:rsidRPr="008A0A30">
        <w:rPr>
          <w:i/>
          <w:noProof/>
        </w:rPr>
        <w:t>Precautions: Symptomatic Bradycardia When Sofosbuvir is Coadministered with Amiodarone and Another HCV Direct Acting Antiviral</w:t>
      </w:r>
      <w:r w:rsidRPr="008A0A30">
        <w:rPr>
          <w:noProof/>
        </w:rPr>
        <w:t>).</w:t>
      </w:r>
    </w:p>
    <w:p w:rsidR="007254DD" w:rsidRPr="008A0A30" w:rsidRDefault="007254DD" w:rsidP="00FC3767">
      <w:pPr>
        <w:pStyle w:val="Heading1"/>
      </w:pPr>
      <w:r w:rsidRPr="008A0A30">
        <w:lastRenderedPageBreak/>
        <w:t>DOSAGE AND ADMINISTRATION</w:t>
      </w:r>
    </w:p>
    <w:p w:rsidR="00C145C4" w:rsidRPr="008A0A30" w:rsidRDefault="00C145C4" w:rsidP="00C145C4">
      <w:pPr>
        <w:pStyle w:val="Text10"/>
        <w:rPr>
          <w:i/>
        </w:rPr>
      </w:pPr>
      <w:r w:rsidRPr="008A0A30">
        <w:t xml:space="preserve">The recommended dose of </w:t>
      </w:r>
      <w:r w:rsidR="00C3685A">
        <w:t>EPCLUSA</w:t>
      </w:r>
      <w:r w:rsidRPr="008A0A30">
        <w:t xml:space="preserve"> is one tablet, taken orally, once daily with or without food</w:t>
      </w:r>
      <w:r w:rsidRPr="008A0A30">
        <w:rPr>
          <w:i/>
        </w:rPr>
        <w:t>.</w:t>
      </w:r>
    </w:p>
    <w:p w:rsidR="00FC3767" w:rsidRDefault="00C145C4" w:rsidP="00C145C4">
      <w:pPr>
        <w:pStyle w:val="Text10"/>
      </w:pPr>
      <w:r w:rsidRPr="008A0A30">
        <w:fldChar w:fldCharType="begin"/>
      </w:r>
      <w:r w:rsidRPr="008A0A30">
        <w:instrText xml:space="preserve"> REF _Ref434241915 \h </w:instrText>
      </w:r>
      <w:r w:rsidR="00D541A1" w:rsidRPr="008A0A30">
        <w:instrText xml:space="preserve"> \* MERGEFORMAT </w:instrText>
      </w:r>
      <w:r w:rsidRPr="008A0A30">
        <w:fldChar w:fldCharType="separate"/>
      </w:r>
      <w:r w:rsidR="00260ACB" w:rsidRPr="008A0A30">
        <w:t>Table </w:t>
      </w:r>
      <w:r w:rsidRPr="008A0A30">
        <w:fldChar w:fldCharType="end"/>
      </w:r>
      <w:r w:rsidR="00B533D7">
        <w:t xml:space="preserve">16 </w:t>
      </w:r>
      <w:r w:rsidRPr="008A0A30">
        <w:t>provides the recommended treatment regimen based on patient population.</w:t>
      </w:r>
    </w:p>
    <w:p w:rsidR="00C145C4" w:rsidRPr="008A0A30" w:rsidRDefault="00D60556" w:rsidP="00D60556">
      <w:pPr>
        <w:pStyle w:val="Caption"/>
      </w:pPr>
      <w:bookmarkStart w:id="21" w:name="_Ref434241915"/>
      <w:bookmarkStart w:id="22" w:name="_Toc426371934"/>
      <w:bookmarkStart w:id="23" w:name="_Toc434324428"/>
      <w:r>
        <w:t xml:space="preserve">Table </w:t>
      </w:r>
      <w:r w:rsidR="00383BF1">
        <w:fldChar w:fldCharType="begin"/>
      </w:r>
      <w:r w:rsidR="00383BF1">
        <w:instrText xml:space="preserve"> SEQ Table \* ARABIC </w:instrText>
      </w:r>
      <w:r w:rsidR="00383BF1">
        <w:fldChar w:fldCharType="separate"/>
      </w:r>
      <w:r>
        <w:rPr>
          <w:noProof/>
        </w:rPr>
        <w:t>16</w:t>
      </w:r>
      <w:r w:rsidR="00383BF1">
        <w:rPr>
          <w:noProof/>
        </w:rPr>
        <w:fldChar w:fldCharType="end"/>
      </w:r>
      <w:bookmarkEnd w:id="21"/>
      <w:r>
        <w:t xml:space="preserve">. </w:t>
      </w:r>
      <w:r w:rsidR="00C145C4" w:rsidRPr="008A0A30">
        <w:t xml:space="preserve">Recommended Treatment Regimen </w:t>
      </w:r>
      <w:bookmarkEnd w:id="22"/>
      <w:r w:rsidR="00C145C4" w:rsidRPr="008A0A30">
        <w:t>Regardless of HCV Genotype</w:t>
      </w:r>
      <w:bookmarkEnd w:id="23"/>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Description w:val="Table 16. Recommended Treatment Regimen Regardless of HCV Genotype"/>
      </w:tblPr>
      <w:tblGrid>
        <w:gridCol w:w="5305"/>
        <w:gridCol w:w="3982"/>
      </w:tblGrid>
      <w:tr w:rsidR="00C145C4" w:rsidRPr="008A0A30" w:rsidTr="00D60556">
        <w:trPr>
          <w:trHeight w:val="20"/>
          <w:tblHeader/>
        </w:trPr>
        <w:tc>
          <w:tcPr>
            <w:tcW w:w="2856" w:type="pct"/>
            <w:tcBorders>
              <w:top w:val="single" w:sz="12" w:space="0" w:color="auto"/>
              <w:bottom w:val="single" w:sz="12" w:space="0" w:color="auto"/>
            </w:tcBorders>
            <w:vAlign w:val="center"/>
          </w:tcPr>
          <w:p w:rsidR="00C145C4" w:rsidRPr="008A0A30" w:rsidRDefault="00C145C4" w:rsidP="00F35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rPr>
                <w:b/>
              </w:rPr>
            </w:pPr>
            <w:r w:rsidRPr="008A0A30">
              <w:rPr>
                <w:b/>
              </w:rPr>
              <w:t>Patient Population</w:t>
            </w:r>
          </w:p>
        </w:tc>
        <w:tc>
          <w:tcPr>
            <w:tcW w:w="2144" w:type="pct"/>
            <w:tcBorders>
              <w:top w:val="single" w:sz="12" w:space="0" w:color="auto"/>
              <w:bottom w:val="single" w:sz="12" w:space="0" w:color="auto"/>
            </w:tcBorders>
            <w:vAlign w:val="center"/>
          </w:tcPr>
          <w:p w:rsidR="00C145C4" w:rsidRPr="008A0A30" w:rsidRDefault="00C145C4" w:rsidP="00BC1F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40" w:after="40"/>
              <w:jc w:val="center"/>
              <w:rPr>
                <w:b/>
              </w:rPr>
            </w:pPr>
            <w:r w:rsidRPr="008A0A30">
              <w:rPr>
                <w:b/>
              </w:rPr>
              <w:t>Recommended Treatment Regimen</w:t>
            </w:r>
          </w:p>
        </w:tc>
      </w:tr>
      <w:tr w:rsidR="00C145C4" w:rsidRPr="008A0A30" w:rsidTr="0038332D">
        <w:trPr>
          <w:trHeight w:val="20"/>
        </w:trPr>
        <w:tc>
          <w:tcPr>
            <w:tcW w:w="2856" w:type="pct"/>
            <w:tcBorders>
              <w:top w:val="single" w:sz="12" w:space="0" w:color="auto"/>
            </w:tcBorders>
            <w:vAlign w:val="center"/>
          </w:tcPr>
          <w:p w:rsidR="00C145C4" w:rsidRPr="008A0A30" w:rsidRDefault="00C145C4" w:rsidP="00BC1F20">
            <w:pPr>
              <w:pStyle w:val="TableCellLeft"/>
              <w:spacing w:before="40" w:after="40"/>
              <w:rPr>
                <w:sz w:val="24"/>
              </w:rPr>
            </w:pPr>
            <w:r w:rsidRPr="008A0A30">
              <w:rPr>
                <w:sz w:val="24"/>
              </w:rPr>
              <w:t>Patients without cirrhosis and patients with compensated cirrhosis</w:t>
            </w:r>
          </w:p>
        </w:tc>
        <w:tc>
          <w:tcPr>
            <w:tcW w:w="2144" w:type="pct"/>
            <w:tcBorders>
              <w:top w:val="single" w:sz="12" w:space="0" w:color="auto"/>
            </w:tcBorders>
            <w:vAlign w:val="center"/>
          </w:tcPr>
          <w:p w:rsidR="00C145C4" w:rsidRPr="00F4504F" w:rsidRDefault="00C3685A" w:rsidP="00E35071">
            <w:pPr>
              <w:pStyle w:val="TableCellCenter"/>
              <w:spacing w:before="40" w:after="40"/>
              <w:rPr>
                <w:sz w:val="24"/>
                <w:vertAlign w:val="superscript"/>
              </w:rPr>
            </w:pPr>
            <w:r>
              <w:rPr>
                <w:sz w:val="24"/>
              </w:rPr>
              <w:t>EPCLUSA</w:t>
            </w:r>
            <w:r w:rsidR="00C145C4" w:rsidRPr="008A0A30">
              <w:rPr>
                <w:sz w:val="24"/>
              </w:rPr>
              <w:t xml:space="preserve"> for 12 weeks</w:t>
            </w:r>
            <w:r w:rsidR="00FA71E7">
              <w:rPr>
                <w:sz w:val="24"/>
                <w:vertAlign w:val="superscript"/>
              </w:rPr>
              <w:t>a</w:t>
            </w:r>
          </w:p>
          <w:p w:rsidR="00163E2E" w:rsidRPr="008A0A30" w:rsidRDefault="00163E2E" w:rsidP="00163E2E">
            <w:pPr>
              <w:pStyle w:val="TableCellCenter"/>
              <w:spacing w:before="40" w:after="40"/>
              <w:rPr>
                <w:sz w:val="24"/>
              </w:rPr>
            </w:pPr>
          </w:p>
        </w:tc>
      </w:tr>
      <w:tr w:rsidR="00C145C4" w:rsidRPr="008A0A30" w:rsidTr="0038332D">
        <w:trPr>
          <w:trHeight w:val="20"/>
        </w:trPr>
        <w:tc>
          <w:tcPr>
            <w:tcW w:w="2856" w:type="pct"/>
            <w:tcBorders>
              <w:bottom w:val="single" w:sz="12" w:space="0" w:color="auto"/>
            </w:tcBorders>
            <w:vAlign w:val="center"/>
          </w:tcPr>
          <w:p w:rsidR="00C145C4" w:rsidRPr="008A0A30" w:rsidRDefault="00C145C4" w:rsidP="00BC1F20">
            <w:pPr>
              <w:pStyle w:val="TableCellLeft"/>
              <w:spacing w:before="40" w:after="40"/>
              <w:rPr>
                <w:sz w:val="24"/>
              </w:rPr>
            </w:pPr>
            <w:r w:rsidRPr="008A0A30">
              <w:rPr>
                <w:sz w:val="24"/>
              </w:rPr>
              <w:t xml:space="preserve">Patients with decompensated cirrhosis </w:t>
            </w:r>
          </w:p>
        </w:tc>
        <w:tc>
          <w:tcPr>
            <w:tcW w:w="2144" w:type="pct"/>
            <w:tcBorders>
              <w:bottom w:val="single" w:sz="12" w:space="0" w:color="auto"/>
            </w:tcBorders>
            <w:vAlign w:val="center"/>
          </w:tcPr>
          <w:p w:rsidR="00C145C4" w:rsidRPr="008A0A30" w:rsidRDefault="00C3685A" w:rsidP="00E35071">
            <w:pPr>
              <w:pStyle w:val="TableCellCenter"/>
              <w:spacing w:before="40" w:after="40"/>
              <w:rPr>
                <w:sz w:val="24"/>
              </w:rPr>
            </w:pPr>
            <w:r>
              <w:rPr>
                <w:sz w:val="24"/>
              </w:rPr>
              <w:t>EPCLUSA</w:t>
            </w:r>
            <w:r w:rsidR="00C145C4" w:rsidRPr="008A0A30">
              <w:rPr>
                <w:sz w:val="24"/>
              </w:rPr>
              <w:t xml:space="preserve"> + ribavirin</w:t>
            </w:r>
            <w:r w:rsidR="00FA71E7">
              <w:rPr>
                <w:sz w:val="24"/>
                <w:vertAlign w:val="superscript"/>
              </w:rPr>
              <w:t>b</w:t>
            </w:r>
            <w:r w:rsidR="00C145C4" w:rsidRPr="008A0A30">
              <w:rPr>
                <w:sz w:val="24"/>
              </w:rPr>
              <w:t xml:space="preserve"> for 12 weeks</w:t>
            </w:r>
          </w:p>
        </w:tc>
      </w:tr>
    </w:tbl>
    <w:p w:rsidR="00FA71E7" w:rsidRDefault="00FA71E7" w:rsidP="00F4504F">
      <w:pPr>
        <w:pStyle w:val="TableFooter"/>
        <w:numPr>
          <w:ilvl w:val="0"/>
          <w:numId w:val="26"/>
        </w:numPr>
        <w:spacing w:before="0" w:after="0"/>
      </w:pPr>
      <w:r>
        <w:t>Addition of ribavirin may be considered for genotype 3 infected patients with compensated cirrhosis.</w:t>
      </w:r>
    </w:p>
    <w:p w:rsidR="000F6574" w:rsidRDefault="00C145C4" w:rsidP="00F4504F">
      <w:pPr>
        <w:pStyle w:val="TableFooter"/>
        <w:numPr>
          <w:ilvl w:val="0"/>
          <w:numId w:val="26"/>
        </w:numPr>
        <w:spacing w:before="0" w:after="0"/>
      </w:pPr>
      <w:r w:rsidRPr="008A0A30">
        <w:t xml:space="preserve">When administered with </w:t>
      </w:r>
      <w:r w:rsidR="00C3685A">
        <w:t>EPCLUSA</w:t>
      </w:r>
      <w:r w:rsidRPr="008A0A30">
        <w:t>, the recommended dose of ribavirin is based on weight: 1000 mg per day for patients less than 75 kg and 1200 mg for those weighing at least 75 kg, divided and administered twice daily with food.</w:t>
      </w:r>
      <w:r w:rsidR="00FC3767">
        <w:t xml:space="preserve"> </w:t>
      </w:r>
      <w:r w:rsidRPr="008A0A30">
        <w:t xml:space="preserve">For ribavirin dose modifications, refer to the ribavirin </w:t>
      </w:r>
      <w:r w:rsidR="00046447" w:rsidRPr="008A0A30">
        <w:t>product</w:t>
      </w:r>
      <w:r w:rsidRPr="008A0A30">
        <w:t xml:space="preserve"> information.</w:t>
      </w:r>
      <w:bookmarkStart w:id="24" w:name="_Toc434324379"/>
    </w:p>
    <w:p w:rsidR="00C145C4" w:rsidRPr="008A0A30" w:rsidRDefault="00C145C4" w:rsidP="0038332D">
      <w:pPr>
        <w:pStyle w:val="Heading2"/>
      </w:pPr>
      <w:r w:rsidRPr="008A0A30">
        <w:t>Children and Adolescents up to 18 Years of Age</w:t>
      </w:r>
      <w:bookmarkEnd w:id="24"/>
    </w:p>
    <w:p w:rsidR="00C145C4" w:rsidRPr="008A0A30" w:rsidRDefault="00C145C4" w:rsidP="00C145C4">
      <w:pPr>
        <w:pStyle w:val="Text10"/>
        <w:rPr>
          <w:sz w:val="32"/>
        </w:rPr>
      </w:pPr>
      <w:r w:rsidRPr="008A0A30">
        <w:t>No data are available on which to make a dose recommendation for children &lt; 18 years of age.</w:t>
      </w:r>
    </w:p>
    <w:p w:rsidR="00C145C4" w:rsidRPr="008A0A30" w:rsidRDefault="00C145C4" w:rsidP="00C145C4">
      <w:pPr>
        <w:pStyle w:val="Heading2"/>
      </w:pPr>
      <w:bookmarkStart w:id="25" w:name="_Toc434324380"/>
      <w:r w:rsidRPr="008A0A30">
        <w:t>Elderly</w:t>
      </w:r>
      <w:bookmarkEnd w:id="25"/>
    </w:p>
    <w:p w:rsidR="00C145C4" w:rsidRPr="008A0A30" w:rsidRDefault="00C145C4" w:rsidP="00C145C4">
      <w:pPr>
        <w:pStyle w:val="Text10"/>
        <w:rPr>
          <w:sz w:val="32"/>
        </w:rPr>
      </w:pPr>
      <w:r w:rsidRPr="008A0A30">
        <w:t>No dose adjustment is warranted for elderly patients.</w:t>
      </w:r>
    </w:p>
    <w:p w:rsidR="00C145C4" w:rsidRPr="008A0A30" w:rsidRDefault="00C145C4" w:rsidP="00C145C4">
      <w:pPr>
        <w:pStyle w:val="Heading2"/>
      </w:pPr>
      <w:bookmarkStart w:id="26" w:name="_Toc434324381"/>
      <w:r w:rsidRPr="008A0A30">
        <w:t>Renal Impairment</w:t>
      </w:r>
      <w:bookmarkEnd w:id="26"/>
    </w:p>
    <w:p w:rsidR="00FC3767" w:rsidRDefault="00C145C4" w:rsidP="00C145C4">
      <w:pPr>
        <w:pStyle w:val="Text10"/>
      </w:pPr>
      <w:r w:rsidRPr="008A0A30">
        <w:t xml:space="preserve">No dose adjustment of </w:t>
      </w:r>
      <w:r w:rsidR="00C3685A">
        <w:t>EPCLUSA</w:t>
      </w:r>
      <w:r w:rsidRPr="008A0A30">
        <w:t xml:space="preserve"> is required for patients with mild or moderate renal impairment. The safety and efficacy of </w:t>
      </w:r>
      <w:r w:rsidR="00C3685A">
        <w:t>EPCLUSA</w:t>
      </w:r>
      <w:r w:rsidRPr="008A0A30">
        <w:t xml:space="preserve"> have not been established in patients with severe renal impairment (eGFR &lt; 30 mL/min</w:t>
      </w:r>
      <w:r w:rsidR="001B15F8" w:rsidRPr="008A0A30">
        <w:t>/1.73 m</w:t>
      </w:r>
      <w:r w:rsidR="001B15F8" w:rsidRPr="008A0A30">
        <w:rPr>
          <w:vertAlign w:val="superscript"/>
        </w:rPr>
        <w:t>2</w:t>
      </w:r>
      <w:r w:rsidRPr="008A0A30">
        <w:t>) or end stage renal disease (ESRD) requiring h</w:t>
      </w:r>
      <w:r w:rsidR="00B533D7">
        <w:t>a</w:t>
      </w:r>
      <w:r w:rsidRPr="008A0A30">
        <w:t>emodialysis</w:t>
      </w:r>
      <w:r w:rsidR="00051CCB" w:rsidRPr="008A0A30">
        <w:t xml:space="preserve"> </w:t>
      </w:r>
      <w:r w:rsidRPr="008A0A30">
        <w:t xml:space="preserve">(see </w:t>
      </w:r>
      <w:r w:rsidRPr="008A0A30">
        <w:rPr>
          <w:i/>
        </w:rPr>
        <w:t>Pharmacokinetics: Special Populations</w:t>
      </w:r>
      <w:r w:rsidRPr="008A0A30">
        <w:t>)</w:t>
      </w:r>
      <w:r w:rsidRPr="008A0A30">
        <w:rPr>
          <w:i/>
        </w:rPr>
        <w:t>.</w:t>
      </w:r>
    </w:p>
    <w:p w:rsidR="00C145C4" w:rsidRPr="008A0A30" w:rsidRDefault="00C145C4" w:rsidP="00C145C4">
      <w:pPr>
        <w:pStyle w:val="Heading2"/>
      </w:pPr>
      <w:bookmarkStart w:id="27" w:name="_Toc434324382"/>
      <w:r w:rsidRPr="008A0A30">
        <w:t>Hepatic Impairment</w:t>
      </w:r>
      <w:bookmarkEnd w:id="27"/>
    </w:p>
    <w:p w:rsidR="00C145C4" w:rsidRPr="008A0A30" w:rsidRDefault="00C145C4" w:rsidP="00C145C4">
      <w:pPr>
        <w:pStyle w:val="Text10"/>
        <w:rPr>
          <w:sz w:val="40"/>
        </w:rPr>
      </w:pPr>
      <w:r w:rsidRPr="008A0A30">
        <w:t xml:space="preserve">No dose adjustment of </w:t>
      </w:r>
      <w:r w:rsidR="00C3685A">
        <w:t>EPCLUSA</w:t>
      </w:r>
      <w:r w:rsidRPr="008A0A30">
        <w:t xml:space="preserve"> is required for patients with mild, moderate, or severe hepatic impairment (Child-Pugh Class A, B</w:t>
      </w:r>
      <w:r w:rsidR="00E92103">
        <w:t>,</w:t>
      </w:r>
      <w:r w:rsidRPr="008A0A30">
        <w:t xml:space="preserve"> or C)</w:t>
      </w:r>
      <w:r w:rsidRPr="008A0A30">
        <w:rPr>
          <w:b/>
        </w:rPr>
        <w:t xml:space="preserve"> </w:t>
      </w:r>
      <w:r w:rsidRPr="008A0A30">
        <w:t xml:space="preserve">(see </w:t>
      </w:r>
      <w:r w:rsidRPr="008A0A30">
        <w:rPr>
          <w:i/>
        </w:rPr>
        <w:t>Pharmacokinetics: Special Populations</w:t>
      </w:r>
      <w:r w:rsidRPr="008A0A30">
        <w:t xml:space="preserve">). Safety and efficacy of </w:t>
      </w:r>
      <w:r w:rsidR="00C3685A">
        <w:t>EPCLUSA</w:t>
      </w:r>
      <w:r w:rsidRPr="008A0A30">
        <w:t xml:space="preserve"> have been established in patients with </w:t>
      </w:r>
      <w:r w:rsidR="00BC73DB" w:rsidRPr="008A0A30">
        <w:t>decompensated</w:t>
      </w:r>
      <w:r w:rsidRPr="008A0A30">
        <w:t xml:space="preserve"> cirrhosis</w:t>
      </w:r>
      <w:r w:rsidRPr="008A0A30">
        <w:rPr>
          <w:b/>
        </w:rPr>
        <w:t xml:space="preserve"> </w:t>
      </w:r>
      <w:r w:rsidRPr="008A0A30">
        <w:t>(see</w:t>
      </w:r>
      <w:r w:rsidRPr="008A0A30">
        <w:rPr>
          <w:b/>
        </w:rPr>
        <w:t xml:space="preserve"> </w:t>
      </w:r>
      <w:r w:rsidRPr="00EC6943">
        <w:rPr>
          <w:i/>
        </w:rPr>
        <w:t>Adverse Effects and Clinical Trials</w:t>
      </w:r>
      <w:r w:rsidRPr="008A0A30">
        <w:t>).</w:t>
      </w:r>
    </w:p>
    <w:p w:rsidR="007254DD" w:rsidRPr="008A0A30" w:rsidRDefault="007254DD" w:rsidP="00FC3767">
      <w:pPr>
        <w:pStyle w:val="Heading1"/>
      </w:pPr>
      <w:r w:rsidRPr="008A0A30">
        <w:t>OVERDOSAGE</w:t>
      </w:r>
    </w:p>
    <w:p w:rsidR="00FC3767" w:rsidRDefault="00084FA4" w:rsidP="000F6574">
      <w:r w:rsidRPr="008A0A30">
        <w:t>The highest documented doses of sofosbuvir and velpatasvir were a single dose of 1200 mg and a single dose of 500 mg, respectively. In these healthy volunteer studies, there were no untoward effects observed at these dose levels, and adverse events were similar in frequency and severity to those reported in the placebo groups.</w:t>
      </w:r>
      <w:r w:rsidR="00FC3767">
        <w:t xml:space="preserve"> </w:t>
      </w:r>
      <w:r w:rsidRPr="008A0A30">
        <w:t>The effects of higher doses/exposures are not known.</w:t>
      </w:r>
    </w:p>
    <w:p w:rsidR="009242BC" w:rsidRDefault="00084FA4" w:rsidP="009242BC">
      <w:r w:rsidRPr="008A0A30">
        <w:t xml:space="preserve">No specific antidote is available for overdose with </w:t>
      </w:r>
      <w:r w:rsidR="00C3685A">
        <w:t>EPCLUSA</w:t>
      </w:r>
      <w:r w:rsidRPr="008A0A30">
        <w:t>. If overdose occurs the patient must be monitored for evidence of toxici</w:t>
      </w:r>
      <w:r w:rsidR="009453C5">
        <w:t xml:space="preserve">ty. Treatment of overdose with </w:t>
      </w:r>
      <w:r w:rsidR="00C3685A">
        <w:t>EPCLUSA</w:t>
      </w:r>
      <w:r w:rsidRPr="008A0A30">
        <w:t xml:space="preserve"> consists of general supportive measures including monitoring of vital signs as well as observation of the clinical status of the patient. H</w:t>
      </w:r>
      <w:r w:rsidR="00B533D7">
        <w:t>a</w:t>
      </w:r>
      <w:r w:rsidRPr="008A0A30">
        <w:t xml:space="preserve">emodialysis can efficiently remove the predominant </w:t>
      </w:r>
      <w:r w:rsidRPr="008A0A30">
        <w:lastRenderedPageBreak/>
        <w:t>circulating metabolite of sofosbuvir, GS-331007, with an extraction ratio of 53%. H</w:t>
      </w:r>
      <w:r w:rsidR="00B533D7">
        <w:t>a</w:t>
      </w:r>
      <w:r w:rsidRPr="008A0A30">
        <w:t>emodialysis is unlikely to result in significant removal of velpatasvir since velpatasvir is highly bound to plasma protein.</w:t>
      </w:r>
    </w:p>
    <w:p w:rsidR="00EB7871" w:rsidRPr="009242BC" w:rsidRDefault="00EB7871" w:rsidP="009242BC">
      <w:pPr>
        <w:rPr>
          <w:b/>
        </w:rPr>
      </w:pPr>
      <w:r w:rsidRPr="001E505F">
        <w:rPr>
          <w:lang w:val="en-AU"/>
        </w:rPr>
        <w:t>For information on the management of overdose, contact the Poison Information Centre on 131126 (Australia) and 0800 764 766 (New Zealand).</w:t>
      </w:r>
    </w:p>
    <w:p w:rsidR="007254DD" w:rsidRPr="008A0A30" w:rsidRDefault="007254DD" w:rsidP="00FC3767">
      <w:pPr>
        <w:pStyle w:val="Heading1"/>
      </w:pPr>
      <w:r w:rsidRPr="008A0A30">
        <w:t>PRESENTATION AND STORAGE CONDITIONS</w:t>
      </w:r>
    </w:p>
    <w:p w:rsidR="00FC3767" w:rsidRDefault="00C3685A" w:rsidP="00017E9F">
      <w:pPr>
        <w:rPr>
          <w:noProof/>
        </w:rPr>
      </w:pPr>
      <w:r>
        <w:rPr>
          <w:noProof/>
        </w:rPr>
        <w:t>EPCLUSA</w:t>
      </w:r>
      <w:r w:rsidR="00E07F0F" w:rsidRPr="008A0A30">
        <w:rPr>
          <w:noProof/>
        </w:rPr>
        <w:t xml:space="preserve"> </w:t>
      </w:r>
      <w:r w:rsidR="007254DD" w:rsidRPr="008A0A30">
        <w:rPr>
          <w:noProof/>
        </w:rPr>
        <w:t xml:space="preserve">is available as </w:t>
      </w:r>
      <w:r w:rsidR="00475FBB" w:rsidRPr="008A0A30">
        <w:rPr>
          <w:noProof/>
        </w:rPr>
        <w:t>a fixed-dose combination</w:t>
      </w:r>
      <w:r w:rsidR="00133149" w:rsidRPr="008A0A30">
        <w:rPr>
          <w:noProof/>
        </w:rPr>
        <w:t xml:space="preserve"> </w:t>
      </w:r>
      <w:r w:rsidR="00475FBB" w:rsidRPr="008A0A30">
        <w:rPr>
          <w:noProof/>
        </w:rPr>
        <w:t>tablet.</w:t>
      </w:r>
      <w:r w:rsidR="00FC3767">
        <w:rPr>
          <w:noProof/>
        </w:rPr>
        <w:t xml:space="preserve"> </w:t>
      </w:r>
      <w:r w:rsidR="00475FBB" w:rsidRPr="008A0A30">
        <w:rPr>
          <w:noProof/>
        </w:rPr>
        <w:t>Each tablet contains</w:t>
      </w:r>
      <w:r w:rsidR="00133149" w:rsidRPr="008A0A30">
        <w:rPr>
          <w:noProof/>
        </w:rPr>
        <w:t xml:space="preserve"> </w:t>
      </w:r>
      <w:r w:rsidR="00084FA4" w:rsidRPr="008A0A30">
        <w:rPr>
          <w:noProof/>
        </w:rPr>
        <w:t>10</w:t>
      </w:r>
      <w:r w:rsidR="00475FBB" w:rsidRPr="008A0A30">
        <w:rPr>
          <w:noProof/>
        </w:rPr>
        <w:t xml:space="preserve">0 mg </w:t>
      </w:r>
      <w:r w:rsidR="00084FA4" w:rsidRPr="008A0A30">
        <w:rPr>
          <w:noProof/>
        </w:rPr>
        <w:t>velapatasvir</w:t>
      </w:r>
      <w:r w:rsidR="00475FBB" w:rsidRPr="008A0A30">
        <w:rPr>
          <w:noProof/>
        </w:rPr>
        <w:t xml:space="preserve"> and</w:t>
      </w:r>
      <w:r w:rsidR="00FC3767">
        <w:rPr>
          <w:noProof/>
        </w:rPr>
        <w:t xml:space="preserve"> </w:t>
      </w:r>
      <w:r w:rsidR="00133149" w:rsidRPr="008A0A30">
        <w:rPr>
          <w:noProof/>
        </w:rPr>
        <w:t>400</w:t>
      </w:r>
      <w:r w:rsidR="00815B4D" w:rsidRPr="008A0A30">
        <w:rPr>
          <w:noProof/>
        </w:rPr>
        <w:t xml:space="preserve"> mg </w:t>
      </w:r>
      <w:r w:rsidR="00133149" w:rsidRPr="008A0A30">
        <w:rPr>
          <w:noProof/>
        </w:rPr>
        <w:t>sofosbuvir</w:t>
      </w:r>
      <w:r w:rsidR="00D334B1" w:rsidRPr="008A0A30">
        <w:rPr>
          <w:noProof/>
        </w:rPr>
        <w:t>.</w:t>
      </w:r>
      <w:r w:rsidR="00FC3767">
        <w:rPr>
          <w:noProof/>
        </w:rPr>
        <w:t xml:space="preserve"> </w:t>
      </w:r>
      <w:r>
        <w:rPr>
          <w:noProof/>
        </w:rPr>
        <w:t>EPCLUSA</w:t>
      </w:r>
      <w:r w:rsidR="00D334B1" w:rsidRPr="008A0A30">
        <w:rPr>
          <w:noProof/>
        </w:rPr>
        <w:t xml:space="preserve"> tablets are pink, diamond-shaped, film coated tablets</w:t>
      </w:r>
      <w:r w:rsidR="00084FA4" w:rsidRPr="008A0A30">
        <w:rPr>
          <w:noProof/>
        </w:rPr>
        <w:t>, debossed with “GSI” on one side and “7916” on the other side.</w:t>
      </w:r>
    </w:p>
    <w:p w:rsidR="007254DD" w:rsidRPr="008A0A30" w:rsidRDefault="00C3685A" w:rsidP="00017E9F">
      <w:r>
        <w:rPr>
          <w:noProof/>
        </w:rPr>
        <w:t>EPCLUSA</w:t>
      </w:r>
      <w:r w:rsidR="002D2A0C" w:rsidRPr="008A0A30">
        <w:rPr>
          <w:noProof/>
        </w:rPr>
        <w:t xml:space="preserve"> </w:t>
      </w:r>
      <w:r w:rsidR="007254DD" w:rsidRPr="008A0A30">
        <w:t xml:space="preserve">is supplied in high density polyethylene (HDPE) bottles containing </w:t>
      </w:r>
      <w:r w:rsidR="00133149" w:rsidRPr="008A0A30">
        <w:t>28</w:t>
      </w:r>
      <w:r w:rsidR="007254DD" w:rsidRPr="008A0A30">
        <w:t xml:space="preserve"> </w:t>
      </w:r>
      <w:r w:rsidR="0094496F" w:rsidRPr="008A0A30">
        <w:t>tablets and</w:t>
      </w:r>
      <w:r w:rsidR="007254DD" w:rsidRPr="008A0A30">
        <w:t xml:space="preserve"> is closed with a </w:t>
      </w:r>
      <w:r w:rsidR="00877E57" w:rsidRPr="008A0A30">
        <w:t>child resistant</w:t>
      </w:r>
      <w:r w:rsidR="007254DD" w:rsidRPr="008A0A30">
        <w:t xml:space="preserve"> closure.</w:t>
      </w:r>
    </w:p>
    <w:p w:rsidR="007254DD" w:rsidRPr="008A0A30" w:rsidRDefault="00C3685A" w:rsidP="00017E9F">
      <w:r>
        <w:rPr>
          <w:noProof/>
        </w:rPr>
        <w:t>EPCLUSA</w:t>
      </w:r>
      <w:r w:rsidR="00E07F0F" w:rsidRPr="008A0A30">
        <w:t xml:space="preserve"> </w:t>
      </w:r>
      <w:r w:rsidR="007254DD" w:rsidRPr="008A0A30">
        <w:t xml:space="preserve">should be stored </w:t>
      </w:r>
      <w:r w:rsidR="00F26D0A" w:rsidRPr="008A0A30">
        <w:t xml:space="preserve">below </w:t>
      </w:r>
      <w:r w:rsidR="00CA6A9D" w:rsidRPr="008A0A30">
        <w:t>30</w:t>
      </w:r>
      <w:r w:rsidR="00F26D0A" w:rsidRPr="008A0A30">
        <w:t xml:space="preserve"> °C.</w:t>
      </w:r>
    </w:p>
    <w:p w:rsidR="007254DD" w:rsidRPr="008A0A30" w:rsidRDefault="007254DD" w:rsidP="00FC3767">
      <w:pPr>
        <w:pStyle w:val="Heading1"/>
      </w:pPr>
      <w:r w:rsidRPr="008A0A30">
        <w:t>NAME AND ADDRESS OF THE SPONSOR</w:t>
      </w:r>
    </w:p>
    <w:p w:rsidR="007254DD" w:rsidRPr="008A0A30" w:rsidRDefault="007254DD" w:rsidP="00E5208A">
      <w:pPr>
        <w:spacing w:before="0" w:after="0"/>
      </w:pPr>
      <w:r w:rsidRPr="008A0A30">
        <w:t>Gilead Sciences Pty Ltd</w:t>
      </w:r>
    </w:p>
    <w:p w:rsidR="007254DD" w:rsidRPr="008A0A30" w:rsidRDefault="00A302C8" w:rsidP="00E5208A">
      <w:pPr>
        <w:spacing w:before="0" w:after="0"/>
      </w:pPr>
      <w:r w:rsidRPr="008A0A30">
        <w:t>Level 6</w:t>
      </w:r>
      <w:r w:rsidR="007254DD" w:rsidRPr="008A0A30">
        <w:t xml:space="preserve">, </w:t>
      </w:r>
      <w:r w:rsidRPr="008A0A30">
        <w:t>417 St Kilda Road</w:t>
      </w:r>
    </w:p>
    <w:p w:rsidR="003D648C" w:rsidRPr="008A0A30" w:rsidRDefault="007254DD" w:rsidP="00E5208A">
      <w:pPr>
        <w:spacing w:before="0" w:after="0"/>
      </w:pPr>
      <w:r w:rsidRPr="008A0A30">
        <w:t>Melbourne, Victoria</w:t>
      </w:r>
      <w:r w:rsidR="00A302C8" w:rsidRPr="008A0A30">
        <w:t xml:space="preserve"> 3004</w:t>
      </w:r>
    </w:p>
    <w:p w:rsidR="007254DD" w:rsidRPr="008A0A30" w:rsidRDefault="007254DD" w:rsidP="00FC3767">
      <w:pPr>
        <w:pStyle w:val="Heading1"/>
      </w:pPr>
      <w:r w:rsidRPr="008A0A30">
        <w:t xml:space="preserve">POISON SCHEDULE OF THE </w:t>
      </w:r>
      <w:r w:rsidR="00D334B1" w:rsidRPr="008A0A30">
        <w:t>MEDICINE</w:t>
      </w:r>
    </w:p>
    <w:p w:rsidR="009F536A" w:rsidRPr="008A0A30" w:rsidRDefault="007254DD" w:rsidP="00017E9F">
      <w:pPr>
        <w:rPr>
          <w:noProof/>
        </w:rPr>
      </w:pPr>
      <w:r w:rsidRPr="008A0A30">
        <w:rPr>
          <w:noProof/>
        </w:rPr>
        <w:t>S4</w:t>
      </w:r>
    </w:p>
    <w:p w:rsidR="00FC3767" w:rsidRDefault="007254DD" w:rsidP="00FC3767">
      <w:pPr>
        <w:pStyle w:val="Heading1"/>
        <w:rPr>
          <w:rFonts w:ascii="Times New Roman Bold" w:hAnsi="Times New Roman Bold"/>
          <w:caps/>
        </w:rPr>
      </w:pPr>
      <w:r w:rsidRPr="008A0A30">
        <w:t xml:space="preserve">DATE OF </w:t>
      </w:r>
      <w:r w:rsidR="00C15D9D" w:rsidRPr="008A0A30">
        <w:t xml:space="preserve">INCLUSION </w:t>
      </w:r>
      <w:r w:rsidR="00D334B1" w:rsidRPr="008A0A30">
        <w:rPr>
          <w:rFonts w:ascii="Times New Roman Bold" w:hAnsi="Times New Roman Bold"/>
          <w:caps/>
        </w:rPr>
        <w:t>in the Australian Register of Therapeutic Goods (</w:t>
      </w:r>
      <w:r w:rsidR="00C15D9D" w:rsidRPr="008A0A30">
        <w:rPr>
          <w:rFonts w:ascii="Times New Roman Bold" w:hAnsi="Times New Roman Bold"/>
          <w:caps/>
        </w:rPr>
        <w:t>ARTG</w:t>
      </w:r>
      <w:r w:rsidR="00D334B1" w:rsidRPr="008A0A30">
        <w:rPr>
          <w:rFonts w:ascii="Times New Roman Bold" w:hAnsi="Times New Roman Bold"/>
          <w:caps/>
        </w:rPr>
        <w:t>)</w:t>
      </w:r>
    </w:p>
    <w:p w:rsidR="007254DD" w:rsidRPr="008A0A30" w:rsidRDefault="008F55D0" w:rsidP="00017E9F">
      <w:pPr>
        <w:rPr>
          <w:noProof/>
        </w:rPr>
      </w:pPr>
      <w:r>
        <w:rPr>
          <w:noProof/>
        </w:rPr>
        <w:t>19 December 2016</w:t>
      </w:r>
    </w:p>
    <w:p w:rsidR="003716DB" w:rsidRPr="008A0A30" w:rsidRDefault="00C3685A" w:rsidP="008F3E2C">
      <w:r>
        <w:t>EPCLUSA</w:t>
      </w:r>
      <w:r w:rsidR="008F3E2C" w:rsidRPr="008A0A30">
        <w:t xml:space="preserve">, EVIPLERA, </w:t>
      </w:r>
      <w:r w:rsidR="008F3E2C" w:rsidRPr="008A0A30">
        <w:rPr>
          <w:caps/>
        </w:rPr>
        <w:t>Genvoya, Harvoni, Stribild, Truvada and Viread</w:t>
      </w:r>
      <w:r w:rsidR="008F3E2C" w:rsidRPr="008A0A30">
        <w:t xml:space="preserve"> are trademarks of Gilead Sciences, Inc., or its related companies. Atripla is a trademark of Bristol-Myers Squibb &amp; Gilead Sciences, LLC. All other trademarks referenced herein are the proper</w:t>
      </w:r>
      <w:r w:rsidR="004040E5">
        <w:t>ty of their respective owners.</w:t>
      </w:r>
    </w:p>
    <w:sectPr w:rsidR="003716DB" w:rsidRPr="008A0A30" w:rsidSect="00800F22">
      <w:headerReference w:type="default" r:id="rId11"/>
      <w:footerReference w:type="default" r:id="rId12"/>
      <w:type w:val="continuous"/>
      <w:pgSz w:w="11907" w:h="16839" w:code="9"/>
      <w:pgMar w:top="1202" w:right="1418" w:bottom="960" w:left="1418" w:header="426" w:footer="318" w:gutter="0"/>
      <w:paperSrc w:first="1" w:other="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72" w:rsidRDefault="005F4372" w:rsidP="00017E9F">
      <w:r>
        <w:separator/>
      </w:r>
    </w:p>
    <w:p w:rsidR="005F4372" w:rsidRDefault="005F4372"/>
  </w:endnote>
  <w:endnote w:type="continuationSeparator" w:id="0">
    <w:p w:rsidR="005F4372" w:rsidRDefault="005F4372" w:rsidP="00017E9F">
      <w:r>
        <w:continuationSeparator/>
      </w:r>
    </w:p>
    <w:p w:rsidR="005F4372" w:rsidRDefault="005F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72" w:rsidRPr="00BB341F" w:rsidRDefault="005F4372" w:rsidP="00905634">
    <w:pPr>
      <w:pStyle w:val="Footer"/>
      <w:rPr>
        <w:sz w:val="20"/>
      </w:rPr>
    </w:pPr>
    <w:r>
      <w:rPr>
        <w:sz w:val="20"/>
      </w:rPr>
      <w:t>EPCLUSA Product Information v1.0– (19 December 2016)</w:t>
    </w:r>
    <w:r>
      <w:rPr>
        <w:sz w:val="20"/>
      </w:rPr>
      <w:tab/>
      <w:t>P</w:t>
    </w:r>
    <w:r w:rsidRPr="008B7865">
      <w:rPr>
        <w:rStyle w:val="PageNumber"/>
        <w:sz w:val="20"/>
      </w:rPr>
      <w:t xml:space="preserve">age </w:t>
    </w:r>
    <w:r w:rsidRPr="008B7865">
      <w:rPr>
        <w:rStyle w:val="PageNumber"/>
        <w:sz w:val="20"/>
      </w:rPr>
      <w:fldChar w:fldCharType="begin"/>
    </w:r>
    <w:r w:rsidRPr="008B7865">
      <w:rPr>
        <w:rStyle w:val="PageNumber"/>
        <w:sz w:val="20"/>
      </w:rPr>
      <w:instrText xml:space="preserve"> PAGE </w:instrText>
    </w:r>
    <w:r w:rsidRPr="008B7865">
      <w:rPr>
        <w:rStyle w:val="PageNumber"/>
        <w:sz w:val="20"/>
      </w:rPr>
      <w:fldChar w:fldCharType="separate"/>
    </w:r>
    <w:r w:rsidR="00383BF1">
      <w:rPr>
        <w:rStyle w:val="PageNumber"/>
        <w:noProof/>
        <w:sz w:val="20"/>
      </w:rPr>
      <w:t>28</w:t>
    </w:r>
    <w:r w:rsidRPr="008B7865">
      <w:rPr>
        <w:rStyle w:val="PageNumber"/>
        <w:sz w:val="20"/>
      </w:rPr>
      <w:fldChar w:fldCharType="end"/>
    </w:r>
    <w:r w:rsidRPr="008B7865">
      <w:rPr>
        <w:rStyle w:val="PageNumber"/>
        <w:sz w:val="20"/>
      </w:rPr>
      <w:t xml:space="preserve"> of</w:t>
    </w:r>
    <w:r>
      <w:rPr>
        <w:rStyle w:val="PageNumber"/>
        <w:sz w:val="20"/>
      </w:rPr>
      <w:t xml:space="preserve"> 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72" w:rsidRDefault="005F4372" w:rsidP="00017E9F">
      <w:r>
        <w:separator/>
      </w:r>
    </w:p>
    <w:p w:rsidR="005F4372" w:rsidRDefault="005F4372"/>
  </w:footnote>
  <w:footnote w:type="continuationSeparator" w:id="0">
    <w:p w:rsidR="005F4372" w:rsidRDefault="005F4372" w:rsidP="00017E9F">
      <w:r>
        <w:continuationSeparator/>
      </w:r>
    </w:p>
    <w:p w:rsidR="005F4372" w:rsidRDefault="005F43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22" w:rsidRPr="00800F22" w:rsidRDefault="00800F22" w:rsidP="00800F22">
    <w:pPr>
      <w:pBdr>
        <w:top w:val="single" w:sz="4" w:space="1" w:color="auto"/>
        <w:left w:val="single" w:sz="4" w:space="4" w:color="auto"/>
        <w:bottom w:val="single" w:sz="4" w:space="1" w:color="auto"/>
        <w:right w:val="single" w:sz="4" w:space="4" w:color="auto"/>
      </w:pBdr>
      <w:shd w:val="clear" w:color="auto" w:fill="E4F2E0"/>
      <w:spacing w:before="40" w:after="40"/>
      <w:rPr>
        <w:b/>
        <w:sz w:val="20"/>
      </w:rPr>
    </w:pPr>
    <w:r w:rsidRPr="00D361CA">
      <w:rPr>
        <w:b/>
        <w:sz w:val="20"/>
      </w:rPr>
      <w:t xml:space="preserve">Attachment 1: Product information for </w:t>
    </w:r>
    <w:r w:rsidRPr="00800F22">
      <w:rPr>
        <w:b/>
        <w:sz w:val="20"/>
      </w:rPr>
      <w:t>Epclusa - Sofosbuvir / Velpatasvir - Gilead Sciences Pty Ltd - PM-2015-03984-1-2 - FINAL- 8 November 2017</w:t>
    </w:r>
    <w:r w:rsidRPr="00D361CA">
      <w:rPr>
        <w:b/>
        <w:sz w:val="20"/>
      </w:rPr>
      <w:t>. This Product Information was approved at the time this AusPAR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A45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6035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DCA4D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C26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36E0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F8CE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E271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A41E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D2E2E4"/>
    <w:lvl w:ilvl="0">
      <w:start w:val="1"/>
      <w:numFmt w:val="decimal"/>
      <w:pStyle w:val="ListNumber"/>
      <w:lvlText w:val="%1."/>
      <w:lvlJc w:val="left"/>
      <w:pPr>
        <w:tabs>
          <w:tab w:val="num" w:pos="360"/>
        </w:tabs>
        <w:ind w:left="360" w:hanging="360"/>
      </w:pPr>
    </w:lvl>
  </w:abstractNum>
  <w:abstractNum w:abstractNumId="9">
    <w:nsid w:val="FFFFFF89"/>
    <w:multiLevelType w:val="singleLevel"/>
    <w:tmpl w:val="FB86FD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FC61AF"/>
    <w:multiLevelType w:val="hybridMultilevel"/>
    <w:tmpl w:val="24D438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D54400"/>
    <w:multiLevelType w:val="hybridMultilevel"/>
    <w:tmpl w:val="CACEEBE4"/>
    <w:lvl w:ilvl="0" w:tplc="E682CB4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13">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nsid w:val="28E80D33"/>
    <w:multiLevelType w:val="hybridMultilevel"/>
    <w:tmpl w:val="3378E71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4E7829"/>
    <w:multiLevelType w:val="hybridMultilevel"/>
    <w:tmpl w:val="3320A930"/>
    <w:lvl w:ilvl="0" w:tplc="B46E721E">
      <w:start w:val="1"/>
      <w:numFmt w:val="bullet"/>
      <w:lvlText w:val=""/>
      <w:lvlJc w:val="left"/>
      <w:pPr>
        <w:ind w:left="600" w:hanging="360"/>
      </w:pPr>
      <w:rPr>
        <w:rFonts w:ascii="Symbol" w:hAnsi="Symbol" w:hint="default"/>
      </w:rPr>
    </w:lvl>
    <w:lvl w:ilvl="1" w:tplc="B46E721E">
      <w:start w:val="1"/>
      <w:numFmt w:val="bullet"/>
      <w:lvlText w:val=""/>
      <w:lvlJc w:val="left"/>
      <w:pPr>
        <w:ind w:left="502" w:hanging="360"/>
      </w:pPr>
      <w:rPr>
        <w:rFonts w:ascii="Symbol" w:hAnsi="Symbol"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16">
    <w:nsid w:val="3C553F84"/>
    <w:multiLevelType w:val="hybridMultilevel"/>
    <w:tmpl w:val="CD48D2AA"/>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8">
    <w:nsid w:val="53AE72EC"/>
    <w:multiLevelType w:val="hybridMultilevel"/>
    <w:tmpl w:val="517A2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9433C0"/>
    <w:multiLevelType w:val="hybridMultilevel"/>
    <w:tmpl w:val="F8C8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CC1100"/>
    <w:multiLevelType w:val="hybridMultilevel"/>
    <w:tmpl w:val="A28A14AA"/>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2">
    <w:nsid w:val="76C40499"/>
    <w:multiLevelType w:val="hybridMultilevel"/>
    <w:tmpl w:val="1F0686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794110C3"/>
    <w:multiLevelType w:val="hybridMultilevel"/>
    <w:tmpl w:val="6210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711821"/>
    <w:multiLevelType w:val="hybridMultilevel"/>
    <w:tmpl w:val="F4A021AE"/>
    <w:lvl w:ilvl="0" w:tplc="0C090001">
      <w:start w:val="1"/>
      <w:numFmt w:val="bullet"/>
      <w:lvlText w:val=""/>
      <w:lvlJc w:val="left"/>
      <w:pPr>
        <w:ind w:left="644" w:hanging="360"/>
      </w:pPr>
      <w:rPr>
        <w:rFonts w:ascii="Symbol" w:hAnsi="Symbol" w:hint="default"/>
      </w:rPr>
    </w:lvl>
    <w:lvl w:ilvl="1" w:tplc="7304C3CE">
      <w:numFmt w:val="bullet"/>
      <w:lvlText w:val="•"/>
      <w:lvlJc w:val="left"/>
      <w:pPr>
        <w:ind w:left="1724" w:hanging="72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nsid w:val="7BB348D8"/>
    <w:multiLevelType w:val="hybridMultilevel"/>
    <w:tmpl w:val="303E1854"/>
    <w:lvl w:ilvl="0" w:tplc="F86CC81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E47216"/>
    <w:multiLevelType w:val="hybridMultilevel"/>
    <w:tmpl w:val="7A463846"/>
    <w:lvl w:ilvl="0" w:tplc="B46E721E">
      <w:start w:val="1"/>
      <w:numFmt w:val="bullet"/>
      <w:lvlText w:val=""/>
      <w:lvlJc w:val="left"/>
      <w:pPr>
        <w:tabs>
          <w:tab w:val="num" w:pos="600"/>
        </w:tabs>
        <w:ind w:left="600" w:hanging="360"/>
      </w:pPr>
      <w:rPr>
        <w:rFonts w:ascii="Symbol" w:hAnsi="Symbol" w:hint="default"/>
      </w:rPr>
    </w:lvl>
    <w:lvl w:ilvl="1" w:tplc="0C090001">
      <w:start w:val="1"/>
      <w:numFmt w:val="bullet"/>
      <w:lvlText w:val=""/>
      <w:lvlJc w:val="left"/>
      <w:pPr>
        <w:tabs>
          <w:tab w:val="num" w:pos="1320"/>
        </w:tabs>
        <w:ind w:left="1320" w:hanging="360"/>
      </w:pPr>
      <w:rPr>
        <w:rFonts w:ascii="Symbol" w:hAnsi="Symbol"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3"/>
  </w:num>
  <w:num w:numId="13">
    <w:abstractNumId w:val="17"/>
  </w:num>
  <w:num w:numId="14">
    <w:abstractNumId w:val="26"/>
  </w:num>
  <w:num w:numId="15">
    <w:abstractNumId w:val="12"/>
  </w:num>
  <w:num w:numId="16">
    <w:abstractNumId w:val="16"/>
  </w:num>
  <w:num w:numId="17">
    <w:abstractNumId w:val="20"/>
  </w:num>
  <w:num w:numId="18">
    <w:abstractNumId w:val="14"/>
  </w:num>
  <w:num w:numId="19">
    <w:abstractNumId w:val="11"/>
  </w:num>
  <w:num w:numId="20">
    <w:abstractNumId w:val="18"/>
  </w:num>
  <w:num w:numId="21">
    <w:abstractNumId w:val="25"/>
  </w:num>
  <w:num w:numId="22">
    <w:abstractNumId w:val="24"/>
  </w:num>
  <w:num w:numId="23">
    <w:abstractNumId w:val="15"/>
  </w:num>
  <w:num w:numId="24">
    <w:abstractNumId w:val="23"/>
  </w:num>
  <w:num w:numId="25">
    <w:abstractNumId w:val="19"/>
  </w:num>
  <w:num w:numId="26">
    <w:abstractNumId w:val="10"/>
  </w:num>
  <w:num w:numId="2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43"/>
    <w:rsid w:val="0000016E"/>
    <w:rsid w:val="00000812"/>
    <w:rsid w:val="00000DB0"/>
    <w:rsid w:val="00000EA3"/>
    <w:rsid w:val="0000147A"/>
    <w:rsid w:val="00001DE8"/>
    <w:rsid w:val="00001F32"/>
    <w:rsid w:val="000025EA"/>
    <w:rsid w:val="00002886"/>
    <w:rsid w:val="00002AB5"/>
    <w:rsid w:val="00002FB1"/>
    <w:rsid w:val="00003A47"/>
    <w:rsid w:val="00003AC8"/>
    <w:rsid w:val="000047B2"/>
    <w:rsid w:val="0000487C"/>
    <w:rsid w:val="00004A2F"/>
    <w:rsid w:val="0000516B"/>
    <w:rsid w:val="0000537D"/>
    <w:rsid w:val="000055C4"/>
    <w:rsid w:val="00005BD9"/>
    <w:rsid w:val="00005C1B"/>
    <w:rsid w:val="00005E88"/>
    <w:rsid w:val="000068E7"/>
    <w:rsid w:val="00006996"/>
    <w:rsid w:val="00006C5F"/>
    <w:rsid w:val="00007008"/>
    <w:rsid w:val="00007197"/>
    <w:rsid w:val="000074C9"/>
    <w:rsid w:val="00007824"/>
    <w:rsid w:val="00007A04"/>
    <w:rsid w:val="00007DAF"/>
    <w:rsid w:val="00012037"/>
    <w:rsid w:val="00012100"/>
    <w:rsid w:val="0001214B"/>
    <w:rsid w:val="00012233"/>
    <w:rsid w:val="000126A6"/>
    <w:rsid w:val="00013A95"/>
    <w:rsid w:val="0001433A"/>
    <w:rsid w:val="00014C0C"/>
    <w:rsid w:val="00014EEA"/>
    <w:rsid w:val="00015A5C"/>
    <w:rsid w:val="000169CA"/>
    <w:rsid w:val="00016B55"/>
    <w:rsid w:val="0001706B"/>
    <w:rsid w:val="000172C4"/>
    <w:rsid w:val="00017E9F"/>
    <w:rsid w:val="00020ACE"/>
    <w:rsid w:val="000210DF"/>
    <w:rsid w:val="00021C2B"/>
    <w:rsid w:val="00022496"/>
    <w:rsid w:val="000230A1"/>
    <w:rsid w:val="00024D8B"/>
    <w:rsid w:val="00024DE5"/>
    <w:rsid w:val="00024E08"/>
    <w:rsid w:val="00025A3E"/>
    <w:rsid w:val="00025E68"/>
    <w:rsid w:val="00026B75"/>
    <w:rsid w:val="0002711D"/>
    <w:rsid w:val="00027C10"/>
    <w:rsid w:val="00030041"/>
    <w:rsid w:val="0003026C"/>
    <w:rsid w:val="0003061C"/>
    <w:rsid w:val="00030A42"/>
    <w:rsid w:val="00030B64"/>
    <w:rsid w:val="0003221E"/>
    <w:rsid w:val="0003230B"/>
    <w:rsid w:val="00032B9F"/>
    <w:rsid w:val="00032CB2"/>
    <w:rsid w:val="0003333A"/>
    <w:rsid w:val="00034123"/>
    <w:rsid w:val="00034CC3"/>
    <w:rsid w:val="000350CB"/>
    <w:rsid w:val="00035358"/>
    <w:rsid w:val="00035BEA"/>
    <w:rsid w:val="00035FF9"/>
    <w:rsid w:val="0003741C"/>
    <w:rsid w:val="000406E8"/>
    <w:rsid w:val="00040E39"/>
    <w:rsid w:val="00041504"/>
    <w:rsid w:val="00041A2A"/>
    <w:rsid w:val="000425B2"/>
    <w:rsid w:val="00042FCE"/>
    <w:rsid w:val="00043411"/>
    <w:rsid w:val="0004393E"/>
    <w:rsid w:val="00044570"/>
    <w:rsid w:val="00044606"/>
    <w:rsid w:val="0004460B"/>
    <w:rsid w:val="00044F2B"/>
    <w:rsid w:val="00045157"/>
    <w:rsid w:val="00045167"/>
    <w:rsid w:val="00045728"/>
    <w:rsid w:val="000457F3"/>
    <w:rsid w:val="00045D78"/>
    <w:rsid w:val="00045EAF"/>
    <w:rsid w:val="000463F8"/>
    <w:rsid w:val="00046447"/>
    <w:rsid w:val="00046496"/>
    <w:rsid w:val="00046588"/>
    <w:rsid w:val="0004669A"/>
    <w:rsid w:val="00046A5E"/>
    <w:rsid w:val="00046AE1"/>
    <w:rsid w:val="00046CA5"/>
    <w:rsid w:val="00046CBB"/>
    <w:rsid w:val="0004728A"/>
    <w:rsid w:val="00047333"/>
    <w:rsid w:val="00047754"/>
    <w:rsid w:val="00047856"/>
    <w:rsid w:val="00047E91"/>
    <w:rsid w:val="00050499"/>
    <w:rsid w:val="00050A3A"/>
    <w:rsid w:val="00050BCC"/>
    <w:rsid w:val="000511EB"/>
    <w:rsid w:val="00051323"/>
    <w:rsid w:val="0005185C"/>
    <w:rsid w:val="00051CCB"/>
    <w:rsid w:val="00051F42"/>
    <w:rsid w:val="00053329"/>
    <w:rsid w:val="00053909"/>
    <w:rsid w:val="000539A5"/>
    <w:rsid w:val="00053DCA"/>
    <w:rsid w:val="00053F4E"/>
    <w:rsid w:val="00054EDE"/>
    <w:rsid w:val="00055005"/>
    <w:rsid w:val="000551E1"/>
    <w:rsid w:val="00055AF0"/>
    <w:rsid w:val="00056AF5"/>
    <w:rsid w:val="00056CFA"/>
    <w:rsid w:val="0005714F"/>
    <w:rsid w:val="00057161"/>
    <w:rsid w:val="0005720A"/>
    <w:rsid w:val="00057658"/>
    <w:rsid w:val="000579AB"/>
    <w:rsid w:val="00060633"/>
    <w:rsid w:val="00060665"/>
    <w:rsid w:val="00060FA8"/>
    <w:rsid w:val="0006112E"/>
    <w:rsid w:val="00061371"/>
    <w:rsid w:val="000618DB"/>
    <w:rsid w:val="00061A1C"/>
    <w:rsid w:val="0006234F"/>
    <w:rsid w:val="00062612"/>
    <w:rsid w:val="00062CE1"/>
    <w:rsid w:val="00062DE1"/>
    <w:rsid w:val="00062DEC"/>
    <w:rsid w:val="00063E22"/>
    <w:rsid w:val="0006444E"/>
    <w:rsid w:val="00064472"/>
    <w:rsid w:val="0006452E"/>
    <w:rsid w:val="00065082"/>
    <w:rsid w:val="000653E1"/>
    <w:rsid w:val="0006540A"/>
    <w:rsid w:val="000654CF"/>
    <w:rsid w:val="0006675C"/>
    <w:rsid w:val="00066897"/>
    <w:rsid w:val="00066899"/>
    <w:rsid w:val="00066E06"/>
    <w:rsid w:val="0006741C"/>
    <w:rsid w:val="0007018B"/>
    <w:rsid w:val="0007025E"/>
    <w:rsid w:val="00070A4A"/>
    <w:rsid w:val="00070C07"/>
    <w:rsid w:val="00070C09"/>
    <w:rsid w:val="00070EC5"/>
    <w:rsid w:val="000713D4"/>
    <w:rsid w:val="000714B0"/>
    <w:rsid w:val="000714F3"/>
    <w:rsid w:val="00071704"/>
    <w:rsid w:val="00071854"/>
    <w:rsid w:val="00072459"/>
    <w:rsid w:val="0007287D"/>
    <w:rsid w:val="0007379F"/>
    <w:rsid w:val="00073D0F"/>
    <w:rsid w:val="00074A4E"/>
    <w:rsid w:val="00074F9A"/>
    <w:rsid w:val="00075298"/>
    <w:rsid w:val="000760D8"/>
    <w:rsid w:val="000768EA"/>
    <w:rsid w:val="00076C18"/>
    <w:rsid w:val="00076C5E"/>
    <w:rsid w:val="00077F41"/>
    <w:rsid w:val="00081D78"/>
    <w:rsid w:val="0008230E"/>
    <w:rsid w:val="00082459"/>
    <w:rsid w:val="00082726"/>
    <w:rsid w:val="00082C80"/>
    <w:rsid w:val="000838BB"/>
    <w:rsid w:val="00083AA4"/>
    <w:rsid w:val="00083D63"/>
    <w:rsid w:val="000840CE"/>
    <w:rsid w:val="00084110"/>
    <w:rsid w:val="00084A7E"/>
    <w:rsid w:val="00084FA4"/>
    <w:rsid w:val="0008558E"/>
    <w:rsid w:val="000857A8"/>
    <w:rsid w:val="00085CEE"/>
    <w:rsid w:val="000861BA"/>
    <w:rsid w:val="00086971"/>
    <w:rsid w:val="00086D89"/>
    <w:rsid w:val="0008774B"/>
    <w:rsid w:val="0008796D"/>
    <w:rsid w:val="000905B2"/>
    <w:rsid w:val="00091868"/>
    <w:rsid w:val="00091D16"/>
    <w:rsid w:val="00092C50"/>
    <w:rsid w:val="00093030"/>
    <w:rsid w:val="0009428C"/>
    <w:rsid w:val="00094BF8"/>
    <w:rsid w:val="00094E6C"/>
    <w:rsid w:val="0009556E"/>
    <w:rsid w:val="00095804"/>
    <w:rsid w:val="00095F87"/>
    <w:rsid w:val="00096C04"/>
    <w:rsid w:val="00097619"/>
    <w:rsid w:val="00097818"/>
    <w:rsid w:val="000A01B5"/>
    <w:rsid w:val="000A06DE"/>
    <w:rsid w:val="000A184D"/>
    <w:rsid w:val="000A3839"/>
    <w:rsid w:val="000A3956"/>
    <w:rsid w:val="000A3E85"/>
    <w:rsid w:val="000A44A2"/>
    <w:rsid w:val="000A5353"/>
    <w:rsid w:val="000A58E8"/>
    <w:rsid w:val="000A6235"/>
    <w:rsid w:val="000A6251"/>
    <w:rsid w:val="000A7B01"/>
    <w:rsid w:val="000A7C0A"/>
    <w:rsid w:val="000B04D3"/>
    <w:rsid w:val="000B097F"/>
    <w:rsid w:val="000B166D"/>
    <w:rsid w:val="000B1807"/>
    <w:rsid w:val="000B1EF1"/>
    <w:rsid w:val="000B2A25"/>
    <w:rsid w:val="000B3293"/>
    <w:rsid w:val="000B360B"/>
    <w:rsid w:val="000B3B08"/>
    <w:rsid w:val="000B420B"/>
    <w:rsid w:val="000B4A4B"/>
    <w:rsid w:val="000B4EB8"/>
    <w:rsid w:val="000B523C"/>
    <w:rsid w:val="000B53D5"/>
    <w:rsid w:val="000B6EFD"/>
    <w:rsid w:val="000B73D4"/>
    <w:rsid w:val="000B750C"/>
    <w:rsid w:val="000B77F7"/>
    <w:rsid w:val="000B79E7"/>
    <w:rsid w:val="000C050F"/>
    <w:rsid w:val="000C1AE8"/>
    <w:rsid w:val="000C1E4F"/>
    <w:rsid w:val="000C214C"/>
    <w:rsid w:val="000C2C4E"/>
    <w:rsid w:val="000C338A"/>
    <w:rsid w:val="000C355E"/>
    <w:rsid w:val="000C3D51"/>
    <w:rsid w:val="000C3FEA"/>
    <w:rsid w:val="000C4A83"/>
    <w:rsid w:val="000C655F"/>
    <w:rsid w:val="000C7DBF"/>
    <w:rsid w:val="000D097D"/>
    <w:rsid w:val="000D0A56"/>
    <w:rsid w:val="000D156A"/>
    <w:rsid w:val="000D1715"/>
    <w:rsid w:val="000D1C93"/>
    <w:rsid w:val="000D1DFD"/>
    <w:rsid w:val="000D2185"/>
    <w:rsid w:val="000D25B5"/>
    <w:rsid w:val="000D2B4F"/>
    <w:rsid w:val="000D3BCC"/>
    <w:rsid w:val="000D407B"/>
    <w:rsid w:val="000D48CA"/>
    <w:rsid w:val="000D57FF"/>
    <w:rsid w:val="000D5D0D"/>
    <w:rsid w:val="000D5F6B"/>
    <w:rsid w:val="000D612F"/>
    <w:rsid w:val="000D6B4A"/>
    <w:rsid w:val="000D6F4A"/>
    <w:rsid w:val="000D7776"/>
    <w:rsid w:val="000D7DB1"/>
    <w:rsid w:val="000E13C5"/>
    <w:rsid w:val="000E186B"/>
    <w:rsid w:val="000E19CA"/>
    <w:rsid w:val="000E21B7"/>
    <w:rsid w:val="000E24A6"/>
    <w:rsid w:val="000E2A84"/>
    <w:rsid w:val="000E2FBB"/>
    <w:rsid w:val="000E37DA"/>
    <w:rsid w:val="000E42CA"/>
    <w:rsid w:val="000E44A3"/>
    <w:rsid w:val="000E46B9"/>
    <w:rsid w:val="000E4A4D"/>
    <w:rsid w:val="000E4C6A"/>
    <w:rsid w:val="000E4EA1"/>
    <w:rsid w:val="000E6529"/>
    <w:rsid w:val="000E78B3"/>
    <w:rsid w:val="000E7DBC"/>
    <w:rsid w:val="000E7DF4"/>
    <w:rsid w:val="000E7E67"/>
    <w:rsid w:val="000F15B1"/>
    <w:rsid w:val="000F1AE8"/>
    <w:rsid w:val="000F215E"/>
    <w:rsid w:val="000F3DCA"/>
    <w:rsid w:val="000F3F04"/>
    <w:rsid w:val="000F3FCA"/>
    <w:rsid w:val="000F4322"/>
    <w:rsid w:val="000F46FE"/>
    <w:rsid w:val="000F471D"/>
    <w:rsid w:val="000F4A75"/>
    <w:rsid w:val="000F5803"/>
    <w:rsid w:val="000F5E48"/>
    <w:rsid w:val="000F5F38"/>
    <w:rsid w:val="000F63F4"/>
    <w:rsid w:val="000F6574"/>
    <w:rsid w:val="000F7C57"/>
    <w:rsid w:val="000F7E6D"/>
    <w:rsid w:val="000F7E9D"/>
    <w:rsid w:val="001007CE"/>
    <w:rsid w:val="00101309"/>
    <w:rsid w:val="00101ECF"/>
    <w:rsid w:val="001029D3"/>
    <w:rsid w:val="00102C73"/>
    <w:rsid w:val="00103400"/>
    <w:rsid w:val="001039F0"/>
    <w:rsid w:val="00103EBF"/>
    <w:rsid w:val="001040B8"/>
    <w:rsid w:val="00105646"/>
    <w:rsid w:val="001057ED"/>
    <w:rsid w:val="00105822"/>
    <w:rsid w:val="00107128"/>
    <w:rsid w:val="001072EA"/>
    <w:rsid w:val="00107C6A"/>
    <w:rsid w:val="00111012"/>
    <w:rsid w:val="00111112"/>
    <w:rsid w:val="0011197A"/>
    <w:rsid w:val="00113DCF"/>
    <w:rsid w:val="001144BE"/>
    <w:rsid w:val="0011491A"/>
    <w:rsid w:val="00114E75"/>
    <w:rsid w:val="00114ED2"/>
    <w:rsid w:val="001150D4"/>
    <w:rsid w:val="00116056"/>
    <w:rsid w:val="00116591"/>
    <w:rsid w:val="0011690C"/>
    <w:rsid w:val="00116A33"/>
    <w:rsid w:val="00117239"/>
    <w:rsid w:val="00117494"/>
    <w:rsid w:val="001206B6"/>
    <w:rsid w:val="00121A98"/>
    <w:rsid w:val="00121CFC"/>
    <w:rsid w:val="001220E6"/>
    <w:rsid w:val="00122322"/>
    <w:rsid w:val="0012236A"/>
    <w:rsid w:val="00122593"/>
    <w:rsid w:val="00122D67"/>
    <w:rsid w:val="00123345"/>
    <w:rsid w:val="001234C6"/>
    <w:rsid w:val="00123904"/>
    <w:rsid w:val="0012393B"/>
    <w:rsid w:val="001239B0"/>
    <w:rsid w:val="00123B1F"/>
    <w:rsid w:val="00123F0D"/>
    <w:rsid w:val="0012469B"/>
    <w:rsid w:val="0012496D"/>
    <w:rsid w:val="00124DA7"/>
    <w:rsid w:val="00124DC5"/>
    <w:rsid w:val="00124E2D"/>
    <w:rsid w:val="00125402"/>
    <w:rsid w:val="00125C77"/>
    <w:rsid w:val="00126448"/>
    <w:rsid w:val="001275B1"/>
    <w:rsid w:val="001276D0"/>
    <w:rsid w:val="00127D51"/>
    <w:rsid w:val="001307DD"/>
    <w:rsid w:val="00130A99"/>
    <w:rsid w:val="00130B1E"/>
    <w:rsid w:val="00130C6A"/>
    <w:rsid w:val="00130FC7"/>
    <w:rsid w:val="001310A9"/>
    <w:rsid w:val="00131819"/>
    <w:rsid w:val="001320B1"/>
    <w:rsid w:val="0013221C"/>
    <w:rsid w:val="0013258A"/>
    <w:rsid w:val="00132C5C"/>
    <w:rsid w:val="00132E8D"/>
    <w:rsid w:val="001330A7"/>
    <w:rsid w:val="00133149"/>
    <w:rsid w:val="00133447"/>
    <w:rsid w:val="00133E25"/>
    <w:rsid w:val="00134310"/>
    <w:rsid w:val="00135001"/>
    <w:rsid w:val="00135147"/>
    <w:rsid w:val="001358B0"/>
    <w:rsid w:val="00135B00"/>
    <w:rsid w:val="00135B48"/>
    <w:rsid w:val="001369E9"/>
    <w:rsid w:val="00136CF1"/>
    <w:rsid w:val="001371D6"/>
    <w:rsid w:val="001376A9"/>
    <w:rsid w:val="001379D5"/>
    <w:rsid w:val="00140245"/>
    <w:rsid w:val="00140CE7"/>
    <w:rsid w:val="00140E6D"/>
    <w:rsid w:val="001412F5"/>
    <w:rsid w:val="001417F4"/>
    <w:rsid w:val="00141DC8"/>
    <w:rsid w:val="00144322"/>
    <w:rsid w:val="0014544B"/>
    <w:rsid w:val="00145FFD"/>
    <w:rsid w:val="00146E9F"/>
    <w:rsid w:val="0014779E"/>
    <w:rsid w:val="00150024"/>
    <w:rsid w:val="00150652"/>
    <w:rsid w:val="00151489"/>
    <w:rsid w:val="0015150D"/>
    <w:rsid w:val="00151600"/>
    <w:rsid w:val="00151A4E"/>
    <w:rsid w:val="00151D60"/>
    <w:rsid w:val="00153048"/>
    <w:rsid w:val="0015386D"/>
    <w:rsid w:val="00153A35"/>
    <w:rsid w:val="00153F93"/>
    <w:rsid w:val="00154936"/>
    <w:rsid w:val="001549BC"/>
    <w:rsid w:val="00155474"/>
    <w:rsid w:val="0015625B"/>
    <w:rsid w:val="00160D54"/>
    <w:rsid w:val="00160F57"/>
    <w:rsid w:val="001621C7"/>
    <w:rsid w:val="00162E06"/>
    <w:rsid w:val="00163E2E"/>
    <w:rsid w:val="0016441F"/>
    <w:rsid w:val="00164ABF"/>
    <w:rsid w:val="00165C2F"/>
    <w:rsid w:val="00165EB3"/>
    <w:rsid w:val="0016689A"/>
    <w:rsid w:val="00167771"/>
    <w:rsid w:val="00167F7F"/>
    <w:rsid w:val="001706C0"/>
    <w:rsid w:val="00170B9A"/>
    <w:rsid w:val="00170C02"/>
    <w:rsid w:val="00171429"/>
    <w:rsid w:val="00171D2F"/>
    <w:rsid w:val="00171E4A"/>
    <w:rsid w:val="00171EB8"/>
    <w:rsid w:val="00172152"/>
    <w:rsid w:val="001723A6"/>
    <w:rsid w:val="0017284C"/>
    <w:rsid w:val="00173694"/>
    <w:rsid w:val="001736AE"/>
    <w:rsid w:val="00174021"/>
    <w:rsid w:val="001747D5"/>
    <w:rsid w:val="00174FFC"/>
    <w:rsid w:val="00175255"/>
    <w:rsid w:val="00175588"/>
    <w:rsid w:val="00175D0B"/>
    <w:rsid w:val="00175E29"/>
    <w:rsid w:val="00175FBA"/>
    <w:rsid w:val="00176750"/>
    <w:rsid w:val="0017691D"/>
    <w:rsid w:val="00176A45"/>
    <w:rsid w:val="00176D25"/>
    <w:rsid w:val="00177000"/>
    <w:rsid w:val="00177684"/>
    <w:rsid w:val="00177D42"/>
    <w:rsid w:val="0018088F"/>
    <w:rsid w:val="00180A28"/>
    <w:rsid w:val="00181294"/>
    <w:rsid w:val="001812E6"/>
    <w:rsid w:val="00181B7D"/>
    <w:rsid w:val="001831D9"/>
    <w:rsid w:val="00183211"/>
    <w:rsid w:val="001841B6"/>
    <w:rsid w:val="00185E01"/>
    <w:rsid w:val="00185E59"/>
    <w:rsid w:val="00185EB5"/>
    <w:rsid w:val="00187774"/>
    <w:rsid w:val="00187C0D"/>
    <w:rsid w:val="00187D04"/>
    <w:rsid w:val="00187EA0"/>
    <w:rsid w:val="00190CEA"/>
    <w:rsid w:val="0019153E"/>
    <w:rsid w:val="0019221F"/>
    <w:rsid w:val="00192B92"/>
    <w:rsid w:val="0019301F"/>
    <w:rsid w:val="001930DC"/>
    <w:rsid w:val="0019392E"/>
    <w:rsid w:val="00193DB2"/>
    <w:rsid w:val="001943A7"/>
    <w:rsid w:val="0019510F"/>
    <w:rsid w:val="0019511F"/>
    <w:rsid w:val="00195623"/>
    <w:rsid w:val="00195B21"/>
    <w:rsid w:val="00195B43"/>
    <w:rsid w:val="00196A0F"/>
    <w:rsid w:val="00197A86"/>
    <w:rsid w:val="001A001B"/>
    <w:rsid w:val="001A0AB9"/>
    <w:rsid w:val="001A10D0"/>
    <w:rsid w:val="001A1525"/>
    <w:rsid w:val="001A17AE"/>
    <w:rsid w:val="001A1DB5"/>
    <w:rsid w:val="001A1DC1"/>
    <w:rsid w:val="001A207F"/>
    <w:rsid w:val="001A29CF"/>
    <w:rsid w:val="001A4008"/>
    <w:rsid w:val="001A4049"/>
    <w:rsid w:val="001A405A"/>
    <w:rsid w:val="001A409C"/>
    <w:rsid w:val="001A49F5"/>
    <w:rsid w:val="001A5F79"/>
    <w:rsid w:val="001A65C7"/>
    <w:rsid w:val="001A6C97"/>
    <w:rsid w:val="001A7BE0"/>
    <w:rsid w:val="001B0430"/>
    <w:rsid w:val="001B0E93"/>
    <w:rsid w:val="001B15F8"/>
    <w:rsid w:val="001B1654"/>
    <w:rsid w:val="001B1D99"/>
    <w:rsid w:val="001B2B5A"/>
    <w:rsid w:val="001B2C2E"/>
    <w:rsid w:val="001B3130"/>
    <w:rsid w:val="001B3752"/>
    <w:rsid w:val="001B4144"/>
    <w:rsid w:val="001B426C"/>
    <w:rsid w:val="001B48BA"/>
    <w:rsid w:val="001B4E37"/>
    <w:rsid w:val="001B577E"/>
    <w:rsid w:val="001B5997"/>
    <w:rsid w:val="001B5AB9"/>
    <w:rsid w:val="001B5B76"/>
    <w:rsid w:val="001B5D18"/>
    <w:rsid w:val="001B6745"/>
    <w:rsid w:val="001B6C67"/>
    <w:rsid w:val="001B7160"/>
    <w:rsid w:val="001B75B0"/>
    <w:rsid w:val="001B7EF0"/>
    <w:rsid w:val="001C0238"/>
    <w:rsid w:val="001C045E"/>
    <w:rsid w:val="001C060E"/>
    <w:rsid w:val="001C0B50"/>
    <w:rsid w:val="001C10C2"/>
    <w:rsid w:val="001C1C8D"/>
    <w:rsid w:val="001C1F43"/>
    <w:rsid w:val="001C233D"/>
    <w:rsid w:val="001C2A04"/>
    <w:rsid w:val="001C2ABF"/>
    <w:rsid w:val="001C3089"/>
    <w:rsid w:val="001C333B"/>
    <w:rsid w:val="001C371E"/>
    <w:rsid w:val="001C39AD"/>
    <w:rsid w:val="001C3DE3"/>
    <w:rsid w:val="001C4190"/>
    <w:rsid w:val="001C438C"/>
    <w:rsid w:val="001C5226"/>
    <w:rsid w:val="001C53E9"/>
    <w:rsid w:val="001C5B62"/>
    <w:rsid w:val="001C5B89"/>
    <w:rsid w:val="001C61B5"/>
    <w:rsid w:val="001C62DA"/>
    <w:rsid w:val="001C67AA"/>
    <w:rsid w:val="001D05B5"/>
    <w:rsid w:val="001D0F64"/>
    <w:rsid w:val="001D100F"/>
    <w:rsid w:val="001D18CD"/>
    <w:rsid w:val="001D1BEF"/>
    <w:rsid w:val="001D2251"/>
    <w:rsid w:val="001D2279"/>
    <w:rsid w:val="001D23DE"/>
    <w:rsid w:val="001D2DBC"/>
    <w:rsid w:val="001D328D"/>
    <w:rsid w:val="001D37B9"/>
    <w:rsid w:val="001D3FDA"/>
    <w:rsid w:val="001D5057"/>
    <w:rsid w:val="001D5D99"/>
    <w:rsid w:val="001D5FA1"/>
    <w:rsid w:val="001D6462"/>
    <w:rsid w:val="001D70B1"/>
    <w:rsid w:val="001D712B"/>
    <w:rsid w:val="001D770C"/>
    <w:rsid w:val="001E02B3"/>
    <w:rsid w:val="001E08EA"/>
    <w:rsid w:val="001E0B05"/>
    <w:rsid w:val="001E0DA2"/>
    <w:rsid w:val="001E11C5"/>
    <w:rsid w:val="001E12F4"/>
    <w:rsid w:val="001E146D"/>
    <w:rsid w:val="001E24D3"/>
    <w:rsid w:val="001E26BE"/>
    <w:rsid w:val="001E2C62"/>
    <w:rsid w:val="001E2D12"/>
    <w:rsid w:val="001E4190"/>
    <w:rsid w:val="001E505F"/>
    <w:rsid w:val="001E5096"/>
    <w:rsid w:val="001E5173"/>
    <w:rsid w:val="001E5C8B"/>
    <w:rsid w:val="001E66BE"/>
    <w:rsid w:val="001E6C39"/>
    <w:rsid w:val="001F0256"/>
    <w:rsid w:val="001F0403"/>
    <w:rsid w:val="001F08AC"/>
    <w:rsid w:val="001F1046"/>
    <w:rsid w:val="001F15BC"/>
    <w:rsid w:val="001F208B"/>
    <w:rsid w:val="001F291B"/>
    <w:rsid w:val="001F295C"/>
    <w:rsid w:val="001F33BC"/>
    <w:rsid w:val="001F3887"/>
    <w:rsid w:val="001F3A3E"/>
    <w:rsid w:val="001F444D"/>
    <w:rsid w:val="001F44CF"/>
    <w:rsid w:val="001F45B4"/>
    <w:rsid w:val="001F4E8F"/>
    <w:rsid w:val="001F4FB6"/>
    <w:rsid w:val="001F5302"/>
    <w:rsid w:val="001F57AF"/>
    <w:rsid w:val="001F58D5"/>
    <w:rsid w:val="001F59C9"/>
    <w:rsid w:val="001F6559"/>
    <w:rsid w:val="001F6CAA"/>
    <w:rsid w:val="001F6EC4"/>
    <w:rsid w:val="001F73F0"/>
    <w:rsid w:val="00200936"/>
    <w:rsid w:val="002012E1"/>
    <w:rsid w:val="002013E3"/>
    <w:rsid w:val="002014AA"/>
    <w:rsid w:val="00202902"/>
    <w:rsid w:val="002029BD"/>
    <w:rsid w:val="00203120"/>
    <w:rsid w:val="002031C9"/>
    <w:rsid w:val="002034A5"/>
    <w:rsid w:val="0020363E"/>
    <w:rsid w:val="002038C2"/>
    <w:rsid w:val="002067FF"/>
    <w:rsid w:val="00206AAF"/>
    <w:rsid w:val="002073C0"/>
    <w:rsid w:val="002100D8"/>
    <w:rsid w:val="002102C5"/>
    <w:rsid w:val="002104AE"/>
    <w:rsid w:val="00210E09"/>
    <w:rsid w:val="0021102D"/>
    <w:rsid w:val="00211372"/>
    <w:rsid w:val="002118A9"/>
    <w:rsid w:val="00211E65"/>
    <w:rsid w:val="00212133"/>
    <w:rsid w:val="00213C80"/>
    <w:rsid w:val="00214036"/>
    <w:rsid w:val="002142CE"/>
    <w:rsid w:val="00214347"/>
    <w:rsid w:val="00215155"/>
    <w:rsid w:val="002152A8"/>
    <w:rsid w:val="00217C0A"/>
    <w:rsid w:val="00221679"/>
    <w:rsid w:val="00222660"/>
    <w:rsid w:val="002234AE"/>
    <w:rsid w:val="00224708"/>
    <w:rsid w:val="00224D19"/>
    <w:rsid w:val="00224DDC"/>
    <w:rsid w:val="0022631E"/>
    <w:rsid w:val="00226D04"/>
    <w:rsid w:val="00227085"/>
    <w:rsid w:val="002270CA"/>
    <w:rsid w:val="00227226"/>
    <w:rsid w:val="00227397"/>
    <w:rsid w:val="002275B0"/>
    <w:rsid w:val="00230090"/>
    <w:rsid w:val="00230283"/>
    <w:rsid w:val="00230432"/>
    <w:rsid w:val="00230A50"/>
    <w:rsid w:val="00230B7A"/>
    <w:rsid w:val="00231170"/>
    <w:rsid w:val="00231421"/>
    <w:rsid w:val="00231550"/>
    <w:rsid w:val="002321FC"/>
    <w:rsid w:val="002324D7"/>
    <w:rsid w:val="00232D90"/>
    <w:rsid w:val="00233082"/>
    <w:rsid w:val="0023326F"/>
    <w:rsid w:val="00233A13"/>
    <w:rsid w:val="00233DCF"/>
    <w:rsid w:val="00234C4D"/>
    <w:rsid w:val="002352C7"/>
    <w:rsid w:val="00235466"/>
    <w:rsid w:val="002354B4"/>
    <w:rsid w:val="002363AC"/>
    <w:rsid w:val="002365E0"/>
    <w:rsid w:val="00236FA5"/>
    <w:rsid w:val="00237F6F"/>
    <w:rsid w:val="002404ED"/>
    <w:rsid w:val="00240556"/>
    <w:rsid w:val="00240840"/>
    <w:rsid w:val="00240BD7"/>
    <w:rsid w:val="0024113D"/>
    <w:rsid w:val="00241507"/>
    <w:rsid w:val="00241DFD"/>
    <w:rsid w:val="002425EE"/>
    <w:rsid w:val="0024263B"/>
    <w:rsid w:val="00242CFF"/>
    <w:rsid w:val="00242D2C"/>
    <w:rsid w:val="0024331C"/>
    <w:rsid w:val="00243320"/>
    <w:rsid w:val="00243CE5"/>
    <w:rsid w:val="00243DD0"/>
    <w:rsid w:val="00244974"/>
    <w:rsid w:val="00244D8A"/>
    <w:rsid w:val="002451D4"/>
    <w:rsid w:val="00245C52"/>
    <w:rsid w:val="00246A82"/>
    <w:rsid w:val="00246EC7"/>
    <w:rsid w:val="00246FC5"/>
    <w:rsid w:val="00247236"/>
    <w:rsid w:val="0024763F"/>
    <w:rsid w:val="002476D1"/>
    <w:rsid w:val="002479C9"/>
    <w:rsid w:val="00247C8B"/>
    <w:rsid w:val="002507FC"/>
    <w:rsid w:val="00250D77"/>
    <w:rsid w:val="00251526"/>
    <w:rsid w:val="0025175E"/>
    <w:rsid w:val="002525A6"/>
    <w:rsid w:val="00252F00"/>
    <w:rsid w:val="002530A6"/>
    <w:rsid w:val="002531D6"/>
    <w:rsid w:val="00253429"/>
    <w:rsid w:val="002543C0"/>
    <w:rsid w:val="0025487A"/>
    <w:rsid w:val="002553F1"/>
    <w:rsid w:val="0025554F"/>
    <w:rsid w:val="002559CC"/>
    <w:rsid w:val="00255A50"/>
    <w:rsid w:val="00255DCC"/>
    <w:rsid w:val="00255E31"/>
    <w:rsid w:val="00257383"/>
    <w:rsid w:val="0025750C"/>
    <w:rsid w:val="002575EB"/>
    <w:rsid w:val="00260792"/>
    <w:rsid w:val="00260ACB"/>
    <w:rsid w:val="00260E21"/>
    <w:rsid w:val="0026191B"/>
    <w:rsid w:val="00261D5A"/>
    <w:rsid w:val="00263D8A"/>
    <w:rsid w:val="00264A2E"/>
    <w:rsid w:val="002661D7"/>
    <w:rsid w:val="002665B4"/>
    <w:rsid w:val="00266D06"/>
    <w:rsid w:val="00266E2E"/>
    <w:rsid w:val="002670D4"/>
    <w:rsid w:val="00267672"/>
    <w:rsid w:val="00267A7C"/>
    <w:rsid w:val="00267DBC"/>
    <w:rsid w:val="00267E62"/>
    <w:rsid w:val="00270FD5"/>
    <w:rsid w:val="00271844"/>
    <w:rsid w:val="00271A32"/>
    <w:rsid w:val="00273A24"/>
    <w:rsid w:val="00274098"/>
    <w:rsid w:val="002746FB"/>
    <w:rsid w:val="00275002"/>
    <w:rsid w:val="002750AE"/>
    <w:rsid w:val="00275145"/>
    <w:rsid w:val="002759EE"/>
    <w:rsid w:val="00275BBD"/>
    <w:rsid w:val="00275FDA"/>
    <w:rsid w:val="00275FF4"/>
    <w:rsid w:val="0027639D"/>
    <w:rsid w:val="002764CA"/>
    <w:rsid w:val="00277530"/>
    <w:rsid w:val="0027757D"/>
    <w:rsid w:val="0027781F"/>
    <w:rsid w:val="002802A1"/>
    <w:rsid w:val="002808C8"/>
    <w:rsid w:val="002809A9"/>
    <w:rsid w:val="00280FDE"/>
    <w:rsid w:val="0028148A"/>
    <w:rsid w:val="002817F7"/>
    <w:rsid w:val="00281B79"/>
    <w:rsid w:val="00281BF9"/>
    <w:rsid w:val="002821FC"/>
    <w:rsid w:val="00282338"/>
    <w:rsid w:val="002823AC"/>
    <w:rsid w:val="00283209"/>
    <w:rsid w:val="00283C7A"/>
    <w:rsid w:val="002840AA"/>
    <w:rsid w:val="00284217"/>
    <w:rsid w:val="002849D3"/>
    <w:rsid w:val="00284BF3"/>
    <w:rsid w:val="00284D9D"/>
    <w:rsid w:val="00285132"/>
    <w:rsid w:val="002857DD"/>
    <w:rsid w:val="00285C64"/>
    <w:rsid w:val="00286B72"/>
    <w:rsid w:val="00286C68"/>
    <w:rsid w:val="00287CBA"/>
    <w:rsid w:val="00290F68"/>
    <w:rsid w:val="00291069"/>
    <w:rsid w:val="002918E9"/>
    <w:rsid w:val="00291934"/>
    <w:rsid w:val="00291DD4"/>
    <w:rsid w:val="00291E1A"/>
    <w:rsid w:val="00292819"/>
    <w:rsid w:val="00292D66"/>
    <w:rsid w:val="00293189"/>
    <w:rsid w:val="002937B4"/>
    <w:rsid w:val="00293908"/>
    <w:rsid w:val="00293A60"/>
    <w:rsid w:val="0029456B"/>
    <w:rsid w:val="002947CC"/>
    <w:rsid w:val="00294C25"/>
    <w:rsid w:val="00294FAD"/>
    <w:rsid w:val="0029502C"/>
    <w:rsid w:val="00295121"/>
    <w:rsid w:val="002951B8"/>
    <w:rsid w:val="00295BC4"/>
    <w:rsid w:val="00295EEF"/>
    <w:rsid w:val="00296D9D"/>
    <w:rsid w:val="002A0014"/>
    <w:rsid w:val="002A0179"/>
    <w:rsid w:val="002A0305"/>
    <w:rsid w:val="002A08DE"/>
    <w:rsid w:val="002A1888"/>
    <w:rsid w:val="002A1A64"/>
    <w:rsid w:val="002A1F54"/>
    <w:rsid w:val="002A20B3"/>
    <w:rsid w:val="002A2E28"/>
    <w:rsid w:val="002A3068"/>
    <w:rsid w:val="002A3083"/>
    <w:rsid w:val="002A3531"/>
    <w:rsid w:val="002A3580"/>
    <w:rsid w:val="002A3C64"/>
    <w:rsid w:val="002A41B2"/>
    <w:rsid w:val="002A44A7"/>
    <w:rsid w:val="002A480E"/>
    <w:rsid w:val="002A4B1B"/>
    <w:rsid w:val="002A4B9A"/>
    <w:rsid w:val="002A4D4E"/>
    <w:rsid w:val="002A50EF"/>
    <w:rsid w:val="002A591C"/>
    <w:rsid w:val="002A692D"/>
    <w:rsid w:val="002A6AC7"/>
    <w:rsid w:val="002A6BDB"/>
    <w:rsid w:val="002A727C"/>
    <w:rsid w:val="002A73E5"/>
    <w:rsid w:val="002A7BAD"/>
    <w:rsid w:val="002B138C"/>
    <w:rsid w:val="002B161E"/>
    <w:rsid w:val="002B1C3C"/>
    <w:rsid w:val="002B1E33"/>
    <w:rsid w:val="002B216B"/>
    <w:rsid w:val="002B26C9"/>
    <w:rsid w:val="002B2F14"/>
    <w:rsid w:val="002B3706"/>
    <w:rsid w:val="002B3A61"/>
    <w:rsid w:val="002B46DA"/>
    <w:rsid w:val="002B4AA5"/>
    <w:rsid w:val="002B524F"/>
    <w:rsid w:val="002B56FB"/>
    <w:rsid w:val="002B59FE"/>
    <w:rsid w:val="002B5AD2"/>
    <w:rsid w:val="002B5E71"/>
    <w:rsid w:val="002B6788"/>
    <w:rsid w:val="002B6B96"/>
    <w:rsid w:val="002B7511"/>
    <w:rsid w:val="002C01D7"/>
    <w:rsid w:val="002C0523"/>
    <w:rsid w:val="002C06A5"/>
    <w:rsid w:val="002C0F6D"/>
    <w:rsid w:val="002C16F0"/>
    <w:rsid w:val="002C1957"/>
    <w:rsid w:val="002C1DE7"/>
    <w:rsid w:val="002C1F6B"/>
    <w:rsid w:val="002C2F37"/>
    <w:rsid w:val="002C3A8D"/>
    <w:rsid w:val="002C3EAC"/>
    <w:rsid w:val="002C43AB"/>
    <w:rsid w:val="002C44CA"/>
    <w:rsid w:val="002C450B"/>
    <w:rsid w:val="002C450D"/>
    <w:rsid w:val="002C49B2"/>
    <w:rsid w:val="002C4A9D"/>
    <w:rsid w:val="002C5297"/>
    <w:rsid w:val="002C5608"/>
    <w:rsid w:val="002C59A8"/>
    <w:rsid w:val="002C5C2C"/>
    <w:rsid w:val="002C604E"/>
    <w:rsid w:val="002C62FD"/>
    <w:rsid w:val="002C6CEE"/>
    <w:rsid w:val="002C72C1"/>
    <w:rsid w:val="002C748F"/>
    <w:rsid w:val="002C7847"/>
    <w:rsid w:val="002C7CFE"/>
    <w:rsid w:val="002C7D5C"/>
    <w:rsid w:val="002D0F06"/>
    <w:rsid w:val="002D1790"/>
    <w:rsid w:val="002D1E76"/>
    <w:rsid w:val="002D24FF"/>
    <w:rsid w:val="002D2A0C"/>
    <w:rsid w:val="002D31FE"/>
    <w:rsid w:val="002D343F"/>
    <w:rsid w:val="002D39DD"/>
    <w:rsid w:val="002D3D5F"/>
    <w:rsid w:val="002D403C"/>
    <w:rsid w:val="002D4243"/>
    <w:rsid w:val="002D500F"/>
    <w:rsid w:val="002D509E"/>
    <w:rsid w:val="002D57C8"/>
    <w:rsid w:val="002D5DCE"/>
    <w:rsid w:val="002D5EA9"/>
    <w:rsid w:val="002D6296"/>
    <w:rsid w:val="002D644B"/>
    <w:rsid w:val="002D6E15"/>
    <w:rsid w:val="002D719A"/>
    <w:rsid w:val="002D73CB"/>
    <w:rsid w:val="002D76EC"/>
    <w:rsid w:val="002D7E7D"/>
    <w:rsid w:val="002E0188"/>
    <w:rsid w:val="002E0203"/>
    <w:rsid w:val="002E0CB7"/>
    <w:rsid w:val="002E0DF5"/>
    <w:rsid w:val="002E0F7B"/>
    <w:rsid w:val="002E12A5"/>
    <w:rsid w:val="002E12C4"/>
    <w:rsid w:val="002E218E"/>
    <w:rsid w:val="002E23F9"/>
    <w:rsid w:val="002E243C"/>
    <w:rsid w:val="002E250C"/>
    <w:rsid w:val="002E2547"/>
    <w:rsid w:val="002E2A53"/>
    <w:rsid w:val="002E2BF0"/>
    <w:rsid w:val="002E344F"/>
    <w:rsid w:val="002E382B"/>
    <w:rsid w:val="002E3D2B"/>
    <w:rsid w:val="002E4494"/>
    <w:rsid w:val="002E4658"/>
    <w:rsid w:val="002E4B0F"/>
    <w:rsid w:val="002E4CEA"/>
    <w:rsid w:val="002E53F1"/>
    <w:rsid w:val="002E5869"/>
    <w:rsid w:val="002E58EF"/>
    <w:rsid w:val="002E5955"/>
    <w:rsid w:val="002E6337"/>
    <w:rsid w:val="002E692F"/>
    <w:rsid w:val="002E6F8C"/>
    <w:rsid w:val="002E753C"/>
    <w:rsid w:val="002E7604"/>
    <w:rsid w:val="002E765C"/>
    <w:rsid w:val="002E7A4F"/>
    <w:rsid w:val="002E7C91"/>
    <w:rsid w:val="002F0B3B"/>
    <w:rsid w:val="002F1034"/>
    <w:rsid w:val="002F1173"/>
    <w:rsid w:val="002F1183"/>
    <w:rsid w:val="002F224A"/>
    <w:rsid w:val="002F253F"/>
    <w:rsid w:val="002F2644"/>
    <w:rsid w:val="002F2C2A"/>
    <w:rsid w:val="002F340F"/>
    <w:rsid w:val="002F357F"/>
    <w:rsid w:val="002F3DE4"/>
    <w:rsid w:val="002F3E06"/>
    <w:rsid w:val="002F49B4"/>
    <w:rsid w:val="002F4BBE"/>
    <w:rsid w:val="002F4EC9"/>
    <w:rsid w:val="002F59E9"/>
    <w:rsid w:val="002F61C4"/>
    <w:rsid w:val="002F67BA"/>
    <w:rsid w:val="002F7D2B"/>
    <w:rsid w:val="00300D51"/>
    <w:rsid w:val="00300DEF"/>
    <w:rsid w:val="003016D8"/>
    <w:rsid w:val="00302722"/>
    <w:rsid w:val="00302FD8"/>
    <w:rsid w:val="00305411"/>
    <w:rsid w:val="00305E54"/>
    <w:rsid w:val="003066DC"/>
    <w:rsid w:val="0030683B"/>
    <w:rsid w:val="00306DBC"/>
    <w:rsid w:val="0030706E"/>
    <w:rsid w:val="00307095"/>
    <w:rsid w:val="003071C6"/>
    <w:rsid w:val="00310447"/>
    <w:rsid w:val="0031139B"/>
    <w:rsid w:val="00311545"/>
    <w:rsid w:val="003119F3"/>
    <w:rsid w:val="00311ADB"/>
    <w:rsid w:val="00311EA9"/>
    <w:rsid w:val="00311F98"/>
    <w:rsid w:val="00312C52"/>
    <w:rsid w:val="00312EEA"/>
    <w:rsid w:val="003130F7"/>
    <w:rsid w:val="0031428B"/>
    <w:rsid w:val="003142F6"/>
    <w:rsid w:val="00314B0E"/>
    <w:rsid w:val="00314CBF"/>
    <w:rsid w:val="003150E5"/>
    <w:rsid w:val="003159BA"/>
    <w:rsid w:val="003159FD"/>
    <w:rsid w:val="00315F50"/>
    <w:rsid w:val="0031640C"/>
    <w:rsid w:val="00317BE0"/>
    <w:rsid w:val="0032006E"/>
    <w:rsid w:val="00320B21"/>
    <w:rsid w:val="00320F50"/>
    <w:rsid w:val="0032110E"/>
    <w:rsid w:val="00321DE2"/>
    <w:rsid w:val="00321E8F"/>
    <w:rsid w:val="00322180"/>
    <w:rsid w:val="00322240"/>
    <w:rsid w:val="00322C0D"/>
    <w:rsid w:val="003232BD"/>
    <w:rsid w:val="00324691"/>
    <w:rsid w:val="00324D0C"/>
    <w:rsid w:val="00324F5C"/>
    <w:rsid w:val="00325977"/>
    <w:rsid w:val="00325C43"/>
    <w:rsid w:val="003262AE"/>
    <w:rsid w:val="003264EF"/>
    <w:rsid w:val="00326504"/>
    <w:rsid w:val="00326BD8"/>
    <w:rsid w:val="00327037"/>
    <w:rsid w:val="003273BB"/>
    <w:rsid w:val="00327762"/>
    <w:rsid w:val="00327F0E"/>
    <w:rsid w:val="00327F6C"/>
    <w:rsid w:val="00327F77"/>
    <w:rsid w:val="003300F0"/>
    <w:rsid w:val="0033085C"/>
    <w:rsid w:val="00330BC8"/>
    <w:rsid w:val="00330F74"/>
    <w:rsid w:val="003319DE"/>
    <w:rsid w:val="00331C2F"/>
    <w:rsid w:val="00331DF9"/>
    <w:rsid w:val="003320AC"/>
    <w:rsid w:val="0033236A"/>
    <w:rsid w:val="003326EA"/>
    <w:rsid w:val="0033278A"/>
    <w:rsid w:val="00333038"/>
    <w:rsid w:val="0033308A"/>
    <w:rsid w:val="00333200"/>
    <w:rsid w:val="003332E8"/>
    <w:rsid w:val="003337DE"/>
    <w:rsid w:val="00333ADE"/>
    <w:rsid w:val="00333FAE"/>
    <w:rsid w:val="00334188"/>
    <w:rsid w:val="00334459"/>
    <w:rsid w:val="00334A2C"/>
    <w:rsid w:val="00334A76"/>
    <w:rsid w:val="00335075"/>
    <w:rsid w:val="003353FB"/>
    <w:rsid w:val="00336E94"/>
    <w:rsid w:val="00337C01"/>
    <w:rsid w:val="00337D95"/>
    <w:rsid w:val="00340099"/>
    <w:rsid w:val="00340738"/>
    <w:rsid w:val="00341022"/>
    <w:rsid w:val="00342129"/>
    <w:rsid w:val="003424BE"/>
    <w:rsid w:val="003432F2"/>
    <w:rsid w:val="003437D9"/>
    <w:rsid w:val="003439F3"/>
    <w:rsid w:val="00343D30"/>
    <w:rsid w:val="00343E7D"/>
    <w:rsid w:val="00344B09"/>
    <w:rsid w:val="00344DF9"/>
    <w:rsid w:val="003454A9"/>
    <w:rsid w:val="00345912"/>
    <w:rsid w:val="00345A45"/>
    <w:rsid w:val="00347E63"/>
    <w:rsid w:val="00347E7B"/>
    <w:rsid w:val="00350232"/>
    <w:rsid w:val="003503B1"/>
    <w:rsid w:val="003505A5"/>
    <w:rsid w:val="00350625"/>
    <w:rsid w:val="00350F44"/>
    <w:rsid w:val="00352812"/>
    <w:rsid w:val="00352928"/>
    <w:rsid w:val="00352C65"/>
    <w:rsid w:val="003530F2"/>
    <w:rsid w:val="00353371"/>
    <w:rsid w:val="00353B93"/>
    <w:rsid w:val="00353F7D"/>
    <w:rsid w:val="00355111"/>
    <w:rsid w:val="0035566E"/>
    <w:rsid w:val="00355A61"/>
    <w:rsid w:val="0035694F"/>
    <w:rsid w:val="003571EB"/>
    <w:rsid w:val="00357A50"/>
    <w:rsid w:val="003600BB"/>
    <w:rsid w:val="00361458"/>
    <w:rsid w:val="00362971"/>
    <w:rsid w:val="00363080"/>
    <w:rsid w:val="003638EF"/>
    <w:rsid w:val="00364C27"/>
    <w:rsid w:val="003650DA"/>
    <w:rsid w:val="003656BA"/>
    <w:rsid w:val="0036593C"/>
    <w:rsid w:val="00366516"/>
    <w:rsid w:val="0036677F"/>
    <w:rsid w:val="00366A8A"/>
    <w:rsid w:val="00367221"/>
    <w:rsid w:val="003676CA"/>
    <w:rsid w:val="00367D4D"/>
    <w:rsid w:val="003706B9"/>
    <w:rsid w:val="003711DA"/>
    <w:rsid w:val="003715F7"/>
    <w:rsid w:val="003716DB"/>
    <w:rsid w:val="00371754"/>
    <w:rsid w:val="00371C29"/>
    <w:rsid w:val="003725A6"/>
    <w:rsid w:val="00372B2E"/>
    <w:rsid w:val="00372D03"/>
    <w:rsid w:val="00373383"/>
    <w:rsid w:val="0037342C"/>
    <w:rsid w:val="00373585"/>
    <w:rsid w:val="00373E2F"/>
    <w:rsid w:val="0037436E"/>
    <w:rsid w:val="00374375"/>
    <w:rsid w:val="0037481E"/>
    <w:rsid w:val="003757F9"/>
    <w:rsid w:val="00375AC3"/>
    <w:rsid w:val="00376834"/>
    <w:rsid w:val="00376895"/>
    <w:rsid w:val="00376B03"/>
    <w:rsid w:val="00377B5F"/>
    <w:rsid w:val="00377EC1"/>
    <w:rsid w:val="0038065A"/>
    <w:rsid w:val="003811D8"/>
    <w:rsid w:val="0038139C"/>
    <w:rsid w:val="00381C23"/>
    <w:rsid w:val="0038245F"/>
    <w:rsid w:val="003824D5"/>
    <w:rsid w:val="003825D5"/>
    <w:rsid w:val="00382A90"/>
    <w:rsid w:val="00382CB0"/>
    <w:rsid w:val="0038332D"/>
    <w:rsid w:val="0038383D"/>
    <w:rsid w:val="003838D3"/>
    <w:rsid w:val="00383BF1"/>
    <w:rsid w:val="003844EB"/>
    <w:rsid w:val="003846E2"/>
    <w:rsid w:val="003847FC"/>
    <w:rsid w:val="003861E3"/>
    <w:rsid w:val="003863D1"/>
    <w:rsid w:val="00386EEF"/>
    <w:rsid w:val="00386F7F"/>
    <w:rsid w:val="00387183"/>
    <w:rsid w:val="00387350"/>
    <w:rsid w:val="00387A59"/>
    <w:rsid w:val="00387D60"/>
    <w:rsid w:val="0039119C"/>
    <w:rsid w:val="00391A5B"/>
    <w:rsid w:val="00391D18"/>
    <w:rsid w:val="00391E67"/>
    <w:rsid w:val="00392A81"/>
    <w:rsid w:val="00392C2C"/>
    <w:rsid w:val="0039378B"/>
    <w:rsid w:val="00393C6A"/>
    <w:rsid w:val="00393F21"/>
    <w:rsid w:val="00394D34"/>
    <w:rsid w:val="00395527"/>
    <w:rsid w:val="00395A78"/>
    <w:rsid w:val="0039610C"/>
    <w:rsid w:val="00396E56"/>
    <w:rsid w:val="00397EE1"/>
    <w:rsid w:val="003A1244"/>
    <w:rsid w:val="003A149F"/>
    <w:rsid w:val="003A35B1"/>
    <w:rsid w:val="003A3A53"/>
    <w:rsid w:val="003A3DBD"/>
    <w:rsid w:val="003A49D6"/>
    <w:rsid w:val="003A4FFD"/>
    <w:rsid w:val="003A5001"/>
    <w:rsid w:val="003A56DB"/>
    <w:rsid w:val="003A5D96"/>
    <w:rsid w:val="003A6EEB"/>
    <w:rsid w:val="003A7043"/>
    <w:rsid w:val="003A7152"/>
    <w:rsid w:val="003A7722"/>
    <w:rsid w:val="003A7943"/>
    <w:rsid w:val="003A7DDB"/>
    <w:rsid w:val="003B0970"/>
    <w:rsid w:val="003B0C89"/>
    <w:rsid w:val="003B152B"/>
    <w:rsid w:val="003B187C"/>
    <w:rsid w:val="003B1BDE"/>
    <w:rsid w:val="003B1BED"/>
    <w:rsid w:val="003B1CF1"/>
    <w:rsid w:val="003B2643"/>
    <w:rsid w:val="003B26BC"/>
    <w:rsid w:val="003B2D2E"/>
    <w:rsid w:val="003B3254"/>
    <w:rsid w:val="003B330F"/>
    <w:rsid w:val="003B3E34"/>
    <w:rsid w:val="003B3E5D"/>
    <w:rsid w:val="003B4008"/>
    <w:rsid w:val="003B4472"/>
    <w:rsid w:val="003B5046"/>
    <w:rsid w:val="003B599B"/>
    <w:rsid w:val="003B5DD1"/>
    <w:rsid w:val="003B6101"/>
    <w:rsid w:val="003B6292"/>
    <w:rsid w:val="003B69E7"/>
    <w:rsid w:val="003B77FC"/>
    <w:rsid w:val="003B7C92"/>
    <w:rsid w:val="003B7E46"/>
    <w:rsid w:val="003B7FD3"/>
    <w:rsid w:val="003C0AB7"/>
    <w:rsid w:val="003C0FCF"/>
    <w:rsid w:val="003C1588"/>
    <w:rsid w:val="003C17B9"/>
    <w:rsid w:val="003C1AC9"/>
    <w:rsid w:val="003C25E2"/>
    <w:rsid w:val="003C2A35"/>
    <w:rsid w:val="003C391B"/>
    <w:rsid w:val="003C39C4"/>
    <w:rsid w:val="003C3DA9"/>
    <w:rsid w:val="003C42BF"/>
    <w:rsid w:val="003C547D"/>
    <w:rsid w:val="003C5DD4"/>
    <w:rsid w:val="003C61CA"/>
    <w:rsid w:val="003C66B5"/>
    <w:rsid w:val="003C70D1"/>
    <w:rsid w:val="003C772A"/>
    <w:rsid w:val="003C7887"/>
    <w:rsid w:val="003D08E7"/>
    <w:rsid w:val="003D1781"/>
    <w:rsid w:val="003D18BF"/>
    <w:rsid w:val="003D1980"/>
    <w:rsid w:val="003D21C3"/>
    <w:rsid w:val="003D376F"/>
    <w:rsid w:val="003D3FD7"/>
    <w:rsid w:val="003D47ED"/>
    <w:rsid w:val="003D4836"/>
    <w:rsid w:val="003D5D6B"/>
    <w:rsid w:val="003D63E4"/>
    <w:rsid w:val="003D648C"/>
    <w:rsid w:val="003D65DF"/>
    <w:rsid w:val="003D7105"/>
    <w:rsid w:val="003D7369"/>
    <w:rsid w:val="003D74C0"/>
    <w:rsid w:val="003E127F"/>
    <w:rsid w:val="003E15E3"/>
    <w:rsid w:val="003E1F20"/>
    <w:rsid w:val="003E20E0"/>
    <w:rsid w:val="003E21F0"/>
    <w:rsid w:val="003E2697"/>
    <w:rsid w:val="003E2A0C"/>
    <w:rsid w:val="003E2A98"/>
    <w:rsid w:val="003E2E23"/>
    <w:rsid w:val="003E3448"/>
    <w:rsid w:val="003E3E2D"/>
    <w:rsid w:val="003E3FF4"/>
    <w:rsid w:val="003E405C"/>
    <w:rsid w:val="003E4685"/>
    <w:rsid w:val="003E496B"/>
    <w:rsid w:val="003E5511"/>
    <w:rsid w:val="003E6D2D"/>
    <w:rsid w:val="003E6D4D"/>
    <w:rsid w:val="003E71FD"/>
    <w:rsid w:val="003E78F1"/>
    <w:rsid w:val="003E7FEE"/>
    <w:rsid w:val="003F003F"/>
    <w:rsid w:val="003F021B"/>
    <w:rsid w:val="003F21EF"/>
    <w:rsid w:val="003F24B2"/>
    <w:rsid w:val="003F2502"/>
    <w:rsid w:val="003F2735"/>
    <w:rsid w:val="003F3F83"/>
    <w:rsid w:val="003F417F"/>
    <w:rsid w:val="003F501F"/>
    <w:rsid w:val="003F5390"/>
    <w:rsid w:val="003F5D88"/>
    <w:rsid w:val="003F5EB7"/>
    <w:rsid w:val="003F6D9D"/>
    <w:rsid w:val="003F772C"/>
    <w:rsid w:val="003F77BA"/>
    <w:rsid w:val="004006B4"/>
    <w:rsid w:val="004007B3"/>
    <w:rsid w:val="004008E5"/>
    <w:rsid w:val="00401CBC"/>
    <w:rsid w:val="00401F57"/>
    <w:rsid w:val="004023AA"/>
    <w:rsid w:val="00402AC5"/>
    <w:rsid w:val="00403CA3"/>
    <w:rsid w:val="004040AC"/>
    <w:rsid w:val="004040E5"/>
    <w:rsid w:val="00404211"/>
    <w:rsid w:val="00404258"/>
    <w:rsid w:val="00404E84"/>
    <w:rsid w:val="0040506C"/>
    <w:rsid w:val="004053F9"/>
    <w:rsid w:val="004068A4"/>
    <w:rsid w:val="00406A6A"/>
    <w:rsid w:val="00406E51"/>
    <w:rsid w:val="004071F7"/>
    <w:rsid w:val="004078EE"/>
    <w:rsid w:val="00410257"/>
    <w:rsid w:val="00410856"/>
    <w:rsid w:val="004112DE"/>
    <w:rsid w:val="0041221B"/>
    <w:rsid w:val="004130FB"/>
    <w:rsid w:val="004131F1"/>
    <w:rsid w:val="00413D80"/>
    <w:rsid w:val="00413ED3"/>
    <w:rsid w:val="004140EC"/>
    <w:rsid w:val="004141A8"/>
    <w:rsid w:val="0041479A"/>
    <w:rsid w:val="00414F79"/>
    <w:rsid w:val="0041554C"/>
    <w:rsid w:val="00415778"/>
    <w:rsid w:val="004158BB"/>
    <w:rsid w:val="00415A03"/>
    <w:rsid w:val="0041748C"/>
    <w:rsid w:val="0041779F"/>
    <w:rsid w:val="00417BA6"/>
    <w:rsid w:val="00417D06"/>
    <w:rsid w:val="00420CF9"/>
    <w:rsid w:val="00421AED"/>
    <w:rsid w:val="004220B8"/>
    <w:rsid w:val="004226C4"/>
    <w:rsid w:val="00422F0F"/>
    <w:rsid w:val="00423148"/>
    <w:rsid w:val="00423917"/>
    <w:rsid w:val="00423B84"/>
    <w:rsid w:val="00423C96"/>
    <w:rsid w:val="00423E21"/>
    <w:rsid w:val="00423E56"/>
    <w:rsid w:val="00424DDD"/>
    <w:rsid w:val="00426E99"/>
    <w:rsid w:val="00427186"/>
    <w:rsid w:val="00427D1B"/>
    <w:rsid w:val="00430144"/>
    <w:rsid w:val="00430BBA"/>
    <w:rsid w:val="004310BF"/>
    <w:rsid w:val="0043117A"/>
    <w:rsid w:val="00431211"/>
    <w:rsid w:val="004318FE"/>
    <w:rsid w:val="00431920"/>
    <w:rsid w:val="00431BFC"/>
    <w:rsid w:val="00431F78"/>
    <w:rsid w:val="0043224E"/>
    <w:rsid w:val="0043288F"/>
    <w:rsid w:val="00432D7C"/>
    <w:rsid w:val="00433141"/>
    <w:rsid w:val="004331CD"/>
    <w:rsid w:val="004331DF"/>
    <w:rsid w:val="00433E0A"/>
    <w:rsid w:val="00434A1E"/>
    <w:rsid w:val="00434E68"/>
    <w:rsid w:val="004357C3"/>
    <w:rsid w:val="00436B79"/>
    <w:rsid w:val="004374BF"/>
    <w:rsid w:val="0043780F"/>
    <w:rsid w:val="004379C2"/>
    <w:rsid w:val="0044051B"/>
    <w:rsid w:val="00440F18"/>
    <w:rsid w:val="00440F81"/>
    <w:rsid w:val="00442BC4"/>
    <w:rsid w:val="00442F70"/>
    <w:rsid w:val="0044378F"/>
    <w:rsid w:val="00443D41"/>
    <w:rsid w:val="00444043"/>
    <w:rsid w:val="004441C3"/>
    <w:rsid w:val="00444376"/>
    <w:rsid w:val="00444B16"/>
    <w:rsid w:val="00444CDF"/>
    <w:rsid w:val="0044576C"/>
    <w:rsid w:val="004460ED"/>
    <w:rsid w:val="00446134"/>
    <w:rsid w:val="00447825"/>
    <w:rsid w:val="00447B6D"/>
    <w:rsid w:val="004507B2"/>
    <w:rsid w:val="0045104B"/>
    <w:rsid w:val="004516F3"/>
    <w:rsid w:val="00451760"/>
    <w:rsid w:val="00452348"/>
    <w:rsid w:val="004523E4"/>
    <w:rsid w:val="00452E57"/>
    <w:rsid w:val="00452FCE"/>
    <w:rsid w:val="004530B1"/>
    <w:rsid w:val="004530ED"/>
    <w:rsid w:val="00453E2D"/>
    <w:rsid w:val="00454413"/>
    <w:rsid w:val="004547E1"/>
    <w:rsid w:val="004547FA"/>
    <w:rsid w:val="00454C47"/>
    <w:rsid w:val="00454FC1"/>
    <w:rsid w:val="00456582"/>
    <w:rsid w:val="004570F8"/>
    <w:rsid w:val="004572CE"/>
    <w:rsid w:val="004573AF"/>
    <w:rsid w:val="004573FE"/>
    <w:rsid w:val="0045786C"/>
    <w:rsid w:val="00457900"/>
    <w:rsid w:val="00457E5C"/>
    <w:rsid w:val="004601F9"/>
    <w:rsid w:val="004603A7"/>
    <w:rsid w:val="00460A9D"/>
    <w:rsid w:val="00462377"/>
    <w:rsid w:val="00462777"/>
    <w:rsid w:val="004635B6"/>
    <w:rsid w:val="004637E0"/>
    <w:rsid w:val="0046454E"/>
    <w:rsid w:val="00464B4D"/>
    <w:rsid w:val="00465181"/>
    <w:rsid w:val="00465733"/>
    <w:rsid w:val="00465B31"/>
    <w:rsid w:val="004662D0"/>
    <w:rsid w:val="00466739"/>
    <w:rsid w:val="00466842"/>
    <w:rsid w:val="00466ACA"/>
    <w:rsid w:val="00466D9D"/>
    <w:rsid w:val="0046787C"/>
    <w:rsid w:val="00467E1B"/>
    <w:rsid w:val="004707C4"/>
    <w:rsid w:val="00470832"/>
    <w:rsid w:val="00470861"/>
    <w:rsid w:val="00470B9E"/>
    <w:rsid w:val="00470D1F"/>
    <w:rsid w:val="00471127"/>
    <w:rsid w:val="004714D4"/>
    <w:rsid w:val="00471C03"/>
    <w:rsid w:val="00472F09"/>
    <w:rsid w:val="004746C5"/>
    <w:rsid w:val="004747CA"/>
    <w:rsid w:val="00474B55"/>
    <w:rsid w:val="00475350"/>
    <w:rsid w:val="00475FBB"/>
    <w:rsid w:val="00476516"/>
    <w:rsid w:val="00476C03"/>
    <w:rsid w:val="004774EA"/>
    <w:rsid w:val="004800CA"/>
    <w:rsid w:val="00480A27"/>
    <w:rsid w:val="004827DB"/>
    <w:rsid w:val="00482D86"/>
    <w:rsid w:val="00482FAF"/>
    <w:rsid w:val="004836EB"/>
    <w:rsid w:val="004836F3"/>
    <w:rsid w:val="00483BF5"/>
    <w:rsid w:val="00483EC1"/>
    <w:rsid w:val="00484372"/>
    <w:rsid w:val="0048455F"/>
    <w:rsid w:val="00484CDC"/>
    <w:rsid w:val="0048562F"/>
    <w:rsid w:val="004856E1"/>
    <w:rsid w:val="004858B8"/>
    <w:rsid w:val="00485D08"/>
    <w:rsid w:val="00486F0A"/>
    <w:rsid w:val="00487460"/>
    <w:rsid w:val="0048762F"/>
    <w:rsid w:val="0049007A"/>
    <w:rsid w:val="00490270"/>
    <w:rsid w:val="00490385"/>
    <w:rsid w:val="004906DA"/>
    <w:rsid w:val="00490A26"/>
    <w:rsid w:val="00490A66"/>
    <w:rsid w:val="0049137E"/>
    <w:rsid w:val="004916B0"/>
    <w:rsid w:val="0049310F"/>
    <w:rsid w:val="00493ACC"/>
    <w:rsid w:val="00493CF9"/>
    <w:rsid w:val="00494317"/>
    <w:rsid w:val="0049445A"/>
    <w:rsid w:val="00494CD9"/>
    <w:rsid w:val="00494D63"/>
    <w:rsid w:val="00495C45"/>
    <w:rsid w:val="0049635E"/>
    <w:rsid w:val="004A04F6"/>
    <w:rsid w:val="004A13EC"/>
    <w:rsid w:val="004A21F3"/>
    <w:rsid w:val="004A2EEE"/>
    <w:rsid w:val="004A3439"/>
    <w:rsid w:val="004A3D4F"/>
    <w:rsid w:val="004A44B9"/>
    <w:rsid w:val="004A4EA2"/>
    <w:rsid w:val="004A568D"/>
    <w:rsid w:val="004A67AB"/>
    <w:rsid w:val="004A6E59"/>
    <w:rsid w:val="004A740D"/>
    <w:rsid w:val="004A7889"/>
    <w:rsid w:val="004B04C4"/>
    <w:rsid w:val="004B1A14"/>
    <w:rsid w:val="004B270A"/>
    <w:rsid w:val="004B318E"/>
    <w:rsid w:val="004B32B6"/>
    <w:rsid w:val="004B3810"/>
    <w:rsid w:val="004B3F33"/>
    <w:rsid w:val="004B4302"/>
    <w:rsid w:val="004B47D0"/>
    <w:rsid w:val="004B4CCE"/>
    <w:rsid w:val="004B4F90"/>
    <w:rsid w:val="004B7120"/>
    <w:rsid w:val="004B719A"/>
    <w:rsid w:val="004B7406"/>
    <w:rsid w:val="004B7670"/>
    <w:rsid w:val="004B7AED"/>
    <w:rsid w:val="004C0AE0"/>
    <w:rsid w:val="004C0D25"/>
    <w:rsid w:val="004C127B"/>
    <w:rsid w:val="004C15B3"/>
    <w:rsid w:val="004C192A"/>
    <w:rsid w:val="004C1E8D"/>
    <w:rsid w:val="004C21AB"/>
    <w:rsid w:val="004C2380"/>
    <w:rsid w:val="004C32BB"/>
    <w:rsid w:val="004C3384"/>
    <w:rsid w:val="004C3474"/>
    <w:rsid w:val="004C3671"/>
    <w:rsid w:val="004C37F0"/>
    <w:rsid w:val="004C3EAB"/>
    <w:rsid w:val="004C458D"/>
    <w:rsid w:val="004C4CE8"/>
    <w:rsid w:val="004C6616"/>
    <w:rsid w:val="004C6C7F"/>
    <w:rsid w:val="004D003C"/>
    <w:rsid w:val="004D0A44"/>
    <w:rsid w:val="004D0E34"/>
    <w:rsid w:val="004D0F4F"/>
    <w:rsid w:val="004D1164"/>
    <w:rsid w:val="004D126B"/>
    <w:rsid w:val="004D12B4"/>
    <w:rsid w:val="004D14FB"/>
    <w:rsid w:val="004D3790"/>
    <w:rsid w:val="004D48B6"/>
    <w:rsid w:val="004D50C5"/>
    <w:rsid w:val="004D52D4"/>
    <w:rsid w:val="004D5503"/>
    <w:rsid w:val="004D59B6"/>
    <w:rsid w:val="004D5ECA"/>
    <w:rsid w:val="004D66E2"/>
    <w:rsid w:val="004D693A"/>
    <w:rsid w:val="004D73E1"/>
    <w:rsid w:val="004E0822"/>
    <w:rsid w:val="004E092E"/>
    <w:rsid w:val="004E09F5"/>
    <w:rsid w:val="004E17AD"/>
    <w:rsid w:val="004E20B0"/>
    <w:rsid w:val="004E32C4"/>
    <w:rsid w:val="004E386A"/>
    <w:rsid w:val="004E4030"/>
    <w:rsid w:val="004E459A"/>
    <w:rsid w:val="004E4C6B"/>
    <w:rsid w:val="004E50F2"/>
    <w:rsid w:val="004E6172"/>
    <w:rsid w:val="004E6DF4"/>
    <w:rsid w:val="004E7442"/>
    <w:rsid w:val="004E74B3"/>
    <w:rsid w:val="004E77A0"/>
    <w:rsid w:val="004F0288"/>
    <w:rsid w:val="004F07AE"/>
    <w:rsid w:val="004F08A2"/>
    <w:rsid w:val="004F0CE2"/>
    <w:rsid w:val="004F1223"/>
    <w:rsid w:val="004F1DDA"/>
    <w:rsid w:val="004F252D"/>
    <w:rsid w:val="004F30D2"/>
    <w:rsid w:val="004F4171"/>
    <w:rsid w:val="004F4941"/>
    <w:rsid w:val="004F4C81"/>
    <w:rsid w:val="004F534F"/>
    <w:rsid w:val="004F5F1A"/>
    <w:rsid w:val="004F683E"/>
    <w:rsid w:val="00500492"/>
    <w:rsid w:val="0050068B"/>
    <w:rsid w:val="005006D0"/>
    <w:rsid w:val="00500A08"/>
    <w:rsid w:val="00500BAB"/>
    <w:rsid w:val="00500E29"/>
    <w:rsid w:val="0050121B"/>
    <w:rsid w:val="005015E5"/>
    <w:rsid w:val="00502A2F"/>
    <w:rsid w:val="00502A57"/>
    <w:rsid w:val="00502FA4"/>
    <w:rsid w:val="00503311"/>
    <w:rsid w:val="0050359D"/>
    <w:rsid w:val="005042FB"/>
    <w:rsid w:val="00504420"/>
    <w:rsid w:val="005048CC"/>
    <w:rsid w:val="00505132"/>
    <w:rsid w:val="00505CF3"/>
    <w:rsid w:val="0050639A"/>
    <w:rsid w:val="005074DD"/>
    <w:rsid w:val="00507991"/>
    <w:rsid w:val="00507DD8"/>
    <w:rsid w:val="00507EC3"/>
    <w:rsid w:val="00507F57"/>
    <w:rsid w:val="005100C7"/>
    <w:rsid w:val="00510392"/>
    <w:rsid w:val="0051066C"/>
    <w:rsid w:val="00510BF5"/>
    <w:rsid w:val="00511970"/>
    <w:rsid w:val="00512972"/>
    <w:rsid w:val="00512D9D"/>
    <w:rsid w:val="0051349C"/>
    <w:rsid w:val="00513A0F"/>
    <w:rsid w:val="00514AEE"/>
    <w:rsid w:val="00514E7A"/>
    <w:rsid w:val="005159DB"/>
    <w:rsid w:val="005164E5"/>
    <w:rsid w:val="0051690D"/>
    <w:rsid w:val="00516932"/>
    <w:rsid w:val="00516CB4"/>
    <w:rsid w:val="00517425"/>
    <w:rsid w:val="00517C2B"/>
    <w:rsid w:val="00517C54"/>
    <w:rsid w:val="00520328"/>
    <w:rsid w:val="0052040F"/>
    <w:rsid w:val="005204E5"/>
    <w:rsid w:val="005213EC"/>
    <w:rsid w:val="005216A2"/>
    <w:rsid w:val="005232DF"/>
    <w:rsid w:val="00523683"/>
    <w:rsid w:val="00523D7E"/>
    <w:rsid w:val="00524AAE"/>
    <w:rsid w:val="00524FA5"/>
    <w:rsid w:val="00525366"/>
    <w:rsid w:val="00526626"/>
    <w:rsid w:val="00526EF0"/>
    <w:rsid w:val="00530411"/>
    <w:rsid w:val="005304F2"/>
    <w:rsid w:val="00531105"/>
    <w:rsid w:val="00531137"/>
    <w:rsid w:val="0053125D"/>
    <w:rsid w:val="0053183A"/>
    <w:rsid w:val="0053195C"/>
    <w:rsid w:val="0053225B"/>
    <w:rsid w:val="00533085"/>
    <w:rsid w:val="00533949"/>
    <w:rsid w:val="0053403C"/>
    <w:rsid w:val="00535554"/>
    <w:rsid w:val="00535E6A"/>
    <w:rsid w:val="00536748"/>
    <w:rsid w:val="0053699A"/>
    <w:rsid w:val="00536BAC"/>
    <w:rsid w:val="00536D4F"/>
    <w:rsid w:val="00540525"/>
    <w:rsid w:val="0054096B"/>
    <w:rsid w:val="00540B76"/>
    <w:rsid w:val="00540D4D"/>
    <w:rsid w:val="005415E5"/>
    <w:rsid w:val="00541767"/>
    <w:rsid w:val="00541F55"/>
    <w:rsid w:val="00543080"/>
    <w:rsid w:val="005431CE"/>
    <w:rsid w:val="00543369"/>
    <w:rsid w:val="00544319"/>
    <w:rsid w:val="00544CF1"/>
    <w:rsid w:val="00545FCE"/>
    <w:rsid w:val="00546225"/>
    <w:rsid w:val="00546747"/>
    <w:rsid w:val="005475B4"/>
    <w:rsid w:val="00550215"/>
    <w:rsid w:val="005502B9"/>
    <w:rsid w:val="00551920"/>
    <w:rsid w:val="00551955"/>
    <w:rsid w:val="00552526"/>
    <w:rsid w:val="005526D6"/>
    <w:rsid w:val="005533D9"/>
    <w:rsid w:val="00554F32"/>
    <w:rsid w:val="00555169"/>
    <w:rsid w:val="005551D7"/>
    <w:rsid w:val="005557CE"/>
    <w:rsid w:val="00555896"/>
    <w:rsid w:val="005561E3"/>
    <w:rsid w:val="005607C3"/>
    <w:rsid w:val="00560AE7"/>
    <w:rsid w:val="005613F5"/>
    <w:rsid w:val="005614F2"/>
    <w:rsid w:val="005615D9"/>
    <w:rsid w:val="00561781"/>
    <w:rsid w:val="00561B7F"/>
    <w:rsid w:val="00561D54"/>
    <w:rsid w:val="0056223B"/>
    <w:rsid w:val="005622C3"/>
    <w:rsid w:val="0056244E"/>
    <w:rsid w:val="0056284F"/>
    <w:rsid w:val="00562E43"/>
    <w:rsid w:val="00562FA0"/>
    <w:rsid w:val="00563B19"/>
    <w:rsid w:val="0056428C"/>
    <w:rsid w:val="00564480"/>
    <w:rsid w:val="0056480D"/>
    <w:rsid w:val="00565C80"/>
    <w:rsid w:val="00565DC1"/>
    <w:rsid w:val="0056708A"/>
    <w:rsid w:val="0056723B"/>
    <w:rsid w:val="00567D26"/>
    <w:rsid w:val="00567E1C"/>
    <w:rsid w:val="005700A6"/>
    <w:rsid w:val="00570467"/>
    <w:rsid w:val="00570963"/>
    <w:rsid w:val="0057125F"/>
    <w:rsid w:val="00571A0E"/>
    <w:rsid w:val="00571AD2"/>
    <w:rsid w:val="00571B04"/>
    <w:rsid w:val="00571E90"/>
    <w:rsid w:val="005724B4"/>
    <w:rsid w:val="00573178"/>
    <w:rsid w:val="0057337E"/>
    <w:rsid w:val="00573D74"/>
    <w:rsid w:val="00573F09"/>
    <w:rsid w:val="00574439"/>
    <w:rsid w:val="00574503"/>
    <w:rsid w:val="00574F74"/>
    <w:rsid w:val="0057543A"/>
    <w:rsid w:val="00575BDF"/>
    <w:rsid w:val="00575C03"/>
    <w:rsid w:val="00577EC3"/>
    <w:rsid w:val="00580779"/>
    <w:rsid w:val="0058110A"/>
    <w:rsid w:val="00581761"/>
    <w:rsid w:val="00581844"/>
    <w:rsid w:val="0058204D"/>
    <w:rsid w:val="00582846"/>
    <w:rsid w:val="0058298A"/>
    <w:rsid w:val="00582E16"/>
    <w:rsid w:val="00583C9D"/>
    <w:rsid w:val="0058445F"/>
    <w:rsid w:val="005853BA"/>
    <w:rsid w:val="00585A56"/>
    <w:rsid w:val="005869E7"/>
    <w:rsid w:val="00587202"/>
    <w:rsid w:val="00590070"/>
    <w:rsid w:val="0059013D"/>
    <w:rsid w:val="0059053A"/>
    <w:rsid w:val="00591D03"/>
    <w:rsid w:val="00591EAC"/>
    <w:rsid w:val="00591ECE"/>
    <w:rsid w:val="0059259A"/>
    <w:rsid w:val="00592DB0"/>
    <w:rsid w:val="00593D96"/>
    <w:rsid w:val="005941CD"/>
    <w:rsid w:val="005949AC"/>
    <w:rsid w:val="00594C0A"/>
    <w:rsid w:val="00595BF7"/>
    <w:rsid w:val="00596A8A"/>
    <w:rsid w:val="00596C32"/>
    <w:rsid w:val="00596CFF"/>
    <w:rsid w:val="00597433"/>
    <w:rsid w:val="00597647"/>
    <w:rsid w:val="00597752"/>
    <w:rsid w:val="005A04E3"/>
    <w:rsid w:val="005A0690"/>
    <w:rsid w:val="005A0869"/>
    <w:rsid w:val="005A10EF"/>
    <w:rsid w:val="005A1133"/>
    <w:rsid w:val="005A115E"/>
    <w:rsid w:val="005A16FD"/>
    <w:rsid w:val="005A1A26"/>
    <w:rsid w:val="005A1C0E"/>
    <w:rsid w:val="005A21B5"/>
    <w:rsid w:val="005A241E"/>
    <w:rsid w:val="005A2425"/>
    <w:rsid w:val="005A26DE"/>
    <w:rsid w:val="005A2705"/>
    <w:rsid w:val="005A34B4"/>
    <w:rsid w:val="005A34BB"/>
    <w:rsid w:val="005A4B76"/>
    <w:rsid w:val="005A5524"/>
    <w:rsid w:val="005A5C18"/>
    <w:rsid w:val="005A5D62"/>
    <w:rsid w:val="005A5FD3"/>
    <w:rsid w:val="005A6310"/>
    <w:rsid w:val="005A77BC"/>
    <w:rsid w:val="005B0622"/>
    <w:rsid w:val="005B0A80"/>
    <w:rsid w:val="005B2636"/>
    <w:rsid w:val="005B31A3"/>
    <w:rsid w:val="005B33C3"/>
    <w:rsid w:val="005B377A"/>
    <w:rsid w:val="005B37DD"/>
    <w:rsid w:val="005B37FE"/>
    <w:rsid w:val="005B3A37"/>
    <w:rsid w:val="005B3AF1"/>
    <w:rsid w:val="005B3DC3"/>
    <w:rsid w:val="005B414A"/>
    <w:rsid w:val="005B4165"/>
    <w:rsid w:val="005B436D"/>
    <w:rsid w:val="005B4382"/>
    <w:rsid w:val="005B4500"/>
    <w:rsid w:val="005B46DE"/>
    <w:rsid w:val="005B474D"/>
    <w:rsid w:val="005B4960"/>
    <w:rsid w:val="005B66A2"/>
    <w:rsid w:val="005C07BE"/>
    <w:rsid w:val="005C0A93"/>
    <w:rsid w:val="005C0EE5"/>
    <w:rsid w:val="005C1C4B"/>
    <w:rsid w:val="005C2274"/>
    <w:rsid w:val="005C2C42"/>
    <w:rsid w:val="005C3220"/>
    <w:rsid w:val="005C3625"/>
    <w:rsid w:val="005C43CE"/>
    <w:rsid w:val="005C4561"/>
    <w:rsid w:val="005C47EE"/>
    <w:rsid w:val="005C5084"/>
    <w:rsid w:val="005C5577"/>
    <w:rsid w:val="005C6292"/>
    <w:rsid w:val="005C6C8E"/>
    <w:rsid w:val="005C6EFC"/>
    <w:rsid w:val="005C713E"/>
    <w:rsid w:val="005C7173"/>
    <w:rsid w:val="005C7407"/>
    <w:rsid w:val="005C7DDA"/>
    <w:rsid w:val="005D077C"/>
    <w:rsid w:val="005D0A7A"/>
    <w:rsid w:val="005D1991"/>
    <w:rsid w:val="005D1D38"/>
    <w:rsid w:val="005D2173"/>
    <w:rsid w:val="005D2747"/>
    <w:rsid w:val="005D303B"/>
    <w:rsid w:val="005D389F"/>
    <w:rsid w:val="005D393F"/>
    <w:rsid w:val="005D4AAC"/>
    <w:rsid w:val="005D5408"/>
    <w:rsid w:val="005D551D"/>
    <w:rsid w:val="005D5526"/>
    <w:rsid w:val="005D5663"/>
    <w:rsid w:val="005D5F0C"/>
    <w:rsid w:val="005D6203"/>
    <w:rsid w:val="005D6D86"/>
    <w:rsid w:val="005E0A9D"/>
    <w:rsid w:val="005E0C6F"/>
    <w:rsid w:val="005E0FAF"/>
    <w:rsid w:val="005E0FB6"/>
    <w:rsid w:val="005E1D5D"/>
    <w:rsid w:val="005E24ED"/>
    <w:rsid w:val="005E29C3"/>
    <w:rsid w:val="005E3432"/>
    <w:rsid w:val="005E34AF"/>
    <w:rsid w:val="005E426F"/>
    <w:rsid w:val="005E42E8"/>
    <w:rsid w:val="005E4524"/>
    <w:rsid w:val="005E532E"/>
    <w:rsid w:val="005E56BE"/>
    <w:rsid w:val="005E5ABD"/>
    <w:rsid w:val="005E695A"/>
    <w:rsid w:val="005E6D9D"/>
    <w:rsid w:val="005E6F8A"/>
    <w:rsid w:val="005E71C4"/>
    <w:rsid w:val="005E7CC0"/>
    <w:rsid w:val="005E7D65"/>
    <w:rsid w:val="005F0027"/>
    <w:rsid w:val="005F07E2"/>
    <w:rsid w:val="005F0858"/>
    <w:rsid w:val="005F2015"/>
    <w:rsid w:val="005F2D34"/>
    <w:rsid w:val="005F3290"/>
    <w:rsid w:val="005F365C"/>
    <w:rsid w:val="005F3768"/>
    <w:rsid w:val="005F389A"/>
    <w:rsid w:val="005F4372"/>
    <w:rsid w:val="005F63A5"/>
    <w:rsid w:val="005F6D0C"/>
    <w:rsid w:val="005F7964"/>
    <w:rsid w:val="00600E71"/>
    <w:rsid w:val="006013ED"/>
    <w:rsid w:val="00601FAA"/>
    <w:rsid w:val="0060258F"/>
    <w:rsid w:val="0060261C"/>
    <w:rsid w:val="00602F52"/>
    <w:rsid w:val="00603302"/>
    <w:rsid w:val="00603F4B"/>
    <w:rsid w:val="006052AB"/>
    <w:rsid w:val="00605A1A"/>
    <w:rsid w:val="00606197"/>
    <w:rsid w:val="0060671B"/>
    <w:rsid w:val="0060713E"/>
    <w:rsid w:val="0060744A"/>
    <w:rsid w:val="00607615"/>
    <w:rsid w:val="00607A5B"/>
    <w:rsid w:val="00607B93"/>
    <w:rsid w:val="00607D6C"/>
    <w:rsid w:val="00607F7A"/>
    <w:rsid w:val="00610651"/>
    <w:rsid w:val="00611261"/>
    <w:rsid w:val="00611AAD"/>
    <w:rsid w:val="00611EFE"/>
    <w:rsid w:val="00612C76"/>
    <w:rsid w:val="00612D86"/>
    <w:rsid w:val="006139B8"/>
    <w:rsid w:val="00614958"/>
    <w:rsid w:val="006149CD"/>
    <w:rsid w:val="00614EDA"/>
    <w:rsid w:val="00614EEA"/>
    <w:rsid w:val="0061539A"/>
    <w:rsid w:val="006154D0"/>
    <w:rsid w:val="00615864"/>
    <w:rsid w:val="006165E0"/>
    <w:rsid w:val="006166DB"/>
    <w:rsid w:val="00616A0E"/>
    <w:rsid w:val="00616D69"/>
    <w:rsid w:val="006172F3"/>
    <w:rsid w:val="00620162"/>
    <w:rsid w:val="0062058F"/>
    <w:rsid w:val="0062069B"/>
    <w:rsid w:val="00620946"/>
    <w:rsid w:val="006211CA"/>
    <w:rsid w:val="00621485"/>
    <w:rsid w:val="00621D4B"/>
    <w:rsid w:val="006220C2"/>
    <w:rsid w:val="00622131"/>
    <w:rsid w:val="00622BA9"/>
    <w:rsid w:val="006232C0"/>
    <w:rsid w:val="0062418C"/>
    <w:rsid w:val="006251AE"/>
    <w:rsid w:val="006252D2"/>
    <w:rsid w:val="0062574D"/>
    <w:rsid w:val="0062590E"/>
    <w:rsid w:val="00625AA5"/>
    <w:rsid w:val="0062622A"/>
    <w:rsid w:val="00626317"/>
    <w:rsid w:val="0062640F"/>
    <w:rsid w:val="00626BC4"/>
    <w:rsid w:val="00627082"/>
    <w:rsid w:val="00627150"/>
    <w:rsid w:val="006278C1"/>
    <w:rsid w:val="0063019E"/>
    <w:rsid w:val="00632051"/>
    <w:rsid w:val="0063469D"/>
    <w:rsid w:val="006348A6"/>
    <w:rsid w:val="0063562B"/>
    <w:rsid w:val="006360A1"/>
    <w:rsid w:val="006379CA"/>
    <w:rsid w:val="00640415"/>
    <w:rsid w:val="00640513"/>
    <w:rsid w:val="006407B4"/>
    <w:rsid w:val="00640913"/>
    <w:rsid w:val="00641537"/>
    <w:rsid w:val="006416BC"/>
    <w:rsid w:val="00641B67"/>
    <w:rsid w:val="00641DD2"/>
    <w:rsid w:val="006420EB"/>
    <w:rsid w:val="0064484A"/>
    <w:rsid w:val="0064577C"/>
    <w:rsid w:val="0064619D"/>
    <w:rsid w:val="00646347"/>
    <w:rsid w:val="00646C61"/>
    <w:rsid w:val="00646D89"/>
    <w:rsid w:val="00647741"/>
    <w:rsid w:val="006504AA"/>
    <w:rsid w:val="00650D31"/>
    <w:rsid w:val="00650EAE"/>
    <w:rsid w:val="00650F89"/>
    <w:rsid w:val="00651014"/>
    <w:rsid w:val="00652037"/>
    <w:rsid w:val="00653C9D"/>
    <w:rsid w:val="00653CA5"/>
    <w:rsid w:val="00654131"/>
    <w:rsid w:val="0065441E"/>
    <w:rsid w:val="00654CA4"/>
    <w:rsid w:val="0065668C"/>
    <w:rsid w:val="00657E96"/>
    <w:rsid w:val="006605F1"/>
    <w:rsid w:val="00660FCF"/>
    <w:rsid w:val="0066135A"/>
    <w:rsid w:val="006613EF"/>
    <w:rsid w:val="00661E63"/>
    <w:rsid w:val="00662F1F"/>
    <w:rsid w:val="006632E3"/>
    <w:rsid w:val="0066333F"/>
    <w:rsid w:val="00663671"/>
    <w:rsid w:val="00663DA0"/>
    <w:rsid w:val="00664934"/>
    <w:rsid w:val="006651B8"/>
    <w:rsid w:val="00665271"/>
    <w:rsid w:val="0066561A"/>
    <w:rsid w:val="006657BB"/>
    <w:rsid w:val="00665BA1"/>
    <w:rsid w:val="00665DC3"/>
    <w:rsid w:val="00666343"/>
    <w:rsid w:val="006668B8"/>
    <w:rsid w:val="00666C79"/>
    <w:rsid w:val="00666EB7"/>
    <w:rsid w:val="00667126"/>
    <w:rsid w:val="006673A7"/>
    <w:rsid w:val="00667804"/>
    <w:rsid w:val="0067060A"/>
    <w:rsid w:val="00670625"/>
    <w:rsid w:val="00670663"/>
    <w:rsid w:val="00671185"/>
    <w:rsid w:val="00671260"/>
    <w:rsid w:val="006723C3"/>
    <w:rsid w:val="00672A88"/>
    <w:rsid w:val="00672E3F"/>
    <w:rsid w:val="0067329E"/>
    <w:rsid w:val="00673520"/>
    <w:rsid w:val="006736F7"/>
    <w:rsid w:val="00673DE9"/>
    <w:rsid w:val="00674263"/>
    <w:rsid w:val="00674493"/>
    <w:rsid w:val="00676038"/>
    <w:rsid w:val="006767B5"/>
    <w:rsid w:val="00676D63"/>
    <w:rsid w:val="0067758A"/>
    <w:rsid w:val="006775A5"/>
    <w:rsid w:val="00677731"/>
    <w:rsid w:val="00677C5B"/>
    <w:rsid w:val="00677FAE"/>
    <w:rsid w:val="006804BD"/>
    <w:rsid w:val="00680740"/>
    <w:rsid w:val="006811AF"/>
    <w:rsid w:val="006817FB"/>
    <w:rsid w:val="00681956"/>
    <w:rsid w:val="00681B6E"/>
    <w:rsid w:val="006821FD"/>
    <w:rsid w:val="006827B5"/>
    <w:rsid w:val="006828A2"/>
    <w:rsid w:val="00683001"/>
    <w:rsid w:val="006830F7"/>
    <w:rsid w:val="006831A5"/>
    <w:rsid w:val="00683599"/>
    <w:rsid w:val="006838B1"/>
    <w:rsid w:val="0068424C"/>
    <w:rsid w:val="00684EBF"/>
    <w:rsid w:val="00685126"/>
    <w:rsid w:val="00685919"/>
    <w:rsid w:val="006860AD"/>
    <w:rsid w:val="0068700D"/>
    <w:rsid w:val="006875E8"/>
    <w:rsid w:val="00687A5D"/>
    <w:rsid w:val="00687BFE"/>
    <w:rsid w:val="00687CFC"/>
    <w:rsid w:val="006900EF"/>
    <w:rsid w:val="0069025B"/>
    <w:rsid w:val="0069040F"/>
    <w:rsid w:val="0069051E"/>
    <w:rsid w:val="0069190E"/>
    <w:rsid w:val="00691F65"/>
    <w:rsid w:val="00692388"/>
    <w:rsid w:val="00693263"/>
    <w:rsid w:val="00693370"/>
    <w:rsid w:val="006934BC"/>
    <w:rsid w:val="00693577"/>
    <w:rsid w:val="00693A17"/>
    <w:rsid w:val="006940D1"/>
    <w:rsid w:val="00694D8C"/>
    <w:rsid w:val="00695592"/>
    <w:rsid w:val="00695E27"/>
    <w:rsid w:val="00696156"/>
    <w:rsid w:val="0069626B"/>
    <w:rsid w:val="00696724"/>
    <w:rsid w:val="00696F9D"/>
    <w:rsid w:val="00697014"/>
    <w:rsid w:val="00697AE9"/>
    <w:rsid w:val="006A0084"/>
    <w:rsid w:val="006A0870"/>
    <w:rsid w:val="006A0A05"/>
    <w:rsid w:val="006A0FAA"/>
    <w:rsid w:val="006A1E09"/>
    <w:rsid w:val="006A2606"/>
    <w:rsid w:val="006A2A92"/>
    <w:rsid w:val="006A2D3A"/>
    <w:rsid w:val="006A336E"/>
    <w:rsid w:val="006A3546"/>
    <w:rsid w:val="006A3B37"/>
    <w:rsid w:val="006A3BC8"/>
    <w:rsid w:val="006A54D3"/>
    <w:rsid w:val="006A590F"/>
    <w:rsid w:val="006A5948"/>
    <w:rsid w:val="006A59AC"/>
    <w:rsid w:val="006A5EA4"/>
    <w:rsid w:val="006A5EFE"/>
    <w:rsid w:val="006A6518"/>
    <w:rsid w:val="006A70A8"/>
    <w:rsid w:val="006A711E"/>
    <w:rsid w:val="006A7A64"/>
    <w:rsid w:val="006A7FD7"/>
    <w:rsid w:val="006B0B0F"/>
    <w:rsid w:val="006B125D"/>
    <w:rsid w:val="006B156C"/>
    <w:rsid w:val="006B15D9"/>
    <w:rsid w:val="006B1855"/>
    <w:rsid w:val="006B1ACE"/>
    <w:rsid w:val="006B22F0"/>
    <w:rsid w:val="006B2C35"/>
    <w:rsid w:val="006B3AFB"/>
    <w:rsid w:val="006B3D4D"/>
    <w:rsid w:val="006B3F03"/>
    <w:rsid w:val="006B447B"/>
    <w:rsid w:val="006B46DF"/>
    <w:rsid w:val="006B4B19"/>
    <w:rsid w:val="006B5171"/>
    <w:rsid w:val="006B52FF"/>
    <w:rsid w:val="006B5D77"/>
    <w:rsid w:val="006B64B9"/>
    <w:rsid w:val="006B7006"/>
    <w:rsid w:val="006B73AA"/>
    <w:rsid w:val="006B7474"/>
    <w:rsid w:val="006B7591"/>
    <w:rsid w:val="006B76B2"/>
    <w:rsid w:val="006B7C23"/>
    <w:rsid w:val="006C133F"/>
    <w:rsid w:val="006C1E47"/>
    <w:rsid w:val="006C1E4E"/>
    <w:rsid w:val="006C2525"/>
    <w:rsid w:val="006C2C59"/>
    <w:rsid w:val="006C2DBC"/>
    <w:rsid w:val="006C373B"/>
    <w:rsid w:val="006C3888"/>
    <w:rsid w:val="006C4E81"/>
    <w:rsid w:val="006C51A5"/>
    <w:rsid w:val="006C57EA"/>
    <w:rsid w:val="006C5CB2"/>
    <w:rsid w:val="006C6993"/>
    <w:rsid w:val="006C6F3D"/>
    <w:rsid w:val="006C7916"/>
    <w:rsid w:val="006C7AB0"/>
    <w:rsid w:val="006C7C78"/>
    <w:rsid w:val="006D00FA"/>
    <w:rsid w:val="006D0B4A"/>
    <w:rsid w:val="006D1042"/>
    <w:rsid w:val="006D1B85"/>
    <w:rsid w:val="006D1E01"/>
    <w:rsid w:val="006D25D7"/>
    <w:rsid w:val="006D324E"/>
    <w:rsid w:val="006D35AA"/>
    <w:rsid w:val="006D36CC"/>
    <w:rsid w:val="006D373D"/>
    <w:rsid w:val="006D3A2E"/>
    <w:rsid w:val="006D3C1E"/>
    <w:rsid w:val="006D435F"/>
    <w:rsid w:val="006D451B"/>
    <w:rsid w:val="006D4942"/>
    <w:rsid w:val="006D565D"/>
    <w:rsid w:val="006D59AD"/>
    <w:rsid w:val="006D5AA5"/>
    <w:rsid w:val="006D678B"/>
    <w:rsid w:val="006D72D4"/>
    <w:rsid w:val="006D7552"/>
    <w:rsid w:val="006D7554"/>
    <w:rsid w:val="006E0A01"/>
    <w:rsid w:val="006E207A"/>
    <w:rsid w:val="006E2B7F"/>
    <w:rsid w:val="006E2C4B"/>
    <w:rsid w:val="006E2EAA"/>
    <w:rsid w:val="006E33C4"/>
    <w:rsid w:val="006E4032"/>
    <w:rsid w:val="006E452C"/>
    <w:rsid w:val="006E4A60"/>
    <w:rsid w:val="006E53F2"/>
    <w:rsid w:val="006E5D7C"/>
    <w:rsid w:val="006E65A8"/>
    <w:rsid w:val="006E6675"/>
    <w:rsid w:val="006E741D"/>
    <w:rsid w:val="006F0CDD"/>
    <w:rsid w:val="006F189B"/>
    <w:rsid w:val="006F2FBB"/>
    <w:rsid w:val="006F3308"/>
    <w:rsid w:val="006F39BD"/>
    <w:rsid w:val="006F43CF"/>
    <w:rsid w:val="006F4483"/>
    <w:rsid w:val="006F4F8A"/>
    <w:rsid w:val="006F5050"/>
    <w:rsid w:val="006F5271"/>
    <w:rsid w:val="006F618F"/>
    <w:rsid w:val="006F61CE"/>
    <w:rsid w:val="006F648B"/>
    <w:rsid w:val="007000E2"/>
    <w:rsid w:val="00700D12"/>
    <w:rsid w:val="00701002"/>
    <w:rsid w:val="00701988"/>
    <w:rsid w:val="00701D35"/>
    <w:rsid w:val="00702580"/>
    <w:rsid w:val="007025F5"/>
    <w:rsid w:val="00702653"/>
    <w:rsid w:val="007027D7"/>
    <w:rsid w:val="007029A3"/>
    <w:rsid w:val="00703B96"/>
    <w:rsid w:val="00704175"/>
    <w:rsid w:val="007041CD"/>
    <w:rsid w:val="007042C1"/>
    <w:rsid w:val="007049B0"/>
    <w:rsid w:val="00704A6E"/>
    <w:rsid w:val="00704A88"/>
    <w:rsid w:val="00704CF6"/>
    <w:rsid w:val="007052DA"/>
    <w:rsid w:val="00705520"/>
    <w:rsid w:val="00705A01"/>
    <w:rsid w:val="00705E67"/>
    <w:rsid w:val="00706F29"/>
    <w:rsid w:val="007074D7"/>
    <w:rsid w:val="0070750B"/>
    <w:rsid w:val="0070769A"/>
    <w:rsid w:val="0070773B"/>
    <w:rsid w:val="00707868"/>
    <w:rsid w:val="00707B33"/>
    <w:rsid w:val="00710342"/>
    <w:rsid w:val="007103D1"/>
    <w:rsid w:val="00710C81"/>
    <w:rsid w:val="00710D89"/>
    <w:rsid w:val="00712971"/>
    <w:rsid w:val="00712C92"/>
    <w:rsid w:val="00712ED8"/>
    <w:rsid w:val="007131E5"/>
    <w:rsid w:val="00713738"/>
    <w:rsid w:val="007140D6"/>
    <w:rsid w:val="00714382"/>
    <w:rsid w:val="007149B7"/>
    <w:rsid w:val="007153BC"/>
    <w:rsid w:val="007153FE"/>
    <w:rsid w:val="007156A2"/>
    <w:rsid w:val="0071614D"/>
    <w:rsid w:val="00716BBE"/>
    <w:rsid w:val="0072075E"/>
    <w:rsid w:val="007218C3"/>
    <w:rsid w:val="00721D61"/>
    <w:rsid w:val="00721D6F"/>
    <w:rsid w:val="00721E62"/>
    <w:rsid w:val="007220CE"/>
    <w:rsid w:val="007222C3"/>
    <w:rsid w:val="00723131"/>
    <w:rsid w:val="007241E9"/>
    <w:rsid w:val="00724325"/>
    <w:rsid w:val="00724F21"/>
    <w:rsid w:val="007254DD"/>
    <w:rsid w:val="00725974"/>
    <w:rsid w:val="00725BDD"/>
    <w:rsid w:val="00727074"/>
    <w:rsid w:val="00727FA5"/>
    <w:rsid w:val="00730493"/>
    <w:rsid w:val="00731518"/>
    <w:rsid w:val="00732F06"/>
    <w:rsid w:val="00733E72"/>
    <w:rsid w:val="007348A4"/>
    <w:rsid w:val="007358C2"/>
    <w:rsid w:val="0073590C"/>
    <w:rsid w:val="007362EC"/>
    <w:rsid w:val="00736814"/>
    <w:rsid w:val="00736E38"/>
    <w:rsid w:val="00737310"/>
    <w:rsid w:val="00737AFE"/>
    <w:rsid w:val="007402F6"/>
    <w:rsid w:val="00742470"/>
    <w:rsid w:val="007428D7"/>
    <w:rsid w:val="00743851"/>
    <w:rsid w:val="00744925"/>
    <w:rsid w:val="00747180"/>
    <w:rsid w:val="00747369"/>
    <w:rsid w:val="00747569"/>
    <w:rsid w:val="007477DE"/>
    <w:rsid w:val="00747E13"/>
    <w:rsid w:val="007500B0"/>
    <w:rsid w:val="00750113"/>
    <w:rsid w:val="0075131C"/>
    <w:rsid w:val="007519D8"/>
    <w:rsid w:val="00751A5D"/>
    <w:rsid w:val="00751DB6"/>
    <w:rsid w:val="007522B9"/>
    <w:rsid w:val="007522E6"/>
    <w:rsid w:val="007524F2"/>
    <w:rsid w:val="007525AD"/>
    <w:rsid w:val="007528AE"/>
    <w:rsid w:val="00752B19"/>
    <w:rsid w:val="00752F5E"/>
    <w:rsid w:val="00752F9A"/>
    <w:rsid w:val="007533D2"/>
    <w:rsid w:val="007548A1"/>
    <w:rsid w:val="00754C14"/>
    <w:rsid w:val="007566A6"/>
    <w:rsid w:val="00757AAA"/>
    <w:rsid w:val="00760BBA"/>
    <w:rsid w:val="00760CFD"/>
    <w:rsid w:val="007613AB"/>
    <w:rsid w:val="00761C55"/>
    <w:rsid w:val="00763444"/>
    <w:rsid w:val="00763ACD"/>
    <w:rsid w:val="00764443"/>
    <w:rsid w:val="0076479B"/>
    <w:rsid w:val="00764E17"/>
    <w:rsid w:val="00765673"/>
    <w:rsid w:val="007663E8"/>
    <w:rsid w:val="007665EC"/>
    <w:rsid w:val="00766661"/>
    <w:rsid w:val="00766AA8"/>
    <w:rsid w:val="00766B86"/>
    <w:rsid w:val="00766D0A"/>
    <w:rsid w:val="00770E8D"/>
    <w:rsid w:val="0077146E"/>
    <w:rsid w:val="007716F2"/>
    <w:rsid w:val="00771816"/>
    <w:rsid w:val="00771D8D"/>
    <w:rsid w:val="00771DCE"/>
    <w:rsid w:val="00773022"/>
    <w:rsid w:val="00775924"/>
    <w:rsid w:val="007764CB"/>
    <w:rsid w:val="00777F8D"/>
    <w:rsid w:val="007805B0"/>
    <w:rsid w:val="00780B75"/>
    <w:rsid w:val="007810CC"/>
    <w:rsid w:val="007812D0"/>
    <w:rsid w:val="00781BE2"/>
    <w:rsid w:val="0078227A"/>
    <w:rsid w:val="00782C7D"/>
    <w:rsid w:val="00783843"/>
    <w:rsid w:val="007840C3"/>
    <w:rsid w:val="00784436"/>
    <w:rsid w:val="007848E9"/>
    <w:rsid w:val="007865A9"/>
    <w:rsid w:val="007875A6"/>
    <w:rsid w:val="0078780E"/>
    <w:rsid w:val="007879EC"/>
    <w:rsid w:val="00787B68"/>
    <w:rsid w:val="007918BF"/>
    <w:rsid w:val="00791B82"/>
    <w:rsid w:val="00791BA1"/>
    <w:rsid w:val="00791C4A"/>
    <w:rsid w:val="007926DB"/>
    <w:rsid w:val="00792A67"/>
    <w:rsid w:val="00792B92"/>
    <w:rsid w:val="007931D3"/>
    <w:rsid w:val="00793E04"/>
    <w:rsid w:val="007946F2"/>
    <w:rsid w:val="0079502B"/>
    <w:rsid w:val="007954E1"/>
    <w:rsid w:val="00795556"/>
    <w:rsid w:val="00796655"/>
    <w:rsid w:val="0079674B"/>
    <w:rsid w:val="00796EF1"/>
    <w:rsid w:val="007973AF"/>
    <w:rsid w:val="00797407"/>
    <w:rsid w:val="00797495"/>
    <w:rsid w:val="00797573"/>
    <w:rsid w:val="00797694"/>
    <w:rsid w:val="007978D4"/>
    <w:rsid w:val="00797C61"/>
    <w:rsid w:val="007A02E2"/>
    <w:rsid w:val="007A10B8"/>
    <w:rsid w:val="007A25E5"/>
    <w:rsid w:val="007A2C08"/>
    <w:rsid w:val="007A359F"/>
    <w:rsid w:val="007A395A"/>
    <w:rsid w:val="007A45EE"/>
    <w:rsid w:val="007A4ED2"/>
    <w:rsid w:val="007A5254"/>
    <w:rsid w:val="007A5A28"/>
    <w:rsid w:val="007A5A67"/>
    <w:rsid w:val="007A5A8A"/>
    <w:rsid w:val="007A5CF8"/>
    <w:rsid w:val="007A6F6E"/>
    <w:rsid w:val="007A7712"/>
    <w:rsid w:val="007A7943"/>
    <w:rsid w:val="007A7F0E"/>
    <w:rsid w:val="007B0326"/>
    <w:rsid w:val="007B072D"/>
    <w:rsid w:val="007B0768"/>
    <w:rsid w:val="007B0D36"/>
    <w:rsid w:val="007B0D49"/>
    <w:rsid w:val="007B0FCC"/>
    <w:rsid w:val="007B152A"/>
    <w:rsid w:val="007B26BE"/>
    <w:rsid w:val="007B2CB9"/>
    <w:rsid w:val="007B34E2"/>
    <w:rsid w:val="007B3668"/>
    <w:rsid w:val="007B380D"/>
    <w:rsid w:val="007B3BB8"/>
    <w:rsid w:val="007B40A5"/>
    <w:rsid w:val="007B4852"/>
    <w:rsid w:val="007B55F1"/>
    <w:rsid w:val="007B613D"/>
    <w:rsid w:val="007B69A0"/>
    <w:rsid w:val="007B6A0E"/>
    <w:rsid w:val="007B6F98"/>
    <w:rsid w:val="007B74F5"/>
    <w:rsid w:val="007C0253"/>
    <w:rsid w:val="007C06B6"/>
    <w:rsid w:val="007C0C58"/>
    <w:rsid w:val="007C12CE"/>
    <w:rsid w:val="007C1B7C"/>
    <w:rsid w:val="007C1CEC"/>
    <w:rsid w:val="007C2975"/>
    <w:rsid w:val="007C2E5A"/>
    <w:rsid w:val="007C35F3"/>
    <w:rsid w:val="007C4947"/>
    <w:rsid w:val="007C4AEC"/>
    <w:rsid w:val="007C4B24"/>
    <w:rsid w:val="007C4FC9"/>
    <w:rsid w:val="007C5021"/>
    <w:rsid w:val="007C50B5"/>
    <w:rsid w:val="007C5282"/>
    <w:rsid w:val="007C6D22"/>
    <w:rsid w:val="007C6E0E"/>
    <w:rsid w:val="007C7940"/>
    <w:rsid w:val="007C7B46"/>
    <w:rsid w:val="007D04A1"/>
    <w:rsid w:val="007D120A"/>
    <w:rsid w:val="007D1845"/>
    <w:rsid w:val="007D1BEB"/>
    <w:rsid w:val="007D2208"/>
    <w:rsid w:val="007D2219"/>
    <w:rsid w:val="007D2657"/>
    <w:rsid w:val="007D26C1"/>
    <w:rsid w:val="007D33AD"/>
    <w:rsid w:val="007D3F82"/>
    <w:rsid w:val="007D42A1"/>
    <w:rsid w:val="007D4458"/>
    <w:rsid w:val="007D4831"/>
    <w:rsid w:val="007D486D"/>
    <w:rsid w:val="007D49A6"/>
    <w:rsid w:val="007D4F0B"/>
    <w:rsid w:val="007D5B37"/>
    <w:rsid w:val="007D6347"/>
    <w:rsid w:val="007D6B0B"/>
    <w:rsid w:val="007D6DC9"/>
    <w:rsid w:val="007D6EFF"/>
    <w:rsid w:val="007D7972"/>
    <w:rsid w:val="007D7AC6"/>
    <w:rsid w:val="007D7DB6"/>
    <w:rsid w:val="007E00B1"/>
    <w:rsid w:val="007E0475"/>
    <w:rsid w:val="007E057B"/>
    <w:rsid w:val="007E05D5"/>
    <w:rsid w:val="007E07A4"/>
    <w:rsid w:val="007E158E"/>
    <w:rsid w:val="007E1B56"/>
    <w:rsid w:val="007E242F"/>
    <w:rsid w:val="007E2DF0"/>
    <w:rsid w:val="007E2E1A"/>
    <w:rsid w:val="007E3151"/>
    <w:rsid w:val="007E4183"/>
    <w:rsid w:val="007E44A4"/>
    <w:rsid w:val="007E47C0"/>
    <w:rsid w:val="007E4BAE"/>
    <w:rsid w:val="007E4FE1"/>
    <w:rsid w:val="007E58A2"/>
    <w:rsid w:val="007E5EDE"/>
    <w:rsid w:val="007E6010"/>
    <w:rsid w:val="007E632B"/>
    <w:rsid w:val="007E662F"/>
    <w:rsid w:val="007E6F28"/>
    <w:rsid w:val="007E7534"/>
    <w:rsid w:val="007E7B4A"/>
    <w:rsid w:val="007F02A5"/>
    <w:rsid w:val="007F032E"/>
    <w:rsid w:val="007F0580"/>
    <w:rsid w:val="007F0BA9"/>
    <w:rsid w:val="007F3725"/>
    <w:rsid w:val="007F3EED"/>
    <w:rsid w:val="007F48BD"/>
    <w:rsid w:val="007F553A"/>
    <w:rsid w:val="007F555D"/>
    <w:rsid w:val="007F5599"/>
    <w:rsid w:val="007F5ABC"/>
    <w:rsid w:val="007F5E6C"/>
    <w:rsid w:val="007F6070"/>
    <w:rsid w:val="007F629C"/>
    <w:rsid w:val="007F667C"/>
    <w:rsid w:val="007F6AA8"/>
    <w:rsid w:val="007F6ABB"/>
    <w:rsid w:val="007F7126"/>
    <w:rsid w:val="007F733C"/>
    <w:rsid w:val="007F7FED"/>
    <w:rsid w:val="00800F22"/>
    <w:rsid w:val="00800F2E"/>
    <w:rsid w:val="0080140A"/>
    <w:rsid w:val="008018C4"/>
    <w:rsid w:val="00801F67"/>
    <w:rsid w:val="00802012"/>
    <w:rsid w:val="00802297"/>
    <w:rsid w:val="0080230C"/>
    <w:rsid w:val="008028F0"/>
    <w:rsid w:val="008030ED"/>
    <w:rsid w:val="00804449"/>
    <w:rsid w:val="0080493A"/>
    <w:rsid w:val="00804F67"/>
    <w:rsid w:val="008053D1"/>
    <w:rsid w:val="00805F79"/>
    <w:rsid w:val="00806F05"/>
    <w:rsid w:val="00807009"/>
    <w:rsid w:val="0080725F"/>
    <w:rsid w:val="00810681"/>
    <w:rsid w:val="00810728"/>
    <w:rsid w:val="008112B9"/>
    <w:rsid w:val="008114EA"/>
    <w:rsid w:val="008115BC"/>
    <w:rsid w:val="00811610"/>
    <w:rsid w:val="008131B3"/>
    <w:rsid w:val="0081346A"/>
    <w:rsid w:val="008143FC"/>
    <w:rsid w:val="00814467"/>
    <w:rsid w:val="00814D97"/>
    <w:rsid w:val="008158D9"/>
    <w:rsid w:val="00815B4D"/>
    <w:rsid w:val="00815B53"/>
    <w:rsid w:val="00816006"/>
    <w:rsid w:val="00816542"/>
    <w:rsid w:val="00816C7D"/>
    <w:rsid w:val="00816C9D"/>
    <w:rsid w:val="00817063"/>
    <w:rsid w:val="00820A45"/>
    <w:rsid w:val="00820D56"/>
    <w:rsid w:val="0082117C"/>
    <w:rsid w:val="00821224"/>
    <w:rsid w:val="0082131F"/>
    <w:rsid w:val="00821B83"/>
    <w:rsid w:val="00822D67"/>
    <w:rsid w:val="00823249"/>
    <w:rsid w:val="00825E9B"/>
    <w:rsid w:val="00825FB5"/>
    <w:rsid w:val="00826E57"/>
    <w:rsid w:val="00827646"/>
    <w:rsid w:val="00827C51"/>
    <w:rsid w:val="00827C5F"/>
    <w:rsid w:val="00830013"/>
    <w:rsid w:val="00830133"/>
    <w:rsid w:val="008303A8"/>
    <w:rsid w:val="00830747"/>
    <w:rsid w:val="00830A26"/>
    <w:rsid w:val="00830DB2"/>
    <w:rsid w:val="00831621"/>
    <w:rsid w:val="00831902"/>
    <w:rsid w:val="00831B83"/>
    <w:rsid w:val="00831BB9"/>
    <w:rsid w:val="00831BD4"/>
    <w:rsid w:val="00832A0D"/>
    <w:rsid w:val="00834C1E"/>
    <w:rsid w:val="008350C2"/>
    <w:rsid w:val="0083514C"/>
    <w:rsid w:val="00835D98"/>
    <w:rsid w:val="00835F97"/>
    <w:rsid w:val="00836216"/>
    <w:rsid w:val="00836326"/>
    <w:rsid w:val="0083657C"/>
    <w:rsid w:val="008375B1"/>
    <w:rsid w:val="008375BC"/>
    <w:rsid w:val="008377C4"/>
    <w:rsid w:val="00837F7E"/>
    <w:rsid w:val="00840604"/>
    <w:rsid w:val="0084086A"/>
    <w:rsid w:val="00840925"/>
    <w:rsid w:val="008431E7"/>
    <w:rsid w:val="00843772"/>
    <w:rsid w:val="008440CE"/>
    <w:rsid w:val="008444B3"/>
    <w:rsid w:val="00844DB4"/>
    <w:rsid w:val="008459D4"/>
    <w:rsid w:val="00846EAF"/>
    <w:rsid w:val="008501C5"/>
    <w:rsid w:val="008503B3"/>
    <w:rsid w:val="0085058E"/>
    <w:rsid w:val="0085064E"/>
    <w:rsid w:val="008506A0"/>
    <w:rsid w:val="00850AF5"/>
    <w:rsid w:val="00850F16"/>
    <w:rsid w:val="008511A5"/>
    <w:rsid w:val="008515E8"/>
    <w:rsid w:val="008515F6"/>
    <w:rsid w:val="00851646"/>
    <w:rsid w:val="00851D06"/>
    <w:rsid w:val="00852150"/>
    <w:rsid w:val="00852831"/>
    <w:rsid w:val="00852EF0"/>
    <w:rsid w:val="008537F2"/>
    <w:rsid w:val="0085381E"/>
    <w:rsid w:val="00853EFE"/>
    <w:rsid w:val="00854E47"/>
    <w:rsid w:val="00855381"/>
    <w:rsid w:val="008558A4"/>
    <w:rsid w:val="008570E3"/>
    <w:rsid w:val="0085727C"/>
    <w:rsid w:val="008575C4"/>
    <w:rsid w:val="00857C7F"/>
    <w:rsid w:val="00857F7D"/>
    <w:rsid w:val="0086099D"/>
    <w:rsid w:val="008609AD"/>
    <w:rsid w:val="008609C7"/>
    <w:rsid w:val="00860E6C"/>
    <w:rsid w:val="00861BA6"/>
    <w:rsid w:val="00863214"/>
    <w:rsid w:val="008637BF"/>
    <w:rsid w:val="00863D22"/>
    <w:rsid w:val="0086479A"/>
    <w:rsid w:val="00864D26"/>
    <w:rsid w:val="008652B0"/>
    <w:rsid w:val="008653F8"/>
    <w:rsid w:val="00865D96"/>
    <w:rsid w:val="008663DA"/>
    <w:rsid w:val="00866711"/>
    <w:rsid w:val="00866CDE"/>
    <w:rsid w:val="00866DF9"/>
    <w:rsid w:val="00867031"/>
    <w:rsid w:val="00867CE9"/>
    <w:rsid w:val="00867DB4"/>
    <w:rsid w:val="00870063"/>
    <w:rsid w:val="00870CD4"/>
    <w:rsid w:val="0087127B"/>
    <w:rsid w:val="0087149C"/>
    <w:rsid w:val="00871ACA"/>
    <w:rsid w:val="00871F14"/>
    <w:rsid w:val="00872066"/>
    <w:rsid w:val="00872321"/>
    <w:rsid w:val="008735CF"/>
    <w:rsid w:val="008740B6"/>
    <w:rsid w:val="008743B0"/>
    <w:rsid w:val="008753B1"/>
    <w:rsid w:val="0087562A"/>
    <w:rsid w:val="008757A3"/>
    <w:rsid w:val="008762C1"/>
    <w:rsid w:val="0087656C"/>
    <w:rsid w:val="008769AC"/>
    <w:rsid w:val="00877E57"/>
    <w:rsid w:val="008802E8"/>
    <w:rsid w:val="00880CD3"/>
    <w:rsid w:val="00880EB2"/>
    <w:rsid w:val="008812B3"/>
    <w:rsid w:val="00881B32"/>
    <w:rsid w:val="008824DC"/>
    <w:rsid w:val="00882852"/>
    <w:rsid w:val="00882D37"/>
    <w:rsid w:val="00883245"/>
    <w:rsid w:val="0088334B"/>
    <w:rsid w:val="008837CF"/>
    <w:rsid w:val="00883E97"/>
    <w:rsid w:val="00885246"/>
    <w:rsid w:val="00885329"/>
    <w:rsid w:val="00885A1F"/>
    <w:rsid w:val="00885ADF"/>
    <w:rsid w:val="008869C5"/>
    <w:rsid w:val="00886F06"/>
    <w:rsid w:val="0088704C"/>
    <w:rsid w:val="008877C2"/>
    <w:rsid w:val="008909AD"/>
    <w:rsid w:val="0089165A"/>
    <w:rsid w:val="0089176A"/>
    <w:rsid w:val="00891A9D"/>
    <w:rsid w:val="00891C36"/>
    <w:rsid w:val="008926E6"/>
    <w:rsid w:val="00892A59"/>
    <w:rsid w:val="0089323A"/>
    <w:rsid w:val="00893AF0"/>
    <w:rsid w:val="00893B57"/>
    <w:rsid w:val="00893D04"/>
    <w:rsid w:val="00894AD3"/>
    <w:rsid w:val="008950D9"/>
    <w:rsid w:val="00895BFB"/>
    <w:rsid w:val="00895E5F"/>
    <w:rsid w:val="00896394"/>
    <w:rsid w:val="008963A3"/>
    <w:rsid w:val="00896AD9"/>
    <w:rsid w:val="0089733C"/>
    <w:rsid w:val="00897918"/>
    <w:rsid w:val="00897EBF"/>
    <w:rsid w:val="008A04BB"/>
    <w:rsid w:val="008A09DB"/>
    <w:rsid w:val="008A0A30"/>
    <w:rsid w:val="008A12BD"/>
    <w:rsid w:val="008A13C8"/>
    <w:rsid w:val="008A1A09"/>
    <w:rsid w:val="008A1F99"/>
    <w:rsid w:val="008A22FE"/>
    <w:rsid w:val="008A2690"/>
    <w:rsid w:val="008A2796"/>
    <w:rsid w:val="008A4542"/>
    <w:rsid w:val="008A462C"/>
    <w:rsid w:val="008A47CC"/>
    <w:rsid w:val="008A4F31"/>
    <w:rsid w:val="008A5AB0"/>
    <w:rsid w:val="008A611D"/>
    <w:rsid w:val="008A6145"/>
    <w:rsid w:val="008A7DCB"/>
    <w:rsid w:val="008B019F"/>
    <w:rsid w:val="008B129B"/>
    <w:rsid w:val="008B198D"/>
    <w:rsid w:val="008B1AF9"/>
    <w:rsid w:val="008B1B28"/>
    <w:rsid w:val="008B1C29"/>
    <w:rsid w:val="008B2BB9"/>
    <w:rsid w:val="008B320D"/>
    <w:rsid w:val="008B332E"/>
    <w:rsid w:val="008B440C"/>
    <w:rsid w:val="008B44DF"/>
    <w:rsid w:val="008B4944"/>
    <w:rsid w:val="008B5714"/>
    <w:rsid w:val="008B5ADF"/>
    <w:rsid w:val="008B6AAF"/>
    <w:rsid w:val="008B6D2B"/>
    <w:rsid w:val="008B71E8"/>
    <w:rsid w:val="008B7865"/>
    <w:rsid w:val="008B7950"/>
    <w:rsid w:val="008B7B07"/>
    <w:rsid w:val="008C0326"/>
    <w:rsid w:val="008C05FB"/>
    <w:rsid w:val="008C14AF"/>
    <w:rsid w:val="008C1A75"/>
    <w:rsid w:val="008C29AC"/>
    <w:rsid w:val="008C2B70"/>
    <w:rsid w:val="008C3926"/>
    <w:rsid w:val="008C3952"/>
    <w:rsid w:val="008C3F3E"/>
    <w:rsid w:val="008C4524"/>
    <w:rsid w:val="008C45B6"/>
    <w:rsid w:val="008C49BA"/>
    <w:rsid w:val="008C4CAD"/>
    <w:rsid w:val="008C53FC"/>
    <w:rsid w:val="008C59E1"/>
    <w:rsid w:val="008C5AA0"/>
    <w:rsid w:val="008C5B80"/>
    <w:rsid w:val="008C5C07"/>
    <w:rsid w:val="008C5D0B"/>
    <w:rsid w:val="008C65EF"/>
    <w:rsid w:val="008C704F"/>
    <w:rsid w:val="008C7124"/>
    <w:rsid w:val="008C7203"/>
    <w:rsid w:val="008C74B1"/>
    <w:rsid w:val="008C751C"/>
    <w:rsid w:val="008D017D"/>
    <w:rsid w:val="008D0618"/>
    <w:rsid w:val="008D0E90"/>
    <w:rsid w:val="008D10C2"/>
    <w:rsid w:val="008D211C"/>
    <w:rsid w:val="008D2153"/>
    <w:rsid w:val="008D2BA5"/>
    <w:rsid w:val="008D32B1"/>
    <w:rsid w:val="008D3B33"/>
    <w:rsid w:val="008D3F95"/>
    <w:rsid w:val="008D4779"/>
    <w:rsid w:val="008D5AD8"/>
    <w:rsid w:val="008D610B"/>
    <w:rsid w:val="008D6204"/>
    <w:rsid w:val="008D62A7"/>
    <w:rsid w:val="008D6E77"/>
    <w:rsid w:val="008D7217"/>
    <w:rsid w:val="008D7D57"/>
    <w:rsid w:val="008E057A"/>
    <w:rsid w:val="008E0D59"/>
    <w:rsid w:val="008E1014"/>
    <w:rsid w:val="008E107F"/>
    <w:rsid w:val="008E24AD"/>
    <w:rsid w:val="008E2723"/>
    <w:rsid w:val="008E27BC"/>
    <w:rsid w:val="008E291B"/>
    <w:rsid w:val="008E3721"/>
    <w:rsid w:val="008E37FF"/>
    <w:rsid w:val="008E3EB0"/>
    <w:rsid w:val="008E470D"/>
    <w:rsid w:val="008E4A4C"/>
    <w:rsid w:val="008E4BE2"/>
    <w:rsid w:val="008E4BE5"/>
    <w:rsid w:val="008E4CE9"/>
    <w:rsid w:val="008E5E22"/>
    <w:rsid w:val="008E5E2F"/>
    <w:rsid w:val="008E5FB6"/>
    <w:rsid w:val="008E624D"/>
    <w:rsid w:val="008E6380"/>
    <w:rsid w:val="008E642F"/>
    <w:rsid w:val="008E6947"/>
    <w:rsid w:val="008E7029"/>
    <w:rsid w:val="008E7557"/>
    <w:rsid w:val="008E7624"/>
    <w:rsid w:val="008E7A03"/>
    <w:rsid w:val="008E7C96"/>
    <w:rsid w:val="008F0656"/>
    <w:rsid w:val="008F0911"/>
    <w:rsid w:val="008F0915"/>
    <w:rsid w:val="008F0CCA"/>
    <w:rsid w:val="008F0D8D"/>
    <w:rsid w:val="008F108F"/>
    <w:rsid w:val="008F12C2"/>
    <w:rsid w:val="008F1ABE"/>
    <w:rsid w:val="008F2665"/>
    <w:rsid w:val="008F2918"/>
    <w:rsid w:val="008F2E73"/>
    <w:rsid w:val="008F355D"/>
    <w:rsid w:val="008F3AA4"/>
    <w:rsid w:val="008F3E2C"/>
    <w:rsid w:val="008F464A"/>
    <w:rsid w:val="008F4809"/>
    <w:rsid w:val="008F4BCD"/>
    <w:rsid w:val="008F5075"/>
    <w:rsid w:val="008F55D0"/>
    <w:rsid w:val="008F592E"/>
    <w:rsid w:val="008F5C9E"/>
    <w:rsid w:val="008F63F1"/>
    <w:rsid w:val="008F6A37"/>
    <w:rsid w:val="008F7265"/>
    <w:rsid w:val="008F7466"/>
    <w:rsid w:val="008F7571"/>
    <w:rsid w:val="008F7F3D"/>
    <w:rsid w:val="009001DD"/>
    <w:rsid w:val="00900707"/>
    <w:rsid w:val="009013DE"/>
    <w:rsid w:val="0090155C"/>
    <w:rsid w:val="00901E83"/>
    <w:rsid w:val="00901EC0"/>
    <w:rsid w:val="009020D7"/>
    <w:rsid w:val="00902795"/>
    <w:rsid w:val="00902F63"/>
    <w:rsid w:val="0090399B"/>
    <w:rsid w:val="00904241"/>
    <w:rsid w:val="009043F4"/>
    <w:rsid w:val="00904727"/>
    <w:rsid w:val="00904975"/>
    <w:rsid w:val="009051A2"/>
    <w:rsid w:val="00905634"/>
    <w:rsid w:val="0090589F"/>
    <w:rsid w:val="0090711D"/>
    <w:rsid w:val="009073C6"/>
    <w:rsid w:val="00910222"/>
    <w:rsid w:val="009102D3"/>
    <w:rsid w:val="009104DA"/>
    <w:rsid w:val="009106A4"/>
    <w:rsid w:val="00910914"/>
    <w:rsid w:val="00911057"/>
    <w:rsid w:val="00911E8C"/>
    <w:rsid w:val="00911ED9"/>
    <w:rsid w:val="009121E0"/>
    <w:rsid w:val="009125A0"/>
    <w:rsid w:val="00912A65"/>
    <w:rsid w:val="00912C1C"/>
    <w:rsid w:val="0091337A"/>
    <w:rsid w:val="00914CCB"/>
    <w:rsid w:val="00914DCF"/>
    <w:rsid w:val="00915908"/>
    <w:rsid w:val="00917B22"/>
    <w:rsid w:val="009203FF"/>
    <w:rsid w:val="009206D1"/>
    <w:rsid w:val="00920F16"/>
    <w:rsid w:val="00921E97"/>
    <w:rsid w:val="00921EFA"/>
    <w:rsid w:val="00922011"/>
    <w:rsid w:val="009221EB"/>
    <w:rsid w:val="0092248D"/>
    <w:rsid w:val="00922DCA"/>
    <w:rsid w:val="00922EF4"/>
    <w:rsid w:val="00923A62"/>
    <w:rsid w:val="009242BC"/>
    <w:rsid w:val="00924A61"/>
    <w:rsid w:val="00924EDA"/>
    <w:rsid w:val="009255C7"/>
    <w:rsid w:val="00925990"/>
    <w:rsid w:val="009259E1"/>
    <w:rsid w:val="00925F05"/>
    <w:rsid w:val="009262E4"/>
    <w:rsid w:val="00926395"/>
    <w:rsid w:val="00926413"/>
    <w:rsid w:val="009268E9"/>
    <w:rsid w:val="0092781D"/>
    <w:rsid w:val="00930ADB"/>
    <w:rsid w:val="00930B3B"/>
    <w:rsid w:val="009310B0"/>
    <w:rsid w:val="009314DB"/>
    <w:rsid w:val="0093189D"/>
    <w:rsid w:val="00931B66"/>
    <w:rsid w:val="009326DF"/>
    <w:rsid w:val="009328DA"/>
    <w:rsid w:val="00932BC3"/>
    <w:rsid w:val="009334FE"/>
    <w:rsid w:val="00933C6F"/>
    <w:rsid w:val="0093468D"/>
    <w:rsid w:val="009346BC"/>
    <w:rsid w:val="009346E4"/>
    <w:rsid w:val="009348CE"/>
    <w:rsid w:val="00934C26"/>
    <w:rsid w:val="0093575A"/>
    <w:rsid w:val="00935E0F"/>
    <w:rsid w:val="009368B5"/>
    <w:rsid w:val="0093702D"/>
    <w:rsid w:val="00940379"/>
    <w:rsid w:val="00940782"/>
    <w:rsid w:val="009409A5"/>
    <w:rsid w:val="00941E4D"/>
    <w:rsid w:val="00943570"/>
    <w:rsid w:val="00943B9B"/>
    <w:rsid w:val="00943C80"/>
    <w:rsid w:val="009440CA"/>
    <w:rsid w:val="00944929"/>
    <w:rsid w:val="0094496F"/>
    <w:rsid w:val="00944B89"/>
    <w:rsid w:val="009453C5"/>
    <w:rsid w:val="00945549"/>
    <w:rsid w:val="00945815"/>
    <w:rsid w:val="0094593B"/>
    <w:rsid w:val="00945CDA"/>
    <w:rsid w:val="00946583"/>
    <w:rsid w:val="00946591"/>
    <w:rsid w:val="00947331"/>
    <w:rsid w:val="00947B29"/>
    <w:rsid w:val="00950805"/>
    <w:rsid w:val="00950F9A"/>
    <w:rsid w:val="00951389"/>
    <w:rsid w:val="00951661"/>
    <w:rsid w:val="00952222"/>
    <w:rsid w:val="009522E8"/>
    <w:rsid w:val="009524F2"/>
    <w:rsid w:val="00952CAE"/>
    <w:rsid w:val="009536F6"/>
    <w:rsid w:val="009536FA"/>
    <w:rsid w:val="0095393F"/>
    <w:rsid w:val="00953A50"/>
    <w:rsid w:val="00953BE4"/>
    <w:rsid w:val="00953DA2"/>
    <w:rsid w:val="009544FB"/>
    <w:rsid w:val="00954C46"/>
    <w:rsid w:val="00954E8D"/>
    <w:rsid w:val="009557BD"/>
    <w:rsid w:val="009557E9"/>
    <w:rsid w:val="00955E10"/>
    <w:rsid w:val="009562F6"/>
    <w:rsid w:val="009567A2"/>
    <w:rsid w:val="00957EA0"/>
    <w:rsid w:val="0096011F"/>
    <w:rsid w:val="00960384"/>
    <w:rsid w:val="009614B2"/>
    <w:rsid w:val="00962725"/>
    <w:rsid w:val="00962807"/>
    <w:rsid w:val="0096290C"/>
    <w:rsid w:val="009629B2"/>
    <w:rsid w:val="00962C49"/>
    <w:rsid w:val="00962CC6"/>
    <w:rsid w:val="00962F2F"/>
    <w:rsid w:val="009636C3"/>
    <w:rsid w:val="00964138"/>
    <w:rsid w:val="0096452B"/>
    <w:rsid w:val="0096491F"/>
    <w:rsid w:val="00964EAD"/>
    <w:rsid w:val="00965296"/>
    <w:rsid w:val="00965A80"/>
    <w:rsid w:val="009661AF"/>
    <w:rsid w:val="009666EC"/>
    <w:rsid w:val="00966784"/>
    <w:rsid w:val="00966ABA"/>
    <w:rsid w:val="00966E87"/>
    <w:rsid w:val="0096703D"/>
    <w:rsid w:val="00967267"/>
    <w:rsid w:val="00970152"/>
    <w:rsid w:val="009705D8"/>
    <w:rsid w:val="00970607"/>
    <w:rsid w:val="009714DF"/>
    <w:rsid w:val="009716CD"/>
    <w:rsid w:val="00971E88"/>
    <w:rsid w:val="00971EE4"/>
    <w:rsid w:val="00972089"/>
    <w:rsid w:val="00972E51"/>
    <w:rsid w:val="00973385"/>
    <w:rsid w:val="00973728"/>
    <w:rsid w:val="0097405C"/>
    <w:rsid w:val="009748C7"/>
    <w:rsid w:val="0097535F"/>
    <w:rsid w:val="009755C8"/>
    <w:rsid w:val="00975621"/>
    <w:rsid w:val="00975DC0"/>
    <w:rsid w:val="00975EB9"/>
    <w:rsid w:val="009767BB"/>
    <w:rsid w:val="00976935"/>
    <w:rsid w:val="009771D6"/>
    <w:rsid w:val="00977724"/>
    <w:rsid w:val="00977C4C"/>
    <w:rsid w:val="00980085"/>
    <w:rsid w:val="0098086C"/>
    <w:rsid w:val="00981452"/>
    <w:rsid w:val="00981975"/>
    <w:rsid w:val="00981C8E"/>
    <w:rsid w:val="009821FE"/>
    <w:rsid w:val="00982EF7"/>
    <w:rsid w:val="009832B3"/>
    <w:rsid w:val="00984843"/>
    <w:rsid w:val="0098487B"/>
    <w:rsid w:val="0098661D"/>
    <w:rsid w:val="00986BE6"/>
    <w:rsid w:val="00986C5B"/>
    <w:rsid w:val="00987FDE"/>
    <w:rsid w:val="00990491"/>
    <w:rsid w:val="0099069E"/>
    <w:rsid w:val="009908E8"/>
    <w:rsid w:val="00990BB6"/>
    <w:rsid w:val="00991474"/>
    <w:rsid w:val="009914F7"/>
    <w:rsid w:val="009919AC"/>
    <w:rsid w:val="00991A4D"/>
    <w:rsid w:val="00991E9A"/>
    <w:rsid w:val="00991F01"/>
    <w:rsid w:val="00991FBB"/>
    <w:rsid w:val="0099254D"/>
    <w:rsid w:val="00992555"/>
    <w:rsid w:val="00992878"/>
    <w:rsid w:val="009929DF"/>
    <w:rsid w:val="00993086"/>
    <w:rsid w:val="0099381C"/>
    <w:rsid w:val="00993E25"/>
    <w:rsid w:val="00993FD1"/>
    <w:rsid w:val="0099535D"/>
    <w:rsid w:val="00995AD5"/>
    <w:rsid w:val="00995BDD"/>
    <w:rsid w:val="0099665E"/>
    <w:rsid w:val="00997808"/>
    <w:rsid w:val="009A0471"/>
    <w:rsid w:val="009A0F60"/>
    <w:rsid w:val="009A11AD"/>
    <w:rsid w:val="009A1AFB"/>
    <w:rsid w:val="009A1B4B"/>
    <w:rsid w:val="009A1CCD"/>
    <w:rsid w:val="009A2BF4"/>
    <w:rsid w:val="009A3772"/>
    <w:rsid w:val="009A3FA4"/>
    <w:rsid w:val="009A4338"/>
    <w:rsid w:val="009A46C4"/>
    <w:rsid w:val="009A4735"/>
    <w:rsid w:val="009A4824"/>
    <w:rsid w:val="009A4959"/>
    <w:rsid w:val="009A4A3F"/>
    <w:rsid w:val="009A5C99"/>
    <w:rsid w:val="009A5CBF"/>
    <w:rsid w:val="009A6559"/>
    <w:rsid w:val="009A76AD"/>
    <w:rsid w:val="009B068D"/>
    <w:rsid w:val="009B0BF8"/>
    <w:rsid w:val="009B1431"/>
    <w:rsid w:val="009B1A85"/>
    <w:rsid w:val="009B1C4F"/>
    <w:rsid w:val="009B2183"/>
    <w:rsid w:val="009B254B"/>
    <w:rsid w:val="009B2827"/>
    <w:rsid w:val="009B3404"/>
    <w:rsid w:val="009B4ED2"/>
    <w:rsid w:val="009B63B7"/>
    <w:rsid w:val="009B6633"/>
    <w:rsid w:val="009B6A21"/>
    <w:rsid w:val="009B791D"/>
    <w:rsid w:val="009C06C9"/>
    <w:rsid w:val="009C1898"/>
    <w:rsid w:val="009C2EB7"/>
    <w:rsid w:val="009C3054"/>
    <w:rsid w:val="009C36BF"/>
    <w:rsid w:val="009C36D2"/>
    <w:rsid w:val="009C3E37"/>
    <w:rsid w:val="009C3E7B"/>
    <w:rsid w:val="009C404A"/>
    <w:rsid w:val="009C4A0E"/>
    <w:rsid w:val="009C4CF6"/>
    <w:rsid w:val="009C50CF"/>
    <w:rsid w:val="009C55D2"/>
    <w:rsid w:val="009C5E1C"/>
    <w:rsid w:val="009C6281"/>
    <w:rsid w:val="009C635E"/>
    <w:rsid w:val="009C63F4"/>
    <w:rsid w:val="009C67EE"/>
    <w:rsid w:val="009C72D4"/>
    <w:rsid w:val="009C7377"/>
    <w:rsid w:val="009C761A"/>
    <w:rsid w:val="009C7F5D"/>
    <w:rsid w:val="009D08D0"/>
    <w:rsid w:val="009D0CE6"/>
    <w:rsid w:val="009D13E1"/>
    <w:rsid w:val="009D22E3"/>
    <w:rsid w:val="009D2BE0"/>
    <w:rsid w:val="009D2DD0"/>
    <w:rsid w:val="009D2E2D"/>
    <w:rsid w:val="009D3308"/>
    <w:rsid w:val="009D34F2"/>
    <w:rsid w:val="009D42C9"/>
    <w:rsid w:val="009D4643"/>
    <w:rsid w:val="009D4F24"/>
    <w:rsid w:val="009D5863"/>
    <w:rsid w:val="009D6982"/>
    <w:rsid w:val="009D7C0D"/>
    <w:rsid w:val="009E02CC"/>
    <w:rsid w:val="009E0336"/>
    <w:rsid w:val="009E06ED"/>
    <w:rsid w:val="009E080B"/>
    <w:rsid w:val="009E0C29"/>
    <w:rsid w:val="009E0CCC"/>
    <w:rsid w:val="009E1D46"/>
    <w:rsid w:val="009E43F0"/>
    <w:rsid w:val="009E4854"/>
    <w:rsid w:val="009E4AAE"/>
    <w:rsid w:val="009E50A1"/>
    <w:rsid w:val="009E5C70"/>
    <w:rsid w:val="009E615C"/>
    <w:rsid w:val="009E63A4"/>
    <w:rsid w:val="009E6EAD"/>
    <w:rsid w:val="009E75F2"/>
    <w:rsid w:val="009E7846"/>
    <w:rsid w:val="009E795D"/>
    <w:rsid w:val="009F01A0"/>
    <w:rsid w:val="009F038C"/>
    <w:rsid w:val="009F0CF8"/>
    <w:rsid w:val="009F13B4"/>
    <w:rsid w:val="009F166D"/>
    <w:rsid w:val="009F16FC"/>
    <w:rsid w:val="009F3051"/>
    <w:rsid w:val="009F3500"/>
    <w:rsid w:val="009F3522"/>
    <w:rsid w:val="009F3B43"/>
    <w:rsid w:val="009F3E1B"/>
    <w:rsid w:val="009F4BE5"/>
    <w:rsid w:val="009F4D03"/>
    <w:rsid w:val="009F536A"/>
    <w:rsid w:val="009F5792"/>
    <w:rsid w:val="009F5AC3"/>
    <w:rsid w:val="009F6402"/>
    <w:rsid w:val="009F6551"/>
    <w:rsid w:val="009F66BC"/>
    <w:rsid w:val="009F6CC6"/>
    <w:rsid w:val="009F6E5E"/>
    <w:rsid w:val="009F6FAA"/>
    <w:rsid w:val="009F7206"/>
    <w:rsid w:val="009F754D"/>
    <w:rsid w:val="009F7AB1"/>
    <w:rsid w:val="009F7CF8"/>
    <w:rsid w:val="00A00356"/>
    <w:rsid w:val="00A0046B"/>
    <w:rsid w:val="00A00484"/>
    <w:rsid w:val="00A00772"/>
    <w:rsid w:val="00A00B7A"/>
    <w:rsid w:val="00A012CD"/>
    <w:rsid w:val="00A014AF"/>
    <w:rsid w:val="00A01880"/>
    <w:rsid w:val="00A01DBB"/>
    <w:rsid w:val="00A0201E"/>
    <w:rsid w:val="00A02AF6"/>
    <w:rsid w:val="00A02BBA"/>
    <w:rsid w:val="00A02E54"/>
    <w:rsid w:val="00A03413"/>
    <w:rsid w:val="00A03A62"/>
    <w:rsid w:val="00A04352"/>
    <w:rsid w:val="00A04D15"/>
    <w:rsid w:val="00A054C6"/>
    <w:rsid w:val="00A0564A"/>
    <w:rsid w:val="00A05EBC"/>
    <w:rsid w:val="00A063DC"/>
    <w:rsid w:val="00A06710"/>
    <w:rsid w:val="00A0684B"/>
    <w:rsid w:val="00A06B22"/>
    <w:rsid w:val="00A06F5E"/>
    <w:rsid w:val="00A0777E"/>
    <w:rsid w:val="00A078FC"/>
    <w:rsid w:val="00A07A7E"/>
    <w:rsid w:val="00A1068B"/>
    <w:rsid w:val="00A112F4"/>
    <w:rsid w:val="00A1158B"/>
    <w:rsid w:val="00A11BB1"/>
    <w:rsid w:val="00A11C05"/>
    <w:rsid w:val="00A120B8"/>
    <w:rsid w:val="00A12751"/>
    <w:rsid w:val="00A12A5D"/>
    <w:rsid w:val="00A137F2"/>
    <w:rsid w:val="00A14741"/>
    <w:rsid w:val="00A14E51"/>
    <w:rsid w:val="00A15721"/>
    <w:rsid w:val="00A1577D"/>
    <w:rsid w:val="00A15E5A"/>
    <w:rsid w:val="00A1627E"/>
    <w:rsid w:val="00A16434"/>
    <w:rsid w:val="00A169FD"/>
    <w:rsid w:val="00A16B33"/>
    <w:rsid w:val="00A16F21"/>
    <w:rsid w:val="00A20A28"/>
    <w:rsid w:val="00A21508"/>
    <w:rsid w:val="00A2173F"/>
    <w:rsid w:val="00A2202C"/>
    <w:rsid w:val="00A2252D"/>
    <w:rsid w:val="00A22840"/>
    <w:rsid w:val="00A24438"/>
    <w:rsid w:val="00A244FA"/>
    <w:rsid w:val="00A245B1"/>
    <w:rsid w:val="00A24755"/>
    <w:rsid w:val="00A25789"/>
    <w:rsid w:val="00A25928"/>
    <w:rsid w:val="00A25D7C"/>
    <w:rsid w:val="00A2627A"/>
    <w:rsid w:val="00A265D3"/>
    <w:rsid w:val="00A26D7D"/>
    <w:rsid w:val="00A26F17"/>
    <w:rsid w:val="00A27D90"/>
    <w:rsid w:val="00A302C8"/>
    <w:rsid w:val="00A3066D"/>
    <w:rsid w:val="00A307E1"/>
    <w:rsid w:val="00A31D2F"/>
    <w:rsid w:val="00A3269F"/>
    <w:rsid w:val="00A32A3B"/>
    <w:rsid w:val="00A32AA9"/>
    <w:rsid w:val="00A33781"/>
    <w:rsid w:val="00A33AF6"/>
    <w:rsid w:val="00A33D37"/>
    <w:rsid w:val="00A34071"/>
    <w:rsid w:val="00A341AB"/>
    <w:rsid w:val="00A342A3"/>
    <w:rsid w:val="00A34416"/>
    <w:rsid w:val="00A348A0"/>
    <w:rsid w:val="00A35312"/>
    <w:rsid w:val="00A3584D"/>
    <w:rsid w:val="00A3655A"/>
    <w:rsid w:val="00A36875"/>
    <w:rsid w:val="00A3695C"/>
    <w:rsid w:val="00A37727"/>
    <w:rsid w:val="00A403BE"/>
    <w:rsid w:val="00A4088E"/>
    <w:rsid w:val="00A40F90"/>
    <w:rsid w:val="00A415EA"/>
    <w:rsid w:val="00A42C9F"/>
    <w:rsid w:val="00A43FD7"/>
    <w:rsid w:val="00A44216"/>
    <w:rsid w:val="00A44B27"/>
    <w:rsid w:val="00A44E1F"/>
    <w:rsid w:val="00A44E41"/>
    <w:rsid w:val="00A45319"/>
    <w:rsid w:val="00A454AF"/>
    <w:rsid w:val="00A463A6"/>
    <w:rsid w:val="00A4644F"/>
    <w:rsid w:val="00A46FE2"/>
    <w:rsid w:val="00A47450"/>
    <w:rsid w:val="00A47893"/>
    <w:rsid w:val="00A5005C"/>
    <w:rsid w:val="00A50173"/>
    <w:rsid w:val="00A50400"/>
    <w:rsid w:val="00A50549"/>
    <w:rsid w:val="00A50E2A"/>
    <w:rsid w:val="00A51D0A"/>
    <w:rsid w:val="00A52277"/>
    <w:rsid w:val="00A5317F"/>
    <w:rsid w:val="00A534A2"/>
    <w:rsid w:val="00A53936"/>
    <w:rsid w:val="00A5393D"/>
    <w:rsid w:val="00A54277"/>
    <w:rsid w:val="00A548B5"/>
    <w:rsid w:val="00A54F1D"/>
    <w:rsid w:val="00A551FE"/>
    <w:rsid w:val="00A55386"/>
    <w:rsid w:val="00A56112"/>
    <w:rsid w:val="00A56D1B"/>
    <w:rsid w:val="00A577E0"/>
    <w:rsid w:val="00A606B3"/>
    <w:rsid w:val="00A6076E"/>
    <w:rsid w:val="00A60F9B"/>
    <w:rsid w:val="00A6145D"/>
    <w:rsid w:val="00A61A6B"/>
    <w:rsid w:val="00A61A73"/>
    <w:rsid w:val="00A61D97"/>
    <w:rsid w:val="00A620C1"/>
    <w:rsid w:val="00A630D1"/>
    <w:rsid w:val="00A63884"/>
    <w:rsid w:val="00A6486F"/>
    <w:rsid w:val="00A64927"/>
    <w:rsid w:val="00A65CD2"/>
    <w:rsid w:val="00A6751D"/>
    <w:rsid w:val="00A67C72"/>
    <w:rsid w:val="00A67DF4"/>
    <w:rsid w:val="00A703CE"/>
    <w:rsid w:val="00A70FDA"/>
    <w:rsid w:val="00A710D9"/>
    <w:rsid w:val="00A7132A"/>
    <w:rsid w:val="00A72531"/>
    <w:rsid w:val="00A725A6"/>
    <w:rsid w:val="00A74210"/>
    <w:rsid w:val="00A74C72"/>
    <w:rsid w:val="00A74F06"/>
    <w:rsid w:val="00A7579B"/>
    <w:rsid w:val="00A75B1D"/>
    <w:rsid w:val="00A75EC6"/>
    <w:rsid w:val="00A767FD"/>
    <w:rsid w:val="00A77008"/>
    <w:rsid w:val="00A778F6"/>
    <w:rsid w:val="00A77D9F"/>
    <w:rsid w:val="00A8187D"/>
    <w:rsid w:val="00A81AEE"/>
    <w:rsid w:val="00A82B42"/>
    <w:rsid w:val="00A82C2D"/>
    <w:rsid w:val="00A8379A"/>
    <w:rsid w:val="00A839F4"/>
    <w:rsid w:val="00A83EE0"/>
    <w:rsid w:val="00A8411C"/>
    <w:rsid w:val="00A84EFF"/>
    <w:rsid w:val="00A84F0B"/>
    <w:rsid w:val="00A8652D"/>
    <w:rsid w:val="00A8689F"/>
    <w:rsid w:val="00A86ACB"/>
    <w:rsid w:val="00A872ED"/>
    <w:rsid w:val="00A87CE0"/>
    <w:rsid w:val="00A87D64"/>
    <w:rsid w:val="00A90437"/>
    <w:rsid w:val="00A90E23"/>
    <w:rsid w:val="00A913CC"/>
    <w:rsid w:val="00A927A8"/>
    <w:rsid w:val="00A9288C"/>
    <w:rsid w:val="00A929E6"/>
    <w:rsid w:val="00A933D4"/>
    <w:rsid w:val="00A9376D"/>
    <w:rsid w:val="00A9415D"/>
    <w:rsid w:val="00A9696D"/>
    <w:rsid w:val="00A969AC"/>
    <w:rsid w:val="00A96A40"/>
    <w:rsid w:val="00A97451"/>
    <w:rsid w:val="00A97636"/>
    <w:rsid w:val="00A97B09"/>
    <w:rsid w:val="00AA006D"/>
    <w:rsid w:val="00AA0AA5"/>
    <w:rsid w:val="00AA0C0F"/>
    <w:rsid w:val="00AA0F34"/>
    <w:rsid w:val="00AA0F5C"/>
    <w:rsid w:val="00AA10EA"/>
    <w:rsid w:val="00AA1476"/>
    <w:rsid w:val="00AA1600"/>
    <w:rsid w:val="00AA1F73"/>
    <w:rsid w:val="00AA1FF1"/>
    <w:rsid w:val="00AA23BC"/>
    <w:rsid w:val="00AA3442"/>
    <w:rsid w:val="00AA366F"/>
    <w:rsid w:val="00AA3C37"/>
    <w:rsid w:val="00AA3F70"/>
    <w:rsid w:val="00AA58D9"/>
    <w:rsid w:val="00AA688D"/>
    <w:rsid w:val="00AA6975"/>
    <w:rsid w:val="00AA6D77"/>
    <w:rsid w:val="00AA757E"/>
    <w:rsid w:val="00AA76B1"/>
    <w:rsid w:val="00AB0023"/>
    <w:rsid w:val="00AB00C6"/>
    <w:rsid w:val="00AB05B1"/>
    <w:rsid w:val="00AB06E1"/>
    <w:rsid w:val="00AB0AF3"/>
    <w:rsid w:val="00AB0E85"/>
    <w:rsid w:val="00AB159C"/>
    <w:rsid w:val="00AB16C8"/>
    <w:rsid w:val="00AB1850"/>
    <w:rsid w:val="00AB23F8"/>
    <w:rsid w:val="00AB3777"/>
    <w:rsid w:val="00AB401F"/>
    <w:rsid w:val="00AB4047"/>
    <w:rsid w:val="00AB5E26"/>
    <w:rsid w:val="00AB6386"/>
    <w:rsid w:val="00AB6525"/>
    <w:rsid w:val="00AB6A43"/>
    <w:rsid w:val="00AB6E98"/>
    <w:rsid w:val="00AB74C4"/>
    <w:rsid w:val="00AB788F"/>
    <w:rsid w:val="00AC03B8"/>
    <w:rsid w:val="00AC0838"/>
    <w:rsid w:val="00AC0A04"/>
    <w:rsid w:val="00AC0EDE"/>
    <w:rsid w:val="00AC1489"/>
    <w:rsid w:val="00AC1600"/>
    <w:rsid w:val="00AC1A8B"/>
    <w:rsid w:val="00AC1B0D"/>
    <w:rsid w:val="00AC2275"/>
    <w:rsid w:val="00AC300B"/>
    <w:rsid w:val="00AC3607"/>
    <w:rsid w:val="00AC3893"/>
    <w:rsid w:val="00AC3AB4"/>
    <w:rsid w:val="00AC426C"/>
    <w:rsid w:val="00AC447A"/>
    <w:rsid w:val="00AC46AB"/>
    <w:rsid w:val="00AC5F1B"/>
    <w:rsid w:val="00AC6262"/>
    <w:rsid w:val="00AC6C0B"/>
    <w:rsid w:val="00AC7051"/>
    <w:rsid w:val="00AC7246"/>
    <w:rsid w:val="00AD0070"/>
    <w:rsid w:val="00AD0297"/>
    <w:rsid w:val="00AD05FF"/>
    <w:rsid w:val="00AD1677"/>
    <w:rsid w:val="00AD1E8D"/>
    <w:rsid w:val="00AD2314"/>
    <w:rsid w:val="00AD23DD"/>
    <w:rsid w:val="00AD2FF4"/>
    <w:rsid w:val="00AD31AA"/>
    <w:rsid w:val="00AD323E"/>
    <w:rsid w:val="00AD38F0"/>
    <w:rsid w:val="00AD3D3D"/>
    <w:rsid w:val="00AD3EFB"/>
    <w:rsid w:val="00AD4130"/>
    <w:rsid w:val="00AD4521"/>
    <w:rsid w:val="00AD4A2B"/>
    <w:rsid w:val="00AD4ABA"/>
    <w:rsid w:val="00AD4F09"/>
    <w:rsid w:val="00AD5144"/>
    <w:rsid w:val="00AD5561"/>
    <w:rsid w:val="00AD5A13"/>
    <w:rsid w:val="00AD627D"/>
    <w:rsid w:val="00AD698F"/>
    <w:rsid w:val="00AD6996"/>
    <w:rsid w:val="00AD6A4F"/>
    <w:rsid w:val="00AD6CE4"/>
    <w:rsid w:val="00AD751E"/>
    <w:rsid w:val="00AD7EA9"/>
    <w:rsid w:val="00AE0880"/>
    <w:rsid w:val="00AE1DCC"/>
    <w:rsid w:val="00AE2669"/>
    <w:rsid w:val="00AE2CB8"/>
    <w:rsid w:val="00AE3118"/>
    <w:rsid w:val="00AE3A07"/>
    <w:rsid w:val="00AE406F"/>
    <w:rsid w:val="00AE4A82"/>
    <w:rsid w:val="00AE5AD2"/>
    <w:rsid w:val="00AE6596"/>
    <w:rsid w:val="00AE6E1B"/>
    <w:rsid w:val="00AE7C1F"/>
    <w:rsid w:val="00AE7C65"/>
    <w:rsid w:val="00AF01B8"/>
    <w:rsid w:val="00AF0FB4"/>
    <w:rsid w:val="00AF0FE0"/>
    <w:rsid w:val="00AF169C"/>
    <w:rsid w:val="00AF19F7"/>
    <w:rsid w:val="00AF1F63"/>
    <w:rsid w:val="00AF2219"/>
    <w:rsid w:val="00AF22A9"/>
    <w:rsid w:val="00AF24FA"/>
    <w:rsid w:val="00AF2A69"/>
    <w:rsid w:val="00AF3264"/>
    <w:rsid w:val="00AF3397"/>
    <w:rsid w:val="00AF3636"/>
    <w:rsid w:val="00AF3C20"/>
    <w:rsid w:val="00AF3D52"/>
    <w:rsid w:val="00AF3EF4"/>
    <w:rsid w:val="00AF4730"/>
    <w:rsid w:val="00AF47EE"/>
    <w:rsid w:val="00AF4B34"/>
    <w:rsid w:val="00AF4D17"/>
    <w:rsid w:val="00AF4FE4"/>
    <w:rsid w:val="00AF5800"/>
    <w:rsid w:val="00AF5946"/>
    <w:rsid w:val="00AF6647"/>
    <w:rsid w:val="00AF6BE0"/>
    <w:rsid w:val="00AF76FB"/>
    <w:rsid w:val="00AF78CE"/>
    <w:rsid w:val="00B000BF"/>
    <w:rsid w:val="00B00181"/>
    <w:rsid w:val="00B007E8"/>
    <w:rsid w:val="00B0094D"/>
    <w:rsid w:val="00B01670"/>
    <w:rsid w:val="00B02047"/>
    <w:rsid w:val="00B023E6"/>
    <w:rsid w:val="00B02DCB"/>
    <w:rsid w:val="00B02F43"/>
    <w:rsid w:val="00B02F99"/>
    <w:rsid w:val="00B02F9A"/>
    <w:rsid w:val="00B03098"/>
    <w:rsid w:val="00B0312C"/>
    <w:rsid w:val="00B03BB4"/>
    <w:rsid w:val="00B03F42"/>
    <w:rsid w:val="00B04C65"/>
    <w:rsid w:val="00B04D4F"/>
    <w:rsid w:val="00B05107"/>
    <w:rsid w:val="00B06F0F"/>
    <w:rsid w:val="00B07500"/>
    <w:rsid w:val="00B10302"/>
    <w:rsid w:val="00B103A1"/>
    <w:rsid w:val="00B105E4"/>
    <w:rsid w:val="00B108D8"/>
    <w:rsid w:val="00B10963"/>
    <w:rsid w:val="00B10BFF"/>
    <w:rsid w:val="00B11886"/>
    <w:rsid w:val="00B11A40"/>
    <w:rsid w:val="00B11B9F"/>
    <w:rsid w:val="00B123AD"/>
    <w:rsid w:val="00B1381B"/>
    <w:rsid w:val="00B140FE"/>
    <w:rsid w:val="00B15038"/>
    <w:rsid w:val="00B20A3A"/>
    <w:rsid w:val="00B20B57"/>
    <w:rsid w:val="00B217A0"/>
    <w:rsid w:val="00B225A5"/>
    <w:rsid w:val="00B230A5"/>
    <w:rsid w:val="00B23236"/>
    <w:rsid w:val="00B25C72"/>
    <w:rsid w:val="00B26313"/>
    <w:rsid w:val="00B26477"/>
    <w:rsid w:val="00B27688"/>
    <w:rsid w:val="00B303A4"/>
    <w:rsid w:val="00B306F8"/>
    <w:rsid w:val="00B30741"/>
    <w:rsid w:val="00B30A89"/>
    <w:rsid w:val="00B30C29"/>
    <w:rsid w:val="00B314A0"/>
    <w:rsid w:val="00B31F79"/>
    <w:rsid w:val="00B322B1"/>
    <w:rsid w:val="00B32347"/>
    <w:rsid w:val="00B324F7"/>
    <w:rsid w:val="00B328BB"/>
    <w:rsid w:val="00B328D4"/>
    <w:rsid w:val="00B328EF"/>
    <w:rsid w:val="00B3296E"/>
    <w:rsid w:val="00B32FEF"/>
    <w:rsid w:val="00B33122"/>
    <w:rsid w:val="00B345BB"/>
    <w:rsid w:val="00B35377"/>
    <w:rsid w:val="00B3538D"/>
    <w:rsid w:val="00B368E8"/>
    <w:rsid w:val="00B37790"/>
    <w:rsid w:val="00B37B92"/>
    <w:rsid w:val="00B41026"/>
    <w:rsid w:val="00B410B7"/>
    <w:rsid w:val="00B4183C"/>
    <w:rsid w:val="00B41C0A"/>
    <w:rsid w:val="00B42E64"/>
    <w:rsid w:val="00B4330A"/>
    <w:rsid w:val="00B439C3"/>
    <w:rsid w:val="00B4421F"/>
    <w:rsid w:val="00B443AB"/>
    <w:rsid w:val="00B44973"/>
    <w:rsid w:val="00B44C0B"/>
    <w:rsid w:val="00B45B19"/>
    <w:rsid w:val="00B45B35"/>
    <w:rsid w:val="00B45C09"/>
    <w:rsid w:val="00B4652D"/>
    <w:rsid w:val="00B46CDA"/>
    <w:rsid w:val="00B46E31"/>
    <w:rsid w:val="00B46ECB"/>
    <w:rsid w:val="00B478B6"/>
    <w:rsid w:val="00B47B7F"/>
    <w:rsid w:val="00B5026A"/>
    <w:rsid w:val="00B503DA"/>
    <w:rsid w:val="00B506CC"/>
    <w:rsid w:val="00B50D4E"/>
    <w:rsid w:val="00B51371"/>
    <w:rsid w:val="00B523CC"/>
    <w:rsid w:val="00B5303E"/>
    <w:rsid w:val="00B533D7"/>
    <w:rsid w:val="00B53C0C"/>
    <w:rsid w:val="00B5482C"/>
    <w:rsid w:val="00B54911"/>
    <w:rsid w:val="00B54E63"/>
    <w:rsid w:val="00B5510F"/>
    <w:rsid w:val="00B55EF9"/>
    <w:rsid w:val="00B5689A"/>
    <w:rsid w:val="00B568BB"/>
    <w:rsid w:val="00B569FE"/>
    <w:rsid w:val="00B57020"/>
    <w:rsid w:val="00B571C7"/>
    <w:rsid w:val="00B5781D"/>
    <w:rsid w:val="00B579FA"/>
    <w:rsid w:val="00B579FD"/>
    <w:rsid w:val="00B57A60"/>
    <w:rsid w:val="00B57C18"/>
    <w:rsid w:val="00B601D6"/>
    <w:rsid w:val="00B605D0"/>
    <w:rsid w:val="00B60E8C"/>
    <w:rsid w:val="00B6148F"/>
    <w:rsid w:val="00B625A9"/>
    <w:rsid w:val="00B628D1"/>
    <w:rsid w:val="00B62912"/>
    <w:rsid w:val="00B62DA6"/>
    <w:rsid w:val="00B62EE3"/>
    <w:rsid w:val="00B63B03"/>
    <w:rsid w:val="00B63D4E"/>
    <w:rsid w:val="00B64389"/>
    <w:rsid w:val="00B6496F"/>
    <w:rsid w:val="00B65496"/>
    <w:rsid w:val="00B65D5B"/>
    <w:rsid w:val="00B6610F"/>
    <w:rsid w:val="00B66243"/>
    <w:rsid w:val="00B6629D"/>
    <w:rsid w:val="00B6667A"/>
    <w:rsid w:val="00B6681E"/>
    <w:rsid w:val="00B66E78"/>
    <w:rsid w:val="00B66FF3"/>
    <w:rsid w:val="00B670D4"/>
    <w:rsid w:val="00B67CAB"/>
    <w:rsid w:val="00B67D89"/>
    <w:rsid w:val="00B704B2"/>
    <w:rsid w:val="00B70C3B"/>
    <w:rsid w:val="00B71B63"/>
    <w:rsid w:val="00B71EA0"/>
    <w:rsid w:val="00B71F4E"/>
    <w:rsid w:val="00B72F6E"/>
    <w:rsid w:val="00B7308F"/>
    <w:rsid w:val="00B7369B"/>
    <w:rsid w:val="00B73929"/>
    <w:rsid w:val="00B73995"/>
    <w:rsid w:val="00B739CE"/>
    <w:rsid w:val="00B73CA7"/>
    <w:rsid w:val="00B7441E"/>
    <w:rsid w:val="00B74643"/>
    <w:rsid w:val="00B748D8"/>
    <w:rsid w:val="00B74C3A"/>
    <w:rsid w:val="00B74D17"/>
    <w:rsid w:val="00B74F92"/>
    <w:rsid w:val="00B74FDB"/>
    <w:rsid w:val="00B74FEF"/>
    <w:rsid w:val="00B75FDF"/>
    <w:rsid w:val="00B766DF"/>
    <w:rsid w:val="00B7700F"/>
    <w:rsid w:val="00B775B3"/>
    <w:rsid w:val="00B77998"/>
    <w:rsid w:val="00B77FDE"/>
    <w:rsid w:val="00B8019A"/>
    <w:rsid w:val="00B809C8"/>
    <w:rsid w:val="00B80A6E"/>
    <w:rsid w:val="00B81550"/>
    <w:rsid w:val="00B81620"/>
    <w:rsid w:val="00B81658"/>
    <w:rsid w:val="00B816BF"/>
    <w:rsid w:val="00B81A87"/>
    <w:rsid w:val="00B81D6B"/>
    <w:rsid w:val="00B81D85"/>
    <w:rsid w:val="00B82793"/>
    <w:rsid w:val="00B8285B"/>
    <w:rsid w:val="00B82A57"/>
    <w:rsid w:val="00B82E2E"/>
    <w:rsid w:val="00B8382B"/>
    <w:rsid w:val="00B838B5"/>
    <w:rsid w:val="00B83E63"/>
    <w:rsid w:val="00B83E92"/>
    <w:rsid w:val="00B84001"/>
    <w:rsid w:val="00B85688"/>
    <w:rsid w:val="00B85D75"/>
    <w:rsid w:val="00B86206"/>
    <w:rsid w:val="00B8658B"/>
    <w:rsid w:val="00B86650"/>
    <w:rsid w:val="00B908E3"/>
    <w:rsid w:val="00B909E0"/>
    <w:rsid w:val="00B90DDD"/>
    <w:rsid w:val="00B91472"/>
    <w:rsid w:val="00B91A01"/>
    <w:rsid w:val="00B91F4F"/>
    <w:rsid w:val="00B9217D"/>
    <w:rsid w:val="00B92905"/>
    <w:rsid w:val="00B9395D"/>
    <w:rsid w:val="00B94332"/>
    <w:rsid w:val="00B949C5"/>
    <w:rsid w:val="00B94CB6"/>
    <w:rsid w:val="00B95014"/>
    <w:rsid w:val="00B95325"/>
    <w:rsid w:val="00B967EE"/>
    <w:rsid w:val="00B9699C"/>
    <w:rsid w:val="00B96A42"/>
    <w:rsid w:val="00B96CB0"/>
    <w:rsid w:val="00B975D4"/>
    <w:rsid w:val="00B9762B"/>
    <w:rsid w:val="00B97722"/>
    <w:rsid w:val="00B97A4D"/>
    <w:rsid w:val="00BA08DC"/>
    <w:rsid w:val="00BA0977"/>
    <w:rsid w:val="00BA09CB"/>
    <w:rsid w:val="00BA0D59"/>
    <w:rsid w:val="00BA0F96"/>
    <w:rsid w:val="00BA1169"/>
    <w:rsid w:val="00BA1D0E"/>
    <w:rsid w:val="00BA257A"/>
    <w:rsid w:val="00BA2ACD"/>
    <w:rsid w:val="00BA2D89"/>
    <w:rsid w:val="00BA324D"/>
    <w:rsid w:val="00BA376E"/>
    <w:rsid w:val="00BA3E2D"/>
    <w:rsid w:val="00BA47CF"/>
    <w:rsid w:val="00BA5304"/>
    <w:rsid w:val="00BA540B"/>
    <w:rsid w:val="00BA56C7"/>
    <w:rsid w:val="00BA5FD2"/>
    <w:rsid w:val="00BA65F5"/>
    <w:rsid w:val="00BA6D18"/>
    <w:rsid w:val="00BA7106"/>
    <w:rsid w:val="00BA7166"/>
    <w:rsid w:val="00BA7749"/>
    <w:rsid w:val="00BB08F4"/>
    <w:rsid w:val="00BB096E"/>
    <w:rsid w:val="00BB1781"/>
    <w:rsid w:val="00BB1A5D"/>
    <w:rsid w:val="00BB1AB0"/>
    <w:rsid w:val="00BB1B2E"/>
    <w:rsid w:val="00BB1BF3"/>
    <w:rsid w:val="00BB20DA"/>
    <w:rsid w:val="00BB253E"/>
    <w:rsid w:val="00BB2EE8"/>
    <w:rsid w:val="00BB303A"/>
    <w:rsid w:val="00BB341F"/>
    <w:rsid w:val="00BB35EC"/>
    <w:rsid w:val="00BB3947"/>
    <w:rsid w:val="00BB3AC6"/>
    <w:rsid w:val="00BB415D"/>
    <w:rsid w:val="00BB4297"/>
    <w:rsid w:val="00BB4A3B"/>
    <w:rsid w:val="00BB4CEF"/>
    <w:rsid w:val="00BB5814"/>
    <w:rsid w:val="00BB644D"/>
    <w:rsid w:val="00BB69F2"/>
    <w:rsid w:val="00BB6F60"/>
    <w:rsid w:val="00BB789A"/>
    <w:rsid w:val="00BB79F3"/>
    <w:rsid w:val="00BB7DB9"/>
    <w:rsid w:val="00BB7E50"/>
    <w:rsid w:val="00BB7F61"/>
    <w:rsid w:val="00BC01DE"/>
    <w:rsid w:val="00BC09B4"/>
    <w:rsid w:val="00BC1600"/>
    <w:rsid w:val="00BC1F20"/>
    <w:rsid w:val="00BC203F"/>
    <w:rsid w:val="00BC2392"/>
    <w:rsid w:val="00BC27BD"/>
    <w:rsid w:val="00BC27F9"/>
    <w:rsid w:val="00BC32EB"/>
    <w:rsid w:val="00BC34E6"/>
    <w:rsid w:val="00BC3A6E"/>
    <w:rsid w:val="00BC4430"/>
    <w:rsid w:val="00BC53C9"/>
    <w:rsid w:val="00BC5CAF"/>
    <w:rsid w:val="00BC5E39"/>
    <w:rsid w:val="00BC69DC"/>
    <w:rsid w:val="00BC6B95"/>
    <w:rsid w:val="00BC6B9D"/>
    <w:rsid w:val="00BC7183"/>
    <w:rsid w:val="00BC73DB"/>
    <w:rsid w:val="00BC7C72"/>
    <w:rsid w:val="00BD014F"/>
    <w:rsid w:val="00BD0466"/>
    <w:rsid w:val="00BD0903"/>
    <w:rsid w:val="00BD0F86"/>
    <w:rsid w:val="00BD1116"/>
    <w:rsid w:val="00BD16ED"/>
    <w:rsid w:val="00BD362F"/>
    <w:rsid w:val="00BD3F80"/>
    <w:rsid w:val="00BD4871"/>
    <w:rsid w:val="00BD4914"/>
    <w:rsid w:val="00BD575F"/>
    <w:rsid w:val="00BD5ACE"/>
    <w:rsid w:val="00BD5C90"/>
    <w:rsid w:val="00BD5F8A"/>
    <w:rsid w:val="00BD699C"/>
    <w:rsid w:val="00BD6F27"/>
    <w:rsid w:val="00BD7ADF"/>
    <w:rsid w:val="00BE01A1"/>
    <w:rsid w:val="00BE01AA"/>
    <w:rsid w:val="00BE0BF1"/>
    <w:rsid w:val="00BE0DB9"/>
    <w:rsid w:val="00BE1443"/>
    <w:rsid w:val="00BE16CB"/>
    <w:rsid w:val="00BE22A8"/>
    <w:rsid w:val="00BE2787"/>
    <w:rsid w:val="00BE31B1"/>
    <w:rsid w:val="00BE32AD"/>
    <w:rsid w:val="00BE3315"/>
    <w:rsid w:val="00BE344F"/>
    <w:rsid w:val="00BE39C1"/>
    <w:rsid w:val="00BE4C2F"/>
    <w:rsid w:val="00BE4E0D"/>
    <w:rsid w:val="00BE5149"/>
    <w:rsid w:val="00BE53F5"/>
    <w:rsid w:val="00BE5DA5"/>
    <w:rsid w:val="00BE5EF0"/>
    <w:rsid w:val="00BE6268"/>
    <w:rsid w:val="00BE6327"/>
    <w:rsid w:val="00BE6B60"/>
    <w:rsid w:val="00BE6C22"/>
    <w:rsid w:val="00BE6D38"/>
    <w:rsid w:val="00BF0973"/>
    <w:rsid w:val="00BF0D15"/>
    <w:rsid w:val="00BF12A6"/>
    <w:rsid w:val="00BF1ADA"/>
    <w:rsid w:val="00BF2D74"/>
    <w:rsid w:val="00BF3B87"/>
    <w:rsid w:val="00BF3BEC"/>
    <w:rsid w:val="00BF42A8"/>
    <w:rsid w:val="00BF4C5C"/>
    <w:rsid w:val="00BF5285"/>
    <w:rsid w:val="00BF5841"/>
    <w:rsid w:val="00BF5EA5"/>
    <w:rsid w:val="00BF70F2"/>
    <w:rsid w:val="00BF711F"/>
    <w:rsid w:val="00BF73A5"/>
    <w:rsid w:val="00BF7C8F"/>
    <w:rsid w:val="00C0003C"/>
    <w:rsid w:val="00C00175"/>
    <w:rsid w:val="00C003EA"/>
    <w:rsid w:val="00C006C5"/>
    <w:rsid w:val="00C01B93"/>
    <w:rsid w:val="00C01FAF"/>
    <w:rsid w:val="00C022C0"/>
    <w:rsid w:val="00C03BF7"/>
    <w:rsid w:val="00C0419F"/>
    <w:rsid w:val="00C04354"/>
    <w:rsid w:val="00C04B26"/>
    <w:rsid w:val="00C06A09"/>
    <w:rsid w:val="00C06F1A"/>
    <w:rsid w:val="00C070A2"/>
    <w:rsid w:val="00C10077"/>
    <w:rsid w:val="00C10683"/>
    <w:rsid w:val="00C1149F"/>
    <w:rsid w:val="00C11FA9"/>
    <w:rsid w:val="00C12BFA"/>
    <w:rsid w:val="00C12CFE"/>
    <w:rsid w:val="00C12DBF"/>
    <w:rsid w:val="00C12FC6"/>
    <w:rsid w:val="00C133DC"/>
    <w:rsid w:val="00C13452"/>
    <w:rsid w:val="00C1385E"/>
    <w:rsid w:val="00C139AD"/>
    <w:rsid w:val="00C13AA9"/>
    <w:rsid w:val="00C145C4"/>
    <w:rsid w:val="00C156B7"/>
    <w:rsid w:val="00C15D9D"/>
    <w:rsid w:val="00C16543"/>
    <w:rsid w:val="00C16864"/>
    <w:rsid w:val="00C16987"/>
    <w:rsid w:val="00C16A9F"/>
    <w:rsid w:val="00C1700D"/>
    <w:rsid w:val="00C1762F"/>
    <w:rsid w:val="00C17698"/>
    <w:rsid w:val="00C179D9"/>
    <w:rsid w:val="00C17B8C"/>
    <w:rsid w:val="00C20108"/>
    <w:rsid w:val="00C203FB"/>
    <w:rsid w:val="00C208DD"/>
    <w:rsid w:val="00C20F4C"/>
    <w:rsid w:val="00C2149A"/>
    <w:rsid w:val="00C21C29"/>
    <w:rsid w:val="00C21CF9"/>
    <w:rsid w:val="00C222AD"/>
    <w:rsid w:val="00C22396"/>
    <w:rsid w:val="00C22627"/>
    <w:rsid w:val="00C2295F"/>
    <w:rsid w:val="00C22EF4"/>
    <w:rsid w:val="00C2357A"/>
    <w:rsid w:val="00C23859"/>
    <w:rsid w:val="00C245A9"/>
    <w:rsid w:val="00C248C8"/>
    <w:rsid w:val="00C25064"/>
    <w:rsid w:val="00C251B2"/>
    <w:rsid w:val="00C25D23"/>
    <w:rsid w:val="00C269F9"/>
    <w:rsid w:val="00C2794B"/>
    <w:rsid w:val="00C27D21"/>
    <w:rsid w:val="00C27E1F"/>
    <w:rsid w:val="00C301FE"/>
    <w:rsid w:val="00C30639"/>
    <w:rsid w:val="00C30882"/>
    <w:rsid w:val="00C30C8C"/>
    <w:rsid w:val="00C319A6"/>
    <w:rsid w:val="00C31BCB"/>
    <w:rsid w:val="00C32123"/>
    <w:rsid w:val="00C33303"/>
    <w:rsid w:val="00C3388F"/>
    <w:rsid w:val="00C33AD5"/>
    <w:rsid w:val="00C343ED"/>
    <w:rsid w:val="00C35AAA"/>
    <w:rsid w:val="00C35E05"/>
    <w:rsid w:val="00C3606E"/>
    <w:rsid w:val="00C3685A"/>
    <w:rsid w:val="00C369D9"/>
    <w:rsid w:val="00C36C2F"/>
    <w:rsid w:val="00C37073"/>
    <w:rsid w:val="00C37B6C"/>
    <w:rsid w:val="00C37B7A"/>
    <w:rsid w:val="00C37F3C"/>
    <w:rsid w:val="00C407CC"/>
    <w:rsid w:val="00C41255"/>
    <w:rsid w:val="00C4140F"/>
    <w:rsid w:val="00C417C3"/>
    <w:rsid w:val="00C42189"/>
    <w:rsid w:val="00C423F7"/>
    <w:rsid w:val="00C424E9"/>
    <w:rsid w:val="00C42964"/>
    <w:rsid w:val="00C429B5"/>
    <w:rsid w:val="00C42D92"/>
    <w:rsid w:val="00C42F84"/>
    <w:rsid w:val="00C43F9A"/>
    <w:rsid w:val="00C4515E"/>
    <w:rsid w:val="00C457BD"/>
    <w:rsid w:val="00C45F5F"/>
    <w:rsid w:val="00C465B4"/>
    <w:rsid w:val="00C46648"/>
    <w:rsid w:val="00C466F2"/>
    <w:rsid w:val="00C467D7"/>
    <w:rsid w:val="00C479AF"/>
    <w:rsid w:val="00C5044A"/>
    <w:rsid w:val="00C50963"/>
    <w:rsid w:val="00C50C13"/>
    <w:rsid w:val="00C5190F"/>
    <w:rsid w:val="00C5220D"/>
    <w:rsid w:val="00C52A8C"/>
    <w:rsid w:val="00C532BA"/>
    <w:rsid w:val="00C535A5"/>
    <w:rsid w:val="00C536EC"/>
    <w:rsid w:val="00C538F4"/>
    <w:rsid w:val="00C5407A"/>
    <w:rsid w:val="00C549F8"/>
    <w:rsid w:val="00C55B4A"/>
    <w:rsid w:val="00C56601"/>
    <w:rsid w:val="00C56CE2"/>
    <w:rsid w:val="00C5766D"/>
    <w:rsid w:val="00C57AA7"/>
    <w:rsid w:val="00C6059E"/>
    <w:rsid w:val="00C61A74"/>
    <w:rsid w:val="00C62057"/>
    <w:rsid w:val="00C623EA"/>
    <w:rsid w:val="00C634B3"/>
    <w:rsid w:val="00C641FC"/>
    <w:rsid w:val="00C6584E"/>
    <w:rsid w:val="00C65C6A"/>
    <w:rsid w:val="00C65E57"/>
    <w:rsid w:val="00C66999"/>
    <w:rsid w:val="00C67948"/>
    <w:rsid w:val="00C67A0F"/>
    <w:rsid w:val="00C67B97"/>
    <w:rsid w:val="00C67D8F"/>
    <w:rsid w:val="00C67FD3"/>
    <w:rsid w:val="00C70AAA"/>
    <w:rsid w:val="00C70BFB"/>
    <w:rsid w:val="00C70C72"/>
    <w:rsid w:val="00C71303"/>
    <w:rsid w:val="00C713C0"/>
    <w:rsid w:val="00C71825"/>
    <w:rsid w:val="00C724B0"/>
    <w:rsid w:val="00C72953"/>
    <w:rsid w:val="00C72A05"/>
    <w:rsid w:val="00C736B9"/>
    <w:rsid w:val="00C7415F"/>
    <w:rsid w:val="00C743DE"/>
    <w:rsid w:val="00C755B1"/>
    <w:rsid w:val="00C76209"/>
    <w:rsid w:val="00C765E2"/>
    <w:rsid w:val="00C76696"/>
    <w:rsid w:val="00C76A7C"/>
    <w:rsid w:val="00C76EAB"/>
    <w:rsid w:val="00C76EBC"/>
    <w:rsid w:val="00C770B0"/>
    <w:rsid w:val="00C77887"/>
    <w:rsid w:val="00C77EFD"/>
    <w:rsid w:val="00C804AA"/>
    <w:rsid w:val="00C80FB9"/>
    <w:rsid w:val="00C8160E"/>
    <w:rsid w:val="00C817BA"/>
    <w:rsid w:val="00C8198A"/>
    <w:rsid w:val="00C820F6"/>
    <w:rsid w:val="00C8228E"/>
    <w:rsid w:val="00C822E9"/>
    <w:rsid w:val="00C8242F"/>
    <w:rsid w:val="00C83164"/>
    <w:rsid w:val="00C836EF"/>
    <w:rsid w:val="00C83F1C"/>
    <w:rsid w:val="00C84209"/>
    <w:rsid w:val="00C84604"/>
    <w:rsid w:val="00C84DD8"/>
    <w:rsid w:val="00C84DF4"/>
    <w:rsid w:val="00C85409"/>
    <w:rsid w:val="00C858A8"/>
    <w:rsid w:val="00C8592F"/>
    <w:rsid w:val="00C8604A"/>
    <w:rsid w:val="00C86E87"/>
    <w:rsid w:val="00C86F91"/>
    <w:rsid w:val="00C87349"/>
    <w:rsid w:val="00C87CF6"/>
    <w:rsid w:val="00C87DC9"/>
    <w:rsid w:val="00C906F3"/>
    <w:rsid w:val="00C90C27"/>
    <w:rsid w:val="00C910A4"/>
    <w:rsid w:val="00C91C93"/>
    <w:rsid w:val="00C93313"/>
    <w:rsid w:val="00C93EC9"/>
    <w:rsid w:val="00C94F3A"/>
    <w:rsid w:val="00C9592D"/>
    <w:rsid w:val="00C9694E"/>
    <w:rsid w:val="00C9787A"/>
    <w:rsid w:val="00C97936"/>
    <w:rsid w:val="00CA01D5"/>
    <w:rsid w:val="00CA0287"/>
    <w:rsid w:val="00CA03F0"/>
    <w:rsid w:val="00CA0495"/>
    <w:rsid w:val="00CA04DC"/>
    <w:rsid w:val="00CA1306"/>
    <w:rsid w:val="00CA1412"/>
    <w:rsid w:val="00CA15BB"/>
    <w:rsid w:val="00CA1C49"/>
    <w:rsid w:val="00CA1F3B"/>
    <w:rsid w:val="00CA22A4"/>
    <w:rsid w:val="00CA27ED"/>
    <w:rsid w:val="00CA3CDB"/>
    <w:rsid w:val="00CA3DAF"/>
    <w:rsid w:val="00CA3E4F"/>
    <w:rsid w:val="00CA61EC"/>
    <w:rsid w:val="00CA63B2"/>
    <w:rsid w:val="00CA6A9D"/>
    <w:rsid w:val="00CA72C2"/>
    <w:rsid w:val="00CA78A6"/>
    <w:rsid w:val="00CA78FF"/>
    <w:rsid w:val="00CB0BAB"/>
    <w:rsid w:val="00CB0CDF"/>
    <w:rsid w:val="00CB161A"/>
    <w:rsid w:val="00CB16D7"/>
    <w:rsid w:val="00CB1903"/>
    <w:rsid w:val="00CB197A"/>
    <w:rsid w:val="00CB2072"/>
    <w:rsid w:val="00CB30BE"/>
    <w:rsid w:val="00CB3395"/>
    <w:rsid w:val="00CB3773"/>
    <w:rsid w:val="00CB3FC8"/>
    <w:rsid w:val="00CB47E0"/>
    <w:rsid w:val="00CB4959"/>
    <w:rsid w:val="00CB4B48"/>
    <w:rsid w:val="00CB551E"/>
    <w:rsid w:val="00CB58C0"/>
    <w:rsid w:val="00CB61EC"/>
    <w:rsid w:val="00CB7445"/>
    <w:rsid w:val="00CC0E0A"/>
    <w:rsid w:val="00CC1A0F"/>
    <w:rsid w:val="00CC1C81"/>
    <w:rsid w:val="00CC1CB8"/>
    <w:rsid w:val="00CC2896"/>
    <w:rsid w:val="00CC2F6F"/>
    <w:rsid w:val="00CC31E3"/>
    <w:rsid w:val="00CC42A4"/>
    <w:rsid w:val="00CC48F1"/>
    <w:rsid w:val="00CC4C6C"/>
    <w:rsid w:val="00CC4D68"/>
    <w:rsid w:val="00CC534A"/>
    <w:rsid w:val="00CC5810"/>
    <w:rsid w:val="00CC5C5A"/>
    <w:rsid w:val="00CC6359"/>
    <w:rsid w:val="00CC6B3D"/>
    <w:rsid w:val="00CC6D65"/>
    <w:rsid w:val="00CC732C"/>
    <w:rsid w:val="00CC7BDE"/>
    <w:rsid w:val="00CD03AF"/>
    <w:rsid w:val="00CD075C"/>
    <w:rsid w:val="00CD0BC2"/>
    <w:rsid w:val="00CD1610"/>
    <w:rsid w:val="00CD1B1F"/>
    <w:rsid w:val="00CD2140"/>
    <w:rsid w:val="00CD2CA9"/>
    <w:rsid w:val="00CD2CE5"/>
    <w:rsid w:val="00CD2E0B"/>
    <w:rsid w:val="00CD3845"/>
    <w:rsid w:val="00CD38AB"/>
    <w:rsid w:val="00CD38D7"/>
    <w:rsid w:val="00CD3A3F"/>
    <w:rsid w:val="00CD4069"/>
    <w:rsid w:val="00CD4B09"/>
    <w:rsid w:val="00CD5057"/>
    <w:rsid w:val="00CD5D19"/>
    <w:rsid w:val="00CD5F3C"/>
    <w:rsid w:val="00CD61B2"/>
    <w:rsid w:val="00CE0303"/>
    <w:rsid w:val="00CE0356"/>
    <w:rsid w:val="00CE0C3A"/>
    <w:rsid w:val="00CE0F9D"/>
    <w:rsid w:val="00CE1071"/>
    <w:rsid w:val="00CE150E"/>
    <w:rsid w:val="00CE17AB"/>
    <w:rsid w:val="00CE1905"/>
    <w:rsid w:val="00CE22BE"/>
    <w:rsid w:val="00CE2FFB"/>
    <w:rsid w:val="00CE34F4"/>
    <w:rsid w:val="00CE3808"/>
    <w:rsid w:val="00CE3C57"/>
    <w:rsid w:val="00CE3F03"/>
    <w:rsid w:val="00CE5021"/>
    <w:rsid w:val="00CE5B34"/>
    <w:rsid w:val="00CE6076"/>
    <w:rsid w:val="00CE6183"/>
    <w:rsid w:val="00CE6663"/>
    <w:rsid w:val="00CE68F9"/>
    <w:rsid w:val="00CE6E35"/>
    <w:rsid w:val="00CE71DD"/>
    <w:rsid w:val="00CE7738"/>
    <w:rsid w:val="00CE7DC1"/>
    <w:rsid w:val="00CF02A7"/>
    <w:rsid w:val="00CF03D5"/>
    <w:rsid w:val="00CF15FE"/>
    <w:rsid w:val="00CF1E3A"/>
    <w:rsid w:val="00CF1F26"/>
    <w:rsid w:val="00CF31F9"/>
    <w:rsid w:val="00CF3717"/>
    <w:rsid w:val="00CF3DCF"/>
    <w:rsid w:val="00CF4B02"/>
    <w:rsid w:val="00CF57F9"/>
    <w:rsid w:val="00CF5E15"/>
    <w:rsid w:val="00CF5F47"/>
    <w:rsid w:val="00CF67E8"/>
    <w:rsid w:val="00CF6B32"/>
    <w:rsid w:val="00CF735B"/>
    <w:rsid w:val="00CF7454"/>
    <w:rsid w:val="00CF74DB"/>
    <w:rsid w:val="00D001BC"/>
    <w:rsid w:val="00D008E0"/>
    <w:rsid w:val="00D00F52"/>
    <w:rsid w:val="00D012B0"/>
    <w:rsid w:val="00D0148E"/>
    <w:rsid w:val="00D01ABF"/>
    <w:rsid w:val="00D02827"/>
    <w:rsid w:val="00D02971"/>
    <w:rsid w:val="00D029BD"/>
    <w:rsid w:val="00D02B19"/>
    <w:rsid w:val="00D02D64"/>
    <w:rsid w:val="00D030D7"/>
    <w:rsid w:val="00D03883"/>
    <w:rsid w:val="00D041D6"/>
    <w:rsid w:val="00D043E5"/>
    <w:rsid w:val="00D04908"/>
    <w:rsid w:val="00D049C9"/>
    <w:rsid w:val="00D054AF"/>
    <w:rsid w:val="00D056AB"/>
    <w:rsid w:val="00D05725"/>
    <w:rsid w:val="00D061A4"/>
    <w:rsid w:val="00D06A98"/>
    <w:rsid w:val="00D06FD7"/>
    <w:rsid w:val="00D0744C"/>
    <w:rsid w:val="00D07795"/>
    <w:rsid w:val="00D10C78"/>
    <w:rsid w:val="00D1130A"/>
    <w:rsid w:val="00D11CD7"/>
    <w:rsid w:val="00D12A8F"/>
    <w:rsid w:val="00D12DEC"/>
    <w:rsid w:val="00D131A3"/>
    <w:rsid w:val="00D13214"/>
    <w:rsid w:val="00D14358"/>
    <w:rsid w:val="00D14D84"/>
    <w:rsid w:val="00D1551A"/>
    <w:rsid w:val="00D156AC"/>
    <w:rsid w:val="00D15FAC"/>
    <w:rsid w:val="00D16696"/>
    <w:rsid w:val="00D16DF0"/>
    <w:rsid w:val="00D20622"/>
    <w:rsid w:val="00D2096A"/>
    <w:rsid w:val="00D20AFC"/>
    <w:rsid w:val="00D20BCF"/>
    <w:rsid w:val="00D21055"/>
    <w:rsid w:val="00D21279"/>
    <w:rsid w:val="00D214FC"/>
    <w:rsid w:val="00D2175C"/>
    <w:rsid w:val="00D22521"/>
    <w:rsid w:val="00D238AD"/>
    <w:rsid w:val="00D23B0E"/>
    <w:rsid w:val="00D246D9"/>
    <w:rsid w:val="00D2483E"/>
    <w:rsid w:val="00D24D51"/>
    <w:rsid w:val="00D24D7D"/>
    <w:rsid w:val="00D24DAD"/>
    <w:rsid w:val="00D264E0"/>
    <w:rsid w:val="00D266E2"/>
    <w:rsid w:val="00D26DF2"/>
    <w:rsid w:val="00D2765B"/>
    <w:rsid w:val="00D30015"/>
    <w:rsid w:val="00D306D0"/>
    <w:rsid w:val="00D308D1"/>
    <w:rsid w:val="00D30B6C"/>
    <w:rsid w:val="00D32457"/>
    <w:rsid w:val="00D33194"/>
    <w:rsid w:val="00D333EF"/>
    <w:rsid w:val="00D334B1"/>
    <w:rsid w:val="00D334B8"/>
    <w:rsid w:val="00D3382C"/>
    <w:rsid w:val="00D33E6D"/>
    <w:rsid w:val="00D33E77"/>
    <w:rsid w:val="00D34236"/>
    <w:rsid w:val="00D3453C"/>
    <w:rsid w:val="00D34B52"/>
    <w:rsid w:val="00D3507E"/>
    <w:rsid w:val="00D358DD"/>
    <w:rsid w:val="00D35BF4"/>
    <w:rsid w:val="00D36074"/>
    <w:rsid w:val="00D3635C"/>
    <w:rsid w:val="00D36877"/>
    <w:rsid w:val="00D36DAE"/>
    <w:rsid w:val="00D3706B"/>
    <w:rsid w:val="00D3718B"/>
    <w:rsid w:val="00D37C11"/>
    <w:rsid w:val="00D37FDB"/>
    <w:rsid w:val="00D40648"/>
    <w:rsid w:val="00D40764"/>
    <w:rsid w:val="00D41091"/>
    <w:rsid w:val="00D4120A"/>
    <w:rsid w:val="00D4170A"/>
    <w:rsid w:val="00D41823"/>
    <w:rsid w:val="00D41991"/>
    <w:rsid w:val="00D41CAE"/>
    <w:rsid w:val="00D41DBE"/>
    <w:rsid w:val="00D41EE3"/>
    <w:rsid w:val="00D425AD"/>
    <w:rsid w:val="00D42794"/>
    <w:rsid w:val="00D43159"/>
    <w:rsid w:val="00D43546"/>
    <w:rsid w:val="00D4379F"/>
    <w:rsid w:val="00D43981"/>
    <w:rsid w:val="00D4418B"/>
    <w:rsid w:val="00D441FD"/>
    <w:rsid w:val="00D4426D"/>
    <w:rsid w:val="00D446BA"/>
    <w:rsid w:val="00D448F0"/>
    <w:rsid w:val="00D4492C"/>
    <w:rsid w:val="00D45208"/>
    <w:rsid w:val="00D45531"/>
    <w:rsid w:val="00D45882"/>
    <w:rsid w:val="00D45928"/>
    <w:rsid w:val="00D45E3B"/>
    <w:rsid w:val="00D45EC1"/>
    <w:rsid w:val="00D461E2"/>
    <w:rsid w:val="00D465CA"/>
    <w:rsid w:val="00D46E2D"/>
    <w:rsid w:val="00D47230"/>
    <w:rsid w:val="00D47362"/>
    <w:rsid w:val="00D47520"/>
    <w:rsid w:val="00D4788E"/>
    <w:rsid w:val="00D479EB"/>
    <w:rsid w:val="00D47B48"/>
    <w:rsid w:val="00D47DFA"/>
    <w:rsid w:val="00D50123"/>
    <w:rsid w:val="00D5082D"/>
    <w:rsid w:val="00D5086B"/>
    <w:rsid w:val="00D50933"/>
    <w:rsid w:val="00D511A9"/>
    <w:rsid w:val="00D511AB"/>
    <w:rsid w:val="00D516BD"/>
    <w:rsid w:val="00D5205F"/>
    <w:rsid w:val="00D52180"/>
    <w:rsid w:val="00D52443"/>
    <w:rsid w:val="00D52488"/>
    <w:rsid w:val="00D52CC5"/>
    <w:rsid w:val="00D5309B"/>
    <w:rsid w:val="00D534C7"/>
    <w:rsid w:val="00D53587"/>
    <w:rsid w:val="00D53943"/>
    <w:rsid w:val="00D541A1"/>
    <w:rsid w:val="00D54E1D"/>
    <w:rsid w:val="00D55FF6"/>
    <w:rsid w:val="00D56352"/>
    <w:rsid w:val="00D5646E"/>
    <w:rsid w:val="00D5716D"/>
    <w:rsid w:val="00D577DD"/>
    <w:rsid w:val="00D57D5F"/>
    <w:rsid w:val="00D60556"/>
    <w:rsid w:val="00D6096E"/>
    <w:rsid w:val="00D60A52"/>
    <w:rsid w:val="00D60E16"/>
    <w:rsid w:val="00D61196"/>
    <w:rsid w:val="00D61476"/>
    <w:rsid w:val="00D616D0"/>
    <w:rsid w:val="00D62735"/>
    <w:rsid w:val="00D628DE"/>
    <w:rsid w:val="00D62A0A"/>
    <w:rsid w:val="00D62BEE"/>
    <w:rsid w:val="00D636A8"/>
    <w:rsid w:val="00D6378B"/>
    <w:rsid w:val="00D6378C"/>
    <w:rsid w:val="00D639B4"/>
    <w:rsid w:val="00D63CC1"/>
    <w:rsid w:val="00D65A25"/>
    <w:rsid w:val="00D65AB0"/>
    <w:rsid w:val="00D6670D"/>
    <w:rsid w:val="00D66E1B"/>
    <w:rsid w:val="00D67503"/>
    <w:rsid w:val="00D67DFE"/>
    <w:rsid w:val="00D709AF"/>
    <w:rsid w:val="00D70A41"/>
    <w:rsid w:val="00D70E8C"/>
    <w:rsid w:val="00D70F3C"/>
    <w:rsid w:val="00D71149"/>
    <w:rsid w:val="00D71E70"/>
    <w:rsid w:val="00D72706"/>
    <w:rsid w:val="00D74CD5"/>
    <w:rsid w:val="00D75101"/>
    <w:rsid w:val="00D75204"/>
    <w:rsid w:val="00D753CB"/>
    <w:rsid w:val="00D755F4"/>
    <w:rsid w:val="00D76152"/>
    <w:rsid w:val="00D770DB"/>
    <w:rsid w:val="00D779BD"/>
    <w:rsid w:val="00D81B12"/>
    <w:rsid w:val="00D824DA"/>
    <w:rsid w:val="00D82619"/>
    <w:rsid w:val="00D82B46"/>
    <w:rsid w:val="00D8307E"/>
    <w:rsid w:val="00D83819"/>
    <w:rsid w:val="00D83A81"/>
    <w:rsid w:val="00D83B12"/>
    <w:rsid w:val="00D84CED"/>
    <w:rsid w:val="00D84EC5"/>
    <w:rsid w:val="00D84EC8"/>
    <w:rsid w:val="00D852BF"/>
    <w:rsid w:val="00D857DE"/>
    <w:rsid w:val="00D858B8"/>
    <w:rsid w:val="00D87562"/>
    <w:rsid w:val="00D87A62"/>
    <w:rsid w:val="00D87EF7"/>
    <w:rsid w:val="00D902C0"/>
    <w:rsid w:val="00D90FA2"/>
    <w:rsid w:val="00D9109F"/>
    <w:rsid w:val="00D9159C"/>
    <w:rsid w:val="00D91774"/>
    <w:rsid w:val="00D926F4"/>
    <w:rsid w:val="00D92E8C"/>
    <w:rsid w:val="00D930FB"/>
    <w:rsid w:val="00D93272"/>
    <w:rsid w:val="00D934D9"/>
    <w:rsid w:val="00D9379B"/>
    <w:rsid w:val="00D93D88"/>
    <w:rsid w:val="00D93DF6"/>
    <w:rsid w:val="00D9459C"/>
    <w:rsid w:val="00D94ADC"/>
    <w:rsid w:val="00D958DE"/>
    <w:rsid w:val="00D96158"/>
    <w:rsid w:val="00D96B17"/>
    <w:rsid w:val="00D96C9C"/>
    <w:rsid w:val="00D97A36"/>
    <w:rsid w:val="00DA05EF"/>
    <w:rsid w:val="00DA0CA1"/>
    <w:rsid w:val="00DA0CC0"/>
    <w:rsid w:val="00DA0EB2"/>
    <w:rsid w:val="00DA0F33"/>
    <w:rsid w:val="00DA10A0"/>
    <w:rsid w:val="00DA1597"/>
    <w:rsid w:val="00DA16B8"/>
    <w:rsid w:val="00DA1A28"/>
    <w:rsid w:val="00DA1A5E"/>
    <w:rsid w:val="00DA1B4B"/>
    <w:rsid w:val="00DA2B20"/>
    <w:rsid w:val="00DA3279"/>
    <w:rsid w:val="00DA392C"/>
    <w:rsid w:val="00DA60B2"/>
    <w:rsid w:val="00DA6779"/>
    <w:rsid w:val="00DA67D3"/>
    <w:rsid w:val="00DA6955"/>
    <w:rsid w:val="00DA6A13"/>
    <w:rsid w:val="00DA7412"/>
    <w:rsid w:val="00DB00EF"/>
    <w:rsid w:val="00DB03A9"/>
    <w:rsid w:val="00DB03E2"/>
    <w:rsid w:val="00DB1A2A"/>
    <w:rsid w:val="00DB1ABC"/>
    <w:rsid w:val="00DB1DFF"/>
    <w:rsid w:val="00DB2317"/>
    <w:rsid w:val="00DB2827"/>
    <w:rsid w:val="00DB3747"/>
    <w:rsid w:val="00DB3D2B"/>
    <w:rsid w:val="00DB46C2"/>
    <w:rsid w:val="00DB4755"/>
    <w:rsid w:val="00DB4B8F"/>
    <w:rsid w:val="00DB62F6"/>
    <w:rsid w:val="00DB6676"/>
    <w:rsid w:val="00DB70E5"/>
    <w:rsid w:val="00DB756C"/>
    <w:rsid w:val="00DB7B75"/>
    <w:rsid w:val="00DC04C3"/>
    <w:rsid w:val="00DC1E19"/>
    <w:rsid w:val="00DC3480"/>
    <w:rsid w:val="00DC43BD"/>
    <w:rsid w:val="00DC4827"/>
    <w:rsid w:val="00DC4C59"/>
    <w:rsid w:val="00DC4C5D"/>
    <w:rsid w:val="00DC4EB1"/>
    <w:rsid w:val="00DC5B22"/>
    <w:rsid w:val="00DC611F"/>
    <w:rsid w:val="00DC632B"/>
    <w:rsid w:val="00DC635F"/>
    <w:rsid w:val="00DC68B7"/>
    <w:rsid w:val="00DC6AFC"/>
    <w:rsid w:val="00DC7628"/>
    <w:rsid w:val="00DD03BE"/>
    <w:rsid w:val="00DD0430"/>
    <w:rsid w:val="00DD0633"/>
    <w:rsid w:val="00DD1383"/>
    <w:rsid w:val="00DD1904"/>
    <w:rsid w:val="00DD2960"/>
    <w:rsid w:val="00DD3747"/>
    <w:rsid w:val="00DD3A76"/>
    <w:rsid w:val="00DD4918"/>
    <w:rsid w:val="00DD513E"/>
    <w:rsid w:val="00DD536D"/>
    <w:rsid w:val="00DD5949"/>
    <w:rsid w:val="00DD5EDD"/>
    <w:rsid w:val="00DD6137"/>
    <w:rsid w:val="00DD61A2"/>
    <w:rsid w:val="00DD6A5E"/>
    <w:rsid w:val="00DD6CB1"/>
    <w:rsid w:val="00DD6D60"/>
    <w:rsid w:val="00DD703D"/>
    <w:rsid w:val="00DD735F"/>
    <w:rsid w:val="00DD7377"/>
    <w:rsid w:val="00DD7853"/>
    <w:rsid w:val="00DE00E4"/>
    <w:rsid w:val="00DE01F2"/>
    <w:rsid w:val="00DE0530"/>
    <w:rsid w:val="00DE0A41"/>
    <w:rsid w:val="00DE1EB8"/>
    <w:rsid w:val="00DE3BF8"/>
    <w:rsid w:val="00DE3EC3"/>
    <w:rsid w:val="00DE4179"/>
    <w:rsid w:val="00DE53E2"/>
    <w:rsid w:val="00DE55FA"/>
    <w:rsid w:val="00DE5C72"/>
    <w:rsid w:val="00DE67ED"/>
    <w:rsid w:val="00DE6E3F"/>
    <w:rsid w:val="00DE7290"/>
    <w:rsid w:val="00DE76F4"/>
    <w:rsid w:val="00DE7A8F"/>
    <w:rsid w:val="00DF0A1B"/>
    <w:rsid w:val="00DF0C03"/>
    <w:rsid w:val="00DF0E2A"/>
    <w:rsid w:val="00DF156D"/>
    <w:rsid w:val="00DF196F"/>
    <w:rsid w:val="00DF19D1"/>
    <w:rsid w:val="00DF2051"/>
    <w:rsid w:val="00DF22EF"/>
    <w:rsid w:val="00DF24D9"/>
    <w:rsid w:val="00DF25A2"/>
    <w:rsid w:val="00DF25EB"/>
    <w:rsid w:val="00DF28F3"/>
    <w:rsid w:val="00DF36FB"/>
    <w:rsid w:val="00DF42FD"/>
    <w:rsid w:val="00DF4680"/>
    <w:rsid w:val="00DF4EC0"/>
    <w:rsid w:val="00DF59D6"/>
    <w:rsid w:val="00DF636B"/>
    <w:rsid w:val="00DF6AA1"/>
    <w:rsid w:val="00DF75A7"/>
    <w:rsid w:val="00DF7982"/>
    <w:rsid w:val="00DF7E36"/>
    <w:rsid w:val="00DF7E43"/>
    <w:rsid w:val="00E01335"/>
    <w:rsid w:val="00E0177D"/>
    <w:rsid w:val="00E01889"/>
    <w:rsid w:val="00E02FA8"/>
    <w:rsid w:val="00E03A48"/>
    <w:rsid w:val="00E03E4E"/>
    <w:rsid w:val="00E0425C"/>
    <w:rsid w:val="00E04336"/>
    <w:rsid w:val="00E04FFB"/>
    <w:rsid w:val="00E051FE"/>
    <w:rsid w:val="00E053AC"/>
    <w:rsid w:val="00E0693D"/>
    <w:rsid w:val="00E077EC"/>
    <w:rsid w:val="00E07E94"/>
    <w:rsid w:val="00E07F0F"/>
    <w:rsid w:val="00E11033"/>
    <w:rsid w:val="00E118F1"/>
    <w:rsid w:val="00E1202E"/>
    <w:rsid w:val="00E12D2A"/>
    <w:rsid w:val="00E1372C"/>
    <w:rsid w:val="00E13A47"/>
    <w:rsid w:val="00E13CDE"/>
    <w:rsid w:val="00E1408B"/>
    <w:rsid w:val="00E1578D"/>
    <w:rsid w:val="00E16C4A"/>
    <w:rsid w:val="00E17013"/>
    <w:rsid w:val="00E17018"/>
    <w:rsid w:val="00E17307"/>
    <w:rsid w:val="00E17AB5"/>
    <w:rsid w:val="00E20321"/>
    <w:rsid w:val="00E20F7A"/>
    <w:rsid w:val="00E21D68"/>
    <w:rsid w:val="00E2365F"/>
    <w:rsid w:val="00E239F4"/>
    <w:rsid w:val="00E23D5F"/>
    <w:rsid w:val="00E23E9E"/>
    <w:rsid w:val="00E247A5"/>
    <w:rsid w:val="00E25BB7"/>
    <w:rsid w:val="00E26B83"/>
    <w:rsid w:val="00E27894"/>
    <w:rsid w:val="00E30475"/>
    <w:rsid w:val="00E31C49"/>
    <w:rsid w:val="00E32303"/>
    <w:rsid w:val="00E33108"/>
    <w:rsid w:val="00E33425"/>
    <w:rsid w:val="00E33930"/>
    <w:rsid w:val="00E339B6"/>
    <w:rsid w:val="00E34279"/>
    <w:rsid w:val="00E349AC"/>
    <w:rsid w:val="00E34D7E"/>
    <w:rsid w:val="00E35071"/>
    <w:rsid w:val="00E3516A"/>
    <w:rsid w:val="00E3552A"/>
    <w:rsid w:val="00E357BB"/>
    <w:rsid w:val="00E35ACB"/>
    <w:rsid w:val="00E371EB"/>
    <w:rsid w:val="00E37975"/>
    <w:rsid w:val="00E379FD"/>
    <w:rsid w:val="00E4091D"/>
    <w:rsid w:val="00E40B33"/>
    <w:rsid w:val="00E40B51"/>
    <w:rsid w:val="00E410F0"/>
    <w:rsid w:val="00E41505"/>
    <w:rsid w:val="00E41745"/>
    <w:rsid w:val="00E41805"/>
    <w:rsid w:val="00E43943"/>
    <w:rsid w:val="00E43E68"/>
    <w:rsid w:val="00E4465F"/>
    <w:rsid w:val="00E45871"/>
    <w:rsid w:val="00E4596C"/>
    <w:rsid w:val="00E45F33"/>
    <w:rsid w:val="00E45FE7"/>
    <w:rsid w:val="00E462C8"/>
    <w:rsid w:val="00E46AA8"/>
    <w:rsid w:val="00E475EA"/>
    <w:rsid w:val="00E47D83"/>
    <w:rsid w:val="00E50564"/>
    <w:rsid w:val="00E50BAD"/>
    <w:rsid w:val="00E5151E"/>
    <w:rsid w:val="00E5178A"/>
    <w:rsid w:val="00E517D5"/>
    <w:rsid w:val="00E518B3"/>
    <w:rsid w:val="00E51EE9"/>
    <w:rsid w:val="00E5208A"/>
    <w:rsid w:val="00E52238"/>
    <w:rsid w:val="00E52A00"/>
    <w:rsid w:val="00E52B43"/>
    <w:rsid w:val="00E52D23"/>
    <w:rsid w:val="00E530A0"/>
    <w:rsid w:val="00E53903"/>
    <w:rsid w:val="00E53C32"/>
    <w:rsid w:val="00E54165"/>
    <w:rsid w:val="00E54A82"/>
    <w:rsid w:val="00E55701"/>
    <w:rsid w:val="00E5599E"/>
    <w:rsid w:val="00E55E0D"/>
    <w:rsid w:val="00E560FE"/>
    <w:rsid w:val="00E5614F"/>
    <w:rsid w:val="00E57A15"/>
    <w:rsid w:val="00E600FD"/>
    <w:rsid w:val="00E60AE0"/>
    <w:rsid w:val="00E618BD"/>
    <w:rsid w:val="00E629FF"/>
    <w:rsid w:val="00E62A88"/>
    <w:rsid w:val="00E63508"/>
    <w:rsid w:val="00E63E2A"/>
    <w:rsid w:val="00E63F6C"/>
    <w:rsid w:val="00E63F9E"/>
    <w:rsid w:val="00E63FEF"/>
    <w:rsid w:val="00E6446C"/>
    <w:rsid w:val="00E64D87"/>
    <w:rsid w:val="00E6583F"/>
    <w:rsid w:val="00E65918"/>
    <w:rsid w:val="00E661E0"/>
    <w:rsid w:val="00E662B6"/>
    <w:rsid w:val="00E663A2"/>
    <w:rsid w:val="00E66BE0"/>
    <w:rsid w:val="00E67311"/>
    <w:rsid w:val="00E67797"/>
    <w:rsid w:val="00E67902"/>
    <w:rsid w:val="00E67C65"/>
    <w:rsid w:val="00E703EA"/>
    <w:rsid w:val="00E7052F"/>
    <w:rsid w:val="00E70A38"/>
    <w:rsid w:val="00E70BC7"/>
    <w:rsid w:val="00E71566"/>
    <w:rsid w:val="00E72157"/>
    <w:rsid w:val="00E734AB"/>
    <w:rsid w:val="00E73B06"/>
    <w:rsid w:val="00E73D0E"/>
    <w:rsid w:val="00E73D69"/>
    <w:rsid w:val="00E741CE"/>
    <w:rsid w:val="00E7461D"/>
    <w:rsid w:val="00E74C09"/>
    <w:rsid w:val="00E74D96"/>
    <w:rsid w:val="00E754BA"/>
    <w:rsid w:val="00E757C1"/>
    <w:rsid w:val="00E75E72"/>
    <w:rsid w:val="00E7636B"/>
    <w:rsid w:val="00E76EBE"/>
    <w:rsid w:val="00E77851"/>
    <w:rsid w:val="00E80346"/>
    <w:rsid w:val="00E8131F"/>
    <w:rsid w:val="00E81C05"/>
    <w:rsid w:val="00E83435"/>
    <w:rsid w:val="00E83718"/>
    <w:rsid w:val="00E83765"/>
    <w:rsid w:val="00E83A47"/>
    <w:rsid w:val="00E8463C"/>
    <w:rsid w:val="00E84A83"/>
    <w:rsid w:val="00E84E80"/>
    <w:rsid w:val="00E85819"/>
    <w:rsid w:val="00E86A97"/>
    <w:rsid w:val="00E86CDD"/>
    <w:rsid w:val="00E86FB4"/>
    <w:rsid w:val="00E87BFC"/>
    <w:rsid w:val="00E90509"/>
    <w:rsid w:val="00E90672"/>
    <w:rsid w:val="00E90C8E"/>
    <w:rsid w:val="00E90EE1"/>
    <w:rsid w:val="00E91007"/>
    <w:rsid w:val="00E91109"/>
    <w:rsid w:val="00E91F0E"/>
    <w:rsid w:val="00E92103"/>
    <w:rsid w:val="00E921E1"/>
    <w:rsid w:val="00E92CE5"/>
    <w:rsid w:val="00E92D31"/>
    <w:rsid w:val="00E93328"/>
    <w:rsid w:val="00E93A7E"/>
    <w:rsid w:val="00E94855"/>
    <w:rsid w:val="00E95F9F"/>
    <w:rsid w:val="00E965EA"/>
    <w:rsid w:val="00E96E2B"/>
    <w:rsid w:val="00E970D5"/>
    <w:rsid w:val="00E97207"/>
    <w:rsid w:val="00E97538"/>
    <w:rsid w:val="00E976EE"/>
    <w:rsid w:val="00E97A31"/>
    <w:rsid w:val="00EA0AD9"/>
    <w:rsid w:val="00EA1403"/>
    <w:rsid w:val="00EA17AA"/>
    <w:rsid w:val="00EA1F80"/>
    <w:rsid w:val="00EA299B"/>
    <w:rsid w:val="00EA2B46"/>
    <w:rsid w:val="00EA3620"/>
    <w:rsid w:val="00EA3CE6"/>
    <w:rsid w:val="00EA4414"/>
    <w:rsid w:val="00EA4B77"/>
    <w:rsid w:val="00EA4FFF"/>
    <w:rsid w:val="00EA5AE1"/>
    <w:rsid w:val="00EA5B54"/>
    <w:rsid w:val="00EA5FCF"/>
    <w:rsid w:val="00EA649B"/>
    <w:rsid w:val="00EA6B52"/>
    <w:rsid w:val="00EA74D6"/>
    <w:rsid w:val="00EA7C1C"/>
    <w:rsid w:val="00EB0407"/>
    <w:rsid w:val="00EB0AAE"/>
    <w:rsid w:val="00EB0E97"/>
    <w:rsid w:val="00EB0EA1"/>
    <w:rsid w:val="00EB122A"/>
    <w:rsid w:val="00EB134A"/>
    <w:rsid w:val="00EB1987"/>
    <w:rsid w:val="00EB1A72"/>
    <w:rsid w:val="00EB3D82"/>
    <w:rsid w:val="00EB4479"/>
    <w:rsid w:val="00EB45D5"/>
    <w:rsid w:val="00EB4C5C"/>
    <w:rsid w:val="00EB4F47"/>
    <w:rsid w:val="00EB560B"/>
    <w:rsid w:val="00EB607F"/>
    <w:rsid w:val="00EB6539"/>
    <w:rsid w:val="00EB69F5"/>
    <w:rsid w:val="00EB6EEB"/>
    <w:rsid w:val="00EB755A"/>
    <w:rsid w:val="00EB7871"/>
    <w:rsid w:val="00EC01E4"/>
    <w:rsid w:val="00EC0618"/>
    <w:rsid w:val="00EC14C9"/>
    <w:rsid w:val="00EC1C58"/>
    <w:rsid w:val="00EC1ED0"/>
    <w:rsid w:val="00EC294F"/>
    <w:rsid w:val="00EC2F61"/>
    <w:rsid w:val="00EC346C"/>
    <w:rsid w:val="00EC5029"/>
    <w:rsid w:val="00EC59FD"/>
    <w:rsid w:val="00EC5ADB"/>
    <w:rsid w:val="00EC5C46"/>
    <w:rsid w:val="00EC5E8D"/>
    <w:rsid w:val="00EC61E2"/>
    <w:rsid w:val="00EC6512"/>
    <w:rsid w:val="00EC666B"/>
    <w:rsid w:val="00EC6943"/>
    <w:rsid w:val="00EC709B"/>
    <w:rsid w:val="00EC749A"/>
    <w:rsid w:val="00EC78C2"/>
    <w:rsid w:val="00ED025C"/>
    <w:rsid w:val="00ED05C3"/>
    <w:rsid w:val="00ED075D"/>
    <w:rsid w:val="00ED0AA3"/>
    <w:rsid w:val="00ED0EFB"/>
    <w:rsid w:val="00ED156E"/>
    <w:rsid w:val="00ED17DD"/>
    <w:rsid w:val="00ED227E"/>
    <w:rsid w:val="00ED315F"/>
    <w:rsid w:val="00ED3484"/>
    <w:rsid w:val="00ED42F9"/>
    <w:rsid w:val="00ED4529"/>
    <w:rsid w:val="00ED4E19"/>
    <w:rsid w:val="00ED4F01"/>
    <w:rsid w:val="00ED5BB9"/>
    <w:rsid w:val="00ED5BEB"/>
    <w:rsid w:val="00ED5F22"/>
    <w:rsid w:val="00ED6A5E"/>
    <w:rsid w:val="00ED6ADA"/>
    <w:rsid w:val="00EE0A48"/>
    <w:rsid w:val="00EE2CA9"/>
    <w:rsid w:val="00EE3537"/>
    <w:rsid w:val="00EE3936"/>
    <w:rsid w:val="00EE3BFD"/>
    <w:rsid w:val="00EE3DE3"/>
    <w:rsid w:val="00EE41EA"/>
    <w:rsid w:val="00EE42C4"/>
    <w:rsid w:val="00EE45D1"/>
    <w:rsid w:val="00EE49A2"/>
    <w:rsid w:val="00EE550A"/>
    <w:rsid w:val="00EE5AC0"/>
    <w:rsid w:val="00EE6265"/>
    <w:rsid w:val="00EE6579"/>
    <w:rsid w:val="00EE7192"/>
    <w:rsid w:val="00EE7A31"/>
    <w:rsid w:val="00EE7BC2"/>
    <w:rsid w:val="00EE7DE5"/>
    <w:rsid w:val="00EF117F"/>
    <w:rsid w:val="00EF11F7"/>
    <w:rsid w:val="00EF126F"/>
    <w:rsid w:val="00EF15A3"/>
    <w:rsid w:val="00EF267F"/>
    <w:rsid w:val="00EF3428"/>
    <w:rsid w:val="00EF3432"/>
    <w:rsid w:val="00EF3EC4"/>
    <w:rsid w:val="00EF44B2"/>
    <w:rsid w:val="00EF4854"/>
    <w:rsid w:val="00EF4A6F"/>
    <w:rsid w:val="00EF55F3"/>
    <w:rsid w:val="00EF5894"/>
    <w:rsid w:val="00EF6AC0"/>
    <w:rsid w:val="00EF6B39"/>
    <w:rsid w:val="00EF7271"/>
    <w:rsid w:val="00F00244"/>
    <w:rsid w:val="00F00C2A"/>
    <w:rsid w:val="00F00C48"/>
    <w:rsid w:val="00F010B3"/>
    <w:rsid w:val="00F016F7"/>
    <w:rsid w:val="00F01A6E"/>
    <w:rsid w:val="00F01ACE"/>
    <w:rsid w:val="00F01FA6"/>
    <w:rsid w:val="00F02052"/>
    <w:rsid w:val="00F0288F"/>
    <w:rsid w:val="00F029CF"/>
    <w:rsid w:val="00F02E11"/>
    <w:rsid w:val="00F03122"/>
    <w:rsid w:val="00F0370D"/>
    <w:rsid w:val="00F03FE5"/>
    <w:rsid w:val="00F04342"/>
    <w:rsid w:val="00F045D1"/>
    <w:rsid w:val="00F04EEB"/>
    <w:rsid w:val="00F04F0A"/>
    <w:rsid w:val="00F05984"/>
    <w:rsid w:val="00F06354"/>
    <w:rsid w:val="00F06925"/>
    <w:rsid w:val="00F075B6"/>
    <w:rsid w:val="00F07DCC"/>
    <w:rsid w:val="00F1055B"/>
    <w:rsid w:val="00F1055E"/>
    <w:rsid w:val="00F1097B"/>
    <w:rsid w:val="00F11165"/>
    <w:rsid w:val="00F1167D"/>
    <w:rsid w:val="00F12265"/>
    <w:rsid w:val="00F12436"/>
    <w:rsid w:val="00F1258B"/>
    <w:rsid w:val="00F1261C"/>
    <w:rsid w:val="00F127DD"/>
    <w:rsid w:val="00F12921"/>
    <w:rsid w:val="00F12A54"/>
    <w:rsid w:val="00F13292"/>
    <w:rsid w:val="00F1402C"/>
    <w:rsid w:val="00F1407A"/>
    <w:rsid w:val="00F14139"/>
    <w:rsid w:val="00F14469"/>
    <w:rsid w:val="00F14636"/>
    <w:rsid w:val="00F14815"/>
    <w:rsid w:val="00F15AFD"/>
    <w:rsid w:val="00F16D5A"/>
    <w:rsid w:val="00F20104"/>
    <w:rsid w:val="00F20C7D"/>
    <w:rsid w:val="00F21204"/>
    <w:rsid w:val="00F212CB"/>
    <w:rsid w:val="00F2133F"/>
    <w:rsid w:val="00F2181F"/>
    <w:rsid w:val="00F218E6"/>
    <w:rsid w:val="00F21D64"/>
    <w:rsid w:val="00F21D73"/>
    <w:rsid w:val="00F2243D"/>
    <w:rsid w:val="00F23265"/>
    <w:rsid w:val="00F234D4"/>
    <w:rsid w:val="00F237EE"/>
    <w:rsid w:val="00F23B6A"/>
    <w:rsid w:val="00F23E12"/>
    <w:rsid w:val="00F23E20"/>
    <w:rsid w:val="00F241FF"/>
    <w:rsid w:val="00F24D70"/>
    <w:rsid w:val="00F25CC9"/>
    <w:rsid w:val="00F25D5B"/>
    <w:rsid w:val="00F26938"/>
    <w:rsid w:val="00F26D0A"/>
    <w:rsid w:val="00F27096"/>
    <w:rsid w:val="00F27137"/>
    <w:rsid w:val="00F27FD5"/>
    <w:rsid w:val="00F30230"/>
    <w:rsid w:val="00F30E65"/>
    <w:rsid w:val="00F30E9E"/>
    <w:rsid w:val="00F32357"/>
    <w:rsid w:val="00F32681"/>
    <w:rsid w:val="00F3273C"/>
    <w:rsid w:val="00F32938"/>
    <w:rsid w:val="00F32DE4"/>
    <w:rsid w:val="00F33DB5"/>
    <w:rsid w:val="00F350B9"/>
    <w:rsid w:val="00F35444"/>
    <w:rsid w:val="00F35804"/>
    <w:rsid w:val="00F365F3"/>
    <w:rsid w:val="00F36874"/>
    <w:rsid w:val="00F36D9A"/>
    <w:rsid w:val="00F3786F"/>
    <w:rsid w:val="00F37DD8"/>
    <w:rsid w:val="00F40EEF"/>
    <w:rsid w:val="00F41B04"/>
    <w:rsid w:val="00F41E98"/>
    <w:rsid w:val="00F42288"/>
    <w:rsid w:val="00F426BC"/>
    <w:rsid w:val="00F42CEE"/>
    <w:rsid w:val="00F43623"/>
    <w:rsid w:val="00F446B3"/>
    <w:rsid w:val="00F448E8"/>
    <w:rsid w:val="00F4504F"/>
    <w:rsid w:val="00F45F7D"/>
    <w:rsid w:val="00F467BD"/>
    <w:rsid w:val="00F476DD"/>
    <w:rsid w:val="00F47E28"/>
    <w:rsid w:val="00F50E09"/>
    <w:rsid w:val="00F50F93"/>
    <w:rsid w:val="00F51265"/>
    <w:rsid w:val="00F519A4"/>
    <w:rsid w:val="00F51A23"/>
    <w:rsid w:val="00F52139"/>
    <w:rsid w:val="00F527AF"/>
    <w:rsid w:val="00F52A83"/>
    <w:rsid w:val="00F52C36"/>
    <w:rsid w:val="00F52D12"/>
    <w:rsid w:val="00F53461"/>
    <w:rsid w:val="00F544F2"/>
    <w:rsid w:val="00F545B8"/>
    <w:rsid w:val="00F5544C"/>
    <w:rsid w:val="00F55CEB"/>
    <w:rsid w:val="00F56084"/>
    <w:rsid w:val="00F56095"/>
    <w:rsid w:val="00F5687B"/>
    <w:rsid w:val="00F56BC2"/>
    <w:rsid w:val="00F56CB4"/>
    <w:rsid w:val="00F56EFA"/>
    <w:rsid w:val="00F5716E"/>
    <w:rsid w:val="00F572D2"/>
    <w:rsid w:val="00F57830"/>
    <w:rsid w:val="00F60237"/>
    <w:rsid w:val="00F602F0"/>
    <w:rsid w:val="00F6065C"/>
    <w:rsid w:val="00F6094B"/>
    <w:rsid w:val="00F60B94"/>
    <w:rsid w:val="00F60D12"/>
    <w:rsid w:val="00F60DAA"/>
    <w:rsid w:val="00F61B59"/>
    <w:rsid w:val="00F62056"/>
    <w:rsid w:val="00F62CA0"/>
    <w:rsid w:val="00F62F7E"/>
    <w:rsid w:val="00F638EF"/>
    <w:rsid w:val="00F63984"/>
    <w:rsid w:val="00F642A8"/>
    <w:rsid w:val="00F64689"/>
    <w:rsid w:val="00F64784"/>
    <w:rsid w:val="00F65362"/>
    <w:rsid w:val="00F659A4"/>
    <w:rsid w:val="00F65B44"/>
    <w:rsid w:val="00F65BFB"/>
    <w:rsid w:val="00F6693D"/>
    <w:rsid w:val="00F70398"/>
    <w:rsid w:val="00F70690"/>
    <w:rsid w:val="00F70CF7"/>
    <w:rsid w:val="00F71568"/>
    <w:rsid w:val="00F7189A"/>
    <w:rsid w:val="00F7219B"/>
    <w:rsid w:val="00F72229"/>
    <w:rsid w:val="00F72444"/>
    <w:rsid w:val="00F72766"/>
    <w:rsid w:val="00F72B85"/>
    <w:rsid w:val="00F73127"/>
    <w:rsid w:val="00F73CBF"/>
    <w:rsid w:val="00F73FBF"/>
    <w:rsid w:val="00F74006"/>
    <w:rsid w:val="00F74935"/>
    <w:rsid w:val="00F74E41"/>
    <w:rsid w:val="00F74F09"/>
    <w:rsid w:val="00F76400"/>
    <w:rsid w:val="00F76628"/>
    <w:rsid w:val="00F76BF9"/>
    <w:rsid w:val="00F76C6E"/>
    <w:rsid w:val="00F76FE6"/>
    <w:rsid w:val="00F772ED"/>
    <w:rsid w:val="00F77307"/>
    <w:rsid w:val="00F8016F"/>
    <w:rsid w:val="00F8158A"/>
    <w:rsid w:val="00F82442"/>
    <w:rsid w:val="00F82D8B"/>
    <w:rsid w:val="00F83019"/>
    <w:rsid w:val="00F83648"/>
    <w:rsid w:val="00F83EFC"/>
    <w:rsid w:val="00F8477D"/>
    <w:rsid w:val="00F859EA"/>
    <w:rsid w:val="00F8604F"/>
    <w:rsid w:val="00F86167"/>
    <w:rsid w:val="00F86A77"/>
    <w:rsid w:val="00F86F34"/>
    <w:rsid w:val="00F8772F"/>
    <w:rsid w:val="00F878C8"/>
    <w:rsid w:val="00F87B89"/>
    <w:rsid w:val="00F90C8E"/>
    <w:rsid w:val="00F914B5"/>
    <w:rsid w:val="00F91546"/>
    <w:rsid w:val="00F91F87"/>
    <w:rsid w:val="00F928F2"/>
    <w:rsid w:val="00F92B3C"/>
    <w:rsid w:val="00F92CE7"/>
    <w:rsid w:val="00F92D5B"/>
    <w:rsid w:val="00F933ED"/>
    <w:rsid w:val="00F938D9"/>
    <w:rsid w:val="00F93E48"/>
    <w:rsid w:val="00F94501"/>
    <w:rsid w:val="00F945C7"/>
    <w:rsid w:val="00F949E1"/>
    <w:rsid w:val="00F94F58"/>
    <w:rsid w:val="00F94F74"/>
    <w:rsid w:val="00F95931"/>
    <w:rsid w:val="00F9733A"/>
    <w:rsid w:val="00F9788B"/>
    <w:rsid w:val="00F97A19"/>
    <w:rsid w:val="00FA0727"/>
    <w:rsid w:val="00FA0747"/>
    <w:rsid w:val="00FA091B"/>
    <w:rsid w:val="00FA0EA6"/>
    <w:rsid w:val="00FA1221"/>
    <w:rsid w:val="00FA2653"/>
    <w:rsid w:val="00FA2BAB"/>
    <w:rsid w:val="00FA2D58"/>
    <w:rsid w:val="00FA353B"/>
    <w:rsid w:val="00FA355B"/>
    <w:rsid w:val="00FA3CA5"/>
    <w:rsid w:val="00FA4276"/>
    <w:rsid w:val="00FA60FF"/>
    <w:rsid w:val="00FA6642"/>
    <w:rsid w:val="00FA67F0"/>
    <w:rsid w:val="00FA6823"/>
    <w:rsid w:val="00FA6C5B"/>
    <w:rsid w:val="00FA71E7"/>
    <w:rsid w:val="00FB17CE"/>
    <w:rsid w:val="00FB3058"/>
    <w:rsid w:val="00FB36E1"/>
    <w:rsid w:val="00FB586B"/>
    <w:rsid w:val="00FB6D2B"/>
    <w:rsid w:val="00FB6F8F"/>
    <w:rsid w:val="00FB788D"/>
    <w:rsid w:val="00FB7C19"/>
    <w:rsid w:val="00FB7D69"/>
    <w:rsid w:val="00FC170F"/>
    <w:rsid w:val="00FC1BE2"/>
    <w:rsid w:val="00FC1E92"/>
    <w:rsid w:val="00FC2055"/>
    <w:rsid w:val="00FC2171"/>
    <w:rsid w:val="00FC2854"/>
    <w:rsid w:val="00FC2D52"/>
    <w:rsid w:val="00FC3767"/>
    <w:rsid w:val="00FC3DD2"/>
    <w:rsid w:val="00FC53FF"/>
    <w:rsid w:val="00FC579C"/>
    <w:rsid w:val="00FC6A9A"/>
    <w:rsid w:val="00FC77C3"/>
    <w:rsid w:val="00FC7AB5"/>
    <w:rsid w:val="00FC7CCE"/>
    <w:rsid w:val="00FD032E"/>
    <w:rsid w:val="00FD0ABF"/>
    <w:rsid w:val="00FD0FF5"/>
    <w:rsid w:val="00FD2569"/>
    <w:rsid w:val="00FD27B9"/>
    <w:rsid w:val="00FD34C5"/>
    <w:rsid w:val="00FD3539"/>
    <w:rsid w:val="00FD382D"/>
    <w:rsid w:val="00FD3868"/>
    <w:rsid w:val="00FD3AFA"/>
    <w:rsid w:val="00FD4031"/>
    <w:rsid w:val="00FD413B"/>
    <w:rsid w:val="00FD4693"/>
    <w:rsid w:val="00FD4719"/>
    <w:rsid w:val="00FD5085"/>
    <w:rsid w:val="00FD5946"/>
    <w:rsid w:val="00FD594B"/>
    <w:rsid w:val="00FD5DE5"/>
    <w:rsid w:val="00FD6693"/>
    <w:rsid w:val="00FD6944"/>
    <w:rsid w:val="00FD6CA4"/>
    <w:rsid w:val="00FD6E81"/>
    <w:rsid w:val="00FD7104"/>
    <w:rsid w:val="00FD77BD"/>
    <w:rsid w:val="00FD7CD9"/>
    <w:rsid w:val="00FE0191"/>
    <w:rsid w:val="00FE01B7"/>
    <w:rsid w:val="00FE07BC"/>
    <w:rsid w:val="00FE0A74"/>
    <w:rsid w:val="00FE1039"/>
    <w:rsid w:val="00FE1082"/>
    <w:rsid w:val="00FE1B73"/>
    <w:rsid w:val="00FE2BBB"/>
    <w:rsid w:val="00FE3403"/>
    <w:rsid w:val="00FE34B9"/>
    <w:rsid w:val="00FE3EF8"/>
    <w:rsid w:val="00FE426C"/>
    <w:rsid w:val="00FE431B"/>
    <w:rsid w:val="00FE4892"/>
    <w:rsid w:val="00FE48DC"/>
    <w:rsid w:val="00FE501B"/>
    <w:rsid w:val="00FE66AA"/>
    <w:rsid w:val="00FE6F5B"/>
    <w:rsid w:val="00FE7223"/>
    <w:rsid w:val="00FE7FAA"/>
    <w:rsid w:val="00FF02E6"/>
    <w:rsid w:val="00FF1130"/>
    <w:rsid w:val="00FF1224"/>
    <w:rsid w:val="00FF1457"/>
    <w:rsid w:val="00FF1656"/>
    <w:rsid w:val="00FF1CA3"/>
    <w:rsid w:val="00FF1E7A"/>
    <w:rsid w:val="00FF1EAB"/>
    <w:rsid w:val="00FF22D6"/>
    <w:rsid w:val="00FF2611"/>
    <w:rsid w:val="00FF27E3"/>
    <w:rsid w:val="00FF2996"/>
    <w:rsid w:val="00FF29A8"/>
    <w:rsid w:val="00FF2E80"/>
    <w:rsid w:val="00FF3047"/>
    <w:rsid w:val="00FF3206"/>
    <w:rsid w:val="00FF376E"/>
    <w:rsid w:val="00FF3BA6"/>
    <w:rsid w:val="00FF3CB3"/>
    <w:rsid w:val="00FF4287"/>
    <w:rsid w:val="00FF54BB"/>
    <w:rsid w:val="00FF583B"/>
    <w:rsid w:val="00FF588E"/>
    <w:rsid w:val="00FF5AC1"/>
    <w:rsid w:val="00FF63B7"/>
    <w:rsid w:val="00FF692A"/>
    <w:rsid w:val="00FF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372"/>
    <w:pPr>
      <w:spacing w:before="120" w:after="240"/>
    </w:pPr>
    <w:rPr>
      <w:sz w:val="24"/>
    </w:rPr>
  </w:style>
  <w:style w:type="paragraph" w:styleId="Heading1">
    <w:name w:val="heading 1"/>
    <w:basedOn w:val="Normal"/>
    <w:next w:val="Normal"/>
    <w:qFormat/>
    <w:rsid w:val="00D60556"/>
    <w:pPr>
      <w:keepNext/>
      <w:outlineLvl w:val="0"/>
    </w:pPr>
    <w:rPr>
      <w:b/>
      <w:noProof/>
      <w:szCs w:val="24"/>
    </w:rPr>
  </w:style>
  <w:style w:type="paragraph" w:styleId="Heading2">
    <w:name w:val="heading 2"/>
    <w:basedOn w:val="Heading1"/>
    <w:next w:val="Normal"/>
    <w:qFormat/>
    <w:rsid w:val="00D60556"/>
    <w:pPr>
      <w:spacing w:before="360"/>
      <w:outlineLvl w:val="1"/>
    </w:pPr>
  </w:style>
  <w:style w:type="paragraph" w:styleId="Heading3">
    <w:name w:val="heading 3"/>
    <w:basedOn w:val="Heading2"/>
    <w:next w:val="Normal"/>
    <w:qFormat/>
    <w:rsid w:val="00003AC8"/>
    <w:pPr>
      <w:ind w:right="-187"/>
      <w:outlineLvl w:val="2"/>
    </w:pPr>
  </w:style>
  <w:style w:type="paragraph" w:styleId="Heading4">
    <w:name w:val="heading 4"/>
    <w:basedOn w:val="Heading3"/>
    <w:next w:val="Normal"/>
    <w:link w:val="Heading4Char"/>
    <w:qFormat/>
    <w:rsid w:val="00003AC8"/>
    <w:pPr>
      <w:outlineLvl w:val="3"/>
    </w:pPr>
    <w:rPr>
      <w:b w:val="0"/>
      <w:u w:val="single"/>
    </w:rPr>
  </w:style>
  <w:style w:type="paragraph" w:styleId="Heading5">
    <w:name w:val="heading 5"/>
    <w:basedOn w:val="Normal"/>
    <w:next w:val="Normal"/>
    <w:qFormat/>
    <w:rsid w:val="002A480E"/>
    <w:pPr>
      <w:outlineLvl w:val="4"/>
    </w:pPr>
    <w:rPr>
      <w:i/>
    </w:rPr>
  </w:style>
  <w:style w:type="paragraph" w:styleId="Heading6">
    <w:name w:val="heading 6"/>
    <w:basedOn w:val="Normal"/>
    <w:next w:val="Normal"/>
    <w:qFormat/>
    <w:rsid w:val="00E52B43"/>
    <w:pPr>
      <w:keepNext/>
      <w:ind w:right="1829"/>
      <w:outlineLvl w:val="5"/>
    </w:pPr>
    <w:rPr>
      <w:iCs/>
      <w:noProof/>
      <w:color w:val="000000"/>
      <w:u w:val="single"/>
    </w:rPr>
  </w:style>
  <w:style w:type="paragraph" w:styleId="Heading7">
    <w:name w:val="heading 7"/>
    <w:basedOn w:val="Normal"/>
    <w:next w:val="Normal"/>
    <w:qFormat/>
    <w:pPr>
      <w:keepNext/>
      <w:tabs>
        <w:tab w:val="left" w:pos="8820"/>
      </w:tabs>
      <w:outlineLvl w:val="6"/>
    </w:pPr>
    <w:rPr>
      <w:b/>
      <w:i/>
      <w:color w:val="000000"/>
      <w:u w:val="single"/>
    </w:rPr>
  </w:style>
  <w:style w:type="paragraph" w:styleId="Heading8">
    <w:name w:val="heading 8"/>
    <w:basedOn w:val="Normal"/>
    <w:next w:val="Normal"/>
    <w:qFormat/>
    <w:rsid w:val="00A341AB"/>
    <w:pPr>
      <w:spacing w:before="240" w:after="60"/>
      <w:outlineLvl w:val="7"/>
    </w:pPr>
    <w:rPr>
      <w:i/>
      <w:iCs/>
      <w:szCs w:val="24"/>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semiHidden/>
    <w:pPr>
      <w:tabs>
        <w:tab w:val="left" w:pos="567"/>
      </w:tabs>
    </w:pPr>
    <w:rPr>
      <w:sz w:val="22"/>
      <w:lang w:val="en-GB"/>
    </w:rPr>
  </w:style>
  <w:style w:type="paragraph" w:customStyle="1" w:styleId="text1">
    <w:name w:val="text 1"/>
    <w:basedOn w:val="Normal"/>
  </w:style>
  <w:style w:type="paragraph" w:customStyle="1" w:styleId="TableHeading">
    <w:name w:val="Table Heading"/>
    <w:basedOn w:val="Normal"/>
    <w:pPr>
      <w:keepNext/>
      <w:keepLines/>
      <w:spacing w:before="60" w:after="60"/>
    </w:pPr>
    <w:rPr>
      <w:b/>
    </w:rPr>
  </w:style>
  <w:style w:type="paragraph" w:customStyle="1" w:styleId="Text10">
    <w:name w:val="Text 1"/>
    <w:basedOn w:val="Normal"/>
    <w:link w:val="Text1Char"/>
  </w:style>
  <w:style w:type="paragraph" w:styleId="BodyText3">
    <w:name w:val="Body Text 3"/>
    <w:basedOn w:val="Normal"/>
    <w:pPr>
      <w:tabs>
        <w:tab w:val="left" w:pos="567"/>
      </w:tabs>
      <w:spacing w:line="260" w:lineRule="exact"/>
    </w:pPr>
    <w:rPr>
      <w:b/>
      <w:i/>
      <w:sz w:val="22"/>
      <w:lang w:val="en-GB"/>
    </w:rPr>
  </w:style>
  <w:style w:type="paragraph" w:styleId="BodyText">
    <w:name w:val="Body Text"/>
    <w:basedOn w:val="Normal"/>
    <w:pPr>
      <w:ind w:right="1829"/>
    </w:pPr>
    <w:rPr>
      <w:color w:val="000000"/>
    </w:rPr>
  </w:style>
  <w:style w:type="paragraph" w:styleId="Footer">
    <w:name w:val="footer"/>
    <w:basedOn w:val="Normal"/>
    <w:link w:val="FooterChar"/>
    <w:pPr>
      <w:widowControl w:val="0"/>
      <w:tabs>
        <w:tab w:val="center" w:pos="4683"/>
        <w:tab w:val="right" w:pos="9361"/>
      </w:tabs>
    </w:pPr>
    <w:rPr>
      <w:sz w:val="22"/>
    </w:rPr>
  </w:style>
  <w:style w:type="paragraph" w:customStyle="1" w:styleId="BulletsText">
    <w:name w:val="Bullets Text"/>
    <w:basedOn w:val="Normal"/>
    <w:pPr>
      <w:numPr>
        <w:numId w:val="11"/>
      </w:numPr>
    </w:pPr>
  </w:style>
  <w:style w:type="paragraph" w:customStyle="1" w:styleId="Table-Text">
    <w:name w:val="Table-Text"/>
    <w:basedOn w:val="Normal"/>
    <w:link w:val="Table-TextChar"/>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sz w:val="16"/>
    </w:rPr>
  </w:style>
  <w:style w:type="paragraph" w:customStyle="1" w:styleId="Table-Heading">
    <w:name w:val="Table-Heading"/>
    <w:basedOn w:val="Normal"/>
    <w:next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b/>
    </w:rPr>
  </w:style>
  <w:style w:type="paragraph" w:styleId="Caption">
    <w:name w:val="caption"/>
    <w:aliases w:val="Char"/>
    <w:basedOn w:val="Normal"/>
    <w:next w:val="TextTi11"/>
    <w:link w:val="CaptionChar"/>
    <w:uiPriority w:val="35"/>
    <w:qFormat/>
    <w:rsid w:val="00003AC8"/>
    <w:pPr>
      <w:keepNext/>
      <w:spacing w:before="113" w:after="57"/>
    </w:pPr>
    <w:rPr>
      <w:b/>
    </w:rPr>
  </w:style>
  <w:style w:type="paragraph" w:customStyle="1" w:styleId="TextTi11">
    <w:name w:val="Text:Ti11"/>
    <w:basedOn w:val="Normal"/>
    <w:pPr>
      <w:widowControl w:val="0"/>
      <w:spacing w:after="170" w:line="260" w:lineRule="atLeast"/>
    </w:pPr>
    <w:rPr>
      <w:sz w:val="22"/>
    </w:rPr>
  </w:style>
  <w:style w:type="paragraph" w:styleId="TOC4">
    <w:name w:val="toc 4"/>
    <w:basedOn w:val="Normal"/>
    <w:next w:val="Normal"/>
    <w:autoRedefine/>
    <w:semiHidden/>
    <w:rsid w:val="00FE1039"/>
    <w:pPr>
      <w:tabs>
        <w:tab w:val="right" w:leader="dot" w:pos="8640"/>
      </w:tabs>
      <w:ind w:right="-72"/>
    </w:pPr>
  </w:style>
  <w:style w:type="paragraph" w:styleId="BodyText2">
    <w:name w:val="Body Text 2"/>
    <w:basedOn w:val="Normal"/>
    <w:pPr>
      <w:ind w:right="-360"/>
    </w:pPr>
    <w:rPr>
      <w:b/>
      <w:color w:val="000000"/>
    </w:rPr>
  </w:style>
  <w:style w:type="paragraph" w:styleId="Header">
    <w:name w:val="header"/>
    <w:basedOn w:val="Normal"/>
    <w:pPr>
      <w:widowControl w:val="0"/>
      <w:tabs>
        <w:tab w:val="center" w:pos="4683"/>
        <w:tab w:val="right" w:pos="9361"/>
      </w:tabs>
    </w:pPr>
    <w:rPr>
      <w:b/>
      <w:sz w:val="22"/>
    </w:rPr>
  </w:style>
  <w:style w:type="paragraph" w:customStyle="1" w:styleId="TOCHeadings">
    <w:name w:val="TOC Headings"/>
    <w:basedOn w:val="Normal"/>
    <w:pPr>
      <w:widowControl w:val="0"/>
      <w:tabs>
        <w:tab w:val="center" w:pos="4672"/>
        <w:tab w:val="right" w:pos="9344"/>
      </w:tabs>
      <w:spacing w:before="397" w:after="227"/>
    </w:pPr>
    <w:rPr>
      <w:b/>
      <w:sz w:val="22"/>
    </w:rPr>
  </w:style>
  <w:style w:type="paragraph" w:styleId="BodyTextIndent">
    <w:name w:val="Body Text Indent"/>
    <w:basedOn w:val="Normal"/>
    <w:pPr>
      <w:spacing w:line="240" w:lineRule="atLeast"/>
      <w:ind w:left="360"/>
    </w:pPr>
    <w:rPr>
      <w:snapToGrid w:val="0"/>
      <w:color w:val="000000"/>
      <w:sz w:val="18"/>
    </w:rPr>
  </w:style>
  <w:style w:type="paragraph" w:styleId="CommentText">
    <w:name w:val="annotation text"/>
    <w:aliases w:val="Annotationtext"/>
    <w:basedOn w:val="Normal"/>
    <w:link w:val="CommentTextCha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basedOn w:val="Heading1"/>
    <w:link w:val="TitleChar"/>
    <w:qFormat/>
    <w:rsid w:val="00D60556"/>
    <w:pPr>
      <w:spacing w:after="0"/>
      <w:contextualSpacing/>
      <w:jc w:val="center"/>
      <w:outlineLvl w:val="9"/>
    </w:pPr>
  </w:style>
  <w:style w:type="paragraph" w:styleId="Subtitle">
    <w:name w:val="Subtitle"/>
    <w:basedOn w:val="Normal"/>
    <w:link w:val="SubtitleChar"/>
    <w:qFormat/>
    <w:rsid w:val="00860E6C"/>
    <w:pPr>
      <w:jc w:val="center"/>
    </w:pPr>
    <w:rPr>
      <w:rFonts w:ascii="TimesNewRoman,Bold" w:hAnsi="TimesNewRoman,Bold"/>
      <w:b/>
      <w:snapToGrid w:val="0"/>
      <w:sz w:val="22"/>
    </w:rPr>
  </w:style>
  <w:style w:type="paragraph" w:customStyle="1" w:styleId="Table-Footer">
    <w:name w:val="Table-Footer"/>
    <w:basedOn w:val="Normal"/>
    <w:link w:val="Table-FooterChar"/>
    <w:rsid w:val="00704CF6"/>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rPr>
  </w:style>
  <w:style w:type="paragraph" w:customStyle="1" w:styleId="text">
    <w:name w:val="text"/>
    <w:basedOn w:val="Normal"/>
    <w:rsid w:val="0080493A"/>
    <w:pPr>
      <w:spacing w:before="60" w:after="60" w:line="480" w:lineRule="auto"/>
    </w:p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style>
  <w:style w:type="paragraph" w:customStyle="1" w:styleId="text1Char0">
    <w:name w:val="text 1 Char"/>
    <w:basedOn w:val="Normal"/>
    <w:rsid w:val="004C6C7F"/>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after="120"/>
    </w:pPr>
  </w:style>
  <w:style w:type="paragraph" w:customStyle="1" w:styleId="Table">
    <w:name w:val="Table"/>
    <w:basedOn w:val="Normal"/>
    <w:rsid w:val="003159FD"/>
    <w:pPr>
      <w:widowControl w:val="0"/>
    </w:pPr>
    <w:rPr>
      <w:sz w:val="18"/>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spacing w:after="120"/>
      <w:ind w:left="1440" w:right="1440"/>
    </w:pPr>
  </w:style>
  <w:style w:type="paragraph" w:styleId="BodyTextFirstIndent">
    <w:name w:val="Body Text First Indent"/>
    <w:basedOn w:val="BodyText"/>
    <w:rsid w:val="00A341AB"/>
    <w:pPr>
      <w:spacing w:after="120"/>
      <w:ind w:right="0" w:firstLine="210"/>
    </w:pPr>
    <w:rPr>
      <w:rFonts w:ascii="Arial" w:hAnsi="Arial"/>
      <w:color w:val="auto"/>
      <w:sz w:val="20"/>
    </w:rPr>
  </w:style>
  <w:style w:type="paragraph" w:styleId="BodyTextFirstIndent2">
    <w:name w:val="Body Text First Indent 2"/>
    <w:basedOn w:val="BodyTextIndent"/>
    <w:rsid w:val="00A341AB"/>
    <w:pPr>
      <w:spacing w:after="120" w:line="240" w:lineRule="auto"/>
      <w:ind w:firstLine="210"/>
    </w:pPr>
    <w:rPr>
      <w:snapToGrid/>
      <w:color w:val="auto"/>
      <w:sz w:val="20"/>
      <w:lang w:val="en-AU"/>
    </w:rPr>
  </w:style>
  <w:style w:type="paragraph" w:styleId="BodyTextIndent3">
    <w:name w:val="Body Text Indent 3"/>
    <w:basedOn w:val="Normal"/>
    <w:rsid w:val="00A341AB"/>
    <w:pPr>
      <w:spacing w:after="120"/>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szCs w:val="24"/>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spacing w:after="120"/>
      <w:ind w:left="360"/>
    </w:pPr>
  </w:style>
  <w:style w:type="paragraph" w:styleId="ListContinue2">
    <w:name w:val="List Continue 2"/>
    <w:basedOn w:val="Normal"/>
    <w:rsid w:val="00A341AB"/>
    <w:pPr>
      <w:spacing w:after="120"/>
      <w:ind w:left="720"/>
    </w:pPr>
  </w:style>
  <w:style w:type="paragraph" w:styleId="ListContinue3">
    <w:name w:val="List Continue 3"/>
    <w:basedOn w:val="Normal"/>
    <w:rsid w:val="00A341AB"/>
    <w:pPr>
      <w:spacing w:after="120"/>
      <w:ind w:left="1080"/>
    </w:pPr>
  </w:style>
  <w:style w:type="paragraph" w:styleId="ListContinue4">
    <w:name w:val="List Continue 4"/>
    <w:basedOn w:val="Normal"/>
    <w:rsid w:val="00A341AB"/>
    <w:pPr>
      <w:spacing w:after="120"/>
      <w:ind w:left="1440"/>
    </w:pPr>
  </w:style>
  <w:style w:type="paragraph" w:styleId="ListContinue5">
    <w:name w:val="List Continue 5"/>
    <w:basedOn w:val="Normal"/>
    <w:rsid w:val="00A341AB"/>
    <w:pPr>
      <w:spacing w:after="120"/>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link w:val="NormalWebChar"/>
    <w:rsid w:val="00A341AB"/>
    <w:rPr>
      <w:szCs w:val="24"/>
    </w:rPr>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rPr>
      <w:rFonts w:cs="Arial"/>
      <w:b/>
      <w:bCs/>
      <w:szCs w:val="24"/>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0"/>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sz w:val="22"/>
      <w:lang w:val="en-GB"/>
    </w:rPr>
  </w:style>
  <w:style w:type="paragraph" w:customStyle="1" w:styleId="EMEAEnBodyText">
    <w:name w:val="EMEA En Body Text"/>
    <w:basedOn w:val="Normal"/>
    <w:rsid w:val="007254DD"/>
    <w:pPr>
      <w:spacing w:after="120"/>
    </w:pPr>
    <w:rPr>
      <w:sz w:val="22"/>
    </w:rPr>
  </w:style>
  <w:style w:type="character" w:styleId="Hyperlink">
    <w:name w:val="Hyperlink"/>
    <w:rsid w:val="007254DD"/>
    <w:rPr>
      <w:color w:val="0000FF"/>
      <w:u w:val="single"/>
    </w:rPr>
  </w:style>
  <w:style w:type="paragraph" w:customStyle="1" w:styleId="AHeader1">
    <w:name w:val="AHeader 1"/>
    <w:basedOn w:val="Normal"/>
    <w:rsid w:val="007254DD"/>
    <w:pPr>
      <w:numPr>
        <w:numId w:val="12"/>
      </w:numPr>
      <w:spacing w:after="120"/>
    </w:pPr>
    <w:rPr>
      <w:rFonts w:cs="Arial"/>
      <w:b/>
      <w:bCs/>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3"/>
      </w:numPr>
      <w:tabs>
        <w:tab w:val="clear" w:pos="360"/>
      </w:tabs>
      <w:ind w:left="567" w:hanging="567"/>
    </w:pPr>
    <w:rPr>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pPr>
      <w:spacing w:after="120"/>
    </w:pPr>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rPr>
  </w:style>
  <w:style w:type="paragraph" w:customStyle="1" w:styleId="BMSTableTextChar">
    <w:name w:val="BMS Table Text Char"/>
    <w:rsid w:val="007254DD"/>
    <w:pPr>
      <w:tabs>
        <w:tab w:val="left" w:pos="360"/>
      </w:tabs>
      <w:spacing w:before="60" w:after="60"/>
      <w:jc w:val="center"/>
    </w:pPr>
    <w:rPr>
      <w:rFonts w:ascii="Arial" w:eastAsia="Batang" w:hAnsi="Arial"/>
      <w:sz w:val="24"/>
    </w:rPr>
  </w:style>
  <w:style w:type="paragraph" w:customStyle="1" w:styleId="Table1">
    <w:name w:val="Table1"/>
    <w:rsid w:val="003C1AC9"/>
    <w:pPr>
      <w:spacing w:before="120" w:after="120"/>
    </w:pPr>
    <w:rPr>
      <w:rFonts w:ascii="Palatino Linotype" w:hAnsi="Palatino Linotype"/>
      <w:b/>
      <w:noProof/>
      <w:sz w:val="22"/>
      <w:lang w:val="en-AU"/>
    </w:rPr>
  </w:style>
  <w:style w:type="paragraph" w:customStyle="1" w:styleId="BulletText">
    <w:name w:val="Bullet Text"/>
    <w:basedOn w:val="Normal"/>
    <w:link w:val="BulletTextChar"/>
    <w:rsid w:val="00512D9D"/>
    <w:pPr>
      <w:numPr>
        <w:numId w:val="15"/>
      </w:numPr>
    </w:pPr>
    <w:rPr>
      <w:rFonts w:cs="Arial"/>
      <w:szCs w:val="24"/>
    </w:rPr>
  </w:style>
  <w:style w:type="character" w:customStyle="1" w:styleId="BulletTextChar">
    <w:name w:val="Bullet Text Char"/>
    <w:link w:val="BulletText"/>
    <w:rsid w:val="00512D9D"/>
    <w:rPr>
      <w:rFonts w:cs="Arial"/>
      <w:sz w:val="24"/>
      <w:szCs w:val="24"/>
    </w:rPr>
  </w:style>
  <w:style w:type="paragraph" w:customStyle="1" w:styleId="Subheading2">
    <w:name w:val="Subheading 2"/>
    <w:basedOn w:val="Normal"/>
    <w:next w:val="Text10"/>
    <w:link w:val="Subheading2Char"/>
    <w:rsid w:val="0087127B"/>
    <w:pPr>
      <w:keepNext/>
    </w:pPr>
    <w:rPr>
      <w:b/>
      <w:bCs/>
      <w:i/>
      <w:iCs/>
      <w:szCs w:val="24"/>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b/>
      <w:bCs/>
      <w:caps/>
      <w:szCs w:val="24"/>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rsid w:val="00F07DCC"/>
    <w:pPr>
      <w:spacing w:before="60"/>
      <w:ind w:left="330" w:hanging="330"/>
    </w:pPr>
    <w:rPr>
      <w:rFonts w:cs="Arial"/>
      <w:sz w:val="18"/>
      <w:szCs w:val="18"/>
      <w:lang w:val="en-GB"/>
    </w:rPr>
  </w:style>
  <w:style w:type="character" w:customStyle="1" w:styleId="CaptionChar">
    <w:name w:val="Caption Char"/>
    <w:aliases w:val="Char Char"/>
    <w:link w:val="Caption"/>
    <w:uiPriority w:val="35"/>
    <w:rsid w:val="00003AC8"/>
    <w:rPr>
      <w:b/>
      <w:sz w:val="24"/>
    </w:rPr>
  </w:style>
  <w:style w:type="character" w:customStyle="1" w:styleId="Table-FooterChar">
    <w:name w:val="Table-Footer Char"/>
    <w:link w:val="Table-Footer"/>
    <w:rsid w:val="00F572D2"/>
    <w:rPr>
      <w:rFonts w:ascii="Arial" w:hAnsi="Arial"/>
      <w:sz w:val="16"/>
      <w:lang w:val="en-US" w:eastAsia="en-US" w:bidi="ar-SA"/>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rPr>
      <w:szCs w:val="24"/>
    </w:rPr>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FD27B9"/>
    <w:pPr>
      <w:keepNext/>
      <w:keepLines/>
      <w:spacing w:before="60" w:after="60"/>
      <w:jc w:val="center"/>
    </w:pPr>
    <w:rPr>
      <w:rFonts w:cs="Arial"/>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rPr>
  </w:style>
  <w:style w:type="character" w:customStyle="1" w:styleId="FooterChar">
    <w:name w:val="Footer Char"/>
    <w:link w:val="Footer"/>
    <w:locked/>
    <w:rsid w:val="00E92D31"/>
    <w:rPr>
      <w:rFonts w:ascii="Arial" w:hAnsi="Arial"/>
      <w:sz w:val="22"/>
      <w:lang w:val="en-US" w:eastAsia="en-US" w:bidi="ar-SA"/>
    </w:rPr>
  </w:style>
  <w:style w:type="character" w:customStyle="1" w:styleId="Table-TextChar">
    <w:name w:val="Table-Text Char"/>
    <w:link w:val="Table-Text"/>
    <w:rsid w:val="00E92D31"/>
    <w:rPr>
      <w:sz w:val="16"/>
      <w:lang w:val="en-US" w:eastAsia="en-US" w:bidi="ar-SA"/>
    </w:rPr>
  </w:style>
  <w:style w:type="paragraph" w:customStyle="1" w:styleId="TableCenter">
    <w:name w:val="Table Center"/>
    <w:rsid w:val="00DD6CB1"/>
    <w:pPr>
      <w:spacing w:after="60"/>
      <w:jc w:val="center"/>
    </w:pPr>
    <w:rPr>
      <w:rFonts w:eastAsia="Arial Unicode MS"/>
      <w:sz w:val="24"/>
      <w:szCs w:val="24"/>
    </w:rPr>
  </w:style>
  <w:style w:type="character" w:customStyle="1" w:styleId="Heading4Char">
    <w:name w:val="Heading 4 Char"/>
    <w:link w:val="Heading4"/>
    <w:locked/>
    <w:rsid w:val="00003AC8"/>
    <w:rPr>
      <w:noProof/>
      <w:sz w:val="24"/>
      <w:szCs w:val="24"/>
      <w:u w:val="single"/>
    </w:rPr>
  </w:style>
  <w:style w:type="character" w:styleId="EndnoteReference">
    <w:name w:val="endnote reference"/>
    <w:semiHidden/>
    <w:rsid w:val="00423B84"/>
    <w:rPr>
      <w:vertAlign w:val="superscript"/>
    </w:rPr>
  </w:style>
  <w:style w:type="paragraph" w:customStyle="1" w:styleId="Default">
    <w:name w:val="Default"/>
    <w:rsid w:val="00857F7D"/>
    <w:pPr>
      <w:autoSpaceDE w:val="0"/>
      <w:autoSpaceDN w:val="0"/>
      <w:adjustRightInd w:val="0"/>
    </w:pPr>
    <w:rPr>
      <w:color w:val="000000"/>
      <w:sz w:val="24"/>
      <w:szCs w:val="24"/>
    </w:rPr>
  </w:style>
  <w:style w:type="paragraph" w:customStyle="1" w:styleId="Paragraph">
    <w:name w:val="Paragraph"/>
    <w:rsid w:val="008A7DCB"/>
    <w:pPr>
      <w:spacing w:after="240"/>
    </w:pPr>
    <w:rPr>
      <w:rFonts w:eastAsia="Arial Unicode MS"/>
      <w:sz w:val="24"/>
      <w:szCs w:val="24"/>
    </w:rPr>
  </w:style>
  <w:style w:type="paragraph" w:styleId="ListParagraph">
    <w:name w:val="List Paragraph"/>
    <w:basedOn w:val="Normal"/>
    <w:uiPriority w:val="34"/>
    <w:qFormat/>
    <w:rsid w:val="002321FC"/>
    <w:pPr>
      <w:ind w:left="720"/>
      <w:contextualSpacing/>
    </w:pPr>
  </w:style>
  <w:style w:type="paragraph" w:styleId="Revision">
    <w:name w:val="Revision"/>
    <w:hidden/>
    <w:uiPriority w:val="99"/>
    <w:semiHidden/>
    <w:rsid w:val="00AB23F8"/>
    <w:rPr>
      <w:rFonts w:ascii="Arial" w:hAnsi="Arial"/>
      <w:lang w:val="en-AU"/>
    </w:rPr>
  </w:style>
  <w:style w:type="paragraph" w:customStyle="1" w:styleId="TableCellCenter">
    <w:name w:val="Table Cell Center"/>
    <w:basedOn w:val="TableCellLeft"/>
    <w:rsid w:val="00C9694E"/>
    <w:pPr>
      <w:jc w:val="center"/>
    </w:pPr>
  </w:style>
  <w:style w:type="paragraph" w:customStyle="1" w:styleId="TableCellLeft">
    <w:name w:val="Table Cell Left"/>
    <w:basedOn w:val="Text10"/>
    <w:rsid w:val="00C9694E"/>
    <w:pPr>
      <w:spacing w:before="60" w:after="60"/>
    </w:pPr>
    <w:rPr>
      <w:rFonts w:eastAsia="Arial Unicode MS"/>
      <w:color w:val="000000" w:themeColor="text1"/>
      <w:sz w:val="20"/>
      <w:szCs w:val="24"/>
    </w:rPr>
  </w:style>
  <w:style w:type="paragraph" w:customStyle="1" w:styleId="TableHeaderCenter">
    <w:name w:val="Table Header Center"/>
    <w:basedOn w:val="Normal"/>
    <w:rsid w:val="00C9694E"/>
    <w:pPr>
      <w:spacing w:before="60" w:after="60"/>
      <w:jc w:val="center"/>
    </w:pPr>
    <w:rPr>
      <w:rFonts w:ascii="Times New Roman Bold" w:eastAsia="Arial Unicode MS" w:hAnsi="Times New Roman Bold"/>
      <w:b/>
      <w:color w:val="000000" w:themeColor="text1"/>
      <w:sz w:val="20"/>
      <w:szCs w:val="24"/>
    </w:rPr>
  </w:style>
  <w:style w:type="character" w:customStyle="1" w:styleId="TitleChar">
    <w:name w:val="Title Char"/>
    <w:basedOn w:val="DefaultParagraphFont"/>
    <w:link w:val="Title"/>
    <w:rsid w:val="00D60556"/>
    <w:rPr>
      <w:b/>
      <w:noProof/>
      <w:sz w:val="24"/>
      <w:szCs w:val="24"/>
    </w:rPr>
  </w:style>
  <w:style w:type="character" w:customStyle="1" w:styleId="SubtitleChar">
    <w:name w:val="Subtitle Char"/>
    <w:basedOn w:val="DefaultParagraphFont"/>
    <w:link w:val="Subtitle"/>
    <w:rsid w:val="008A0A30"/>
    <w:rPr>
      <w:rFonts w:ascii="TimesNewRoman,Bold" w:hAnsi="TimesNewRoman,Bold"/>
      <w:b/>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372"/>
    <w:pPr>
      <w:spacing w:before="120" w:after="240"/>
    </w:pPr>
    <w:rPr>
      <w:sz w:val="24"/>
    </w:rPr>
  </w:style>
  <w:style w:type="paragraph" w:styleId="Heading1">
    <w:name w:val="heading 1"/>
    <w:basedOn w:val="Normal"/>
    <w:next w:val="Normal"/>
    <w:qFormat/>
    <w:rsid w:val="00D60556"/>
    <w:pPr>
      <w:keepNext/>
      <w:outlineLvl w:val="0"/>
    </w:pPr>
    <w:rPr>
      <w:b/>
      <w:noProof/>
      <w:szCs w:val="24"/>
    </w:rPr>
  </w:style>
  <w:style w:type="paragraph" w:styleId="Heading2">
    <w:name w:val="heading 2"/>
    <w:basedOn w:val="Heading1"/>
    <w:next w:val="Normal"/>
    <w:qFormat/>
    <w:rsid w:val="00D60556"/>
    <w:pPr>
      <w:spacing w:before="360"/>
      <w:outlineLvl w:val="1"/>
    </w:pPr>
  </w:style>
  <w:style w:type="paragraph" w:styleId="Heading3">
    <w:name w:val="heading 3"/>
    <w:basedOn w:val="Heading2"/>
    <w:next w:val="Normal"/>
    <w:qFormat/>
    <w:rsid w:val="00003AC8"/>
    <w:pPr>
      <w:ind w:right="-187"/>
      <w:outlineLvl w:val="2"/>
    </w:pPr>
  </w:style>
  <w:style w:type="paragraph" w:styleId="Heading4">
    <w:name w:val="heading 4"/>
    <w:basedOn w:val="Heading3"/>
    <w:next w:val="Normal"/>
    <w:link w:val="Heading4Char"/>
    <w:qFormat/>
    <w:rsid w:val="00003AC8"/>
    <w:pPr>
      <w:outlineLvl w:val="3"/>
    </w:pPr>
    <w:rPr>
      <w:b w:val="0"/>
      <w:u w:val="single"/>
    </w:rPr>
  </w:style>
  <w:style w:type="paragraph" w:styleId="Heading5">
    <w:name w:val="heading 5"/>
    <w:basedOn w:val="Normal"/>
    <w:next w:val="Normal"/>
    <w:qFormat/>
    <w:rsid w:val="002A480E"/>
    <w:pPr>
      <w:outlineLvl w:val="4"/>
    </w:pPr>
    <w:rPr>
      <w:i/>
    </w:rPr>
  </w:style>
  <w:style w:type="paragraph" w:styleId="Heading6">
    <w:name w:val="heading 6"/>
    <w:basedOn w:val="Normal"/>
    <w:next w:val="Normal"/>
    <w:qFormat/>
    <w:rsid w:val="00E52B43"/>
    <w:pPr>
      <w:keepNext/>
      <w:ind w:right="1829"/>
      <w:outlineLvl w:val="5"/>
    </w:pPr>
    <w:rPr>
      <w:iCs/>
      <w:noProof/>
      <w:color w:val="000000"/>
      <w:u w:val="single"/>
    </w:rPr>
  </w:style>
  <w:style w:type="paragraph" w:styleId="Heading7">
    <w:name w:val="heading 7"/>
    <w:basedOn w:val="Normal"/>
    <w:next w:val="Normal"/>
    <w:qFormat/>
    <w:pPr>
      <w:keepNext/>
      <w:tabs>
        <w:tab w:val="left" w:pos="8820"/>
      </w:tabs>
      <w:outlineLvl w:val="6"/>
    </w:pPr>
    <w:rPr>
      <w:b/>
      <w:i/>
      <w:color w:val="000000"/>
      <w:u w:val="single"/>
    </w:rPr>
  </w:style>
  <w:style w:type="paragraph" w:styleId="Heading8">
    <w:name w:val="heading 8"/>
    <w:basedOn w:val="Normal"/>
    <w:next w:val="Normal"/>
    <w:qFormat/>
    <w:rsid w:val="00A341AB"/>
    <w:pPr>
      <w:spacing w:before="240" w:after="60"/>
      <w:outlineLvl w:val="7"/>
    </w:pPr>
    <w:rPr>
      <w:i/>
      <w:iCs/>
      <w:szCs w:val="24"/>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semiHidden/>
    <w:pPr>
      <w:tabs>
        <w:tab w:val="left" w:pos="567"/>
      </w:tabs>
    </w:pPr>
    <w:rPr>
      <w:sz w:val="22"/>
      <w:lang w:val="en-GB"/>
    </w:rPr>
  </w:style>
  <w:style w:type="paragraph" w:customStyle="1" w:styleId="text1">
    <w:name w:val="text 1"/>
    <w:basedOn w:val="Normal"/>
  </w:style>
  <w:style w:type="paragraph" w:customStyle="1" w:styleId="TableHeading">
    <w:name w:val="Table Heading"/>
    <w:basedOn w:val="Normal"/>
    <w:pPr>
      <w:keepNext/>
      <w:keepLines/>
      <w:spacing w:before="60" w:after="60"/>
    </w:pPr>
    <w:rPr>
      <w:b/>
    </w:rPr>
  </w:style>
  <w:style w:type="paragraph" w:customStyle="1" w:styleId="Text10">
    <w:name w:val="Text 1"/>
    <w:basedOn w:val="Normal"/>
    <w:link w:val="Text1Char"/>
  </w:style>
  <w:style w:type="paragraph" w:styleId="BodyText3">
    <w:name w:val="Body Text 3"/>
    <w:basedOn w:val="Normal"/>
    <w:pPr>
      <w:tabs>
        <w:tab w:val="left" w:pos="567"/>
      </w:tabs>
      <w:spacing w:line="260" w:lineRule="exact"/>
    </w:pPr>
    <w:rPr>
      <w:b/>
      <w:i/>
      <w:sz w:val="22"/>
      <w:lang w:val="en-GB"/>
    </w:rPr>
  </w:style>
  <w:style w:type="paragraph" w:styleId="BodyText">
    <w:name w:val="Body Text"/>
    <w:basedOn w:val="Normal"/>
    <w:pPr>
      <w:ind w:right="1829"/>
    </w:pPr>
    <w:rPr>
      <w:color w:val="000000"/>
    </w:rPr>
  </w:style>
  <w:style w:type="paragraph" w:styleId="Footer">
    <w:name w:val="footer"/>
    <w:basedOn w:val="Normal"/>
    <w:link w:val="FooterChar"/>
    <w:pPr>
      <w:widowControl w:val="0"/>
      <w:tabs>
        <w:tab w:val="center" w:pos="4683"/>
        <w:tab w:val="right" w:pos="9361"/>
      </w:tabs>
    </w:pPr>
    <w:rPr>
      <w:sz w:val="22"/>
    </w:rPr>
  </w:style>
  <w:style w:type="paragraph" w:customStyle="1" w:styleId="BulletsText">
    <w:name w:val="Bullets Text"/>
    <w:basedOn w:val="Normal"/>
    <w:pPr>
      <w:numPr>
        <w:numId w:val="11"/>
      </w:numPr>
    </w:pPr>
  </w:style>
  <w:style w:type="paragraph" w:customStyle="1" w:styleId="Table-Text">
    <w:name w:val="Table-Text"/>
    <w:basedOn w:val="Normal"/>
    <w:link w:val="Table-TextChar"/>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sz w:val="16"/>
    </w:rPr>
  </w:style>
  <w:style w:type="paragraph" w:customStyle="1" w:styleId="Table-Heading">
    <w:name w:val="Table-Heading"/>
    <w:basedOn w:val="Normal"/>
    <w:next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b/>
    </w:rPr>
  </w:style>
  <w:style w:type="paragraph" w:styleId="Caption">
    <w:name w:val="caption"/>
    <w:aliases w:val="Char"/>
    <w:basedOn w:val="Normal"/>
    <w:next w:val="TextTi11"/>
    <w:link w:val="CaptionChar"/>
    <w:uiPriority w:val="35"/>
    <w:qFormat/>
    <w:rsid w:val="00003AC8"/>
    <w:pPr>
      <w:keepNext/>
      <w:spacing w:before="113" w:after="57"/>
    </w:pPr>
    <w:rPr>
      <w:b/>
    </w:rPr>
  </w:style>
  <w:style w:type="paragraph" w:customStyle="1" w:styleId="TextTi11">
    <w:name w:val="Text:Ti11"/>
    <w:basedOn w:val="Normal"/>
    <w:pPr>
      <w:widowControl w:val="0"/>
      <w:spacing w:after="170" w:line="260" w:lineRule="atLeast"/>
    </w:pPr>
    <w:rPr>
      <w:sz w:val="22"/>
    </w:rPr>
  </w:style>
  <w:style w:type="paragraph" w:styleId="TOC4">
    <w:name w:val="toc 4"/>
    <w:basedOn w:val="Normal"/>
    <w:next w:val="Normal"/>
    <w:autoRedefine/>
    <w:semiHidden/>
    <w:rsid w:val="00FE1039"/>
    <w:pPr>
      <w:tabs>
        <w:tab w:val="right" w:leader="dot" w:pos="8640"/>
      </w:tabs>
      <w:ind w:right="-72"/>
    </w:pPr>
  </w:style>
  <w:style w:type="paragraph" w:styleId="BodyText2">
    <w:name w:val="Body Text 2"/>
    <w:basedOn w:val="Normal"/>
    <w:pPr>
      <w:ind w:right="-360"/>
    </w:pPr>
    <w:rPr>
      <w:b/>
      <w:color w:val="000000"/>
    </w:rPr>
  </w:style>
  <w:style w:type="paragraph" w:styleId="Header">
    <w:name w:val="header"/>
    <w:basedOn w:val="Normal"/>
    <w:pPr>
      <w:widowControl w:val="0"/>
      <w:tabs>
        <w:tab w:val="center" w:pos="4683"/>
        <w:tab w:val="right" w:pos="9361"/>
      </w:tabs>
    </w:pPr>
    <w:rPr>
      <w:b/>
      <w:sz w:val="22"/>
    </w:rPr>
  </w:style>
  <w:style w:type="paragraph" w:customStyle="1" w:styleId="TOCHeadings">
    <w:name w:val="TOC Headings"/>
    <w:basedOn w:val="Normal"/>
    <w:pPr>
      <w:widowControl w:val="0"/>
      <w:tabs>
        <w:tab w:val="center" w:pos="4672"/>
        <w:tab w:val="right" w:pos="9344"/>
      </w:tabs>
      <w:spacing w:before="397" w:after="227"/>
    </w:pPr>
    <w:rPr>
      <w:b/>
      <w:sz w:val="22"/>
    </w:rPr>
  </w:style>
  <w:style w:type="paragraph" w:styleId="BodyTextIndent">
    <w:name w:val="Body Text Indent"/>
    <w:basedOn w:val="Normal"/>
    <w:pPr>
      <w:spacing w:line="240" w:lineRule="atLeast"/>
      <w:ind w:left="360"/>
    </w:pPr>
    <w:rPr>
      <w:snapToGrid w:val="0"/>
      <w:color w:val="000000"/>
      <w:sz w:val="18"/>
    </w:rPr>
  </w:style>
  <w:style w:type="paragraph" w:styleId="CommentText">
    <w:name w:val="annotation text"/>
    <w:aliases w:val="Annotationtext"/>
    <w:basedOn w:val="Normal"/>
    <w:link w:val="CommentTextCha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basedOn w:val="Heading1"/>
    <w:link w:val="TitleChar"/>
    <w:qFormat/>
    <w:rsid w:val="00D60556"/>
    <w:pPr>
      <w:spacing w:after="0"/>
      <w:contextualSpacing/>
      <w:jc w:val="center"/>
      <w:outlineLvl w:val="9"/>
    </w:pPr>
  </w:style>
  <w:style w:type="paragraph" w:styleId="Subtitle">
    <w:name w:val="Subtitle"/>
    <w:basedOn w:val="Normal"/>
    <w:link w:val="SubtitleChar"/>
    <w:qFormat/>
    <w:rsid w:val="00860E6C"/>
    <w:pPr>
      <w:jc w:val="center"/>
    </w:pPr>
    <w:rPr>
      <w:rFonts w:ascii="TimesNewRoman,Bold" w:hAnsi="TimesNewRoman,Bold"/>
      <w:b/>
      <w:snapToGrid w:val="0"/>
      <w:sz w:val="22"/>
    </w:rPr>
  </w:style>
  <w:style w:type="paragraph" w:customStyle="1" w:styleId="Table-Footer">
    <w:name w:val="Table-Footer"/>
    <w:basedOn w:val="Normal"/>
    <w:link w:val="Table-FooterChar"/>
    <w:rsid w:val="00704CF6"/>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rPr>
  </w:style>
  <w:style w:type="paragraph" w:customStyle="1" w:styleId="text">
    <w:name w:val="text"/>
    <w:basedOn w:val="Normal"/>
    <w:rsid w:val="0080493A"/>
    <w:pPr>
      <w:spacing w:before="60" w:after="60" w:line="480" w:lineRule="auto"/>
    </w:p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style>
  <w:style w:type="paragraph" w:customStyle="1" w:styleId="text1Char0">
    <w:name w:val="text 1 Char"/>
    <w:basedOn w:val="Normal"/>
    <w:rsid w:val="004C6C7F"/>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after="120"/>
    </w:pPr>
  </w:style>
  <w:style w:type="paragraph" w:customStyle="1" w:styleId="Table">
    <w:name w:val="Table"/>
    <w:basedOn w:val="Normal"/>
    <w:rsid w:val="003159FD"/>
    <w:pPr>
      <w:widowControl w:val="0"/>
    </w:pPr>
    <w:rPr>
      <w:sz w:val="18"/>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spacing w:after="120"/>
      <w:ind w:left="1440" w:right="1440"/>
    </w:pPr>
  </w:style>
  <w:style w:type="paragraph" w:styleId="BodyTextFirstIndent">
    <w:name w:val="Body Text First Indent"/>
    <w:basedOn w:val="BodyText"/>
    <w:rsid w:val="00A341AB"/>
    <w:pPr>
      <w:spacing w:after="120"/>
      <w:ind w:right="0" w:firstLine="210"/>
    </w:pPr>
    <w:rPr>
      <w:rFonts w:ascii="Arial" w:hAnsi="Arial"/>
      <w:color w:val="auto"/>
      <w:sz w:val="20"/>
    </w:rPr>
  </w:style>
  <w:style w:type="paragraph" w:styleId="BodyTextFirstIndent2">
    <w:name w:val="Body Text First Indent 2"/>
    <w:basedOn w:val="BodyTextIndent"/>
    <w:rsid w:val="00A341AB"/>
    <w:pPr>
      <w:spacing w:after="120" w:line="240" w:lineRule="auto"/>
      <w:ind w:firstLine="210"/>
    </w:pPr>
    <w:rPr>
      <w:snapToGrid/>
      <w:color w:val="auto"/>
      <w:sz w:val="20"/>
      <w:lang w:val="en-AU"/>
    </w:rPr>
  </w:style>
  <w:style w:type="paragraph" w:styleId="BodyTextIndent3">
    <w:name w:val="Body Text Indent 3"/>
    <w:basedOn w:val="Normal"/>
    <w:rsid w:val="00A341AB"/>
    <w:pPr>
      <w:spacing w:after="120"/>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szCs w:val="24"/>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spacing w:after="120"/>
      <w:ind w:left="360"/>
    </w:pPr>
  </w:style>
  <w:style w:type="paragraph" w:styleId="ListContinue2">
    <w:name w:val="List Continue 2"/>
    <w:basedOn w:val="Normal"/>
    <w:rsid w:val="00A341AB"/>
    <w:pPr>
      <w:spacing w:after="120"/>
      <w:ind w:left="720"/>
    </w:pPr>
  </w:style>
  <w:style w:type="paragraph" w:styleId="ListContinue3">
    <w:name w:val="List Continue 3"/>
    <w:basedOn w:val="Normal"/>
    <w:rsid w:val="00A341AB"/>
    <w:pPr>
      <w:spacing w:after="120"/>
      <w:ind w:left="1080"/>
    </w:pPr>
  </w:style>
  <w:style w:type="paragraph" w:styleId="ListContinue4">
    <w:name w:val="List Continue 4"/>
    <w:basedOn w:val="Normal"/>
    <w:rsid w:val="00A341AB"/>
    <w:pPr>
      <w:spacing w:after="120"/>
      <w:ind w:left="1440"/>
    </w:pPr>
  </w:style>
  <w:style w:type="paragraph" w:styleId="ListContinue5">
    <w:name w:val="List Continue 5"/>
    <w:basedOn w:val="Normal"/>
    <w:rsid w:val="00A341AB"/>
    <w:pPr>
      <w:spacing w:after="120"/>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link w:val="NormalWebChar"/>
    <w:rsid w:val="00A341AB"/>
    <w:rPr>
      <w:szCs w:val="24"/>
    </w:rPr>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rPr>
      <w:rFonts w:cs="Arial"/>
      <w:b/>
      <w:bCs/>
      <w:szCs w:val="24"/>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0"/>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sz w:val="22"/>
      <w:lang w:val="en-GB"/>
    </w:rPr>
  </w:style>
  <w:style w:type="paragraph" w:customStyle="1" w:styleId="EMEAEnBodyText">
    <w:name w:val="EMEA En Body Text"/>
    <w:basedOn w:val="Normal"/>
    <w:rsid w:val="007254DD"/>
    <w:pPr>
      <w:spacing w:after="120"/>
    </w:pPr>
    <w:rPr>
      <w:sz w:val="22"/>
    </w:rPr>
  </w:style>
  <w:style w:type="character" w:styleId="Hyperlink">
    <w:name w:val="Hyperlink"/>
    <w:rsid w:val="007254DD"/>
    <w:rPr>
      <w:color w:val="0000FF"/>
      <w:u w:val="single"/>
    </w:rPr>
  </w:style>
  <w:style w:type="paragraph" w:customStyle="1" w:styleId="AHeader1">
    <w:name w:val="AHeader 1"/>
    <w:basedOn w:val="Normal"/>
    <w:rsid w:val="007254DD"/>
    <w:pPr>
      <w:numPr>
        <w:numId w:val="12"/>
      </w:numPr>
      <w:spacing w:after="120"/>
    </w:pPr>
    <w:rPr>
      <w:rFonts w:cs="Arial"/>
      <w:b/>
      <w:bCs/>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3"/>
      </w:numPr>
      <w:tabs>
        <w:tab w:val="clear" w:pos="360"/>
      </w:tabs>
      <w:ind w:left="567" w:hanging="567"/>
    </w:pPr>
    <w:rPr>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pPr>
      <w:spacing w:after="120"/>
    </w:pPr>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rPr>
  </w:style>
  <w:style w:type="paragraph" w:customStyle="1" w:styleId="BMSTableTextChar">
    <w:name w:val="BMS Table Text Char"/>
    <w:rsid w:val="007254DD"/>
    <w:pPr>
      <w:tabs>
        <w:tab w:val="left" w:pos="360"/>
      </w:tabs>
      <w:spacing w:before="60" w:after="60"/>
      <w:jc w:val="center"/>
    </w:pPr>
    <w:rPr>
      <w:rFonts w:ascii="Arial" w:eastAsia="Batang" w:hAnsi="Arial"/>
      <w:sz w:val="24"/>
    </w:rPr>
  </w:style>
  <w:style w:type="paragraph" w:customStyle="1" w:styleId="Table1">
    <w:name w:val="Table1"/>
    <w:rsid w:val="003C1AC9"/>
    <w:pPr>
      <w:spacing w:before="120" w:after="120"/>
    </w:pPr>
    <w:rPr>
      <w:rFonts w:ascii="Palatino Linotype" w:hAnsi="Palatino Linotype"/>
      <w:b/>
      <w:noProof/>
      <w:sz w:val="22"/>
      <w:lang w:val="en-AU"/>
    </w:rPr>
  </w:style>
  <w:style w:type="paragraph" w:customStyle="1" w:styleId="BulletText">
    <w:name w:val="Bullet Text"/>
    <w:basedOn w:val="Normal"/>
    <w:link w:val="BulletTextChar"/>
    <w:rsid w:val="00512D9D"/>
    <w:pPr>
      <w:numPr>
        <w:numId w:val="15"/>
      </w:numPr>
    </w:pPr>
    <w:rPr>
      <w:rFonts w:cs="Arial"/>
      <w:szCs w:val="24"/>
    </w:rPr>
  </w:style>
  <w:style w:type="character" w:customStyle="1" w:styleId="BulletTextChar">
    <w:name w:val="Bullet Text Char"/>
    <w:link w:val="BulletText"/>
    <w:rsid w:val="00512D9D"/>
    <w:rPr>
      <w:rFonts w:cs="Arial"/>
      <w:sz w:val="24"/>
      <w:szCs w:val="24"/>
    </w:rPr>
  </w:style>
  <w:style w:type="paragraph" w:customStyle="1" w:styleId="Subheading2">
    <w:name w:val="Subheading 2"/>
    <w:basedOn w:val="Normal"/>
    <w:next w:val="Text10"/>
    <w:link w:val="Subheading2Char"/>
    <w:rsid w:val="0087127B"/>
    <w:pPr>
      <w:keepNext/>
    </w:pPr>
    <w:rPr>
      <w:b/>
      <w:bCs/>
      <w:i/>
      <w:iCs/>
      <w:szCs w:val="24"/>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b/>
      <w:bCs/>
      <w:caps/>
      <w:szCs w:val="24"/>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rsid w:val="00F07DCC"/>
    <w:pPr>
      <w:spacing w:before="60"/>
      <w:ind w:left="330" w:hanging="330"/>
    </w:pPr>
    <w:rPr>
      <w:rFonts w:cs="Arial"/>
      <w:sz w:val="18"/>
      <w:szCs w:val="18"/>
      <w:lang w:val="en-GB"/>
    </w:rPr>
  </w:style>
  <w:style w:type="character" w:customStyle="1" w:styleId="CaptionChar">
    <w:name w:val="Caption Char"/>
    <w:aliases w:val="Char Char"/>
    <w:link w:val="Caption"/>
    <w:uiPriority w:val="35"/>
    <w:rsid w:val="00003AC8"/>
    <w:rPr>
      <w:b/>
      <w:sz w:val="24"/>
    </w:rPr>
  </w:style>
  <w:style w:type="character" w:customStyle="1" w:styleId="Table-FooterChar">
    <w:name w:val="Table-Footer Char"/>
    <w:link w:val="Table-Footer"/>
    <w:rsid w:val="00F572D2"/>
    <w:rPr>
      <w:rFonts w:ascii="Arial" w:hAnsi="Arial"/>
      <w:sz w:val="16"/>
      <w:lang w:val="en-US" w:eastAsia="en-US" w:bidi="ar-SA"/>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rPr>
      <w:szCs w:val="24"/>
    </w:rPr>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FD27B9"/>
    <w:pPr>
      <w:keepNext/>
      <w:keepLines/>
      <w:spacing w:before="60" w:after="60"/>
      <w:jc w:val="center"/>
    </w:pPr>
    <w:rPr>
      <w:rFonts w:cs="Arial"/>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rPr>
  </w:style>
  <w:style w:type="character" w:customStyle="1" w:styleId="FooterChar">
    <w:name w:val="Footer Char"/>
    <w:link w:val="Footer"/>
    <w:locked/>
    <w:rsid w:val="00E92D31"/>
    <w:rPr>
      <w:rFonts w:ascii="Arial" w:hAnsi="Arial"/>
      <w:sz w:val="22"/>
      <w:lang w:val="en-US" w:eastAsia="en-US" w:bidi="ar-SA"/>
    </w:rPr>
  </w:style>
  <w:style w:type="character" w:customStyle="1" w:styleId="Table-TextChar">
    <w:name w:val="Table-Text Char"/>
    <w:link w:val="Table-Text"/>
    <w:rsid w:val="00E92D31"/>
    <w:rPr>
      <w:sz w:val="16"/>
      <w:lang w:val="en-US" w:eastAsia="en-US" w:bidi="ar-SA"/>
    </w:rPr>
  </w:style>
  <w:style w:type="paragraph" w:customStyle="1" w:styleId="TableCenter">
    <w:name w:val="Table Center"/>
    <w:rsid w:val="00DD6CB1"/>
    <w:pPr>
      <w:spacing w:after="60"/>
      <w:jc w:val="center"/>
    </w:pPr>
    <w:rPr>
      <w:rFonts w:eastAsia="Arial Unicode MS"/>
      <w:sz w:val="24"/>
      <w:szCs w:val="24"/>
    </w:rPr>
  </w:style>
  <w:style w:type="character" w:customStyle="1" w:styleId="Heading4Char">
    <w:name w:val="Heading 4 Char"/>
    <w:link w:val="Heading4"/>
    <w:locked/>
    <w:rsid w:val="00003AC8"/>
    <w:rPr>
      <w:noProof/>
      <w:sz w:val="24"/>
      <w:szCs w:val="24"/>
      <w:u w:val="single"/>
    </w:rPr>
  </w:style>
  <w:style w:type="character" w:styleId="EndnoteReference">
    <w:name w:val="endnote reference"/>
    <w:semiHidden/>
    <w:rsid w:val="00423B84"/>
    <w:rPr>
      <w:vertAlign w:val="superscript"/>
    </w:rPr>
  </w:style>
  <w:style w:type="paragraph" w:customStyle="1" w:styleId="Default">
    <w:name w:val="Default"/>
    <w:rsid w:val="00857F7D"/>
    <w:pPr>
      <w:autoSpaceDE w:val="0"/>
      <w:autoSpaceDN w:val="0"/>
      <w:adjustRightInd w:val="0"/>
    </w:pPr>
    <w:rPr>
      <w:color w:val="000000"/>
      <w:sz w:val="24"/>
      <w:szCs w:val="24"/>
    </w:rPr>
  </w:style>
  <w:style w:type="paragraph" w:customStyle="1" w:styleId="Paragraph">
    <w:name w:val="Paragraph"/>
    <w:rsid w:val="008A7DCB"/>
    <w:pPr>
      <w:spacing w:after="240"/>
    </w:pPr>
    <w:rPr>
      <w:rFonts w:eastAsia="Arial Unicode MS"/>
      <w:sz w:val="24"/>
      <w:szCs w:val="24"/>
    </w:rPr>
  </w:style>
  <w:style w:type="paragraph" w:styleId="ListParagraph">
    <w:name w:val="List Paragraph"/>
    <w:basedOn w:val="Normal"/>
    <w:uiPriority w:val="34"/>
    <w:qFormat/>
    <w:rsid w:val="002321FC"/>
    <w:pPr>
      <w:ind w:left="720"/>
      <w:contextualSpacing/>
    </w:pPr>
  </w:style>
  <w:style w:type="paragraph" w:styleId="Revision">
    <w:name w:val="Revision"/>
    <w:hidden/>
    <w:uiPriority w:val="99"/>
    <w:semiHidden/>
    <w:rsid w:val="00AB23F8"/>
    <w:rPr>
      <w:rFonts w:ascii="Arial" w:hAnsi="Arial"/>
      <w:lang w:val="en-AU"/>
    </w:rPr>
  </w:style>
  <w:style w:type="paragraph" w:customStyle="1" w:styleId="TableCellCenter">
    <w:name w:val="Table Cell Center"/>
    <w:basedOn w:val="TableCellLeft"/>
    <w:rsid w:val="00C9694E"/>
    <w:pPr>
      <w:jc w:val="center"/>
    </w:pPr>
  </w:style>
  <w:style w:type="paragraph" w:customStyle="1" w:styleId="TableCellLeft">
    <w:name w:val="Table Cell Left"/>
    <w:basedOn w:val="Text10"/>
    <w:rsid w:val="00C9694E"/>
    <w:pPr>
      <w:spacing w:before="60" w:after="60"/>
    </w:pPr>
    <w:rPr>
      <w:rFonts w:eastAsia="Arial Unicode MS"/>
      <w:color w:val="000000" w:themeColor="text1"/>
      <w:sz w:val="20"/>
      <w:szCs w:val="24"/>
    </w:rPr>
  </w:style>
  <w:style w:type="paragraph" w:customStyle="1" w:styleId="TableHeaderCenter">
    <w:name w:val="Table Header Center"/>
    <w:basedOn w:val="Normal"/>
    <w:rsid w:val="00C9694E"/>
    <w:pPr>
      <w:spacing w:before="60" w:after="60"/>
      <w:jc w:val="center"/>
    </w:pPr>
    <w:rPr>
      <w:rFonts w:ascii="Times New Roman Bold" w:eastAsia="Arial Unicode MS" w:hAnsi="Times New Roman Bold"/>
      <w:b/>
      <w:color w:val="000000" w:themeColor="text1"/>
      <w:sz w:val="20"/>
      <w:szCs w:val="24"/>
    </w:rPr>
  </w:style>
  <w:style w:type="character" w:customStyle="1" w:styleId="TitleChar">
    <w:name w:val="Title Char"/>
    <w:basedOn w:val="DefaultParagraphFont"/>
    <w:link w:val="Title"/>
    <w:rsid w:val="00D60556"/>
    <w:rPr>
      <w:b/>
      <w:noProof/>
      <w:sz w:val="24"/>
      <w:szCs w:val="24"/>
    </w:rPr>
  </w:style>
  <w:style w:type="character" w:customStyle="1" w:styleId="SubtitleChar">
    <w:name w:val="Subtitle Char"/>
    <w:basedOn w:val="DefaultParagraphFont"/>
    <w:link w:val="Subtitle"/>
    <w:rsid w:val="008A0A30"/>
    <w:rPr>
      <w:rFonts w:ascii="TimesNewRoman,Bold" w:hAnsi="TimesNewRoman,Bold"/>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964">
      <w:bodyDiv w:val="1"/>
      <w:marLeft w:val="0"/>
      <w:marRight w:val="0"/>
      <w:marTop w:val="0"/>
      <w:marBottom w:val="0"/>
      <w:divBdr>
        <w:top w:val="none" w:sz="0" w:space="0" w:color="auto"/>
        <w:left w:val="none" w:sz="0" w:space="0" w:color="auto"/>
        <w:bottom w:val="none" w:sz="0" w:space="0" w:color="auto"/>
        <w:right w:val="none" w:sz="0" w:space="0" w:color="auto"/>
      </w:divBdr>
    </w:div>
    <w:div w:id="41443838">
      <w:bodyDiv w:val="1"/>
      <w:marLeft w:val="0"/>
      <w:marRight w:val="0"/>
      <w:marTop w:val="0"/>
      <w:marBottom w:val="0"/>
      <w:divBdr>
        <w:top w:val="none" w:sz="0" w:space="0" w:color="auto"/>
        <w:left w:val="none" w:sz="0" w:space="0" w:color="auto"/>
        <w:bottom w:val="none" w:sz="0" w:space="0" w:color="auto"/>
        <w:right w:val="none" w:sz="0" w:space="0" w:color="auto"/>
      </w:divBdr>
    </w:div>
    <w:div w:id="45841254">
      <w:bodyDiv w:val="1"/>
      <w:marLeft w:val="0"/>
      <w:marRight w:val="0"/>
      <w:marTop w:val="0"/>
      <w:marBottom w:val="0"/>
      <w:divBdr>
        <w:top w:val="none" w:sz="0" w:space="0" w:color="auto"/>
        <w:left w:val="none" w:sz="0" w:space="0" w:color="auto"/>
        <w:bottom w:val="none" w:sz="0" w:space="0" w:color="auto"/>
        <w:right w:val="none" w:sz="0" w:space="0" w:color="auto"/>
      </w:divBdr>
    </w:div>
    <w:div w:id="64112054">
      <w:bodyDiv w:val="1"/>
      <w:marLeft w:val="0"/>
      <w:marRight w:val="0"/>
      <w:marTop w:val="0"/>
      <w:marBottom w:val="0"/>
      <w:divBdr>
        <w:top w:val="none" w:sz="0" w:space="0" w:color="auto"/>
        <w:left w:val="none" w:sz="0" w:space="0" w:color="auto"/>
        <w:bottom w:val="none" w:sz="0" w:space="0" w:color="auto"/>
        <w:right w:val="none" w:sz="0" w:space="0" w:color="auto"/>
      </w:divBdr>
    </w:div>
    <w:div w:id="77293886">
      <w:bodyDiv w:val="1"/>
      <w:marLeft w:val="0"/>
      <w:marRight w:val="0"/>
      <w:marTop w:val="0"/>
      <w:marBottom w:val="0"/>
      <w:divBdr>
        <w:top w:val="none" w:sz="0" w:space="0" w:color="auto"/>
        <w:left w:val="none" w:sz="0" w:space="0" w:color="auto"/>
        <w:bottom w:val="none" w:sz="0" w:space="0" w:color="auto"/>
        <w:right w:val="none" w:sz="0" w:space="0" w:color="auto"/>
      </w:divBdr>
    </w:div>
    <w:div w:id="116217669">
      <w:bodyDiv w:val="1"/>
      <w:marLeft w:val="0"/>
      <w:marRight w:val="0"/>
      <w:marTop w:val="0"/>
      <w:marBottom w:val="0"/>
      <w:divBdr>
        <w:top w:val="none" w:sz="0" w:space="0" w:color="auto"/>
        <w:left w:val="none" w:sz="0" w:space="0" w:color="auto"/>
        <w:bottom w:val="none" w:sz="0" w:space="0" w:color="auto"/>
        <w:right w:val="none" w:sz="0" w:space="0" w:color="auto"/>
      </w:divBdr>
    </w:div>
    <w:div w:id="184943751">
      <w:bodyDiv w:val="1"/>
      <w:marLeft w:val="0"/>
      <w:marRight w:val="0"/>
      <w:marTop w:val="0"/>
      <w:marBottom w:val="0"/>
      <w:divBdr>
        <w:top w:val="none" w:sz="0" w:space="0" w:color="auto"/>
        <w:left w:val="none" w:sz="0" w:space="0" w:color="auto"/>
        <w:bottom w:val="none" w:sz="0" w:space="0" w:color="auto"/>
        <w:right w:val="none" w:sz="0" w:space="0" w:color="auto"/>
      </w:divBdr>
    </w:div>
    <w:div w:id="197471570">
      <w:bodyDiv w:val="1"/>
      <w:marLeft w:val="0"/>
      <w:marRight w:val="0"/>
      <w:marTop w:val="0"/>
      <w:marBottom w:val="0"/>
      <w:divBdr>
        <w:top w:val="none" w:sz="0" w:space="0" w:color="auto"/>
        <w:left w:val="none" w:sz="0" w:space="0" w:color="auto"/>
        <w:bottom w:val="none" w:sz="0" w:space="0" w:color="auto"/>
        <w:right w:val="none" w:sz="0" w:space="0" w:color="auto"/>
      </w:divBdr>
    </w:div>
    <w:div w:id="202442544">
      <w:bodyDiv w:val="1"/>
      <w:marLeft w:val="0"/>
      <w:marRight w:val="0"/>
      <w:marTop w:val="0"/>
      <w:marBottom w:val="0"/>
      <w:divBdr>
        <w:top w:val="none" w:sz="0" w:space="0" w:color="auto"/>
        <w:left w:val="none" w:sz="0" w:space="0" w:color="auto"/>
        <w:bottom w:val="none" w:sz="0" w:space="0" w:color="auto"/>
        <w:right w:val="none" w:sz="0" w:space="0" w:color="auto"/>
      </w:divBdr>
    </w:div>
    <w:div w:id="202987994">
      <w:bodyDiv w:val="1"/>
      <w:marLeft w:val="0"/>
      <w:marRight w:val="0"/>
      <w:marTop w:val="0"/>
      <w:marBottom w:val="0"/>
      <w:divBdr>
        <w:top w:val="none" w:sz="0" w:space="0" w:color="auto"/>
        <w:left w:val="none" w:sz="0" w:space="0" w:color="auto"/>
        <w:bottom w:val="none" w:sz="0" w:space="0" w:color="auto"/>
        <w:right w:val="none" w:sz="0" w:space="0" w:color="auto"/>
      </w:divBdr>
    </w:div>
    <w:div w:id="218128353">
      <w:bodyDiv w:val="1"/>
      <w:marLeft w:val="0"/>
      <w:marRight w:val="0"/>
      <w:marTop w:val="0"/>
      <w:marBottom w:val="0"/>
      <w:divBdr>
        <w:top w:val="none" w:sz="0" w:space="0" w:color="auto"/>
        <w:left w:val="none" w:sz="0" w:space="0" w:color="auto"/>
        <w:bottom w:val="none" w:sz="0" w:space="0" w:color="auto"/>
        <w:right w:val="none" w:sz="0" w:space="0" w:color="auto"/>
      </w:divBdr>
    </w:div>
    <w:div w:id="235894383">
      <w:bodyDiv w:val="1"/>
      <w:marLeft w:val="0"/>
      <w:marRight w:val="0"/>
      <w:marTop w:val="0"/>
      <w:marBottom w:val="0"/>
      <w:divBdr>
        <w:top w:val="none" w:sz="0" w:space="0" w:color="auto"/>
        <w:left w:val="none" w:sz="0" w:space="0" w:color="auto"/>
        <w:bottom w:val="none" w:sz="0" w:space="0" w:color="auto"/>
        <w:right w:val="none" w:sz="0" w:space="0" w:color="auto"/>
      </w:divBdr>
    </w:div>
    <w:div w:id="249435318">
      <w:bodyDiv w:val="1"/>
      <w:marLeft w:val="0"/>
      <w:marRight w:val="0"/>
      <w:marTop w:val="0"/>
      <w:marBottom w:val="0"/>
      <w:divBdr>
        <w:top w:val="none" w:sz="0" w:space="0" w:color="auto"/>
        <w:left w:val="none" w:sz="0" w:space="0" w:color="auto"/>
        <w:bottom w:val="none" w:sz="0" w:space="0" w:color="auto"/>
        <w:right w:val="none" w:sz="0" w:space="0" w:color="auto"/>
      </w:divBdr>
    </w:div>
    <w:div w:id="258372469">
      <w:bodyDiv w:val="1"/>
      <w:marLeft w:val="0"/>
      <w:marRight w:val="0"/>
      <w:marTop w:val="0"/>
      <w:marBottom w:val="0"/>
      <w:divBdr>
        <w:top w:val="none" w:sz="0" w:space="0" w:color="auto"/>
        <w:left w:val="none" w:sz="0" w:space="0" w:color="auto"/>
        <w:bottom w:val="none" w:sz="0" w:space="0" w:color="auto"/>
        <w:right w:val="none" w:sz="0" w:space="0" w:color="auto"/>
      </w:divBdr>
    </w:div>
    <w:div w:id="288164975">
      <w:bodyDiv w:val="1"/>
      <w:marLeft w:val="0"/>
      <w:marRight w:val="0"/>
      <w:marTop w:val="0"/>
      <w:marBottom w:val="0"/>
      <w:divBdr>
        <w:top w:val="none" w:sz="0" w:space="0" w:color="auto"/>
        <w:left w:val="none" w:sz="0" w:space="0" w:color="auto"/>
        <w:bottom w:val="none" w:sz="0" w:space="0" w:color="auto"/>
        <w:right w:val="none" w:sz="0" w:space="0" w:color="auto"/>
      </w:divBdr>
    </w:div>
    <w:div w:id="306252295">
      <w:bodyDiv w:val="1"/>
      <w:marLeft w:val="0"/>
      <w:marRight w:val="0"/>
      <w:marTop w:val="0"/>
      <w:marBottom w:val="0"/>
      <w:divBdr>
        <w:top w:val="none" w:sz="0" w:space="0" w:color="auto"/>
        <w:left w:val="none" w:sz="0" w:space="0" w:color="auto"/>
        <w:bottom w:val="none" w:sz="0" w:space="0" w:color="auto"/>
        <w:right w:val="none" w:sz="0" w:space="0" w:color="auto"/>
      </w:divBdr>
    </w:div>
    <w:div w:id="359673700">
      <w:bodyDiv w:val="1"/>
      <w:marLeft w:val="0"/>
      <w:marRight w:val="0"/>
      <w:marTop w:val="0"/>
      <w:marBottom w:val="0"/>
      <w:divBdr>
        <w:top w:val="none" w:sz="0" w:space="0" w:color="auto"/>
        <w:left w:val="none" w:sz="0" w:space="0" w:color="auto"/>
        <w:bottom w:val="none" w:sz="0" w:space="0" w:color="auto"/>
        <w:right w:val="none" w:sz="0" w:space="0" w:color="auto"/>
      </w:divBdr>
    </w:div>
    <w:div w:id="364645642">
      <w:bodyDiv w:val="1"/>
      <w:marLeft w:val="0"/>
      <w:marRight w:val="0"/>
      <w:marTop w:val="0"/>
      <w:marBottom w:val="0"/>
      <w:divBdr>
        <w:top w:val="none" w:sz="0" w:space="0" w:color="auto"/>
        <w:left w:val="none" w:sz="0" w:space="0" w:color="auto"/>
        <w:bottom w:val="none" w:sz="0" w:space="0" w:color="auto"/>
        <w:right w:val="none" w:sz="0" w:space="0" w:color="auto"/>
      </w:divBdr>
    </w:div>
    <w:div w:id="395710536">
      <w:bodyDiv w:val="1"/>
      <w:marLeft w:val="0"/>
      <w:marRight w:val="0"/>
      <w:marTop w:val="0"/>
      <w:marBottom w:val="0"/>
      <w:divBdr>
        <w:top w:val="none" w:sz="0" w:space="0" w:color="auto"/>
        <w:left w:val="none" w:sz="0" w:space="0" w:color="auto"/>
        <w:bottom w:val="none" w:sz="0" w:space="0" w:color="auto"/>
        <w:right w:val="none" w:sz="0" w:space="0" w:color="auto"/>
      </w:divBdr>
    </w:div>
    <w:div w:id="422728172">
      <w:bodyDiv w:val="1"/>
      <w:marLeft w:val="0"/>
      <w:marRight w:val="0"/>
      <w:marTop w:val="0"/>
      <w:marBottom w:val="0"/>
      <w:divBdr>
        <w:top w:val="none" w:sz="0" w:space="0" w:color="auto"/>
        <w:left w:val="none" w:sz="0" w:space="0" w:color="auto"/>
        <w:bottom w:val="none" w:sz="0" w:space="0" w:color="auto"/>
        <w:right w:val="none" w:sz="0" w:space="0" w:color="auto"/>
      </w:divBdr>
    </w:div>
    <w:div w:id="428041657">
      <w:bodyDiv w:val="1"/>
      <w:marLeft w:val="0"/>
      <w:marRight w:val="0"/>
      <w:marTop w:val="0"/>
      <w:marBottom w:val="0"/>
      <w:divBdr>
        <w:top w:val="none" w:sz="0" w:space="0" w:color="auto"/>
        <w:left w:val="none" w:sz="0" w:space="0" w:color="auto"/>
        <w:bottom w:val="none" w:sz="0" w:space="0" w:color="auto"/>
        <w:right w:val="none" w:sz="0" w:space="0" w:color="auto"/>
      </w:divBdr>
    </w:div>
    <w:div w:id="453141111">
      <w:bodyDiv w:val="1"/>
      <w:marLeft w:val="0"/>
      <w:marRight w:val="0"/>
      <w:marTop w:val="0"/>
      <w:marBottom w:val="0"/>
      <w:divBdr>
        <w:top w:val="none" w:sz="0" w:space="0" w:color="auto"/>
        <w:left w:val="none" w:sz="0" w:space="0" w:color="auto"/>
        <w:bottom w:val="none" w:sz="0" w:space="0" w:color="auto"/>
        <w:right w:val="none" w:sz="0" w:space="0" w:color="auto"/>
      </w:divBdr>
    </w:div>
    <w:div w:id="455221445">
      <w:bodyDiv w:val="1"/>
      <w:marLeft w:val="0"/>
      <w:marRight w:val="0"/>
      <w:marTop w:val="0"/>
      <w:marBottom w:val="0"/>
      <w:divBdr>
        <w:top w:val="none" w:sz="0" w:space="0" w:color="auto"/>
        <w:left w:val="none" w:sz="0" w:space="0" w:color="auto"/>
        <w:bottom w:val="none" w:sz="0" w:space="0" w:color="auto"/>
        <w:right w:val="none" w:sz="0" w:space="0" w:color="auto"/>
      </w:divBdr>
    </w:div>
    <w:div w:id="463934282">
      <w:bodyDiv w:val="1"/>
      <w:marLeft w:val="0"/>
      <w:marRight w:val="0"/>
      <w:marTop w:val="0"/>
      <w:marBottom w:val="0"/>
      <w:divBdr>
        <w:top w:val="none" w:sz="0" w:space="0" w:color="auto"/>
        <w:left w:val="none" w:sz="0" w:space="0" w:color="auto"/>
        <w:bottom w:val="none" w:sz="0" w:space="0" w:color="auto"/>
        <w:right w:val="none" w:sz="0" w:space="0" w:color="auto"/>
      </w:divBdr>
    </w:div>
    <w:div w:id="485364327">
      <w:bodyDiv w:val="1"/>
      <w:marLeft w:val="0"/>
      <w:marRight w:val="0"/>
      <w:marTop w:val="0"/>
      <w:marBottom w:val="0"/>
      <w:divBdr>
        <w:top w:val="none" w:sz="0" w:space="0" w:color="auto"/>
        <w:left w:val="none" w:sz="0" w:space="0" w:color="auto"/>
        <w:bottom w:val="none" w:sz="0" w:space="0" w:color="auto"/>
        <w:right w:val="none" w:sz="0" w:space="0" w:color="auto"/>
      </w:divBdr>
    </w:div>
    <w:div w:id="496384084">
      <w:bodyDiv w:val="1"/>
      <w:marLeft w:val="0"/>
      <w:marRight w:val="0"/>
      <w:marTop w:val="0"/>
      <w:marBottom w:val="0"/>
      <w:divBdr>
        <w:top w:val="none" w:sz="0" w:space="0" w:color="auto"/>
        <w:left w:val="none" w:sz="0" w:space="0" w:color="auto"/>
        <w:bottom w:val="none" w:sz="0" w:space="0" w:color="auto"/>
        <w:right w:val="none" w:sz="0" w:space="0" w:color="auto"/>
      </w:divBdr>
    </w:div>
    <w:div w:id="507254322">
      <w:bodyDiv w:val="1"/>
      <w:marLeft w:val="0"/>
      <w:marRight w:val="0"/>
      <w:marTop w:val="0"/>
      <w:marBottom w:val="0"/>
      <w:divBdr>
        <w:top w:val="none" w:sz="0" w:space="0" w:color="auto"/>
        <w:left w:val="none" w:sz="0" w:space="0" w:color="auto"/>
        <w:bottom w:val="none" w:sz="0" w:space="0" w:color="auto"/>
        <w:right w:val="none" w:sz="0" w:space="0" w:color="auto"/>
      </w:divBdr>
    </w:div>
    <w:div w:id="518474167">
      <w:bodyDiv w:val="1"/>
      <w:marLeft w:val="0"/>
      <w:marRight w:val="0"/>
      <w:marTop w:val="0"/>
      <w:marBottom w:val="0"/>
      <w:divBdr>
        <w:top w:val="none" w:sz="0" w:space="0" w:color="auto"/>
        <w:left w:val="none" w:sz="0" w:space="0" w:color="auto"/>
        <w:bottom w:val="none" w:sz="0" w:space="0" w:color="auto"/>
        <w:right w:val="none" w:sz="0" w:space="0" w:color="auto"/>
      </w:divBdr>
    </w:div>
    <w:div w:id="595791481">
      <w:bodyDiv w:val="1"/>
      <w:marLeft w:val="0"/>
      <w:marRight w:val="0"/>
      <w:marTop w:val="0"/>
      <w:marBottom w:val="0"/>
      <w:divBdr>
        <w:top w:val="none" w:sz="0" w:space="0" w:color="auto"/>
        <w:left w:val="none" w:sz="0" w:space="0" w:color="auto"/>
        <w:bottom w:val="none" w:sz="0" w:space="0" w:color="auto"/>
        <w:right w:val="none" w:sz="0" w:space="0" w:color="auto"/>
      </w:divBdr>
    </w:div>
    <w:div w:id="602301633">
      <w:bodyDiv w:val="1"/>
      <w:marLeft w:val="0"/>
      <w:marRight w:val="0"/>
      <w:marTop w:val="0"/>
      <w:marBottom w:val="0"/>
      <w:divBdr>
        <w:top w:val="none" w:sz="0" w:space="0" w:color="auto"/>
        <w:left w:val="none" w:sz="0" w:space="0" w:color="auto"/>
        <w:bottom w:val="none" w:sz="0" w:space="0" w:color="auto"/>
        <w:right w:val="none" w:sz="0" w:space="0" w:color="auto"/>
      </w:divBdr>
    </w:div>
    <w:div w:id="616913381">
      <w:bodyDiv w:val="1"/>
      <w:marLeft w:val="0"/>
      <w:marRight w:val="0"/>
      <w:marTop w:val="0"/>
      <w:marBottom w:val="0"/>
      <w:divBdr>
        <w:top w:val="none" w:sz="0" w:space="0" w:color="auto"/>
        <w:left w:val="none" w:sz="0" w:space="0" w:color="auto"/>
        <w:bottom w:val="none" w:sz="0" w:space="0" w:color="auto"/>
        <w:right w:val="none" w:sz="0" w:space="0" w:color="auto"/>
      </w:divBdr>
    </w:div>
    <w:div w:id="630481067">
      <w:bodyDiv w:val="1"/>
      <w:marLeft w:val="0"/>
      <w:marRight w:val="0"/>
      <w:marTop w:val="0"/>
      <w:marBottom w:val="0"/>
      <w:divBdr>
        <w:top w:val="none" w:sz="0" w:space="0" w:color="auto"/>
        <w:left w:val="none" w:sz="0" w:space="0" w:color="auto"/>
        <w:bottom w:val="none" w:sz="0" w:space="0" w:color="auto"/>
        <w:right w:val="none" w:sz="0" w:space="0" w:color="auto"/>
      </w:divBdr>
    </w:div>
    <w:div w:id="649676641">
      <w:bodyDiv w:val="1"/>
      <w:marLeft w:val="0"/>
      <w:marRight w:val="0"/>
      <w:marTop w:val="0"/>
      <w:marBottom w:val="0"/>
      <w:divBdr>
        <w:top w:val="none" w:sz="0" w:space="0" w:color="auto"/>
        <w:left w:val="none" w:sz="0" w:space="0" w:color="auto"/>
        <w:bottom w:val="none" w:sz="0" w:space="0" w:color="auto"/>
        <w:right w:val="none" w:sz="0" w:space="0" w:color="auto"/>
      </w:divBdr>
    </w:div>
    <w:div w:id="656304908">
      <w:bodyDiv w:val="1"/>
      <w:marLeft w:val="0"/>
      <w:marRight w:val="0"/>
      <w:marTop w:val="0"/>
      <w:marBottom w:val="0"/>
      <w:divBdr>
        <w:top w:val="none" w:sz="0" w:space="0" w:color="auto"/>
        <w:left w:val="none" w:sz="0" w:space="0" w:color="auto"/>
        <w:bottom w:val="none" w:sz="0" w:space="0" w:color="auto"/>
        <w:right w:val="none" w:sz="0" w:space="0" w:color="auto"/>
      </w:divBdr>
    </w:div>
    <w:div w:id="672025402">
      <w:bodyDiv w:val="1"/>
      <w:marLeft w:val="0"/>
      <w:marRight w:val="0"/>
      <w:marTop w:val="0"/>
      <w:marBottom w:val="0"/>
      <w:divBdr>
        <w:top w:val="none" w:sz="0" w:space="0" w:color="auto"/>
        <w:left w:val="none" w:sz="0" w:space="0" w:color="auto"/>
        <w:bottom w:val="none" w:sz="0" w:space="0" w:color="auto"/>
        <w:right w:val="none" w:sz="0" w:space="0" w:color="auto"/>
      </w:divBdr>
    </w:div>
    <w:div w:id="710423879">
      <w:bodyDiv w:val="1"/>
      <w:marLeft w:val="0"/>
      <w:marRight w:val="0"/>
      <w:marTop w:val="0"/>
      <w:marBottom w:val="0"/>
      <w:divBdr>
        <w:top w:val="none" w:sz="0" w:space="0" w:color="auto"/>
        <w:left w:val="none" w:sz="0" w:space="0" w:color="auto"/>
        <w:bottom w:val="none" w:sz="0" w:space="0" w:color="auto"/>
        <w:right w:val="none" w:sz="0" w:space="0" w:color="auto"/>
      </w:divBdr>
    </w:div>
    <w:div w:id="716389972">
      <w:bodyDiv w:val="1"/>
      <w:marLeft w:val="0"/>
      <w:marRight w:val="0"/>
      <w:marTop w:val="0"/>
      <w:marBottom w:val="0"/>
      <w:divBdr>
        <w:top w:val="none" w:sz="0" w:space="0" w:color="auto"/>
        <w:left w:val="none" w:sz="0" w:space="0" w:color="auto"/>
        <w:bottom w:val="none" w:sz="0" w:space="0" w:color="auto"/>
        <w:right w:val="none" w:sz="0" w:space="0" w:color="auto"/>
      </w:divBdr>
    </w:div>
    <w:div w:id="731468452">
      <w:bodyDiv w:val="1"/>
      <w:marLeft w:val="0"/>
      <w:marRight w:val="0"/>
      <w:marTop w:val="0"/>
      <w:marBottom w:val="0"/>
      <w:divBdr>
        <w:top w:val="none" w:sz="0" w:space="0" w:color="auto"/>
        <w:left w:val="none" w:sz="0" w:space="0" w:color="auto"/>
        <w:bottom w:val="none" w:sz="0" w:space="0" w:color="auto"/>
        <w:right w:val="none" w:sz="0" w:space="0" w:color="auto"/>
      </w:divBdr>
    </w:div>
    <w:div w:id="792092275">
      <w:bodyDiv w:val="1"/>
      <w:marLeft w:val="0"/>
      <w:marRight w:val="0"/>
      <w:marTop w:val="0"/>
      <w:marBottom w:val="0"/>
      <w:divBdr>
        <w:top w:val="none" w:sz="0" w:space="0" w:color="auto"/>
        <w:left w:val="none" w:sz="0" w:space="0" w:color="auto"/>
        <w:bottom w:val="none" w:sz="0" w:space="0" w:color="auto"/>
        <w:right w:val="none" w:sz="0" w:space="0" w:color="auto"/>
      </w:divBdr>
    </w:div>
    <w:div w:id="811021720">
      <w:bodyDiv w:val="1"/>
      <w:marLeft w:val="0"/>
      <w:marRight w:val="0"/>
      <w:marTop w:val="0"/>
      <w:marBottom w:val="0"/>
      <w:divBdr>
        <w:top w:val="none" w:sz="0" w:space="0" w:color="auto"/>
        <w:left w:val="none" w:sz="0" w:space="0" w:color="auto"/>
        <w:bottom w:val="none" w:sz="0" w:space="0" w:color="auto"/>
        <w:right w:val="none" w:sz="0" w:space="0" w:color="auto"/>
      </w:divBdr>
    </w:div>
    <w:div w:id="817572411">
      <w:bodyDiv w:val="1"/>
      <w:marLeft w:val="0"/>
      <w:marRight w:val="0"/>
      <w:marTop w:val="0"/>
      <w:marBottom w:val="0"/>
      <w:divBdr>
        <w:top w:val="none" w:sz="0" w:space="0" w:color="auto"/>
        <w:left w:val="none" w:sz="0" w:space="0" w:color="auto"/>
        <w:bottom w:val="none" w:sz="0" w:space="0" w:color="auto"/>
        <w:right w:val="none" w:sz="0" w:space="0" w:color="auto"/>
      </w:divBdr>
      <w:divsChild>
        <w:div w:id="1774546930">
          <w:marLeft w:val="0"/>
          <w:marRight w:val="0"/>
          <w:marTop w:val="0"/>
          <w:marBottom w:val="0"/>
          <w:divBdr>
            <w:top w:val="none" w:sz="0" w:space="0" w:color="auto"/>
            <w:left w:val="none" w:sz="0" w:space="0" w:color="auto"/>
            <w:bottom w:val="none" w:sz="0" w:space="0" w:color="auto"/>
            <w:right w:val="none" w:sz="0" w:space="0" w:color="auto"/>
          </w:divBdr>
        </w:div>
      </w:divsChild>
    </w:div>
    <w:div w:id="826169168">
      <w:bodyDiv w:val="1"/>
      <w:marLeft w:val="0"/>
      <w:marRight w:val="0"/>
      <w:marTop w:val="0"/>
      <w:marBottom w:val="0"/>
      <w:divBdr>
        <w:top w:val="none" w:sz="0" w:space="0" w:color="auto"/>
        <w:left w:val="none" w:sz="0" w:space="0" w:color="auto"/>
        <w:bottom w:val="none" w:sz="0" w:space="0" w:color="auto"/>
        <w:right w:val="none" w:sz="0" w:space="0" w:color="auto"/>
      </w:divBdr>
    </w:div>
    <w:div w:id="826242059">
      <w:bodyDiv w:val="1"/>
      <w:marLeft w:val="0"/>
      <w:marRight w:val="0"/>
      <w:marTop w:val="0"/>
      <w:marBottom w:val="0"/>
      <w:divBdr>
        <w:top w:val="none" w:sz="0" w:space="0" w:color="auto"/>
        <w:left w:val="none" w:sz="0" w:space="0" w:color="auto"/>
        <w:bottom w:val="none" w:sz="0" w:space="0" w:color="auto"/>
        <w:right w:val="none" w:sz="0" w:space="0" w:color="auto"/>
      </w:divBdr>
    </w:div>
    <w:div w:id="854614772">
      <w:bodyDiv w:val="1"/>
      <w:marLeft w:val="0"/>
      <w:marRight w:val="0"/>
      <w:marTop w:val="0"/>
      <w:marBottom w:val="0"/>
      <w:divBdr>
        <w:top w:val="none" w:sz="0" w:space="0" w:color="auto"/>
        <w:left w:val="none" w:sz="0" w:space="0" w:color="auto"/>
        <w:bottom w:val="none" w:sz="0" w:space="0" w:color="auto"/>
        <w:right w:val="none" w:sz="0" w:space="0" w:color="auto"/>
      </w:divBdr>
    </w:div>
    <w:div w:id="856650338">
      <w:bodyDiv w:val="1"/>
      <w:marLeft w:val="0"/>
      <w:marRight w:val="0"/>
      <w:marTop w:val="0"/>
      <w:marBottom w:val="0"/>
      <w:divBdr>
        <w:top w:val="none" w:sz="0" w:space="0" w:color="auto"/>
        <w:left w:val="none" w:sz="0" w:space="0" w:color="auto"/>
        <w:bottom w:val="none" w:sz="0" w:space="0" w:color="auto"/>
        <w:right w:val="none" w:sz="0" w:space="0" w:color="auto"/>
      </w:divBdr>
    </w:div>
    <w:div w:id="883905209">
      <w:bodyDiv w:val="1"/>
      <w:marLeft w:val="0"/>
      <w:marRight w:val="0"/>
      <w:marTop w:val="0"/>
      <w:marBottom w:val="0"/>
      <w:divBdr>
        <w:top w:val="none" w:sz="0" w:space="0" w:color="auto"/>
        <w:left w:val="none" w:sz="0" w:space="0" w:color="auto"/>
        <w:bottom w:val="none" w:sz="0" w:space="0" w:color="auto"/>
        <w:right w:val="none" w:sz="0" w:space="0" w:color="auto"/>
      </w:divBdr>
    </w:div>
    <w:div w:id="910581972">
      <w:bodyDiv w:val="1"/>
      <w:marLeft w:val="0"/>
      <w:marRight w:val="0"/>
      <w:marTop w:val="0"/>
      <w:marBottom w:val="0"/>
      <w:divBdr>
        <w:top w:val="none" w:sz="0" w:space="0" w:color="auto"/>
        <w:left w:val="none" w:sz="0" w:space="0" w:color="auto"/>
        <w:bottom w:val="none" w:sz="0" w:space="0" w:color="auto"/>
        <w:right w:val="none" w:sz="0" w:space="0" w:color="auto"/>
      </w:divBdr>
    </w:div>
    <w:div w:id="935753548">
      <w:bodyDiv w:val="1"/>
      <w:marLeft w:val="0"/>
      <w:marRight w:val="0"/>
      <w:marTop w:val="0"/>
      <w:marBottom w:val="0"/>
      <w:divBdr>
        <w:top w:val="none" w:sz="0" w:space="0" w:color="auto"/>
        <w:left w:val="none" w:sz="0" w:space="0" w:color="auto"/>
        <w:bottom w:val="none" w:sz="0" w:space="0" w:color="auto"/>
        <w:right w:val="none" w:sz="0" w:space="0" w:color="auto"/>
      </w:divBdr>
    </w:div>
    <w:div w:id="951210068">
      <w:bodyDiv w:val="1"/>
      <w:marLeft w:val="0"/>
      <w:marRight w:val="0"/>
      <w:marTop w:val="0"/>
      <w:marBottom w:val="0"/>
      <w:divBdr>
        <w:top w:val="none" w:sz="0" w:space="0" w:color="auto"/>
        <w:left w:val="none" w:sz="0" w:space="0" w:color="auto"/>
        <w:bottom w:val="none" w:sz="0" w:space="0" w:color="auto"/>
        <w:right w:val="none" w:sz="0" w:space="0" w:color="auto"/>
      </w:divBdr>
    </w:div>
    <w:div w:id="976495754">
      <w:bodyDiv w:val="1"/>
      <w:marLeft w:val="0"/>
      <w:marRight w:val="0"/>
      <w:marTop w:val="0"/>
      <w:marBottom w:val="0"/>
      <w:divBdr>
        <w:top w:val="none" w:sz="0" w:space="0" w:color="auto"/>
        <w:left w:val="none" w:sz="0" w:space="0" w:color="auto"/>
        <w:bottom w:val="none" w:sz="0" w:space="0" w:color="auto"/>
        <w:right w:val="none" w:sz="0" w:space="0" w:color="auto"/>
      </w:divBdr>
    </w:div>
    <w:div w:id="989792081">
      <w:bodyDiv w:val="1"/>
      <w:marLeft w:val="0"/>
      <w:marRight w:val="0"/>
      <w:marTop w:val="0"/>
      <w:marBottom w:val="0"/>
      <w:divBdr>
        <w:top w:val="none" w:sz="0" w:space="0" w:color="auto"/>
        <w:left w:val="none" w:sz="0" w:space="0" w:color="auto"/>
        <w:bottom w:val="none" w:sz="0" w:space="0" w:color="auto"/>
        <w:right w:val="none" w:sz="0" w:space="0" w:color="auto"/>
      </w:divBdr>
    </w:div>
    <w:div w:id="1003821062">
      <w:bodyDiv w:val="1"/>
      <w:marLeft w:val="0"/>
      <w:marRight w:val="0"/>
      <w:marTop w:val="0"/>
      <w:marBottom w:val="0"/>
      <w:divBdr>
        <w:top w:val="none" w:sz="0" w:space="0" w:color="auto"/>
        <w:left w:val="none" w:sz="0" w:space="0" w:color="auto"/>
        <w:bottom w:val="none" w:sz="0" w:space="0" w:color="auto"/>
        <w:right w:val="none" w:sz="0" w:space="0" w:color="auto"/>
      </w:divBdr>
    </w:div>
    <w:div w:id="1007751084">
      <w:bodyDiv w:val="1"/>
      <w:marLeft w:val="0"/>
      <w:marRight w:val="0"/>
      <w:marTop w:val="0"/>
      <w:marBottom w:val="0"/>
      <w:divBdr>
        <w:top w:val="none" w:sz="0" w:space="0" w:color="auto"/>
        <w:left w:val="none" w:sz="0" w:space="0" w:color="auto"/>
        <w:bottom w:val="none" w:sz="0" w:space="0" w:color="auto"/>
        <w:right w:val="none" w:sz="0" w:space="0" w:color="auto"/>
      </w:divBdr>
    </w:div>
    <w:div w:id="1041788929">
      <w:bodyDiv w:val="1"/>
      <w:marLeft w:val="0"/>
      <w:marRight w:val="0"/>
      <w:marTop w:val="0"/>
      <w:marBottom w:val="0"/>
      <w:divBdr>
        <w:top w:val="none" w:sz="0" w:space="0" w:color="auto"/>
        <w:left w:val="none" w:sz="0" w:space="0" w:color="auto"/>
        <w:bottom w:val="none" w:sz="0" w:space="0" w:color="auto"/>
        <w:right w:val="none" w:sz="0" w:space="0" w:color="auto"/>
      </w:divBdr>
    </w:div>
    <w:div w:id="1092240282">
      <w:bodyDiv w:val="1"/>
      <w:marLeft w:val="0"/>
      <w:marRight w:val="0"/>
      <w:marTop w:val="0"/>
      <w:marBottom w:val="0"/>
      <w:divBdr>
        <w:top w:val="none" w:sz="0" w:space="0" w:color="auto"/>
        <w:left w:val="none" w:sz="0" w:space="0" w:color="auto"/>
        <w:bottom w:val="none" w:sz="0" w:space="0" w:color="auto"/>
        <w:right w:val="none" w:sz="0" w:space="0" w:color="auto"/>
      </w:divBdr>
    </w:div>
    <w:div w:id="1101560241">
      <w:bodyDiv w:val="1"/>
      <w:marLeft w:val="0"/>
      <w:marRight w:val="0"/>
      <w:marTop w:val="0"/>
      <w:marBottom w:val="0"/>
      <w:divBdr>
        <w:top w:val="none" w:sz="0" w:space="0" w:color="auto"/>
        <w:left w:val="none" w:sz="0" w:space="0" w:color="auto"/>
        <w:bottom w:val="none" w:sz="0" w:space="0" w:color="auto"/>
        <w:right w:val="none" w:sz="0" w:space="0" w:color="auto"/>
      </w:divBdr>
    </w:div>
    <w:div w:id="1133210180">
      <w:bodyDiv w:val="1"/>
      <w:marLeft w:val="0"/>
      <w:marRight w:val="0"/>
      <w:marTop w:val="0"/>
      <w:marBottom w:val="0"/>
      <w:divBdr>
        <w:top w:val="none" w:sz="0" w:space="0" w:color="auto"/>
        <w:left w:val="none" w:sz="0" w:space="0" w:color="auto"/>
        <w:bottom w:val="none" w:sz="0" w:space="0" w:color="auto"/>
        <w:right w:val="none" w:sz="0" w:space="0" w:color="auto"/>
      </w:divBdr>
    </w:div>
    <w:div w:id="1188058446">
      <w:bodyDiv w:val="1"/>
      <w:marLeft w:val="0"/>
      <w:marRight w:val="0"/>
      <w:marTop w:val="0"/>
      <w:marBottom w:val="0"/>
      <w:divBdr>
        <w:top w:val="none" w:sz="0" w:space="0" w:color="auto"/>
        <w:left w:val="none" w:sz="0" w:space="0" w:color="auto"/>
        <w:bottom w:val="none" w:sz="0" w:space="0" w:color="auto"/>
        <w:right w:val="none" w:sz="0" w:space="0" w:color="auto"/>
      </w:divBdr>
    </w:div>
    <w:div w:id="1290473748">
      <w:bodyDiv w:val="1"/>
      <w:marLeft w:val="0"/>
      <w:marRight w:val="0"/>
      <w:marTop w:val="0"/>
      <w:marBottom w:val="0"/>
      <w:divBdr>
        <w:top w:val="none" w:sz="0" w:space="0" w:color="auto"/>
        <w:left w:val="none" w:sz="0" w:space="0" w:color="auto"/>
        <w:bottom w:val="none" w:sz="0" w:space="0" w:color="auto"/>
        <w:right w:val="none" w:sz="0" w:space="0" w:color="auto"/>
      </w:divBdr>
    </w:div>
    <w:div w:id="1295022184">
      <w:bodyDiv w:val="1"/>
      <w:marLeft w:val="0"/>
      <w:marRight w:val="0"/>
      <w:marTop w:val="0"/>
      <w:marBottom w:val="0"/>
      <w:divBdr>
        <w:top w:val="none" w:sz="0" w:space="0" w:color="auto"/>
        <w:left w:val="none" w:sz="0" w:space="0" w:color="auto"/>
        <w:bottom w:val="none" w:sz="0" w:space="0" w:color="auto"/>
        <w:right w:val="none" w:sz="0" w:space="0" w:color="auto"/>
      </w:divBdr>
    </w:div>
    <w:div w:id="1322588278">
      <w:bodyDiv w:val="1"/>
      <w:marLeft w:val="0"/>
      <w:marRight w:val="0"/>
      <w:marTop w:val="0"/>
      <w:marBottom w:val="0"/>
      <w:divBdr>
        <w:top w:val="none" w:sz="0" w:space="0" w:color="auto"/>
        <w:left w:val="none" w:sz="0" w:space="0" w:color="auto"/>
        <w:bottom w:val="none" w:sz="0" w:space="0" w:color="auto"/>
        <w:right w:val="none" w:sz="0" w:space="0" w:color="auto"/>
      </w:divBdr>
    </w:div>
    <w:div w:id="1329400313">
      <w:bodyDiv w:val="1"/>
      <w:marLeft w:val="0"/>
      <w:marRight w:val="0"/>
      <w:marTop w:val="0"/>
      <w:marBottom w:val="0"/>
      <w:divBdr>
        <w:top w:val="none" w:sz="0" w:space="0" w:color="auto"/>
        <w:left w:val="none" w:sz="0" w:space="0" w:color="auto"/>
        <w:bottom w:val="none" w:sz="0" w:space="0" w:color="auto"/>
        <w:right w:val="none" w:sz="0" w:space="0" w:color="auto"/>
      </w:divBdr>
      <w:divsChild>
        <w:div w:id="1164473224">
          <w:marLeft w:val="0"/>
          <w:marRight w:val="0"/>
          <w:marTop w:val="0"/>
          <w:marBottom w:val="0"/>
          <w:divBdr>
            <w:top w:val="none" w:sz="0" w:space="0" w:color="auto"/>
            <w:left w:val="none" w:sz="0" w:space="0" w:color="auto"/>
            <w:bottom w:val="none" w:sz="0" w:space="0" w:color="auto"/>
            <w:right w:val="none" w:sz="0" w:space="0" w:color="auto"/>
          </w:divBdr>
        </w:div>
      </w:divsChild>
    </w:div>
    <w:div w:id="1336031073">
      <w:bodyDiv w:val="1"/>
      <w:marLeft w:val="0"/>
      <w:marRight w:val="0"/>
      <w:marTop w:val="0"/>
      <w:marBottom w:val="0"/>
      <w:divBdr>
        <w:top w:val="none" w:sz="0" w:space="0" w:color="auto"/>
        <w:left w:val="none" w:sz="0" w:space="0" w:color="auto"/>
        <w:bottom w:val="none" w:sz="0" w:space="0" w:color="auto"/>
        <w:right w:val="none" w:sz="0" w:space="0" w:color="auto"/>
      </w:divBdr>
    </w:div>
    <w:div w:id="1359745434">
      <w:bodyDiv w:val="1"/>
      <w:marLeft w:val="0"/>
      <w:marRight w:val="0"/>
      <w:marTop w:val="0"/>
      <w:marBottom w:val="0"/>
      <w:divBdr>
        <w:top w:val="none" w:sz="0" w:space="0" w:color="auto"/>
        <w:left w:val="none" w:sz="0" w:space="0" w:color="auto"/>
        <w:bottom w:val="none" w:sz="0" w:space="0" w:color="auto"/>
        <w:right w:val="none" w:sz="0" w:space="0" w:color="auto"/>
      </w:divBdr>
    </w:div>
    <w:div w:id="1395928211">
      <w:bodyDiv w:val="1"/>
      <w:marLeft w:val="0"/>
      <w:marRight w:val="0"/>
      <w:marTop w:val="0"/>
      <w:marBottom w:val="0"/>
      <w:divBdr>
        <w:top w:val="none" w:sz="0" w:space="0" w:color="auto"/>
        <w:left w:val="none" w:sz="0" w:space="0" w:color="auto"/>
        <w:bottom w:val="none" w:sz="0" w:space="0" w:color="auto"/>
        <w:right w:val="none" w:sz="0" w:space="0" w:color="auto"/>
      </w:divBdr>
    </w:div>
    <w:div w:id="1418136163">
      <w:bodyDiv w:val="1"/>
      <w:marLeft w:val="0"/>
      <w:marRight w:val="0"/>
      <w:marTop w:val="0"/>
      <w:marBottom w:val="0"/>
      <w:divBdr>
        <w:top w:val="none" w:sz="0" w:space="0" w:color="auto"/>
        <w:left w:val="none" w:sz="0" w:space="0" w:color="auto"/>
        <w:bottom w:val="none" w:sz="0" w:space="0" w:color="auto"/>
        <w:right w:val="none" w:sz="0" w:space="0" w:color="auto"/>
      </w:divBdr>
    </w:div>
    <w:div w:id="1478305678">
      <w:bodyDiv w:val="1"/>
      <w:marLeft w:val="0"/>
      <w:marRight w:val="0"/>
      <w:marTop w:val="0"/>
      <w:marBottom w:val="0"/>
      <w:divBdr>
        <w:top w:val="none" w:sz="0" w:space="0" w:color="auto"/>
        <w:left w:val="none" w:sz="0" w:space="0" w:color="auto"/>
        <w:bottom w:val="none" w:sz="0" w:space="0" w:color="auto"/>
        <w:right w:val="none" w:sz="0" w:space="0" w:color="auto"/>
      </w:divBdr>
    </w:div>
    <w:div w:id="1491284564">
      <w:bodyDiv w:val="1"/>
      <w:marLeft w:val="0"/>
      <w:marRight w:val="0"/>
      <w:marTop w:val="0"/>
      <w:marBottom w:val="0"/>
      <w:divBdr>
        <w:top w:val="none" w:sz="0" w:space="0" w:color="auto"/>
        <w:left w:val="none" w:sz="0" w:space="0" w:color="auto"/>
        <w:bottom w:val="none" w:sz="0" w:space="0" w:color="auto"/>
        <w:right w:val="none" w:sz="0" w:space="0" w:color="auto"/>
      </w:divBdr>
    </w:div>
    <w:div w:id="1572733398">
      <w:bodyDiv w:val="1"/>
      <w:marLeft w:val="0"/>
      <w:marRight w:val="0"/>
      <w:marTop w:val="0"/>
      <w:marBottom w:val="0"/>
      <w:divBdr>
        <w:top w:val="none" w:sz="0" w:space="0" w:color="auto"/>
        <w:left w:val="none" w:sz="0" w:space="0" w:color="auto"/>
        <w:bottom w:val="none" w:sz="0" w:space="0" w:color="auto"/>
        <w:right w:val="none" w:sz="0" w:space="0" w:color="auto"/>
      </w:divBdr>
    </w:div>
    <w:div w:id="1590117204">
      <w:bodyDiv w:val="1"/>
      <w:marLeft w:val="0"/>
      <w:marRight w:val="0"/>
      <w:marTop w:val="0"/>
      <w:marBottom w:val="0"/>
      <w:divBdr>
        <w:top w:val="none" w:sz="0" w:space="0" w:color="auto"/>
        <w:left w:val="none" w:sz="0" w:space="0" w:color="auto"/>
        <w:bottom w:val="none" w:sz="0" w:space="0" w:color="auto"/>
        <w:right w:val="none" w:sz="0" w:space="0" w:color="auto"/>
      </w:divBdr>
    </w:div>
    <w:div w:id="1590699017">
      <w:bodyDiv w:val="1"/>
      <w:marLeft w:val="0"/>
      <w:marRight w:val="0"/>
      <w:marTop w:val="0"/>
      <w:marBottom w:val="0"/>
      <w:divBdr>
        <w:top w:val="none" w:sz="0" w:space="0" w:color="auto"/>
        <w:left w:val="none" w:sz="0" w:space="0" w:color="auto"/>
        <w:bottom w:val="none" w:sz="0" w:space="0" w:color="auto"/>
        <w:right w:val="none" w:sz="0" w:space="0" w:color="auto"/>
      </w:divBdr>
    </w:div>
    <w:div w:id="1602444984">
      <w:bodyDiv w:val="1"/>
      <w:marLeft w:val="0"/>
      <w:marRight w:val="0"/>
      <w:marTop w:val="0"/>
      <w:marBottom w:val="0"/>
      <w:divBdr>
        <w:top w:val="none" w:sz="0" w:space="0" w:color="auto"/>
        <w:left w:val="none" w:sz="0" w:space="0" w:color="auto"/>
        <w:bottom w:val="none" w:sz="0" w:space="0" w:color="auto"/>
        <w:right w:val="none" w:sz="0" w:space="0" w:color="auto"/>
      </w:divBdr>
    </w:div>
    <w:div w:id="1608925585">
      <w:bodyDiv w:val="1"/>
      <w:marLeft w:val="0"/>
      <w:marRight w:val="0"/>
      <w:marTop w:val="0"/>
      <w:marBottom w:val="0"/>
      <w:divBdr>
        <w:top w:val="none" w:sz="0" w:space="0" w:color="auto"/>
        <w:left w:val="none" w:sz="0" w:space="0" w:color="auto"/>
        <w:bottom w:val="none" w:sz="0" w:space="0" w:color="auto"/>
        <w:right w:val="none" w:sz="0" w:space="0" w:color="auto"/>
      </w:divBdr>
    </w:div>
    <w:div w:id="1665283494">
      <w:bodyDiv w:val="1"/>
      <w:marLeft w:val="0"/>
      <w:marRight w:val="0"/>
      <w:marTop w:val="0"/>
      <w:marBottom w:val="0"/>
      <w:divBdr>
        <w:top w:val="none" w:sz="0" w:space="0" w:color="auto"/>
        <w:left w:val="none" w:sz="0" w:space="0" w:color="auto"/>
        <w:bottom w:val="none" w:sz="0" w:space="0" w:color="auto"/>
        <w:right w:val="none" w:sz="0" w:space="0" w:color="auto"/>
      </w:divBdr>
    </w:div>
    <w:div w:id="1694722723">
      <w:bodyDiv w:val="1"/>
      <w:marLeft w:val="0"/>
      <w:marRight w:val="0"/>
      <w:marTop w:val="0"/>
      <w:marBottom w:val="0"/>
      <w:divBdr>
        <w:top w:val="none" w:sz="0" w:space="0" w:color="auto"/>
        <w:left w:val="none" w:sz="0" w:space="0" w:color="auto"/>
        <w:bottom w:val="none" w:sz="0" w:space="0" w:color="auto"/>
        <w:right w:val="none" w:sz="0" w:space="0" w:color="auto"/>
      </w:divBdr>
    </w:div>
    <w:div w:id="1710255417">
      <w:bodyDiv w:val="1"/>
      <w:marLeft w:val="0"/>
      <w:marRight w:val="0"/>
      <w:marTop w:val="0"/>
      <w:marBottom w:val="0"/>
      <w:divBdr>
        <w:top w:val="none" w:sz="0" w:space="0" w:color="auto"/>
        <w:left w:val="none" w:sz="0" w:space="0" w:color="auto"/>
        <w:bottom w:val="none" w:sz="0" w:space="0" w:color="auto"/>
        <w:right w:val="none" w:sz="0" w:space="0" w:color="auto"/>
      </w:divBdr>
    </w:div>
    <w:div w:id="1857843601">
      <w:bodyDiv w:val="1"/>
      <w:marLeft w:val="0"/>
      <w:marRight w:val="0"/>
      <w:marTop w:val="0"/>
      <w:marBottom w:val="0"/>
      <w:divBdr>
        <w:top w:val="none" w:sz="0" w:space="0" w:color="auto"/>
        <w:left w:val="none" w:sz="0" w:space="0" w:color="auto"/>
        <w:bottom w:val="none" w:sz="0" w:space="0" w:color="auto"/>
        <w:right w:val="none" w:sz="0" w:space="0" w:color="auto"/>
      </w:divBdr>
    </w:div>
    <w:div w:id="1905989318">
      <w:bodyDiv w:val="1"/>
      <w:marLeft w:val="0"/>
      <w:marRight w:val="0"/>
      <w:marTop w:val="0"/>
      <w:marBottom w:val="0"/>
      <w:divBdr>
        <w:top w:val="none" w:sz="0" w:space="0" w:color="auto"/>
        <w:left w:val="none" w:sz="0" w:space="0" w:color="auto"/>
        <w:bottom w:val="none" w:sz="0" w:space="0" w:color="auto"/>
        <w:right w:val="none" w:sz="0" w:space="0" w:color="auto"/>
      </w:divBdr>
    </w:div>
    <w:div w:id="1906867598">
      <w:bodyDiv w:val="1"/>
      <w:marLeft w:val="0"/>
      <w:marRight w:val="0"/>
      <w:marTop w:val="0"/>
      <w:marBottom w:val="0"/>
      <w:divBdr>
        <w:top w:val="none" w:sz="0" w:space="0" w:color="auto"/>
        <w:left w:val="none" w:sz="0" w:space="0" w:color="auto"/>
        <w:bottom w:val="none" w:sz="0" w:space="0" w:color="auto"/>
        <w:right w:val="none" w:sz="0" w:space="0" w:color="auto"/>
      </w:divBdr>
    </w:div>
    <w:div w:id="1943412899">
      <w:bodyDiv w:val="1"/>
      <w:marLeft w:val="0"/>
      <w:marRight w:val="0"/>
      <w:marTop w:val="0"/>
      <w:marBottom w:val="0"/>
      <w:divBdr>
        <w:top w:val="none" w:sz="0" w:space="0" w:color="auto"/>
        <w:left w:val="none" w:sz="0" w:space="0" w:color="auto"/>
        <w:bottom w:val="none" w:sz="0" w:space="0" w:color="auto"/>
        <w:right w:val="none" w:sz="0" w:space="0" w:color="auto"/>
      </w:divBdr>
    </w:div>
    <w:div w:id="1972709291">
      <w:bodyDiv w:val="1"/>
      <w:marLeft w:val="0"/>
      <w:marRight w:val="0"/>
      <w:marTop w:val="0"/>
      <w:marBottom w:val="0"/>
      <w:divBdr>
        <w:top w:val="none" w:sz="0" w:space="0" w:color="auto"/>
        <w:left w:val="none" w:sz="0" w:space="0" w:color="auto"/>
        <w:bottom w:val="none" w:sz="0" w:space="0" w:color="auto"/>
        <w:right w:val="none" w:sz="0" w:space="0" w:color="auto"/>
      </w:divBdr>
    </w:div>
    <w:div w:id="2033989469">
      <w:bodyDiv w:val="1"/>
      <w:marLeft w:val="0"/>
      <w:marRight w:val="0"/>
      <w:marTop w:val="0"/>
      <w:marBottom w:val="0"/>
      <w:divBdr>
        <w:top w:val="none" w:sz="0" w:space="0" w:color="auto"/>
        <w:left w:val="none" w:sz="0" w:space="0" w:color="auto"/>
        <w:bottom w:val="none" w:sz="0" w:space="0" w:color="auto"/>
        <w:right w:val="none" w:sz="0" w:space="0" w:color="auto"/>
      </w:divBdr>
    </w:div>
    <w:div w:id="2034181573">
      <w:bodyDiv w:val="1"/>
      <w:marLeft w:val="0"/>
      <w:marRight w:val="0"/>
      <w:marTop w:val="0"/>
      <w:marBottom w:val="0"/>
      <w:divBdr>
        <w:top w:val="none" w:sz="0" w:space="0" w:color="auto"/>
        <w:left w:val="none" w:sz="0" w:space="0" w:color="auto"/>
        <w:bottom w:val="none" w:sz="0" w:space="0" w:color="auto"/>
        <w:right w:val="none" w:sz="0" w:space="0" w:color="auto"/>
      </w:divBdr>
    </w:div>
    <w:div w:id="2050638777">
      <w:bodyDiv w:val="1"/>
      <w:marLeft w:val="0"/>
      <w:marRight w:val="0"/>
      <w:marTop w:val="0"/>
      <w:marBottom w:val="0"/>
      <w:divBdr>
        <w:top w:val="none" w:sz="0" w:space="0" w:color="auto"/>
        <w:left w:val="none" w:sz="0" w:space="0" w:color="auto"/>
        <w:bottom w:val="none" w:sz="0" w:space="0" w:color="auto"/>
        <w:right w:val="none" w:sz="0" w:space="0" w:color="auto"/>
      </w:divBdr>
    </w:div>
    <w:div w:id="2095324022">
      <w:bodyDiv w:val="1"/>
      <w:marLeft w:val="0"/>
      <w:marRight w:val="0"/>
      <w:marTop w:val="0"/>
      <w:marBottom w:val="0"/>
      <w:divBdr>
        <w:top w:val="none" w:sz="0" w:space="0" w:color="auto"/>
        <w:left w:val="none" w:sz="0" w:space="0" w:color="auto"/>
        <w:bottom w:val="none" w:sz="0" w:space="0" w:color="auto"/>
        <w:right w:val="none" w:sz="0" w:space="0" w:color="auto"/>
      </w:divBdr>
    </w:div>
    <w:div w:id="2117020070">
      <w:bodyDiv w:val="1"/>
      <w:marLeft w:val="0"/>
      <w:marRight w:val="0"/>
      <w:marTop w:val="0"/>
      <w:marBottom w:val="0"/>
      <w:divBdr>
        <w:top w:val="none" w:sz="0" w:space="0" w:color="auto"/>
        <w:left w:val="none" w:sz="0" w:space="0" w:color="auto"/>
        <w:bottom w:val="none" w:sz="0" w:space="0" w:color="auto"/>
        <w:right w:val="none" w:sz="0" w:space="0" w:color="auto"/>
      </w:divBdr>
    </w:div>
    <w:div w:id="21216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6B52-F00A-41DC-8CEE-17255FC5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10569</Words>
  <Characters>60953</Characters>
  <Application>Microsoft Office Word</Application>
  <DocSecurity>0</DocSecurity>
  <Lines>1172</Lines>
  <Paragraphs>576</Paragraphs>
  <ScaleCrop>false</ScaleCrop>
  <HeadingPairs>
    <vt:vector size="2" baseType="variant">
      <vt:variant>
        <vt:lpstr>Title</vt:lpstr>
      </vt:variant>
      <vt:variant>
        <vt:i4>1</vt:i4>
      </vt:variant>
    </vt:vector>
  </HeadingPairs>
  <TitlesOfParts>
    <vt:vector size="1" baseType="lpstr">
      <vt:lpstr>AusPAR Attachment 1: Product Information for Epclusa</vt:lpstr>
    </vt:vector>
  </TitlesOfParts>
  <Company>Gilead Sciences</Company>
  <LinksUpToDate>false</LinksUpToDate>
  <CharactersWithSpaces>70946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Sofosbuvir / Velpatasvir</dc:title>
  <dc:subject>Prescription medicine</dc:subject>
  <dc:creator>Therapeutic Goods Administration</dc:creator>
  <cp:keywords>ausPARs</cp:keywords>
  <cp:lastModifiedBy>Therapeutic Goods Administration (TGA) </cp:lastModifiedBy>
  <cp:revision>8</cp:revision>
  <cp:lastPrinted>2015-11-23T00:47:00Z</cp:lastPrinted>
  <dcterms:created xsi:type="dcterms:W3CDTF">2017-11-07T06:04:00Z</dcterms:created>
  <dcterms:modified xsi:type="dcterms:W3CDTF">2017-11-20T01:50:00Z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1524625891</vt:i4>
  </property>
  <property fmtid="{D5CDD505-2E9C-101B-9397-08002B2CF9AE}" pid="3" name="_NewReviewCycle">
    <vt:lpwstr/>
  </property>
  <property fmtid="{D5CDD505-2E9C-101B-9397-08002B2CF9AE}" pid="4" name="_EmailEntryID">
    <vt:lpwstr>0000000002AD37D853BFBE4AA2E080BCA375EC1D0700B5212860E8BF6F4098CA6A662B67D28900182F7E55E400002F3F61356383E9438B5911CEBBDDA4B1000D1E62E1220000</vt:lpwstr>
  </property>
  <property fmtid="{D5CDD505-2E9C-101B-9397-08002B2CF9AE}" pid="5" name="_EmailStoreID">
    <vt:lpwstr>0000000038A1BB1005E5101AA1BB08002B2A56C20000454D534D44422E444C4C00000000000000001B55FA20AA6611CD9BC800AA002FC45A0C0000004D42584D423032002F4F3D47696C65616420536369656E6365732F4F553D4175737472616C69612F636E3D526563697069656E74732F636E3D4B4D617900</vt:lpwstr>
  </property>
  <property fmtid="{D5CDD505-2E9C-101B-9397-08002B2CF9AE}" pid="6" name="_EmailStoreID0">
    <vt:lpwstr>0000000038A1BB1005E5101AA1BB08002B2A56C20000454D534D44422E444C4C00000000000000001B55FA20AA6611CD9BC800AA002FC45A0C00000046435856533031002F6F3D47696C65616420536369656E6365732F6F753D45786368616E67652041646D696E6973747261746976652047726F7570202846594449424F4</vt:lpwstr>
  </property>
  <property fmtid="{D5CDD505-2E9C-101B-9397-08002B2CF9AE}" pid="7" name="_EmailStoreID1">
    <vt:lpwstr>84632335350444C54292F636E3D526563697069656E74732F636E3D64627261696E61726400</vt:lpwstr>
  </property>
  <property fmtid="{D5CDD505-2E9C-101B-9397-08002B2CF9AE}" pid="8" name="_ReviewingToolsShownOnce">
    <vt:lpwstr/>
  </property>
</Properties>
</file>