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0C18FC" w:rsidP="0017078F">
            <w:pPr>
              <w:rPr>
                <w:rFonts w:ascii="Arial" w:hAnsi="Arial" w:cs="Arial"/>
                <w:b/>
                <w:color w:val="002C47"/>
                <w:sz w:val="36"/>
                <w:szCs w:val="36"/>
              </w:rPr>
            </w:pPr>
            <w:r>
              <w:rPr>
                <w:rFonts w:ascii="Arial" w:hAnsi="Arial" w:cs="Arial"/>
                <w:b/>
                <w:color w:val="002C47"/>
                <w:sz w:val="36"/>
                <w:szCs w:val="36"/>
              </w:rPr>
              <w:t>30 November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143E57">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0C18FC">
              <w:rPr>
                <w:color w:val="FFFFFF" w:themeColor="background1"/>
              </w:rPr>
              <w:t>Sorafenib</w:t>
            </w:r>
            <w:proofErr w:type="spellEnd"/>
            <w:r w:rsidR="000C18FC">
              <w:rPr>
                <w:color w:val="FFFFFF" w:themeColor="background1"/>
              </w:rPr>
              <w:t xml:space="preserve"> </w:t>
            </w:r>
          </w:p>
        </w:tc>
      </w:tr>
      <w:tr w:rsidR="00E07F15" w:rsidRPr="00B64760" w:rsidTr="00E07F15">
        <w:tc>
          <w:tcPr>
            <w:tcW w:w="9079" w:type="dxa"/>
          </w:tcPr>
          <w:p w:rsidR="00E07F15" w:rsidRPr="008E7846" w:rsidRDefault="00E07F15" w:rsidP="000C18FC">
            <w:pPr>
              <w:pStyle w:val="Subtitle"/>
              <w:rPr>
                <w:color w:val="FFFFFF" w:themeColor="background1"/>
              </w:rPr>
            </w:pPr>
            <w:r w:rsidRPr="008E7846">
              <w:rPr>
                <w:color w:val="FFFFFF" w:themeColor="background1"/>
              </w:rPr>
              <w:t xml:space="preserve">Proprietary Product Name: </w:t>
            </w:r>
            <w:proofErr w:type="spellStart"/>
            <w:r w:rsidR="000C18FC">
              <w:rPr>
                <w:color w:val="FFFFFF" w:themeColor="background1"/>
              </w:rPr>
              <w:t>Nexavar</w:t>
            </w:r>
            <w:proofErr w:type="spellEnd"/>
          </w:p>
        </w:tc>
      </w:tr>
      <w:tr w:rsidR="00E07F15" w:rsidRPr="00B64760" w:rsidTr="00E07F15">
        <w:trPr>
          <w:trHeight w:val="486"/>
        </w:trPr>
        <w:tc>
          <w:tcPr>
            <w:tcW w:w="9079" w:type="dxa"/>
          </w:tcPr>
          <w:p w:rsidR="00E07F15" w:rsidRPr="008E7846" w:rsidRDefault="00E07F15" w:rsidP="000C18FC">
            <w:pPr>
              <w:pStyle w:val="Subtitle"/>
              <w:rPr>
                <w:color w:val="FFFFFF" w:themeColor="background1"/>
              </w:rPr>
            </w:pPr>
            <w:r w:rsidRPr="008E7846">
              <w:rPr>
                <w:color w:val="FFFFFF" w:themeColor="background1"/>
              </w:rPr>
              <w:t xml:space="preserve">Sponsor: </w:t>
            </w:r>
            <w:r w:rsidR="000C18FC">
              <w:rPr>
                <w:color w:val="FFFFFF" w:themeColor="background1"/>
              </w:rPr>
              <w:t>Bayer Australia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 xml:space="preserve">The work of the TGA is based on applying scientific and clinical expertise to decision-making, to ensure that the benefits to </w:t>
      </w:r>
      <w:proofErr w:type="gramStart"/>
      <w:r>
        <w:t>consumers</w:t>
      </w:r>
      <w:proofErr w:type="gramEnd"/>
      <w:r>
        <w:t xml:space="preserve"> </w:t>
      </w:r>
      <w:proofErr w:type="spellStart"/>
      <w:r>
        <w:t>ouweigh</w:t>
      </w:r>
      <w:proofErr w:type="spellEnd"/>
      <w:r>
        <w:t xml:space="preserve">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B213FE">
      <w:pPr>
        <w:pStyle w:val="LegalSubheading"/>
        <w:spacing w:before="4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w:t>
      </w:r>
      <w:r w:rsidRPr="00191B3B">
        <w:rPr>
          <w:rFonts w:cs="Arial"/>
          <w:lang w:val="en-GB"/>
        </w:rPr>
        <w:lastRenderedPageBreak/>
        <w:t xml:space="preserve">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w:t>
          </w:r>
          <w:bookmarkStart w:id="2" w:name="_GoBack"/>
          <w:bookmarkEnd w:id="2"/>
          <w:r w:rsidRPr="0010788A">
            <w:t>ts</w:t>
          </w:r>
        </w:p>
        <w:p w:rsidR="00B213FE"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6729330" w:history="1">
            <w:r w:rsidR="00B213FE" w:rsidRPr="00250609">
              <w:rPr>
                <w:rStyle w:val="Hyperlink"/>
                <w:noProof/>
              </w:rPr>
              <w:t>List of commonly used abbreviations</w:t>
            </w:r>
            <w:r w:rsidR="00B213FE">
              <w:rPr>
                <w:noProof/>
                <w:webHidden/>
              </w:rPr>
              <w:tab/>
            </w:r>
            <w:r w:rsidR="00B213FE">
              <w:rPr>
                <w:noProof/>
                <w:webHidden/>
              </w:rPr>
              <w:fldChar w:fldCharType="begin"/>
            </w:r>
            <w:r w:rsidR="00B213FE">
              <w:rPr>
                <w:noProof/>
                <w:webHidden/>
              </w:rPr>
              <w:instrText xml:space="preserve"> PAGEREF _Toc396729330 \h </w:instrText>
            </w:r>
            <w:r w:rsidR="00B213FE">
              <w:rPr>
                <w:noProof/>
                <w:webHidden/>
              </w:rPr>
            </w:r>
            <w:r w:rsidR="00B213FE">
              <w:rPr>
                <w:noProof/>
                <w:webHidden/>
              </w:rPr>
              <w:fldChar w:fldCharType="separate"/>
            </w:r>
            <w:r w:rsidR="00B213FE">
              <w:rPr>
                <w:noProof/>
                <w:webHidden/>
              </w:rPr>
              <w:t>5</w:t>
            </w:r>
            <w:r w:rsidR="00B213FE">
              <w:rPr>
                <w:noProof/>
                <w:webHidden/>
              </w:rPr>
              <w:fldChar w:fldCharType="end"/>
            </w:r>
          </w:hyperlink>
        </w:p>
        <w:p w:rsidR="00B213FE" w:rsidRDefault="00B213FE">
          <w:pPr>
            <w:pStyle w:val="TOC2"/>
            <w:tabs>
              <w:tab w:val="left" w:pos="1100"/>
            </w:tabs>
            <w:rPr>
              <w:rFonts w:asciiTheme="minorHAnsi" w:eastAsiaTheme="minorEastAsia" w:hAnsiTheme="minorHAnsi" w:cstheme="minorBidi"/>
              <w:b w:val="0"/>
              <w:noProof/>
              <w:sz w:val="22"/>
              <w:lang w:eastAsia="en-AU"/>
            </w:rPr>
          </w:pPr>
          <w:hyperlink w:anchor="_Toc396729331" w:history="1">
            <w:r w:rsidRPr="00250609">
              <w:rPr>
                <w:rStyle w:val="Hyperlink"/>
                <w:noProof/>
                <w:lang w:eastAsia="en-AU"/>
              </w:rPr>
              <w:t>1.</w:t>
            </w:r>
            <w:r>
              <w:rPr>
                <w:rFonts w:asciiTheme="minorHAnsi" w:eastAsiaTheme="minorEastAsia" w:hAnsiTheme="minorHAnsi" w:cstheme="minorBidi"/>
                <w:b w:val="0"/>
                <w:noProof/>
                <w:sz w:val="22"/>
                <w:lang w:eastAsia="en-AU"/>
              </w:rPr>
              <w:tab/>
            </w:r>
            <w:r w:rsidRPr="00250609">
              <w:rPr>
                <w:rStyle w:val="Hyperlink"/>
                <w:noProof/>
                <w:lang w:eastAsia="en-AU"/>
              </w:rPr>
              <w:t>Clinical rationale</w:t>
            </w:r>
            <w:r>
              <w:rPr>
                <w:noProof/>
                <w:webHidden/>
              </w:rPr>
              <w:tab/>
            </w:r>
            <w:r>
              <w:rPr>
                <w:noProof/>
                <w:webHidden/>
              </w:rPr>
              <w:fldChar w:fldCharType="begin"/>
            </w:r>
            <w:r>
              <w:rPr>
                <w:noProof/>
                <w:webHidden/>
              </w:rPr>
              <w:instrText xml:space="preserve"> PAGEREF _Toc396729331 \h </w:instrText>
            </w:r>
            <w:r>
              <w:rPr>
                <w:noProof/>
                <w:webHidden/>
              </w:rPr>
            </w:r>
            <w:r>
              <w:rPr>
                <w:noProof/>
                <w:webHidden/>
              </w:rPr>
              <w:fldChar w:fldCharType="separate"/>
            </w:r>
            <w:r>
              <w:rPr>
                <w:noProof/>
                <w:webHidden/>
              </w:rPr>
              <w:t>7</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32" w:history="1">
            <w:r w:rsidRPr="00250609">
              <w:rPr>
                <w:rStyle w:val="Hyperlink"/>
                <w:noProof/>
              </w:rPr>
              <w:t>1.1.</w:t>
            </w:r>
            <w:r>
              <w:rPr>
                <w:rFonts w:asciiTheme="minorHAnsi" w:eastAsiaTheme="minorEastAsia" w:hAnsiTheme="minorHAnsi" w:cstheme="minorBidi"/>
                <w:noProof/>
                <w:lang w:eastAsia="en-AU"/>
              </w:rPr>
              <w:tab/>
            </w:r>
            <w:r w:rsidRPr="00250609">
              <w:rPr>
                <w:rStyle w:val="Hyperlink"/>
                <w:noProof/>
              </w:rPr>
              <w:t>Guidance</w:t>
            </w:r>
            <w:r>
              <w:rPr>
                <w:noProof/>
                <w:webHidden/>
              </w:rPr>
              <w:tab/>
            </w:r>
            <w:r>
              <w:rPr>
                <w:noProof/>
                <w:webHidden/>
              </w:rPr>
              <w:fldChar w:fldCharType="begin"/>
            </w:r>
            <w:r>
              <w:rPr>
                <w:noProof/>
                <w:webHidden/>
              </w:rPr>
              <w:instrText xml:space="preserve"> PAGEREF _Toc396729332 \h </w:instrText>
            </w:r>
            <w:r>
              <w:rPr>
                <w:noProof/>
                <w:webHidden/>
              </w:rPr>
            </w:r>
            <w:r>
              <w:rPr>
                <w:noProof/>
                <w:webHidden/>
              </w:rPr>
              <w:fldChar w:fldCharType="separate"/>
            </w:r>
            <w:r>
              <w:rPr>
                <w:noProof/>
                <w:webHidden/>
              </w:rPr>
              <w:t>7</w:t>
            </w:r>
            <w:r>
              <w:rPr>
                <w:noProof/>
                <w:webHidden/>
              </w:rPr>
              <w:fldChar w:fldCharType="end"/>
            </w:r>
          </w:hyperlink>
        </w:p>
        <w:p w:rsidR="00B213FE" w:rsidRDefault="00B213FE">
          <w:pPr>
            <w:pStyle w:val="TOC2"/>
            <w:tabs>
              <w:tab w:val="left" w:pos="1100"/>
            </w:tabs>
            <w:rPr>
              <w:rFonts w:asciiTheme="minorHAnsi" w:eastAsiaTheme="minorEastAsia" w:hAnsiTheme="minorHAnsi" w:cstheme="minorBidi"/>
              <w:b w:val="0"/>
              <w:noProof/>
              <w:sz w:val="22"/>
              <w:lang w:eastAsia="en-AU"/>
            </w:rPr>
          </w:pPr>
          <w:hyperlink w:anchor="_Toc396729333" w:history="1">
            <w:r w:rsidRPr="00250609">
              <w:rPr>
                <w:rStyle w:val="Hyperlink"/>
                <w:noProof/>
                <w:lang w:eastAsia="en-AU"/>
              </w:rPr>
              <w:t>2.</w:t>
            </w:r>
            <w:r>
              <w:rPr>
                <w:rFonts w:asciiTheme="minorHAnsi" w:eastAsiaTheme="minorEastAsia" w:hAnsiTheme="minorHAnsi" w:cstheme="minorBidi"/>
                <w:b w:val="0"/>
                <w:noProof/>
                <w:sz w:val="22"/>
                <w:lang w:eastAsia="en-AU"/>
              </w:rPr>
              <w:tab/>
            </w:r>
            <w:r w:rsidRPr="00250609">
              <w:rPr>
                <w:rStyle w:val="Hyperlink"/>
                <w:noProof/>
                <w:lang w:eastAsia="en-AU"/>
              </w:rPr>
              <w:t xml:space="preserve">Contents of </w:t>
            </w:r>
            <w:r w:rsidRPr="00250609">
              <w:rPr>
                <w:rStyle w:val="Hyperlink"/>
                <w:noProof/>
              </w:rPr>
              <w:t>the</w:t>
            </w:r>
            <w:r w:rsidRPr="00250609">
              <w:rPr>
                <w:rStyle w:val="Hyperlink"/>
                <w:noProof/>
                <w:lang w:eastAsia="en-AU"/>
              </w:rPr>
              <w:t xml:space="preserve"> clinical dossier</w:t>
            </w:r>
            <w:r>
              <w:rPr>
                <w:noProof/>
                <w:webHidden/>
              </w:rPr>
              <w:tab/>
            </w:r>
            <w:r>
              <w:rPr>
                <w:noProof/>
                <w:webHidden/>
              </w:rPr>
              <w:fldChar w:fldCharType="begin"/>
            </w:r>
            <w:r>
              <w:rPr>
                <w:noProof/>
                <w:webHidden/>
              </w:rPr>
              <w:instrText xml:space="preserve"> PAGEREF _Toc396729333 \h </w:instrText>
            </w:r>
            <w:r>
              <w:rPr>
                <w:noProof/>
                <w:webHidden/>
              </w:rPr>
            </w:r>
            <w:r>
              <w:rPr>
                <w:noProof/>
                <w:webHidden/>
              </w:rPr>
              <w:fldChar w:fldCharType="separate"/>
            </w:r>
            <w:r>
              <w:rPr>
                <w:noProof/>
                <w:webHidden/>
              </w:rPr>
              <w:t>8</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34" w:history="1">
            <w:r w:rsidRPr="00250609">
              <w:rPr>
                <w:rStyle w:val="Hyperlink"/>
                <w:noProof/>
              </w:rPr>
              <w:t>2.1.</w:t>
            </w:r>
            <w:r>
              <w:rPr>
                <w:rFonts w:asciiTheme="minorHAnsi" w:eastAsiaTheme="minorEastAsia" w:hAnsiTheme="minorHAnsi" w:cstheme="minorBidi"/>
                <w:noProof/>
                <w:lang w:eastAsia="en-AU"/>
              </w:rPr>
              <w:tab/>
            </w:r>
            <w:r w:rsidRPr="00250609">
              <w:rPr>
                <w:rStyle w:val="Hyperlink"/>
                <w:noProof/>
              </w:rPr>
              <w:t>Scope of the clinical dossier</w:t>
            </w:r>
            <w:r>
              <w:rPr>
                <w:noProof/>
                <w:webHidden/>
              </w:rPr>
              <w:tab/>
            </w:r>
            <w:r>
              <w:rPr>
                <w:noProof/>
                <w:webHidden/>
              </w:rPr>
              <w:fldChar w:fldCharType="begin"/>
            </w:r>
            <w:r>
              <w:rPr>
                <w:noProof/>
                <w:webHidden/>
              </w:rPr>
              <w:instrText xml:space="preserve"> PAGEREF _Toc396729334 \h </w:instrText>
            </w:r>
            <w:r>
              <w:rPr>
                <w:noProof/>
                <w:webHidden/>
              </w:rPr>
            </w:r>
            <w:r>
              <w:rPr>
                <w:noProof/>
                <w:webHidden/>
              </w:rPr>
              <w:fldChar w:fldCharType="separate"/>
            </w:r>
            <w:r>
              <w:rPr>
                <w:noProof/>
                <w:webHidden/>
              </w:rPr>
              <w:t>8</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35" w:history="1">
            <w:r w:rsidRPr="00250609">
              <w:rPr>
                <w:rStyle w:val="Hyperlink"/>
                <w:noProof/>
              </w:rPr>
              <w:t>2.2.</w:t>
            </w:r>
            <w:r>
              <w:rPr>
                <w:rFonts w:asciiTheme="minorHAnsi" w:eastAsiaTheme="minorEastAsia" w:hAnsiTheme="minorHAnsi" w:cstheme="minorBidi"/>
                <w:noProof/>
                <w:lang w:eastAsia="en-AU"/>
              </w:rPr>
              <w:tab/>
            </w:r>
            <w:r w:rsidRPr="00250609">
              <w:rPr>
                <w:rStyle w:val="Hyperlink"/>
                <w:noProof/>
              </w:rPr>
              <w:t>Paediatric data</w:t>
            </w:r>
            <w:r>
              <w:rPr>
                <w:noProof/>
                <w:webHidden/>
              </w:rPr>
              <w:tab/>
            </w:r>
            <w:r>
              <w:rPr>
                <w:noProof/>
                <w:webHidden/>
              </w:rPr>
              <w:fldChar w:fldCharType="begin"/>
            </w:r>
            <w:r>
              <w:rPr>
                <w:noProof/>
                <w:webHidden/>
              </w:rPr>
              <w:instrText xml:space="preserve"> PAGEREF _Toc396729335 \h </w:instrText>
            </w:r>
            <w:r>
              <w:rPr>
                <w:noProof/>
                <w:webHidden/>
              </w:rPr>
            </w:r>
            <w:r>
              <w:rPr>
                <w:noProof/>
                <w:webHidden/>
              </w:rPr>
              <w:fldChar w:fldCharType="separate"/>
            </w:r>
            <w:r>
              <w:rPr>
                <w:noProof/>
                <w:webHidden/>
              </w:rPr>
              <w:t>8</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36" w:history="1">
            <w:r w:rsidRPr="00250609">
              <w:rPr>
                <w:rStyle w:val="Hyperlink"/>
                <w:noProof/>
              </w:rPr>
              <w:t>2.3.</w:t>
            </w:r>
            <w:r>
              <w:rPr>
                <w:rFonts w:asciiTheme="minorHAnsi" w:eastAsiaTheme="minorEastAsia" w:hAnsiTheme="minorHAnsi" w:cstheme="minorBidi"/>
                <w:noProof/>
                <w:lang w:eastAsia="en-AU"/>
              </w:rPr>
              <w:tab/>
            </w:r>
            <w:r w:rsidRPr="00250609">
              <w:rPr>
                <w:rStyle w:val="Hyperlink"/>
                <w:noProof/>
              </w:rPr>
              <w:t>Good clinical practice</w:t>
            </w:r>
            <w:r>
              <w:rPr>
                <w:noProof/>
                <w:webHidden/>
              </w:rPr>
              <w:tab/>
            </w:r>
            <w:r>
              <w:rPr>
                <w:noProof/>
                <w:webHidden/>
              </w:rPr>
              <w:fldChar w:fldCharType="begin"/>
            </w:r>
            <w:r>
              <w:rPr>
                <w:noProof/>
                <w:webHidden/>
              </w:rPr>
              <w:instrText xml:space="preserve"> PAGEREF _Toc396729336 \h </w:instrText>
            </w:r>
            <w:r>
              <w:rPr>
                <w:noProof/>
                <w:webHidden/>
              </w:rPr>
            </w:r>
            <w:r>
              <w:rPr>
                <w:noProof/>
                <w:webHidden/>
              </w:rPr>
              <w:fldChar w:fldCharType="separate"/>
            </w:r>
            <w:r>
              <w:rPr>
                <w:noProof/>
                <w:webHidden/>
              </w:rPr>
              <w:t>8</w:t>
            </w:r>
            <w:r>
              <w:rPr>
                <w:noProof/>
                <w:webHidden/>
              </w:rPr>
              <w:fldChar w:fldCharType="end"/>
            </w:r>
          </w:hyperlink>
        </w:p>
        <w:p w:rsidR="00B213FE" w:rsidRDefault="00B213FE">
          <w:pPr>
            <w:pStyle w:val="TOC2"/>
            <w:tabs>
              <w:tab w:val="left" w:pos="1100"/>
            </w:tabs>
            <w:rPr>
              <w:rFonts w:asciiTheme="minorHAnsi" w:eastAsiaTheme="minorEastAsia" w:hAnsiTheme="minorHAnsi" w:cstheme="minorBidi"/>
              <w:b w:val="0"/>
              <w:noProof/>
              <w:sz w:val="22"/>
              <w:lang w:eastAsia="en-AU"/>
            </w:rPr>
          </w:pPr>
          <w:hyperlink w:anchor="_Toc396729337" w:history="1">
            <w:r w:rsidRPr="00250609">
              <w:rPr>
                <w:rStyle w:val="Hyperlink"/>
                <w:noProof/>
              </w:rPr>
              <w:t>3.</w:t>
            </w:r>
            <w:r>
              <w:rPr>
                <w:rFonts w:asciiTheme="minorHAnsi" w:eastAsiaTheme="minorEastAsia" w:hAnsiTheme="minorHAnsi" w:cstheme="minorBidi"/>
                <w:b w:val="0"/>
                <w:noProof/>
                <w:sz w:val="22"/>
                <w:lang w:eastAsia="en-AU"/>
              </w:rPr>
              <w:tab/>
            </w:r>
            <w:r w:rsidRPr="00250609">
              <w:rPr>
                <w:rStyle w:val="Hyperlink"/>
                <w:noProof/>
              </w:rPr>
              <w:t>Pharmacokinetics</w:t>
            </w:r>
            <w:r>
              <w:rPr>
                <w:noProof/>
                <w:webHidden/>
              </w:rPr>
              <w:tab/>
            </w:r>
            <w:r>
              <w:rPr>
                <w:noProof/>
                <w:webHidden/>
              </w:rPr>
              <w:fldChar w:fldCharType="begin"/>
            </w:r>
            <w:r>
              <w:rPr>
                <w:noProof/>
                <w:webHidden/>
              </w:rPr>
              <w:instrText xml:space="preserve"> PAGEREF _Toc396729337 \h </w:instrText>
            </w:r>
            <w:r>
              <w:rPr>
                <w:noProof/>
                <w:webHidden/>
              </w:rPr>
            </w:r>
            <w:r>
              <w:rPr>
                <w:noProof/>
                <w:webHidden/>
              </w:rPr>
              <w:fldChar w:fldCharType="separate"/>
            </w:r>
            <w:r>
              <w:rPr>
                <w:noProof/>
                <w:webHidden/>
              </w:rPr>
              <w:t>8</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38" w:history="1">
            <w:r w:rsidRPr="00250609">
              <w:rPr>
                <w:rStyle w:val="Hyperlink"/>
                <w:noProof/>
              </w:rPr>
              <w:t>3.1.</w:t>
            </w:r>
            <w:r>
              <w:rPr>
                <w:rFonts w:asciiTheme="minorHAnsi" w:eastAsiaTheme="minorEastAsia" w:hAnsiTheme="minorHAnsi" w:cstheme="minorBidi"/>
                <w:noProof/>
                <w:lang w:eastAsia="en-AU"/>
              </w:rPr>
              <w:tab/>
            </w:r>
            <w:r w:rsidRPr="00250609">
              <w:rPr>
                <w:rStyle w:val="Hyperlink"/>
                <w:noProof/>
              </w:rPr>
              <w:t>Studies providing pharmacokinetic data</w:t>
            </w:r>
            <w:r>
              <w:rPr>
                <w:noProof/>
                <w:webHidden/>
              </w:rPr>
              <w:tab/>
            </w:r>
            <w:r>
              <w:rPr>
                <w:noProof/>
                <w:webHidden/>
              </w:rPr>
              <w:fldChar w:fldCharType="begin"/>
            </w:r>
            <w:r>
              <w:rPr>
                <w:noProof/>
                <w:webHidden/>
              </w:rPr>
              <w:instrText xml:space="preserve"> PAGEREF _Toc396729338 \h </w:instrText>
            </w:r>
            <w:r>
              <w:rPr>
                <w:noProof/>
                <w:webHidden/>
              </w:rPr>
            </w:r>
            <w:r>
              <w:rPr>
                <w:noProof/>
                <w:webHidden/>
              </w:rPr>
              <w:fldChar w:fldCharType="separate"/>
            </w:r>
            <w:r>
              <w:rPr>
                <w:noProof/>
                <w:webHidden/>
              </w:rPr>
              <w:t>8</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39" w:history="1">
            <w:r w:rsidRPr="00250609">
              <w:rPr>
                <w:rStyle w:val="Hyperlink"/>
                <w:noProof/>
              </w:rPr>
              <w:t>3.2.</w:t>
            </w:r>
            <w:r>
              <w:rPr>
                <w:rFonts w:asciiTheme="minorHAnsi" w:eastAsiaTheme="minorEastAsia" w:hAnsiTheme="minorHAnsi" w:cstheme="minorBidi"/>
                <w:noProof/>
                <w:lang w:eastAsia="en-AU"/>
              </w:rPr>
              <w:tab/>
            </w:r>
            <w:r w:rsidRPr="00250609">
              <w:rPr>
                <w:rStyle w:val="Hyperlink"/>
                <w:noProof/>
              </w:rPr>
              <w:t>Summary of pharmacokinetics</w:t>
            </w:r>
            <w:r>
              <w:rPr>
                <w:noProof/>
                <w:webHidden/>
              </w:rPr>
              <w:tab/>
            </w:r>
            <w:r>
              <w:rPr>
                <w:noProof/>
                <w:webHidden/>
              </w:rPr>
              <w:fldChar w:fldCharType="begin"/>
            </w:r>
            <w:r>
              <w:rPr>
                <w:noProof/>
                <w:webHidden/>
              </w:rPr>
              <w:instrText xml:space="preserve"> PAGEREF _Toc396729339 \h </w:instrText>
            </w:r>
            <w:r>
              <w:rPr>
                <w:noProof/>
                <w:webHidden/>
              </w:rPr>
            </w:r>
            <w:r>
              <w:rPr>
                <w:noProof/>
                <w:webHidden/>
              </w:rPr>
              <w:fldChar w:fldCharType="separate"/>
            </w:r>
            <w:r>
              <w:rPr>
                <w:noProof/>
                <w:webHidden/>
              </w:rPr>
              <w:t>9</w:t>
            </w:r>
            <w:r>
              <w:rPr>
                <w:noProof/>
                <w:webHidden/>
              </w:rPr>
              <w:fldChar w:fldCharType="end"/>
            </w:r>
          </w:hyperlink>
        </w:p>
        <w:p w:rsidR="00B213FE" w:rsidRDefault="00B213FE">
          <w:pPr>
            <w:pStyle w:val="TOC2"/>
            <w:tabs>
              <w:tab w:val="left" w:pos="1100"/>
            </w:tabs>
            <w:rPr>
              <w:rFonts w:asciiTheme="minorHAnsi" w:eastAsiaTheme="minorEastAsia" w:hAnsiTheme="minorHAnsi" w:cstheme="minorBidi"/>
              <w:b w:val="0"/>
              <w:noProof/>
              <w:sz w:val="22"/>
              <w:lang w:eastAsia="en-AU"/>
            </w:rPr>
          </w:pPr>
          <w:hyperlink w:anchor="_Toc396729340" w:history="1">
            <w:r w:rsidRPr="00250609">
              <w:rPr>
                <w:rStyle w:val="Hyperlink"/>
                <w:noProof/>
              </w:rPr>
              <w:t>4.</w:t>
            </w:r>
            <w:r>
              <w:rPr>
                <w:rFonts w:asciiTheme="minorHAnsi" w:eastAsiaTheme="minorEastAsia" w:hAnsiTheme="minorHAnsi" w:cstheme="minorBidi"/>
                <w:b w:val="0"/>
                <w:noProof/>
                <w:sz w:val="22"/>
                <w:lang w:eastAsia="en-AU"/>
              </w:rPr>
              <w:tab/>
            </w:r>
            <w:r w:rsidRPr="00250609">
              <w:rPr>
                <w:rStyle w:val="Hyperlink"/>
                <w:noProof/>
              </w:rPr>
              <w:t>Pharmacodynamics</w:t>
            </w:r>
            <w:r>
              <w:rPr>
                <w:noProof/>
                <w:webHidden/>
              </w:rPr>
              <w:tab/>
            </w:r>
            <w:r>
              <w:rPr>
                <w:noProof/>
                <w:webHidden/>
              </w:rPr>
              <w:fldChar w:fldCharType="begin"/>
            </w:r>
            <w:r>
              <w:rPr>
                <w:noProof/>
                <w:webHidden/>
              </w:rPr>
              <w:instrText xml:space="preserve"> PAGEREF _Toc396729340 \h </w:instrText>
            </w:r>
            <w:r>
              <w:rPr>
                <w:noProof/>
                <w:webHidden/>
              </w:rPr>
            </w:r>
            <w:r>
              <w:rPr>
                <w:noProof/>
                <w:webHidden/>
              </w:rPr>
              <w:fldChar w:fldCharType="separate"/>
            </w:r>
            <w:r>
              <w:rPr>
                <w:noProof/>
                <w:webHidden/>
              </w:rPr>
              <w:t>10</w:t>
            </w:r>
            <w:r>
              <w:rPr>
                <w:noProof/>
                <w:webHidden/>
              </w:rPr>
              <w:fldChar w:fldCharType="end"/>
            </w:r>
          </w:hyperlink>
        </w:p>
        <w:p w:rsidR="00B213FE" w:rsidRDefault="00B213FE">
          <w:pPr>
            <w:pStyle w:val="TOC2"/>
            <w:tabs>
              <w:tab w:val="left" w:pos="1100"/>
            </w:tabs>
            <w:rPr>
              <w:rFonts w:asciiTheme="minorHAnsi" w:eastAsiaTheme="minorEastAsia" w:hAnsiTheme="minorHAnsi" w:cstheme="minorBidi"/>
              <w:b w:val="0"/>
              <w:noProof/>
              <w:sz w:val="22"/>
              <w:lang w:eastAsia="en-AU"/>
            </w:rPr>
          </w:pPr>
          <w:hyperlink w:anchor="_Toc396729341" w:history="1">
            <w:r w:rsidRPr="00250609">
              <w:rPr>
                <w:rStyle w:val="Hyperlink"/>
                <w:noProof/>
              </w:rPr>
              <w:t>5.</w:t>
            </w:r>
            <w:r>
              <w:rPr>
                <w:rFonts w:asciiTheme="minorHAnsi" w:eastAsiaTheme="minorEastAsia" w:hAnsiTheme="minorHAnsi" w:cstheme="minorBidi"/>
                <w:b w:val="0"/>
                <w:noProof/>
                <w:sz w:val="22"/>
                <w:lang w:eastAsia="en-AU"/>
              </w:rPr>
              <w:tab/>
            </w:r>
            <w:r w:rsidRPr="00250609">
              <w:rPr>
                <w:rStyle w:val="Hyperlink"/>
                <w:noProof/>
              </w:rPr>
              <w:t>Dosage selection for the pivotal studies</w:t>
            </w:r>
            <w:r>
              <w:rPr>
                <w:noProof/>
                <w:webHidden/>
              </w:rPr>
              <w:tab/>
            </w:r>
            <w:r>
              <w:rPr>
                <w:noProof/>
                <w:webHidden/>
              </w:rPr>
              <w:fldChar w:fldCharType="begin"/>
            </w:r>
            <w:r>
              <w:rPr>
                <w:noProof/>
                <w:webHidden/>
              </w:rPr>
              <w:instrText xml:space="preserve"> PAGEREF _Toc396729341 \h </w:instrText>
            </w:r>
            <w:r>
              <w:rPr>
                <w:noProof/>
                <w:webHidden/>
              </w:rPr>
            </w:r>
            <w:r>
              <w:rPr>
                <w:noProof/>
                <w:webHidden/>
              </w:rPr>
              <w:fldChar w:fldCharType="separate"/>
            </w:r>
            <w:r>
              <w:rPr>
                <w:noProof/>
                <w:webHidden/>
              </w:rPr>
              <w:t>10</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42" w:history="1">
            <w:r w:rsidRPr="00250609">
              <w:rPr>
                <w:rStyle w:val="Hyperlink"/>
                <w:noProof/>
              </w:rPr>
              <w:t>5.1.</w:t>
            </w:r>
            <w:r>
              <w:rPr>
                <w:rFonts w:asciiTheme="minorHAnsi" w:eastAsiaTheme="minorEastAsia" w:hAnsiTheme="minorHAnsi" w:cstheme="minorBidi"/>
                <w:noProof/>
                <w:lang w:eastAsia="en-AU"/>
              </w:rPr>
              <w:tab/>
            </w:r>
            <w:r w:rsidRPr="00250609">
              <w:rPr>
                <w:rStyle w:val="Hyperlink"/>
                <w:noProof/>
              </w:rPr>
              <w:t>Studies providing pharmacodynamic data</w:t>
            </w:r>
            <w:r>
              <w:rPr>
                <w:noProof/>
                <w:webHidden/>
              </w:rPr>
              <w:tab/>
            </w:r>
            <w:r>
              <w:rPr>
                <w:noProof/>
                <w:webHidden/>
              </w:rPr>
              <w:fldChar w:fldCharType="begin"/>
            </w:r>
            <w:r>
              <w:rPr>
                <w:noProof/>
                <w:webHidden/>
              </w:rPr>
              <w:instrText xml:space="preserve"> PAGEREF _Toc396729342 \h </w:instrText>
            </w:r>
            <w:r>
              <w:rPr>
                <w:noProof/>
                <w:webHidden/>
              </w:rPr>
            </w:r>
            <w:r>
              <w:rPr>
                <w:noProof/>
                <w:webHidden/>
              </w:rPr>
              <w:fldChar w:fldCharType="separate"/>
            </w:r>
            <w:r>
              <w:rPr>
                <w:noProof/>
                <w:webHidden/>
              </w:rPr>
              <w:t>10</w:t>
            </w:r>
            <w:r>
              <w:rPr>
                <w:noProof/>
                <w:webHidden/>
              </w:rPr>
              <w:fldChar w:fldCharType="end"/>
            </w:r>
          </w:hyperlink>
        </w:p>
        <w:p w:rsidR="00B213FE" w:rsidRDefault="00B213FE">
          <w:pPr>
            <w:pStyle w:val="TOC2"/>
            <w:tabs>
              <w:tab w:val="left" w:pos="1100"/>
            </w:tabs>
            <w:rPr>
              <w:rFonts w:asciiTheme="minorHAnsi" w:eastAsiaTheme="minorEastAsia" w:hAnsiTheme="minorHAnsi" w:cstheme="minorBidi"/>
              <w:b w:val="0"/>
              <w:noProof/>
              <w:sz w:val="22"/>
              <w:lang w:eastAsia="en-AU"/>
            </w:rPr>
          </w:pPr>
          <w:hyperlink w:anchor="_Toc396729343" w:history="1">
            <w:r w:rsidRPr="00250609">
              <w:rPr>
                <w:rStyle w:val="Hyperlink"/>
                <w:noProof/>
              </w:rPr>
              <w:t>6.</w:t>
            </w:r>
            <w:r>
              <w:rPr>
                <w:rFonts w:asciiTheme="minorHAnsi" w:eastAsiaTheme="minorEastAsia" w:hAnsiTheme="minorHAnsi" w:cstheme="minorBidi"/>
                <w:b w:val="0"/>
                <w:noProof/>
                <w:sz w:val="22"/>
                <w:lang w:eastAsia="en-AU"/>
              </w:rPr>
              <w:tab/>
            </w:r>
            <w:r w:rsidRPr="00250609">
              <w:rPr>
                <w:rStyle w:val="Hyperlink"/>
                <w:noProof/>
              </w:rPr>
              <w:t>Clinical efficacy</w:t>
            </w:r>
            <w:r>
              <w:rPr>
                <w:noProof/>
                <w:webHidden/>
              </w:rPr>
              <w:tab/>
            </w:r>
            <w:r>
              <w:rPr>
                <w:noProof/>
                <w:webHidden/>
              </w:rPr>
              <w:fldChar w:fldCharType="begin"/>
            </w:r>
            <w:r>
              <w:rPr>
                <w:noProof/>
                <w:webHidden/>
              </w:rPr>
              <w:instrText xml:space="preserve"> PAGEREF _Toc396729343 \h </w:instrText>
            </w:r>
            <w:r>
              <w:rPr>
                <w:noProof/>
                <w:webHidden/>
              </w:rPr>
            </w:r>
            <w:r>
              <w:rPr>
                <w:noProof/>
                <w:webHidden/>
              </w:rPr>
              <w:fldChar w:fldCharType="separate"/>
            </w:r>
            <w:r>
              <w:rPr>
                <w:noProof/>
                <w:webHidden/>
              </w:rPr>
              <w:t>10</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44" w:history="1">
            <w:r w:rsidRPr="00250609">
              <w:rPr>
                <w:rStyle w:val="Hyperlink"/>
                <w:noProof/>
              </w:rPr>
              <w:t>6.1.</w:t>
            </w:r>
            <w:r>
              <w:rPr>
                <w:rFonts w:asciiTheme="minorHAnsi" w:eastAsiaTheme="minorEastAsia" w:hAnsiTheme="minorHAnsi" w:cstheme="minorBidi"/>
                <w:noProof/>
                <w:lang w:eastAsia="en-AU"/>
              </w:rPr>
              <w:tab/>
            </w:r>
            <w:r w:rsidRPr="00250609">
              <w:rPr>
                <w:rStyle w:val="Hyperlink"/>
                <w:noProof/>
              </w:rPr>
              <w:t>Pivotal efficacy study</w:t>
            </w:r>
            <w:r>
              <w:rPr>
                <w:noProof/>
                <w:webHidden/>
              </w:rPr>
              <w:tab/>
            </w:r>
            <w:r>
              <w:rPr>
                <w:noProof/>
                <w:webHidden/>
              </w:rPr>
              <w:fldChar w:fldCharType="begin"/>
            </w:r>
            <w:r>
              <w:rPr>
                <w:noProof/>
                <w:webHidden/>
              </w:rPr>
              <w:instrText xml:space="preserve"> PAGEREF _Toc396729344 \h </w:instrText>
            </w:r>
            <w:r>
              <w:rPr>
                <w:noProof/>
                <w:webHidden/>
              </w:rPr>
            </w:r>
            <w:r>
              <w:rPr>
                <w:noProof/>
                <w:webHidden/>
              </w:rPr>
              <w:fldChar w:fldCharType="separate"/>
            </w:r>
            <w:r>
              <w:rPr>
                <w:noProof/>
                <w:webHidden/>
              </w:rPr>
              <w:t>10</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45" w:history="1">
            <w:r w:rsidRPr="00250609">
              <w:rPr>
                <w:rStyle w:val="Hyperlink"/>
                <w:noProof/>
              </w:rPr>
              <w:t>6.2.</w:t>
            </w:r>
            <w:r>
              <w:rPr>
                <w:rFonts w:asciiTheme="minorHAnsi" w:eastAsiaTheme="minorEastAsia" w:hAnsiTheme="minorHAnsi" w:cstheme="minorBidi"/>
                <w:noProof/>
                <w:lang w:eastAsia="en-AU"/>
              </w:rPr>
              <w:tab/>
            </w:r>
            <w:r w:rsidRPr="00250609">
              <w:rPr>
                <w:rStyle w:val="Hyperlink"/>
                <w:noProof/>
              </w:rPr>
              <w:t>Other efficacy studies</w:t>
            </w:r>
            <w:r>
              <w:rPr>
                <w:noProof/>
                <w:webHidden/>
              </w:rPr>
              <w:tab/>
            </w:r>
            <w:r>
              <w:rPr>
                <w:noProof/>
                <w:webHidden/>
              </w:rPr>
              <w:fldChar w:fldCharType="begin"/>
            </w:r>
            <w:r>
              <w:rPr>
                <w:noProof/>
                <w:webHidden/>
              </w:rPr>
              <w:instrText xml:space="preserve"> PAGEREF _Toc396729345 \h </w:instrText>
            </w:r>
            <w:r>
              <w:rPr>
                <w:noProof/>
                <w:webHidden/>
              </w:rPr>
            </w:r>
            <w:r>
              <w:rPr>
                <w:noProof/>
                <w:webHidden/>
              </w:rPr>
              <w:fldChar w:fldCharType="separate"/>
            </w:r>
            <w:r>
              <w:rPr>
                <w:noProof/>
                <w:webHidden/>
              </w:rPr>
              <w:t>24</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46" w:history="1">
            <w:r w:rsidRPr="00250609">
              <w:rPr>
                <w:rStyle w:val="Hyperlink"/>
                <w:noProof/>
              </w:rPr>
              <w:t>6.3.</w:t>
            </w:r>
            <w:r>
              <w:rPr>
                <w:rFonts w:asciiTheme="minorHAnsi" w:eastAsiaTheme="minorEastAsia" w:hAnsiTheme="minorHAnsi" w:cstheme="minorBidi"/>
                <w:noProof/>
                <w:lang w:eastAsia="en-AU"/>
              </w:rPr>
              <w:tab/>
            </w:r>
            <w:r w:rsidRPr="00250609">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_Toc396729346 \h </w:instrText>
            </w:r>
            <w:r>
              <w:rPr>
                <w:noProof/>
                <w:webHidden/>
              </w:rPr>
            </w:r>
            <w:r>
              <w:rPr>
                <w:noProof/>
                <w:webHidden/>
              </w:rPr>
              <w:fldChar w:fldCharType="separate"/>
            </w:r>
            <w:r>
              <w:rPr>
                <w:noProof/>
                <w:webHidden/>
              </w:rPr>
              <w:t>25</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47" w:history="1">
            <w:r w:rsidRPr="00250609">
              <w:rPr>
                <w:rStyle w:val="Hyperlink"/>
                <w:noProof/>
              </w:rPr>
              <w:t>6.4.</w:t>
            </w:r>
            <w:r>
              <w:rPr>
                <w:rFonts w:asciiTheme="minorHAnsi" w:eastAsiaTheme="minorEastAsia" w:hAnsiTheme="minorHAnsi" w:cstheme="minorBidi"/>
                <w:noProof/>
                <w:lang w:eastAsia="en-AU"/>
              </w:rPr>
              <w:tab/>
            </w:r>
            <w:r w:rsidRPr="00250609">
              <w:rPr>
                <w:rStyle w:val="Hyperlink"/>
                <w:noProof/>
              </w:rPr>
              <w:t>Evaluator’s conclusions on clinical efficacy</w:t>
            </w:r>
            <w:r>
              <w:rPr>
                <w:noProof/>
                <w:webHidden/>
              </w:rPr>
              <w:tab/>
            </w:r>
            <w:r>
              <w:rPr>
                <w:noProof/>
                <w:webHidden/>
              </w:rPr>
              <w:fldChar w:fldCharType="begin"/>
            </w:r>
            <w:r>
              <w:rPr>
                <w:noProof/>
                <w:webHidden/>
              </w:rPr>
              <w:instrText xml:space="preserve"> PAGEREF _Toc396729347 \h </w:instrText>
            </w:r>
            <w:r>
              <w:rPr>
                <w:noProof/>
                <w:webHidden/>
              </w:rPr>
            </w:r>
            <w:r>
              <w:rPr>
                <w:noProof/>
                <w:webHidden/>
              </w:rPr>
              <w:fldChar w:fldCharType="separate"/>
            </w:r>
            <w:r>
              <w:rPr>
                <w:noProof/>
                <w:webHidden/>
              </w:rPr>
              <w:t>25</w:t>
            </w:r>
            <w:r>
              <w:rPr>
                <w:noProof/>
                <w:webHidden/>
              </w:rPr>
              <w:fldChar w:fldCharType="end"/>
            </w:r>
          </w:hyperlink>
        </w:p>
        <w:p w:rsidR="00B213FE" w:rsidRDefault="00B213FE">
          <w:pPr>
            <w:pStyle w:val="TOC2"/>
            <w:tabs>
              <w:tab w:val="left" w:pos="1100"/>
            </w:tabs>
            <w:rPr>
              <w:rFonts w:asciiTheme="minorHAnsi" w:eastAsiaTheme="minorEastAsia" w:hAnsiTheme="minorHAnsi" w:cstheme="minorBidi"/>
              <w:b w:val="0"/>
              <w:noProof/>
              <w:sz w:val="22"/>
              <w:lang w:eastAsia="en-AU"/>
            </w:rPr>
          </w:pPr>
          <w:hyperlink w:anchor="_Toc396729348" w:history="1">
            <w:r w:rsidRPr="00250609">
              <w:rPr>
                <w:rStyle w:val="Hyperlink"/>
                <w:noProof/>
              </w:rPr>
              <w:t>7.</w:t>
            </w:r>
            <w:r>
              <w:rPr>
                <w:rFonts w:asciiTheme="minorHAnsi" w:eastAsiaTheme="minorEastAsia" w:hAnsiTheme="minorHAnsi" w:cstheme="minorBidi"/>
                <w:b w:val="0"/>
                <w:noProof/>
                <w:sz w:val="22"/>
                <w:lang w:eastAsia="en-AU"/>
              </w:rPr>
              <w:tab/>
            </w:r>
            <w:r w:rsidRPr="00250609">
              <w:rPr>
                <w:rStyle w:val="Hyperlink"/>
                <w:noProof/>
              </w:rPr>
              <w:t>Clinical safety</w:t>
            </w:r>
            <w:r>
              <w:rPr>
                <w:noProof/>
                <w:webHidden/>
              </w:rPr>
              <w:tab/>
            </w:r>
            <w:r>
              <w:rPr>
                <w:noProof/>
                <w:webHidden/>
              </w:rPr>
              <w:fldChar w:fldCharType="begin"/>
            </w:r>
            <w:r>
              <w:rPr>
                <w:noProof/>
                <w:webHidden/>
              </w:rPr>
              <w:instrText xml:space="preserve"> PAGEREF _Toc396729348 \h </w:instrText>
            </w:r>
            <w:r>
              <w:rPr>
                <w:noProof/>
                <w:webHidden/>
              </w:rPr>
            </w:r>
            <w:r>
              <w:rPr>
                <w:noProof/>
                <w:webHidden/>
              </w:rPr>
              <w:fldChar w:fldCharType="separate"/>
            </w:r>
            <w:r>
              <w:rPr>
                <w:noProof/>
                <w:webHidden/>
              </w:rPr>
              <w:t>26</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49" w:history="1">
            <w:r w:rsidRPr="00250609">
              <w:rPr>
                <w:rStyle w:val="Hyperlink"/>
                <w:noProof/>
              </w:rPr>
              <w:t>7.1.</w:t>
            </w:r>
            <w:r>
              <w:rPr>
                <w:rFonts w:asciiTheme="minorHAnsi" w:eastAsiaTheme="minorEastAsia" w:hAnsiTheme="minorHAnsi" w:cstheme="minorBidi"/>
                <w:noProof/>
                <w:lang w:eastAsia="en-AU"/>
              </w:rPr>
              <w:tab/>
            </w:r>
            <w:r w:rsidRPr="00250609">
              <w:rPr>
                <w:rStyle w:val="Hyperlink"/>
                <w:noProof/>
              </w:rPr>
              <w:t>Studies providing evaluable safety data</w:t>
            </w:r>
            <w:r>
              <w:rPr>
                <w:noProof/>
                <w:webHidden/>
              </w:rPr>
              <w:tab/>
            </w:r>
            <w:r>
              <w:rPr>
                <w:noProof/>
                <w:webHidden/>
              </w:rPr>
              <w:fldChar w:fldCharType="begin"/>
            </w:r>
            <w:r>
              <w:rPr>
                <w:noProof/>
                <w:webHidden/>
              </w:rPr>
              <w:instrText xml:space="preserve"> PAGEREF _Toc396729349 \h </w:instrText>
            </w:r>
            <w:r>
              <w:rPr>
                <w:noProof/>
                <w:webHidden/>
              </w:rPr>
            </w:r>
            <w:r>
              <w:rPr>
                <w:noProof/>
                <w:webHidden/>
              </w:rPr>
              <w:fldChar w:fldCharType="separate"/>
            </w:r>
            <w:r>
              <w:rPr>
                <w:noProof/>
                <w:webHidden/>
              </w:rPr>
              <w:t>26</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50" w:history="1">
            <w:r w:rsidRPr="00250609">
              <w:rPr>
                <w:rStyle w:val="Hyperlink"/>
                <w:noProof/>
              </w:rPr>
              <w:t>7.2.</w:t>
            </w:r>
            <w:r>
              <w:rPr>
                <w:rFonts w:asciiTheme="minorHAnsi" w:eastAsiaTheme="minorEastAsia" w:hAnsiTheme="minorHAnsi" w:cstheme="minorBidi"/>
                <w:noProof/>
                <w:lang w:eastAsia="en-AU"/>
              </w:rPr>
              <w:tab/>
            </w:r>
            <w:r w:rsidRPr="00250609">
              <w:rPr>
                <w:rStyle w:val="Hyperlink"/>
                <w:noProof/>
              </w:rPr>
              <w:t>Overall patient exposure</w:t>
            </w:r>
            <w:r>
              <w:rPr>
                <w:noProof/>
                <w:webHidden/>
              </w:rPr>
              <w:tab/>
            </w:r>
            <w:r>
              <w:rPr>
                <w:noProof/>
                <w:webHidden/>
              </w:rPr>
              <w:fldChar w:fldCharType="begin"/>
            </w:r>
            <w:r>
              <w:rPr>
                <w:noProof/>
                <w:webHidden/>
              </w:rPr>
              <w:instrText xml:space="preserve"> PAGEREF _Toc396729350 \h </w:instrText>
            </w:r>
            <w:r>
              <w:rPr>
                <w:noProof/>
                <w:webHidden/>
              </w:rPr>
            </w:r>
            <w:r>
              <w:rPr>
                <w:noProof/>
                <w:webHidden/>
              </w:rPr>
              <w:fldChar w:fldCharType="separate"/>
            </w:r>
            <w:r>
              <w:rPr>
                <w:noProof/>
                <w:webHidden/>
              </w:rPr>
              <w:t>26</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51" w:history="1">
            <w:r w:rsidRPr="00250609">
              <w:rPr>
                <w:rStyle w:val="Hyperlink"/>
                <w:noProof/>
              </w:rPr>
              <w:t>7.3.</w:t>
            </w:r>
            <w:r>
              <w:rPr>
                <w:rFonts w:asciiTheme="minorHAnsi" w:eastAsiaTheme="minorEastAsia" w:hAnsiTheme="minorHAnsi" w:cstheme="minorBidi"/>
                <w:noProof/>
                <w:lang w:eastAsia="en-AU"/>
              </w:rPr>
              <w:tab/>
            </w:r>
            <w:r w:rsidRPr="00250609">
              <w:rPr>
                <w:rStyle w:val="Hyperlink"/>
                <w:noProof/>
              </w:rPr>
              <w:t>Pivotal study 14295</w:t>
            </w:r>
            <w:r>
              <w:rPr>
                <w:noProof/>
                <w:webHidden/>
              </w:rPr>
              <w:tab/>
            </w:r>
            <w:r>
              <w:rPr>
                <w:noProof/>
                <w:webHidden/>
              </w:rPr>
              <w:fldChar w:fldCharType="begin"/>
            </w:r>
            <w:r>
              <w:rPr>
                <w:noProof/>
                <w:webHidden/>
              </w:rPr>
              <w:instrText xml:space="preserve"> PAGEREF _Toc396729351 \h </w:instrText>
            </w:r>
            <w:r>
              <w:rPr>
                <w:noProof/>
                <w:webHidden/>
              </w:rPr>
            </w:r>
            <w:r>
              <w:rPr>
                <w:noProof/>
                <w:webHidden/>
              </w:rPr>
              <w:fldChar w:fldCharType="separate"/>
            </w:r>
            <w:r>
              <w:rPr>
                <w:noProof/>
                <w:webHidden/>
              </w:rPr>
              <w:t>27</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52" w:history="1">
            <w:r w:rsidRPr="00250609">
              <w:rPr>
                <w:rStyle w:val="Hyperlink"/>
                <w:noProof/>
              </w:rPr>
              <w:t>7.4.</w:t>
            </w:r>
            <w:r>
              <w:rPr>
                <w:rFonts w:asciiTheme="minorHAnsi" w:eastAsiaTheme="minorEastAsia" w:hAnsiTheme="minorHAnsi" w:cstheme="minorBidi"/>
                <w:noProof/>
                <w:lang w:eastAsia="en-AU"/>
              </w:rPr>
              <w:tab/>
            </w:r>
            <w:r w:rsidRPr="00250609">
              <w:rPr>
                <w:rStyle w:val="Hyperlink"/>
                <w:noProof/>
              </w:rPr>
              <w:t>Supportive phase II studies</w:t>
            </w:r>
            <w:r>
              <w:rPr>
                <w:noProof/>
                <w:webHidden/>
              </w:rPr>
              <w:tab/>
            </w:r>
            <w:r>
              <w:rPr>
                <w:noProof/>
                <w:webHidden/>
              </w:rPr>
              <w:fldChar w:fldCharType="begin"/>
            </w:r>
            <w:r>
              <w:rPr>
                <w:noProof/>
                <w:webHidden/>
              </w:rPr>
              <w:instrText xml:space="preserve"> PAGEREF _Toc396729352 \h </w:instrText>
            </w:r>
            <w:r>
              <w:rPr>
                <w:noProof/>
                <w:webHidden/>
              </w:rPr>
            </w:r>
            <w:r>
              <w:rPr>
                <w:noProof/>
                <w:webHidden/>
              </w:rPr>
              <w:fldChar w:fldCharType="separate"/>
            </w:r>
            <w:r>
              <w:rPr>
                <w:noProof/>
                <w:webHidden/>
              </w:rPr>
              <w:t>39</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53" w:history="1">
            <w:r w:rsidRPr="00250609">
              <w:rPr>
                <w:rStyle w:val="Hyperlink"/>
                <w:noProof/>
              </w:rPr>
              <w:t>7.5.</w:t>
            </w:r>
            <w:r>
              <w:rPr>
                <w:rFonts w:asciiTheme="minorHAnsi" w:eastAsiaTheme="minorEastAsia" w:hAnsiTheme="minorHAnsi" w:cstheme="minorBidi"/>
                <w:noProof/>
                <w:lang w:eastAsia="en-AU"/>
              </w:rPr>
              <w:tab/>
            </w:r>
            <w:r w:rsidRPr="00250609">
              <w:rPr>
                <w:rStyle w:val="Hyperlink"/>
                <w:noProof/>
              </w:rPr>
              <w:t>Postmarketing experience</w:t>
            </w:r>
            <w:r>
              <w:rPr>
                <w:noProof/>
                <w:webHidden/>
              </w:rPr>
              <w:tab/>
            </w:r>
            <w:r>
              <w:rPr>
                <w:noProof/>
                <w:webHidden/>
              </w:rPr>
              <w:fldChar w:fldCharType="begin"/>
            </w:r>
            <w:r>
              <w:rPr>
                <w:noProof/>
                <w:webHidden/>
              </w:rPr>
              <w:instrText xml:space="preserve"> PAGEREF _Toc396729353 \h </w:instrText>
            </w:r>
            <w:r>
              <w:rPr>
                <w:noProof/>
                <w:webHidden/>
              </w:rPr>
            </w:r>
            <w:r>
              <w:rPr>
                <w:noProof/>
                <w:webHidden/>
              </w:rPr>
              <w:fldChar w:fldCharType="separate"/>
            </w:r>
            <w:r>
              <w:rPr>
                <w:noProof/>
                <w:webHidden/>
              </w:rPr>
              <w:t>44</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54" w:history="1">
            <w:r w:rsidRPr="00250609">
              <w:rPr>
                <w:rStyle w:val="Hyperlink"/>
                <w:noProof/>
              </w:rPr>
              <w:t>7.6.</w:t>
            </w:r>
            <w:r>
              <w:rPr>
                <w:rFonts w:asciiTheme="minorHAnsi" w:eastAsiaTheme="minorEastAsia" w:hAnsiTheme="minorHAnsi" w:cstheme="minorBidi"/>
                <w:noProof/>
                <w:lang w:eastAsia="en-AU"/>
              </w:rPr>
              <w:tab/>
            </w:r>
            <w:r w:rsidRPr="00250609">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_Toc396729354 \h </w:instrText>
            </w:r>
            <w:r>
              <w:rPr>
                <w:noProof/>
                <w:webHidden/>
              </w:rPr>
            </w:r>
            <w:r>
              <w:rPr>
                <w:noProof/>
                <w:webHidden/>
              </w:rPr>
              <w:fldChar w:fldCharType="separate"/>
            </w:r>
            <w:r>
              <w:rPr>
                <w:noProof/>
                <w:webHidden/>
              </w:rPr>
              <w:t>45</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55" w:history="1">
            <w:r w:rsidRPr="00250609">
              <w:rPr>
                <w:rStyle w:val="Hyperlink"/>
                <w:noProof/>
              </w:rPr>
              <w:t>7.7.</w:t>
            </w:r>
            <w:r>
              <w:rPr>
                <w:rFonts w:asciiTheme="minorHAnsi" w:eastAsiaTheme="minorEastAsia" w:hAnsiTheme="minorHAnsi" w:cstheme="minorBidi"/>
                <w:noProof/>
                <w:lang w:eastAsia="en-AU"/>
              </w:rPr>
              <w:tab/>
            </w:r>
            <w:r w:rsidRPr="00250609">
              <w:rPr>
                <w:rStyle w:val="Hyperlink"/>
                <w:noProof/>
              </w:rPr>
              <w:t>Other safety issues</w:t>
            </w:r>
            <w:r>
              <w:rPr>
                <w:noProof/>
                <w:webHidden/>
              </w:rPr>
              <w:tab/>
            </w:r>
            <w:r>
              <w:rPr>
                <w:noProof/>
                <w:webHidden/>
              </w:rPr>
              <w:fldChar w:fldCharType="begin"/>
            </w:r>
            <w:r>
              <w:rPr>
                <w:noProof/>
                <w:webHidden/>
              </w:rPr>
              <w:instrText xml:space="preserve"> PAGEREF _Toc396729355 \h </w:instrText>
            </w:r>
            <w:r>
              <w:rPr>
                <w:noProof/>
                <w:webHidden/>
              </w:rPr>
            </w:r>
            <w:r>
              <w:rPr>
                <w:noProof/>
                <w:webHidden/>
              </w:rPr>
              <w:fldChar w:fldCharType="separate"/>
            </w:r>
            <w:r>
              <w:rPr>
                <w:noProof/>
                <w:webHidden/>
              </w:rPr>
              <w:t>45</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56" w:history="1">
            <w:r w:rsidRPr="00250609">
              <w:rPr>
                <w:rStyle w:val="Hyperlink"/>
                <w:noProof/>
              </w:rPr>
              <w:t>7.8.</w:t>
            </w:r>
            <w:r>
              <w:rPr>
                <w:rFonts w:asciiTheme="minorHAnsi" w:eastAsiaTheme="minorEastAsia" w:hAnsiTheme="minorHAnsi" w:cstheme="minorBidi"/>
                <w:noProof/>
                <w:lang w:eastAsia="en-AU"/>
              </w:rPr>
              <w:tab/>
            </w:r>
            <w:r w:rsidRPr="00250609">
              <w:rPr>
                <w:rStyle w:val="Hyperlink"/>
                <w:noProof/>
              </w:rPr>
              <w:t>Evaluator’s overall conclusions on clinical safety</w:t>
            </w:r>
            <w:r>
              <w:rPr>
                <w:noProof/>
                <w:webHidden/>
              </w:rPr>
              <w:tab/>
            </w:r>
            <w:r>
              <w:rPr>
                <w:noProof/>
                <w:webHidden/>
              </w:rPr>
              <w:fldChar w:fldCharType="begin"/>
            </w:r>
            <w:r>
              <w:rPr>
                <w:noProof/>
                <w:webHidden/>
              </w:rPr>
              <w:instrText xml:space="preserve"> PAGEREF _Toc396729356 \h </w:instrText>
            </w:r>
            <w:r>
              <w:rPr>
                <w:noProof/>
                <w:webHidden/>
              </w:rPr>
            </w:r>
            <w:r>
              <w:rPr>
                <w:noProof/>
                <w:webHidden/>
              </w:rPr>
              <w:fldChar w:fldCharType="separate"/>
            </w:r>
            <w:r>
              <w:rPr>
                <w:noProof/>
                <w:webHidden/>
              </w:rPr>
              <w:t>46</w:t>
            </w:r>
            <w:r>
              <w:rPr>
                <w:noProof/>
                <w:webHidden/>
              </w:rPr>
              <w:fldChar w:fldCharType="end"/>
            </w:r>
          </w:hyperlink>
        </w:p>
        <w:p w:rsidR="00B213FE" w:rsidRDefault="00B213FE">
          <w:pPr>
            <w:pStyle w:val="TOC2"/>
            <w:tabs>
              <w:tab w:val="left" w:pos="1100"/>
            </w:tabs>
            <w:rPr>
              <w:rFonts w:asciiTheme="minorHAnsi" w:eastAsiaTheme="minorEastAsia" w:hAnsiTheme="minorHAnsi" w:cstheme="minorBidi"/>
              <w:b w:val="0"/>
              <w:noProof/>
              <w:sz w:val="22"/>
              <w:lang w:eastAsia="en-AU"/>
            </w:rPr>
          </w:pPr>
          <w:hyperlink w:anchor="_Toc396729357" w:history="1">
            <w:r w:rsidRPr="00250609">
              <w:rPr>
                <w:rStyle w:val="Hyperlink"/>
                <w:noProof/>
              </w:rPr>
              <w:t>8.</w:t>
            </w:r>
            <w:r>
              <w:rPr>
                <w:rFonts w:asciiTheme="minorHAnsi" w:eastAsiaTheme="minorEastAsia" w:hAnsiTheme="minorHAnsi" w:cstheme="minorBidi"/>
                <w:b w:val="0"/>
                <w:noProof/>
                <w:sz w:val="22"/>
                <w:lang w:eastAsia="en-AU"/>
              </w:rPr>
              <w:tab/>
            </w:r>
            <w:r w:rsidRPr="00250609">
              <w:rPr>
                <w:rStyle w:val="Hyperlink"/>
                <w:noProof/>
              </w:rPr>
              <w:t>First round benefit-risk assessment</w:t>
            </w:r>
            <w:r>
              <w:rPr>
                <w:noProof/>
                <w:webHidden/>
              </w:rPr>
              <w:tab/>
            </w:r>
            <w:r>
              <w:rPr>
                <w:noProof/>
                <w:webHidden/>
              </w:rPr>
              <w:fldChar w:fldCharType="begin"/>
            </w:r>
            <w:r>
              <w:rPr>
                <w:noProof/>
                <w:webHidden/>
              </w:rPr>
              <w:instrText xml:space="preserve"> PAGEREF _Toc396729357 \h </w:instrText>
            </w:r>
            <w:r>
              <w:rPr>
                <w:noProof/>
                <w:webHidden/>
              </w:rPr>
            </w:r>
            <w:r>
              <w:rPr>
                <w:noProof/>
                <w:webHidden/>
              </w:rPr>
              <w:fldChar w:fldCharType="separate"/>
            </w:r>
            <w:r>
              <w:rPr>
                <w:noProof/>
                <w:webHidden/>
              </w:rPr>
              <w:t>46</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58" w:history="1">
            <w:r w:rsidRPr="00250609">
              <w:rPr>
                <w:rStyle w:val="Hyperlink"/>
                <w:noProof/>
              </w:rPr>
              <w:t>8.1.</w:t>
            </w:r>
            <w:r>
              <w:rPr>
                <w:rFonts w:asciiTheme="minorHAnsi" w:eastAsiaTheme="minorEastAsia" w:hAnsiTheme="minorHAnsi" w:cstheme="minorBidi"/>
                <w:noProof/>
                <w:lang w:eastAsia="en-AU"/>
              </w:rPr>
              <w:tab/>
            </w:r>
            <w:r w:rsidRPr="00250609">
              <w:rPr>
                <w:rStyle w:val="Hyperlink"/>
                <w:noProof/>
              </w:rPr>
              <w:t>First round assessment of benefits</w:t>
            </w:r>
            <w:r>
              <w:rPr>
                <w:noProof/>
                <w:webHidden/>
              </w:rPr>
              <w:tab/>
            </w:r>
            <w:r>
              <w:rPr>
                <w:noProof/>
                <w:webHidden/>
              </w:rPr>
              <w:fldChar w:fldCharType="begin"/>
            </w:r>
            <w:r>
              <w:rPr>
                <w:noProof/>
                <w:webHidden/>
              </w:rPr>
              <w:instrText xml:space="preserve"> PAGEREF _Toc396729358 \h </w:instrText>
            </w:r>
            <w:r>
              <w:rPr>
                <w:noProof/>
                <w:webHidden/>
              </w:rPr>
            </w:r>
            <w:r>
              <w:rPr>
                <w:noProof/>
                <w:webHidden/>
              </w:rPr>
              <w:fldChar w:fldCharType="separate"/>
            </w:r>
            <w:r>
              <w:rPr>
                <w:noProof/>
                <w:webHidden/>
              </w:rPr>
              <w:t>46</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59" w:history="1">
            <w:r w:rsidRPr="00250609">
              <w:rPr>
                <w:rStyle w:val="Hyperlink"/>
                <w:noProof/>
              </w:rPr>
              <w:t>8.2.</w:t>
            </w:r>
            <w:r>
              <w:rPr>
                <w:rFonts w:asciiTheme="minorHAnsi" w:eastAsiaTheme="minorEastAsia" w:hAnsiTheme="minorHAnsi" w:cstheme="minorBidi"/>
                <w:noProof/>
                <w:lang w:eastAsia="en-AU"/>
              </w:rPr>
              <w:tab/>
            </w:r>
            <w:r w:rsidRPr="00250609">
              <w:rPr>
                <w:rStyle w:val="Hyperlink"/>
                <w:noProof/>
              </w:rPr>
              <w:t>First round assessment of risks</w:t>
            </w:r>
            <w:r>
              <w:rPr>
                <w:noProof/>
                <w:webHidden/>
              </w:rPr>
              <w:tab/>
            </w:r>
            <w:r>
              <w:rPr>
                <w:noProof/>
                <w:webHidden/>
              </w:rPr>
              <w:fldChar w:fldCharType="begin"/>
            </w:r>
            <w:r>
              <w:rPr>
                <w:noProof/>
                <w:webHidden/>
              </w:rPr>
              <w:instrText xml:space="preserve"> PAGEREF _Toc396729359 \h </w:instrText>
            </w:r>
            <w:r>
              <w:rPr>
                <w:noProof/>
                <w:webHidden/>
              </w:rPr>
            </w:r>
            <w:r>
              <w:rPr>
                <w:noProof/>
                <w:webHidden/>
              </w:rPr>
              <w:fldChar w:fldCharType="separate"/>
            </w:r>
            <w:r>
              <w:rPr>
                <w:noProof/>
                <w:webHidden/>
              </w:rPr>
              <w:t>46</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60" w:history="1">
            <w:r w:rsidRPr="00250609">
              <w:rPr>
                <w:rStyle w:val="Hyperlink"/>
                <w:noProof/>
              </w:rPr>
              <w:t>8.3.</w:t>
            </w:r>
            <w:r>
              <w:rPr>
                <w:rFonts w:asciiTheme="minorHAnsi" w:eastAsiaTheme="minorEastAsia" w:hAnsiTheme="minorHAnsi" w:cstheme="minorBidi"/>
                <w:noProof/>
                <w:lang w:eastAsia="en-AU"/>
              </w:rPr>
              <w:tab/>
            </w:r>
            <w:r w:rsidRPr="00250609">
              <w:rPr>
                <w:rStyle w:val="Hyperlink"/>
                <w:noProof/>
              </w:rPr>
              <w:t>First round assessment of benefit-risk balance</w:t>
            </w:r>
            <w:r>
              <w:rPr>
                <w:noProof/>
                <w:webHidden/>
              </w:rPr>
              <w:tab/>
            </w:r>
            <w:r>
              <w:rPr>
                <w:noProof/>
                <w:webHidden/>
              </w:rPr>
              <w:fldChar w:fldCharType="begin"/>
            </w:r>
            <w:r>
              <w:rPr>
                <w:noProof/>
                <w:webHidden/>
              </w:rPr>
              <w:instrText xml:space="preserve"> PAGEREF _Toc396729360 \h </w:instrText>
            </w:r>
            <w:r>
              <w:rPr>
                <w:noProof/>
                <w:webHidden/>
              </w:rPr>
            </w:r>
            <w:r>
              <w:rPr>
                <w:noProof/>
                <w:webHidden/>
              </w:rPr>
              <w:fldChar w:fldCharType="separate"/>
            </w:r>
            <w:r>
              <w:rPr>
                <w:noProof/>
                <w:webHidden/>
              </w:rPr>
              <w:t>47</w:t>
            </w:r>
            <w:r>
              <w:rPr>
                <w:noProof/>
                <w:webHidden/>
              </w:rPr>
              <w:fldChar w:fldCharType="end"/>
            </w:r>
          </w:hyperlink>
        </w:p>
        <w:p w:rsidR="00B213FE" w:rsidRDefault="00B213FE">
          <w:pPr>
            <w:pStyle w:val="TOC2"/>
            <w:tabs>
              <w:tab w:val="left" w:pos="1100"/>
            </w:tabs>
            <w:rPr>
              <w:rFonts w:asciiTheme="minorHAnsi" w:eastAsiaTheme="minorEastAsia" w:hAnsiTheme="minorHAnsi" w:cstheme="minorBidi"/>
              <w:b w:val="0"/>
              <w:noProof/>
              <w:sz w:val="22"/>
              <w:lang w:eastAsia="en-AU"/>
            </w:rPr>
          </w:pPr>
          <w:hyperlink w:anchor="_Toc396729361" w:history="1">
            <w:r w:rsidRPr="00250609">
              <w:rPr>
                <w:rStyle w:val="Hyperlink"/>
                <w:noProof/>
              </w:rPr>
              <w:t>9.</w:t>
            </w:r>
            <w:r>
              <w:rPr>
                <w:rFonts w:asciiTheme="minorHAnsi" w:eastAsiaTheme="minorEastAsia" w:hAnsiTheme="minorHAnsi" w:cstheme="minorBidi"/>
                <w:b w:val="0"/>
                <w:noProof/>
                <w:sz w:val="22"/>
                <w:lang w:eastAsia="en-AU"/>
              </w:rPr>
              <w:tab/>
            </w:r>
            <w:r w:rsidRPr="00250609">
              <w:rPr>
                <w:rStyle w:val="Hyperlink"/>
                <w:noProof/>
              </w:rPr>
              <w:t>First round recommendation regarding authorisation</w:t>
            </w:r>
            <w:r>
              <w:rPr>
                <w:noProof/>
                <w:webHidden/>
              </w:rPr>
              <w:tab/>
            </w:r>
            <w:r>
              <w:rPr>
                <w:noProof/>
                <w:webHidden/>
              </w:rPr>
              <w:fldChar w:fldCharType="begin"/>
            </w:r>
            <w:r>
              <w:rPr>
                <w:noProof/>
                <w:webHidden/>
              </w:rPr>
              <w:instrText xml:space="preserve"> PAGEREF _Toc396729361 \h </w:instrText>
            </w:r>
            <w:r>
              <w:rPr>
                <w:noProof/>
                <w:webHidden/>
              </w:rPr>
            </w:r>
            <w:r>
              <w:rPr>
                <w:noProof/>
                <w:webHidden/>
              </w:rPr>
              <w:fldChar w:fldCharType="separate"/>
            </w:r>
            <w:r>
              <w:rPr>
                <w:noProof/>
                <w:webHidden/>
              </w:rPr>
              <w:t>47</w:t>
            </w:r>
            <w:r>
              <w:rPr>
                <w:noProof/>
                <w:webHidden/>
              </w:rPr>
              <w:fldChar w:fldCharType="end"/>
            </w:r>
          </w:hyperlink>
        </w:p>
        <w:p w:rsidR="00B213FE" w:rsidRDefault="00B213FE">
          <w:pPr>
            <w:pStyle w:val="TOC2"/>
            <w:tabs>
              <w:tab w:val="left" w:pos="1320"/>
            </w:tabs>
            <w:rPr>
              <w:rFonts w:asciiTheme="minorHAnsi" w:eastAsiaTheme="minorEastAsia" w:hAnsiTheme="minorHAnsi" w:cstheme="minorBidi"/>
              <w:b w:val="0"/>
              <w:noProof/>
              <w:sz w:val="22"/>
              <w:lang w:eastAsia="en-AU"/>
            </w:rPr>
          </w:pPr>
          <w:hyperlink w:anchor="_Toc396729362" w:history="1">
            <w:r w:rsidRPr="00250609">
              <w:rPr>
                <w:rStyle w:val="Hyperlink"/>
                <w:noProof/>
              </w:rPr>
              <w:t>10.</w:t>
            </w:r>
            <w:r>
              <w:rPr>
                <w:rFonts w:asciiTheme="minorHAnsi" w:eastAsiaTheme="minorEastAsia" w:hAnsiTheme="minorHAnsi" w:cstheme="minorBidi"/>
                <w:b w:val="0"/>
                <w:noProof/>
                <w:sz w:val="22"/>
                <w:lang w:eastAsia="en-AU"/>
              </w:rPr>
              <w:tab/>
            </w:r>
            <w:r w:rsidRPr="00250609">
              <w:rPr>
                <w:rStyle w:val="Hyperlink"/>
                <w:noProof/>
              </w:rPr>
              <w:t>Clinical questions</w:t>
            </w:r>
            <w:r>
              <w:rPr>
                <w:noProof/>
                <w:webHidden/>
              </w:rPr>
              <w:tab/>
            </w:r>
            <w:r>
              <w:rPr>
                <w:noProof/>
                <w:webHidden/>
              </w:rPr>
              <w:fldChar w:fldCharType="begin"/>
            </w:r>
            <w:r>
              <w:rPr>
                <w:noProof/>
                <w:webHidden/>
              </w:rPr>
              <w:instrText xml:space="preserve"> PAGEREF _Toc396729362 \h </w:instrText>
            </w:r>
            <w:r>
              <w:rPr>
                <w:noProof/>
                <w:webHidden/>
              </w:rPr>
            </w:r>
            <w:r>
              <w:rPr>
                <w:noProof/>
                <w:webHidden/>
              </w:rPr>
              <w:fldChar w:fldCharType="separate"/>
            </w:r>
            <w:r>
              <w:rPr>
                <w:noProof/>
                <w:webHidden/>
              </w:rPr>
              <w:t>47</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63" w:history="1">
            <w:r w:rsidRPr="00250609">
              <w:rPr>
                <w:rStyle w:val="Hyperlink"/>
                <w:noProof/>
              </w:rPr>
              <w:t>10.1.</w:t>
            </w:r>
            <w:r>
              <w:rPr>
                <w:rFonts w:asciiTheme="minorHAnsi" w:eastAsiaTheme="minorEastAsia" w:hAnsiTheme="minorHAnsi" w:cstheme="minorBidi"/>
                <w:noProof/>
                <w:lang w:eastAsia="en-AU"/>
              </w:rPr>
              <w:tab/>
            </w:r>
            <w:r w:rsidRPr="00250609">
              <w:rPr>
                <w:rStyle w:val="Hyperlink"/>
                <w:noProof/>
              </w:rPr>
              <w:t>General</w:t>
            </w:r>
            <w:r>
              <w:rPr>
                <w:noProof/>
                <w:webHidden/>
              </w:rPr>
              <w:tab/>
            </w:r>
            <w:r>
              <w:rPr>
                <w:noProof/>
                <w:webHidden/>
              </w:rPr>
              <w:fldChar w:fldCharType="begin"/>
            </w:r>
            <w:r>
              <w:rPr>
                <w:noProof/>
                <w:webHidden/>
              </w:rPr>
              <w:instrText xml:space="preserve"> PAGEREF _Toc396729363 \h </w:instrText>
            </w:r>
            <w:r>
              <w:rPr>
                <w:noProof/>
                <w:webHidden/>
              </w:rPr>
            </w:r>
            <w:r>
              <w:rPr>
                <w:noProof/>
                <w:webHidden/>
              </w:rPr>
              <w:fldChar w:fldCharType="separate"/>
            </w:r>
            <w:r>
              <w:rPr>
                <w:noProof/>
                <w:webHidden/>
              </w:rPr>
              <w:t>47</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64" w:history="1">
            <w:r w:rsidRPr="00250609">
              <w:rPr>
                <w:rStyle w:val="Hyperlink"/>
                <w:noProof/>
              </w:rPr>
              <w:t>10.2.</w:t>
            </w:r>
            <w:r>
              <w:rPr>
                <w:rFonts w:asciiTheme="minorHAnsi" w:eastAsiaTheme="minorEastAsia" w:hAnsiTheme="minorHAnsi" w:cstheme="minorBidi"/>
                <w:noProof/>
                <w:lang w:eastAsia="en-AU"/>
              </w:rPr>
              <w:tab/>
            </w:r>
            <w:r w:rsidRPr="00250609">
              <w:rPr>
                <w:rStyle w:val="Hyperlink"/>
                <w:noProof/>
              </w:rPr>
              <w:t>Pharmacokinetics</w:t>
            </w:r>
            <w:r>
              <w:rPr>
                <w:noProof/>
                <w:webHidden/>
              </w:rPr>
              <w:tab/>
            </w:r>
            <w:r>
              <w:rPr>
                <w:noProof/>
                <w:webHidden/>
              </w:rPr>
              <w:fldChar w:fldCharType="begin"/>
            </w:r>
            <w:r>
              <w:rPr>
                <w:noProof/>
                <w:webHidden/>
              </w:rPr>
              <w:instrText xml:space="preserve"> PAGEREF _Toc396729364 \h </w:instrText>
            </w:r>
            <w:r>
              <w:rPr>
                <w:noProof/>
                <w:webHidden/>
              </w:rPr>
            </w:r>
            <w:r>
              <w:rPr>
                <w:noProof/>
                <w:webHidden/>
              </w:rPr>
              <w:fldChar w:fldCharType="separate"/>
            </w:r>
            <w:r>
              <w:rPr>
                <w:noProof/>
                <w:webHidden/>
              </w:rPr>
              <w:t>47</w:t>
            </w:r>
            <w:r>
              <w:rPr>
                <w:noProof/>
                <w:webHidden/>
              </w:rPr>
              <w:fldChar w:fldCharType="end"/>
            </w:r>
          </w:hyperlink>
        </w:p>
        <w:p w:rsidR="00B213FE" w:rsidRDefault="00B213FE">
          <w:pPr>
            <w:pStyle w:val="TOC3"/>
            <w:tabs>
              <w:tab w:val="left" w:pos="1760"/>
            </w:tabs>
            <w:rPr>
              <w:rFonts w:asciiTheme="minorHAnsi" w:eastAsiaTheme="minorEastAsia" w:hAnsiTheme="minorHAnsi" w:cstheme="minorBidi"/>
              <w:noProof/>
              <w:lang w:eastAsia="en-AU"/>
            </w:rPr>
          </w:pPr>
          <w:hyperlink w:anchor="_Toc396729365" w:history="1">
            <w:r w:rsidRPr="00250609">
              <w:rPr>
                <w:rStyle w:val="Hyperlink"/>
                <w:noProof/>
              </w:rPr>
              <w:t>10.3.</w:t>
            </w:r>
            <w:r>
              <w:rPr>
                <w:rFonts w:asciiTheme="minorHAnsi" w:eastAsiaTheme="minorEastAsia" w:hAnsiTheme="minorHAnsi" w:cstheme="minorBidi"/>
                <w:noProof/>
                <w:lang w:eastAsia="en-AU"/>
              </w:rPr>
              <w:tab/>
            </w:r>
            <w:r w:rsidRPr="00250609">
              <w:rPr>
                <w:rStyle w:val="Hyperlink"/>
                <w:noProof/>
              </w:rPr>
              <w:t>Efficacy</w:t>
            </w:r>
            <w:r>
              <w:rPr>
                <w:noProof/>
                <w:webHidden/>
              </w:rPr>
              <w:tab/>
            </w:r>
            <w:r>
              <w:rPr>
                <w:noProof/>
                <w:webHidden/>
              </w:rPr>
              <w:fldChar w:fldCharType="begin"/>
            </w:r>
            <w:r>
              <w:rPr>
                <w:noProof/>
                <w:webHidden/>
              </w:rPr>
              <w:instrText xml:space="preserve"> PAGEREF _Toc396729365 \h </w:instrText>
            </w:r>
            <w:r>
              <w:rPr>
                <w:noProof/>
                <w:webHidden/>
              </w:rPr>
            </w:r>
            <w:r>
              <w:rPr>
                <w:noProof/>
                <w:webHidden/>
              </w:rPr>
              <w:fldChar w:fldCharType="separate"/>
            </w:r>
            <w:r>
              <w:rPr>
                <w:noProof/>
                <w:webHidden/>
              </w:rPr>
              <w:t>47</w:t>
            </w:r>
            <w:r>
              <w:rPr>
                <w:noProof/>
                <w:webHidden/>
              </w:rPr>
              <w:fldChar w:fldCharType="end"/>
            </w:r>
          </w:hyperlink>
        </w:p>
        <w:p w:rsidR="00B213FE" w:rsidRDefault="00B213FE">
          <w:pPr>
            <w:pStyle w:val="TOC2"/>
            <w:tabs>
              <w:tab w:val="left" w:pos="1320"/>
            </w:tabs>
            <w:rPr>
              <w:rFonts w:asciiTheme="minorHAnsi" w:eastAsiaTheme="minorEastAsia" w:hAnsiTheme="minorHAnsi" w:cstheme="minorBidi"/>
              <w:b w:val="0"/>
              <w:noProof/>
              <w:sz w:val="22"/>
              <w:lang w:eastAsia="en-AU"/>
            </w:rPr>
          </w:pPr>
          <w:hyperlink w:anchor="_Toc396729366" w:history="1">
            <w:r w:rsidRPr="00250609">
              <w:rPr>
                <w:rStyle w:val="Hyperlink"/>
                <w:noProof/>
              </w:rPr>
              <w:t>11.</w:t>
            </w:r>
            <w:r>
              <w:rPr>
                <w:rFonts w:asciiTheme="minorHAnsi" w:eastAsiaTheme="minorEastAsia" w:hAnsiTheme="minorHAnsi" w:cstheme="minorBidi"/>
                <w:b w:val="0"/>
                <w:noProof/>
                <w:sz w:val="22"/>
                <w:lang w:eastAsia="en-AU"/>
              </w:rPr>
              <w:tab/>
            </w:r>
            <w:r w:rsidRPr="0025060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_Toc396729366 \h </w:instrText>
            </w:r>
            <w:r>
              <w:rPr>
                <w:noProof/>
                <w:webHidden/>
              </w:rPr>
            </w:r>
            <w:r>
              <w:rPr>
                <w:noProof/>
                <w:webHidden/>
              </w:rPr>
              <w:fldChar w:fldCharType="separate"/>
            </w:r>
            <w:r>
              <w:rPr>
                <w:noProof/>
                <w:webHidden/>
              </w:rPr>
              <w:t>47</w:t>
            </w:r>
            <w:r>
              <w:rPr>
                <w:noProof/>
                <w:webHidden/>
              </w:rPr>
              <w:fldChar w:fldCharType="end"/>
            </w:r>
          </w:hyperlink>
        </w:p>
        <w:p w:rsidR="00B213FE" w:rsidRDefault="00B213FE">
          <w:pPr>
            <w:pStyle w:val="TOC2"/>
            <w:tabs>
              <w:tab w:val="left" w:pos="1320"/>
            </w:tabs>
            <w:rPr>
              <w:rFonts w:asciiTheme="minorHAnsi" w:eastAsiaTheme="minorEastAsia" w:hAnsiTheme="minorHAnsi" w:cstheme="minorBidi"/>
              <w:b w:val="0"/>
              <w:noProof/>
              <w:sz w:val="22"/>
              <w:lang w:eastAsia="en-AU"/>
            </w:rPr>
          </w:pPr>
          <w:hyperlink w:anchor="_Toc396729367" w:history="1">
            <w:r w:rsidRPr="00250609">
              <w:rPr>
                <w:rStyle w:val="Hyperlink"/>
                <w:noProof/>
              </w:rPr>
              <w:t>12.</w:t>
            </w:r>
            <w:r>
              <w:rPr>
                <w:rFonts w:asciiTheme="minorHAnsi" w:eastAsiaTheme="minorEastAsia" w:hAnsiTheme="minorHAnsi" w:cstheme="minorBidi"/>
                <w:b w:val="0"/>
                <w:noProof/>
                <w:sz w:val="22"/>
                <w:lang w:eastAsia="en-AU"/>
              </w:rPr>
              <w:tab/>
            </w:r>
            <w:r w:rsidRPr="00250609">
              <w:rPr>
                <w:rStyle w:val="Hyperlink"/>
                <w:noProof/>
              </w:rPr>
              <w:t>References</w:t>
            </w:r>
            <w:r>
              <w:rPr>
                <w:noProof/>
                <w:webHidden/>
              </w:rPr>
              <w:tab/>
            </w:r>
            <w:r>
              <w:rPr>
                <w:noProof/>
                <w:webHidden/>
              </w:rPr>
              <w:fldChar w:fldCharType="begin"/>
            </w:r>
            <w:r>
              <w:rPr>
                <w:noProof/>
                <w:webHidden/>
              </w:rPr>
              <w:instrText xml:space="preserve"> PAGEREF _Toc396729367 \h </w:instrText>
            </w:r>
            <w:r>
              <w:rPr>
                <w:noProof/>
                <w:webHidden/>
              </w:rPr>
            </w:r>
            <w:r>
              <w:rPr>
                <w:noProof/>
                <w:webHidden/>
              </w:rPr>
              <w:fldChar w:fldCharType="separate"/>
            </w:r>
            <w:r>
              <w:rPr>
                <w:noProof/>
                <w:webHidden/>
              </w:rPr>
              <w:t>47</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6B5A7C" w:rsidRDefault="006B5A7C">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195E3B">
      <w:pPr>
        <w:pStyle w:val="Heading2"/>
        <w:numPr>
          <w:ilvl w:val="0"/>
          <w:numId w:val="0"/>
        </w:numPr>
        <w:ind w:left="567" w:hanging="567"/>
      </w:pPr>
      <w:bookmarkStart w:id="7" w:name="_Toc396729330"/>
      <w:r>
        <w:lastRenderedPageBreak/>
        <w:t xml:space="preserve">List of </w:t>
      </w:r>
      <w:r w:rsidR="000C18FC" w:rsidRPr="00195E3B">
        <w:t>commonly</w:t>
      </w:r>
      <w:r w:rsidR="000C18FC">
        <w:t xml:space="preserve"> used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0C18FC" w:rsidRPr="00856CCE" w:rsidTr="000C18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t>Abbreviation</w:t>
            </w:r>
          </w:p>
        </w:tc>
        <w:tc>
          <w:tcPr>
            <w:tcW w:w="6911" w:type="dxa"/>
          </w:tcPr>
          <w:p w:rsidR="000C18FC" w:rsidRPr="00856CCE" w:rsidRDefault="000C18FC" w:rsidP="00195E3B">
            <w:pPr>
              <w:cnfStyle w:val="100000000000" w:firstRow="1" w:lastRow="0" w:firstColumn="0" w:lastColumn="0" w:oddVBand="0" w:evenVBand="0" w:oddHBand="0" w:evenHBand="0" w:firstRowFirstColumn="0" w:firstRowLastColumn="0" w:lastRowFirstColumn="0" w:lastRowLastColumn="0"/>
            </w:pPr>
            <w:r>
              <w:t>Meaning</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AE</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Adverse Event</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ALT</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Alanine Transaminase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AST</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Aspartate Transaminase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ARTG</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Australian Register of Therapeutic Goods</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AUC</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Area under the curve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proofErr w:type="spellStart"/>
            <w:r w:rsidRPr="00856CCE">
              <w:t>Cmax</w:t>
            </w:r>
            <w:proofErr w:type="spellEnd"/>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Maximum concentration</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CR</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Complete Response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pPr>
              <w:rPr>
                <w:lang w:val="en-US"/>
              </w:rPr>
            </w:pPr>
            <w:r w:rsidRPr="00856CCE">
              <w:rPr>
                <w:lang w:val="en-US"/>
              </w:rPr>
              <w:t>CT</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rPr>
                <w:lang w:val="en-US"/>
              </w:rPr>
            </w:pPr>
            <w:r w:rsidRPr="00856CCE">
              <w:rPr>
                <w:lang w:val="en-US"/>
              </w:rPr>
              <w:t>X-Ray Computed Tomography</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pPr>
              <w:rPr>
                <w:lang w:val="en-US"/>
              </w:rPr>
            </w:pPr>
            <w:r w:rsidRPr="00856CCE">
              <w:rPr>
                <w:lang w:val="en-US"/>
              </w:rPr>
              <w:t>CV</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rPr>
                <w:lang w:val="en-US"/>
              </w:rPr>
            </w:pPr>
            <w:r w:rsidRPr="00856CCE">
              <w:rPr>
                <w:lang w:val="en-US"/>
              </w:rPr>
              <w:t>Coefficient of Variation</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pPr>
              <w:rPr>
                <w:lang w:val="en-US"/>
              </w:rPr>
            </w:pPr>
            <w:r w:rsidRPr="00856CCE">
              <w:rPr>
                <w:lang w:val="en-US"/>
              </w:rPr>
              <w:t>DCR</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rPr>
                <w:lang w:val="en-US"/>
              </w:rPr>
            </w:pPr>
            <w:r w:rsidRPr="00856CCE">
              <w:rPr>
                <w:lang w:val="en-US"/>
              </w:rPr>
              <w:t>Disease Control Rate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pPr>
              <w:rPr>
                <w:lang w:val="en-US"/>
              </w:rPr>
            </w:pPr>
            <w:proofErr w:type="spellStart"/>
            <w:r w:rsidRPr="00856CCE">
              <w:rPr>
                <w:lang w:val="en-US"/>
              </w:rPr>
              <w:t>DoR</w:t>
            </w:r>
            <w:proofErr w:type="spellEnd"/>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rPr>
                <w:lang w:val="en-US"/>
              </w:rPr>
            </w:pPr>
            <w:r w:rsidRPr="00856CCE">
              <w:rPr>
                <w:lang w:val="en-US"/>
              </w:rPr>
              <w:t>Duration of Response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pPr>
              <w:rPr>
                <w:lang w:val="en-US"/>
              </w:rPr>
            </w:pPr>
            <w:r w:rsidRPr="00856CCE">
              <w:rPr>
                <w:lang w:val="en-US"/>
              </w:rPr>
              <w:t>DTC</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rPr>
                <w:lang w:val="en-US"/>
              </w:rPr>
              <w:t>Differentiated Thyroid Cancer</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EMA</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European Medicines Agency</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EORTC</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European Organisation for Research and Treatment of Cancer</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FACT-G</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Functional Assessment of Cancer Therapy: General</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 xml:space="preserve">FAS </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Full Analysis Set</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FDA</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Food and Drug Administration</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GCP</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Good Clinical Practice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proofErr w:type="spellStart"/>
            <w:r w:rsidRPr="00856CCE">
              <w:t>HRQoL</w:t>
            </w:r>
            <w:proofErr w:type="spellEnd"/>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Health Related Quality of Life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ICH</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International Conference on Harmonisation</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INR</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International Normalised Ratio</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LDH</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Lactate Dehydrogenase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MRI</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Magnetic Resonance Imaging</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MTD</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Maximum Tolerated Dose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lastRenderedPageBreak/>
              <w:t>OS</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Overall Survival</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 xml:space="preserve">PD </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Pharmacodynamics</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PET</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Positron Emission Tomography</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PFS</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Progression free survival</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PI</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Product Information</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PK</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Pharmacokinetics</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PPS</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Per Protocol Set</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PR</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Partial Response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PRO</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Patient Reported Outcome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PT</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Prothrombin Time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PTT</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 xml:space="preserve">Partial </w:t>
            </w:r>
            <w:proofErr w:type="spellStart"/>
            <w:r w:rsidRPr="00856CCE">
              <w:t>Thromboplastin</w:t>
            </w:r>
            <w:proofErr w:type="spellEnd"/>
            <w:r w:rsidRPr="00856CCE">
              <w:t xml:space="preserve"> Time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RAI</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Radioactive Iodine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RECIST</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Response evaluation criteria in solid tumours</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RR</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Response Rate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SAE</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Serious Adverse Event</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SAF</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Safety Analysis Set</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SD</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Stable Disease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T3</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Tri-</w:t>
            </w:r>
            <w:proofErr w:type="spellStart"/>
            <w:r w:rsidRPr="00856CCE">
              <w:t>iodothyronine</w:t>
            </w:r>
            <w:proofErr w:type="spellEnd"/>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T4</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proofErr w:type="spellStart"/>
            <w:r w:rsidRPr="00856CCE">
              <w:t>Thyroxine</w:t>
            </w:r>
            <w:proofErr w:type="spellEnd"/>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 xml:space="preserve">TGA </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Therapeutic Goods Administration</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proofErr w:type="spellStart"/>
            <w:r w:rsidRPr="00856CCE">
              <w:t>Tmax</w:t>
            </w:r>
            <w:proofErr w:type="spellEnd"/>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Time of maximum concentration</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TSH</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Thyroid Stimulating Hormone</w:t>
            </w:r>
          </w:p>
        </w:tc>
      </w:tr>
      <w:tr w:rsidR="000C18FC" w:rsidRPr="00856CCE" w:rsidTr="000C18FC">
        <w:tc>
          <w:tcPr>
            <w:cnfStyle w:val="001000000000" w:firstRow="0" w:lastRow="0" w:firstColumn="1" w:lastColumn="0" w:oddVBand="0" w:evenVBand="0" w:oddHBand="0" w:evenHBand="0" w:firstRowFirstColumn="0" w:firstRowLastColumn="0" w:lastRowFirstColumn="0" w:lastRowLastColumn="0"/>
            <w:tcW w:w="1890" w:type="dxa"/>
          </w:tcPr>
          <w:p w:rsidR="000C18FC" w:rsidRPr="00856CCE" w:rsidRDefault="000C18FC" w:rsidP="00195E3B">
            <w:r w:rsidRPr="00856CCE">
              <w:t>TTP</w:t>
            </w:r>
          </w:p>
        </w:tc>
        <w:tc>
          <w:tcPr>
            <w:tcW w:w="6911" w:type="dxa"/>
          </w:tcPr>
          <w:p w:rsidR="000C18FC" w:rsidRPr="00856CCE" w:rsidRDefault="000C18FC" w:rsidP="00195E3B">
            <w:pPr>
              <w:cnfStyle w:val="000000000000" w:firstRow="0" w:lastRow="0" w:firstColumn="0" w:lastColumn="0" w:oddVBand="0" w:evenVBand="0" w:oddHBand="0" w:evenHBand="0" w:firstRowFirstColumn="0" w:firstRowLastColumn="0" w:lastRowFirstColumn="0" w:lastRowLastColumn="0"/>
            </w:pPr>
            <w:r w:rsidRPr="00856CCE">
              <w:t>Time to Progression</w:t>
            </w:r>
          </w:p>
        </w:tc>
      </w:tr>
    </w:tbl>
    <w:p w:rsidR="00586F98" w:rsidRDefault="00586F98" w:rsidP="008E1A61">
      <w:pPr>
        <w:pStyle w:val="Heading2"/>
        <w:pageBreakBefore/>
        <w:spacing w:before="240"/>
        <w:rPr>
          <w:lang w:eastAsia="en-AU"/>
        </w:rPr>
      </w:pPr>
      <w:bookmarkStart w:id="8" w:name="_Toc351718900"/>
      <w:bookmarkStart w:id="9" w:name="_Toc355338635"/>
      <w:bookmarkStart w:id="10" w:name="_Toc396729331"/>
      <w:r>
        <w:rPr>
          <w:lang w:eastAsia="en-AU"/>
        </w:rPr>
        <w:lastRenderedPageBreak/>
        <w:t>Clinical rationale</w:t>
      </w:r>
      <w:bookmarkEnd w:id="10"/>
    </w:p>
    <w:p w:rsidR="00FD5F83" w:rsidRDefault="00FD5F83" w:rsidP="00195E3B">
      <w:r>
        <w:t>Cancer</w:t>
      </w:r>
      <w:r w:rsidRPr="00700052">
        <w:t xml:space="preserve"> of the thyroid is an uncommon malignancy.</w:t>
      </w:r>
      <w:r>
        <w:t xml:space="preserve"> The Australian Institute of Health and Welfare estimated that in 2012 the incidence of thyroid cancer in Australia would be 2,420 persons and that it would cause 130 deaths </w:t>
      </w:r>
      <w:r w:rsidRPr="00700052">
        <w:rPr>
          <w:vertAlign w:val="superscript"/>
        </w:rPr>
        <w:t>(1)</w:t>
      </w:r>
      <w:r>
        <w:t xml:space="preserve">. The major types of thyroid carcinoma and their relative incidences are as follows </w:t>
      </w:r>
      <w:r w:rsidRPr="003E57C3">
        <w:rPr>
          <w:vertAlign w:val="superscript"/>
        </w:rPr>
        <w:t>(2)</w:t>
      </w:r>
      <w:r>
        <w:t>:</w:t>
      </w:r>
    </w:p>
    <w:p w:rsidR="00FD5F83" w:rsidRDefault="00FD5F83" w:rsidP="00195E3B">
      <w:pPr>
        <w:pStyle w:val="ListBullet"/>
        <w:tabs>
          <w:tab w:val="left" w:pos="4395"/>
        </w:tabs>
      </w:pPr>
      <w:r>
        <w:t xml:space="preserve">Papillary carcinoma </w:t>
      </w:r>
      <w:r>
        <w:tab/>
        <w:t>80%;</w:t>
      </w:r>
    </w:p>
    <w:p w:rsidR="00FD5F83" w:rsidRDefault="00FD5F83" w:rsidP="00195E3B">
      <w:pPr>
        <w:pStyle w:val="ListBullet"/>
        <w:tabs>
          <w:tab w:val="left" w:pos="4395"/>
        </w:tabs>
      </w:pPr>
      <w:r>
        <w:t>Follicular carcinoma</w:t>
      </w:r>
      <w:r>
        <w:tab/>
        <w:t>11%;</w:t>
      </w:r>
    </w:p>
    <w:p w:rsidR="00FD5F83" w:rsidRDefault="00195E3B" w:rsidP="00195E3B">
      <w:pPr>
        <w:pStyle w:val="ListBullet"/>
        <w:tabs>
          <w:tab w:val="left" w:pos="4536"/>
        </w:tabs>
      </w:pPr>
      <w:proofErr w:type="spellStart"/>
      <w:r>
        <w:t>Hürthle</w:t>
      </w:r>
      <w:proofErr w:type="spellEnd"/>
      <w:r>
        <w:t xml:space="preserve"> cell carcinoma</w:t>
      </w:r>
      <w:r>
        <w:tab/>
      </w:r>
      <w:r w:rsidR="00FD5F83">
        <w:t>3%;</w:t>
      </w:r>
    </w:p>
    <w:p w:rsidR="00FD5F83" w:rsidRDefault="00FD5F83" w:rsidP="00195E3B">
      <w:pPr>
        <w:pStyle w:val="ListBullet"/>
        <w:tabs>
          <w:tab w:val="left" w:pos="4536"/>
        </w:tabs>
      </w:pPr>
      <w:r>
        <w:t>Medullary carcinoma</w:t>
      </w:r>
      <w:r>
        <w:tab/>
        <w:t>4%;</w:t>
      </w:r>
    </w:p>
    <w:p w:rsidR="00FD5F83" w:rsidRDefault="00FD5F83" w:rsidP="00195E3B">
      <w:pPr>
        <w:pStyle w:val="ListBullet"/>
        <w:tabs>
          <w:tab w:val="left" w:pos="4536"/>
        </w:tabs>
      </w:pPr>
      <w:r>
        <w:t>Undifferentiated/anaplastic carcinoma</w:t>
      </w:r>
      <w:r>
        <w:tab/>
        <w:t>2%.</w:t>
      </w:r>
    </w:p>
    <w:p w:rsidR="00FD5F83" w:rsidRDefault="00FD5F83" w:rsidP="00195E3B">
      <w:r>
        <w:t xml:space="preserve">Papillary, follicular and </w:t>
      </w:r>
      <w:proofErr w:type="spellStart"/>
      <w:r>
        <w:t>Hürthle</w:t>
      </w:r>
      <w:proofErr w:type="spellEnd"/>
      <w:r>
        <w:t xml:space="preserve"> cell tumours arise from the follicular epithelium of the thyroid, which is responsible for the production of the thyroid hormones </w:t>
      </w:r>
      <w:proofErr w:type="spellStart"/>
      <w:r>
        <w:t>thyroxine</w:t>
      </w:r>
      <w:proofErr w:type="spellEnd"/>
      <w:r>
        <w:t xml:space="preserve"> (T4) and </w:t>
      </w:r>
      <w:proofErr w:type="spellStart"/>
      <w:proofErr w:type="gramStart"/>
      <w:r>
        <w:t>triiodothyronine</w:t>
      </w:r>
      <w:proofErr w:type="spellEnd"/>
      <w:proofErr w:type="gramEnd"/>
      <w:r>
        <w:t xml:space="preserve"> (T3). Medullary carcinoma arises from the C cells of the thyroid that are responsible for the production of calcitonin. </w:t>
      </w:r>
      <w:r w:rsidRPr="00A210CA">
        <w:t xml:space="preserve">The term ‘differentiated thyroid carcinoma’ </w:t>
      </w:r>
      <w:r>
        <w:t>encompasses</w:t>
      </w:r>
      <w:r w:rsidRPr="00A210CA">
        <w:t xml:space="preserve"> papillary, follicular and </w:t>
      </w:r>
      <w:proofErr w:type="spellStart"/>
      <w:r w:rsidRPr="00A210CA">
        <w:t>Hürthle</w:t>
      </w:r>
      <w:proofErr w:type="spellEnd"/>
      <w:r w:rsidRPr="00A210CA">
        <w:t xml:space="preserve"> cell carcinomas.</w:t>
      </w:r>
    </w:p>
    <w:p w:rsidR="00FD5F83" w:rsidRPr="00AC214E" w:rsidRDefault="00FD5F83" w:rsidP="00195E3B">
      <w:r w:rsidRPr="00AC214E">
        <w:t xml:space="preserve">Current </w:t>
      </w:r>
      <w:r>
        <w:t>clinical practice guidelines for</w:t>
      </w:r>
      <w:r w:rsidRPr="00AC214E">
        <w:t xml:space="preserve"> differentiated thyroid cancer</w:t>
      </w:r>
      <w:r>
        <w:t xml:space="preserve"> </w:t>
      </w:r>
      <w:r w:rsidRPr="001E13F8">
        <w:rPr>
          <w:vertAlign w:val="superscript"/>
        </w:rPr>
        <w:t xml:space="preserve">(3, 4) </w:t>
      </w:r>
      <w:r w:rsidRPr="00AC214E">
        <w:t xml:space="preserve">recommend the use of surgery (thyroidectomy), followed remnant ablation by radioactive iodine (RAI) therapy in selected patients. Patients are also treated with </w:t>
      </w:r>
      <w:proofErr w:type="spellStart"/>
      <w:r w:rsidRPr="00AC214E">
        <w:t>thyroxine</w:t>
      </w:r>
      <w:proofErr w:type="spellEnd"/>
      <w:r w:rsidRPr="00AC214E">
        <w:t xml:space="preserve"> to suppress TSH levels, as TSH can stimulate growth of thyroid cancer cells. Disease recurrence is common and is treated with repeated surgery and</w:t>
      </w:r>
      <w:r>
        <w:t>/or</w:t>
      </w:r>
      <w:r w:rsidRPr="00AC214E">
        <w:t xml:space="preserve"> RAI.</w:t>
      </w:r>
      <w:r>
        <w:t xml:space="preserve"> In patients with </w:t>
      </w:r>
      <w:proofErr w:type="spellStart"/>
      <w:r>
        <w:t>unresectable</w:t>
      </w:r>
      <w:proofErr w:type="spellEnd"/>
      <w:r>
        <w:t xml:space="preserve"> disease that is refractory to RAI, there are limited treatment options. Cytotoxic chemotherapy (</w:t>
      </w:r>
      <w:r w:rsidR="000C18FC">
        <w:t>such as</w:t>
      </w:r>
      <w:r>
        <w:t xml:space="preserve"> doxorubicin) is considered to have poor efficacy. RAI-refractory disease which is the indication proposed by the sponsor, is rare with an estimated incidence of 4 cases per million of population</w:t>
      </w:r>
      <w:r w:rsidRPr="001E13F8">
        <w:rPr>
          <w:vertAlign w:val="superscript"/>
        </w:rPr>
        <w:t xml:space="preserve"> (5)</w:t>
      </w:r>
      <w:r>
        <w:t>.</w:t>
      </w:r>
    </w:p>
    <w:p w:rsidR="000C18FC" w:rsidRDefault="00FD5F83" w:rsidP="00195E3B">
      <w:r>
        <w:t xml:space="preserve">The rationale for examining the efficacy and safety of </w:t>
      </w:r>
      <w:proofErr w:type="spellStart"/>
      <w:r>
        <w:t>sorafenib</w:t>
      </w:r>
      <w:proofErr w:type="spellEnd"/>
      <w:r>
        <w:t xml:space="preserve"> in differentiated thyroid cancer, as explained by the sponsor is as follows. </w:t>
      </w:r>
    </w:p>
    <w:p w:rsidR="00FD5F83" w:rsidRDefault="00FD5F83" w:rsidP="00FD5F83">
      <w:r>
        <w:t xml:space="preserve">In thyroid carcinoma tissues, vascular endothelial growth factors (VEGFs) and VEGF receptors are often overexpressed both in tumour cells and supporting vascular endothelium. Also in these tumours, activating mutations are often found in genes encoding signalling molecules of the MAP kinase pathway (RAS, </w:t>
      </w:r>
      <w:proofErr w:type="spellStart"/>
      <w:proofErr w:type="gramStart"/>
      <w:r>
        <w:t>Raf</w:t>
      </w:r>
      <w:proofErr w:type="spellEnd"/>
      <w:proofErr w:type="gramEnd"/>
      <w:r>
        <w:t xml:space="preserve">, MEK, ERK). </w:t>
      </w:r>
      <w:proofErr w:type="spellStart"/>
      <w:r>
        <w:t>Sorafenib</w:t>
      </w:r>
      <w:proofErr w:type="spellEnd"/>
      <w:r>
        <w:t xml:space="preserve"> has been shown to inhibit multiple kinases involved in cell proliferation and angiogenesis, for example </w:t>
      </w:r>
      <w:proofErr w:type="spellStart"/>
      <w:proofErr w:type="gramStart"/>
      <w:r>
        <w:t>Raf</w:t>
      </w:r>
      <w:proofErr w:type="spellEnd"/>
      <w:proofErr w:type="gramEnd"/>
      <w:r>
        <w:t xml:space="preserve"> kinase and VEGF receptors.</w:t>
      </w:r>
    </w:p>
    <w:p w:rsidR="00FD5F83" w:rsidRDefault="00FD5F83" w:rsidP="00195E3B">
      <w:pPr>
        <w:pStyle w:val="Heading3"/>
      </w:pPr>
      <w:bookmarkStart w:id="11" w:name="_Toc396729332"/>
      <w:r w:rsidRPr="00195E3B">
        <w:t>Guidance</w:t>
      </w:r>
      <w:bookmarkEnd w:id="11"/>
    </w:p>
    <w:p w:rsidR="00FD5F83" w:rsidRDefault="00FD5F83" w:rsidP="00195E3B">
      <w:r>
        <w:t xml:space="preserve">The following EMA guidelines, which have been adopted by the </w:t>
      </w:r>
      <w:proofErr w:type="gramStart"/>
      <w:r>
        <w:t>TGA</w:t>
      </w:r>
      <w:proofErr w:type="gramEnd"/>
      <w:r>
        <w:t xml:space="preserve"> are considered relevant to the current submission:</w:t>
      </w:r>
    </w:p>
    <w:p w:rsidR="00FD5F83" w:rsidRPr="00650D5D" w:rsidRDefault="00FD5F83" w:rsidP="00195E3B">
      <w:pPr>
        <w:pStyle w:val="ListBullet"/>
      </w:pPr>
      <w:r w:rsidRPr="00650D5D">
        <w:t xml:space="preserve">Guideline on the evaluation of anticancer medicinal products </w:t>
      </w:r>
      <w:r w:rsidRPr="00650D5D">
        <w:rPr>
          <w:vertAlign w:val="superscript"/>
        </w:rPr>
        <w:t>(6)</w:t>
      </w:r>
      <w:r w:rsidRPr="00650D5D">
        <w:t>;</w:t>
      </w:r>
    </w:p>
    <w:p w:rsidR="00FD5F83" w:rsidRPr="00650D5D" w:rsidRDefault="00FD5F83" w:rsidP="00195E3B">
      <w:pPr>
        <w:pStyle w:val="ListBullet"/>
      </w:pPr>
      <w:r w:rsidRPr="00650D5D">
        <w:t xml:space="preserve">Appendix 1 to the guideline on the evaluation of anticancer medicinal products relating to the use of progression-free survival as a primary endpoint </w:t>
      </w:r>
      <w:r w:rsidRPr="00650D5D">
        <w:rPr>
          <w:vertAlign w:val="superscript"/>
        </w:rPr>
        <w:t>(7)</w:t>
      </w:r>
      <w:r w:rsidRPr="00650D5D">
        <w:t>;</w:t>
      </w:r>
    </w:p>
    <w:p w:rsidR="00FD5F83" w:rsidRPr="00650D5D" w:rsidRDefault="00FD5F83" w:rsidP="00195E3B">
      <w:pPr>
        <w:pStyle w:val="ListBullet"/>
      </w:pPr>
      <w:r w:rsidRPr="00650D5D">
        <w:t xml:space="preserve">Points to consider document on applications based on one pivotal study </w:t>
      </w:r>
      <w:r w:rsidRPr="00650D5D">
        <w:rPr>
          <w:vertAlign w:val="superscript"/>
        </w:rPr>
        <w:t>(8)</w:t>
      </w:r>
      <w:r w:rsidRPr="00650D5D">
        <w:t>.</w:t>
      </w:r>
    </w:p>
    <w:p w:rsidR="00FD5F83" w:rsidRDefault="00FD5F83" w:rsidP="00195E3B">
      <w:r>
        <w:t>Compliance with these guidelines is considered in the relevant sections of this report.</w:t>
      </w:r>
    </w:p>
    <w:p w:rsidR="00586F98" w:rsidRDefault="00586F98" w:rsidP="00195E3B">
      <w:pPr>
        <w:pStyle w:val="Heading2"/>
        <w:rPr>
          <w:lang w:eastAsia="en-AU"/>
        </w:rPr>
      </w:pPr>
      <w:bookmarkStart w:id="12" w:name="_Toc396729333"/>
      <w:r>
        <w:rPr>
          <w:lang w:eastAsia="en-AU"/>
        </w:rPr>
        <w:lastRenderedPageBreak/>
        <w:t xml:space="preserve">Contents of </w:t>
      </w:r>
      <w:r w:rsidRPr="00195E3B">
        <w:t>the</w:t>
      </w:r>
      <w:r>
        <w:rPr>
          <w:lang w:eastAsia="en-AU"/>
        </w:rPr>
        <w:t xml:space="preserve"> clinical dossier</w:t>
      </w:r>
      <w:bookmarkEnd w:id="8"/>
      <w:bookmarkEnd w:id="9"/>
      <w:bookmarkEnd w:id="12"/>
    </w:p>
    <w:p w:rsidR="00586F98" w:rsidRDefault="00586F98" w:rsidP="00195E3B">
      <w:pPr>
        <w:pStyle w:val="Heading3"/>
      </w:pPr>
      <w:bookmarkStart w:id="13" w:name="_Toc396729334"/>
      <w:r>
        <w:t>Scope of the clinical dossier</w:t>
      </w:r>
      <w:bookmarkEnd w:id="13"/>
    </w:p>
    <w:p w:rsidR="00FD5F83" w:rsidRDefault="00FD5F83" w:rsidP="00E55D15">
      <w:r>
        <w:t>The submission contained the following clinical information:</w:t>
      </w:r>
    </w:p>
    <w:p w:rsidR="00FD5F83" w:rsidRPr="002F3753" w:rsidRDefault="00FD5F83" w:rsidP="00E55D15">
      <w:pPr>
        <w:pStyle w:val="ListBullet"/>
      </w:pPr>
      <w:r w:rsidRPr="002F3753">
        <w:t xml:space="preserve">A full study report for one pivotal </w:t>
      </w:r>
      <w:r w:rsidR="000C18FC">
        <w:t>Phase III</w:t>
      </w:r>
      <w:r w:rsidRPr="002F3753">
        <w:t>, randomised, double blind, placebo controlled trial (Study 14295);</w:t>
      </w:r>
    </w:p>
    <w:p w:rsidR="00FD5F83" w:rsidRPr="002F3753" w:rsidRDefault="00FD5F83" w:rsidP="00E55D15">
      <w:pPr>
        <w:pStyle w:val="ListBullet"/>
      </w:pPr>
      <w:r w:rsidRPr="002F3753">
        <w:t xml:space="preserve">2 pharmacokinetic reports based on sparse PK sampling performed in </w:t>
      </w:r>
      <w:r w:rsidR="000C18FC">
        <w:t>Study 14</w:t>
      </w:r>
      <w:r w:rsidRPr="002F3753">
        <w:t>295;</w:t>
      </w:r>
    </w:p>
    <w:p w:rsidR="00FD5F83" w:rsidRPr="002F3753" w:rsidRDefault="00FD5F83" w:rsidP="00E55D15">
      <w:pPr>
        <w:pStyle w:val="ListBullet"/>
      </w:pPr>
      <w:r w:rsidRPr="002F3753">
        <w:t xml:space="preserve">Some limited post-marketing data based on adverse event reports received by the sponsor regarding patients who had received ‘off-label’ </w:t>
      </w:r>
      <w:proofErr w:type="spellStart"/>
      <w:r w:rsidRPr="002F3753">
        <w:t>sorafenib</w:t>
      </w:r>
      <w:proofErr w:type="spellEnd"/>
      <w:r w:rsidRPr="002F3753">
        <w:t xml:space="preserve"> for the treatment of thyroid cancer.</w:t>
      </w:r>
    </w:p>
    <w:p w:rsidR="00FD5F83" w:rsidRPr="002F3753" w:rsidRDefault="00FD5F83" w:rsidP="00E55D15">
      <w:pPr>
        <w:pStyle w:val="ListBullet"/>
      </w:pPr>
      <w:r w:rsidRPr="002F3753">
        <w:t>Literature references.</w:t>
      </w:r>
      <w:r>
        <w:t xml:space="preserve"> These included publications relating to five investigator</w:t>
      </w:r>
      <w:r w:rsidR="000C18FC">
        <w:t xml:space="preserve"> </w:t>
      </w:r>
      <w:r>
        <w:t xml:space="preserve">initiated </w:t>
      </w:r>
      <w:r w:rsidR="000C18FC">
        <w:t>Phase II</w:t>
      </w:r>
      <w:r>
        <w:t xml:space="preserve"> studies, which the sponsor cited as supportive evidence for the application.</w:t>
      </w:r>
    </w:p>
    <w:p w:rsidR="00586F98" w:rsidRDefault="00586F98" w:rsidP="00E55D15">
      <w:pPr>
        <w:pStyle w:val="Heading3"/>
      </w:pPr>
      <w:bookmarkStart w:id="14" w:name="_Toc396729335"/>
      <w:r>
        <w:t>Paediatric data</w:t>
      </w:r>
      <w:bookmarkEnd w:id="14"/>
    </w:p>
    <w:p w:rsidR="00FD5F83" w:rsidRDefault="00FD5F83" w:rsidP="00E55D15">
      <w:r>
        <w:t>The submission did not include paediatric data. According to Module 1 of the submission, both the EMA and the FDA have waived any requirement for paediatric data. The EMA granted a waiver on the grounds that the drug does not represent a significant therapeutic benefit over existing treatments. The FDA granted a waiver on the grounds that the drug had received an orphan designation for thyroid cancer.</w:t>
      </w:r>
    </w:p>
    <w:p w:rsidR="00FD5F83" w:rsidRPr="004C3B7B" w:rsidRDefault="00FD5F83" w:rsidP="00E55D15">
      <w:pPr>
        <w:ind w:left="567"/>
      </w:pPr>
      <w:r w:rsidRPr="004C3B7B">
        <w:t>Comment:</w:t>
      </w:r>
      <w:r w:rsidR="000C18FC">
        <w:t xml:space="preserve"> </w:t>
      </w:r>
      <w:r w:rsidRPr="004C3B7B">
        <w:t>Thyroid cancer is rare in children. The sponsor’s arguments that led to the EMA waiver were not presented in Module 1 of the current submission. For completeness, the sponsor should provide these.</w:t>
      </w:r>
    </w:p>
    <w:p w:rsidR="00586F98" w:rsidRDefault="00586F98" w:rsidP="00E55D15">
      <w:pPr>
        <w:pStyle w:val="Heading3"/>
      </w:pPr>
      <w:bookmarkStart w:id="15" w:name="_Toc396729336"/>
      <w:r>
        <w:t xml:space="preserve">Good clinical </w:t>
      </w:r>
      <w:r w:rsidRPr="00E55D15">
        <w:t>practice</w:t>
      </w:r>
      <w:bookmarkEnd w:id="15"/>
    </w:p>
    <w:p w:rsidR="00FD5F83" w:rsidRDefault="00FD5F83" w:rsidP="00E55D15">
      <w:bookmarkStart w:id="16" w:name="_Toc241374282"/>
      <w:bookmarkStart w:id="17" w:name="_Toc355338639"/>
      <w:r>
        <w:t>The study report for the pivotal clinical trial in this submission included an assurance that the study was conducted in accordance with the ethical principles that have their origin in the Declaration of Helsinki and the International Conference on Harmonization (ICH) guideline E6: Good Clinical Practice (GCP).</w:t>
      </w:r>
    </w:p>
    <w:bookmarkEnd w:id="16"/>
    <w:p w:rsidR="00FD5F83" w:rsidRPr="00FD5F83" w:rsidRDefault="00FD5F83" w:rsidP="00E55D15">
      <w:r w:rsidRPr="000931B7">
        <w:rPr>
          <w:lang w:val="en-US"/>
        </w:rPr>
        <w:t>The protocol and all protocol amendments were reviewed and approved by each study site’s</w:t>
      </w:r>
      <w:r>
        <w:rPr>
          <w:lang w:val="en-US"/>
        </w:rPr>
        <w:t xml:space="preserve"> institutional ethics committee</w:t>
      </w:r>
      <w:r w:rsidRPr="000931B7">
        <w:rPr>
          <w:lang w:val="en-US"/>
        </w:rPr>
        <w:t xml:space="preserve"> before the start of the study and before implementation of </w:t>
      </w:r>
      <w:r>
        <w:rPr>
          <w:lang w:val="en-US"/>
        </w:rPr>
        <w:t>any</w:t>
      </w:r>
      <w:r w:rsidRPr="000931B7">
        <w:rPr>
          <w:lang w:val="en-US"/>
        </w:rPr>
        <w:t xml:space="preserve"> amendments</w:t>
      </w:r>
      <w:r>
        <w:rPr>
          <w:lang w:val="en-US"/>
        </w:rPr>
        <w:t>.</w:t>
      </w:r>
    </w:p>
    <w:p w:rsidR="00586F98" w:rsidRDefault="00586F98" w:rsidP="00E55D15">
      <w:pPr>
        <w:pStyle w:val="Heading2"/>
      </w:pPr>
      <w:bookmarkStart w:id="18" w:name="_Toc396729337"/>
      <w:r w:rsidRPr="00E55D15">
        <w:t>Pharmacokinetics</w:t>
      </w:r>
      <w:bookmarkEnd w:id="17"/>
      <w:bookmarkEnd w:id="18"/>
      <w:r>
        <w:t xml:space="preserve"> </w:t>
      </w:r>
    </w:p>
    <w:p w:rsidR="00FD5F83" w:rsidRDefault="00FD5F83" w:rsidP="00E55D15">
      <w:pPr>
        <w:pStyle w:val="Heading3"/>
      </w:pPr>
      <w:bookmarkStart w:id="19" w:name="_Ref271017296"/>
      <w:bookmarkStart w:id="20" w:name="_Ref271018924"/>
      <w:bookmarkStart w:id="21" w:name="_Ref271018934"/>
      <w:bookmarkStart w:id="22" w:name="_Toc272414614"/>
      <w:bookmarkStart w:id="23" w:name="_Toc290846238"/>
      <w:bookmarkStart w:id="24" w:name="_Toc247598294"/>
      <w:bookmarkStart w:id="25" w:name="_Toc396729338"/>
      <w:r>
        <w:t>Studies</w:t>
      </w:r>
      <w:bookmarkEnd w:id="19"/>
      <w:bookmarkEnd w:id="20"/>
      <w:bookmarkEnd w:id="21"/>
      <w:r>
        <w:t xml:space="preserve"> </w:t>
      </w:r>
      <w:r w:rsidRPr="00E55D15">
        <w:t>providing</w:t>
      </w:r>
      <w:r>
        <w:t xml:space="preserve"> pharmacokinetic data</w:t>
      </w:r>
      <w:bookmarkEnd w:id="22"/>
      <w:bookmarkEnd w:id="23"/>
      <w:bookmarkEnd w:id="24"/>
      <w:bookmarkEnd w:id="25"/>
    </w:p>
    <w:p w:rsidR="00B213FE" w:rsidRDefault="00FD5F83" w:rsidP="00E55D15">
      <w:r w:rsidRPr="00995791">
        <w:t xml:space="preserve">There were no new pharmacokinetic (PK) studies in the submission. Some sparse PK sampling was included in the pivotal efficacy study and the resulting PK data </w:t>
      </w:r>
      <w:r w:rsidRPr="00182042">
        <w:t xml:space="preserve">are summarised in </w:t>
      </w:r>
      <w:r w:rsidR="00446165">
        <w:t xml:space="preserve">Table </w:t>
      </w:r>
      <w:r w:rsidR="00182042" w:rsidRPr="00182042">
        <w:t>1 below</w:t>
      </w:r>
      <w:r w:rsidRPr="00182042">
        <w:t>.</w:t>
      </w:r>
    </w:p>
    <w:p w:rsidR="00B213FE" w:rsidRDefault="00B213FE">
      <w:pPr>
        <w:spacing w:before="0" w:after="200" w:line="0" w:lineRule="auto"/>
      </w:pPr>
      <w:r>
        <w:br w:type="page"/>
      </w:r>
    </w:p>
    <w:p w:rsidR="005602DF" w:rsidRDefault="005602DF" w:rsidP="00E55D15">
      <w:pPr>
        <w:pStyle w:val="TableTitle"/>
      </w:pPr>
      <w:proofErr w:type="gramStart"/>
      <w:r>
        <w:t>Table 1.</w:t>
      </w:r>
      <w:proofErr w:type="gramEnd"/>
      <w:r>
        <w:t xml:space="preserve"> </w:t>
      </w:r>
      <w:r w:rsidRPr="00E55D15">
        <w:t>Pharmacokinetic</w:t>
      </w:r>
      <w:r>
        <w:t xml:space="preserve"> results</w:t>
      </w:r>
    </w:p>
    <w:p w:rsidR="005602DF" w:rsidRDefault="005602DF" w:rsidP="00E55D15">
      <w:r>
        <w:t xml:space="preserve">Results for </w:t>
      </w:r>
      <w:proofErr w:type="gramStart"/>
      <w:r w:rsidRPr="00985DD4">
        <w:t>AUC</w:t>
      </w:r>
      <w:r w:rsidRPr="00446165">
        <w:rPr>
          <w:vertAlign w:val="subscript"/>
        </w:rPr>
        <w:t>(</w:t>
      </w:r>
      <w:proofErr w:type="gramEnd"/>
      <w:r w:rsidRPr="00446165">
        <w:rPr>
          <w:vertAlign w:val="subscript"/>
        </w:rPr>
        <w:t>0-12).</w:t>
      </w:r>
      <w:proofErr w:type="spellStart"/>
      <w:r w:rsidRPr="00446165">
        <w:rPr>
          <w:vertAlign w:val="subscript"/>
        </w:rPr>
        <w:t>ss</w:t>
      </w:r>
      <w:proofErr w:type="spellEnd"/>
      <w:r>
        <w:t xml:space="preserve"> were as follows:</w:t>
      </w:r>
    </w:p>
    <w:p w:rsidR="005602DF" w:rsidRDefault="005602DF" w:rsidP="00E55D15">
      <w:r>
        <w:rPr>
          <w:noProof/>
          <w:lang w:eastAsia="en-AU"/>
        </w:rPr>
        <w:drawing>
          <wp:inline distT="0" distB="0" distL="0" distR="0" wp14:anchorId="1780F627" wp14:editId="496FE333">
            <wp:extent cx="4783015" cy="1078499"/>
            <wp:effectExtent l="0" t="0" r="0" b="7620"/>
            <wp:docPr id="19" name="Picture 18" descr="Table 1. Results for AUC (0-12).ss" title="Table 1. Results for AUC (0-12).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4354" cy="1078801"/>
                    </a:xfrm>
                    <a:prstGeom prst="rect">
                      <a:avLst/>
                    </a:prstGeom>
                    <a:noFill/>
                    <a:ln>
                      <a:noFill/>
                    </a:ln>
                  </pic:spPr>
                </pic:pic>
              </a:graphicData>
            </a:graphic>
          </wp:inline>
        </w:drawing>
      </w:r>
      <w:r w:rsidRPr="00561659">
        <w:t xml:space="preserve"> </w:t>
      </w:r>
    </w:p>
    <w:p w:rsidR="005602DF" w:rsidRPr="001C1DF6" w:rsidRDefault="005602DF" w:rsidP="00E55D15">
      <w:pPr>
        <w:rPr>
          <w:lang w:val="en-US"/>
        </w:rPr>
      </w:pPr>
      <w:r w:rsidRPr="001C1DF6">
        <w:rPr>
          <w:lang w:val="en-US"/>
        </w:rPr>
        <w:t>An exposure-efficacy analysis was undertaken. Median PFS was longer in the quartile of subjects with the highest AUC compared to subjects with lower AUCs. However, the analysis was based on small numbers of subjects in the quartiles, and the 95% CIs were largely overlapping.</w:t>
      </w:r>
    </w:p>
    <w:p w:rsidR="005602DF" w:rsidRDefault="005602DF" w:rsidP="00E55D15">
      <w:pPr>
        <w:rPr>
          <w:lang w:val="en-US"/>
        </w:rPr>
      </w:pPr>
      <w:r w:rsidRPr="001C1DF6">
        <w:rPr>
          <w:lang w:val="en-US"/>
        </w:rPr>
        <w:t xml:space="preserve">An exposure-safety analysis was also undertaken. No obvious clinically relevant relationship was observed between </w:t>
      </w:r>
      <w:proofErr w:type="spellStart"/>
      <w:r w:rsidRPr="001C1DF6">
        <w:rPr>
          <w:lang w:val="en-US"/>
        </w:rPr>
        <w:t>sorafenib</w:t>
      </w:r>
      <w:proofErr w:type="spellEnd"/>
      <w:r w:rsidRPr="001C1DF6">
        <w:rPr>
          <w:lang w:val="en-US"/>
        </w:rPr>
        <w:t xml:space="preserve"> AUC and incidence or severity of treatment-emergent AEs in the PK population.</w:t>
      </w:r>
    </w:p>
    <w:p w:rsidR="005602DF" w:rsidRPr="00B6480A" w:rsidRDefault="005602DF" w:rsidP="00E55D15">
      <w:pPr>
        <w:rPr>
          <w:lang w:val="en-US"/>
        </w:rPr>
      </w:pPr>
      <w:r>
        <w:rPr>
          <w:lang w:val="en-US"/>
        </w:rPr>
        <w:t xml:space="preserve">Steady state plasma </w:t>
      </w:r>
      <w:proofErr w:type="spellStart"/>
      <w:r>
        <w:rPr>
          <w:lang w:val="en-US"/>
        </w:rPr>
        <w:t>sorafenib</w:t>
      </w:r>
      <w:proofErr w:type="spellEnd"/>
      <w:r>
        <w:rPr>
          <w:lang w:val="en-US"/>
        </w:rPr>
        <w:t xml:space="preserve"> </w:t>
      </w:r>
      <w:r w:rsidRPr="00985DD4">
        <w:t xml:space="preserve">AUC </w:t>
      </w:r>
      <w:r w:rsidRPr="00561659">
        <w:rPr>
          <w:vertAlign w:val="subscript"/>
        </w:rPr>
        <w:t>(0-12)</w:t>
      </w:r>
      <w:r>
        <w:t xml:space="preserve"> was compared between thyroid cancer subjects and subjects with other tumour types from 25 other </w:t>
      </w:r>
      <w:proofErr w:type="spellStart"/>
      <w:r>
        <w:t>sorafenib</w:t>
      </w:r>
      <w:proofErr w:type="spellEnd"/>
      <w:r>
        <w:t xml:space="preserve"> studies. </w:t>
      </w:r>
      <w:r w:rsidRPr="00B6480A">
        <w:t>Subjects wit</w:t>
      </w:r>
      <w:r>
        <w:t xml:space="preserve">hin the non-thyroid cancer pool </w:t>
      </w:r>
      <w:r w:rsidRPr="00B6480A">
        <w:t xml:space="preserve">were administered 400 mg bid </w:t>
      </w:r>
      <w:proofErr w:type="spellStart"/>
      <w:r w:rsidRPr="00B6480A">
        <w:t>sorafenib</w:t>
      </w:r>
      <w:proofErr w:type="spellEnd"/>
      <w:r w:rsidRPr="00B6480A">
        <w:t>, with samples collected at steady state following at</w:t>
      </w:r>
      <w:r>
        <w:t xml:space="preserve"> </w:t>
      </w:r>
      <w:r w:rsidRPr="00B6480A">
        <w:t xml:space="preserve">least 7 days of uninterrupted dosing. </w:t>
      </w:r>
      <w:r>
        <w:t>Results were summarised in the following table:</w:t>
      </w:r>
    </w:p>
    <w:p w:rsidR="005602DF" w:rsidRDefault="005602DF" w:rsidP="00E55D15">
      <w:r>
        <w:rPr>
          <w:noProof/>
          <w:lang w:eastAsia="en-AU"/>
        </w:rPr>
        <w:drawing>
          <wp:inline distT="0" distB="0" distL="0" distR="0" wp14:anchorId="646BFBBC" wp14:editId="1DA53DD4">
            <wp:extent cx="4532923" cy="1774684"/>
            <wp:effectExtent l="0" t="0" r="1270" b="0"/>
            <wp:docPr id="20" name="Picture 19" descr="Steady state plasma sorafenib AUC (0-12) was compared between thyroid cancer subjects and subjects with other tumour types from 25 other sorafenib studies. Subjects within the non-thyroid cancer pool were administered 400 mg bid sorafenib, with samples collected at steady state following at least 7 days of uninterrupted dosing. " title="Summar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548"/>
                    <a:stretch/>
                  </pic:blipFill>
                  <pic:spPr bwMode="auto">
                    <a:xfrm>
                      <a:off x="0" y="0"/>
                      <a:ext cx="4534970" cy="1775486"/>
                    </a:xfrm>
                    <a:prstGeom prst="rect">
                      <a:avLst/>
                    </a:prstGeom>
                    <a:noFill/>
                    <a:ln>
                      <a:noFill/>
                    </a:ln>
                    <a:extLst>
                      <a:ext uri="{53640926-AAD7-44D8-BBD7-CCE9431645EC}">
                        <a14:shadowObscured xmlns:a14="http://schemas.microsoft.com/office/drawing/2010/main"/>
                      </a:ext>
                    </a:extLst>
                  </pic:spPr>
                </pic:pic>
              </a:graphicData>
            </a:graphic>
          </wp:inline>
        </w:drawing>
      </w:r>
    </w:p>
    <w:p w:rsidR="005602DF" w:rsidRDefault="005602DF" w:rsidP="00E55D15">
      <w:pPr>
        <w:rPr>
          <w:bCs/>
        </w:rPr>
      </w:pPr>
      <w:r w:rsidRPr="0006207D">
        <w:t xml:space="preserve">These data suggest that systemic exposure to </w:t>
      </w:r>
      <w:proofErr w:type="spellStart"/>
      <w:r w:rsidRPr="0006207D">
        <w:t>sorafenib</w:t>
      </w:r>
      <w:proofErr w:type="spellEnd"/>
      <w:r w:rsidRPr="0006207D">
        <w:t xml:space="preserve"> in patients with thyroid cancer is higher (by approximately 70%) than in patients with other tumour types.</w:t>
      </w:r>
      <w:r>
        <w:rPr>
          <w:b/>
          <w:bCs/>
        </w:rPr>
        <w:t xml:space="preserve"> </w:t>
      </w:r>
      <w:r w:rsidRPr="00B6480A">
        <w:rPr>
          <w:bCs/>
        </w:rPr>
        <w:t>The sponsor proposed the hypothesis</w:t>
      </w:r>
      <w:r>
        <w:rPr>
          <w:b/>
          <w:bCs/>
        </w:rPr>
        <w:t xml:space="preserve"> </w:t>
      </w:r>
      <w:r>
        <w:rPr>
          <w:bCs/>
        </w:rPr>
        <w:t xml:space="preserve">that </w:t>
      </w:r>
      <w:proofErr w:type="spellStart"/>
      <w:r>
        <w:rPr>
          <w:bCs/>
        </w:rPr>
        <w:t>thyroxine</w:t>
      </w:r>
      <w:proofErr w:type="spellEnd"/>
      <w:r>
        <w:rPr>
          <w:bCs/>
        </w:rPr>
        <w:t xml:space="preserve"> treatment in subjects with thyroid cancer may inhibit </w:t>
      </w:r>
      <w:proofErr w:type="spellStart"/>
      <w:r>
        <w:rPr>
          <w:bCs/>
        </w:rPr>
        <w:t>glucuronidation</w:t>
      </w:r>
      <w:proofErr w:type="spellEnd"/>
      <w:r>
        <w:rPr>
          <w:bCs/>
        </w:rPr>
        <w:t xml:space="preserve"> by UGT1A9, and its metabolite T3 may inhibit CYP3A4. Both UGT1A9 and CYP3A4 are involved in the metabolism of </w:t>
      </w:r>
      <w:proofErr w:type="spellStart"/>
      <w:r>
        <w:rPr>
          <w:bCs/>
        </w:rPr>
        <w:t>sorafenib</w:t>
      </w:r>
      <w:proofErr w:type="spellEnd"/>
      <w:r>
        <w:rPr>
          <w:bCs/>
        </w:rPr>
        <w:t xml:space="preserve">. However, the sponsor also notes that a previously evaluated study demonstrated that the potent CYP3A4 inhibitor ketoconazole had no effect on </w:t>
      </w:r>
      <w:proofErr w:type="spellStart"/>
      <w:r>
        <w:rPr>
          <w:bCs/>
        </w:rPr>
        <w:t>sorafenib</w:t>
      </w:r>
      <w:proofErr w:type="spellEnd"/>
      <w:r>
        <w:rPr>
          <w:bCs/>
        </w:rPr>
        <w:t xml:space="preserve"> exposure.</w:t>
      </w:r>
    </w:p>
    <w:p w:rsidR="00FD5F83" w:rsidRDefault="00FD5F83" w:rsidP="00E55D15">
      <w:pPr>
        <w:pStyle w:val="Heading3"/>
      </w:pPr>
      <w:bookmarkStart w:id="26" w:name="_Ref269118175"/>
      <w:bookmarkStart w:id="27" w:name="_Toc272414616"/>
      <w:bookmarkStart w:id="28" w:name="_Toc290846239"/>
      <w:bookmarkStart w:id="29" w:name="_Toc247598295"/>
      <w:bookmarkStart w:id="30" w:name="_Toc396729339"/>
      <w:r>
        <w:t xml:space="preserve">Summary of </w:t>
      </w:r>
      <w:r w:rsidRPr="00E55D15">
        <w:t>pharmacokinetics</w:t>
      </w:r>
      <w:bookmarkEnd w:id="26"/>
      <w:bookmarkEnd w:id="27"/>
      <w:bookmarkEnd w:id="28"/>
      <w:bookmarkEnd w:id="29"/>
      <w:bookmarkEnd w:id="30"/>
    </w:p>
    <w:p w:rsidR="00FD5F83" w:rsidRPr="005C1A8F" w:rsidRDefault="00FD5F83" w:rsidP="00E55D15">
      <w:r>
        <w:t xml:space="preserve">The limited PK sampling data suggest that systemic exposure to </w:t>
      </w:r>
      <w:proofErr w:type="spellStart"/>
      <w:r>
        <w:t>sorafenib</w:t>
      </w:r>
      <w:proofErr w:type="spellEnd"/>
      <w:r>
        <w:t xml:space="preserve"> will be higher (by approximately 70%) in subjects with thyroid cancer than in subjects with other tumour types. The reason(s) for this observation have not been determined.</w:t>
      </w:r>
    </w:p>
    <w:p w:rsidR="00FD5F83" w:rsidRPr="00200C69" w:rsidRDefault="00FD5F83" w:rsidP="00E55D15">
      <w:pPr>
        <w:ind w:left="567"/>
      </w:pPr>
      <w:r>
        <w:t>Comment:</w:t>
      </w:r>
      <w:r w:rsidR="001F3800">
        <w:t xml:space="preserve"> </w:t>
      </w:r>
      <w:r>
        <w:t xml:space="preserve">The concern raised by this finding is that toxicity of </w:t>
      </w:r>
      <w:proofErr w:type="spellStart"/>
      <w:r>
        <w:t>sorafenib</w:t>
      </w:r>
      <w:proofErr w:type="spellEnd"/>
      <w:r>
        <w:t xml:space="preserve"> may be greater in thyroid cancer subjects than in patients with other tumour types. </w:t>
      </w:r>
      <w:r>
        <w:rPr>
          <w:lang w:val="en-US"/>
        </w:rPr>
        <w:t>The study report stated that i</w:t>
      </w:r>
      <w:r w:rsidRPr="00200C69">
        <w:rPr>
          <w:lang w:val="en-US"/>
        </w:rPr>
        <w:t xml:space="preserve">nvestigations </w:t>
      </w:r>
      <w:r>
        <w:rPr>
          <w:lang w:val="en-US"/>
        </w:rPr>
        <w:t>were</w:t>
      </w:r>
      <w:r w:rsidRPr="00200C69">
        <w:rPr>
          <w:lang w:val="en-US"/>
        </w:rPr>
        <w:t xml:space="preserve"> ongoing within </w:t>
      </w:r>
      <w:r>
        <w:rPr>
          <w:lang w:val="en-US"/>
        </w:rPr>
        <w:t>the sponsor</w:t>
      </w:r>
      <w:r w:rsidRPr="00200C69">
        <w:rPr>
          <w:lang w:val="en-US"/>
        </w:rPr>
        <w:t xml:space="preserve"> to determine the mechanism responsible for</w:t>
      </w:r>
      <w:r>
        <w:rPr>
          <w:lang w:val="en-US"/>
        </w:rPr>
        <w:t xml:space="preserve"> </w:t>
      </w:r>
      <w:r w:rsidRPr="00200C69">
        <w:rPr>
          <w:lang w:val="en-US"/>
        </w:rPr>
        <w:t xml:space="preserve">the increase in </w:t>
      </w:r>
      <w:proofErr w:type="spellStart"/>
      <w:r w:rsidRPr="00200C69">
        <w:rPr>
          <w:lang w:val="en-US"/>
        </w:rPr>
        <w:t>sorafenib</w:t>
      </w:r>
      <w:proofErr w:type="spellEnd"/>
      <w:r w:rsidRPr="00200C69">
        <w:rPr>
          <w:lang w:val="en-US"/>
        </w:rPr>
        <w:t xml:space="preserve"> exposure.</w:t>
      </w:r>
      <w:r>
        <w:rPr>
          <w:lang w:val="en-US"/>
        </w:rPr>
        <w:t xml:space="preserve"> The sponsor should be asked for an update on the progress of these investigations.</w:t>
      </w:r>
    </w:p>
    <w:p w:rsidR="00586F98" w:rsidRDefault="00586F98" w:rsidP="00E55D15">
      <w:pPr>
        <w:pStyle w:val="Heading2"/>
      </w:pPr>
      <w:bookmarkStart w:id="31" w:name="_Toc396729340"/>
      <w:r w:rsidRPr="00E55D15">
        <w:lastRenderedPageBreak/>
        <w:t>Pharmacodynamics</w:t>
      </w:r>
      <w:bookmarkEnd w:id="31"/>
    </w:p>
    <w:p w:rsidR="00FD5F83" w:rsidRDefault="00FD5F83" w:rsidP="00E55D15">
      <w:r>
        <w:t xml:space="preserve">The starting dose chosen for the pivotal study was 400 mg BD, which is the same starting dose approved for current indications of hepatocellular carcinoma and renal cell carcinoma. The rationale for the 400 mg BD dose was not discussed in the current submission, but it appears to have been the maximum tolerated dose (MTD) in early phase 1 studies </w:t>
      </w:r>
      <w:r w:rsidRPr="002F3753">
        <w:rPr>
          <w:vertAlign w:val="superscript"/>
        </w:rPr>
        <w:t>(10)</w:t>
      </w:r>
      <w:r w:rsidRPr="002F3753">
        <w:t>.</w:t>
      </w:r>
    </w:p>
    <w:p w:rsidR="00586F98" w:rsidRDefault="00C22678" w:rsidP="00E55D15">
      <w:pPr>
        <w:pStyle w:val="Heading2"/>
      </w:pPr>
      <w:bookmarkStart w:id="32" w:name="_Toc396729341"/>
      <w:r>
        <w:t>Dosage selection for the pivotal studies</w:t>
      </w:r>
      <w:bookmarkEnd w:id="32"/>
    </w:p>
    <w:p w:rsidR="00FD5F83" w:rsidRDefault="00FD5F83" w:rsidP="00E55D15">
      <w:pPr>
        <w:pStyle w:val="Heading3"/>
      </w:pPr>
      <w:bookmarkStart w:id="33" w:name="_Toc272414637"/>
      <w:bookmarkStart w:id="34" w:name="_Toc290846260"/>
      <w:bookmarkStart w:id="35" w:name="_Toc247598297"/>
      <w:bookmarkStart w:id="36" w:name="_Toc396729342"/>
      <w:r>
        <w:t xml:space="preserve">Studies </w:t>
      </w:r>
      <w:r w:rsidRPr="00E55D15">
        <w:t>providing</w:t>
      </w:r>
      <w:r>
        <w:t xml:space="preserve"> </w:t>
      </w:r>
      <w:proofErr w:type="spellStart"/>
      <w:r>
        <w:t>pharmacodynamic</w:t>
      </w:r>
      <w:proofErr w:type="spellEnd"/>
      <w:r>
        <w:t xml:space="preserve"> data</w:t>
      </w:r>
      <w:bookmarkEnd w:id="33"/>
      <w:bookmarkEnd w:id="34"/>
      <w:bookmarkEnd w:id="35"/>
      <w:bookmarkEnd w:id="36"/>
    </w:p>
    <w:p w:rsidR="00FD5F83" w:rsidRDefault="00FD5F83" w:rsidP="00E55D15">
      <w:r>
        <w:t xml:space="preserve">No new </w:t>
      </w:r>
      <w:proofErr w:type="spellStart"/>
      <w:r>
        <w:t>pharmacodynamic</w:t>
      </w:r>
      <w:proofErr w:type="spellEnd"/>
      <w:r>
        <w:t xml:space="preserve"> studies were included in the submission. The pivotal study (14295) included exploratory analyses of the relationship between tumour mutations and </w:t>
      </w:r>
      <w:proofErr w:type="spellStart"/>
      <w:r>
        <w:t>sorafenib</w:t>
      </w:r>
      <w:proofErr w:type="spellEnd"/>
      <w:r>
        <w:t xml:space="preserve"> efficacy. These data are reviewed in </w:t>
      </w:r>
      <w:r w:rsidR="001F3800" w:rsidRPr="001F3800">
        <w:rPr>
          <w:i/>
          <w:noProof/>
        </w:rPr>
        <w:t>Results for other efficacy outcomes</w:t>
      </w:r>
      <w:r>
        <w:t>.</w:t>
      </w:r>
    </w:p>
    <w:p w:rsidR="00C22678" w:rsidRDefault="00C22678" w:rsidP="00E55D15">
      <w:pPr>
        <w:pStyle w:val="Heading2"/>
      </w:pPr>
      <w:bookmarkStart w:id="37" w:name="_Toc396729343"/>
      <w:r w:rsidRPr="00E55D15">
        <w:t>Clinical</w:t>
      </w:r>
      <w:r>
        <w:t xml:space="preserve"> efficacy</w:t>
      </w:r>
      <w:bookmarkEnd w:id="37"/>
    </w:p>
    <w:p w:rsidR="00FD5F83" w:rsidRDefault="00FD5F83" w:rsidP="00E55D15">
      <w:pPr>
        <w:pStyle w:val="Heading3"/>
      </w:pPr>
      <w:bookmarkStart w:id="38" w:name="_Ref271037274"/>
      <w:bookmarkStart w:id="39" w:name="_Toc272414652"/>
      <w:bookmarkStart w:id="40" w:name="_Toc290846274"/>
      <w:bookmarkStart w:id="41" w:name="_Toc247598300"/>
      <w:bookmarkStart w:id="42" w:name="_Toc396729344"/>
      <w:r>
        <w:t xml:space="preserve">Pivotal </w:t>
      </w:r>
      <w:r w:rsidRPr="00E55D15">
        <w:t>efficacy</w:t>
      </w:r>
      <w:r>
        <w:t xml:space="preserve"> stud</w:t>
      </w:r>
      <w:bookmarkEnd w:id="38"/>
      <w:bookmarkEnd w:id="39"/>
      <w:bookmarkEnd w:id="40"/>
      <w:r>
        <w:t>y</w:t>
      </w:r>
      <w:bookmarkEnd w:id="41"/>
      <w:bookmarkEnd w:id="42"/>
    </w:p>
    <w:p w:rsidR="00FD5F83" w:rsidRDefault="00FD5F83" w:rsidP="00E55D15">
      <w:r>
        <w:t xml:space="preserve">The pivotal efficacy study was </w:t>
      </w:r>
      <w:r w:rsidR="000C18FC">
        <w:t>Study 14</w:t>
      </w:r>
      <w:r>
        <w:t>295, also known as the DECISION study (</w:t>
      </w:r>
      <w:proofErr w:type="spellStart"/>
      <w:r>
        <w:t>stu</w:t>
      </w:r>
      <w:r w:rsidRPr="000931B7">
        <w:rPr>
          <w:b/>
        </w:rPr>
        <w:t>D</w:t>
      </w:r>
      <w:r>
        <w:t>y</w:t>
      </w:r>
      <w:proofErr w:type="spellEnd"/>
      <w:r>
        <w:t xml:space="preserve"> of </w:t>
      </w:r>
      <w:proofErr w:type="spellStart"/>
      <w:r>
        <w:t>soraf</w:t>
      </w:r>
      <w:r w:rsidRPr="000931B7">
        <w:rPr>
          <w:b/>
        </w:rPr>
        <w:t>E</w:t>
      </w:r>
      <w:r>
        <w:t>nib</w:t>
      </w:r>
      <w:proofErr w:type="spellEnd"/>
      <w:r>
        <w:t xml:space="preserve"> in </w:t>
      </w:r>
      <w:proofErr w:type="spellStart"/>
      <w:r>
        <w:t>lo</w:t>
      </w:r>
      <w:r w:rsidRPr="000931B7">
        <w:rPr>
          <w:b/>
        </w:rPr>
        <w:t>C</w:t>
      </w:r>
      <w:r>
        <w:t>ally</w:t>
      </w:r>
      <w:proofErr w:type="spellEnd"/>
      <w:r>
        <w:t xml:space="preserve"> advanced or </w:t>
      </w:r>
      <w:proofErr w:type="spellStart"/>
      <w:r>
        <w:t>metastat</w:t>
      </w:r>
      <w:r w:rsidRPr="000931B7">
        <w:rPr>
          <w:b/>
        </w:rPr>
        <w:t>I</w:t>
      </w:r>
      <w:r>
        <w:t>c</w:t>
      </w:r>
      <w:proofErr w:type="spellEnd"/>
      <w:r>
        <w:t xml:space="preserve"> </w:t>
      </w:r>
      <w:proofErr w:type="spellStart"/>
      <w:r>
        <w:t>patient</w:t>
      </w:r>
      <w:r w:rsidRPr="000931B7">
        <w:rPr>
          <w:b/>
        </w:rPr>
        <w:t>S</w:t>
      </w:r>
      <w:proofErr w:type="spellEnd"/>
      <w:r>
        <w:t xml:space="preserve"> with radioactive </w:t>
      </w:r>
      <w:r w:rsidRPr="000931B7">
        <w:rPr>
          <w:b/>
        </w:rPr>
        <w:t>I</w:t>
      </w:r>
      <w:r>
        <w:t xml:space="preserve">odine refractory </w:t>
      </w:r>
      <w:proofErr w:type="spellStart"/>
      <w:r>
        <w:t>thyr</w:t>
      </w:r>
      <w:r w:rsidRPr="000931B7">
        <w:rPr>
          <w:b/>
        </w:rPr>
        <w:t>O</w:t>
      </w:r>
      <w:r>
        <w:t>id</w:t>
      </w:r>
      <w:proofErr w:type="spellEnd"/>
      <w:r>
        <w:t xml:space="preserve"> </w:t>
      </w:r>
      <w:proofErr w:type="spellStart"/>
      <w:r>
        <w:t>ca</w:t>
      </w:r>
      <w:r w:rsidRPr="000931B7">
        <w:rPr>
          <w:b/>
        </w:rPr>
        <w:t>N</w:t>
      </w:r>
      <w:r>
        <w:t>cer</w:t>
      </w:r>
      <w:proofErr w:type="spellEnd"/>
      <w:r>
        <w:t>).</w:t>
      </w:r>
    </w:p>
    <w:p w:rsidR="00FD5F83" w:rsidRPr="003C0A48" w:rsidRDefault="00FD5F83" w:rsidP="00E55D15">
      <w:pPr>
        <w:pStyle w:val="Heading4"/>
      </w:pPr>
      <w:bookmarkStart w:id="43" w:name="_Ref246150295"/>
      <w:bookmarkStart w:id="44" w:name="_Ref246150994"/>
      <w:bookmarkStart w:id="45" w:name="_Toc247598301"/>
      <w:r w:rsidRPr="003C0A48">
        <w:t>Study design, objectives, locations and dates</w:t>
      </w:r>
      <w:bookmarkEnd w:id="43"/>
      <w:bookmarkEnd w:id="44"/>
      <w:bookmarkEnd w:id="45"/>
    </w:p>
    <w:p w:rsidR="00FD5F83" w:rsidRDefault="00FD5F83" w:rsidP="00E55D15">
      <w:r>
        <w:t xml:space="preserve">The study was a </w:t>
      </w:r>
      <w:r w:rsidR="000C18FC">
        <w:t>Phase III</w:t>
      </w:r>
      <w:r>
        <w:t xml:space="preserve">, randomised, double blind, placebo-controlled trial. A study schema is </w:t>
      </w:r>
      <w:r w:rsidRPr="00182042">
        <w:t xml:space="preserve">shown </w:t>
      </w:r>
      <w:r w:rsidR="00143E57">
        <w:t>in Figure 1</w:t>
      </w:r>
      <w:r w:rsidRPr="00182042">
        <w:t>.</w:t>
      </w:r>
    </w:p>
    <w:p w:rsidR="00E55D15" w:rsidRDefault="00182042" w:rsidP="00E55D15">
      <w:pPr>
        <w:pStyle w:val="FigureTitle"/>
      </w:pPr>
      <w:proofErr w:type="gramStart"/>
      <w:r>
        <w:t>Figure 1.</w:t>
      </w:r>
      <w:proofErr w:type="gramEnd"/>
      <w:r>
        <w:t xml:space="preserve"> Study schema for the pivotal study</w:t>
      </w:r>
    </w:p>
    <w:p w:rsidR="00182042" w:rsidRDefault="00182042" w:rsidP="00E55D15">
      <w:r>
        <w:rPr>
          <w:noProof/>
          <w:lang w:eastAsia="en-AU"/>
        </w:rPr>
        <w:drawing>
          <wp:inline distT="0" distB="0" distL="0" distR="0" wp14:anchorId="6741C262" wp14:editId="60CB17AB">
            <wp:extent cx="4650154" cy="2253964"/>
            <wp:effectExtent l="0" t="0" r="0" b="0"/>
            <wp:docPr id="46" name="Picture 1" descr="Figure 1. Study schema for the pivotal study" title="Figure 1. Study schema for the pivo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620" cy="2253220"/>
                    </a:xfrm>
                    <a:prstGeom prst="rect">
                      <a:avLst/>
                    </a:prstGeom>
                    <a:noFill/>
                    <a:ln>
                      <a:noFill/>
                    </a:ln>
                  </pic:spPr>
                </pic:pic>
              </a:graphicData>
            </a:graphic>
          </wp:inline>
        </w:drawing>
      </w:r>
    </w:p>
    <w:p w:rsidR="00FD5F83" w:rsidRDefault="00FD5F83" w:rsidP="00E55D15">
      <w:r>
        <w:t xml:space="preserve">The </w:t>
      </w:r>
      <w:r w:rsidRPr="00E55D15">
        <w:rPr>
          <w:b/>
        </w:rPr>
        <w:t>primary</w:t>
      </w:r>
      <w:r>
        <w:t xml:space="preserve"> objective of this study was to compare </w:t>
      </w:r>
      <w:proofErr w:type="spellStart"/>
      <w:r>
        <w:t>sorafenib</w:t>
      </w:r>
      <w:proofErr w:type="spellEnd"/>
      <w:r>
        <w:t xml:space="preserve"> and placebo in terms of progression-free survival (PFS) in subjects with DTC who were refractory to RAI treatment.</w:t>
      </w:r>
    </w:p>
    <w:p w:rsidR="00FD5F83" w:rsidRDefault="00FD5F83" w:rsidP="00E55D15">
      <w:pPr>
        <w:rPr>
          <w:lang w:val="en-US"/>
        </w:rPr>
      </w:pPr>
      <w:r w:rsidRPr="00EE13B4">
        <w:rPr>
          <w:lang w:val="en-US"/>
        </w:rPr>
        <w:t xml:space="preserve">The </w:t>
      </w:r>
      <w:r w:rsidRPr="00E55D15">
        <w:rPr>
          <w:b/>
          <w:lang w:val="en-US"/>
        </w:rPr>
        <w:t>secondary</w:t>
      </w:r>
      <w:r w:rsidRPr="00EE13B4">
        <w:rPr>
          <w:lang w:val="en-US"/>
        </w:rPr>
        <w:t xml:space="preserve"> objectives were</w:t>
      </w:r>
      <w:r>
        <w:rPr>
          <w:lang w:val="en-US"/>
        </w:rPr>
        <w:t xml:space="preserve"> to:</w:t>
      </w:r>
    </w:p>
    <w:p w:rsidR="00FD5F83" w:rsidRPr="00116847" w:rsidRDefault="00FD5F83" w:rsidP="00E55D15">
      <w:pPr>
        <w:pStyle w:val="Numberbullet0"/>
        <w:rPr>
          <w:lang w:val="en-US"/>
        </w:rPr>
      </w:pPr>
      <w:r w:rsidRPr="00EE13B4">
        <w:rPr>
          <w:lang w:val="en-US"/>
        </w:rPr>
        <w:t xml:space="preserve">Compare the </w:t>
      </w:r>
      <w:proofErr w:type="spellStart"/>
      <w:r w:rsidRPr="00E55D15">
        <w:t>sorafenib</w:t>
      </w:r>
      <w:proofErr w:type="spellEnd"/>
      <w:r w:rsidRPr="00EE13B4">
        <w:rPr>
          <w:lang w:val="en-US"/>
        </w:rPr>
        <w:t xml:space="preserve"> and placebo treatment groups in terms of:</w:t>
      </w:r>
    </w:p>
    <w:p w:rsidR="00FD5F83" w:rsidRDefault="00FD5F83" w:rsidP="00E55D15">
      <w:pPr>
        <w:pStyle w:val="Numberbullet2"/>
      </w:pPr>
      <w:r w:rsidRPr="00E55D15">
        <w:t>Overall</w:t>
      </w:r>
      <w:r>
        <w:t xml:space="preserve"> survival (OS);</w:t>
      </w:r>
    </w:p>
    <w:p w:rsidR="00FD5F83" w:rsidRDefault="00FD5F83" w:rsidP="00E55D15">
      <w:pPr>
        <w:pStyle w:val="Numberbullet2"/>
      </w:pPr>
      <w:r w:rsidRPr="00E55D15">
        <w:t>Time</w:t>
      </w:r>
      <w:r w:rsidRPr="00EE13B4">
        <w:rPr>
          <w:lang w:val="en-US"/>
        </w:rPr>
        <w:t xml:space="preserve"> to progression (TTP)</w:t>
      </w:r>
      <w:r>
        <w:rPr>
          <w:lang w:val="en-US"/>
        </w:rPr>
        <w:t>;</w:t>
      </w:r>
    </w:p>
    <w:p w:rsidR="00FD5F83" w:rsidRPr="00E55D15" w:rsidRDefault="00FD5F83" w:rsidP="00E55D15">
      <w:pPr>
        <w:pStyle w:val="Numberbullet2"/>
      </w:pPr>
      <w:r w:rsidRPr="00E55D15">
        <w:t>Disease control rate (DCR);</w:t>
      </w:r>
    </w:p>
    <w:p w:rsidR="00FD5F83" w:rsidRPr="00E55D15" w:rsidRDefault="00FD5F83" w:rsidP="00E55D15">
      <w:pPr>
        <w:pStyle w:val="Numberbullet2"/>
      </w:pPr>
      <w:r w:rsidRPr="00E55D15">
        <w:lastRenderedPageBreak/>
        <w:t>Response rate (RR);</w:t>
      </w:r>
    </w:p>
    <w:p w:rsidR="00FD5F83" w:rsidRPr="00E55D15" w:rsidRDefault="00FD5F83" w:rsidP="00E55D15">
      <w:pPr>
        <w:pStyle w:val="Numberbullet2"/>
      </w:pPr>
      <w:r w:rsidRPr="00E55D15">
        <w:t>Duration of response (DOR);</w:t>
      </w:r>
    </w:p>
    <w:p w:rsidR="00FD5F83" w:rsidRPr="00E55D15" w:rsidRDefault="00FD5F83" w:rsidP="00E55D15">
      <w:pPr>
        <w:pStyle w:val="Numberbullet2"/>
      </w:pPr>
      <w:r w:rsidRPr="00E55D15">
        <w:t>Safety, including assessment of adverse events (AEs) and abnormalities in laboratory parameters.</w:t>
      </w:r>
    </w:p>
    <w:p w:rsidR="00FD5F83" w:rsidRPr="00EE13B4" w:rsidRDefault="00FD5F83" w:rsidP="00E55D15">
      <w:pPr>
        <w:pStyle w:val="Numberbullet0"/>
        <w:rPr>
          <w:lang w:val="en-US"/>
        </w:rPr>
      </w:pPr>
      <w:r w:rsidRPr="00EE13B4">
        <w:rPr>
          <w:lang w:val="en-US"/>
        </w:rPr>
        <w:t xml:space="preserve">Describe the exposure of </w:t>
      </w:r>
      <w:proofErr w:type="spellStart"/>
      <w:r w:rsidRPr="00EE13B4">
        <w:rPr>
          <w:lang w:val="en-US"/>
        </w:rPr>
        <w:t>sorafenib</w:t>
      </w:r>
      <w:proofErr w:type="spellEnd"/>
      <w:r w:rsidRPr="00EE13B4">
        <w:rPr>
          <w:lang w:val="en-US"/>
        </w:rPr>
        <w:t xml:space="preserve"> in subjects with DTC using the area under the concentration time curve from time</w:t>
      </w:r>
      <w:r>
        <w:rPr>
          <w:lang w:val="en-US"/>
        </w:rPr>
        <w:t xml:space="preserve"> 0 to 12 hours at steady state </w:t>
      </w:r>
      <w:r w:rsidRPr="00EE13B4">
        <w:rPr>
          <w:lang w:val="en-US"/>
        </w:rPr>
        <w:t>[AUC</w:t>
      </w:r>
      <w:r w:rsidRPr="00116847">
        <w:rPr>
          <w:vertAlign w:val="subscript"/>
          <w:lang w:val="en-US"/>
        </w:rPr>
        <w:t xml:space="preserve"> (0-12)</w:t>
      </w:r>
      <w:r w:rsidRPr="00EE13B4">
        <w:rPr>
          <w:lang w:val="en-US"/>
        </w:rPr>
        <w:t xml:space="preserve">. </w:t>
      </w:r>
      <w:proofErr w:type="spellStart"/>
      <w:r w:rsidRPr="00EE13B4">
        <w:rPr>
          <w:lang w:val="en-US"/>
        </w:rPr>
        <w:t>ss</w:t>
      </w:r>
      <w:proofErr w:type="spellEnd"/>
      <w:r w:rsidRPr="00EE13B4">
        <w:rPr>
          <w:lang w:val="en-US"/>
        </w:rPr>
        <w:t>]</w:t>
      </w:r>
    </w:p>
    <w:p w:rsidR="00FD5F83" w:rsidRDefault="00FD5F83" w:rsidP="00E55D15">
      <w:pPr>
        <w:pStyle w:val="Numberbullet0"/>
        <w:numPr>
          <w:ilvl w:val="0"/>
          <w:numId w:val="0"/>
        </w:numPr>
        <w:ind w:left="425"/>
      </w:pPr>
      <w:r w:rsidRPr="00E55D15">
        <w:rPr>
          <w:b/>
        </w:rPr>
        <w:t>Exploratory</w:t>
      </w:r>
      <w:r>
        <w:t xml:space="preserve"> objectives of the study were to examine:</w:t>
      </w:r>
    </w:p>
    <w:p w:rsidR="00FD5F83" w:rsidRPr="00116847" w:rsidRDefault="00FD5F83" w:rsidP="001F3800">
      <w:pPr>
        <w:pStyle w:val="Numberbullet2"/>
      </w:pPr>
      <w:r w:rsidRPr="00116847">
        <w:t>Health-Related Quality of Life (</w:t>
      </w:r>
      <w:proofErr w:type="spellStart"/>
      <w:r w:rsidRPr="00116847">
        <w:t>HRQoL</w:t>
      </w:r>
      <w:proofErr w:type="spellEnd"/>
      <w:r w:rsidRPr="00116847">
        <w:t>)</w:t>
      </w:r>
      <w:r>
        <w:t>/</w:t>
      </w:r>
      <w:r w:rsidRPr="00116847">
        <w:t>Healthy Utility Values</w:t>
      </w:r>
    </w:p>
    <w:p w:rsidR="00FD5F83" w:rsidRPr="00116847" w:rsidRDefault="00FD5F83" w:rsidP="001F3800">
      <w:pPr>
        <w:pStyle w:val="Numberbullet2"/>
      </w:pPr>
      <w:r w:rsidRPr="00116847">
        <w:t>Biomarker analysis</w:t>
      </w:r>
    </w:p>
    <w:p w:rsidR="00FD5F83" w:rsidRPr="00116847" w:rsidRDefault="00FD5F83" w:rsidP="001F3800">
      <w:pPr>
        <w:pStyle w:val="Numberbullet2"/>
      </w:pPr>
      <w:r w:rsidRPr="00116847">
        <w:t xml:space="preserve">PFS after </w:t>
      </w:r>
      <w:proofErr w:type="spellStart"/>
      <w:r w:rsidRPr="00116847">
        <w:t>unblinding</w:t>
      </w:r>
      <w:proofErr w:type="spellEnd"/>
      <w:r w:rsidRPr="00116847">
        <w:t xml:space="preserve"> until further disease progression in subjects who had received placebo and crossed over to </w:t>
      </w:r>
      <w:proofErr w:type="spellStart"/>
      <w:r w:rsidRPr="00116847">
        <w:t>sorafenib</w:t>
      </w:r>
      <w:proofErr w:type="spellEnd"/>
      <w:r w:rsidRPr="00116847">
        <w:t xml:space="preserve"> treatment</w:t>
      </w:r>
    </w:p>
    <w:p w:rsidR="00FD5F83" w:rsidRPr="00116847" w:rsidRDefault="00FD5F83" w:rsidP="001F3800">
      <w:pPr>
        <w:pStyle w:val="Numberbullet2"/>
      </w:pPr>
      <w:r w:rsidRPr="00116847">
        <w:t xml:space="preserve">PFS after </w:t>
      </w:r>
      <w:proofErr w:type="spellStart"/>
      <w:r w:rsidRPr="00116847">
        <w:t>unblinding</w:t>
      </w:r>
      <w:proofErr w:type="spellEnd"/>
      <w:r w:rsidRPr="00116847">
        <w:t xml:space="preserve"> until further disease progression in subjects who had received </w:t>
      </w:r>
      <w:proofErr w:type="spellStart"/>
      <w:r w:rsidRPr="00116847">
        <w:t>sorafenib</w:t>
      </w:r>
      <w:proofErr w:type="spellEnd"/>
      <w:r w:rsidRPr="00116847">
        <w:t xml:space="preserve"> and continued </w:t>
      </w:r>
      <w:proofErr w:type="spellStart"/>
      <w:r w:rsidRPr="00116847">
        <w:t>sorafenib</w:t>
      </w:r>
      <w:proofErr w:type="spellEnd"/>
      <w:r w:rsidRPr="00116847">
        <w:t xml:space="preserve"> treatment</w:t>
      </w:r>
    </w:p>
    <w:p w:rsidR="00FD5F83" w:rsidRDefault="00FD5F83" w:rsidP="00E55D15">
      <w:r>
        <w:t>The trial was conducted in 81 centres in 18 countries, as follows:</w:t>
      </w:r>
    </w:p>
    <w:p w:rsidR="00FD5F83" w:rsidRDefault="00FD5F83" w:rsidP="00E55D15">
      <w:pPr>
        <w:pStyle w:val="ListBullet"/>
      </w:pPr>
      <w:r>
        <w:t>Europe (9 centres each in the United Kingdom and Italy; 8 in France; 6 in Germany; 4 each in Poland and in Sweden; 2 each in Spain and the Netherlands;</w:t>
      </w:r>
      <w:r w:rsidRPr="00F843E9">
        <w:t xml:space="preserve"> </w:t>
      </w:r>
      <w:r>
        <w:t>1 centre each in Austria, Belgium, Bulgaria, Denmark, and Russia)</w:t>
      </w:r>
    </w:p>
    <w:p w:rsidR="00FD5F83" w:rsidRDefault="00FD5F83" w:rsidP="00E55D15">
      <w:pPr>
        <w:pStyle w:val="ListBullet"/>
      </w:pPr>
      <w:r>
        <w:t xml:space="preserve">North America (13 centres in the United States); and </w:t>
      </w:r>
    </w:p>
    <w:p w:rsidR="00FD5F83" w:rsidRDefault="00FD5F83" w:rsidP="00E55D15">
      <w:pPr>
        <w:pStyle w:val="ListBullet"/>
      </w:pPr>
      <w:r>
        <w:t>Asia (8 centres in China, 6 in South Korea, 4 in Japan, 1 in Saudi Arabia).</w:t>
      </w:r>
    </w:p>
    <w:p w:rsidR="00FD5F83" w:rsidRDefault="00FD5F83" w:rsidP="00E55D15">
      <w:r>
        <w:t>The first subject was enrolled on 15 October 2009. The submitted study report included data up to a cut-off date of 31 August 2012. The date of the study report itself was dated 29 May 2013.</w:t>
      </w:r>
    </w:p>
    <w:p w:rsidR="00FD5F83" w:rsidRPr="002D4175" w:rsidRDefault="00FD5F83" w:rsidP="00E55D15">
      <w:r w:rsidRPr="00BC1AC2">
        <w:t xml:space="preserve">At the time of writing, the results of the study do not appear to have been published other than as a </w:t>
      </w:r>
      <w:r w:rsidRPr="002D4175">
        <w:t xml:space="preserve">conference abstract </w:t>
      </w:r>
      <w:r w:rsidRPr="002D4175">
        <w:rPr>
          <w:vertAlign w:val="superscript"/>
        </w:rPr>
        <w:t>(11)</w:t>
      </w:r>
      <w:r w:rsidRPr="002D4175">
        <w:t>.</w:t>
      </w:r>
    </w:p>
    <w:p w:rsidR="00FD5F83" w:rsidRPr="004B259C" w:rsidRDefault="00FD5F83" w:rsidP="00E55D15">
      <w:pPr>
        <w:pStyle w:val="Heading4"/>
      </w:pPr>
      <w:bookmarkStart w:id="46" w:name="_Toc247598302"/>
      <w:r w:rsidRPr="004B259C">
        <w:t xml:space="preserve">Inclusion and exclusion </w:t>
      </w:r>
      <w:r w:rsidRPr="00E55D15">
        <w:t>criteria</w:t>
      </w:r>
      <w:bookmarkEnd w:id="46"/>
    </w:p>
    <w:p w:rsidR="00FD5F83" w:rsidRDefault="001F3800" w:rsidP="00E55D15">
      <w:pPr>
        <w:ind w:left="567"/>
      </w:pPr>
      <w:r>
        <w:t xml:space="preserve">Comment: </w:t>
      </w:r>
      <w:r w:rsidR="00FD5F83">
        <w:t>The inclusion and exclusion criteria show that the trial intended to enrol a population of subjects with advanced or metastatic disease, which was progressing and which was not amenable to further treatment with RAI, surgery or radiotherapy.</w:t>
      </w:r>
    </w:p>
    <w:p w:rsidR="00FD5F83" w:rsidRPr="004B259C" w:rsidRDefault="00FD5F83" w:rsidP="00E55D15">
      <w:pPr>
        <w:pStyle w:val="Heading4"/>
      </w:pPr>
      <w:bookmarkStart w:id="47" w:name="_Ref246151271"/>
      <w:bookmarkStart w:id="48" w:name="_Toc247598303"/>
      <w:r w:rsidRPr="004B259C">
        <w:t xml:space="preserve">Study </w:t>
      </w:r>
      <w:r w:rsidRPr="00E55D15">
        <w:t>treatments</w:t>
      </w:r>
      <w:bookmarkEnd w:id="47"/>
      <w:bookmarkEnd w:id="48"/>
    </w:p>
    <w:p w:rsidR="00FD5F83" w:rsidRDefault="00FD5F83" w:rsidP="00E55D15">
      <w:r>
        <w:t xml:space="preserve">Subjects were randomised (1:1) to receive either </w:t>
      </w:r>
      <w:proofErr w:type="spellStart"/>
      <w:r>
        <w:t>sorafenib</w:t>
      </w:r>
      <w:proofErr w:type="spellEnd"/>
      <w:r>
        <w:t xml:space="preserve"> 400 mg twice daily or matching placebo twice daily. Each dose was to be taken 12 hours apart without food, at least 1 hour before or 2 hours after a meal.</w:t>
      </w:r>
    </w:p>
    <w:p w:rsidR="00FD5F83" w:rsidRDefault="00FD5F83" w:rsidP="00E55D15">
      <w:pPr>
        <w:ind w:left="567"/>
      </w:pPr>
      <w:r>
        <w:t>Comment:</w:t>
      </w:r>
      <w:r w:rsidR="001F3800">
        <w:t xml:space="preserve"> </w:t>
      </w:r>
      <w:r>
        <w:t xml:space="preserve">According to the currently approved product information (PI) for </w:t>
      </w:r>
      <w:proofErr w:type="spellStart"/>
      <w:r>
        <w:t>sorafenib</w:t>
      </w:r>
      <w:proofErr w:type="spellEnd"/>
      <w:r>
        <w:t>, the drug can be taken either without food or with a moderate-fat meal. However, a high-fat meal reduced bioavailability by 29%.</w:t>
      </w:r>
    </w:p>
    <w:p w:rsidR="00FD5F83" w:rsidRDefault="00FD5F83" w:rsidP="00E55D15">
      <w:r>
        <w:t xml:space="preserve">Treatment was administered continuously. However, for the purposes of the trial, a treatment ‘cycle’ consisted of 28 days of treatment. </w:t>
      </w:r>
      <w:r w:rsidRPr="00B52471">
        <w:t xml:space="preserve">Subjects continued on </w:t>
      </w:r>
      <w:r>
        <w:t xml:space="preserve">their assigned </w:t>
      </w:r>
      <w:r w:rsidRPr="00B52471">
        <w:t xml:space="preserve">treatment until disease progression, unacceptable toxicity, noncompliance or withdrawal of consent. </w:t>
      </w:r>
    </w:p>
    <w:p w:rsidR="00FD5F83" w:rsidRDefault="00FD5F83" w:rsidP="00E55D15">
      <w:r>
        <w:t xml:space="preserve">In the event of toxicity, the dose of </w:t>
      </w:r>
      <w:proofErr w:type="spellStart"/>
      <w:r>
        <w:t>sorafenib</w:t>
      </w:r>
      <w:proofErr w:type="spellEnd"/>
      <w:r>
        <w:t xml:space="preserve"> or placebo could be reduced from 800 mg/day to as low as 200 mg/day. The dose reductions used and the criteria for implementing them are </w:t>
      </w:r>
      <w:r w:rsidRPr="00F725FD">
        <w:t xml:space="preserve">summarised in </w:t>
      </w:r>
      <w:r w:rsidR="0058415A">
        <w:t xml:space="preserve">Table </w:t>
      </w:r>
      <w:r w:rsidR="00F725FD" w:rsidRPr="00F725FD">
        <w:t>2</w:t>
      </w:r>
      <w:r w:rsidRPr="00F725FD">
        <w:t>.</w:t>
      </w:r>
    </w:p>
    <w:p w:rsidR="00F725FD" w:rsidRDefault="00F725FD" w:rsidP="00E55D15">
      <w:pPr>
        <w:pStyle w:val="TableTitle"/>
      </w:pPr>
      <w:proofErr w:type="gramStart"/>
      <w:r>
        <w:lastRenderedPageBreak/>
        <w:t>Table 2.</w:t>
      </w:r>
      <w:proofErr w:type="gramEnd"/>
      <w:r>
        <w:t xml:space="preserve"> </w:t>
      </w:r>
      <w:r w:rsidRPr="00E55D15">
        <w:t>Study</w:t>
      </w:r>
      <w:r>
        <w:t xml:space="preserve"> 14295 Dose reductions for toxicity</w:t>
      </w:r>
      <w:r w:rsidR="007B32FA">
        <w:t xml:space="preserve">. </w:t>
      </w:r>
      <w:proofErr w:type="gramStart"/>
      <w:r w:rsidR="007B32FA">
        <w:t>Tables a) to e).</w:t>
      </w:r>
      <w:proofErr w:type="gramEnd"/>
    </w:p>
    <w:p w:rsidR="00F725FD" w:rsidRDefault="00143E57" w:rsidP="00E55D15">
      <w:pPr>
        <w:pStyle w:val="TableTitle"/>
      </w:pPr>
      <w:r>
        <w:t xml:space="preserve">a) </w:t>
      </w:r>
      <w:r w:rsidR="00F725FD" w:rsidRPr="00E55D15">
        <w:t>Levels</w:t>
      </w:r>
      <w:r w:rsidR="00F725FD">
        <w:t xml:space="preserve"> of dose reduction</w:t>
      </w:r>
    </w:p>
    <w:p w:rsidR="00F725FD" w:rsidRPr="00732486" w:rsidRDefault="00F725FD" w:rsidP="007B32FA">
      <w:r>
        <w:rPr>
          <w:noProof/>
          <w:lang w:eastAsia="en-AU"/>
        </w:rPr>
        <w:drawing>
          <wp:inline distT="0" distB="0" distL="0" distR="0" wp14:anchorId="6A57F4CD" wp14:editId="4B575C13">
            <wp:extent cx="3915508" cy="1437376"/>
            <wp:effectExtent l="0" t="0" r="0" b="0"/>
            <wp:docPr id="47" name="Picture 2" descr="a) Levels of dose reduction" title="Table 2. Study 14295 Dose reductions for toxicity. Tables a)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537" cy="1440690"/>
                    </a:xfrm>
                    <a:prstGeom prst="rect">
                      <a:avLst/>
                    </a:prstGeom>
                    <a:noFill/>
                    <a:ln>
                      <a:noFill/>
                    </a:ln>
                  </pic:spPr>
                </pic:pic>
              </a:graphicData>
            </a:graphic>
          </wp:inline>
        </w:drawing>
      </w:r>
    </w:p>
    <w:p w:rsidR="00F725FD" w:rsidRDefault="00F725FD" w:rsidP="00143E57">
      <w:pPr>
        <w:pStyle w:val="TableTitle"/>
      </w:pPr>
      <w:r>
        <w:t>b) Haematological toxicities - Dose reductions/delays</w:t>
      </w:r>
    </w:p>
    <w:p w:rsidR="00F725FD" w:rsidRDefault="00F725FD" w:rsidP="00E55D15">
      <w:r>
        <w:rPr>
          <w:noProof/>
          <w:lang w:eastAsia="en-AU"/>
        </w:rPr>
        <w:drawing>
          <wp:inline distT="0" distB="0" distL="0" distR="0" wp14:anchorId="71742B8D" wp14:editId="10B7BA95">
            <wp:extent cx="3950283" cy="859693"/>
            <wp:effectExtent l="0" t="0" r="0" b="0"/>
            <wp:docPr id="48" name="Picture 3" descr="b) Haematological toxicities - Dose reductions/delays" title="Table 2. Study 14295 Dose reductions for toxicity. Tables a)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8333"/>
                    <a:stretch/>
                  </pic:blipFill>
                  <pic:spPr bwMode="auto">
                    <a:xfrm>
                      <a:off x="0" y="0"/>
                      <a:ext cx="3973660" cy="864781"/>
                    </a:xfrm>
                    <a:prstGeom prst="rect">
                      <a:avLst/>
                    </a:prstGeom>
                    <a:noFill/>
                    <a:ln>
                      <a:noFill/>
                    </a:ln>
                    <a:extLst>
                      <a:ext uri="{53640926-AAD7-44D8-BBD7-CCE9431645EC}">
                        <a14:shadowObscured xmlns:a14="http://schemas.microsoft.com/office/drawing/2010/main"/>
                      </a:ext>
                    </a:extLst>
                  </pic:spPr>
                </pic:pic>
              </a:graphicData>
            </a:graphic>
          </wp:inline>
        </w:drawing>
      </w:r>
    </w:p>
    <w:p w:rsidR="00F725FD" w:rsidRDefault="00F725FD" w:rsidP="00143E57">
      <w:pPr>
        <w:pStyle w:val="TableTitle"/>
      </w:pPr>
      <w:r>
        <w:t>c) Non-haematological toxicities - Dose reductions/delays</w:t>
      </w:r>
    </w:p>
    <w:p w:rsidR="00F725FD" w:rsidRDefault="00F725FD" w:rsidP="00E55D15">
      <w:r>
        <w:rPr>
          <w:noProof/>
          <w:lang w:eastAsia="en-AU"/>
        </w:rPr>
        <w:drawing>
          <wp:inline distT="0" distB="0" distL="0" distR="0" wp14:anchorId="737DB16E" wp14:editId="380CB7DB">
            <wp:extent cx="3798277" cy="2055446"/>
            <wp:effectExtent l="0" t="0" r="0" b="2540"/>
            <wp:docPr id="49" name="Picture 4" descr="c) Non-haematological toxicities - Dose reductions/delays" title="Table 2. Study 14295 Dose reductions for toxicity. Tables a)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b="2929"/>
                    <a:stretch/>
                  </pic:blipFill>
                  <pic:spPr bwMode="auto">
                    <a:xfrm>
                      <a:off x="0" y="0"/>
                      <a:ext cx="3806870" cy="2060096"/>
                    </a:xfrm>
                    <a:prstGeom prst="rect">
                      <a:avLst/>
                    </a:prstGeom>
                    <a:noFill/>
                    <a:ln>
                      <a:noFill/>
                    </a:ln>
                    <a:extLst>
                      <a:ext uri="{53640926-AAD7-44D8-BBD7-CCE9431645EC}">
                        <a14:shadowObscured xmlns:a14="http://schemas.microsoft.com/office/drawing/2010/main"/>
                      </a:ext>
                    </a:extLst>
                  </pic:spPr>
                </pic:pic>
              </a:graphicData>
            </a:graphic>
          </wp:inline>
        </w:drawing>
      </w:r>
    </w:p>
    <w:p w:rsidR="00F725FD" w:rsidRDefault="00F725FD" w:rsidP="00143E57">
      <w:pPr>
        <w:pStyle w:val="TableTitle"/>
      </w:pPr>
      <w:r>
        <w:t>d) Hypertension - Dose reductions/delays</w:t>
      </w:r>
    </w:p>
    <w:p w:rsidR="00F725FD" w:rsidRDefault="00F725FD" w:rsidP="00E55D15">
      <w:r>
        <w:rPr>
          <w:noProof/>
          <w:lang w:eastAsia="en-AU"/>
        </w:rPr>
        <w:drawing>
          <wp:inline distT="0" distB="0" distL="0" distR="0" wp14:anchorId="5AF61FCD" wp14:editId="2F2EF41C">
            <wp:extent cx="3962400" cy="1844430"/>
            <wp:effectExtent l="0" t="0" r="0" b="3810"/>
            <wp:docPr id="50" name="Picture 5" descr="d) Hypertension - Dose reductions/delays" title="Table 2. Study 14295 Dose reductions for toxicity. Tables a)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3028"/>
                    <a:stretch/>
                  </pic:blipFill>
                  <pic:spPr bwMode="auto">
                    <a:xfrm>
                      <a:off x="0" y="0"/>
                      <a:ext cx="3964785" cy="1845540"/>
                    </a:xfrm>
                    <a:prstGeom prst="rect">
                      <a:avLst/>
                    </a:prstGeom>
                    <a:noFill/>
                    <a:ln>
                      <a:noFill/>
                    </a:ln>
                    <a:extLst>
                      <a:ext uri="{53640926-AAD7-44D8-BBD7-CCE9431645EC}">
                        <a14:shadowObscured xmlns:a14="http://schemas.microsoft.com/office/drawing/2010/main"/>
                      </a:ext>
                    </a:extLst>
                  </pic:spPr>
                </pic:pic>
              </a:graphicData>
            </a:graphic>
          </wp:inline>
        </w:drawing>
      </w:r>
    </w:p>
    <w:p w:rsidR="00F725FD" w:rsidRDefault="00F725FD" w:rsidP="00143E57">
      <w:pPr>
        <w:pStyle w:val="TableTitle"/>
      </w:pPr>
      <w:r>
        <w:lastRenderedPageBreak/>
        <w:t>e) Skin toxicity - Dose reductions/delays</w:t>
      </w:r>
    </w:p>
    <w:p w:rsidR="00F725FD" w:rsidRDefault="00F725FD" w:rsidP="00E55D15">
      <w:r>
        <w:rPr>
          <w:noProof/>
          <w:lang w:eastAsia="en-AU"/>
        </w:rPr>
        <w:drawing>
          <wp:inline distT="0" distB="0" distL="0" distR="0" wp14:anchorId="37579A95" wp14:editId="36D219C0">
            <wp:extent cx="3572558" cy="2039815"/>
            <wp:effectExtent l="0" t="0" r="8890" b="0"/>
            <wp:docPr id="51" name="Picture 6" descr="e) Skin toxicity - Dose reductions/delays" title="Table 2. Study 14295 Dose reductions for toxicity. Tables a) to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8200" cy="2043036"/>
                    </a:xfrm>
                    <a:prstGeom prst="rect">
                      <a:avLst/>
                    </a:prstGeom>
                    <a:noFill/>
                    <a:ln>
                      <a:noFill/>
                    </a:ln>
                  </pic:spPr>
                </pic:pic>
              </a:graphicData>
            </a:graphic>
          </wp:inline>
        </w:drawing>
      </w:r>
    </w:p>
    <w:p w:rsidR="00FD5F83" w:rsidRDefault="00FD5F83" w:rsidP="00E55D15">
      <w:r>
        <w:t xml:space="preserve">If confirmed disease progression occurred while on treatment, the study treatment could be </w:t>
      </w:r>
      <w:proofErr w:type="spellStart"/>
      <w:r>
        <w:t>unblinded</w:t>
      </w:r>
      <w:proofErr w:type="spellEnd"/>
      <w:r>
        <w:t xml:space="preserve">. Subjects who had been receiving </w:t>
      </w:r>
      <w:proofErr w:type="spellStart"/>
      <w:r>
        <w:t>sorafenib</w:t>
      </w:r>
      <w:proofErr w:type="spellEnd"/>
      <w:r>
        <w:t xml:space="preserve"> could continue to receive the drug. Subjects who had been receiving placebo could cross over to </w:t>
      </w:r>
      <w:proofErr w:type="spellStart"/>
      <w:r>
        <w:t>sorafenib</w:t>
      </w:r>
      <w:proofErr w:type="spellEnd"/>
      <w:r>
        <w:t xml:space="preserve">. Subjects were then able to continue to receive </w:t>
      </w:r>
      <w:proofErr w:type="spellStart"/>
      <w:r>
        <w:t>sorafenib</w:t>
      </w:r>
      <w:proofErr w:type="spellEnd"/>
      <w:r>
        <w:t xml:space="preserve"> until unacceptable toxicity, lack of benefit based on the investigator’s judgment, withdrawal of consent or death.</w:t>
      </w:r>
    </w:p>
    <w:p w:rsidR="00FD5F83" w:rsidRDefault="00FD5F83" w:rsidP="00E55D15">
      <w:r>
        <w:t>The following treatments were prohibited during the study: strong CYP3A4 inducers, investigational therapies, other anticancer therapies, anticoagulants (other than low-dose warfarin, low-dose aspirin or prophylactic doses of heparins) and concomitant radioiodine therapy.</w:t>
      </w:r>
    </w:p>
    <w:p w:rsidR="00FD5F83" w:rsidRPr="004B259C" w:rsidRDefault="00FD5F83" w:rsidP="00E55D15">
      <w:pPr>
        <w:pStyle w:val="Heading4"/>
      </w:pPr>
      <w:bookmarkStart w:id="49" w:name="_Toc247598304"/>
      <w:r w:rsidRPr="004B259C">
        <w:t xml:space="preserve">Efficacy </w:t>
      </w:r>
      <w:r w:rsidRPr="00E55D15">
        <w:t>variables</w:t>
      </w:r>
      <w:r w:rsidRPr="004B259C">
        <w:t xml:space="preserve"> and outcomes</w:t>
      </w:r>
      <w:bookmarkEnd w:id="49"/>
    </w:p>
    <w:p w:rsidR="00FD5F83" w:rsidRPr="00F725FD" w:rsidRDefault="00FD5F83" w:rsidP="00E55D15">
      <w:r w:rsidRPr="004B259C">
        <w:t xml:space="preserve">The </w:t>
      </w:r>
      <w:r w:rsidRPr="00F725FD">
        <w:t>main efficacy variables were:</w:t>
      </w:r>
    </w:p>
    <w:p w:rsidR="00FD5F83" w:rsidRPr="00F725FD" w:rsidRDefault="00FD5F83" w:rsidP="00E55D15">
      <w:pPr>
        <w:pStyle w:val="ListBullet"/>
      </w:pPr>
      <w:r w:rsidRPr="00F725FD">
        <w:t xml:space="preserve">Change in tumour size/load as assessed by modified Response Evaluation Criteria in Solid Tumours (RECIST) version 1.0 </w:t>
      </w:r>
    </w:p>
    <w:p w:rsidR="00FD5F83" w:rsidRPr="004B259C" w:rsidRDefault="00FD5F83" w:rsidP="00E55D15">
      <w:pPr>
        <w:pStyle w:val="ListBullet"/>
      </w:pPr>
      <w:r>
        <w:t>Progression-free survival and overall survival.</w:t>
      </w:r>
    </w:p>
    <w:p w:rsidR="00FD5F83" w:rsidRDefault="00FD5F83" w:rsidP="00E55D15">
      <w:r w:rsidRPr="004B259C">
        <w:t xml:space="preserve">The </w:t>
      </w:r>
      <w:r w:rsidRPr="00E55D15">
        <w:rPr>
          <w:b/>
        </w:rPr>
        <w:t>primary efficacy outcome</w:t>
      </w:r>
      <w:r w:rsidRPr="004B259C">
        <w:t xml:space="preserve"> was </w:t>
      </w:r>
      <w:r>
        <w:t>progression-free survival (PFS) defined as the time from the date of randomisation to the date of any of the following:</w:t>
      </w:r>
    </w:p>
    <w:p w:rsidR="00FD5F83" w:rsidRDefault="00FD5F83" w:rsidP="00E55D15">
      <w:pPr>
        <w:pStyle w:val="ListBullet"/>
      </w:pPr>
      <w:r w:rsidRPr="00E55D15">
        <w:t>Radiological</w:t>
      </w:r>
      <w:r>
        <w:t xml:space="preserve"> progression (as per RECIST criteria) as determined by a central independent radiology review panel; or</w:t>
      </w:r>
    </w:p>
    <w:p w:rsidR="00FD5F83" w:rsidRDefault="00FD5F83" w:rsidP="00E55D15">
      <w:pPr>
        <w:pStyle w:val="ListBullet"/>
      </w:pPr>
      <w:r>
        <w:t xml:space="preserve">The administration of </w:t>
      </w:r>
      <w:r w:rsidRPr="00E55D15">
        <w:t>radiotherapy</w:t>
      </w:r>
      <w:r>
        <w:t xml:space="preserve"> for the treatment of bone lesions; or </w:t>
      </w:r>
    </w:p>
    <w:p w:rsidR="00FD5F83" w:rsidRDefault="00FD5F83" w:rsidP="00E55D15">
      <w:pPr>
        <w:pStyle w:val="ListBullet"/>
      </w:pPr>
      <w:r w:rsidRPr="00E55D15">
        <w:t>Death</w:t>
      </w:r>
      <w:r>
        <w:t xml:space="preserve"> (if death occurred before progression)</w:t>
      </w:r>
      <w:r w:rsidRPr="004B259C">
        <w:t>.</w:t>
      </w:r>
    </w:p>
    <w:p w:rsidR="00FD5F83" w:rsidRPr="004B259C" w:rsidRDefault="00FD5F83" w:rsidP="00E55D15">
      <w:r w:rsidRPr="00E55D15">
        <w:rPr>
          <w:b/>
        </w:rPr>
        <w:t xml:space="preserve">Secondary efficacy outcomes </w:t>
      </w:r>
      <w:r>
        <w:t>included</w:t>
      </w:r>
      <w:r w:rsidRPr="004B259C">
        <w:t>:</w:t>
      </w:r>
    </w:p>
    <w:p w:rsidR="00FD5F83" w:rsidRPr="004B259C" w:rsidRDefault="00FD5F83" w:rsidP="00E55D15">
      <w:pPr>
        <w:pStyle w:val="ListBullet"/>
      </w:pPr>
      <w:r>
        <w:t xml:space="preserve">Overall </w:t>
      </w:r>
      <w:r w:rsidRPr="00E55D15">
        <w:t>survival</w:t>
      </w:r>
      <w:r>
        <w:t xml:space="preserve"> (OS), defined as the time from the date of randomisation to the date of death due to any cause.</w:t>
      </w:r>
    </w:p>
    <w:p w:rsidR="00FD5F83" w:rsidRPr="004B259C" w:rsidRDefault="00FD5F83" w:rsidP="00E55D15">
      <w:pPr>
        <w:pStyle w:val="ListBullet"/>
      </w:pPr>
      <w:r>
        <w:t xml:space="preserve">Time to progression (TTP), defined as the time from the date of randomisation to the date of </w:t>
      </w:r>
      <w:r w:rsidRPr="00E55D15">
        <w:t>radiological</w:t>
      </w:r>
      <w:r>
        <w:t xml:space="preserve"> progression (as per RECIST criteria) or the administration of radiotherapy for bone lesions.</w:t>
      </w:r>
    </w:p>
    <w:p w:rsidR="00FD5F83" w:rsidRDefault="00FD5F83" w:rsidP="00E55D15">
      <w:pPr>
        <w:pStyle w:val="ListBullet"/>
      </w:pPr>
      <w:r>
        <w:t xml:space="preserve">Response rate (RR), defined as the proportion of subjects who achieve a best overall tumour response of partial </w:t>
      </w:r>
      <w:r w:rsidRPr="00E55D15">
        <w:t>response</w:t>
      </w:r>
      <w:r>
        <w:t xml:space="preserve"> (PR) or complete response (CR) according to RECIST criteria during treatment or within 30 days after termination of study medication. </w:t>
      </w:r>
    </w:p>
    <w:p w:rsidR="00FD5F83" w:rsidRDefault="00FD5F83" w:rsidP="00E55D15">
      <w:pPr>
        <w:pStyle w:val="ListBullet"/>
      </w:pPr>
      <w:r>
        <w:t>Duration of response (</w:t>
      </w:r>
      <w:proofErr w:type="spellStart"/>
      <w:r>
        <w:t>DoR</w:t>
      </w:r>
      <w:proofErr w:type="spellEnd"/>
      <w:r>
        <w:t xml:space="preserve">), defined as the time from the first documented objective response of PR or CR (whichever is noted </w:t>
      </w:r>
      <w:r w:rsidRPr="00E55D15">
        <w:t>earlier</w:t>
      </w:r>
      <w:r>
        <w:t xml:space="preserve">) to disease progression or death (if death </w:t>
      </w:r>
      <w:r>
        <w:lastRenderedPageBreak/>
        <w:t>occurs before progression is documented). The date of disease progression was the date of first observation of progression.</w:t>
      </w:r>
    </w:p>
    <w:p w:rsidR="00FD5F83" w:rsidRDefault="00FD5F83" w:rsidP="00E55D15">
      <w:pPr>
        <w:pStyle w:val="ListBullet"/>
      </w:pPr>
      <w:r>
        <w:t xml:space="preserve">Disease control rate (DCR), defined as the proportion of subjects who have a best response rating of CR, </w:t>
      </w:r>
      <w:r w:rsidRPr="00E55D15">
        <w:t>PR</w:t>
      </w:r>
      <w:r>
        <w:t xml:space="preserve"> or SD according to RECIST criteria, that is achieved during treatment or within 30 days after termination of study medication.</w:t>
      </w:r>
    </w:p>
    <w:p w:rsidR="00FD5F83" w:rsidRDefault="00FD5F83" w:rsidP="00E55D15">
      <w:r>
        <w:t>Imaging studies (CT or MRI) were performed durin</w:t>
      </w:r>
      <w:r w:rsidR="001F3800">
        <w:t>g screening and every 56 days (D</w:t>
      </w:r>
      <w:r>
        <w:t xml:space="preserve">ay 1 of every </w:t>
      </w:r>
      <w:r w:rsidR="001F3800">
        <w:t>second</w:t>
      </w:r>
      <w:r>
        <w:t xml:space="preserve"> cycle) while on treatment, until disease progression. In subjects who discontinued due to reasons other than disease progression, imaging was performed at 30 days after stopping the drug and at every 3 months until death. Patients were followed up for survival every 3 months after disease progression or drug discontinuation.</w:t>
      </w:r>
    </w:p>
    <w:p w:rsidR="00FD5F83" w:rsidRDefault="00FD5F83" w:rsidP="00E55D15">
      <w:r>
        <w:t xml:space="preserve">A central blinded independent radiology review panel (consisting of 3 board-certified radiologists in the United States) reviewed all scans. </w:t>
      </w:r>
    </w:p>
    <w:p w:rsidR="00FD5F83" w:rsidRDefault="00FD5F83" w:rsidP="00E55D15">
      <w:pPr>
        <w:ind w:left="720"/>
      </w:pPr>
      <w:r>
        <w:t>Comment:</w:t>
      </w:r>
      <w:r w:rsidR="001F3800">
        <w:t xml:space="preserve"> </w:t>
      </w:r>
      <w:r>
        <w:t xml:space="preserve">PFS is an acceptable primary endpoint for </w:t>
      </w:r>
      <w:r w:rsidR="000C18FC">
        <w:t>Phase III</w:t>
      </w:r>
      <w:r>
        <w:t xml:space="preserve"> confirmatory studies according to the relevant EMA guideline adopted by the </w:t>
      </w:r>
      <w:r w:rsidRPr="002D4175">
        <w:t xml:space="preserve">TGA </w:t>
      </w:r>
      <w:r w:rsidRPr="002D4175">
        <w:rPr>
          <w:vertAlign w:val="superscript"/>
        </w:rPr>
        <w:t>(6)</w:t>
      </w:r>
      <w:r w:rsidRPr="002D4175">
        <w:t>. The</w:t>
      </w:r>
      <w:r>
        <w:t xml:space="preserve"> secondary efficacy endpoints are all standard for oncology studies.</w:t>
      </w:r>
    </w:p>
    <w:p w:rsidR="00FD5F83" w:rsidRPr="00461AE2" w:rsidRDefault="00FD5F83" w:rsidP="00E55D15">
      <w:pPr>
        <w:pStyle w:val="Heading5"/>
        <w:numPr>
          <w:ilvl w:val="0"/>
          <w:numId w:val="0"/>
        </w:numPr>
      </w:pPr>
      <w:r w:rsidRPr="00461AE2">
        <w:t>Exploratory efficacy outcomes</w:t>
      </w:r>
    </w:p>
    <w:p w:rsidR="00FD5F83" w:rsidRDefault="00FD5F83" w:rsidP="00E55D15">
      <w:r>
        <w:t xml:space="preserve">Examination of </w:t>
      </w:r>
      <w:proofErr w:type="spellStart"/>
      <w:r>
        <w:t>HRQoL</w:t>
      </w:r>
      <w:proofErr w:type="spellEnd"/>
      <w:r>
        <w:t xml:space="preserve"> was an exploratory objective in this study. </w:t>
      </w:r>
      <w:proofErr w:type="spellStart"/>
      <w:r>
        <w:t>HRQoL</w:t>
      </w:r>
      <w:proofErr w:type="spellEnd"/>
      <w:r>
        <w:t xml:space="preserve"> outcomes were referred to as ‘Patient Reported Outcomes (PRO)’. The instruments used to measure </w:t>
      </w:r>
      <w:proofErr w:type="spellStart"/>
      <w:r>
        <w:t>HRQoL</w:t>
      </w:r>
      <w:proofErr w:type="spellEnd"/>
      <w:r>
        <w:t xml:space="preserve"> were:</w:t>
      </w:r>
    </w:p>
    <w:p w:rsidR="00FD5F83" w:rsidRDefault="00FD5F83" w:rsidP="00E55D15">
      <w:pPr>
        <w:pStyle w:val="ListBullet"/>
      </w:pPr>
      <w:r>
        <w:t xml:space="preserve">The Functional Assessment of Cancer Therapy: General (FACT-G) version 4.0. This is a validated </w:t>
      </w:r>
      <w:r w:rsidRPr="00E55D15">
        <w:t>general</w:t>
      </w:r>
      <w:r>
        <w:t xml:space="preserve"> quality of life instrument. The questionnaire covers 4 domains (physical, social/family, emotional, and functional well-being) with a total of 27 items. </w:t>
      </w:r>
    </w:p>
    <w:p w:rsidR="00FD5F83" w:rsidRDefault="00FD5F83" w:rsidP="00E55D15">
      <w:pPr>
        <w:pStyle w:val="ListBullet"/>
      </w:pPr>
      <w:r>
        <w:t xml:space="preserve">The EQ-5D. This is a generic measure of </w:t>
      </w:r>
      <w:proofErr w:type="spellStart"/>
      <w:r>
        <w:t>QoL</w:t>
      </w:r>
      <w:proofErr w:type="spellEnd"/>
      <w:r>
        <w:t xml:space="preserve">. It consists of a questionnaire (index) and a visual analogue scale (VAS). The </w:t>
      </w:r>
      <w:r w:rsidRPr="00E55D15">
        <w:t>questionnaire</w:t>
      </w:r>
      <w:r>
        <w:t xml:space="preserve"> has five ‘dimensions’ (mobility, self-care, usual activities, pain/discomfort and anxiety/depression). For each dimension, the subject can choose one of three responses (e.g. no problems, some problems, </w:t>
      </w:r>
      <w:proofErr w:type="gramStart"/>
      <w:r>
        <w:t>severe</w:t>
      </w:r>
      <w:proofErr w:type="gramEnd"/>
      <w:r>
        <w:t xml:space="preserve"> problems). The VAS asks the subject to rate his or her current health state from 0 (‘worst imaginable health state’) to 100 (‘best imaginable health state’).</w:t>
      </w:r>
    </w:p>
    <w:p w:rsidR="00FD5F83" w:rsidRPr="004B259C" w:rsidRDefault="00E55D15" w:rsidP="00E55D15">
      <w:pPr>
        <w:pStyle w:val="ListBullet"/>
        <w:numPr>
          <w:ilvl w:val="0"/>
          <w:numId w:val="0"/>
        </w:numPr>
        <w:ind w:left="360"/>
      </w:pPr>
      <w:r>
        <w:t xml:space="preserve">Comment: </w:t>
      </w:r>
      <w:r w:rsidR="00FD5F83">
        <w:t xml:space="preserve">The </w:t>
      </w:r>
      <w:proofErr w:type="spellStart"/>
      <w:r w:rsidR="00FD5F83">
        <w:t>HRQoL</w:t>
      </w:r>
      <w:proofErr w:type="spellEnd"/>
      <w:r w:rsidR="00FD5F83">
        <w:t xml:space="preserve"> endpoints were only exploratory and the sponsor is not seeking to include any of the data in the PI. These data will therefore only be reviewed briefly.</w:t>
      </w:r>
    </w:p>
    <w:p w:rsidR="00FD5F83" w:rsidRDefault="00FD5F83" w:rsidP="00E55D15">
      <w:r>
        <w:t>‘Secondary PFS’ (</w:t>
      </w:r>
      <w:r w:rsidR="001F3800">
        <w:t xml:space="preserve">that is, </w:t>
      </w:r>
      <w:r>
        <w:t xml:space="preserve">from </w:t>
      </w:r>
      <w:proofErr w:type="spellStart"/>
      <w:r>
        <w:t>unblinding</w:t>
      </w:r>
      <w:proofErr w:type="spellEnd"/>
      <w:r>
        <w:t xml:space="preserve"> following first progression until further disease progression), was also an exploratory endpoint. </w:t>
      </w:r>
    </w:p>
    <w:p w:rsidR="00FD5F83" w:rsidRDefault="00FD5F83" w:rsidP="00E55D15">
      <w:r>
        <w:t xml:space="preserve">Another exploratory objective of the study was to analyse various biomarkers for prognostic value in the disease, and as predictors of benefit with </w:t>
      </w:r>
      <w:proofErr w:type="spellStart"/>
      <w:r>
        <w:t>sorafenib</w:t>
      </w:r>
      <w:proofErr w:type="spellEnd"/>
      <w:r>
        <w:t>. Tumour samples were tested using the ‘</w:t>
      </w:r>
      <w:proofErr w:type="spellStart"/>
      <w:r>
        <w:t>Sequenom</w:t>
      </w:r>
      <w:proofErr w:type="spellEnd"/>
      <w:r>
        <w:t xml:space="preserve"> </w:t>
      </w:r>
      <w:proofErr w:type="spellStart"/>
      <w:r>
        <w:t>OncoCarta</w:t>
      </w:r>
      <w:proofErr w:type="spellEnd"/>
      <w:r>
        <w:t xml:space="preserve"> 1.0’ mutation panel that tests for 238 mutations in 19 common oncogenes. The analysis focused on BRAF and RAS mutations.</w:t>
      </w:r>
    </w:p>
    <w:p w:rsidR="00FD5F83" w:rsidRPr="004B259C" w:rsidRDefault="00FD5F83" w:rsidP="00E55D15">
      <w:pPr>
        <w:pStyle w:val="Heading4"/>
      </w:pPr>
      <w:bookmarkStart w:id="50" w:name="_Toc247598305"/>
      <w:r w:rsidRPr="00E55D15">
        <w:t>Randomisation</w:t>
      </w:r>
      <w:r w:rsidRPr="004B259C">
        <w:t xml:space="preserve"> and blinding methods</w:t>
      </w:r>
      <w:bookmarkEnd w:id="50"/>
    </w:p>
    <w:p w:rsidR="00FD5F83" w:rsidRDefault="00FD5F83" w:rsidP="00E55D15">
      <w:r>
        <w:t xml:space="preserve">Subjects were randomised to either </w:t>
      </w:r>
      <w:proofErr w:type="spellStart"/>
      <w:r>
        <w:t>sorafenib</w:t>
      </w:r>
      <w:proofErr w:type="spellEnd"/>
      <w:r>
        <w:t xml:space="preserve"> or placebo </w:t>
      </w:r>
      <w:r w:rsidRPr="00903922">
        <w:t>via an interactive voice response system.</w:t>
      </w:r>
      <w:r>
        <w:rPr>
          <w:color w:val="FF0000"/>
        </w:rPr>
        <w:t xml:space="preserve"> </w:t>
      </w:r>
      <w:r>
        <w:t xml:space="preserve">Subjects were stratified at </w:t>
      </w:r>
      <w:r w:rsidR="001F3800">
        <w:t>randomisation</w:t>
      </w:r>
      <w:r>
        <w:t xml:space="preserve"> according to:</w:t>
      </w:r>
    </w:p>
    <w:p w:rsidR="00FD5F83" w:rsidRDefault="00FD5F83" w:rsidP="00E55D15">
      <w:pPr>
        <w:pStyle w:val="ListBullet"/>
      </w:pPr>
      <w:r>
        <w:t xml:space="preserve">Age (&lt; 60 years versus </w:t>
      </w:r>
      <w:r w:rsidR="001F3800">
        <w:t>≥</w:t>
      </w:r>
      <w:r>
        <w:t xml:space="preserve"> 60 years); and</w:t>
      </w:r>
    </w:p>
    <w:p w:rsidR="00FD5F83" w:rsidRDefault="00FD5F83" w:rsidP="00E55D15">
      <w:pPr>
        <w:pStyle w:val="ListBullet"/>
      </w:pPr>
      <w:r>
        <w:t>Geographical region (North America versus Europe versus Asia).</w:t>
      </w:r>
    </w:p>
    <w:p w:rsidR="00FD5F83" w:rsidRDefault="00FD5F83" w:rsidP="00E55D15">
      <w:r>
        <w:t xml:space="preserve">Investigators, the subjects and the sponsor were all blinded to treatment allocation through the use of a placebo that was identical in appearance to </w:t>
      </w:r>
      <w:proofErr w:type="spellStart"/>
      <w:r>
        <w:t>sorafenib</w:t>
      </w:r>
      <w:proofErr w:type="spellEnd"/>
      <w:r>
        <w:t>. The radiologists who conducted the central review of CT and MRI scans were also blinded to treatment allocation.</w:t>
      </w:r>
    </w:p>
    <w:p w:rsidR="00FD5F83" w:rsidRDefault="00FD5F83" w:rsidP="00E55D15">
      <w:pPr>
        <w:pStyle w:val="Heading4"/>
      </w:pPr>
      <w:bookmarkStart w:id="51" w:name="_Toc247598306"/>
      <w:r>
        <w:lastRenderedPageBreak/>
        <w:t xml:space="preserve">Analysis </w:t>
      </w:r>
      <w:r w:rsidRPr="00E55D15">
        <w:t>populations</w:t>
      </w:r>
      <w:bookmarkEnd w:id="51"/>
    </w:p>
    <w:p w:rsidR="00FD5F83" w:rsidRDefault="00FD5F83" w:rsidP="00E55D15">
      <w:r w:rsidRPr="003F46AD">
        <w:t>The</w:t>
      </w:r>
      <w:r>
        <w:rPr>
          <w:u w:val="single"/>
        </w:rPr>
        <w:t xml:space="preserve"> </w:t>
      </w:r>
      <w:r w:rsidRPr="00E55D15">
        <w:rPr>
          <w:b/>
        </w:rPr>
        <w:t>full analysis set (FAS)</w:t>
      </w:r>
      <w:r>
        <w:t xml:space="preserve"> included all randomised subjects. It was the primary population for efficacy analysis was the FAS.</w:t>
      </w:r>
      <w:r w:rsidRPr="003F46AD">
        <w:t xml:space="preserve"> </w:t>
      </w:r>
      <w:r>
        <w:t>Subjects were analysed as randomised.</w:t>
      </w:r>
    </w:p>
    <w:p w:rsidR="00FD5F83" w:rsidRDefault="00FD5F83" w:rsidP="00E55D15">
      <w:r>
        <w:t xml:space="preserve">The </w:t>
      </w:r>
      <w:r w:rsidRPr="00E55D15">
        <w:rPr>
          <w:b/>
        </w:rPr>
        <w:t>per protocol set (PPS)</w:t>
      </w:r>
      <w:r>
        <w:t xml:space="preserve"> included all randomised subjects who were evaluable for tumour response based on imaging data, had exposure to study medication and had no major protocol deviations.</w:t>
      </w:r>
    </w:p>
    <w:p w:rsidR="00FD5F83" w:rsidRDefault="00FD5F83" w:rsidP="00E55D15">
      <w:r w:rsidRPr="00E55D15">
        <w:rPr>
          <w:b/>
        </w:rPr>
        <w:t>FAS – subjects valid for Secondary PFS</w:t>
      </w:r>
      <w:r>
        <w:t xml:space="preserve">: A subject was included in the FAS (valid for SPFS) set if he/she had a re-baseline (new baseline) scan and started open-label treatment with </w:t>
      </w:r>
      <w:proofErr w:type="spellStart"/>
      <w:r>
        <w:t>sorafenib</w:t>
      </w:r>
      <w:proofErr w:type="spellEnd"/>
      <w:r>
        <w:t>.</w:t>
      </w:r>
    </w:p>
    <w:p w:rsidR="00FD5F83" w:rsidRDefault="00FD5F83" w:rsidP="00E55D15">
      <w:r>
        <w:t xml:space="preserve">The </w:t>
      </w:r>
      <w:r w:rsidRPr="00E55D15">
        <w:rPr>
          <w:b/>
        </w:rPr>
        <w:t>safety analysis set (SAF)</w:t>
      </w:r>
      <w:r>
        <w:t xml:space="preserve"> included all subjects who were </w:t>
      </w:r>
      <w:r w:rsidR="00E22FDA">
        <w:t>randomised</w:t>
      </w:r>
      <w:r>
        <w:t xml:space="preserve"> and received at least one dose of study medication. Subjects were analysed as </w:t>
      </w:r>
      <w:r w:rsidR="00E22FDA">
        <w:t>randomised</w:t>
      </w:r>
      <w:r>
        <w:t>.</w:t>
      </w:r>
    </w:p>
    <w:p w:rsidR="00FD5F83" w:rsidRDefault="00FD5F83" w:rsidP="00E55D15">
      <w:r w:rsidRPr="00E55D15">
        <w:rPr>
          <w:b/>
        </w:rPr>
        <w:t>PRO analysis set (PROAS):</w:t>
      </w:r>
      <w:r>
        <w:t xml:space="preserve"> This population included all FAS subjects who had evaluable PRO assessments at baseline and at least one post-baseline assessment.</w:t>
      </w:r>
    </w:p>
    <w:p w:rsidR="00FD5F83" w:rsidRPr="004B259C" w:rsidDel="0081373E" w:rsidRDefault="00FD5F83" w:rsidP="00E55D15">
      <w:pPr>
        <w:pStyle w:val="Heading4"/>
      </w:pPr>
      <w:bookmarkStart w:id="52" w:name="_Toc247598307"/>
      <w:r w:rsidRPr="004B259C" w:rsidDel="0081373E">
        <w:t xml:space="preserve">Sample </w:t>
      </w:r>
      <w:r w:rsidRPr="00E55D15" w:rsidDel="0081373E">
        <w:t>size</w:t>
      </w:r>
      <w:bookmarkEnd w:id="52"/>
    </w:p>
    <w:p w:rsidR="00FD5F83" w:rsidDel="0081373E" w:rsidRDefault="00FD5F83" w:rsidP="00E55D15">
      <w:r>
        <w:t>It was assumed that the median PFS in the placebo group would be 6.0 months and the desired percentage increase in median survival was 55.5%.</w:t>
      </w:r>
      <w:r w:rsidR="00E55D15">
        <w:t xml:space="preserve"> </w:t>
      </w:r>
      <w:r>
        <w:t>With 1:1 randomisation, a one-sided significance level of 0.01 and a power of 90%, it was calculated that 267 PFS events would be required. In order to achieve this number it was estimated that a total of 420 subjects would have to be enrolled.</w:t>
      </w:r>
    </w:p>
    <w:p w:rsidR="00FD5F83" w:rsidRPr="004B259C" w:rsidRDefault="00FD5F83" w:rsidP="00E55D15">
      <w:pPr>
        <w:pStyle w:val="Heading4"/>
      </w:pPr>
      <w:bookmarkStart w:id="53" w:name="_Toc247598308"/>
      <w:r w:rsidRPr="00E55D15">
        <w:t>Statistical</w:t>
      </w:r>
      <w:r w:rsidRPr="004B259C">
        <w:t xml:space="preserve"> methods</w:t>
      </w:r>
      <w:bookmarkEnd w:id="53"/>
    </w:p>
    <w:p w:rsidR="00FD5F83" w:rsidRDefault="00FD5F83" w:rsidP="00E55D15">
      <w:r>
        <w:t xml:space="preserve">For the primary endpoint of PFS, the 2 treatment arms were compared using a one-sided stratified log-rank test with an overall one-sided alpha of 0.01, stratified by age (&lt; 60 years versus </w:t>
      </w:r>
      <w:r w:rsidR="00E22FDA">
        <w:t>≥</w:t>
      </w:r>
      <w:r>
        <w:t xml:space="preserve"> 60 years) and geographical region (North America, Europe, and Asia). Kaplan-Meier estimates of median times to PFS and Kaplan-Meier curves were presented for each treatment arm, as well as the hazard ratio with its confidence interval derived with a Cox proportional hazards model. </w:t>
      </w:r>
    </w:p>
    <w:p w:rsidR="00FD5F83" w:rsidRDefault="00FD5F83" w:rsidP="00E55D15">
      <w:r>
        <w:t>A number of sensitivity analyses for PFS were also conducted. Subgroup analyses were conducted for geographical region, age, sex, histological subtype, site of metastases, FDG-PET uptake (positive or negative), prior cumulative dosing</w:t>
      </w:r>
      <w:r w:rsidRPr="00066A0D">
        <w:t xml:space="preserve"> </w:t>
      </w:r>
      <w:r>
        <w:t>of RAI and tumour burden.</w:t>
      </w:r>
    </w:p>
    <w:p w:rsidR="00FD5F83" w:rsidRDefault="00FD5F83" w:rsidP="00E55D15">
      <w:r>
        <w:t>OS and TTP were analysed using the same methods as those used for the primary analysis of PFS. DCR and RR were analysed using the Cochran-Mantel-</w:t>
      </w:r>
      <w:proofErr w:type="spellStart"/>
      <w:r>
        <w:t>Haenszel</w:t>
      </w:r>
      <w:proofErr w:type="spellEnd"/>
      <w:r>
        <w:t xml:space="preserve"> test with one-sided alpha of 0.025 adjusting for the same stratification factors as used for </w:t>
      </w:r>
      <w:r w:rsidR="001F3800">
        <w:t>randomisation</w:t>
      </w:r>
      <w:r>
        <w:t xml:space="preserve">. The estimates of DCR and RR and their 95% confidence intervals were computed for each treatment group. The difference in DCR/RR between the </w:t>
      </w:r>
      <w:proofErr w:type="spellStart"/>
      <w:r>
        <w:t>sorafenib</w:t>
      </w:r>
      <w:proofErr w:type="spellEnd"/>
      <w:r>
        <w:t xml:space="preserve"> and placebo arms and the corresponding 95% confidence interval were also calculated.</w:t>
      </w:r>
    </w:p>
    <w:p w:rsidR="00FD5F83" w:rsidRDefault="00FD5F83" w:rsidP="00E55D15">
      <w:r>
        <w:t xml:space="preserve">For </w:t>
      </w:r>
      <w:proofErr w:type="spellStart"/>
      <w:r>
        <w:t>DoR</w:t>
      </w:r>
      <w:proofErr w:type="spellEnd"/>
      <w:r>
        <w:t xml:space="preserve">, Kaplan-Meier estimates and survival curves were presented for each treatment group. No statistical testing of the difference in </w:t>
      </w:r>
      <w:proofErr w:type="spellStart"/>
      <w:r>
        <w:t>DoR</w:t>
      </w:r>
      <w:proofErr w:type="spellEnd"/>
      <w:r>
        <w:t xml:space="preserve"> was performed.</w:t>
      </w:r>
    </w:p>
    <w:p w:rsidR="00FD5F83" w:rsidRPr="004B259C" w:rsidRDefault="00FD5F83" w:rsidP="00E55D15">
      <w:pPr>
        <w:pStyle w:val="Heading4"/>
      </w:pPr>
      <w:bookmarkStart w:id="54" w:name="_Toc247598309"/>
      <w:r w:rsidRPr="004B259C">
        <w:t xml:space="preserve">Participant </w:t>
      </w:r>
      <w:r w:rsidRPr="00E55D15">
        <w:t>flow</w:t>
      </w:r>
      <w:bookmarkEnd w:id="54"/>
    </w:p>
    <w:p w:rsidR="00FD5F83" w:rsidRDefault="00FD5F83" w:rsidP="00E55D15">
      <w:r>
        <w:t>A total of 556 subjects were screened and 419 were randomised.</w:t>
      </w:r>
      <w:r w:rsidR="00E55D15">
        <w:t xml:space="preserve"> </w:t>
      </w:r>
      <w:r>
        <w:t>Of the 137 subjects who were screened but not randomised, 124 had protocol violations (mainly inclusion and exclusion criteria violations), 9 withdrew consent and 4 had adverse events.</w:t>
      </w:r>
    </w:p>
    <w:p w:rsidR="00FD5F83" w:rsidRDefault="00FD5F83" w:rsidP="00E55D15">
      <w:r>
        <w:t xml:space="preserve">A total of 417 of 419 subjects who had been randomised commenced treatment in the double blind phase of the study, 207 in the </w:t>
      </w:r>
      <w:proofErr w:type="spellStart"/>
      <w:r>
        <w:t>sorafenib</w:t>
      </w:r>
      <w:proofErr w:type="spellEnd"/>
      <w:r>
        <w:t xml:space="preserve"> group and 210 in the placebo group. Of these, 89 subjects (43.0%) in the </w:t>
      </w:r>
      <w:proofErr w:type="spellStart"/>
      <w:r>
        <w:t>sorafenib</w:t>
      </w:r>
      <w:proofErr w:type="spellEnd"/>
      <w:r>
        <w:t xml:space="preserve"> group and 164 subjects (78.1%) in the placebo group developed disease progression and entered the open label </w:t>
      </w:r>
      <w:proofErr w:type="spellStart"/>
      <w:r>
        <w:t>sorafenib</w:t>
      </w:r>
      <w:proofErr w:type="spellEnd"/>
      <w:r>
        <w:t xml:space="preserve"> treatment period. </w:t>
      </w:r>
    </w:p>
    <w:p w:rsidR="00FD5F83" w:rsidRDefault="00FD5F83" w:rsidP="00E55D15">
      <w:r>
        <w:t xml:space="preserve">At the time of data cut-off 66 subjects were receiving ongoing treatment in the double blind phase (43 on </w:t>
      </w:r>
      <w:proofErr w:type="spellStart"/>
      <w:r>
        <w:t>sorafenib</w:t>
      </w:r>
      <w:proofErr w:type="spellEnd"/>
      <w:r>
        <w:t xml:space="preserve"> and 23 on placebo) and 65 subjects were receiving ongoing </w:t>
      </w:r>
      <w:proofErr w:type="spellStart"/>
      <w:r>
        <w:t>sorafenib</w:t>
      </w:r>
      <w:proofErr w:type="spellEnd"/>
      <w:r>
        <w:t xml:space="preserve"> </w:t>
      </w:r>
      <w:r>
        <w:lastRenderedPageBreak/>
        <w:t xml:space="preserve">treatment in the open-label phase (12 originally assigned to </w:t>
      </w:r>
      <w:proofErr w:type="spellStart"/>
      <w:r>
        <w:t>sorafenib</w:t>
      </w:r>
      <w:proofErr w:type="spellEnd"/>
      <w:r>
        <w:t xml:space="preserve"> and 53 originally assigned to placebo).</w:t>
      </w:r>
    </w:p>
    <w:p w:rsidR="00FD5F83" w:rsidRDefault="00FD5F83" w:rsidP="00E55D15">
      <w:r w:rsidRPr="00F725FD">
        <w:t xml:space="preserve">Additional details are shown in </w:t>
      </w:r>
      <w:r w:rsidRPr="00F725FD">
        <w:fldChar w:fldCharType="begin"/>
      </w:r>
      <w:r w:rsidRPr="00F725FD">
        <w:instrText xml:space="preserve"> REF _Ref290225061 \h </w:instrText>
      </w:r>
      <w:r w:rsidR="00E22FDA" w:rsidRPr="00F725FD">
        <w:instrText xml:space="preserve"> \* MERGEFORMAT </w:instrText>
      </w:r>
      <w:r w:rsidRPr="00F725FD">
        <w:fldChar w:fldCharType="separate"/>
      </w:r>
      <w:r w:rsidR="00E42429">
        <w:t>Figure</w:t>
      </w:r>
      <w:r w:rsidRPr="00F725FD">
        <w:fldChar w:fldCharType="end"/>
      </w:r>
      <w:r w:rsidRPr="00F725FD">
        <w:t xml:space="preserve">, </w:t>
      </w:r>
      <w:r w:rsidR="008E1A61">
        <w:t>Tables 3</w:t>
      </w:r>
      <w:r w:rsidRPr="00F725FD">
        <w:t xml:space="preserve"> and</w:t>
      </w:r>
      <w:r w:rsidR="008E1A61">
        <w:t xml:space="preserve"> 4</w:t>
      </w:r>
      <w:r w:rsidRPr="00F725FD">
        <w:t xml:space="preserve">. The analysis populations are shown in </w:t>
      </w:r>
      <w:r w:rsidRPr="00F725FD">
        <w:fldChar w:fldCharType="begin"/>
      </w:r>
      <w:r w:rsidRPr="00F725FD">
        <w:instrText xml:space="preserve"> REF _Ref246050656 \h </w:instrText>
      </w:r>
      <w:r w:rsidR="00E22FDA" w:rsidRPr="00F725FD">
        <w:instrText xml:space="preserve"> \* MERGEFORMAT </w:instrText>
      </w:r>
      <w:r w:rsidRPr="00F725FD">
        <w:fldChar w:fldCharType="separate"/>
      </w:r>
      <w:r w:rsidR="00E42429">
        <w:t xml:space="preserve">Table </w:t>
      </w:r>
      <w:r w:rsidRPr="00F725FD">
        <w:fldChar w:fldCharType="end"/>
      </w:r>
      <w:r w:rsidR="00F725FD" w:rsidRPr="00F725FD">
        <w:t>5</w:t>
      </w:r>
      <w:r w:rsidRPr="00F725FD">
        <w:t>.</w:t>
      </w:r>
    </w:p>
    <w:p w:rsidR="00F725FD" w:rsidRPr="00D57709" w:rsidRDefault="00F725FD" w:rsidP="00E55D15">
      <w:pPr>
        <w:pStyle w:val="FigureTitle"/>
      </w:pPr>
      <w:bookmarkStart w:id="55" w:name="_Ref290225061"/>
      <w:bookmarkStart w:id="56" w:name="_Ref246050388"/>
      <w:bookmarkStart w:id="57" w:name="_Toc247598420"/>
      <w:bookmarkStart w:id="58" w:name="_Ref290225089"/>
      <w:proofErr w:type="gramStart"/>
      <w:r>
        <w:t>Figure</w:t>
      </w:r>
      <w:bookmarkEnd w:id="55"/>
      <w:r w:rsidR="007B32FA">
        <w:t xml:space="preserve"> </w:t>
      </w:r>
      <w:r w:rsidR="00E72C11">
        <w:t>2</w:t>
      </w:r>
      <w:r>
        <w:rPr>
          <w:noProof/>
        </w:rPr>
        <w:t>.</w:t>
      </w:r>
      <w:proofErr w:type="gramEnd"/>
      <w:r>
        <w:t xml:space="preserve"> Study 14295 - </w:t>
      </w:r>
      <w:r w:rsidRPr="001131CF">
        <w:t>Participant flow</w:t>
      </w:r>
      <w:bookmarkEnd w:id="56"/>
      <w:bookmarkEnd w:id="57"/>
      <w:r>
        <w:t xml:space="preserve"> </w:t>
      </w:r>
      <w:bookmarkEnd w:id="58"/>
    </w:p>
    <w:p w:rsidR="00F725FD" w:rsidRDefault="00F725FD" w:rsidP="00E55D15">
      <w:r>
        <w:rPr>
          <w:noProof/>
          <w:lang w:eastAsia="en-AU"/>
        </w:rPr>
        <w:drawing>
          <wp:inline distT="0" distB="0" distL="0" distR="0" wp14:anchorId="3532A980" wp14:editId="739D69AA">
            <wp:extent cx="4220015" cy="4954953"/>
            <wp:effectExtent l="0" t="0" r="9525" b="0"/>
            <wp:docPr id="53" name="Picture 1" descr="Figure 2 – Study 14295 - Participant flow " title="Figure 2 – Study 14295 - Participant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2876" cy="4958312"/>
                    </a:xfrm>
                    <a:prstGeom prst="rect">
                      <a:avLst/>
                    </a:prstGeom>
                    <a:noFill/>
                    <a:ln>
                      <a:noFill/>
                    </a:ln>
                  </pic:spPr>
                </pic:pic>
              </a:graphicData>
            </a:graphic>
          </wp:inline>
        </w:drawing>
      </w:r>
    </w:p>
    <w:p w:rsidR="00F725FD" w:rsidRDefault="00F725FD" w:rsidP="00E72C11">
      <w:pPr>
        <w:pStyle w:val="TableTitle"/>
      </w:pPr>
      <w:bookmarkStart w:id="59" w:name="_Ref246050354"/>
      <w:bookmarkStart w:id="60" w:name="_Toc247598381"/>
      <w:proofErr w:type="gramStart"/>
      <w:r>
        <w:t xml:space="preserve">Table </w:t>
      </w:r>
      <w:bookmarkEnd w:id="59"/>
      <w:r>
        <w:t>3.</w:t>
      </w:r>
      <w:proofErr w:type="gramEnd"/>
      <w:r>
        <w:t xml:space="preserve"> Study 14295 </w:t>
      </w:r>
      <w:r w:rsidRPr="00E72C11">
        <w:t>Subject</w:t>
      </w:r>
      <w:r>
        <w:t xml:space="preserve"> </w:t>
      </w:r>
      <w:proofErr w:type="gramStart"/>
      <w:r>
        <w:t>disposition</w:t>
      </w:r>
      <w:proofErr w:type="gramEnd"/>
      <w:r>
        <w:t xml:space="preserve"> for double blind treatment phase</w:t>
      </w:r>
      <w:bookmarkEnd w:id="60"/>
    </w:p>
    <w:p w:rsidR="00F725FD" w:rsidRPr="00770528" w:rsidRDefault="00F725FD" w:rsidP="00E72C11">
      <w:r>
        <w:rPr>
          <w:noProof/>
          <w:lang w:eastAsia="en-AU"/>
        </w:rPr>
        <w:drawing>
          <wp:inline distT="0" distB="0" distL="0" distR="0" wp14:anchorId="78EB9A9C" wp14:editId="01975C9E">
            <wp:extent cx="3806092" cy="2120129"/>
            <wp:effectExtent l="0" t="0" r="4445" b="0"/>
            <wp:docPr id="54" name="Picture 2" descr="Table 3. Study 14295 Subject disposition for double blind treatment phase" title="Table 3. Study 14295 Subject disposition for double blind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6091"/>
                    <a:stretch/>
                  </pic:blipFill>
                  <pic:spPr bwMode="auto">
                    <a:xfrm>
                      <a:off x="0" y="0"/>
                      <a:ext cx="3810444" cy="2122553"/>
                    </a:xfrm>
                    <a:prstGeom prst="rect">
                      <a:avLst/>
                    </a:prstGeom>
                    <a:noFill/>
                    <a:ln>
                      <a:noFill/>
                    </a:ln>
                    <a:extLst>
                      <a:ext uri="{53640926-AAD7-44D8-BBD7-CCE9431645EC}">
                        <a14:shadowObscured xmlns:a14="http://schemas.microsoft.com/office/drawing/2010/main"/>
                      </a:ext>
                    </a:extLst>
                  </pic:spPr>
                </pic:pic>
              </a:graphicData>
            </a:graphic>
          </wp:inline>
        </w:drawing>
      </w:r>
    </w:p>
    <w:p w:rsidR="00F725FD" w:rsidRDefault="00F725FD" w:rsidP="00E72C11">
      <w:pPr>
        <w:pStyle w:val="TableTitle"/>
      </w:pPr>
      <w:bookmarkStart w:id="61" w:name="_Ref246050479"/>
      <w:bookmarkStart w:id="62" w:name="_Toc247598382"/>
      <w:proofErr w:type="gramStart"/>
      <w:r>
        <w:t>Table 4.</w:t>
      </w:r>
      <w:bookmarkEnd w:id="61"/>
      <w:proofErr w:type="gramEnd"/>
      <w:r>
        <w:t xml:space="preserve"> Study </w:t>
      </w:r>
      <w:r w:rsidRPr="00E72C11">
        <w:t>14295</w:t>
      </w:r>
      <w:r>
        <w:t xml:space="preserve"> Subject </w:t>
      </w:r>
      <w:proofErr w:type="gramStart"/>
      <w:r>
        <w:t>disposition</w:t>
      </w:r>
      <w:proofErr w:type="gramEnd"/>
      <w:r>
        <w:t xml:space="preserve"> in open label treatment phase</w:t>
      </w:r>
      <w:bookmarkEnd w:id="62"/>
    </w:p>
    <w:p w:rsidR="00F725FD" w:rsidRDefault="00F725FD" w:rsidP="00E72C11">
      <w:r>
        <w:rPr>
          <w:noProof/>
          <w:lang w:eastAsia="en-AU"/>
        </w:rPr>
        <w:drawing>
          <wp:inline distT="0" distB="0" distL="0" distR="0" wp14:anchorId="26C8DC50" wp14:editId="02B8A469">
            <wp:extent cx="3868615" cy="2666365"/>
            <wp:effectExtent l="0" t="0" r="0" b="635"/>
            <wp:docPr id="55" name="Picture 3" descr="Table 4. Study 14295 Subject disposition in open label treatment phase" title="Table 4. Study 14295 Subject disposition in open label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5596"/>
                    <a:stretch/>
                  </pic:blipFill>
                  <pic:spPr bwMode="auto">
                    <a:xfrm>
                      <a:off x="0" y="0"/>
                      <a:ext cx="3869193" cy="2666763"/>
                    </a:xfrm>
                    <a:prstGeom prst="rect">
                      <a:avLst/>
                    </a:prstGeom>
                    <a:noFill/>
                    <a:ln>
                      <a:noFill/>
                    </a:ln>
                    <a:extLst>
                      <a:ext uri="{53640926-AAD7-44D8-BBD7-CCE9431645EC}">
                        <a14:shadowObscured xmlns:a14="http://schemas.microsoft.com/office/drawing/2010/main"/>
                      </a:ext>
                    </a:extLst>
                  </pic:spPr>
                </pic:pic>
              </a:graphicData>
            </a:graphic>
          </wp:inline>
        </w:drawing>
      </w:r>
    </w:p>
    <w:p w:rsidR="00F725FD" w:rsidRDefault="00F725FD" w:rsidP="00E72C11">
      <w:pPr>
        <w:pStyle w:val="TableTitle"/>
      </w:pPr>
      <w:bookmarkStart w:id="63" w:name="_Ref246050656"/>
      <w:bookmarkStart w:id="64" w:name="_Toc247598383"/>
      <w:proofErr w:type="gramStart"/>
      <w:r>
        <w:t xml:space="preserve">Table </w:t>
      </w:r>
      <w:bookmarkEnd w:id="63"/>
      <w:r>
        <w:t>5.</w:t>
      </w:r>
      <w:proofErr w:type="gramEnd"/>
      <w:r>
        <w:t xml:space="preserve"> Study 14295 Analysis sets</w:t>
      </w:r>
      <w:bookmarkEnd w:id="64"/>
    </w:p>
    <w:p w:rsidR="00F725FD" w:rsidRDefault="00F725FD" w:rsidP="00E72C11">
      <w:r>
        <w:rPr>
          <w:noProof/>
          <w:lang w:eastAsia="en-AU"/>
        </w:rPr>
        <w:drawing>
          <wp:inline distT="0" distB="0" distL="0" distR="0" wp14:anchorId="008809BB" wp14:editId="7DEA01E4">
            <wp:extent cx="4048369" cy="1075791"/>
            <wp:effectExtent l="0" t="0" r="0" b="0"/>
            <wp:docPr id="56" name="Picture 4" descr="Table 5. Study 14295 Analysis sets" title="Table 5. Study 14295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0199" cy="1076277"/>
                    </a:xfrm>
                    <a:prstGeom prst="rect">
                      <a:avLst/>
                    </a:prstGeom>
                    <a:noFill/>
                    <a:ln>
                      <a:noFill/>
                    </a:ln>
                  </pic:spPr>
                </pic:pic>
              </a:graphicData>
            </a:graphic>
          </wp:inline>
        </w:drawing>
      </w:r>
    </w:p>
    <w:p w:rsidR="00FD5F83" w:rsidRDefault="00FD5F83" w:rsidP="00E72C11">
      <w:pPr>
        <w:pStyle w:val="Heading4"/>
      </w:pPr>
      <w:bookmarkStart w:id="65" w:name="_Toc247598310"/>
      <w:r>
        <w:t>Major protocol violations/deviations</w:t>
      </w:r>
      <w:bookmarkEnd w:id="65"/>
    </w:p>
    <w:p w:rsidR="00FD5F83" w:rsidRDefault="00FD5F83" w:rsidP="00E72C11">
      <w:r>
        <w:t xml:space="preserve">The study report did not include an analysis of major protocol violations. However, a major protocol violation was one reason to exclude subjects for the per-protocol analysis set (PPS). A total of 20 subjects in the FAS (n=417) were excluded from the PPS (n=397). The number of subjects excluded was comparable for the two groups (11 in the </w:t>
      </w:r>
      <w:proofErr w:type="spellStart"/>
      <w:r>
        <w:t>sorafenib</w:t>
      </w:r>
      <w:proofErr w:type="spellEnd"/>
      <w:r>
        <w:t xml:space="preserve"> group and 9 in the placebo group). The most common reason for exclusion from the PPS was ‘no post-baseline assessment’ (11 in the </w:t>
      </w:r>
      <w:proofErr w:type="spellStart"/>
      <w:r>
        <w:t>sorafenib</w:t>
      </w:r>
      <w:proofErr w:type="spellEnd"/>
      <w:r>
        <w:t xml:space="preserve"> group and 7 in the placebo group), rather than protocol violation. It therefore seems that there were few major protocol violations and they were unlikely to have affected the outcome of the study.</w:t>
      </w:r>
    </w:p>
    <w:p w:rsidR="00FD5F83" w:rsidRPr="004B259C" w:rsidRDefault="00FD5F83" w:rsidP="00E72C11">
      <w:pPr>
        <w:pStyle w:val="Heading4"/>
      </w:pPr>
      <w:bookmarkStart w:id="66" w:name="_Toc247598311"/>
      <w:r w:rsidRPr="00E72C11">
        <w:t>Baseline</w:t>
      </w:r>
      <w:r w:rsidRPr="004B259C">
        <w:t xml:space="preserve"> data</w:t>
      </w:r>
      <w:bookmarkEnd w:id="66"/>
    </w:p>
    <w:p w:rsidR="00FD5F83" w:rsidRDefault="00FD5F83" w:rsidP="00E72C11">
      <w:r w:rsidRPr="00A17693">
        <w:t>According to the investigators’ assessment, a total of 96.4% of the population had distant metastases and only 3.6% had locally advanced disease.</w:t>
      </w:r>
      <w:r>
        <w:t xml:space="preserve"> The median time since initial diagnosis was 288 weeks (range 17 to 1,576) in the </w:t>
      </w:r>
      <w:proofErr w:type="spellStart"/>
      <w:r>
        <w:t>sorafenib</w:t>
      </w:r>
      <w:proofErr w:type="spellEnd"/>
      <w:r>
        <w:t xml:space="preserve"> group, and 291 weeks (range 29 to 1,747) in the placebo group.</w:t>
      </w:r>
    </w:p>
    <w:p w:rsidR="00FD5F83" w:rsidRDefault="00FD5F83" w:rsidP="00B213FE">
      <w:pPr>
        <w:ind w:left="567"/>
      </w:pPr>
      <w:r>
        <w:t>Comment:</w:t>
      </w:r>
      <w:r w:rsidR="00E22FDA">
        <w:t xml:space="preserve"> </w:t>
      </w:r>
      <w:r>
        <w:t xml:space="preserve">The two treatment groups were well balanced with respect to baseline characteristics. The gender distribution of the population was approximately 50% male and 50% female. Thyroid cancer is approximately 2 to 3 times more common in females than in males but is more aggressive in males </w:t>
      </w:r>
      <w:r w:rsidRPr="002D4175">
        <w:rPr>
          <w:vertAlign w:val="superscript"/>
        </w:rPr>
        <w:t>(4</w:t>
      </w:r>
      <w:r w:rsidRPr="004E54A7">
        <w:rPr>
          <w:vertAlign w:val="superscript"/>
        </w:rPr>
        <w:t>)</w:t>
      </w:r>
      <w:r>
        <w:t xml:space="preserve">. The advanced disease of the population may therefore explain the high percentage of males. </w:t>
      </w:r>
    </w:p>
    <w:p w:rsidR="00FD5F83" w:rsidRDefault="00FD5F83" w:rsidP="00E72C11">
      <w:r w:rsidRPr="00496F0F">
        <w:t>A small</w:t>
      </w:r>
      <w:r>
        <w:t xml:space="preserve"> proportion of patients had received prior systemic anticancer therapy. Most commonly this had been administered in the adjuvant/</w:t>
      </w:r>
      <w:proofErr w:type="spellStart"/>
      <w:r>
        <w:t>neoadjuvant</w:t>
      </w:r>
      <w:proofErr w:type="spellEnd"/>
      <w:r>
        <w:t xml:space="preserve"> setting and only 1.2% of subjects had received palliative chemotherapy. During the double-blind phase of the study 99.5% of subjects in both arms received thyroid therapy (including </w:t>
      </w:r>
      <w:proofErr w:type="spellStart"/>
      <w:r>
        <w:t>thyroxine</w:t>
      </w:r>
      <w:proofErr w:type="spellEnd"/>
      <w:r>
        <w:t>).</w:t>
      </w:r>
    </w:p>
    <w:p w:rsidR="00FD5F83" w:rsidRPr="004B259C" w:rsidRDefault="00FD5F83" w:rsidP="00E72C11">
      <w:pPr>
        <w:pStyle w:val="Heading4"/>
      </w:pPr>
      <w:bookmarkStart w:id="67" w:name="_Toc247598312"/>
      <w:r w:rsidRPr="004B259C">
        <w:lastRenderedPageBreak/>
        <w:t xml:space="preserve">Results for </w:t>
      </w:r>
      <w:r w:rsidRPr="00E72C11">
        <w:t>the</w:t>
      </w:r>
      <w:r w:rsidRPr="004B259C">
        <w:t xml:space="preserve"> primary efficacy outcome</w:t>
      </w:r>
      <w:bookmarkEnd w:id="67"/>
    </w:p>
    <w:p w:rsidR="00FD5F83" w:rsidRDefault="00FD5F83" w:rsidP="00E72C11">
      <w:r>
        <w:t xml:space="preserve">The results for PFS are </w:t>
      </w:r>
      <w:r w:rsidRPr="00496F0F">
        <w:t xml:space="preserve">summarised in </w:t>
      </w:r>
      <w:r w:rsidRPr="00496F0F">
        <w:fldChar w:fldCharType="begin"/>
      </w:r>
      <w:r w:rsidRPr="00496F0F">
        <w:instrText xml:space="preserve"> REF _Ref246130637 \h </w:instrText>
      </w:r>
      <w:r w:rsidR="00E22FDA" w:rsidRPr="00496F0F">
        <w:instrText xml:space="preserve"> \* MERGEFORMAT </w:instrText>
      </w:r>
      <w:r w:rsidRPr="00496F0F">
        <w:fldChar w:fldCharType="separate"/>
      </w:r>
      <w:r w:rsidR="00E42429">
        <w:t xml:space="preserve">Table </w:t>
      </w:r>
      <w:r w:rsidRPr="00496F0F">
        <w:fldChar w:fldCharType="end"/>
      </w:r>
      <w:r w:rsidR="00496F0F" w:rsidRPr="00496F0F">
        <w:t>6</w:t>
      </w:r>
      <w:r w:rsidRPr="00496F0F">
        <w:t xml:space="preserve"> and the Kaplan-Meier curves are shown in </w:t>
      </w:r>
      <w:r w:rsidR="0058415A">
        <w:t>Figure 3</w:t>
      </w:r>
      <w:r w:rsidRPr="00496F0F">
        <w:t xml:space="preserve">. At the time of data cut-off there had been a total of 250 PFS events (113 in the </w:t>
      </w:r>
      <w:proofErr w:type="spellStart"/>
      <w:r w:rsidRPr="00496F0F">
        <w:t>sorafenib</w:t>
      </w:r>
      <w:proofErr w:type="spellEnd"/>
      <w:r w:rsidRPr="00496F0F">
        <w:t xml:space="preserve"> group and 137 in the placebo group). There was a</w:t>
      </w:r>
      <w:r>
        <w:t xml:space="preserve"> statistically significant reduction (of approximately 41%) in the risk of a PFS event in the </w:t>
      </w:r>
      <w:proofErr w:type="spellStart"/>
      <w:r>
        <w:t>sorafenib</w:t>
      </w:r>
      <w:proofErr w:type="spellEnd"/>
      <w:r>
        <w:t xml:space="preserve"> group (hazard ratio [HR]: 0.587 [95%CI: 0.454 – 0.758]; p&lt;0.0001). Median PFS was increased by approximately 5.0 months (10.8</w:t>
      </w:r>
      <w:r w:rsidR="00E22FDA">
        <w:t xml:space="preserve"> versus</w:t>
      </w:r>
      <w:r>
        <w:t xml:space="preserve"> 5.8). The probability of being alive and progression-free at 12 months was 43% in the </w:t>
      </w:r>
      <w:proofErr w:type="spellStart"/>
      <w:r>
        <w:t>sorafenib</w:t>
      </w:r>
      <w:proofErr w:type="spellEnd"/>
      <w:r>
        <w:t xml:space="preserve"> group and 31% in the placebo group.</w:t>
      </w:r>
    </w:p>
    <w:p w:rsidR="00E72C11" w:rsidRDefault="00496F0F" w:rsidP="00E72C11">
      <w:pPr>
        <w:pStyle w:val="TableTitle"/>
      </w:pPr>
      <w:bookmarkStart w:id="68" w:name="_Ref246130637"/>
      <w:bookmarkStart w:id="69" w:name="_Toc247598386"/>
      <w:proofErr w:type="gramStart"/>
      <w:r>
        <w:t xml:space="preserve">Table </w:t>
      </w:r>
      <w:bookmarkEnd w:id="68"/>
      <w:r>
        <w:t>6.</w:t>
      </w:r>
      <w:proofErr w:type="gramEnd"/>
      <w:r>
        <w:t xml:space="preserve"> Study 14295 Progression-</w:t>
      </w:r>
      <w:r w:rsidRPr="00E72C11">
        <w:t>free</w:t>
      </w:r>
      <w:r>
        <w:t xml:space="preserve"> </w:t>
      </w:r>
      <w:proofErr w:type="gramStart"/>
      <w:r>
        <w:t>survival</w:t>
      </w:r>
      <w:proofErr w:type="gramEnd"/>
      <w:r>
        <w:t xml:space="preserve"> (primary endpoint)</w:t>
      </w:r>
      <w:bookmarkEnd w:id="69"/>
    </w:p>
    <w:p w:rsidR="00496F0F" w:rsidRDefault="00143E57" w:rsidP="00E72C11">
      <w:r>
        <w:rPr>
          <w:noProof/>
          <w:lang w:eastAsia="en-AU"/>
        </w:rPr>
        <w:drawing>
          <wp:inline distT="0" distB="0" distL="0" distR="0" wp14:anchorId="155794CE" wp14:editId="5BF44D05">
            <wp:extent cx="4978400" cy="2854356"/>
            <wp:effectExtent l="0" t="0" r="0" b="3175"/>
            <wp:docPr id="25" name="Picture 25" descr="Table 6. Study 14295 Progression-free survival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61"/>
                    <a:stretch/>
                  </pic:blipFill>
                  <pic:spPr bwMode="auto">
                    <a:xfrm>
                      <a:off x="0" y="0"/>
                      <a:ext cx="4974077" cy="2851877"/>
                    </a:xfrm>
                    <a:prstGeom prst="rect">
                      <a:avLst/>
                    </a:prstGeom>
                    <a:ln>
                      <a:noFill/>
                    </a:ln>
                    <a:extLst>
                      <a:ext uri="{53640926-AAD7-44D8-BBD7-CCE9431645EC}">
                        <a14:shadowObscured xmlns:a14="http://schemas.microsoft.com/office/drawing/2010/main"/>
                      </a:ext>
                    </a:extLst>
                  </pic:spPr>
                </pic:pic>
              </a:graphicData>
            </a:graphic>
          </wp:inline>
        </w:drawing>
      </w:r>
    </w:p>
    <w:p w:rsidR="00496F0F" w:rsidRDefault="00496F0F" w:rsidP="00E72C11">
      <w:pPr>
        <w:pStyle w:val="FigureTitle"/>
      </w:pPr>
      <w:bookmarkStart w:id="70" w:name="_Ref246130702"/>
      <w:bookmarkStart w:id="71" w:name="_Toc247598421"/>
      <w:proofErr w:type="gramStart"/>
      <w:r>
        <w:t xml:space="preserve">Figure </w:t>
      </w:r>
      <w:bookmarkEnd w:id="70"/>
      <w:r>
        <w:t>3.</w:t>
      </w:r>
      <w:proofErr w:type="gramEnd"/>
      <w:r>
        <w:t xml:space="preserve"> Study 14295 Progression-free </w:t>
      </w:r>
      <w:proofErr w:type="gramStart"/>
      <w:r>
        <w:t>survival  Kaplan</w:t>
      </w:r>
      <w:proofErr w:type="gramEnd"/>
      <w:r>
        <w:t xml:space="preserve"> </w:t>
      </w:r>
      <w:r w:rsidRPr="00E72C11">
        <w:t>Meier</w:t>
      </w:r>
      <w:r>
        <w:t xml:space="preserve"> curves</w:t>
      </w:r>
      <w:bookmarkEnd w:id="71"/>
    </w:p>
    <w:p w:rsidR="00496F0F" w:rsidRDefault="00496F0F" w:rsidP="00E72C11">
      <w:r>
        <w:rPr>
          <w:noProof/>
          <w:lang w:eastAsia="en-AU"/>
        </w:rPr>
        <w:drawing>
          <wp:inline distT="0" distB="0" distL="0" distR="0" wp14:anchorId="463B9CC5" wp14:editId="77FA173E">
            <wp:extent cx="3681046" cy="2599160"/>
            <wp:effectExtent l="0" t="0" r="0" b="0"/>
            <wp:docPr id="4" name="Picture 3" descr="Figure 3. Study 14295 Progression-free survival  Kaplan Meier curves" title="Figure 3. Study 14295 Progression-free survival  Kaplan Meier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0312" cy="2598642"/>
                    </a:xfrm>
                    <a:prstGeom prst="rect">
                      <a:avLst/>
                    </a:prstGeom>
                    <a:noFill/>
                    <a:ln>
                      <a:noFill/>
                    </a:ln>
                  </pic:spPr>
                </pic:pic>
              </a:graphicData>
            </a:graphic>
          </wp:inline>
        </w:drawing>
      </w:r>
    </w:p>
    <w:p w:rsidR="00FD5F83" w:rsidRDefault="00FD5F83" w:rsidP="00E72C11">
      <w:r>
        <w:t>Subgroup analyses indicated that the benefit was consistent across all subgroups tested, with the</w:t>
      </w:r>
      <w:r w:rsidR="00496F0F">
        <w:t xml:space="preserve"> hazard ratios all being &lt; 1.0</w:t>
      </w:r>
      <w:r>
        <w:t>.</w:t>
      </w:r>
    </w:p>
    <w:p w:rsidR="00FD5F83" w:rsidRDefault="00FD5F83" w:rsidP="00E72C11">
      <w:r>
        <w:t>A variety of sensitivity analyses on PFS were conducted, which all supported the primary analysis of PFS. Briefly, the results were as follows:</w:t>
      </w:r>
    </w:p>
    <w:p w:rsidR="00FD5F83" w:rsidRDefault="00FD5F83" w:rsidP="00E72C11">
      <w:pPr>
        <w:pStyle w:val="ListBullet"/>
      </w:pPr>
      <w:r>
        <w:t xml:space="preserve">In an analysis based on the local </w:t>
      </w:r>
      <w:r w:rsidRPr="00697444">
        <w:t>investigators’ assessment</w:t>
      </w:r>
      <w:r>
        <w:t xml:space="preserve"> of progression, including radiological progression and any type of clinical progression, the HR was 0.485 (95%CI: 0.386 – 0.609); p&lt;0.0001.</w:t>
      </w:r>
    </w:p>
    <w:p w:rsidR="00FD5F83" w:rsidRDefault="00FD5F83" w:rsidP="00E72C11">
      <w:pPr>
        <w:pStyle w:val="ListBullet"/>
      </w:pPr>
      <w:r>
        <w:lastRenderedPageBreak/>
        <w:t xml:space="preserve">In an analysis based on the local </w:t>
      </w:r>
      <w:r w:rsidRPr="00697444">
        <w:t>investigators’ assessment</w:t>
      </w:r>
      <w:r>
        <w:t xml:space="preserve"> of progression, including radiological </w:t>
      </w:r>
      <w:r w:rsidRPr="00E72C11">
        <w:t>progression</w:t>
      </w:r>
      <w:r>
        <w:t xml:space="preserve"> only, the HR was 0.478 (95%CI: 0.375 – 0.608); p&lt;0.0001.</w:t>
      </w:r>
    </w:p>
    <w:p w:rsidR="00FD5F83" w:rsidRDefault="00FD5F83" w:rsidP="00E72C11">
      <w:pPr>
        <w:pStyle w:val="ListBullet"/>
      </w:pPr>
      <w:r>
        <w:t>In an analysis based on the central</w:t>
      </w:r>
      <w:r w:rsidRPr="00697444">
        <w:t xml:space="preserve"> assessment</w:t>
      </w:r>
      <w:r>
        <w:t xml:space="preserve"> of radiological progression but including any type of clinical </w:t>
      </w:r>
      <w:r w:rsidRPr="00E72C11">
        <w:t>progression</w:t>
      </w:r>
      <w:r>
        <w:t xml:space="preserve"> the HR was 0.567 (95%CI: 0.441 – 0.729); p&lt;0.0001.</w:t>
      </w:r>
    </w:p>
    <w:p w:rsidR="00FD5F83" w:rsidRDefault="00FD5F83" w:rsidP="00E72C11">
      <w:pPr>
        <w:pStyle w:val="ListBullet"/>
      </w:pPr>
      <w:r>
        <w:t xml:space="preserve">In an analysis based on the </w:t>
      </w:r>
      <w:r w:rsidRPr="00E72C11">
        <w:t>central</w:t>
      </w:r>
      <w:r w:rsidRPr="00697444">
        <w:t xml:space="preserve"> assessment</w:t>
      </w:r>
      <w:r>
        <w:t xml:space="preserve"> of radiological progression only, the HR was 0.584 (95%CI: 0.449 – 0.759); p&lt;0.0001.</w:t>
      </w:r>
    </w:p>
    <w:p w:rsidR="00FD5F83" w:rsidRDefault="00FD5F83" w:rsidP="00E72C11">
      <w:pPr>
        <w:pStyle w:val="ListBullet"/>
      </w:pPr>
      <w:r>
        <w:t xml:space="preserve">In an </w:t>
      </w:r>
      <w:proofErr w:type="spellStart"/>
      <w:r>
        <w:t>unstratified</w:t>
      </w:r>
      <w:proofErr w:type="spellEnd"/>
      <w:r>
        <w:t xml:space="preserve"> analysis, the HR was 0.597 (95%CI: 0.464 – 0.767); p&lt;0.0001.</w:t>
      </w:r>
    </w:p>
    <w:p w:rsidR="00FD5F83" w:rsidRPr="004B259C" w:rsidRDefault="00FD5F83" w:rsidP="00E72C11">
      <w:pPr>
        <w:pStyle w:val="Heading4"/>
      </w:pPr>
      <w:bookmarkStart w:id="72" w:name="_Ref246222305"/>
      <w:bookmarkStart w:id="73" w:name="_Toc247598313"/>
      <w:r w:rsidRPr="004B259C">
        <w:t xml:space="preserve">Results for other </w:t>
      </w:r>
      <w:r w:rsidRPr="00E72C11">
        <w:t>efficacy</w:t>
      </w:r>
      <w:r w:rsidRPr="004B259C">
        <w:t xml:space="preserve"> outcomes</w:t>
      </w:r>
      <w:bookmarkEnd w:id="72"/>
      <w:bookmarkEnd w:id="73"/>
    </w:p>
    <w:p w:rsidR="00FD5F83" w:rsidRPr="003E5385" w:rsidRDefault="00FD5F83" w:rsidP="00E72C11">
      <w:pPr>
        <w:pStyle w:val="Heading5"/>
      </w:pPr>
      <w:r w:rsidRPr="00E72C11">
        <w:t>Overall</w:t>
      </w:r>
      <w:r w:rsidRPr="003E5385">
        <w:t xml:space="preserve"> survival</w:t>
      </w:r>
    </w:p>
    <w:p w:rsidR="00FD5F83" w:rsidRDefault="00FD5F83" w:rsidP="00E72C11">
      <w:r>
        <w:t xml:space="preserve">The results for OS are </w:t>
      </w:r>
      <w:r w:rsidRPr="00496F0F">
        <w:t>summarised in</w:t>
      </w:r>
      <w:r w:rsidR="00496F0F">
        <w:t xml:space="preserve"> Table 7</w:t>
      </w:r>
      <w:r w:rsidRPr="00496F0F">
        <w:t xml:space="preserve"> and the Kaplan-Meier curves are shown in </w:t>
      </w:r>
      <w:r w:rsidR="00496F0F">
        <w:t>Figure 4</w:t>
      </w:r>
      <w:r w:rsidRPr="00496F0F">
        <w:t>. The OS data were immature with only 99/417 subjects (24%) having died. There was no significant difference between the groups.</w:t>
      </w:r>
    </w:p>
    <w:p w:rsidR="00E72C11" w:rsidRDefault="00496F0F" w:rsidP="00E72C11">
      <w:pPr>
        <w:pStyle w:val="TableTitle"/>
      </w:pPr>
      <w:bookmarkStart w:id="74" w:name="_Ref246136387"/>
      <w:bookmarkStart w:id="75" w:name="_Toc247598387"/>
      <w:proofErr w:type="gramStart"/>
      <w:r>
        <w:t xml:space="preserve">Table </w:t>
      </w:r>
      <w:bookmarkEnd w:id="74"/>
      <w:r>
        <w:t>7.</w:t>
      </w:r>
      <w:proofErr w:type="gramEnd"/>
      <w:r>
        <w:t xml:space="preserve"> Study 14295 </w:t>
      </w:r>
      <w:r w:rsidRPr="00E72C11">
        <w:t>Overall</w:t>
      </w:r>
      <w:r>
        <w:t xml:space="preserve"> </w:t>
      </w:r>
      <w:proofErr w:type="gramStart"/>
      <w:r>
        <w:t>survival</w:t>
      </w:r>
      <w:bookmarkEnd w:id="75"/>
      <w:proofErr w:type="gramEnd"/>
    </w:p>
    <w:p w:rsidR="00B213FE" w:rsidRDefault="00143E57" w:rsidP="00B213FE">
      <w:r>
        <w:rPr>
          <w:noProof/>
          <w:lang w:eastAsia="en-AU"/>
        </w:rPr>
        <w:drawing>
          <wp:inline distT="0" distB="0" distL="0" distR="0" wp14:anchorId="26C59B8A" wp14:editId="05ECBB07">
            <wp:extent cx="4635765" cy="2883877"/>
            <wp:effectExtent l="0" t="0" r="0" b="0"/>
            <wp:docPr id="41" name="Picture 41" descr="Table 7. Study 14295 Overall survival" title="Table 7. Study 14295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28" r="2905" b="1383"/>
                    <a:stretch/>
                  </pic:blipFill>
                  <pic:spPr bwMode="auto">
                    <a:xfrm>
                      <a:off x="0" y="0"/>
                      <a:ext cx="4634430" cy="2883047"/>
                    </a:xfrm>
                    <a:prstGeom prst="rect">
                      <a:avLst/>
                    </a:prstGeom>
                    <a:ln>
                      <a:noFill/>
                    </a:ln>
                    <a:extLst>
                      <a:ext uri="{53640926-AAD7-44D8-BBD7-CCE9431645EC}">
                        <a14:shadowObscured xmlns:a14="http://schemas.microsoft.com/office/drawing/2010/main"/>
                      </a:ext>
                    </a:extLst>
                  </pic:spPr>
                </pic:pic>
              </a:graphicData>
            </a:graphic>
          </wp:inline>
        </w:drawing>
      </w:r>
    </w:p>
    <w:p w:rsidR="00B213FE" w:rsidRDefault="00B213FE">
      <w:pPr>
        <w:spacing w:before="0" w:after="200" w:line="0" w:lineRule="auto"/>
      </w:pPr>
      <w:r>
        <w:br w:type="page"/>
      </w:r>
    </w:p>
    <w:p w:rsidR="00496F0F" w:rsidRDefault="00496F0F" w:rsidP="00E72C11">
      <w:pPr>
        <w:pStyle w:val="FigureTitle"/>
      </w:pPr>
      <w:bookmarkStart w:id="76" w:name="_Ref246136428"/>
      <w:bookmarkStart w:id="77" w:name="_Toc247598423"/>
      <w:proofErr w:type="gramStart"/>
      <w:r>
        <w:t xml:space="preserve">Figure </w:t>
      </w:r>
      <w:bookmarkEnd w:id="76"/>
      <w:r>
        <w:t>4</w:t>
      </w:r>
      <w:r>
        <w:rPr>
          <w:noProof/>
        </w:rPr>
        <w:t>.</w:t>
      </w:r>
      <w:proofErr w:type="gramEnd"/>
      <w:r>
        <w:t xml:space="preserve"> Study 14295 Overall </w:t>
      </w:r>
      <w:proofErr w:type="gramStart"/>
      <w:r>
        <w:t>survival</w:t>
      </w:r>
      <w:proofErr w:type="gramEnd"/>
      <w:r w:rsidR="00E72C11">
        <w:t xml:space="preserve"> </w:t>
      </w:r>
      <w:r w:rsidRPr="00E72C11">
        <w:t>Kaplan</w:t>
      </w:r>
      <w:r>
        <w:t xml:space="preserve"> </w:t>
      </w:r>
      <w:r w:rsidRPr="00E72C11">
        <w:t>Meier</w:t>
      </w:r>
      <w:r>
        <w:t xml:space="preserve"> curves</w:t>
      </w:r>
      <w:bookmarkEnd w:id="77"/>
    </w:p>
    <w:p w:rsidR="00496F0F" w:rsidRPr="003E5385" w:rsidRDefault="00496F0F" w:rsidP="00E72C11">
      <w:r>
        <w:rPr>
          <w:noProof/>
          <w:lang w:eastAsia="en-AU"/>
        </w:rPr>
        <w:drawing>
          <wp:inline distT="0" distB="0" distL="0" distR="0" wp14:anchorId="56CA34AB" wp14:editId="265362E8">
            <wp:extent cx="3485569" cy="2493108"/>
            <wp:effectExtent l="0" t="0" r="635" b="2540"/>
            <wp:docPr id="10" name="Picture 9" descr="Figure 4. Study 14295 Overall survival  Kaplan Meier curves" title="Figure 4. Study 14295 Overall survival  Kaplan Meier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7491" cy="2501636"/>
                    </a:xfrm>
                    <a:prstGeom prst="rect">
                      <a:avLst/>
                    </a:prstGeom>
                    <a:noFill/>
                    <a:ln>
                      <a:noFill/>
                    </a:ln>
                  </pic:spPr>
                </pic:pic>
              </a:graphicData>
            </a:graphic>
          </wp:inline>
        </w:drawing>
      </w:r>
    </w:p>
    <w:p w:rsidR="00FD5F83" w:rsidRDefault="00FD5F83" w:rsidP="00E72C11">
      <w:pPr>
        <w:ind w:left="567"/>
      </w:pPr>
      <w:r>
        <w:t>Comment:</w:t>
      </w:r>
      <w:r w:rsidR="00E22FDA">
        <w:t xml:space="preserve"> </w:t>
      </w:r>
      <w:r>
        <w:t xml:space="preserve">Patients randomised to placebo were able to cross over to </w:t>
      </w:r>
      <w:proofErr w:type="spellStart"/>
      <w:r>
        <w:t>sorafenib</w:t>
      </w:r>
      <w:proofErr w:type="spellEnd"/>
      <w:r>
        <w:t xml:space="preserve"> treatment after disease progression, and 150 (71.4%) of these subjects received open-</w:t>
      </w:r>
      <w:r>
        <w:lastRenderedPageBreak/>
        <w:t xml:space="preserve">label </w:t>
      </w:r>
      <w:proofErr w:type="spellStart"/>
      <w:r>
        <w:t>sorafenib</w:t>
      </w:r>
      <w:proofErr w:type="spellEnd"/>
      <w:r>
        <w:t>. It is likely that this high rate of crossover would have obscured any survival benefit produced by the drug. The statistical analysis plan for the study indicated that a follow-up analysis of OS would be performed approximately 9 months after the date of the initial data cut-off. The sponsor should be requested to provide the results of this analysis. The results have been included in the U.S. PI.</w:t>
      </w:r>
    </w:p>
    <w:p w:rsidR="00FD5F83" w:rsidRDefault="00FD5F83" w:rsidP="00E72C11">
      <w:r>
        <w:t>The sponsor conducted two exploratory analyses of OS in an attempt to correct for the crossover effect. Both of these exploratory analyses were pre-specified in the statistical analysis plan. The two statistical methods used were:</w:t>
      </w:r>
    </w:p>
    <w:p w:rsidR="00FD5F83" w:rsidRDefault="00FD5F83" w:rsidP="00E72C11">
      <w:pPr>
        <w:pStyle w:val="ListBullet"/>
      </w:pPr>
      <w:r>
        <w:t xml:space="preserve">An iterative </w:t>
      </w:r>
      <w:r w:rsidRPr="00E72C11">
        <w:t>parameter</w:t>
      </w:r>
      <w:r>
        <w:t xml:space="preserve"> estimation (IPE) method; and</w:t>
      </w:r>
    </w:p>
    <w:p w:rsidR="00FD5F83" w:rsidRDefault="00FD5F83" w:rsidP="00E72C11">
      <w:pPr>
        <w:pStyle w:val="ListBullet"/>
      </w:pPr>
      <w:r>
        <w:t xml:space="preserve">The rank preserving </w:t>
      </w:r>
      <w:r w:rsidRPr="00E72C11">
        <w:t>structural</w:t>
      </w:r>
      <w:r>
        <w:t xml:space="preserve"> failure time (RPSFT) method.</w:t>
      </w:r>
    </w:p>
    <w:p w:rsidR="00FD5F83" w:rsidRDefault="00FD5F83" w:rsidP="00E72C11">
      <w:r>
        <w:t xml:space="preserve">Both methods estimate the treatment effect as if subjects in the control arm had never switched to </w:t>
      </w:r>
      <w:proofErr w:type="spellStart"/>
      <w:r>
        <w:t>sorafenib</w:t>
      </w:r>
      <w:proofErr w:type="spellEnd"/>
      <w:r>
        <w:t xml:space="preserve"> treatment. When these statistical models were used, the estimated corrected hazard ratios of </w:t>
      </w:r>
      <w:proofErr w:type="spellStart"/>
      <w:r>
        <w:t>sorafenib</w:t>
      </w:r>
      <w:proofErr w:type="spellEnd"/>
      <w:r>
        <w:t xml:space="preserve"> to placebo were 0.698 for IPE (95%CI: 0.467 to 1.043; one-sided p = 0.0388) and 0.613 for RPSFT (95%CI: 0.398; 0.944; one-sided p = 0.0125).</w:t>
      </w:r>
    </w:p>
    <w:p w:rsidR="00FD5F83" w:rsidRDefault="00FD5F83" w:rsidP="00E72C11">
      <w:pPr>
        <w:ind w:left="567"/>
      </w:pPr>
      <w:r>
        <w:t>Comment:</w:t>
      </w:r>
      <w:r w:rsidR="00E22FDA">
        <w:t xml:space="preserve"> </w:t>
      </w:r>
      <w:r>
        <w:t>The study report acknowledges that these analyses were exploratory only and that no firm conclusions can be drawn from them. The sponsor is not seeking to make any claims regarding a survival benefit in the proposed PI.</w:t>
      </w:r>
    </w:p>
    <w:p w:rsidR="00FD5F83" w:rsidRPr="00007FB5" w:rsidRDefault="00FD5F83" w:rsidP="00E72C11">
      <w:pPr>
        <w:pStyle w:val="Heading5"/>
      </w:pPr>
      <w:r w:rsidRPr="00007FB5">
        <w:t xml:space="preserve">Time to </w:t>
      </w:r>
      <w:r w:rsidR="00E72C11" w:rsidRPr="00E72C11">
        <w:t>p</w:t>
      </w:r>
      <w:r w:rsidRPr="00E72C11">
        <w:t>rogression</w:t>
      </w:r>
      <w:r>
        <w:t xml:space="preserve"> (TTP)</w:t>
      </w:r>
    </w:p>
    <w:p w:rsidR="00FD5F83" w:rsidRDefault="00FD5F83" w:rsidP="00E72C11">
      <w:r w:rsidRPr="00496F0F">
        <w:t xml:space="preserve">The results for TTP are summarised in </w:t>
      </w:r>
      <w:r w:rsidR="00496F0F" w:rsidRPr="00496F0F">
        <w:t>Table 8</w:t>
      </w:r>
      <w:r w:rsidRPr="00496F0F">
        <w:t xml:space="preserve"> and the Kaplan-Meier curves are shown in </w:t>
      </w:r>
      <w:r w:rsidR="0058415A">
        <w:t>Figure 5</w:t>
      </w:r>
      <w:r w:rsidRPr="00496F0F">
        <w:t>.</w:t>
      </w:r>
    </w:p>
    <w:p w:rsidR="00FD5F83" w:rsidRDefault="00E72C11" w:rsidP="00E72C11">
      <w:pPr>
        <w:ind w:left="720"/>
      </w:pPr>
      <w:r>
        <w:t xml:space="preserve">Comment: </w:t>
      </w:r>
      <w:r w:rsidR="00FD5F83">
        <w:t>The results for TTP were consistent with those for PFS.</w:t>
      </w:r>
    </w:p>
    <w:p w:rsidR="00496F0F" w:rsidRDefault="00496F0F" w:rsidP="00E72C11">
      <w:pPr>
        <w:pStyle w:val="TableTitle"/>
      </w:pPr>
      <w:bookmarkStart w:id="78" w:name="_Ref246139598"/>
      <w:bookmarkStart w:id="79" w:name="_Toc247598388"/>
      <w:proofErr w:type="gramStart"/>
      <w:r>
        <w:t xml:space="preserve">Table </w:t>
      </w:r>
      <w:bookmarkEnd w:id="78"/>
      <w:r>
        <w:t>8.</w:t>
      </w:r>
      <w:proofErr w:type="gramEnd"/>
      <w:r>
        <w:t xml:space="preserve"> Study 14295 Time to disease </w:t>
      </w:r>
      <w:r w:rsidRPr="00E72C11">
        <w:t>progression</w:t>
      </w:r>
      <w:bookmarkEnd w:id="79"/>
    </w:p>
    <w:p w:rsidR="00143E57" w:rsidRDefault="00143E57" w:rsidP="00E72C11">
      <w:r>
        <w:rPr>
          <w:noProof/>
          <w:lang w:eastAsia="en-AU"/>
        </w:rPr>
        <w:drawing>
          <wp:inline distT="0" distB="0" distL="0" distR="0" wp14:anchorId="68062F80" wp14:editId="50593DCE">
            <wp:extent cx="4220308" cy="2504511"/>
            <wp:effectExtent l="0" t="0" r="8890" b="0"/>
            <wp:docPr id="42" name="Picture 42" descr="Table 8. Study 14295 Time to disease progression" title="Table 8. Study 14295 Time to disease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22331" cy="2505712"/>
                    </a:xfrm>
                    <a:prstGeom prst="rect">
                      <a:avLst/>
                    </a:prstGeom>
                  </pic:spPr>
                </pic:pic>
              </a:graphicData>
            </a:graphic>
          </wp:inline>
        </w:drawing>
      </w:r>
    </w:p>
    <w:p w:rsidR="00496F0F" w:rsidRDefault="00496F0F" w:rsidP="00E72C11">
      <w:pPr>
        <w:pStyle w:val="FigureTitle"/>
      </w:pPr>
      <w:bookmarkStart w:id="80" w:name="_Ref246139655"/>
      <w:bookmarkStart w:id="81" w:name="_Toc247598424"/>
      <w:proofErr w:type="gramStart"/>
      <w:r>
        <w:lastRenderedPageBreak/>
        <w:t>Figure 5.</w:t>
      </w:r>
      <w:bookmarkEnd w:id="80"/>
      <w:proofErr w:type="gramEnd"/>
      <w:r>
        <w:t xml:space="preserve"> Study 14295 Time to disease progression Kaplan Meier curves</w:t>
      </w:r>
      <w:bookmarkEnd w:id="81"/>
    </w:p>
    <w:p w:rsidR="00496F0F" w:rsidRDefault="00496F0F" w:rsidP="00E72C11">
      <w:r>
        <w:rPr>
          <w:noProof/>
          <w:lang w:eastAsia="en-AU"/>
        </w:rPr>
        <w:drawing>
          <wp:inline distT="0" distB="0" distL="0" distR="0" wp14:anchorId="0AA4EECA" wp14:editId="746984E2">
            <wp:extent cx="4048369" cy="2807570"/>
            <wp:effectExtent l="0" t="0" r="0" b="0"/>
            <wp:docPr id="13" name="Picture 12" descr="Figure 5. Study 14295 Time to disease progression Kaplan Meier curves" title="Figure 5. Study 14295 Time to disease progression Kaplan Meier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9274" cy="2808197"/>
                    </a:xfrm>
                    <a:prstGeom prst="rect">
                      <a:avLst/>
                    </a:prstGeom>
                    <a:noFill/>
                    <a:ln>
                      <a:noFill/>
                    </a:ln>
                  </pic:spPr>
                </pic:pic>
              </a:graphicData>
            </a:graphic>
          </wp:inline>
        </w:drawing>
      </w:r>
    </w:p>
    <w:p w:rsidR="00FD5F83" w:rsidRPr="008C75D8" w:rsidRDefault="00FD5F83" w:rsidP="00E72C11">
      <w:pPr>
        <w:pStyle w:val="Heading5"/>
      </w:pPr>
      <w:r w:rsidRPr="008C75D8">
        <w:t>Response rate (</w:t>
      </w:r>
      <w:r w:rsidRPr="00E72C11">
        <w:t>RR</w:t>
      </w:r>
      <w:r w:rsidRPr="008C75D8">
        <w:t>)</w:t>
      </w:r>
      <w:r>
        <w:t xml:space="preserve"> and disease control rate (DCR)</w:t>
      </w:r>
    </w:p>
    <w:p w:rsidR="00FD5F83" w:rsidRDefault="00FD5F83" w:rsidP="00E72C11">
      <w:r>
        <w:t xml:space="preserve">The results for RR and </w:t>
      </w:r>
      <w:r w:rsidRPr="002F262E">
        <w:t xml:space="preserve">DCR are shown in </w:t>
      </w:r>
      <w:r w:rsidRPr="002F262E">
        <w:fldChar w:fldCharType="begin"/>
      </w:r>
      <w:r w:rsidRPr="002F262E">
        <w:instrText xml:space="preserve"> REF _Ref246140151 \h </w:instrText>
      </w:r>
      <w:r w:rsidR="00E22FDA" w:rsidRPr="002F262E">
        <w:instrText xml:space="preserve"> \* MERGEFORMAT </w:instrText>
      </w:r>
      <w:r w:rsidRPr="002F262E">
        <w:fldChar w:fldCharType="separate"/>
      </w:r>
      <w:r w:rsidR="00E42429">
        <w:t xml:space="preserve">Table </w:t>
      </w:r>
      <w:r w:rsidRPr="002F262E">
        <w:fldChar w:fldCharType="end"/>
      </w:r>
      <w:r w:rsidR="002F262E" w:rsidRPr="002F262E">
        <w:t>9</w:t>
      </w:r>
      <w:r w:rsidRPr="002F262E">
        <w:t>. The</w:t>
      </w:r>
      <w:r>
        <w:t xml:space="preserve"> protocol specified that these endpoints would be analysed in the per-protocol set.</w:t>
      </w:r>
    </w:p>
    <w:p w:rsidR="002F262E" w:rsidRDefault="002F262E" w:rsidP="00E72C11">
      <w:pPr>
        <w:pStyle w:val="TableTitle"/>
      </w:pPr>
      <w:bookmarkStart w:id="82" w:name="_Ref246140151"/>
      <w:bookmarkStart w:id="83" w:name="_Toc247598389"/>
      <w:proofErr w:type="gramStart"/>
      <w:r>
        <w:t xml:space="preserve">Table </w:t>
      </w:r>
      <w:bookmarkEnd w:id="82"/>
      <w:r>
        <w:t>9.</w:t>
      </w:r>
      <w:proofErr w:type="gramEnd"/>
      <w:r>
        <w:t xml:space="preserve"> Study 14295 Response rate / </w:t>
      </w:r>
      <w:r w:rsidRPr="00E72C11">
        <w:t>Disease</w:t>
      </w:r>
      <w:r>
        <w:t xml:space="preserve"> control rate</w:t>
      </w:r>
      <w:bookmarkEnd w:id="83"/>
    </w:p>
    <w:p w:rsidR="002F262E" w:rsidRDefault="002F262E" w:rsidP="00E72C11">
      <w:r>
        <w:rPr>
          <w:noProof/>
          <w:lang w:eastAsia="en-AU"/>
        </w:rPr>
        <w:drawing>
          <wp:inline distT="0" distB="0" distL="0" distR="0" wp14:anchorId="0F1BD993" wp14:editId="3A769F77">
            <wp:extent cx="3989127" cy="2000738"/>
            <wp:effectExtent l="0" t="0" r="0" b="0"/>
            <wp:docPr id="14" name="Picture 13" descr="Table 9. Study 14295 Response rate / Disease control rate" title="Table 9. Study 14295 Response rate / Disease control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9664" cy="2001007"/>
                    </a:xfrm>
                    <a:prstGeom prst="rect">
                      <a:avLst/>
                    </a:prstGeom>
                    <a:noFill/>
                    <a:ln>
                      <a:noFill/>
                    </a:ln>
                  </pic:spPr>
                </pic:pic>
              </a:graphicData>
            </a:graphic>
          </wp:inline>
        </w:drawing>
      </w:r>
    </w:p>
    <w:p w:rsidR="00FD5F83" w:rsidRDefault="00FD5F83" w:rsidP="00E72C11">
      <w:r>
        <w:t xml:space="preserve">The RR was </w:t>
      </w:r>
      <w:r w:rsidRPr="00F6086E">
        <w:rPr>
          <w:b/>
        </w:rPr>
        <w:t>12.2%</w:t>
      </w:r>
      <w:r>
        <w:t xml:space="preserve"> in the </w:t>
      </w:r>
      <w:proofErr w:type="spellStart"/>
      <w:r>
        <w:t>sorafenib</w:t>
      </w:r>
      <w:proofErr w:type="spellEnd"/>
      <w:r>
        <w:t xml:space="preserve"> group</w:t>
      </w:r>
      <w:r w:rsidR="00E22FDA">
        <w:t xml:space="preserve"> versus</w:t>
      </w:r>
      <w:r>
        <w:t xml:space="preserve"> </w:t>
      </w:r>
      <w:r w:rsidRPr="00F6086E">
        <w:rPr>
          <w:b/>
        </w:rPr>
        <w:t>0.5%</w:t>
      </w:r>
      <w:r>
        <w:t xml:space="preserve"> in the placebo group, and the difference was statistically significant (p&lt;0.0001). All responses were partial responses.</w:t>
      </w:r>
    </w:p>
    <w:p w:rsidR="00FD5F83" w:rsidRDefault="00FD5F83" w:rsidP="00E72C11">
      <w:r>
        <w:t>T</w:t>
      </w:r>
      <w:r w:rsidR="00E22FDA">
        <w:t>h</w:t>
      </w:r>
      <w:r>
        <w:t xml:space="preserve">e DCR was 86.2% in the </w:t>
      </w:r>
      <w:proofErr w:type="spellStart"/>
      <w:r>
        <w:t>sorafenib</w:t>
      </w:r>
      <w:proofErr w:type="spellEnd"/>
      <w:r>
        <w:t xml:space="preserve"> group and 74.6% in the placebo group (p=0.015).</w:t>
      </w:r>
    </w:p>
    <w:p w:rsidR="00FD5F83" w:rsidRDefault="00FD5F83" w:rsidP="00E72C11">
      <w:pPr>
        <w:ind w:left="720"/>
      </w:pPr>
      <w:r>
        <w:t>Comment:</w:t>
      </w:r>
      <w:r w:rsidR="00E22FDA">
        <w:t xml:space="preserve"> </w:t>
      </w:r>
      <w:r>
        <w:t xml:space="preserve">The RR was low, suggesting </w:t>
      </w:r>
      <w:proofErr w:type="spellStart"/>
      <w:r>
        <w:t>sorafenib</w:t>
      </w:r>
      <w:proofErr w:type="spellEnd"/>
      <w:r>
        <w:t xml:space="preserve"> prevents tumour growth rather than causes tumour shrinkage. The response rate for </w:t>
      </w:r>
      <w:proofErr w:type="spellStart"/>
      <w:r>
        <w:t>sorafenib</w:t>
      </w:r>
      <w:proofErr w:type="spellEnd"/>
      <w:r>
        <w:t xml:space="preserve"> in the currently approved indication of renal cell carcinoma was similarly low (approximately 10%).</w:t>
      </w:r>
    </w:p>
    <w:p w:rsidR="00FD5F83" w:rsidRDefault="00FD5F83" w:rsidP="00E72C11">
      <w:pPr>
        <w:ind w:left="567"/>
      </w:pPr>
      <w:r>
        <w:t>The DCR in the placebo group was high (74.6%), perhaps reflecting the slowly progressive nature of thyroid cancer, and the short period over which stability of disease was assessed (4 weeks only).</w:t>
      </w:r>
    </w:p>
    <w:p w:rsidR="00FD5F83" w:rsidRPr="001F4616" w:rsidRDefault="00FD5F83" w:rsidP="00E72C11">
      <w:pPr>
        <w:pStyle w:val="Heading5"/>
      </w:pPr>
      <w:r w:rsidRPr="001F4616">
        <w:t>Duration of response</w:t>
      </w:r>
    </w:p>
    <w:p w:rsidR="00FD5F83" w:rsidRDefault="00FD5F83" w:rsidP="00E72C11">
      <w:r>
        <w:t xml:space="preserve">For the 24 subjects who achieved a partial response in the </w:t>
      </w:r>
      <w:proofErr w:type="spellStart"/>
      <w:r>
        <w:t>sorafenib</w:t>
      </w:r>
      <w:proofErr w:type="spellEnd"/>
      <w:r>
        <w:t xml:space="preserve"> group, the median duration of response was 10.2 months (range 7.4 – 16.6).</w:t>
      </w:r>
    </w:p>
    <w:p w:rsidR="00FD5F83" w:rsidRPr="00614F83" w:rsidRDefault="00FD5F83" w:rsidP="00E22FDA">
      <w:pPr>
        <w:pStyle w:val="Heading5"/>
      </w:pPr>
      <w:proofErr w:type="spellStart"/>
      <w:r w:rsidRPr="00614F83">
        <w:lastRenderedPageBreak/>
        <w:t>HRQoL</w:t>
      </w:r>
      <w:proofErr w:type="spellEnd"/>
    </w:p>
    <w:p w:rsidR="00FD5F83" w:rsidRPr="002F262E" w:rsidRDefault="00FD5F83" w:rsidP="00E72C11">
      <w:r>
        <w:t xml:space="preserve">For the EQ-5D index, higher scores represent better health status and according to the sponsor a change of 0.10 to 0.12 points </w:t>
      </w:r>
      <w:proofErr w:type="gramStart"/>
      <w:r>
        <w:t>is</w:t>
      </w:r>
      <w:proofErr w:type="gramEnd"/>
      <w:r>
        <w:t xml:space="preserve"> considered clinically significant. For the EQ-VAS, higher scores are also indicative of better health status and a change of 7 points is considered clinically significant. Results for the mean scores for these two parameters </w:t>
      </w:r>
      <w:r w:rsidRPr="002F262E">
        <w:t xml:space="preserve">are shown in </w:t>
      </w:r>
      <w:r w:rsidR="008E1A61">
        <w:t>Table 1</w:t>
      </w:r>
      <w:r w:rsidR="002F262E" w:rsidRPr="002F262E">
        <w:t>0</w:t>
      </w:r>
      <w:r w:rsidRPr="002F262E">
        <w:t xml:space="preserve">. Over the course of the study, mean scores tended to improve in the placebo group and deteriorate in the </w:t>
      </w:r>
      <w:proofErr w:type="spellStart"/>
      <w:r w:rsidRPr="002F262E">
        <w:t>sorafenib</w:t>
      </w:r>
      <w:proofErr w:type="spellEnd"/>
      <w:r w:rsidRPr="002F262E">
        <w:t xml:space="preserve"> group. The difference between the groups was statistically significant, in favour of the placebo group for both parameters, however the differences were not considered clinically significant.</w:t>
      </w:r>
    </w:p>
    <w:p w:rsidR="00FD5F83" w:rsidRDefault="00FD5F83" w:rsidP="00E72C11">
      <w:r w:rsidRPr="002F262E">
        <w:t xml:space="preserve">For the FACT-G questionnaire, scores range from 0 to 108, with higher scores indicating better </w:t>
      </w:r>
      <w:proofErr w:type="spellStart"/>
      <w:r w:rsidRPr="002F262E">
        <w:t>QoL</w:t>
      </w:r>
      <w:proofErr w:type="spellEnd"/>
      <w:r w:rsidRPr="002F262E">
        <w:t>. A difference of 3 to 7 points is considered clinically significant. The analysis demonstrated a statistically significant treatment effect in favour of placebo for the total FACT-G score (p=0.0006), the physical well-being domain (p&lt;0.0001) and the functional well-being domain (p=0.0443). The difference was of marginal clinical significance for the total score (3.4527 points) and not clinically significant for the two domains (</w:t>
      </w:r>
      <w:r w:rsidR="008E1A61">
        <w:t>Table 11</w:t>
      </w:r>
      <w:r w:rsidRPr="002F262E">
        <w:t>).</w:t>
      </w:r>
    </w:p>
    <w:p w:rsidR="002F262E" w:rsidRDefault="002F262E" w:rsidP="00E72C11">
      <w:pPr>
        <w:pStyle w:val="TableTitle"/>
      </w:pPr>
      <w:bookmarkStart w:id="84" w:name="_Ref246142162"/>
      <w:bookmarkStart w:id="85" w:name="_Toc247598390"/>
      <w:proofErr w:type="gramStart"/>
      <w:r>
        <w:t xml:space="preserve">Table </w:t>
      </w:r>
      <w:bookmarkEnd w:id="84"/>
      <w:r>
        <w:rPr>
          <w:noProof/>
        </w:rPr>
        <w:t>10.</w:t>
      </w:r>
      <w:proofErr w:type="gramEnd"/>
      <w:r>
        <w:rPr>
          <w:noProof/>
        </w:rPr>
        <w:t xml:space="preserve"> </w:t>
      </w:r>
      <w:r>
        <w:t xml:space="preserve">Study </w:t>
      </w:r>
      <w:r w:rsidRPr="00E72C11">
        <w:t>14295</w:t>
      </w:r>
      <w:r>
        <w:t xml:space="preserve"> </w:t>
      </w:r>
      <w:proofErr w:type="spellStart"/>
      <w:r>
        <w:t>HRQoL</w:t>
      </w:r>
      <w:proofErr w:type="spellEnd"/>
      <w:r>
        <w:t xml:space="preserve"> (EQ-5D)</w:t>
      </w:r>
      <w:bookmarkEnd w:id="85"/>
    </w:p>
    <w:p w:rsidR="002F262E" w:rsidRDefault="002F262E" w:rsidP="00E72C11">
      <w:r>
        <w:rPr>
          <w:noProof/>
          <w:lang w:eastAsia="en-AU"/>
        </w:rPr>
        <w:drawing>
          <wp:inline distT="0" distB="0" distL="0" distR="0" wp14:anchorId="73D06182" wp14:editId="1C39AACB">
            <wp:extent cx="4066573" cy="3587261"/>
            <wp:effectExtent l="0" t="0" r="0" b="0"/>
            <wp:docPr id="15" name="Picture 14" descr="Table 10. Study 14295 HRQoL (EQ-5D)" title="Table 10. Study 14295 HRQoL (EQ-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5801" cy="3586580"/>
                    </a:xfrm>
                    <a:prstGeom prst="rect">
                      <a:avLst/>
                    </a:prstGeom>
                    <a:noFill/>
                    <a:ln>
                      <a:noFill/>
                    </a:ln>
                  </pic:spPr>
                </pic:pic>
              </a:graphicData>
            </a:graphic>
          </wp:inline>
        </w:drawing>
      </w:r>
    </w:p>
    <w:p w:rsidR="00E72C11" w:rsidRDefault="002F262E" w:rsidP="00E72C11">
      <w:pPr>
        <w:pStyle w:val="TableTitle"/>
      </w:pPr>
      <w:bookmarkStart w:id="86" w:name="_Ref246143707"/>
      <w:bookmarkStart w:id="87" w:name="_Toc247598391"/>
      <w:proofErr w:type="gramStart"/>
      <w:r>
        <w:t>Table 11.</w:t>
      </w:r>
      <w:bookmarkEnd w:id="86"/>
      <w:proofErr w:type="gramEnd"/>
      <w:r>
        <w:t xml:space="preserve"> Study </w:t>
      </w:r>
      <w:r w:rsidRPr="00E72C11">
        <w:t>14295</w:t>
      </w:r>
      <w:r>
        <w:t xml:space="preserve"> </w:t>
      </w:r>
      <w:proofErr w:type="spellStart"/>
      <w:r>
        <w:t>HRQoL</w:t>
      </w:r>
      <w:proofErr w:type="spellEnd"/>
      <w:r>
        <w:t xml:space="preserve"> (FACT-G)</w:t>
      </w:r>
      <w:bookmarkEnd w:id="87"/>
    </w:p>
    <w:p w:rsidR="002F262E" w:rsidRDefault="002F262E" w:rsidP="00E72C11">
      <w:r>
        <w:rPr>
          <w:noProof/>
          <w:lang w:eastAsia="en-AU"/>
        </w:rPr>
        <w:drawing>
          <wp:inline distT="0" distB="0" distL="0" distR="0" wp14:anchorId="6B59FD3E" wp14:editId="76552902">
            <wp:extent cx="4298462" cy="1249028"/>
            <wp:effectExtent l="0" t="0" r="6985" b="8890"/>
            <wp:docPr id="16" name="Picture 15" descr="Table 11. Study 14295 HRQoL (FACT-G)" title="Table 11. Study 14295 HRQoL (FAC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4744" cy="1250854"/>
                    </a:xfrm>
                    <a:prstGeom prst="rect">
                      <a:avLst/>
                    </a:prstGeom>
                    <a:noFill/>
                    <a:ln>
                      <a:noFill/>
                    </a:ln>
                  </pic:spPr>
                </pic:pic>
              </a:graphicData>
            </a:graphic>
          </wp:inline>
        </w:drawing>
      </w:r>
    </w:p>
    <w:p w:rsidR="00FD5F83" w:rsidRPr="00BE2AEB" w:rsidRDefault="00FD5F83" w:rsidP="00E72C11">
      <w:pPr>
        <w:pStyle w:val="Heading5"/>
      </w:pPr>
      <w:r w:rsidRPr="00E72C11">
        <w:t>Secondary</w:t>
      </w:r>
      <w:r w:rsidRPr="00BE2AEB">
        <w:t xml:space="preserve"> PFS</w:t>
      </w:r>
    </w:p>
    <w:p w:rsidR="00FD5F83" w:rsidRDefault="00FD5F83" w:rsidP="00E72C11">
      <w:r>
        <w:t xml:space="preserve">Results for PFS after initial disease progression are shown </w:t>
      </w:r>
      <w:r w:rsidRPr="002F262E">
        <w:t xml:space="preserve">in </w:t>
      </w:r>
      <w:r w:rsidR="008E1A61">
        <w:t>table 12</w:t>
      </w:r>
      <w:r w:rsidRPr="002F262E">
        <w:t>.</w:t>
      </w:r>
    </w:p>
    <w:p w:rsidR="00FD5F83" w:rsidRDefault="00FD5F83" w:rsidP="00E72C11">
      <w:pPr>
        <w:ind w:left="567"/>
      </w:pPr>
      <w:r>
        <w:lastRenderedPageBreak/>
        <w:t>Comment:</w:t>
      </w:r>
      <w:r w:rsidR="00E22FDA">
        <w:t xml:space="preserve"> </w:t>
      </w:r>
      <w:r>
        <w:t xml:space="preserve">In the group of patients who were initially treated with placebo, and received </w:t>
      </w:r>
      <w:proofErr w:type="spellStart"/>
      <w:r>
        <w:t>sorafenib</w:t>
      </w:r>
      <w:proofErr w:type="spellEnd"/>
      <w:r>
        <w:t xml:space="preserve"> on disease progression, median PFS was 9.6 months, which is comparable to the median PFS observed in subjects originally randomised to </w:t>
      </w:r>
      <w:proofErr w:type="spellStart"/>
      <w:r>
        <w:t>sorafenib</w:t>
      </w:r>
      <w:proofErr w:type="spellEnd"/>
      <w:r>
        <w:t xml:space="preserve"> (10.8 months). </w:t>
      </w:r>
    </w:p>
    <w:p w:rsidR="002F262E" w:rsidRDefault="002F262E" w:rsidP="00E72C11">
      <w:pPr>
        <w:pStyle w:val="TableTitle"/>
      </w:pPr>
      <w:bookmarkStart w:id="88" w:name="_Ref246144500"/>
      <w:bookmarkStart w:id="89" w:name="_Toc247598392"/>
      <w:proofErr w:type="gramStart"/>
      <w:r>
        <w:t>Table 12.</w:t>
      </w:r>
      <w:bookmarkEnd w:id="88"/>
      <w:proofErr w:type="gramEnd"/>
      <w:r>
        <w:t xml:space="preserve"> Study 14295 </w:t>
      </w:r>
      <w:r w:rsidRPr="00E72C11">
        <w:t>Secondary</w:t>
      </w:r>
      <w:r>
        <w:t xml:space="preserve"> PFS</w:t>
      </w:r>
      <w:bookmarkEnd w:id="89"/>
    </w:p>
    <w:p w:rsidR="002F262E" w:rsidRDefault="002F262E" w:rsidP="00E72C11">
      <w:r>
        <w:rPr>
          <w:noProof/>
          <w:lang w:eastAsia="en-AU"/>
        </w:rPr>
        <w:drawing>
          <wp:inline distT="0" distB="0" distL="0" distR="0" wp14:anchorId="3C132ABC" wp14:editId="465B559F">
            <wp:extent cx="4243754" cy="2235200"/>
            <wp:effectExtent l="0" t="0" r="4445" b="0"/>
            <wp:docPr id="17" name="Picture 16" descr="Table 12. Study 14295 Secondary PFS" title="Table 12. Study 14295 Secondary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a:extLst>
                        <a:ext uri="{28A0092B-C50C-407E-A947-70E740481C1C}">
                          <a14:useLocalDpi xmlns:a14="http://schemas.microsoft.com/office/drawing/2010/main" val="0"/>
                        </a:ext>
                      </a:extLst>
                    </a:blip>
                    <a:srcRect b="1851"/>
                    <a:stretch/>
                  </pic:blipFill>
                  <pic:spPr bwMode="auto">
                    <a:xfrm>
                      <a:off x="0" y="0"/>
                      <a:ext cx="4247893" cy="2237380"/>
                    </a:xfrm>
                    <a:prstGeom prst="rect">
                      <a:avLst/>
                    </a:prstGeom>
                    <a:noFill/>
                    <a:ln>
                      <a:noFill/>
                    </a:ln>
                    <a:extLst>
                      <a:ext uri="{53640926-AAD7-44D8-BBD7-CCE9431645EC}">
                        <a14:shadowObscured xmlns:a14="http://schemas.microsoft.com/office/drawing/2010/main"/>
                      </a:ext>
                    </a:extLst>
                  </pic:spPr>
                </pic:pic>
              </a:graphicData>
            </a:graphic>
          </wp:inline>
        </w:drawing>
      </w:r>
    </w:p>
    <w:p w:rsidR="00FD5F83" w:rsidRPr="007B78CC" w:rsidRDefault="00FD5F83" w:rsidP="00E72C11">
      <w:pPr>
        <w:pStyle w:val="Heading5"/>
      </w:pPr>
      <w:r w:rsidRPr="00E72C11">
        <w:t>Biomarker</w:t>
      </w:r>
      <w:r w:rsidRPr="007B78CC">
        <w:t xml:space="preserve"> analysis</w:t>
      </w:r>
    </w:p>
    <w:p w:rsidR="00FD5F83" w:rsidRDefault="00FD5F83" w:rsidP="00E72C11">
      <w:r>
        <w:t xml:space="preserve">A total of 256 tumour samples were suitable for mutation analysis. The distribution of mutations identified is shown </w:t>
      </w:r>
      <w:r w:rsidRPr="002F262E">
        <w:t xml:space="preserve">in </w:t>
      </w:r>
      <w:r w:rsidR="008E1A61">
        <w:t>Table 1</w:t>
      </w:r>
      <w:r w:rsidR="002F262E" w:rsidRPr="002F262E">
        <w:t>3</w:t>
      </w:r>
      <w:r w:rsidRPr="002F262E">
        <w:t>, with BRAF and RAS mutations being the most common. The presence or absence of BRAF, RAS</w:t>
      </w:r>
      <w:r>
        <w:t xml:space="preserve"> or other rare mutations did not correlate with benefit from </w:t>
      </w:r>
      <w:proofErr w:type="spellStart"/>
      <w:r>
        <w:t>sorafenib</w:t>
      </w:r>
      <w:proofErr w:type="spellEnd"/>
      <w:r>
        <w:t>.</w:t>
      </w:r>
    </w:p>
    <w:p w:rsidR="002F262E" w:rsidRDefault="002F262E" w:rsidP="00E72C11">
      <w:pPr>
        <w:pStyle w:val="TableTitle"/>
      </w:pPr>
      <w:bookmarkStart w:id="90" w:name="_Ref246149949"/>
      <w:bookmarkStart w:id="91" w:name="_Toc247598393"/>
      <w:proofErr w:type="gramStart"/>
      <w:r>
        <w:t xml:space="preserve">Table </w:t>
      </w:r>
      <w:bookmarkEnd w:id="90"/>
      <w:r>
        <w:t>13.</w:t>
      </w:r>
      <w:proofErr w:type="gramEnd"/>
      <w:r>
        <w:t xml:space="preserve"> </w:t>
      </w:r>
      <w:r w:rsidRPr="00E72C11">
        <w:t>Study</w:t>
      </w:r>
      <w:r>
        <w:t xml:space="preserve"> 14295 Tumour mutations</w:t>
      </w:r>
      <w:bookmarkEnd w:id="91"/>
    </w:p>
    <w:p w:rsidR="002F262E" w:rsidRDefault="002F262E" w:rsidP="00E72C11">
      <w:r>
        <w:rPr>
          <w:noProof/>
          <w:lang w:eastAsia="en-AU"/>
        </w:rPr>
        <w:drawing>
          <wp:inline distT="0" distB="0" distL="0" distR="0" wp14:anchorId="38F0A11C" wp14:editId="02617BAE">
            <wp:extent cx="3340128" cy="2946400"/>
            <wp:effectExtent l="0" t="0" r="0" b="6350"/>
            <wp:docPr id="18" name="Picture 17" descr="Table 13. Study 14295 Tumour mutations" title="Table 13. Study 14295 Tumour mu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b="4778"/>
                    <a:stretch/>
                  </pic:blipFill>
                  <pic:spPr bwMode="auto">
                    <a:xfrm>
                      <a:off x="0" y="0"/>
                      <a:ext cx="3345402" cy="2951052"/>
                    </a:xfrm>
                    <a:prstGeom prst="rect">
                      <a:avLst/>
                    </a:prstGeom>
                    <a:noFill/>
                    <a:ln>
                      <a:noFill/>
                    </a:ln>
                    <a:extLst>
                      <a:ext uri="{53640926-AAD7-44D8-BBD7-CCE9431645EC}">
                        <a14:shadowObscured xmlns:a14="http://schemas.microsoft.com/office/drawing/2010/main"/>
                      </a:ext>
                    </a:extLst>
                  </pic:spPr>
                </pic:pic>
              </a:graphicData>
            </a:graphic>
          </wp:inline>
        </w:drawing>
      </w:r>
    </w:p>
    <w:p w:rsidR="00FD5F83" w:rsidRDefault="00FD5F83" w:rsidP="00E72C11">
      <w:pPr>
        <w:pStyle w:val="Heading3"/>
      </w:pPr>
      <w:bookmarkStart w:id="92" w:name="_Ref271037188"/>
      <w:bookmarkStart w:id="93" w:name="_Ref271037210"/>
      <w:bookmarkStart w:id="94" w:name="_Toc272414655"/>
      <w:bookmarkStart w:id="95" w:name="_Toc290846277"/>
      <w:bookmarkStart w:id="96" w:name="_Toc247598314"/>
      <w:bookmarkStart w:id="97" w:name="_Toc241374311"/>
      <w:bookmarkStart w:id="98" w:name="_Ref243294291"/>
      <w:bookmarkStart w:id="99" w:name="_Toc396729345"/>
      <w:r>
        <w:t xml:space="preserve">Other </w:t>
      </w:r>
      <w:r w:rsidRPr="00E72C11">
        <w:t>efficacy</w:t>
      </w:r>
      <w:r>
        <w:t xml:space="preserve"> studies</w:t>
      </w:r>
      <w:bookmarkEnd w:id="92"/>
      <w:bookmarkEnd w:id="93"/>
      <w:bookmarkEnd w:id="94"/>
      <w:bookmarkEnd w:id="95"/>
      <w:bookmarkEnd w:id="96"/>
      <w:bookmarkEnd w:id="99"/>
    </w:p>
    <w:p w:rsidR="00FD5F83" w:rsidRDefault="00FD5F83" w:rsidP="00E72C11">
      <w:r>
        <w:t xml:space="preserve">The sponsor identified five, single-arm, </w:t>
      </w:r>
      <w:r w:rsidR="000C18FC">
        <w:t>Phase II</w:t>
      </w:r>
      <w:r>
        <w:t xml:space="preserve"> studies of the use of </w:t>
      </w:r>
      <w:proofErr w:type="spellStart"/>
      <w:r>
        <w:t>sorafenib</w:t>
      </w:r>
      <w:proofErr w:type="spellEnd"/>
      <w:r>
        <w:t xml:space="preserve"> in DTC from the literature</w:t>
      </w:r>
      <w:r w:rsidRPr="002D4175">
        <w:rPr>
          <w:vertAlign w:val="superscript"/>
        </w:rPr>
        <w:t xml:space="preserve"> (12, 13, 14-16, 17, 18)</w:t>
      </w:r>
      <w:r>
        <w:t>. Although the sponsor supported several of these, the studies were described as being ‘investigator-sponsored’ and only published papers (rather than detailed study reports) were included in the submission.</w:t>
      </w:r>
    </w:p>
    <w:p w:rsidR="00FD5F83" w:rsidRDefault="00FD5F83" w:rsidP="00E72C11">
      <w:r>
        <w:lastRenderedPageBreak/>
        <w:t>Comment:</w:t>
      </w:r>
      <w:r w:rsidR="00E22FDA">
        <w:t xml:space="preserve"> </w:t>
      </w:r>
      <w:r>
        <w:t>The sponsor has included these studies as supportive evidence only. Neither a detailed literature search strategy, agreed beforehand with the TGA, nor a search output has been provided. It therefore cannot be assumed that the five studies presented reflect a complete or balanced vi</w:t>
      </w:r>
      <w:r w:rsidR="00E72C11">
        <w:t>ew of the available literature.</w:t>
      </w:r>
    </w:p>
    <w:p w:rsidR="00FD5F83" w:rsidRPr="009F1360" w:rsidRDefault="00FD5F83" w:rsidP="00E72C11">
      <w:r>
        <w:t xml:space="preserve">The efficacy data from these five studies, including the results of the </w:t>
      </w:r>
      <w:proofErr w:type="spellStart"/>
      <w:r>
        <w:t>sorafenib</w:t>
      </w:r>
      <w:proofErr w:type="spellEnd"/>
      <w:r>
        <w:t xml:space="preserve"> arm in </w:t>
      </w:r>
      <w:r w:rsidR="000C18FC">
        <w:t>Study 14</w:t>
      </w:r>
      <w:r>
        <w:t xml:space="preserve">295 for comparison, is presented </w:t>
      </w:r>
      <w:r w:rsidRPr="002F262E">
        <w:t xml:space="preserve">in </w:t>
      </w:r>
      <w:r w:rsidR="007B32FA">
        <w:t xml:space="preserve">Table </w:t>
      </w:r>
      <w:r w:rsidR="008E1A61">
        <w:t>14</w:t>
      </w:r>
      <w:r w:rsidRPr="002F262E">
        <w:t>.</w:t>
      </w:r>
      <w:r>
        <w:t xml:space="preserve"> Response rates in the </w:t>
      </w:r>
      <w:r w:rsidR="000C18FC">
        <w:t>Phase II</w:t>
      </w:r>
      <w:r>
        <w:t xml:space="preserve"> studies varied from 15-38%. All responses were partial responses.</w:t>
      </w:r>
    </w:p>
    <w:bookmarkEnd w:id="97"/>
    <w:bookmarkEnd w:id="98"/>
    <w:p w:rsidR="002F262E" w:rsidRDefault="00FD5F83" w:rsidP="00E72C11">
      <w:pPr>
        <w:ind w:left="567"/>
      </w:pPr>
      <w:r>
        <w:t>Comment:</w:t>
      </w:r>
      <w:r w:rsidR="00E22FDA">
        <w:t xml:space="preserve"> </w:t>
      </w:r>
      <w:r>
        <w:t xml:space="preserve">Although cross-trial comparisons are not reliable, the efficacy results from these studies in terms of RR and PFS are generally comparable to, or more favourable than, those seen in </w:t>
      </w:r>
      <w:r w:rsidR="000C18FC">
        <w:t>Study 14</w:t>
      </w:r>
      <w:r>
        <w:t>295.</w:t>
      </w:r>
    </w:p>
    <w:p w:rsidR="002F262E" w:rsidRDefault="002F262E" w:rsidP="00E72C11">
      <w:pPr>
        <w:pStyle w:val="TableTitle"/>
      </w:pPr>
      <w:bookmarkStart w:id="100" w:name="_Ref246397589"/>
      <w:bookmarkStart w:id="101" w:name="_Toc247598394"/>
      <w:proofErr w:type="gramStart"/>
      <w:r>
        <w:t xml:space="preserve">Table </w:t>
      </w:r>
      <w:bookmarkEnd w:id="100"/>
      <w:r>
        <w:t>14.</w:t>
      </w:r>
      <w:proofErr w:type="gramEnd"/>
      <w:r>
        <w:t xml:space="preserve"> Phase II </w:t>
      </w:r>
      <w:proofErr w:type="gramStart"/>
      <w:r w:rsidRPr="00E72C11">
        <w:t>studies</w:t>
      </w:r>
      <w:r>
        <w:t xml:space="preserve">  Efficacy</w:t>
      </w:r>
      <w:proofErr w:type="gramEnd"/>
      <w:r>
        <w:t xml:space="preserve"> results for subjects with differentiated thyroid cancer</w:t>
      </w:r>
      <w:bookmarkEnd w:id="101"/>
    </w:p>
    <w:p w:rsidR="002F262E" w:rsidRDefault="002F262E" w:rsidP="00E72C11">
      <w:r>
        <w:rPr>
          <w:noProof/>
          <w:lang w:eastAsia="en-AU"/>
        </w:rPr>
        <w:drawing>
          <wp:inline distT="0" distB="0" distL="0" distR="0" wp14:anchorId="70D260C7" wp14:editId="51D7B6B1">
            <wp:extent cx="5323868" cy="2438400"/>
            <wp:effectExtent l="0" t="0" r="0" b="0"/>
            <wp:docPr id="3" name="Picture 3" descr="Table 14. Phase II studies  Efficacy results for subjects with differentiated thyroid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30417" cy="2441400"/>
                    </a:xfrm>
                    <a:prstGeom prst="rect">
                      <a:avLst/>
                    </a:prstGeom>
                  </pic:spPr>
                </pic:pic>
              </a:graphicData>
            </a:graphic>
          </wp:inline>
        </w:drawing>
      </w:r>
    </w:p>
    <w:p w:rsidR="00FD5F83" w:rsidRDefault="00FD5F83" w:rsidP="00E72C11">
      <w:pPr>
        <w:pStyle w:val="Heading3"/>
      </w:pPr>
      <w:bookmarkStart w:id="102" w:name="_Toc241374312"/>
      <w:bookmarkStart w:id="103" w:name="_Toc272414656"/>
      <w:bookmarkStart w:id="104" w:name="_Toc290846281"/>
      <w:bookmarkStart w:id="105" w:name="_Toc247598315"/>
      <w:bookmarkStart w:id="106" w:name="_Toc396729346"/>
      <w:r w:rsidRPr="00E72C11">
        <w:t>Analyses</w:t>
      </w:r>
      <w:r>
        <w:t xml:space="preserve"> performed across trials (pooled analyses and meta-analyses)</w:t>
      </w:r>
      <w:bookmarkEnd w:id="102"/>
      <w:bookmarkEnd w:id="103"/>
      <w:bookmarkEnd w:id="104"/>
      <w:bookmarkEnd w:id="105"/>
      <w:bookmarkEnd w:id="106"/>
    </w:p>
    <w:p w:rsidR="00FD5F83" w:rsidRDefault="00FD5F83" w:rsidP="00E72C11">
      <w:r>
        <w:t>There were no pooled analyses or meta-analyses of efficacy included in the submission.</w:t>
      </w:r>
    </w:p>
    <w:p w:rsidR="00FD5F83" w:rsidRPr="003C0A48" w:rsidRDefault="00FD5F83" w:rsidP="00E72C11">
      <w:pPr>
        <w:pStyle w:val="Heading3"/>
      </w:pPr>
      <w:bookmarkStart w:id="107" w:name="_Toc247598316"/>
      <w:bookmarkStart w:id="108" w:name="_Ref271126605"/>
      <w:bookmarkStart w:id="109" w:name="_Toc272414657"/>
      <w:bookmarkStart w:id="110" w:name="_Toc290846282"/>
      <w:bookmarkStart w:id="111" w:name="_Toc396729347"/>
      <w:r w:rsidRPr="003C0A48">
        <w:t xml:space="preserve">Evaluator’s </w:t>
      </w:r>
      <w:r w:rsidRPr="00E72C11">
        <w:t>conclusions</w:t>
      </w:r>
      <w:r w:rsidRPr="003C0A48">
        <w:t xml:space="preserve"> on clinical efficacy</w:t>
      </w:r>
      <w:bookmarkEnd w:id="107"/>
      <w:bookmarkEnd w:id="111"/>
      <w:r w:rsidRPr="003C0A48">
        <w:t xml:space="preserve"> </w:t>
      </w:r>
      <w:bookmarkEnd w:id="108"/>
      <w:bookmarkEnd w:id="109"/>
      <w:bookmarkEnd w:id="110"/>
    </w:p>
    <w:p w:rsidR="00FD5F83" w:rsidRDefault="00FD5F83" w:rsidP="00E72C11">
      <w:r>
        <w:t xml:space="preserve">The pivotal study was well designed and conducted. The design complied with the relevant EMA guidelines adopted by the TGA </w:t>
      </w:r>
      <w:r w:rsidRPr="00963BB9">
        <w:rPr>
          <w:vertAlign w:val="superscript"/>
        </w:rPr>
        <w:t>(6</w:t>
      </w:r>
      <w:proofErr w:type="gramStart"/>
      <w:r w:rsidRPr="00963BB9">
        <w:rPr>
          <w:vertAlign w:val="superscript"/>
        </w:rPr>
        <w:t>,7</w:t>
      </w:r>
      <w:proofErr w:type="gramEnd"/>
      <w:r w:rsidRPr="00963BB9">
        <w:rPr>
          <w:vertAlign w:val="superscript"/>
        </w:rPr>
        <w:t>)</w:t>
      </w:r>
      <w:r>
        <w:t xml:space="preserve">. The study demonstrated that </w:t>
      </w:r>
      <w:proofErr w:type="spellStart"/>
      <w:r>
        <w:t>sorafenib</w:t>
      </w:r>
      <w:proofErr w:type="spellEnd"/>
      <w:r>
        <w:t xml:space="preserve"> is clearly an active agent in RAI-refractory DTC, with a statistically significant (p&lt;0.0001) improvement in PFS compared to placebo. </w:t>
      </w:r>
    </w:p>
    <w:p w:rsidR="00FD5F83" w:rsidRDefault="00FD5F83" w:rsidP="00E72C11">
      <w:r>
        <w:t>The magnitude of the efficacy benefit is considered clinically significant. The risk of experiencing a PFS event (</w:t>
      </w:r>
      <w:r w:rsidR="00E22FDA">
        <w:t>that is,</w:t>
      </w:r>
      <w:r>
        <w:t xml:space="preserve"> disease progression or death) was reduced by approximately 40% (HR: 0.587; 95%CI: 0.454 – 0.758) and median PFS was increased by approximately 5 months (10.8</w:t>
      </w:r>
      <w:r w:rsidR="00E22FDA">
        <w:t xml:space="preserve"> versus</w:t>
      </w:r>
      <w:r>
        <w:t xml:space="preserve"> 5.8 months). The study did not demonstrate a benefit in terms of overall survival and this is most likely due to the trial design which permitted crossover from placebo to </w:t>
      </w:r>
      <w:proofErr w:type="spellStart"/>
      <w:r>
        <w:t>sorafenib</w:t>
      </w:r>
      <w:proofErr w:type="spellEnd"/>
      <w:r>
        <w:t xml:space="preserve"> after disease progression. The EMA guidelines indicate that PFS is acceptable as a primary endpoint in </w:t>
      </w:r>
      <w:r w:rsidR="000C18FC">
        <w:t>Phase III</w:t>
      </w:r>
      <w:r>
        <w:t xml:space="preserve"> studies and the TGA has previously approved new anticancer therapies on the basis of a PFS benefit, in the absence of a demonstrated OS benefit.</w:t>
      </w:r>
    </w:p>
    <w:p w:rsidR="00FD5F83" w:rsidRPr="00D01D79" w:rsidRDefault="00FD5F83" w:rsidP="00E72C11">
      <w:r w:rsidRPr="00D01D79">
        <w:t>The efficacy benefit is considered valuable given the serious nature of the disease being treated and the lack of alternative treatments.</w:t>
      </w:r>
    </w:p>
    <w:p w:rsidR="00FD5F83" w:rsidRDefault="00FD5F83" w:rsidP="00FD5F83">
      <w:r>
        <w:t xml:space="preserve">The exploratory </w:t>
      </w:r>
      <w:proofErr w:type="spellStart"/>
      <w:r>
        <w:t>HRQoL</w:t>
      </w:r>
      <w:proofErr w:type="spellEnd"/>
      <w:r>
        <w:t xml:space="preserve"> data suggested that patients treated with placebo had a better quality of life however the differences were of doubtful clinical significance.</w:t>
      </w:r>
    </w:p>
    <w:p w:rsidR="00FD5F83" w:rsidRDefault="00FD5F83" w:rsidP="00E72C11">
      <w:r>
        <w:lastRenderedPageBreak/>
        <w:t xml:space="preserve">Only one pivotal study has been submitted to support use of </w:t>
      </w:r>
      <w:proofErr w:type="spellStart"/>
      <w:r>
        <w:t>sorafenib</w:t>
      </w:r>
      <w:proofErr w:type="spellEnd"/>
      <w:r>
        <w:t xml:space="preserve"> in DTC and the TGA has adopted an EMA guideline that addresses this situation </w:t>
      </w:r>
      <w:r w:rsidRPr="00EA0B97">
        <w:rPr>
          <w:vertAlign w:val="superscript"/>
        </w:rPr>
        <w:t>(8)</w:t>
      </w:r>
      <w:r>
        <w:t>. It requires that the study should be ‘exceptionally compelling’. In the opinion of this reviewer, the pivotal study meets the criteria laid down in this guideline</w:t>
      </w:r>
      <w:r w:rsidR="000F0631">
        <w:t>;</w:t>
      </w:r>
      <w:r>
        <w:t xml:space="preserve"> the study design minimised the potential for bias, the population included in the study was representative of the population likely to receive the drug in clinical practice, the efficacy benefit was clinically significant, was highly statistically significant, and was consistent across subgroups.</w:t>
      </w:r>
      <w:r w:rsidR="00E72C11">
        <w:t xml:space="preserve"> </w:t>
      </w:r>
      <w:r>
        <w:t xml:space="preserve">The clinical rationale for using </w:t>
      </w:r>
      <w:proofErr w:type="spellStart"/>
      <w:r>
        <w:t>sorafenib</w:t>
      </w:r>
      <w:proofErr w:type="spellEnd"/>
      <w:r>
        <w:t xml:space="preserve"> in DTC is also plausible. </w:t>
      </w:r>
    </w:p>
    <w:p w:rsidR="00FD5F83" w:rsidRDefault="00FD5F83" w:rsidP="00E72C11">
      <w:r>
        <w:t xml:space="preserve">The published </w:t>
      </w:r>
      <w:r w:rsidR="000C18FC">
        <w:t>Phase II</w:t>
      </w:r>
      <w:r>
        <w:t xml:space="preserve"> studies submitted by the sponsor also provide some supportive evidence of efficacy.</w:t>
      </w:r>
    </w:p>
    <w:p w:rsidR="00FD5F83" w:rsidRDefault="00FD5F83" w:rsidP="00E72C11">
      <w:r>
        <w:t xml:space="preserve">Overall it is considered that the efficacy of </w:t>
      </w:r>
      <w:proofErr w:type="spellStart"/>
      <w:r>
        <w:t>sorafenib</w:t>
      </w:r>
      <w:proofErr w:type="spellEnd"/>
      <w:r>
        <w:t xml:space="preserve"> in the treatment of RAI-refractory DTC has been adequately established.</w:t>
      </w:r>
    </w:p>
    <w:p w:rsidR="00C22678" w:rsidRDefault="00C22678" w:rsidP="00E72C11">
      <w:pPr>
        <w:pStyle w:val="Heading2"/>
      </w:pPr>
      <w:bookmarkStart w:id="112" w:name="_Toc396729348"/>
      <w:r w:rsidRPr="00E72C11">
        <w:t>Clinical</w:t>
      </w:r>
      <w:r>
        <w:t xml:space="preserve"> safety</w:t>
      </w:r>
      <w:bookmarkEnd w:id="112"/>
    </w:p>
    <w:p w:rsidR="00FD5F83" w:rsidRPr="004B259C" w:rsidRDefault="00FD5F83" w:rsidP="00E72C11">
      <w:pPr>
        <w:pStyle w:val="Heading3"/>
      </w:pPr>
      <w:bookmarkStart w:id="113" w:name="_Toc272414659"/>
      <w:bookmarkStart w:id="114" w:name="_Toc290846284"/>
      <w:bookmarkStart w:id="115" w:name="_Toc247598318"/>
      <w:bookmarkStart w:id="116" w:name="_Toc396729349"/>
      <w:r>
        <w:t xml:space="preserve">Studies </w:t>
      </w:r>
      <w:r w:rsidRPr="00E72C11">
        <w:t>providing</w:t>
      </w:r>
      <w:r>
        <w:t xml:space="preserve"> evaluable safety data</w:t>
      </w:r>
      <w:bookmarkEnd w:id="113"/>
      <w:bookmarkEnd w:id="114"/>
      <w:bookmarkEnd w:id="115"/>
      <w:bookmarkEnd w:id="116"/>
    </w:p>
    <w:p w:rsidR="00FD5F83" w:rsidRDefault="00FD5F83" w:rsidP="00E72C11">
      <w:bookmarkStart w:id="117" w:name="_Ref268776745"/>
      <w:r>
        <w:t>The following studies provided evaluable safety data:</w:t>
      </w:r>
    </w:p>
    <w:p w:rsidR="00FD5F83" w:rsidRPr="00027276" w:rsidRDefault="00FD5F83" w:rsidP="00E72C11">
      <w:pPr>
        <w:pStyle w:val="Heading4"/>
      </w:pPr>
      <w:r w:rsidRPr="00027276">
        <w:t xml:space="preserve">Pivotal efficacy </w:t>
      </w:r>
      <w:r w:rsidRPr="00E72C11">
        <w:t>stud</w:t>
      </w:r>
      <w:bookmarkEnd w:id="117"/>
      <w:r w:rsidRPr="00E72C11">
        <w:t>y</w:t>
      </w:r>
    </w:p>
    <w:p w:rsidR="00FD5F83" w:rsidRDefault="00FD5F83" w:rsidP="00E72C11">
      <w:r>
        <w:t xml:space="preserve">In the pivotal efficacy trial, study visits were scheduled at screening, </w:t>
      </w:r>
      <w:r w:rsidR="000F0631">
        <w:t>D</w:t>
      </w:r>
      <w:r>
        <w:t xml:space="preserve">ay 1 of </w:t>
      </w:r>
      <w:r w:rsidR="000F0631">
        <w:t>C</w:t>
      </w:r>
      <w:r>
        <w:t xml:space="preserve">ycle 1 (randomisation visit), </w:t>
      </w:r>
      <w:r w:rsidR="000F0631">
        <w:t>Day 1 of the next 8 cycles, D</w:t>
      </w:r>
      <w:r>
        <w:t xml:space="preserve">ay 1 of every </w:t>
      </w:r>
      <w:r w:rsidR="000F0631">
        <w:t>second</w:t>
      </w:r>
      <w:r>
        <w:t xml:space="preserve"> cycle thereafter while still receiving study drug and 30 days after stopping study drug (end of treatment visit). </w:t>
      </w:r>
    </w:p>
    <w:p w:rsidR="00FD5F83" w:rsidRDefault="00FD5F83" w:rsidP="00E72C11">
      <w:r>
        <w:t>The following safety data were collected:</w:t>
      </w:r>
    </w:p>
    <w:p w:rsidR="00FD5F83" w:rsidRDefault="00FD5F83" w:rsidP="00E72C11">
      <w:pPr>
        <w:pStyle w:val="ListBullet"/>
      </w:pPr>
      <w:r>
        <w:t>General adverse events (AEs) were assessed at each study visit;</w:t>
      </w:r>
    </w:p>
    <w:p w:rsidR="00FD5F83" w:rsidRDefault="00FD5F83" w:rsidP="000F0631">
      <w:pPr>
        <w:pStyle w:val="ListBullet"/>
      </w:pPr>
      <w:r>
        <w:t>A physical examination including vital signs, weight and brief examination of pertinent organ systems, was performed at each study visit.</w:t>
      </w:r>
    </w:p>
    <w:p w:rsidR="00FD5F83" w:rsidRDefault="00FD5F83" w:rsidP="00E72C11">
      <w:pPr>
        <w:pStyle w:val="ListBullet"/>
      </w:pPr>
      <w:r>
        <w:t xml:space="preserve">The following </w:t>
      </w:r>
      <w:r w:rsidRPr="00E72C11">
        <w:t>laboratory</w:t>
      </w:r>
      <w:r>
        <w:t xml:space="preserve"> tests, were performed at each study visit (except at randomisation):</w:t>
      </w:r>
    </w:p>
    <w:p w:rsidR="00FD5F83" w:rsidRPr="00E72C11" w:rsidRDefault="00FD5F83" w:rsidP="00E72C11">
      <w:pPr>
        <w:pStyle w:val="ListBullet2"/>
      </w:pPr>
      <w:r w:rsidRPr="00E72C11">
        <w:t>Haematology: complete blood count (CBC) with differential count;</w:t>
      </w:r>
    </w:p>
    <w:p w:rsidR="00FD5F83" w:rsidRPr="00E72C11" w:rsidRDefault="00FD5F83" w:rsidP="00E72C11">
      <w:pPr>
        <w:pStyle w:val="ListBullet2"/>
      </w:pPr>
      <w:r w:rsidRPr="00E72C11">
        <w:t xml:space="preserve">Chemistry including: total bilirubin, ALT, AST, amylase or lipase, blood urea nitrogen (BUN), phosphate, sodium, potassium, chloride, calcium, albumin, glucose and creatinine, </w:t>
      </w:r>
    </w:p>
    <w:p w:rsidR="00FD5F83" w:rsidRPr="00E72C11" w:rsidRDefault="00FD5F83" w:rsidP="00E72C11">
      <w:pPr>
        <w:pStyle w:val="ListBullet2"/>
      </w:pPr>
      <w:r w:rsidRPr="00E72C11">
        <w:t xml:space="preserve">Prothrombin Time/INR, Partial </w:t>
      </w:r>
      <w:proofErr w:type="spellStart"/>
      <w:r w:rsidRPr="00E72C11">
        <w:t>Thromboplastin</w:t>
      </w:r>
      <w:proofErr w:type="spellEnd"/>
      <w:r w:rsidRPr="00E72C11">
        <w:t xml:space="preserve"> Time (PTT); </w:t>
      </w:r>
    </w:p>
    <w:p w:rsidR="00FD5F83" w:rsidRPr="00E72C11" w:rsidRDefault="00FD5F83" w:rsidP="00E72C11">
      <w:pPr>
        <w:pStyle w:val="ListBullet2"/>
      </w:pPr>
      <w:r w:rsidRPr="00E72C11">
        <w:t>Urinalysis (dipstick: pH, glucose, protein, leukocytes, and erythrocytes);</w:t>
      </w:r>
    </w:p>
    <w:p w:rsidR="00FD5F83" w:rsidRPr="00E72C11" w:rsidRDefault="00FD5F83" w:rsidP="00E72C11">
      <w:pPr>
        <w:pStyle w:val="ListBullet2"/>
      </w:pPr>
      <w:r w:rsidRPr="00E72C11">
        <w:t>Thyroglobulin level and thyroglobulin antibodies (as part of the biomarker analyses), TSH, total T3, free T4.</w:t>
      </w:r>
    </w:p>
    <w:p w:rsidR="00FD5F83" w:rsidRDefault="00FD5F83" w:rsidP="00E72C11">
      <w:pPr>
        <w:pStyle w:val="Heading4"/>
      </w:pPr>
      <w:r>
        <w:t xml:space="preserve">Other </w:t>
      </w:r>
      <w:r w:rsidRPr="00E72C11">
        <w:t>studies</w:t>
      </w:r>
    </w:p>
    <w:p w:rsidR="00FD5F83" w:rsidRDefault="00FD5F83" w:rsidP="00E72C11">
      <w:r>
        <w:t xml:space="preserve">The published </w:t>
      </w:r>
      <w:r w:rsidR="000C18FC">
        <w:t>Phase II</w:t>
      </w:r>
      <w:r>
        <w:t xml:space="preserve"> studies reported adverse events and laboratory abnormalities.</w:t>
      </w:r>
    </w:p>
    <w:p w:rsidR="00FD5F83" w:rsidRDefault="00FD5F83" w:rsidP="00E72C11">
      <w:pPr>
        <w:pStyle w:val="Heading3"/>
      </w:pPr>
      <w:bookmarkStart w:id="118" w:name="_Toc241374318"/>
      <w:bookmarkStart w:id="119" w:name="_Ref271196630"/>
      <w:bookmarkStart w:id="120" w:name="_Toc272414662"/>
      <w:bookmarkStart w:id="121" w:name="_Toc290846300"/>
      <w:bookmarkStart w:id="122" w:name="_Toc247598319"/>
      <w:bookmarkStart w:id="123" w:name="_Toc396729350"/>
      <w:r>
        <w:t xml:space="preserve">Overall patient </w:t>
      </w:r>
      <w:r w:rsidRPr="00E72C11">
        <w:t>exposure</w:t>
      </w:r>
      <w:bookmarkEnd w:id="118"/>
      <w:bookmarkEnd w:id="119"/>
      <w:bookmarkEnd w:id="120"/>
      <w:bookmarkEnd w:id="121"/>
      <w:bookmarkEnd w:id="122"/>
      <w:bookmarkEnd w:id="123"/>
    </w:p>
    <w:p w:rsidR="00B213FE" w:rsidRDefault="00FD5F83" w:rsidP="00E72C11">
      <w:r>
        <w:t xml:space="preserve">Safety data were available for a total of 517 subjects in the submitted studies. Two of the </w:t>
      </w:r>
      <w:r w:rsidR="000C18FC">
        <w:t>Phase II</w:t>
      </w:r>
      <w:r>
        <w:t xml:space="preserve"> studies pooled safety data from patients with DTC and subjects with other types of thyroid cancer.</w:t>
      </w:r>
    </w:p>
    <w:p w:rsidR="00B213FE" w:rsidRDefault="00B213FE">
      <w:pPr>
        <w:spacing w:before="0" w:after="200" w:line="0" w:lineRule="auto"/>
      </w:pPr>
      <w:r>
        <w:br w:type="page"/>
      </w:r>
    </w:p>
    <w:p w:rsidR="00FD5F83" w:rsidRDefault="00FD5F83" w:rsidP="00E72C11">
      <w:pPr>
        <w:pStyle w:val="TableTitle"/>
      </w:pPr>
      <w:bookmarkStart w:id="124" w:name="_Toc247598375"/>
      <w:proofErr w:type="gramStart"/>
      <w:r>
        <w:t xml:space="preserve">Table </w:t>
      </w:r>
      <w:r w:rsidR="0044647D">
        <w:t>15.</w:t>
      </w:r>
      <w:proofErr w:type="gramEnd"/>
      <w:r>
        <w:t xml:space="preserve"> </w:t>
      </w:r>
      <w:proofErr w:type="gramStart"/>
      <w:r>
        <w:t xml:space="preserve">Exposure to </w:t>
      </w:r>
      <w:proofErr w:type="spellStart"/>
      <w:r>
        <w:t>sorafenib</w:t>
      </w:r>
      <w:proofErr w:type="spellEnd"/>
      <w:r>
        <w:t xml:space="preserve"> and placebo in </w:t>
      </w:r>
      <w:r w:rsidRPr="00E72C11">
        <w:t>clinical</w:t>
      </w:r>
      <w:r>
        <w:t xml:space="preserve"> studies.</w:t>
      </w:r>
      <w:bookmarkEnd w:id="124"/>
      <w:proofErr w:type="gramEnd"/>
    </w:p>
    <w:tbl>
      <w:tblPr>
        <w:tblStyle w:val="TableTGAblue"/>
        <w:tblW w:w="8472" w:type="dxa"/>
        <w:tblLayout w:type="fixed"/>
        <w:tblLook w:val="04A0" w:firstRow="1" w:lastRow="0" w:firstColumn="1" w:lastColumn="0" w:noHBand="0" w:noVBand="1"/>
      </w:tblPr>
      <w:tblGrid>
        <w:gridCol w:w="3085"/>
        <w:gridCol w:w="142"/>
        <w:gridCol w:w="1701"/>
        <w:gridCol w:w="1559"/>
        <w:gridCol w:w="1985"/>
      </w:tblGrid>
      <w:tr w:rsidR="000F0631" w:rsidRPr="00E72C11" w:rsidTr="00121C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gridSpan w:val="2"/>
            <w:vMerge w:val="restart"/>
          </w:tcPr>
          <w:p w:rsidR="00FD5F83" w:rsidRPr="00E72C11" w:rsidRDefault="00FD5F83" w:rsidP="00E72C11">
            <w:pPr>
              <w:rPr>
                <w:sz w:val="20"/>
                <w:szCs w:val="20"/>
              </w:rPr>
            </w:pPr>
            <w:r w:rsidRPr="00E72C11">
              <w:rPr>
                <w:sz w:val="20"/>
                <w:szCs w:val="20"/>
              </w:rPr>
              <w:t>Study type/Indication</w:t>
            </w:r>
          </w:p>
        </w:tc>
        <w:tc>
          <w:tcPr>
            <w:tcW w:w="3260" w:type="dxa"/>
            <w:gridSpan w:val="2"/>
          </w:tcPr>
          <w:p w:rsidR="00FD5F83" w:rsidRPr="00E72C11" w:rsidRDefault="00FD5F83" w:rsidP="00121C20">
            <w:pPr>
              <w:jc w:val="center"/>
              <w:cnfStyle w:val="100000000000" w:firstRow="1" w:lastRow="0" w:firstColumn="0" w:lastColumn="0" w:oddVBand="0" w:evenVBand="0" w:oddHBand="0" w:evenHBand="0" w:firstRowFirstColumn="0" w:firstRowLastColumn="0" w:lastRowFirstColumn="0" w:lastRowLastColumn="0"/>
              <w:rPr>
                <w:sz w:val="20"/>
                <w:szCs w:val="20"/>
              </w:rPr>
            </w:pPr>
            <w:r w:rsidRPr="00E72C11">
              <w:rPr>
                <w:sz w:val="20"/>
                <w:szCs w:val="20"/>
              </w:rPr>
              <w:t>Pivotal study</w:t>
            </w:r>
          </w:p>
        </w:tc>
        <w:tc>
          <w:tcPr>
            <w:tcW w:w="1985" w:type="dxa"/>
          </w:tcPr>
          <w:p w:rsidR="00FD5F83" w:rsidRPr="00E72C11" w:rsidRDefault="00E72C11" w:rsidP="00121C20">
            <w:pPr>
              <w:jc w:val="center"/>
              <w:cnfStyle w:val="100000000000" w:firstRow="1" w:lastRow="0" w:firstColumn="0" w:lastColumn="0" w:oddVBand="0" w:evenVBand="0" w:oddHBand="0" w:evenHBand="0" w:firstRowFirstColumn="0" w:firstRowLastColumn="0" w:lastRowFirstColumn="0" w:lastRowLastColumn="0"/>
              <w:rPr>
                <w:sz w:val="20"/>
                <w:szCs w:val="20"/>
              </w:rPr>
            </w:pPr>
            <w:r w:rsidRPr="00E72C11">
              <w:rPr>
                <w:sz w:val="20"/>
                <w:szCs w:val="20"/>
              </w:rPr>
              <w:t>Uncontrolled s</w:t>
            </w:r>
            <w:r w:rsidR="00FD5F83" w:rsidRPr="00E72C11">
              <w:rPr>
                <w:sz w:val="20"/>
                <w:szCs w:val="20"/>
              </w:rPr>
              <w:t>tudies</w:t>
            </w:r>
          </w:p>
        </w:tc>
      </w:tr>
      <w:tr w:rsidR="000F0631" w:rsidRPr="00E72C11" w:rsidTr="00121C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gridSpan w:val="2"/>
            <w:vMerge/>
          </w:tcPr>
          <w:p w:rsidR="00FD5F83" w:rsidRPr="00E72C11" w:rsidRDefault="00FD5F83" w:rsidP="00E72C11">
            <w:pPr>
              <w:rPr>
                <w:sz w:val="20"/>
                <w:szCs w:val="20"/>
              </w:rPr>
            </w:pPr>
          </w:p>
        </w:tc>
        <w:tc>
          <w:tcPr>
            <w:tcW w:w="1701" w:type="dxa"/>
          </w:tcPr>
          <w:p w:rsidR="00FD5F83" w:rsidRPr="00E72C11" w:rsidRDefault="00FD5F83" w:rsidP="00121C20">
            <w:pPr>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E72C11">
              <w:rPr>
                <w:sz w:val="20"/>
                <w:szCs w:val="20"/>
              </w:rPr>
              <w:t>Sorafenib</w:t>
            </w:r>
            <w:proofErr w:type="spellEnd"/>
          </w:p>
        </w:tc>
        <w:tc>
          <w:tcPr>
            <w:tcW w:w="1559" w:type="dxa"/>
          </w:tcPr>
          <w:p w:rsidR="00FD5F83" w:rsidRPr="00E72C11" w:rsidRDefault="00FD5F83" w:rsidP="00121C20">
            <w:pPr>
              <w:jc w:val="center"/>
              <w:cnfStyle w:val="100000000000" w:firstRow="1" w:lastRow="0" w:firstColumn="0" w:lastColumn="0" w:oddVBand="0" w:evenVBand="0" w:oddHBand="0" w:evenHBand="0" w:firstRowFirstColumn="0" w:firstRowLastColumn="0" w:lastRowFirstColumn="0" w:lastRowLastColumn="0"/>
              <w:rPr>
                <w:sz w:val="20"/>
                <w:szCs w:val="20"/>
              </w:rPr>
            </w:pPr>
            <w:r w:rsidRPr="00E72C11">
              <w:rPr>
                <w:sz w:val="20"/>
                <w:szCs w:val="20"/>
              </w:rPr>
              <w:t>Placebo</w:t>
            </w:r>
          </w:p>
        </w:tc>
        <w:tc>
          <w:tcPr>
            <w:tcW w:w="1985" w:type="dxa"/>
          </w:tcPr>
          <w:p w:rsidR="00FD5F83" w:rsidRPr="00E72C11" w:rsidRDefault="00FD5F83" w:rsidP="00121C20">
            <w:pPr>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E72C11">
              <w:rPr>
                <w:sz w:val="20"/>
                <w:szCs w:val="20"/>
              </w:rPr>
              <w:t>Sorafenib</w:t>
            </w:r>
            <w:proofErr w:type="spellEnd"/>
          </w:p>
        </w:tc>
      </w:tr>
      <w:tr w:rsidR="00E72C11" w:rsidRPr="00E72C11" w:rsidTr="00121C20">
        <w:tc>
          <w:tcPr>
            <w:cnfStyle w:val="001000000000" w:firstRow="0" w:lastRow="0" w:firstColumn="1" w:lastColumn="0" w:oddVBand="0" w:evenVBand="0" w:oddHBand="0" w:evenHBand="0" w:firstRowFirstColumn="0" w:firstRowLastColumn="0" w:lastRowFirstColumn="0" w:lastRowLastColumn="0"/>
            <w:tcW w:w="8472" w:type="dxa"/>
            <w:gridSpan w:val="5"/>
            <w:tcBorders>
              <w:bottom w:val="single" w:sz="4" w:space="0" w:color="auto"/>
            </w:tcBorders>
          </w:tcPr>
          <w:p w:rsidR="00E72C11" w:rsidRPr="00E72C11" w:rsidRDefault="00E72C11" w:rsidP="00121C20">
            <w:pPr>
              <w:rPr>
                <w:sz w:val="20"/>
                <w:szCs w:val="20"/>
              </w:rPr>
            </w:pPr>
            <w:r w:rsidRPr="00E72C11">
              <w:rPr>
                <w:sz w:val="20"/>
                <w:szCs w:val="20"/>
              </w:rPr>
              <w:t>Pivotal</w:t>
            </w:r>
          </w:p>
        </w:tc>
      </w:tr>
      <w:tr w:rsidR="00FD5F83" w:rsidRPr="00121C20" w:rsidTr="00121C20">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nil"/>
            </w:tcBorders>
          </w:tcPr>
          <w:p w:rsidR="00FD5F83" w:rsidRPr="00121C20" w:rsidRDefault="00FD5F83" w:rsidP="00121C20">
            <w:pPr>
              <w:pStyle w:val="ListBullet"/>
              <w:rPr>
                <w:sz w:val="20"/>
                <w:szCs w:val="20"/>
              </w:rPr>
            </w:pPr>
            <w:r w:rsidRPr="00121C20">
              <w:rPr>
                <w:sz w:val="20"/>
                <w:szCs w:val="20"/>
              </w:rPr>
              <w:t>Double-blind phase</w:t>
            </w:r>
          </w:p>
          <w:p w:rsidR="005171F9" w:rsidRPr="00121C20" w:rsidRDefault="005171F9" w:rsidP="00E72C11">
            <w:pPr>
              <w:ind w:left="0"/>
              <w:rPr>
                <w:sz w:val="20"/>
                <w:szCs w:val="20"/>
              </w:rPr>
            </w:pPr>
          </w:p>
          <w:p w:rsidR="00FD5F83" w:rsidRPr="00121C20" w:rsidRDefault="00FD5F83" w:rsidP="00121C20">
            <w:pPr>
              <w:pStyle w:val="ListBullet"/>
              <w:rPr>
                <w:sz w:val="20"/>
                <w:szCs w:val="20"/>
              </w:rPr>
            </w:pPr>
            <w:r w:rsidRPr="00121C20">
              <w:rPr>
                <w:sz w:val="20"/>
                <w:szCs w:val="20"/>
              </w:rPr>
              <w:t>Open label phase</w:t>
            </w:r>
          </w:p>
        </w:tc>
        <w:tc>
          <w:tcPr>
            <w:tcW w:w="1843" w:type="dxa"/>
            <w:gridSpan w:val="2"/>
            <w:tcBorders>
              <w:top w:val="single" w:sz="4" w:space="0" w:color="auto"/>
              <w:bottom w:val="nil"/>
            </w:tcBorders>
          </w:tcPr>
          <w:p w:rsidR="00FD5F83" w:rsidRPr="00121C20" w:rsidRDefault="00FD5F83" w:rsidP="00121C20">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121C20">
              <w:rPr>
                <w:b/>
                <w:sz w:val="20"/>
                <w:szCs w:val="20"/>
              </w:rPr>
              <w:t>207</w:t>
            </w:r>
          </w:p>
          <w:p w:rsidR="005171F9" w:rsidRPr="00121C20" w:rsidRDefault="005171F9"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p>
          <w:p w:rsidR="00FD5F83" w:rsidRPr="00121C20"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tcBorders>
              <w:top w:val="single" w:sz="4" w:space="0" w:color="auto"/>
              <w:bottom w:val="nil"/>
            </w:tcBorders>
          </w:tcPr>
          <w:p w:rsidR="00FD5F83" w:rsidRPr="00121C20"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C20">
              <w:rPr>
                <w:sz w:val="20"/>
                <w:szCs w:val="20"/>
              </w:rPr>
              <w:t>209</w:t>
            </w:r>
          </w:p>
          <w:p w:rsidR="00FD5F83" w:rsidRPr="00121C20"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C20">
              <w:rPr>
                <w:sz w:val="20"/>
                <w:szCs w:val="20"/>
              </w:rPr>
              <w:t>-</w:t>
            </w:r>
          </w:p>
          <w:p w:rsidR="00FD5F83" w:rsidRPr="00121C20"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Borders>
              <w:top w:val="single" w:sz="4" w:space="0" w:color="auto"/>
              <w:bottom w:val="nil"/>
              <w:right w:val="single" w:sz="4" w:space="0" w:color="auto"/>
            </w:tcBorders>
          </w:tcPr>
          <w:p w:rsidR="00FD5F83" w:rsidRPr="00121C20" w:rsidRDefault="005171F9"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C20">
              <w:rPr>
                <w:sz w:val="20"/>
                <w:szCs w:val="20"/>
              </w:rPr>
              <w:t>-</w:t>
            </w:r>
          </w:p>
          <w:p w:rsidR="00FD5F83" w:rsidRPr="00121C20"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C20">
              <w:rPr>
                <w:sz w:val="20"/>
                <w:szCs w:val="20"/>
              </w:rPr>
              <w:t>-</w:t>
            </w:r>
          </w:p>
        </w:tc>
      </w:tr>
      <w:tr w:rsidR="00121C20" w:rsidRPr="00121C20" w:rsidTr="00121C20">
        <w:tc>
          <w:tcPr>
            <w:cnfStyle w:val="001000000000" w:firstRow="0" w:lastRow="0" w:firstColumn="1" w:lastColumn="0" w:oddVBand="0" w:evenVBand="0" w:oddHBand="0" w:evenHBand="0" w:firstRowFirstColumn="0" w:firstRowLastColumn="0" w:lastRowFirstColumn="0" w:lastRowLastColumn="0"/>
            <w:tcW w:w="3085" w:type="dxa"/>
            <w:tcBorders>
              <w:top w:val="nil"/>
              <w:left w:val="single" w:sz="4" w:space="0" w:color="auto"/>
            </w:tcBorders>
          </w:tcPr>
          <w:p w:rsidR="00121C20" w:rsidRPr="00121C20" w:rsidRDefault="00121C20" w:rsidP="00121C20">
            <w:pPr>
              <w:pStyle w:val="ListBullet2"/>
              <w:rPr>
                <w:sz w:val="20"/>
                <w:szCs w:val="20"/>
              </w:rPr>
            </w:pPr>
            <w:r w:rsidRPr="00121C20">
              <w:rPr>
                <w:sz w:val="20"/>
                <w:szCs w:val="20"/>
              </w:rPr>
              <w:t>From placebo group</w:t>
            </w:r>
          </w:p>
          <w:p w:rsidR="00121C20" w:rsidRPr="00121C20" w:rsidRDefault="00121C20" w:rsidP="00121C20">
            <w:pPr>
              <w:pStyle w:val="ListBullet2"/>
              <w:rPr>
                <w:sz w:val="20"/>
                <w:szCs w:val="20"/>
              </w:rPr>
            </w:pPr>
            <w:r w:rsidRPr="00121C20">
              <w:rPr>
                <w:sz w:val="20"/>
                <w:szCs w:val="20"/>
              </w:rPr>
              <w:t xml:space="preserve">From </w:t>
            </w:r>
            <w:proofErr w:type="spellStart"/>
            <w:r w:rsidRPr="00121C20">
              <w:rPr>
                <w:sz w:val="20"/>
                <w:szCs w:val="20"/>
              </w:rPr>
              <w:t>sorafenib</w:t>
            </w:r>
            <w:proofErr w:type="spellEnd"/>
            <w:r w:rsidRPr="00121C20">
              <w:rPr>
                <w:sz w:val="20"/>
                <w:szCs w:val="20"/>
              </w:rPr>
              <w:t xml:space="preserve"> group</w:t>
            </w:r>
          </w:p>
        </w:tc>
        <w:tc>
          <w:tcPr>
            <w:tcW w:w="1843" w:type="dxa"/>
            <w:gridSpan w:val="2"/>
            <w:tcBorders>
              <w:top w:val="nil"/>
            </w:tcBorders>
          </w:tcPr>
          <w:p w:rsidR="00121C20" w:rsidRPr="00121C20" w:rsidRDefault="00121C20" w:rsidP="00121C20">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121C20">
              <w:rPr>
                <w:b/>
                <w:sz w:val="20"/>
                <w:szCs w:val="20"/>
              </w:rPr>
              <w:t>150</w:t>
            </w:r>
          </w:p>
          <w:p w:rsidR="00121C20" w:rsidRPr="00121C20" w:rsidRDefault="00121C20"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w:t>
            </w:r>
          </w:p>
        </w:tc>
        <w:tc>
          <w:tcPr>
            <w:tcW w:w="1559" w:type="dxa"/>
            <w:tcBorders>
              <w:top w:val="nil"/>
            </w:tcBorders>
          </w:tcPr>
          <w:p w:rsidR="00121C20" w:rsidRPr="00121C20" w:rsidRDefault="00121C20"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C20">
              <w:rPr>
                <w:sz w:val="20"/>
                <w:szCs w:val="20"/>
              </w:rPr>
              <w:t>-</w:t>
            </w:r>
          </w:p>
          <w:p w:rsidR="00121C20" w:rsidRPr="00121C20" w:rsidRDefault="00121C20"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121C20">
              <w:rPr>
                <w:sz w:val="20"/>
                <w:szCs w:val="20"/>
              </w:rPr>
              <w:t>-</w:t>
            </w:r>
          </w:p>
        </w:tc>
        <w:tc>
          <w:tcPr>
            <w:tcW w:w="1985" w:type="dxa"/>
            <w:tcBorders>
              <w:top w:val="nil"/>
              <w:right w:val="single" w:sz="4" w:space="0" w:color="auto"/>
            </w:tcBorders>
          </w:tcPr>
          <w:p w:rsidR="00121C20" w:rsidRPr="00121C20" w:rsidRDefault="00121C20"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21C20" w:rsidRPr="00E72C11" w:rsidTr="00121C20">
        <w:tc>
          <w:tcPr>
            <w:cnfStyle w:val="001000000000" w:firstRow="0" w:lastRow="0" w:firstColumn="1" w:lastColumn="0" w:oddVBand="0" w:evenVBand="0" w:oddHBand="0" w:evenHBand="0" w:firstRowFirstColumn="0" w:firstRowLastColumn="0" w:lastRowFirstColumn="0" w:lastRowLastColumn="0"/>
            <w:tcW w:w="8472" w:type="dxa"/>
            <w:gridSpan w:val="5"/>
            <w:tcBorders>
              <w:left w:val="single" w:sz="4" w:space="0" w:color="auto"/>
              <w:right w:val="single" w:sz="4" w:space="0" w:color="auto"/>
            </w:tcBorders>
          </w:tcPr>
          <w:p w:rsidR="00121C20" w:rsidRPr="00E72C11" w:rsidRDefault="00121C20" w:rsidP="00121C20">
            <w:pPr>
              <w:rPr>
                <w:sz w:val="20"/>
                <w:szCs w:val="20"/>
              </w:rPr>
            </w:pPr>
            <w:r w:rsidRPr="00E72C11">
              <w:rPr>
                <w:sz w:val="20"/>
                <w:szCs w:val="20"/>
              </w:rPr>
              <w:t>Phase II</w:t>
            </w:r>
          </w:p>
        </w:tc>
      </w:tr>
      <w:tr w:rsidR="00FD5F83" w:rsidRPr="00E72C11" w:rsidTr="00121C20">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tcBorders>
          </w:tcPr>
          <w:p w:rsidR="00FD5F83" w:rsidRPr="00121C20" w:rsidRDefault="00FD5F83" w:rsidP="00121C20">
            <w:pPr>
              <w:pStyle w:val="ListBullet"/>
              <w:rPr>
                <w:sz w:val="20"/>
                <w:szCs w:val="20"/>
              </w:rPr>
            </w:pPr>
            <w:r w:rsidRPr="00121C20">
              <w:rPr>
                <w:sz w:val="20"/>
                <w:szCs w:val="20"/>
              </w:rPr>
              <w:t>Ahmed 2009</w:t>
            </w:r>
          </w:p>
        </w:tc>
        <w:tc>
          <w:tcPr>
            <w:tcW w:w="1843" w:type="dxa"/>
            <w:gridSpan w:val="2"/>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w:t>
            </w:r>
          </w:p>
        </w:tc>
        <w:tc>
          <w:tcPr>
            <w:tcW w:w="1559" w:type="dxa"/>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w:t>
            </w:r>
          </w:p>
        </w:tc>
        <w:tc>
          <w:tcPr>
            <w:tcW w:w="1985" w:type="dxa"/>
            <w:tcBorders>
              <w:right w:val="single" w:sz="4" w:space="0" w:color="auto"/>
            </w:tcBorders>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34</w:t>
            </w:r>
            <w:r w:rsidRPr="00E72C11">
              <w:rPr>
                <w:sz w:val="20"/>
                <w:szCs w:val="20"/>
                <w:vertAlign w:val="superscript"/>
              </w:rPr>
              <w:t xml:space="preserve"> (1)</w:t>
            </w:r>
          </w:p>
        </w:tc>
      </w:tr>
      <w:tr w:rsidR="00FD5F83" w:rsidRPr="00E72C11" w:rsidTr="00121C20">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tcBorders>
          </w:tcPr>
          <w:p w:rsidR="00FD5F83" w:rsidRPr="00121C20" w:rsidRDefault="00FD5F83" w:rsidP="00121C20">
            <w:pPr>
              <w:pStyle w:val="ListBullet"/>
              <w:rPr>
                <w:sz w:val="20"/>
                <w:szCs w:val="20"/>
              </w:rPr>
            </w:pPr>
            <w:r w:rsidRPr="00121C20">
              <w:rPr>
                <w:sz w:val="20"/>
                <w:szCs w:val="20"/>
              </w:rPr>
              <w:t>Schneider 2012</w:t>
            </w:r>
          </w:p>
        </w:tc>
        <w:tc>
          <w:tcPr>
            <w:tcW w:w="1843" w:type="dxa"/>
            <w:gridSpan w:val="2"/>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w:t>
            </w:r>
          </w:p>
        </w:tc>
        <w:tc>
          <w:tcPr>
            <w:tcW w:w="1559" w:type="dxa"/>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w:t>
            </w:r>
          </w:p>
        </w:tc>
        <w:tc>
          <w:tcPr>
            <w:tcW w:w="1985" w:type="dxa"/>
            <w:tcBorders>
              <w:right w:val="single" w:sz="4" w:space="0" w:color="auto"/>
            </w:tcBorders>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31</w:t>
            </w:r>
          </w:p>
        </w:tc>
      </w:tr>
      <w:tr w:rsidR="00FD5F83" w:rsidRPr="00E72C11" w:rsidTr="00121C20">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tcBorders>
          </w:tcPr>
          <w:p w:rsidR="00FD5F83" w:rsidRPr="00121C20" w:rsidRDefault="00FD5F83" w:rsidP="00121C20">
            <w:pPr>
              <w:pStyle w:val="ListBullet"/>
              <w:rPr>
                <w:sz w:val="20"/>
                <w:szCs w:val="20"/>
              </w:rPr>
            </w:pPr>
            <w:r w:rsidRPr="00121C20">
              <w:rPr>
                <w:sz w:val="20"/>
                <w:szCs w:val="20"/>
              </w:rPr>
              <w:t>Gupta-Abramson 2008</w:t>
            </w:r>
          </w:p>
        </w:tc>
        <w:tc>
          <w:tcPr>
            <w:tcW w:w="1843" w:type="dxa"/>
            <w:gridSpan w:val="2"/>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w:t>
            </w:r>
          </w:p>
        </w:tc>
        <w:tc>
          <w:tcPr>
            <w:tcW w:w="1559" w:type="dxa"/>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w:t>
            </w:r>
          </w:p>
        </w:tc>
        <w:tc>
          <w:tcPr>
            <w:tcW w:w="1985" w:type="dxa"/>
            <w:tcBorders>
              <w:right w:val="single" w:sz="4" w:space="0" w:color="auto"/>
            </w:tcBorders>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30</w:t>
            </w:r>
            <w:r w:rsidRPr="00E72C11">
              <w:rPr>
                <w:sz w:val="20"/>
                <w:szCs w:val="20"/>
                <w:vertAlign w:val="superscript"/>
              </w:rPr>
              <w:t xml:space="preserve"> (2)</w:t>
            </w:r>
          </w:p>
        </w:tc>
      </w:tr>
      <w:tr w:rsidR="00FD5F83" w:rsidRPr="00E72C11" w:rsidTr="00121C20">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tcBorders>
          </w:tcPr>
          <w:p w:rsidR="00FD5F83" w:rsidRPr="00121C20" w:rsidRDefault="00FD5F83" w:rsidP="00121C20">
            <w:pPr>
              <w:pStyle w:val="ListBullet"/>
              <w:rPr>
                <w:sz w:val="20"/>
                <w:szCs w:val="20"/>
              </w:rPr>
            </w:pPr>
            <w:proofErr w:type="spellStart"/>
            <w:r w:rsidRPr="00121C20">
              <w:rPr>
                <w:sz w:val="20"/>
                <w:szCs w:val="20"/>
              </w:rPr>
              <w:t>Kloos</w:t>
            </w:r>
            <w:proofErr w:type="spellEnd"/>
            <w:r w:rsidRPr="00121C20">
              <w:rPr>
                <w:sz w:val="20"/>
                <w:szCs w:val="20"/>
              </w:rPr>
              <w:t xml:space="preserve"> 2009</w:t>
            </w:r>
          </w:p>
        </w:tc>
        <w:tc>
          <w:tcPr>
            <w:tcW w:w="1843" w:type="dxa"/>
            <w:gridSpan w:val="2"/>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w:t>
            </w:r>
          </w:p>
        </w:tc>
        <w:tc>
          <w:tcPr>
            <w:tcW w:w="1559" w:type="dxa"/>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w:t>
            </w:r>
          </w:p>
        </w:tc>
        <w:tc>
          <w:tcPr>
            <w:tcW w:w="1985" w:type="dxa"/>
            <w:tcBorders>
              <w:right w:val="single" w:sz="4" w:space="0" w:color="auto"/>
            </w:tcBorders>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56</w:t>
            </w:r>
            <w:r w:rsidRPr="00E72C11">
              <w:rPr>
                <w:sz w:val="20"/>
                <w:szCs w:val="20"/>
                <w:vertAlign w:val="superscript"/>
              </w:rPr>
              <w:t xml:space="preserve"> (1)</w:t>
            </w:r>
          </w:p>
        </w:tc>
      </w:tr>
      <w:tr w:rsidR="00FD5F83" w:rsidRPr="00E72C11" w:rsidTr="00121C20">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tcBorders>
          </w:tcPr>
          <w:p w:rsidR="00FD5F83" w:rsidRPr="00121C20" w:rsidRDefault="00FD5F83" w:rsidP="00121C20">
            <w:pPr>
              <w:pStyle w:val="ListBullet"/>
              <w:rPr>
                <w:sz w:val="20"/>
                <w:szCs w:val="20"/>
              </w:rPr>
            </w:pPr>
            <w:r w:rsidRPr="00121C20">
              <w:rPr>
                <w:sz w:val="20"/>
                <w:szCs w:val="20"/>
              </w:rPr>
              <w:t>Chen 2011</w:t>
            </w:r>
          </w:p>
        </w:tc>
        <w:tc>
          <w:tcPr>
            <w:tcW w:w="1843" w:type="dxa"/>
            <w:gridSpan w:val="2"/>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w:t>
            </w:r>
          </w:p>
        </w:tc>
        <w:tc>
          <w:tcPr>
            <w:tcW w:w="1559" w:type="dxa"/>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w:t>
            </w:r>
          </w:p>
        </w:tc>
        <w:tc>
          <w:tcPr>
            <w:tcW w:w="1985" w:type="dxa"/>
            <w:tcBorders>
              <w:right w:val="single" w:sz="4" w:space="0" w:color="auto"/>
            </w:tcBorders>
          </w:tcPr>
          <w:p w:rsidR="00FD5F83" w:rsidRPr="00E72C11" w:rsidRDefault="00FD5F83" w:rsidP="00121C20">
            <w:pPr>
              <w:jc w:val="center"/>
              <w:cnfStyle w:val="000000000000" w:firstRow="0" w:lastRow="0" w:firstColumn="0" w:lastColumn="0" w:oddVBand="0" w:evenVBand="0" w:oddHBand="0" w:evenHBand="0" w:firstRowFirstColumn="0" w:firstRowLastColumn="0" w:lastRowFirstColumn="0" w:lastRowLastColumn="0"/>
              <w:rPr>
                <w:sz w:val="20"/>
                <w:szCs w:val="20"/>
              </w:rPr>
            </w:pPr>
            <w:r w:rsidRPr="00E72C11">
              <w:rPr>
                <w:sz w:val="20"/>
                <w:szCs w:val="20"/>
              </w:rPr>
              <w:t>9</w:t>
            </w:r>
          </w:p>
        </w:tc>
      </w:tr>
      <w:tr w:rsidR="00FD5F83" w:rsidRPr="00121C20" w:rsidTr="00121C20">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bottom w:val="single" w:sz="4" w:space="0" w:color="auto"/>
            </w:tcBorders>
          </w:tcPr>
          <w:p w:rsidR="00FD5F83" w:rsidRPr="00121C20" w:rsidRDefault="00FD5F83" w:rsidP="00E72C11">
            <w:pPr>
              <w:rPr>
                <w:b/>
                <w:sz w:val="20"/>
                <w:szCs w:val="20"/>
              </w:rPr>
            </w:pPr>
            <w:r w:rsidRPr="00121C20">
              <w:rPr>
                <w:b/>
                <w:sz w:val="20"/>
                <w:szCs w:val="20"/>
              </w:rPr>
              <w:t xml:space="preserve">TOTAL for </w:t>
            </w:r>
            <w:proofErr w:type="spellStart"/>
            <w:r w:rsidRPr="00121C20">
              <w:rPr>
                <w:b/>
                <w:sz w:val="20"/>
                <w:szCs w:val="20"/>
              </w:rPr>
              <w:t>sorafenib</w:t>
            </w:r>
            <w:proofErr w:type="spellEnd"/>
          </w:p>
        </w:tc>
        <w:tc>
          <w:tcPr>
            <w:tcW w:w="3402" w:type="dxa"/>
            <w:gridSpan w:val="3"/>
            <w:tcBorders>
              <w:bottom w:val="single" w:sz="4" w:space="0" w:color="auto"/>
            </w:tcBorders>
          </w:tcPr>
          <w:p w:rsidR="00FD5F83" w:rsidRPr="00121C20" w:rsidRDefault="00FD5F83" w:rsidP="00121C20">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121C20">
              <w:rPr>
                <w:b/>
                <w:sz w:val="20"/>
                <w:szCs w:val="20"/>
              </w:rPr>
              <w:t>357</w:t>
            </w:r>
          </w:p>
        </w:tc>
        <w:tc>
          <w:tcPr>
            <w:tcW w:w="1985" w:type="dxa"/>
            <w:tcBorders>
              <w:bottom w:val="single" w:sz="4" w:space="0" w:color="auto"/>
              <w:right w:val="single" w:sz="4" w:space="0" w:color="auto"/>
            </w:tcBorders>
          </w:tcPr>
          <w:p w:rsidR="00FD5F83" w:rsidRPr="00121C20" w:rsidRDefault="00FD5F83" w:rsidP="00121C20">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121C20">
              <w:rPr>
                <w:b/>
                <w:sz w:val="20"/>
                <w:szCs w:val="20"/>
              </w:rPr>
              <w:t>160</w:t>
            </w:r>
          </w:p>
        </w:tc>
      </w:tr>
    </w:tbl>
    <w:p w:rsidR="00FD5F83" w:rsidRPr="007B15B5" w:rsidRDefault="00FD5F83" w:rsidP="00121C20">
      <w:pPr>
        <w:pStyle w:val="TableDescription"/>
      </w:pPr>
      <w:r w:rsidRPr="007B15B5">
        <w:t xml:space="preserve">(1) Ahmed 2009 and </w:t>
      </w:r>
      <w:proofErr w:type="spellStart"/>
      <w:r w:rsidRPr="007B15B5">
        <w:t>Kloos</w:t>
      </w:r>
      <w:proofErr w:type="spellEnd"/>
      <w:r w:rsidRPr="007B15B5">
        <w:t xml:space="preserve"> 2009 included subjects with other thyroid cancer types in the safety database presented.</w:t>
      </w:r>
    </w:p>
    <w:p w:rsidR="00FD5F83" w:rsidRPr="007B15B5" w:rsidRDefault="00FD5F83" w:rsidP="00121C20">
      <w:pPr>
        <w:pStyle w:val="TableDescription"/>
      </w:pPr>
      <w:r w:rsidRPr="007B15B5">
        <w:t>(2) For Gupta-Abramson 2008, detailed safety data were only presented for the first 30 subjects.</w:t>
      </w:r>
    </w:p>
    <w:p w:rsidR="00FD5F83" w:rsidRDefault="00FD5F83" w:rsidP="00121C20">
      <w:pPr>
        <w:pStyle w:val="Heading3"/>
      </w:pPr>
      <w:bookmarkStart w:id="125" w:name="_Toc247598320"/>
      <w:bookmarkStart w:id="126" w:name="_Toc396729351"/>
      <w:r>
        <w:t xml:space="preserve">Pivotal </w:t>
      </w:r>
      <w:r w:rsidR="00121C20" w:rsidRPr="00121C20">
        <w:t>s</w:t>
      </w:r>
      <w:r w:rsidR="000C18FC" w:rsidRPr="00121C20">
        <w:t>tudy</w:t>
      </w:r>
      <w:r w:rsidR="000C18FC">
        <w:t xml:space="preserve"> 14</w:t>
      </w:r>
      <w:r>
        <w:t>295</w:t>
      </w:r>
      <w:bookmarkEnd w:id="125"/>
      <w:bookmarkEnd w:id="126"/>
    </w:p>
    <w:p w:rsidR="00FD5F83" w:rsidRPr="007230B6" w:rsidRDefault="00FD5F83" w:rsidP="00121C20">
      <w:pPr>
        <w:pStyle w:val="Heading4"/>
      </w:pPr>
      <w:bookmarkStart w:id="127" w:name="_Toc247598321"/>
      <w:r>
        <w:t>Patient e</w:t>
      </w:r>
      <w:r w:rsidRPr="007230B6">
        <w:t>xposure b</w:t>
      </w:r>
      <w:r>
        <w:t xml:space="preserve">y </w:t>
      </w:r>
      <w:r w:rsidRPr="00121C20">
        <w:t>dose</w:t>
      </w:r>
      <w:r>
        <w:t>/duration</w:t>
      </w:r>
      <w:bookmarkEnd w:id="127"/>
    </w:p>
    <w:p w:rsidR="00FD5F83" w:rsidRPr="0044647D" w:rsidRDefault="00FD5F83" w:rsidP="00121C20">
      <w:r>
        <w:t xml:space="preserve">The duration of exposure in the pivotal </w:t>
      </w:r>
      <w:r w:rsidRPr="0044647D">
        <w:t xml:space="preserve">study is summarised in </w:t>
      </w:r>
      <w:r w:rsidRPr="0044647D">
        <w:fldChar w:fldCharType="begin"/>
      </w:r>
      <w:r w:rsidRPr="0044647D">
        <w:instrText xml:space="preserve"> REF _Ref247263025 \h </w:instrText>
      </w:r>
      <w:r w:rsidR="000F0631" w:rsidRPr="0044647D">
        <w:instrText xml:space="preserve"> \* MERGEFORMAT </w:instrText>
      </w:r>
      <w:r w:rsidRPr="0044647D">
        <w:fldChar w:fldCharType="separate"/>
      </w:r>
      <w:r w:rsidR="00E42429">
        <w:t>Figure 6</w:t>
      </w:r>
      <w:r w:rsidRPr="0044647D">
        <w:fldChar w:fldCharType="end"/>
      </w:r>
      <w:r w:rsidR="0044647D" w:rsidRPr="0044647D">
        <w:t>6</w:t>
      </w:r>
      <w:r w:rsidRPr="0044647D">
        <w:t xml:space="preserve">. The extent of exposure to </w:t>
      </w:r>
      <w:proofErr w:type="spellStart"/>
      <w:r w:rsidRPr="0044647D">
        <w:t>sorafenib</w:t>
      </w:r>
      <w:proofErr w:type="spellEnd"/>
      <w:r w:rsidRPr="0044647D">
        <w:t xml:space="preserve"> or placebo in the double blind phase is summarised in </w:t>
      </w:r>
      <w:r w:rsidR="0058415A">
        <w:t xml:space="preserve">Table </w:t>
      </w:r>
      <w:r w:rsidR="0044647D" w:rsidRPr="0044647D">
        <w:t>16</w:t>
      </w:r>
      <w:r w:rsidRPr="0044647D">
        <w:t xml:space="preserve">. The median time under treatment was longer in the </w:t>
      </w:r>
      <w:proofErr w:type="spellStart"/>
      <w:r w:rsidRPr="0044647D">
        <w:t>sorafenib</w:t>
      </w:r>
      <w:proofErr w:type="spellEnd"/>
      <w:r w:rsidRPr="0044647D">
        <w:t xml:space="preserve"> group (46.1 weeks</w:t>
      </w:r>
      <w:r w:rsidR="00E22FDA" w:rsidRPr="0044647D">
        <w:t xml:space="preserve"> versus</w:t>
      </w:r>
      <w:r w:rsidRPr="0044647D">
        <w:t xml:space="preserve"> 28.3 weeks). More </w:t>
      </w:r>
      <w:proofErr w:type="spellStart"/>
      <w:r w:rsidRPr="0044647D">
        <w:t>sorafenib</w:t>
      </w:r>
      <w:proofErr w:type="spellEnd"/>
      <w:r w:rsidRPr="0044647D">
        <w:t>-treated than placebo-treated subjects required dose reduction (68.1%</w:t>
      </w:r>
      <w:r w:rsidR="00E22FDA" w:rsidRPr="0044647D">
        <w:t xml:space="preserve"> versus</w:t>
      </w:r>
      <w:r w:rsidRPr="0044647D">
        <w:t xml:space="preserve"> 11.5%) and most of these reductions were due to toxicity.</w:t>
      </w:r>
    </w:p>
    <w:p w:rsidR="00FD5F83" w:rsidRDefault="00FD5F83" w:rsidP="00121C20">
      <w:r w:rsidRPr="0044647D">
        <w:t xml:space="preserve">The extent of exposure to </w:t>
      </w:r>
      <w:proofErr w:type="spellStart"/>
      <w:r w:rsidRPr="0044647D">
        <w:t>sorafenib</w:t>
      </w:r>
      <w:proofErr w:type="spellEnd"/>
      <w:r w:rsidRPr="0044647D">
        <w:t xml:space="preserve"> over both the double blind and open phases is summarised in </w:t>
      </w:r>
      <w:r w:rsidR="0058415A">
        <w:t>Table 17.</w:t>
      </w:r>
    </w:p>
    <w:p w:rsidR="00B213FE" w:rsidRDefault="00FD5F83" w:rsidP="00121C20">
      <w:r>
        <w:t>Over the entire study</w:t>
      </w:r>
      <w:r w:rsidR="000F0631">
        <w:t>,</w:t>
      </w:r>
      <w:r>
        <w:t xml:space="preserve"> 357 subjects received </w:t>
      </w:r>
      <w:proofErr w:type="spellStart"/>
      <w:r>
        <w:t>sorafenib</w:t>
      </w:r>
      <w:proofErr w:type="spellEnd"/>
      <w:r>
        <w:t>. Of these, 248 subjects received the drug for at least 24 weeks and 154 subjects received the drug for at least 48 weeks.</w:t>
      </w:r>
    </w:p>
    <w:p w:rsidR="00B213FE" w:rsidRDefault="00B213FE">
      <w:pPr>
        <w:spacing w:before="0" w:after="200" w:line="0" w:lineRule="auto"/>
      </w:pPr>
      <w:r>
        <w:br w:type="page"/>
      </w:r>
    </w:p>
    <w:p w:rsidR="0044647D" w:rsidRDefault="0044647D" w:rsidP="00121C20">
      <w:pPr>
        <w:pStyle w:val="FigureTitle"/>
      </w:pPr>
      <w:bookmarkStart w:id="128" w:name="_Ref247263025"/>
      <w:bookmarkStart w:id="129" w:name="_Ref247262996"/>
      <w:bookmarkStart w:id="130" w:name="_Toc247598425"/>
      <w:proofErr w:type="gramStart"/>
      <w:r>
        <w:t>Figure 6</w:t>
      </w:r>
      <w:bookmarkEnd w:id="128"/>
      <w:r>
        <w:t>.</w:t>
      </w:r>
      <w:proofErr w:type="gramEnd"/>
      <w:r>
        <w:t xml:space="preserve"> Study </w:t>
      </w:r>
      <w:proofErr w:type="gramStart"/>
      <w:r>
        <w:t>14295  Duration</w:t>
      </w:r>
      <w:proofErr w:type="gramEnd"/>
      <w:r>
        <w:t xml:space="preserve"> of exposure</w:t>
      </w:r>
      <w:bookmarkEnd w:id="129"/>
      <w:bookmarkEnd w:id="130"/>
    </w:p>
    <w:p w:rsidR="0044647D" w:rsidRDefault="0044647D" w:rsidP="00121C20">
      <w:r>
        <w:rPr>
          <w:noProof/>
          <w:lang w:eastAsia="en-AU"/>
        </w:rPr>
        <w:drawing>
          <wp:inline distT="0" distB="0" distL="0" distR="0" wp14:anchorId="5B889391" wp14:editId="219217C4">
            <wp:extent cx="4210380" cy="1695938"/>
            <wp:effectExtent l="0" t="0" r="0" b="0"/>
            <wp:docPr id="7" name="Picture 1" descr="Figure 6. Study 14295  Duration of exposure" title="Figure 6. Study 14295  Duration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3469" cy="1697182"/>
                    </a:xfrm>
                    <a:prstGeom prst="rect">
                      <a:avLst/>
                    </a:prstGeom>
                    <a:noFill/>
                    <a:ln>
                      <a:noFill/>
                    </a:ln>
                  </pic:spPr>
                </pic:pic>
              </a:graphicData>
            </a:graphic>
          </wp:inline>
        </w:drawing>
      </w:r>
    </w:p>
    <w:p w:rsidR="0044647D" w:rsidRDefault="0044647D" w:rsidP="00121C20">
      <w:pPr>
        <w:pStyle w:val="TableTitle"/>
      </w:pPr>
      <w:bookmarkStart w:id="131" w:name="_Ref247263691"/>
      <w:bookmarkStart w:id="132" w:name="_Toc247598395"/>
      <w:proofErr w:type="gramStart"/>
      <w:r>
        <w:t xml:space="preserve">Table </w:t>
      </w:r>
      <w:bookmarkEnd w:id="131"/>
      <w:r>
        <w:t>16.</w:t>
      </w:r>
      <w:proofErr w:type="gramEnd"/>
      <w:r>
        <w:t xml:space="preserve"> Study </w:t>
      </w:r>
      <w:r w:rsidRPr="00121C20">
        <w:t>14295</w:t>
      </w:r>
      <w:r>
        <w:t xml:space="preserve"> Exposure to </w:t>
      </w:r>
      <w:proofErr w:type="spellStart"/>
      <w:r>
        <w:t>sorafenib</w:t>
      </w:r>
      <w:proofErr w:type="spellEnd"/>
      <w:r>
        <w:t xml:space="preserve"> or placebo in double blind phase</w:t>
      </w:r>
      <w:bookmarkEnd w:id="132"/>
    </w:p>
    <w:p w:rsidR="00143E57" w:rsidRDefault="00143E57" w:rsidP="00121C20">
      <w:r>
        <w:rPr>
          <w:noProof/>
          <w:lang w:eastAsia="en-AU"/>
        </w:rPr>
        <w:drawing>
          <wp:inline distT="0" distB="0" distL="0" distR="0" wp14:anchorId="7CA677DE" wp14:editId="19516C4C">
            <wp:extent cx="3708633" cy="5447323"/>
            <wp:effectExtent l="0" t="0" r="6350" b="1270"/>
            <wp:docPr id="43" name="Picture 43" descr="Table 16. Study 14295 Exposure to sorafenib or placebo in double blind phase" title="Table 16. Study 14295 Exposure to sorafenib or placebo in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16060" cy="5458231"/>
                    </a:xfrm>
                    <a:prstGeom prst="rect">
                      <a:avLst/>
                    </a:prstGeom>
                  </pic:spPr>
                </pic:pic>
              </a:graphicData>
            </a:graphic>
          </wp:inline>
        </w:drawing>
      </w:r>
    </w:p>
    <w:p w:rsidR="0044647D" w:rsidRDefault="0044647D" w:rsidP="00121C20">
      <w:pPr>
        <w:pStyle w:val="TableTitle"/>
      </w:pPr>
      <w:bookmarkStart w:id="133" w:name="_Ref247264007"/>
      <w:bookmarkStart w:id="134" w:name="_Toc247598396"/>
      <w:proofErr w:type="gramStart"/>
      <w:r>
        <w:t>Table 17.</w:t>
      </w:r>
      <w:bookmarkEnd w:id="133"/>
      <w:proofErr w:type="gramEnd"/>
      <w:r>
        <w:t xml:space="preserve"> </w:t>
      </w:r>
      <w:proofErr w:type="gramStart"/>
      <w:r>
        <w:t>Study 14295</w:t>
      </w:r>
      <w:r w:rsidR="00143E57">
        <w:t>.</w:t>
      </w:r>
      <w:proofErr w:type="gramEnd"/>
      <w:r>
        <w:t xml:space="preserve"> </w:t>
      </w:r>
      <w:r w:rsidRPr="00121C20">
        <w:t>Exposure</w:t>
      </w:r>
      <w:r>
        <w:t xml:space="preserve"> to </w:t>
      </w:r>
      <w:proofErr w:type="spellStart"/>
      <w:r>
        <w:t>sorafenib</w:t>
      </w:r>
      <w:proofErr w:type="spellEnd"/>
      <w:r>
        <w:t xml:space="preserve"> in double blind and open phases</w:t>
      </w:r>
      <w:bookmarkEnd w:id="134"/>
    </w:p>
    <w:p w:rsidR="00143E57" w:rsidRDefault="00143E57" w:rsidP="00121C20">
      <w:r>
        <w:rPr>
          <w:noProof/>
          <w:lang w:eastAsia="en-AU"/>
        </w:rPr>
        <w:drawing>
          <wp:inline distT="0" distB="0" distL="0" distR="0" wp14:anchorId="63B4619F" wp14:editId="1A11EB94">
            <wp:extent cx="3852985" cy="5664709"/>
            <wp:effectExtent l="0" t="0" r="0" b="0"/>
            <wp:docPr id="44" name="Picture 44" descr="Table 17. Study 14295. Exposure to sorafenib in double blind and open phases" title="Table 17. Study 14295. Exposure to sorafenib in double blind and open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52985" cy="5664709"/>
                    </a:xfrm>
                    <a:prstGeom prst="rect">
                      <a:avLst/>
                    </a:prstGeom>
                  </pic:spPr>
                </pic:pic>
              </a:graphicData>
            </a:graphic>
          </wp:inline>
        </w:drawing>
      </w:r>
    </w:p>
    <w:p w:rsidR="00FD5F83" w:rsidRDefault="00FD5F83" w:rsidP="00121C20">
      <w:pPr>
        <w:pStyle w:val="Heading4"/>
      </w:pPr>
      <w:bookmarkStart w:id="135" w:name="_Toc241374319"/>
      <w:bookmarkStart w:id="136" w:name="_Ref271044764"/>
      <w:bookmarkStart w:id="137" w:name="_Toc272414663"/>
      <w:bookmarkStart w:id="138" w:name="_Toc290846301"/>
      <w:bookmarkStart w:id="139" w:name="_Toc247598322"/>
      <w:r>
        <w:t xml:space="preserve">Adverse </w:t>
      </w:r>
      <w:r w:rsidRPr="00121C20">
        <w:t>events</w:t>
      </w:r>
      <w:bookmarkEnd w:id="135"/>
      <w:bookmarkEnd w:id="136"/>
      <w:bookmarkEnd w:id="137"/>
      <w:bookmarkEnd w:id="138"/>
      <w:bookmarkEnd w:id="139"/>
    </w:p>
    <w:p w:rsidR="00FD5F83" w:rsidRDefault="00FD5F83" w:rsidP="00121C20">
      <w:r>
        <w:t>A summary of the overall incidence of AEs</w:t>
      </w:r>
      <w:r w:rsidR="0044647D">
        <w:t xml:space="preserve"> including</w:t>
      </w:r>
      <w:r>
        <w:t xml:space="preserve"> serious AEs during the double-blind phase is </w:t>
      </w:r>
      <w:r w:rsidRPr="0044647D">
        <w:t>shown in</w:t>
      </w:r>
      <w:r w:rsidR="008E1A61">
        <w:t xml:space="preserve"> Table 18</w:t>
      </w:r>
      <w:r w:rsidRPr="0044647D">
        <w:t>.</w:t>
      </w:r>
      <w:r>
        <w:t xml:space="preserve"> </w:t>
      </w:r>
    </w:p>
    <w:p w:rsidR="0044647D" w:rsidRDefault="0044647D" w:rsidP="00121C20">
      <w:pPr>
        <w:pStyle w:val="TableTitle"/>
      </w:pPr>
      <w:bookmarkStart w:id="140" w:name="_Ref247265071"/>
      <w:bookmarkStart w:id="141" w:name="_Toc247598397"/>
      <w:proofErr w:type="gramStart"/>
      <w:r>
        <w:t xml:space="preserve">Table </w:t>
      </w:r>
      <w:bookmarkEnd w:id="140"/>
      <w:r>
        <w:t>18.</w:t>
      </w:r>
      <w:proofErr w:type="gramEnd"/>
      <w:r>
        <w:t xml:space="preserve"> Study 14295 </w:t>
      </w:r>
      <w:r w:rsidRPr="00121C20">
        <w:t>Overall</w:t>
      </w:r>
      <w:r>
        <w:t xml:space="preserve"> AEs (with </w:t>
      </w:r>
      <w:proofErr w:type="spellStart"/>
      <w:r>
        <w:t>sorafenib</w:t>
      </w:r>
      <w:proofErr w:type="spellEnd"/>
      <w:r>
        <w:t xml:space="preserve"> or placebo) in the double-blind phase</w:t>
      </w:r>
      <w:bookmarkEnd w:id="141"/>
    </w:p>
    <w:p w:rsidR="0044647D" w:rsidRPr="007230B6" w:rsidRDefault="00005428" w:rsidP="00121C20">
      <w:r>
        <w:rPr>
          <w:noProof/>
          <w:lang w:eastAsia="en-AU"/>
        </w:rPr>
        <w:drawing>
          <wp:inline distT="0" distB="0" distL="0" distR="0" wp14:anchorId="3C8745F0" wp14:editId="2C92D25E">
            <wp:extent cx="4549691" cy="1578708"/>
            <wp:effectExtent l="0" t="0" r="3810" b="2540"/>
            <wp:docPr id="26" name="Picture 26" descr="Table 18. Study 14295 Overall AEs (with sorafenib or placebo) in the double-blind phase" title="Table 18. Study 14295 Overall AEs (with sorafenib or placebo) in the double-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815" t="6047"/>
                    <a:stretch/>
                  </pic:blipFill>
                  <pic:spPr bwMode="auto">
                    <a:xfrm>
                      <a:off x="0" y="0"/>
                      <a:ext cx="4545738" cy="1577336"/>
                    </a:xfrm>
                    <a:prstGeom prst="rect">
                      <a:avLst/>
                    </a:prstGeom>
                    <a:ln>
                      <a:noFill/>
                    </a:ln>
                    <a:extLst>
                      <a:ext uri="{53640926-AAD7-44D8-BBD7-CCE9431645EC}">
                        <a14:shadowObscured xmlns:a14="http://schemas.microsoft.com/office/drawing/2010/main"/>
                      </a:ext>
                    </a:extLst>
                  </pic:spPr>
                </pic:pic>
              </a:graphicData>
            </a:graphic>
          </wp:inline>
        </w:drawing>
      </w:r>
    </w:p>
    <w:p w:rsidR="0044647D" w:rsidRPr="008E1A61" w:rsidRDefault="00005428" w:rsidP="00121C20">
      <w:pPr>
        <w:pStyle w:val="TableDescription"/>
      </w:pPr>
      <w:proofErr w:type="spellStart"/>
      <w:proofErr w:type="gramStart"/>
      <w:r w:rsidRPr="008E1A61">
        <w:rPr>
          <w:vertAlign w:val="superscript"/>
        </w:rPr>
        <w:t>a</w:t>
      </w:r>
      <w:r w:rsidRPr="008E1A61">
        <w:t>Two</w:t>
      </w:r>
      <w:proofErr w:type="spellEnd"/>
      <w:proofErr w:type="gramEnd"/>
      <w:r w:rsidRPr="008E1A61">
        <w:t xml:space="preserve"> subjects in the </w:t>
      </w:r>
      <w:proofErr w:type="spellStart"/>
      <w:r w:rsidRPr="008E1A61">
        <w:t>sorafenib</w:t>
      </w:r>
      <w:proofErr w:type="spellEnd"/>
      <w:r w:rsidRPr="008E1A61">
        <w:t xml:space="preserve"> group developed a serious Grade 5 TEAE during the double-blind period, but dies 30 days post permanent double blind treatment discontinuation. One subject experienced pleural effusion and one experienced </w:t>
      </w:r>
      <w:proofErr w:type="spellStart"/>
      <w:r w:rsidRPr="008E1A61">
        <w:t>dyspnea</w:t>
      </w:r>
      <w:proofErr w:type="spellEnd"/>
      <w:r w:rsidRPr="008E1A61">
        <w:t xml:space="preserve">. </w:t>
      </w:r>
      <w:r w:rsidRPr="008E1A61">
        <w:lastRenderedPageBreak/>
        <w:t>Therefore they are not counted amongst the other 12 subjects who died during the double-blind period and up to 30 days post permanent double blind treatment.</w:t>
      </w:r>
    </w:p>
    <w:p w:rsidR="00FD5F83" w:rsidRPr="00C27CB6" w:rsidRDefault="00FD5F83" w:rsidP="00121C20">
      <w:pPr>
        <w:pStyle w:val="Heading5"/>
      </w:pPr>
      <w:bookmarkStart w:id="142" w:name="_Ref272317284"/>
      <w:bookmarkStart w:id="143" w:name="_Ref272333565"/>
      <w:bookmarkStart w:id="144" w:name="_Toc272414664"/>
      <w:bookmarkStart w:id="145" w:name="_Toc290846302"/>
      <w:bookmarkStart w:id="146" w:name="_Toc247598323"/>
      <w:r>
        <w:t xml:space="preserve">All </w:t>
      </w:r>
      <w:r w:rsidRPr="00121C20">
        <w:t>adverse</w:t>
      </w:r>
      <w:r>
        <w:t xml:space="preserve"> events (irrespective of relationship to study treatment)</w:t>
      </w:r>
      <w:bookmarkEnd w:id="142"/>
      <w:bookmarkEnd w:id="143"/>
      <w:bookmarkEnd w:id="144"/>
      <w:bookmarkEnd w:id="145"/>
      <w:bookmarkEnd w:id="146"/>
    </w:p>
    <w:p w:rsidR="00FD5F83" w:rsidRDefault="00FD5F83" w:rsidP="00121C20">
      <w:r>
        <w:t xml:space="preserve">The incidence of </w:t>
      </w:r>
      <w:r w:rsidRPr="00121C20">
        <w:rPr>
          <w:b/>
        </w:rPr>
        <w:t>AEs</w:t>
      </w:r>
      <w:r>
        <w:t xml:space="preserve"> during the double blind treatment phase was </w:t>
      </w:r>
      <w:r w:rsidRPr="00956F54">
        <w:rPr>
          <w:b/>
        </w:rPr>
        <w:t>98.6%</w:t>
      </w:r>
      <w:r>
        <w:t xml:space="preserve"> in the </w:t>
      </w:r>
      <w:proofErr w:type="spellStart"/>
      <w:r>
        <w:t>sorafenib</w:t>
      </w:r>
      <w:proofErr w:type="spellEnd"/>
      <w:r>
        <w:t xml:space="preserve"> group and </w:t>
      </w:r>
      <w:r w:rsidRPr="00956F54">
        <w:rPr>
          <w:b/>
        </w:rPr>
        <w:t>87.6%</w:t>
      </w:r>
      <w:r>
        <w:t xml:space="preserve"> in the placebo group. Common AEs (</w:t>
      </w:r>
      <w:r w:rsidR="000F0631">
        <w:t>that is,</w:t>
      </w:r>
      <w:r>
        <w:t xml:space="preserve"> those occurring in at least 10% of subjects in either arm) </w:t>
      </w:r>
      <w:r w:rsidR="00005428">
        <w:t>were summarised</w:t>
      </w:r>
      <w:r>
        <w:t xml:space="preserve">. Toxicities that occurred more commonly with </w:t>
      </w:r>
      <w:proofErr w:type="spellStart"/>
      <w:r>
        <w:t>sorafenib</w:t>
      </w:r>
      <w:proofErr w:type="spellEnd"/>
      <w:r>
        <w:t xml:space="preserve"> included:</w:t>
      </w:r>
    </w:p>
    <w:p w:rsidR="00FD5F83" w:rsidRDefault="00FD5F83" w:rsidP="00121C20">
      <w:pPr>
        <w:pStyle w:val="ListBullet"/>
      </w:pPr>
      <w:r>
        <w:t>Skin toxicity</w:t>
      </w:r>
      <w:r w:rsidR="000F0631">
        <w:t>: for example</w:t>
      </w:r>
      <w:r>
        <w:t xml:space="preserve"> hand-foot syndrome (76.3%</w:t>
      </w:r>
      <w:r w:rsidR="00E22FDA">
        <w:t xml:space="preserve"> versus</w:t>
      </w:r>
      <w:r>
        <w:t xml:space="preserve"> 9.6%), alopecia (67.1%</w:t>
      </w:r>
      <w:r w:rsidR="00E22FDA">
        <w:t xml:space="preserve"> versus</w:t>
      </w:r>
      <w:r>
        <w:t xml:space="preserve"> 7.7%) and rash/</w:t>
      </w:r>
      <w:r w:rsidRPr="00121C20">
        <w:t>desquamation</w:t>
      </w:r>
      <w:r>
        <w:t xml:space="preserve"> (50.2%</w:t>
      </w:r>
      <w:r w:rsidR="00E22FDA">
        <w:t xml:space="preserve"> versus</w:t>
      </w:r>
      <w:r>
        <w:t xml:space="preserve"> 11.5%);</w:t>
      </w:r>
    </w:p>
    <w:p w:rsidR="00FD5F83" w:rsidRDefault="00FD5F83" w:rsidP="00121C20">
      <w:pPr>
        <w:pStyle w:val="ListBullet"/>
      </w:pPr>
      <w:r w:rsidRPr="00121C20">
        <w:t>Gastrointestinal</w:t>
      </w:r>
      <w:r>
        <w:t xml:space="preserve"> toxicity</w:t>
      </w:r>
      <w:r w:rsidR="000F0631">
        <w:t>: for example</w:t>
      </w:r>
      <w:r>
        <w:t xml:space="preserve"> diarrhoea (68.6%</w:t>
      </w:r>
      <w:r w:rsidR="00E22FDA">
        <w:t xml:space="preserve"> versus</w:t>
      </w:r>
      <w:r>
        <w:t xml:space="preserve"> 15.3%), anorexia (31.9%</w:t>
      </w:r>
      <w:r w:rsidR="00E22FDA">
        <w:t xml:space="preserve"> versus</w:t>
      </w:r>
      <w:r>
        <w:t xml:space="preserve"> 4.8%) and </w:t>
      </w:r>
      <w:proofErr w:type="spellStart"/>
      <w:r>
        <w:t>mucositis</w:t>
      </w:r>
      <w:proofErr w:type="spellEnd"/>
      <w:r>
        <w:t xml:space="preserve"> (23.2%</w:t>
      </w:r>
      <w:r w:rsidR="00E22FDA">
        <w:t xml:space="preserve"> versus</w:t>
      </w:r>
      <w:r>
        <w:t xml:space="preserve"> 3.3%);</w:t>
      </w:r>
    </w:p>
    <w:p w:rsidR="00FD5F83" w:rsidRDefault="00FD5F83" w:rsidP="00121C20">
      <w:pPr>
        <w:pStyle w:val="ListBullet"/>
      </w:pPr>
      <w:r w:rsidRPr="00121C20">
        <w:t>Constitutional</w:t>
      </w:r>
      <w:r>
        <w:t xml:space="preserve"> symptoms</w:t>
      </w:r>
      <w:r w:rsidR="000F0631">
        <w:t>: for example</w:t>
      </w:r>
      <w:r>
        <w:t xml:space="preserve"> fatigue (49.8%</w:t>
      </w:r>
      <w:r w:rsidR="00E22FDA">
        <w:t xml:space="preserve"> versus</w:t>
      </w:r>
      <w:r>
        <w:t xml:space="preserve"> 25.4%) and weight loss (46.9%</w:t>
      </w:r>
      <w:r w:rsidR="00E22FDA">
        <w:t xml:space="preserve"> versus</w:t>
      </w:r>
      <w:r>
        <w:t xml:space="preserve"> 13.9%);</w:t>
      </w:r>
    </w:p>
    <w:p w:rsidR="00FD5F83" w:rsidRDefault="00FD5F83" w:rsidP="00121C20">
      <w:pPr>
        <w:pStyle w:val="ListBullet"/>
      </w:pPr>
      <w:r>
        <w:t>Hypertension (</w:t>
      </w:r>
      <w:r w:rsidRPr="00121C20">
        <w:t>43</w:t>
      </w:r>
      <w:r>
        <w:t>.0%</w:t>
      </w:r>
      <w:r w:rsidR="00E22FDA">
        <w:t xml:space="preserve"> versus</w:t>
      </w:r>
      <w:r>
        <w:t xml:space="preserve"> 13.4%);</w:t>
      </w:r>
    </w:p>
    <w:p w:rsidR="00FD5F83" w:rsidRDefault="00FD5F83" w:rsidP="00121C20">
      <w:pPr>
        <w:pStyle w:val="ListBullet"/>
      </w:pPr>
      <w:r>
        <w:t>Elevated transaminases</w:t>
      </w:r>
      <w:r w:rsidR="000F0631">
        <w:t>:</w:t>
      </w:r>
      <w:r>
        <w:t xml:space="preserve"> </w:t>
      </w:r>
      <w:r w:rsidRPr="00121C20">
        <w:t>ALT</w:t>
      </w:r>
      <w:r>
        <w:t xml:space="preserve"> (12.6%</w:t>
      </w:r>
      <w:r w:rsidR="00E22FDA">
        <w:t xml:space="preserve"> versus</w:t>
      </w:r>
      <w:r>
        <w:t xml:space="preserve"> 4.3%) and AST (11.1%</w:t>
      </w:r>
      <w:r w:rsidR="00E22FDA">
        <w:t xml:space="preserve"> versus</w:t>
      </w:r>
      <w:r>
        <w:t xml:space="preserve"> 2.4%);</w:t>
      </w:r>
    </w:p>
    <w:p w:rsidR="00FD5F83" w:rsidRDefault="00FD5F83" w:rsidP="00121C20">
      <w:pPr>
        <w:pStyle w:val="ListBullet"/>
      </w:pPr>
      <w:r>
        <w:t>Hypocalcaemia (18.8%</w:t>
      </w:r>
      <w:r w:rsidR="00E22FDA">
        <w:t xml:space="preserve"> versus</w:t>
      </w:r>
      <w:r>
        <w:t xml:space="preserve"> 4.8%).</w:t>
      </w:r>
    </w:p>
    <w:p w:rsidR="00FD5F83" w:rsidRDefault="00FD5F83" w:rsidP="00121C20">
      <w:r>
        <w:t xml:space="preserve">The study report included a comparison of exposure-adjusted incidence rates for common AEs, taking into account the longer period of treatment in the </w:t>
      </w:r>
      <w:proofErr w:type="spellStart"/>
      <w:r>
        <w:t>sorafenib</w:t>
      </w:r>
      <w:proofErr w:type="spellEnd"/>
      <w:r>
        <w:t xml:space="preserve"> arm. The results did not alter the overall pattern of toxicity.</w:t>
      </w:r>
    </w:p>
    <w:p w:rsidR="00FD5F83" w:rsidRDefault="00FD5F83" w:rsidP="00121C20">
      <w:r w:rsidRPr="00FF7C11">
        <w:rPr>
          <w:kern w:val="16"/>
        </w:rPr>
        <w:t xml:space="preserve">In placebo treated patients who received </w:t>
      </w:r>
      <w:proofErr w:type="spellStart"/>
      <w:r w:rsidRPr="00FF7C11">
        <w:rPr>
          <w:kern w:val="16"/>
        </w:rPr>
        <w:t>sorafenib</w:t>
      </w:r>
      <w:proofErr w:type="spellEnd"/>
      <w:r w:rsidRPr="00FF7C11">
        <w:rPr>
          <w:kern w:val="16"/>
        </w:rPr>
        <w:t xml:space="preserve"> in the open-label phase (n=150), the incidence</w:t>
      </w:r>
      <w:r>
        <w:t xml:space="preserve"> of AEs was </w:t>
      </w:r>
      <w:r w:rsidRPr="000C763C">
        <w:rPr>
          <w:b/>
        </w:rPr>
        <w:t>99.3%</w:t>
      </w:r>
      <w:r>
        <w:t xml:space="preserve"> and the pattern of AEs observed was similar to that described above for </w:t>
      </w:r>
      <w:proofErr w:type="spellStart"/>
      <w:r>
        <w:t>sorafenib</w:t>
      </w:r>
      <w:proofErr w:type="spellEnd"/>
      <w:r>
        <w:t>.</w:t>
      </w:r>
    </w:p>
    <w:p w:rsidR="00FD5F83" w:rsidRDefault="00FD5F83" w:rsidP="00121C20">
      <w:pPr>
        <w:ind w:left="567"/>
      </w:pPr>
      <w:r>
        <w:t>Comment:</w:t>
      </w:r>
      <w:r w:rsidR="000F0631">
        <w:t xml:space="preserve"> </w:t>
      </w:r>
      <w:r>
        <w:t xml:space="preserve">These AEs are generally known to be associated with </w:t>
      </w:r>
      <w:proofErr w:type="spellStart"/>
      <w:r>
        <w:t>sorafenib</w:t>
      </w:r>
      <w:proofErr w:type="spellEnd"/>
      <w:r>
        <w:t xml:space="preserve"> and are currently listed in the approved Australian PI. However, </w:t>
      </w:r>
      <w:r w:rsidRPr="00FF5700">
        <w:rPr>
          <w:b/>
        </w:rPr>
        <w:t>hypocalcaemia</w:t>
      </w:r>
      <w:r>
        <w:t xml:space="preserve"> appears to be a new AE not previously associated with the drug.</w:t>
      </w:r>
    </w:p>
    <w:p w:rsidR="00FD5F83" w:rsidRDefault="00FD5F83" w:rsidP="00121C20">
      <w:r>
        <w:t xml:space="preserve">The incidence of </w:t>
      </w:r>
      <w:r w:rsidRPr="00121C20">
        <w:rPr>
          <w:b/>
        </w:rPr>
        <w:t>Grade 3 or 4 AEs</w:t>
      </w:r>
      <w:r>
        <w:t xml:space="preserve"> during the double blind treatment phase was </w:t>
      </w:r>
      <w:r>
        <w:rPr>
          <w:b/>
        </w:rPr>
        <w:t>64.3</w:t>
      </w:r>
      <w:r w:rsidRPr="00956F54">
        <w:rPr>
          <w:b/>
        </w:rPr>
        <w:t>%</w:t>
      </w:r>
      <w:r>
        <w:t xml:space="preserve"> in the </w:t>
      </w:r>
      <w:proofErr w:type="spellStart"/>
      <w:r>
        <w:t>sorafenib</w:t>
      </w:r>
      <w:proofErr w:type="spellEnd"/>
      <w:r>
        <w:t xml:space="preserve"> group and </w:t>
      </w:r>
      <w:r>
        <w:rPr>
          <w:b/>
        </w:rPr>
        <w:t>30.1</w:t>
      </w:r>
      <w:r w:rsidRPr="00956F54">
        <w:rPr>
          <w:b/>
        </w:rPr>
        <w:t>%</w:t>
      </w:r>
      <w:r>
        <w:t xml:space="preserve"> in the placebo group. Common AEs (</w:t>
      </w:r>
      <w:r w:rsidR="000F0631">
        <w:t>that is,</w:t>
      </w:r>
      <w:r>
        <w:t xml:space="preserve"> those occurring in at least 1% of subjects in either arm) are </w:t>
      </w:r>
      <w:r w:rsidRPr="00005428">
        <w:t xml:space="preserve">shown in </w:t>
      </w:r>
      <w:r w:rsidR="008E1A61">
        <w:t>Table 19</w:t>
      </w:r>
      <w:r w:rsidRPr="00005428">
        <w:t>.</w:t>
      </w:r>
    </w:p>
    <w:p w:rsidR="00005428" w:rsidRDefault="00005428" w:rsidP="00121C20">
      <w:pPr>
        <w:pStyle w:val="TableTitle"/>
      </w:pPr>
      <w:bookmarkStart w:id="147" w:name="_Ref247272576"/>
      <w:bookmarkStart w:id="148" w:name="_Toc247598400"/>
      <w:proofErr w:type="gramStart"/>
      <w:r>
        <w:lastRenderedPageBreak/>
        <w:t>Table 19.</w:t>
      </w:r>
      <w:bookmarkEnd w:id="147"/>
      <w:proofErr w:type="gramEnd"/>
      <w:r>
        <w:t xml:space="preserve"> Study 14295 Grade 3 or 4 AEs (incidence &gt;1%) in the double-blind phase</w:t>
      </w:r>
      <w:bookmarkEnd w:id="148"/>
    </w:p>
    <w:p w:rsidR="00005428" w:rsidRDefault="00005428" w:rsidP="00121C20">
      <w:r>
        <w:rPr>
          <w:noProof/>
          <w:lang w:eastAsia="en-AU"/>
        </w:rPr>
        <w:drawing>
          <wp:inline distT="0" distB="0" distL="0" distR="0" wp14:anchorId="179D333F" wp14:editId="04C3BC3A">
            <wp:extent cx="4444384" cy="5150339"/>
            <wp:effectExtent l="0" t="0" r="0" b="0"/>
            <wp:docPr id="28" name="Picture 9" descr="Table 19. Study 14295 Grade 3 or 4 AEs (incidence &gt;1%) in the double-blind phase" title="Table 19. Study 14295 Grade 3 or 4 AEs (incidence &gt;1%) in the double-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6802" cy="5153141"/>
                    </a:xfrm>
                    <a:prstGeom prst="rect">
                      <a:avLst/>
                    </a:prstGeom>
                    <a:noFill/>
                    <a:ln>
                      <a:noFill/>
                    </a:ln>
                  </pic:spPr>
                </pic:pic>
              </a:graphicData>
            </a:graphic>
          </wp:inline>
        </w:drawing>
      </w:r>
    </w:p>
    <w:p w:rsidR="00FD5F83" w:rsidRPr="00FF5700" w:rsidRDefault="00FD5F83" w:rsidP="00121C20">
      <w:r>
        <w:t xml:space="preserve">The pattern of </w:t>
      </w:r>
      <w:r w:rsidR="000F0631">
        <w:t>G</w:t>
      </w:r>
      <w:r>
        <w:t xml:space="preserve">rade 3 or 4 AEs was similar to that seen with overall AEs. </w:t>
      </w:r>
      <w:r w:rsidRPr="00FF5700">
        <w:t xml:space="preserve">For each individual AE term the incidence figure was notably lower than for overall AEs, indicating that most </w:t>
      </w:r>
      <w:proofErr w:type="gramStart"/>
      <w:r w:rsidRPr="00FF5700">
        <w:t>toxicities</w:t>
      </w:r>
      <w:proofErr w:type="gramEnd"/>
      <w:r w:rsidRPr="00FF5700">
        <w:t xml:space="preserve"> were of </w:t>
      </w:r>
      <w:r w:rsidR="000F0631">
        <w:t>G</w:t>
      </w:r>
      <w:r w:rsidRPr="00FF5700">
        <w:t>rade 1 or 2 in severity.</w:t>
      </w:r>
    </w:p>
    <w:p w:rsidR="00FD5F83" w:rsidRDefault="00FD5F83" w:rsidP="00121C20">
      <w:r w:rsidRPr="00FF7C11">
        <w:t xml:space="preserve">In placebo treated patients who received </w:t>
      </w:r>
      <w:proofErr w:type="spellStart"/>
      <w:r w:rsidRPr="00FF7C11">
        <w:t>sorafenib</w:t>
      </w:r>
      <w:proofErr w:type="spellEnd"/>
      <w:r w:rsidRPr="00FF7C11">
        <w:t xml:space="preserve"> in the open-label phase (n=150), the incidence</w:t>
      </w:r>
      <w:r>
        <w:t xml:space="preserve"> of </w:t>
      </w:r>
      <w:r w:rsidR="000F0631">
        <w:t>G</w:t>
      </w:r>
      <w:r>
        <w:t xml:space="preserve">rade 3 or 4 AEs was </w:t>
      </w:r>
      <w:r>
        <w:rPr>
          <w:b/>
        </w:rPr>
        <w:t>52.7</w:t>
      </w:r>
      <w:r w:rsidRPr="000C763C">
        <w:rPr>
          <w:b/>
        </w:rPr>
        <w:t>%</w:t>
      </w:r>
      <w:r>
        <w:t xml:space="preserve"> and the pattern of AEs observed was similar to that previously described.</w:t>
      </w:r>
    </w:p>
    <w:p w:rsidR="00FD5F83" w:rsidRPr="00FF5700" w:rsidRDefault="00FD5F83" w:rsidP="00121C20">
      <w:pPr>
        <w:ind w:left="567"/>
      </w:pPr>
      <w:r>
        <w:t>Comment:</w:t>
      </w:r>
      <w:r w:rsidR="000F0631">
        <w:t xml:space="preserve"> </w:t>
      </w:r>
      <w:r>
        <w:t xml:space="preserve">In the double blind phase, notable </w:t>
      </w:r>
      <w:r w:rsidR="000F0631">
        <w:t>G</w:t>
      </w:r>
      <w:r>
        <w:t xml:space="preserve">rade 3 or 4 events in the </w:t>
      </w:r>
      <w:proofErr w:type="spellStart"/>
      <w:r>
        <w:t>sorafenib</w:t>
      </w:r>
      <w:proofErr w:type="spellEnd"/>
      <w:r>
        <w:t xml:space="preserve"> group included hypocalcaemia (9.2%</w:t>
      </w:r>
      <w:r w:rsidR="00E22FDA">
        <w:t xml:space="preserve"> versus</w:t>
      </w:r>
      <w:r>
        <w:t xml:space="preserve"> 1.4%) and secondary malignancies (4.3%</w:t>
      </w:r>
      <w:r w:rsidR="00E22FDA">
        <w:t xml:space="preserve"> versus</w:t>
      </w:r>
      <w:r>
        <w:t xml:space="preserve"> 1.9%).</w:t>
      </w:r>
    </w:p>
    <w:p w:rsidR="00FD5F83" w:rsidRPr="00D12012" w:rsidRDefault="00FD5F83" w:rsidP="00121C20">
      <w:pPr>
        <w:pStyle w:val="Heading5"/>
      </w:pPr>
      <w:bookmarkStart w:id="149" w:name="_Ref272333567"/>
      <w:bookmarkStart w:id="150" w:name="_Toc272414665"/>
      <w:bookmarkStart w:id="151" w:name="_Toc290846303"/>
      <w:bookmarkStart w:id="152" w:name="_Toc247598324"/>
      <w:r>
        <w:t>Treatment-</w:t>
      </w:r>
      <w:r w:rsidRPr="00121C20">
        <w:t>related</w:t>
      </w:r>
      <w:r>
        <w:t xml:space="preserve"> adverse events (adverse drug reactions)</w:t>
      </w:r>
      <w:bookmarkEnd w:id="149"/>
      <w:bookmarkEnd w:id="150"/>
      <w:bookmarkEnd w:id="151"/>
      <w:bookmarkEnd w:id="152"/>
    </w:p>
    <w:p w:rsidR="00FD5F83" w:rsidRDefault="00FD5F83" w:rsidP="00121C20">
      <w:r>
        <w:t xml:space="preserve">The incidence of </w:t>
      </w:r>
      <w:r w:rsidRPr="00121C20">
        <w:rPr>
          <w:b/>
        </w:rPr>
        <w:t>treatment-related AEs</w:t>
      </w:r>
      <w:r>
        <w:t xml:space="preserve"> during the double blind treatment phase was </w:t>
      </w:r>
      <w:r>
        <w:rPr>
          <w:b/>
        </w:rPr>
        <w:t>96</w:t>
      </w:r>
      <w:r w:rsidRPr="00956F54">
        <w:rPr>
          <w:b/>
        </w:rPr>
        <w:t>.6%</w:t>
      </w:r>
      <w:r>
        <w:t xml:space="preserve"> in the </w:t>
      </w:r>
      <w:proofErr w:type="spellStart"/>
      <w:r>
        <w:t>sorafenib</w:t>
      </w:r>
      <w:proofErr w:type="spellEnd"/>
      <w:r>
        <w:t xml:space="preserve"> group and </w:t>
      </w:r>
      <w:r>
        <w:rPr>
          <w:b/>
        </w:rPr>
        <w:t>53</w:t>
      </w:r>
      <w:r w:rsidRPr="00956F54">
        <w:rPr>
          <w:b/>
        </w:rPr>
        <w:t>.6%</w:t>
      </w:r>
      <w:r>
        <w:t xml:space="preserve"> in the placebo group. Common treatment-related AEs (</w:t>
      </w:r>
      <w:r w:rsidR="000F0631">
        <w:t>that is,</w:t>
      </w:r>
      <w:r>
        <w:t xml:space="preserve"> those occurring in at least 10% of subjects in either arm</w:t>
      </w:r>
      <w:r w:rsidRPr="00005428">
        <w:t xml:space="preserve">) are shown in </w:t>
      </w:r>
      <w:r w:rsidR="008E1A61">
        <w:t>Table 20</w:t>
      </w:r>
      <w:r w:rsidRPr="00005428">
        <w:t>.</w:t>
      </w:r>
    </w:p>
    <w:p w:rsidR="00FD5F83" w:rsidRDefault="00FD5F83" w:rsidP="00121C20">
      <w:r w:rsidRPr="00FF7C11">
        <w:t xml:space="preserve">In placebo treated patients who received </w:t>
      </w:r>
      <w:proofErr w:type="spellStart"/>
      <w:r w:rsidRPr="00FF7C11">
        <w:t>sorafenib</w:t>
      </w:r>
      <w:proofErr w:type="spellEnd"/>
      <w:r w:rsidRPr="00FF7C11">
        <w:t xml:space="preserve"> in the open-label phase (n=150), the incidence</w:t>
      </w:r>
      <w:r>
        <w:t xml:space="preserve"> of treatment-related AEs was </w:t>
      </w:r>
      <w:r>
        <w:rPr>
          <w:b/>
        </w:rPr>
        <w:t>96.7</w:t>
      </w:r>
      <w:r w:rsidRPr="000C763C">
        <w:rPr>
          <w:b/>
        </w:rPr>
        <w:t>%</w:t>
      </w:r>
      <w:r>
        <w:rPr>
          <w:b/>
        </w:rPr>
        <w:t>.</w:t>
      </w:r>
    </w:p>
    <w:p w:rsidR="00FD5F83" w:rsidRDefault="00FD5F83" w:rsidP="00121C20">
      <w:r>
        <w:t xml:space="preserve">The incidence of </w:t>
      </w:r>
      <w:r w:rsidRPr="00121C20">
        <w:rPr>
          <w:b/>
        </w:rPr>
        <w:t>Grade 3 or 4 treatment-related AEs</w:t>
      </w:r>
      <w:r>
        <w:t xml:space="preserve"> during the double blind treatment phase was </w:t>
      </w:r>
      <w:r>
        <w:rPr>
          <w:b/>
        </w:rPr>
        <w:t>54.1</w:t>
      </w:r>
      <w:r w:rsidRPr="00956F54">
        <w:rPr>
          <w:b/>
        </w:rPr>
        <w:t>%</w:t>
      </w:r>
      <w:r>
        <w:t xml:space="preserve"> in the </w:t>
      </w:r>
      <w:proofErr w:type="spellStart"/>
      <w:r>
        <w:t>sorafenib</w:t>
      </w:r>
      <w:proofErr w:type="spellEnd"/>
      <w:r>
        <w:t xml:space="preserve"> group and </w:t>
      </w:r>
      <w:r>
        <w:rPr>
          <w:b/>
        </w:rPr>
        <w:t>6.7</w:t>
      </w:r>
      <w:r w:rsidRPr="00956F54">
        <w:rPr>
          <w:b/>
        </w:rPr>
        <w:t>%</w:t>
      </w:r>
      <w:r>
        <w:t xml:space="preserve"> in the placebo group. Common treatment-related </w:t>
      </w:r>
      <w:r>
        <w:lastRenderedPageBreak/>
        <w:t>Grade 3 or 4 AEs (</w:t>
      </w:r>
      <w:r w:rsidR="000F0631">
        <w:t>that is,</w:t>
      </w:r>
      <w:r>
        <w:t xml:space="preserve"> those occurring in at least 2 subjects in </w:t>
      </w:r>
      <w:r w:rsidRPr="00005428">
        <w:t xml:space="preserve">either arm) are shown in </w:t>
      </w:r>
      <w:r w:rsidR="008E1A61">
        <w:t>Table 21</w:t>
      </w:r>
      <w:r w:rsidRPr="00005428">
        <w:t>.</w:t>
      </w:r>
    </w:p>
    <w:p w:rsidR="00FD5F83" w:rsidRDefault="00FD5F83" w:rsidP="00121C20">
      <w:r w:rsidRPr="00FF7C11">
        <w:t xml:space="preserve">In placebo treated patients who received </w:t>
      </w:r>
      <w:proofErr w:type="spellStart"/>
      <w:r w:rsidRPr="00FF7C11">
        <w:t>sorafenib</w:t>
      </w:r>
      <w:proofErr w:type="spellEnd"/>
      <w:r w:rsidRPr="00FF7C11">
        <w:t xml:space="preserve"> in the open-label phase (n=150), the incidence</w:t>
      </w:r>
      <w:r>
        <w:t xml:space="preserve"> of Grade 3 or 4 treatment-related AEs was </w:t>
      </w:r>
      <w:r>
        <w:rPr>
          <w:b/>
        </w:rPr>
        <w:t>44.7</w:t>
      </w:r>
      <w:r w:rsidRPr="000C763C">
        <w:rPr>
          <w:b/>
        </w:rPr>
        <w:t>%</w:t>
      </w:r>
      <w:r>
        <w:rPr>
          <w:b/>
        </w:rPr>
        <w:t>.</w:t>
      </w:r>
    </w:p>
    <w:p w:rsidR="00FD5F83" w:rsidRDefault="00FD5F83" w:rsidP="00121C20">
      <w:pPr>
        <w:ind w:left="567"/>
      </w:pPr>
      <w:r>
        <w:t>Comment:</w:t>
      </w:r>
      <w:r w:rsidR="000F0631">
        <w:t xml:space="preserve"> </w:t>
      </w:r>
      <w:r>
        <w:t>The pattern of toxicity observed by analysing treatment-related</w:t>
      </w:r>
      <w:r w:rsidRPr="006A3BCD">
        <w:t xml:space="preserve"> </w:t>
      </w:r>
      <w:proofErr w:type="gramStart"/>
      <w:r>
        <w:t>events,</w:t>
      </w:r>
      <w:proofErr w:type="gramEnd"/>
      <w:r>
        <w:t xml:space="preserve"> was similar to that observed by analysing all</w:t>
      </w:r>
      <w:r w:rsidRPr="006A3BCD">
        <w:t xml:space="preserve"> </w:t>
      </w:r>
      <w:r>
        <w:t>events.</w:t>
      </w:r>
    </w:p>
    <w:p w:rsidR="00005428" w:rsidRDefault="00005428" w:rsidP="00121C20">
      <w:pPr>
        <w:pStyle w:val="TableTitle"/>
      </w:pPr>
      <w:bookmarkStart w:id="153" w:name="_Ref247274896"/>
      <w:bookmarkStart w:id="154" w:name="_Toc247598401"/>
      <w:proofErr w:type="gramStart"/>
      <w:r>
        <w:t>Table 20.</w:t>
      </w:r>
      <w:bookmarkEnd w:id="153"/>
      <w:proofErr w:type="gramEnd"/>
      <w:r>
        <w:t xml:space="preserve"> Study 14295</w:t>
      </w:r>
      <w:r w:rsidR="00121C20">
        <w:t xml:space="preserve"> </w:t>
      </w:r>
      <w:r>
        <w:t>Treatment-</w:t>
      </w:r>
      <w:r w:rsidRPr="00121C20">
        <w:t>related</w:t>
      </w:r>
      <w:r>
        <w:t xml:space="preserve"> AEs (incidence &gt;10%) in the double-blind phase</w:t>
      </w:r>
      <w:bookmarkEnd w:id="154"/>
    </w:p>
    <w:p w:rsidR="00005428" w:rsidRDefault="00005428" w:rsidP="00121C20">
      <w:pPr>
        <w:rPr>
          <w:sz w:val="18"/>
          <w:szCs w:val="18"/>
          <w:vertAlign w:val="superscript"/>
        </w:rPr>
      </w:pPr>
      <w:r>
        <w:rPr>
          <w:noProof/>
          <w:lang w:eastAsia="en-AU"/>
        </w:rPr>
        <w:drawing>
          <wp:inline distT="0" distB="0" distL="0" distR="0" wp14:anchorId="6418A35B" wp14:editId="203FD34B">
            <wp:extent cx="3358630" cy="2602523"/>
            <wp:effectExtent l="0" t="0" r="0" b="7620"/>
            <wp:docPr id="29" name="Picture 29" descr="Table 20. Study 14295  Treatment-related AEs (incidence &gt;10%) in the double-blind phase" title="Table 20. Study 14295  Treatment-related AEs (incidence &gt;10%) in the double-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2279"/>
                    <a:stretch/>
                  </pic:blipFill>
                  <pic:spPr bwMode="auto">
                    <a:xfrm>
                      <a:off x="0" y="0"/>
                      <a:ext cx="3356800" cy="2601105"/>
                    </a:xfrm>
                    <a:prstGeom prst="rect">
                      <a:avLst/>
                    </a:prstGeom>
                    <a:ln>
                      <a:noFill/>
                    </a:ln>
                    <a:extLst>
                      <a:ext uri="{53640926-AAD7-44D8-BBD7-CCE9431645EC}">
                        <a14:shadowObscured xmlns:a14="http://schemas.microsoft.com/office/drawing/2010/main"/>
                      </a:ext>
                    </a:extLst>
                  </pic:spPr>
                </pic:pic>
              </a:graphicData>
            </a:graphic>
          </wp:inline>
        </w:drawing>
      </w:r>
    </w:p>
    <w:p w:rsidR="00005428" w:rsidRDefault="00005428" w:rsidP="00121C20">
      <w:pPr>
        <w:pStyle w:val="TableDescription"/>
      </w:pPr>
      <w:proofErr w:type="spellStart"/>
      <w:proofErr w:type="gramStart"/>
      <w:r w:rsidRPr="00005428">
        <w:rPr>
          <w:vertAlign w:val="superscript"/>
        </w:rPr>
        <w:t>b</w:t>
      </w:r>
      <w:r w:rsidRPr="00005428">
        <w:t>One</w:t>
      </w:r>
      <w:proofErr w:type="spellEnd"/>
      <w:proofErr w:type="gramEnd"/>
      <w:r w:rsidRPr="00005428">
        <w:t xml:space="preserve"> subject was randomised to placebo but erroneously received </w:t>
      </w:r>
      <w:proofErr w:type="spellStart"/>
      <w:r w:rsidRPr="00005428">
        <w:t>sorafenib</w:t>
      </w:r>
      <w:proofErr w:type="spellEnd"/>
      <w:r w:rsidRPr="00005428">
        <w:t xml:space="preserve"> for Cycle 1. The subject experienced 2 drug related TEAEs during Cycle 2 (within 30 days of </w:t>
      </w:r>
      <w:proofErr w:type="spellStart"/>
      <w:r w:rsidRPr="00005428">
        <w:t>sorafenib</w:t>
      </w:r>
      <w:proofErr w:type="spellEnd"/>
      <w:r w:rsidRPr="00005428">
        <w:t xml:space="preserve"> exposure) that are captured under placebo treatment (Grade 1 dry skin and Grade 1 oral </w:t>
      </w:r>
      <w:proofErr w:type="spellStart"/>
      <w:r w:rsidRPr="00005428">
        <w:t>mucositis</w:t>
      </w:r>
      <w:proofErr w:type="spellEnd"/>
      <w:r w:rsidRPr="00005428">
        <w:t>).</w:t>
      </w:r>
    </w:p>
    <w:p w:rsidR="00005428" w:rsidRDefault="00005428" w:rsidP="00121C20">
      <w:pPr>
        <w:pStyle w:val="TableTitle"/>
      </w:pPr>
      <w:bookmarkStart w:id="155" w:name="_Ref247275602"/>
      <w:bookmarkStart w:id="156" w:name="_Toc247598402"/>
      <w:proofErr w:type="gramStart"/>
      <w:r>
        <w:t xml:space="preserve">Table </w:t>
      </w:r>
      <w:bookmarkEnd w:id="155"/>
      <w:r>
        <w:t>21.</w:t>
      </w:r>
      <w:proofErr w:type="gramEnd"/>
      <w:r>
        <w:t xml:space="preserve"> Study </w:t>
      </w:r>
      <w:r w:rsidRPr="00121C20">
        <w:t>14295</w:t>
      </w:r>
      <w:r>
        <w:t xml:space="preserve"> Grade 3 or 4 treatment related AEs (incidence &gt;2 subjects) in the double-blind phase</w:t>
      </w:r>
      <w:bookmarkEnd w:id="156"/>
    </w:p>
    <w:p w:rsidR="00005428" w:rsidRDefault="00005428" w:rsidP="00121C20">
      <w:r>
        <w:rPr>
          <w:noProof/>
          <w:lang w:eastAsia="en-AU"/>
        </w:rPr>
        <w:drawing>
          <wp:inline distT="0" distB="0" distL="0" distR="0" wp14:anchorId="4B99BA0A" wp14:editId="6382EAA5">
            <wp:extent cx="3970215" cy="3760805"/>
            <wp:effectExtent l="0" t="0" r="0" b="0"/>
            <wp:docPr id="27" name="Picture 27" descr="Table 21. Study 14295 Grade 3 or 4 treatment related AEs (incidence &gt;2 subjects) in the double-blind phase" title="Table 21. Study 14295 Grade 3 or 4 treatment related AEs (incidence &gt;2 subjects) in the double-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871" b="1871"/>
                    <a:stretch/>
                  </pic:blipFill>
                  <pic:spPr bwMode="auto">
                    <a:xfrm>
                      <a:off x="0" y="0"/>
                      <a:ext cx="3974158" cy="3764540"/>
                    </a:xfrm>
                    <a:prstGeom prst="rect">
                      <a:avLst/>
                    </a:prstGeom>
                    <a:ln>
                      <a:noFill/>
                    </a:ln>
                    <a:extLst>
                      <a:ext uri="{53640926-AAD7-44D8-BBD7-CCE9431645EC}">
                        <a14:shadowObscured xmlns:a14="http://schemas.microsoft.com/office/drawing/2010/main"/>
                      </a:ext>
                    </a:extLst>
                  </pic:spPr>
                </pic:pic>
              </a:graphicData>
            </a:graphic>
          </wp:inline>
        </w:drawing>
      </w:r>
    </w:p>
    <w:p w:rsidR="00FD5F83" w:rsidRPr="00213E77" w:rsidRDefault="00FD5F83" w:rsidP="00121C20">
      <w:pPr>
        <w:pStyle w:val="Heading5"/>
      </w:pPr>
      <w:bookmarkStart w:id="157" w:name="_Toc241374320"/>
      <w:bookmarkStart w:id="158" w:name="_Ref272333507"/>
      <w:bookmarkStart w:id="159" w:name="_Toc272414666"/>
      <w:bookmarkStart w:id="160" w:name="_Toc290846304"/>
      <w:bookmarkStart w:id="161" w:name="_Toc247598325"/>
      <w:r w:rsidRPr="00121C20">
        <w:lastRenderedPageBreak/>
        <w:t>Deaths</w:t>
      </w:r>
      <w:r>
        <w:t xml:space="preserve"> and other serious adverse events</w:t>
      </w:r>
      <w:bookmarkEnd w:id="157"/>
      <w:bookmarkEnd w:id="158"/>
      <w:bookmarkEnd w:id="159"/>
      <w:bookmarkEnd w:id="160"/>
      <w:bookmarkEnd w:id="161"/>
    </w:p>
    <w:p w:rsidR="00FD5F83" w:rsidRPr="00F57E8E" w:rsidRDefault="00FD5F83" w:rsidP="00121C20">
      <w:pPr>
        <w:pStyle w:val="Heading6"/>
      </w:pPr>
      <w:r w:rsidRPr="00121C20">
        <w:t>Deaths</w:t>
      </w:r>
    </w:p>
    <w:p w:rsidR="00FD5F83" w:rsidRDefault="00FD5F83" w:rsidP="00121C20">
      <w:r>
        <w:t xml:space="preserve">There were a total of 18 deaths during the double-blind treatment period or within 30 days of discontinuation. Of these, 12 were in the </w:t>
      </w:r>
      <w:proofErr w:type="spellStart"/>
      <w:r>
        <w:t>sorafenib</w:t>
      </w:r>
      <w:proofErr w:type="spellEnd"/>
      <w:r>
        <w:t xml:space="preserve"> group and 6 were in the placebo group. Only two deaths were considered related to study drug:</w:t>
      </w:r>
    </w:p>
    <w:p w:rsidR="00FD5F83" w:rsidRDefault="000F0631" w:rsidP="00121C20">
      <w:pPr>
        <w:pStyle w:val="ListBullet"/>
      </w:pPr>
      <w:r>
        <w:t>[</w:t>
      </w:r>
      <w:proofErr w:type="gramStart"/>
      <w:r>
        <w:t>information</w:t>
      </w:r>
      <w:proofErr w:type="gramEnd"/>
      <w:r>
        <w:t xml:space="preserve"> redacted]</w:t>
      </w:r>
      <w:r w:rsidR="00FD5F83">
        <w:t xml:space="preserve"> </w:t>
      </w:r>
      <w:r w:rsidR="00FD5F83" w:rsidRPr="00121C20">
        <w:t>died</w:t>
      </w:r>
      <w:r w:rsidR="00FD5F83">
        <w:t xml:space="preserve"> of an acute myocardial infarction while on </w:t>
      </w:r>
      <w:proofErr w:type="spellStart"/>
      <w:r w:rsidR="00FD5F83">
        <w:t>sorafenib</w:t>
      </w:r>
      <w:proofErr w:type="spellEnd"/>
      <w:r w:rsidR="00FD5F83">
        <w:t>.</w:t>
      </w:r>
    </w:p>
    <w:p w:rsidR="00FD5F83" w:rsidRDefault="000F0631" w:rsidP="00121C20">
      <w:pPr>
        <w:pStyle w:val="ListBullet"/>
      </w:pPr>
      <w:r>
        <w:t>[</w:t>
      </w:r>
      <w:proofErr w:type="gramStart"/>
      <w:r>
        <w:t>information</w:t>
      </w:r>
      <w:proofErr w:type="gramEnd"/>
      <w:r>
        <w:t xml:space="preserve"> redacted]</w:t>
      </w:r>
      <w:r w:rsidR="00FD5F83">
        <w:t xml:space="preserve"> died of a subdural </w:t>
      </w:r>
      <w:r w:rsidR="00FD5F83" w:rsidRPr="00121C20">
        <w:t>haemorrhage</w:t>
      </w:r>
      <w:r w:rsidR="00FD5F83">
        <w:t xml:space="preserve"> while on placebo. </w:t>
      </w:r>
      <w:r>
        <w:t>{</w:t>
      </w:r>
      <w:proofErr w:type="gramStart"/>
      <w:r>
        <w:t>information</w:t>
      </w:r>
      <w:proofErr w:type="gramEnd"/>
      <w:r>
        <w:t xml:space="preserve"> redacted]</w:t>
      </w:r>
      <w:r w:rsidR="00FD5F83">
        <w:t xml:space="preserve"> was also receiving enoxaparin for atrial fibrillation.</w:t>
      </w:r>
    </w:p>
    <w:p w:rsidR="00FD5F83" w:rsidRDefault="00FD5F83" w:rsidP="00121C20">
      <w:r>
        <w:t xml:space="preserve">The sponsor explains the higher incidence of death in the </w:t>
      </w:r>
      <w:proofErr w:type="spellStart"/>
      <w:r>
        <w:t>sorafenib</w:t>
      </w:r>
      <w:proofErr w:type="spellEnd"/>
      <w:r>
        <w:t xml:space="preserve"> group as being due to the longer duration of double-blind treatment in the </w:t>
      </w:r>
      <w:proofErr w:type="spellStart"/>
      <w:r>
        <w:t>sorafenib</w:t>
      </w:r>
      <w:proofErr w:type="spellEnd"/>
      <w:r>
        <w:t xml:space="preserve"> arm (medians 46.1 weeks</w:t>
      </w:r>
      <w:r w:rsidR="00E22FDA">
        <w:t xml:space="preserve"> versus</w:t>
      </w:r>
      <w:r>
        <w:t xml:space="preserve"> 28.3 weeks), and the fact that fewer subjects from the </w:t>
      </w:r>
      <w:proofErr w:type="spellStart"/>
      <w:r>
        <w:t>sorafenib</w:t>
      </w:r>
      <w:proofErr w:type="spellEnd"/>
      <w:r>
        <w:t xml:space="preserve"> arm received the drug in the open-label phase.</w:t>
      </w:r>
    </w:p>
    <w:p w:rsidR="00FD5F83" w:rsidRDefault="00FD5F83" w:rsidP="00121C20">
      <w:pPr>
        <w:ind w:left="567"/>
      </w:pPr>
      <w:r>
        <w:t>Comment:</w:t>
      </w:r>
      <w:r w:rsidR="000F0631">
        <w:t xml:space="preserve"> </w:t>
      </w:r>
      <w:r>
        <w:t xml:space="preserve">Myocardial infarction is a known risk associated with </w:t>
      </w:r>
      <w:proofErr w:type="spellStart"/>
      <w:r>
        <w:t>sorafenib</w:t>
      </w:r>
      <w:proofErr w:type="spellEnd"/>
      <w:r>
        <w:t>. The individual patient narratives for the remaining 16 patients have been reviewed and most of these subjects died of events known to be associated with advanced cancer (</w:t>
      </w:r>
      <w:r w:rsidR="000F0631">
        <w:t xml:space="preserve">such as </w:t>
      </w:r>
      <w:r>
        <w:t>disease progression, infections</w:t>
      </w:r>
      <w:r w:rsidR="000F0631">
        <w:t xml:space="preserve"> and</w:t>
      </w:r>
      <w:r>
        <w:t xml:space="preserve"> pulmonary embolus). None were suspicious of </w:t>
      </w:r>
      <w:proofErr w:type="spellStart"/>
      <w:r>
        <w:t>sorafenib</w:t>
      </w:r>
      <w:proofErr w:type="spellEnd"/>
      <w:r>
        <w:t xml:space="preserve"> toxicity. </w:t>
      </w:r>
    </w:p>
    <w:p w:rsidR="00FD5F83" w:rsidRDefault="00FD5F83" w:rsidP="00121C20">
      <w:r>
        <w:t xml:space="preserve">In patients who did not receive open-label treatment with </w:t>
      </w:r>
      <w:proofErr w:type="spellStart"/>
      <w:r>
        <w:t>sorafenib</w:t>
      </w:r>
      <w:proofErr w:type="spellEnd"/>
      <w:r>
        <w:t xml:space="preserve">, there were 32 deaths occurring more than 30 days after the double blind phase. In patients who did receive open-label treatment, there were 25 deaths occurring more than 30 days after the double blind phase, and within 30 days of cessation of the open label treatment. There were a further 24 deaths occurring more than 30 days after the cessation of open-label treatment. None of these deaths were considered related to </w:t>
      </w:r>
      <w:proofErr w:type="spellStart"/>
      <w:r>
        <w:t>sorafenib</w:t>
      </w:r>
      <w:proofErr w:type="spellEnd"/>
      <w:r>
        <w:t>, and the stated cause of death was usually progressive disease.</w:t>
      </w:r>
    </w:p>
    <w:p w:rsidR="00FD5F83" w:rsidRPr="003904AB" w:rsidRDefault="00FD5F83" w:rsidP="00121C20">
      <w:pPr>
        <w:pStyle w:val="Heading6"/>
      </w:pPr>
      <w:r w:rsidRPr="00121C20">
        <w:t>Serious</w:t>
      </w:r>
      <w:r w:rsidRPr="003904AB">
        <w:t xml:space="preserve"> AEs</w:t>
      </w:r>
      <w:r>
        <w:t xml:space="preserve"> (other than deaths)</w:t>
      </w:r>
    </w:p>
    <w:p w:rsidR="00FD5F83" w:rsidRDefault="00FD5F83" w:rsidP="00121C20">
      <w:r>
        <w:t>A serious AE (SAE) was defined as an AE that resulted in death, was life-threatening, required hospitalisation or prolongation of hospitalisation, resulted in persistent or significant disability or incapacity or was regarded as an important medical event.</w:t>
      </w:r>
    </w:p>
    <w:p w:rsidR="00FD5F83" w:rsidRDefault="00FD5F83" w:rsidP="00FD5F83">
      <w:pPr>
        <w:autoSpaceDE w:val="0"/>
        <w:autoSpaceDN w:val="0"/>
        <w:adjustRightInd w:val="0"/>
      </w:pPr>
      <w:r>
        <w:t xml:space="preserve">The incidence of </w:t>
      </w:r>
      <w:r>
        <w:rPr>
          <w:u w:val="single"/>
        </w:rPr>
        <w:t>S</w:t>
      </w:r>
      <w:r w:rsidRPr="006A3BCD">
        <w:rPr>
          <w:u w:val="single"/>
        </w:rPr>
        <w:t>AEs</w:t>
      </w:r>
      <w:r>
        <w:t xml:space="preserve"> during the double blind treatment phase was </w:t>
      </w:r>
      <w:r>
        <w:rPr>
          <w:b/>
        </w:rPr>
        <w:t>37.2</w:t>
      </w:r>
      <w:r w:rsidRPr="00956F54">
        <w:rPr>
          <w:b/>
        </w:rPr>
        <w:t>%</w:t>
      </w:r>
      <w:r>
        <w:t xml:space="preserve"> in the </w:t>
      </w:r>
      <w:proofErr w:type="spellStart"/>
      <w:r>
        <w:t>sorafenib</w:t>
      </w:r>
      <w:proofErr w:type="spellEnd"/>
      <w:r>
        <w:t xml:space="preserve"> group and </w:t>
      </w:r>
      <w:r>
        <w:rPr>
          <w:b/>
        </w:rPr>
        <w:t>26.3</w:t>
      </w:r>
      <w:r w:rsidRPr="00956F54">
        <w:rPr>
          <w:b/>
        </w:rPr>
        <w:t>%</w:t>
      </w:r>
      <w:r>
        <w:t xml:space="preserve"> in the placebo group. SAEs occurring in the double-blind phase are shown in </w:t>
      </w:r>
      <w:r w:rsidR="008E1A61">
        <w:t>Table 22</w:t>
      </w:r>
      <w:r w:rsidRPr="00A26F3C">
        <w:t>.</w:t>
      </w:r>
      <w:r>
        <w:t xml:space="preserve"> </w:t>
      </w:r>
    </w:p>
    <w:p w:rsidR="00FD5F83" w:rsidRDefault="00FD5F83" w:rsidP="00121C20">
      <w:pPr>
        <w:ind w:left="567"/>
      </w:pPr>
      <w:r>
        <w:t>Comment:</w:t>
      </w:r>
      <w:r w:rsidR="000F0631">
        <w:t xml:space="preserve"> </w:t>
      </w:r>
      <w:r>
        <w:t xml:space="preserve">Serious AEs that were more common in the </w:t>
      </w:r>
      <w:proofErr w:type="spellStart"/>
      <w:r>
        <w:t>sorafenib</w:t>
      </w:r>
      <w:proofErr w:type="spellEnd"/>
      <w:r>
        <w:t xml:space="preserve"> group were constitutional symptoms (fever, fatigue, </w:t>
      </w:r>
      <w:proofErr w:type="gramStart"/>
      <w:r>
        <w:t>weight</w:t>
      </w:r>
      <w:proofErr w:type="gramEnd"/>
      <w:r>
        <w:t xml:space="preserve"> loss), rash/desquamation and secondary malignancy. Cardiac ischaemic/infarction occurred in 2 subjects in the </w:t>
      </w:r>
      <w:proofErr w:type="spellStart"/>
      <w:r>
        <w:t>sorafenib</w:t>
      </w:r>
      <w:proofErr w:type="spellEnd"/>
      <w:r>
        <w:t xml:space="preserve"> arm and none in the placebo arm.</w:t>
      </w:r>
    </w:p>
    <w:p w:rsidR="00FD5F83" w:rsidRDefault="00FD5F83" w:rsidP="00121C20">
      <w:r w:rsidRPr="00FF7C11">
        <w:t xml:space="preserve">In placebo treated patients who received </w:t>
      </w:r>
      <w:proofErr w:type="spellStart"/>
      <w:r w:rsidRPr="00FF7C11">
        <w:t>sorafenib</w:t>
      </w:r>
      <w:proofErr w:type="spellEnd"/>
      <w:r w:rsidRPr="00FF7C11">
        <w:t xml:space="preserve"> in the open-label phase (n=150), the incidence</w:t>
      </w:r>
      <w:r>
        <w:t xml:space="preserve"> of SAEs was </w:t>
      </w:r>
      <w:r>
        <w:rPr>
          <w:b/>
        </w:rPr>
        <w:t>44.0</w:t>
      </w:r>
      <w:r w:rsidRPr="000C763C">
        <w:rPr>
          <w:b/>
        </w:rPr>
        <w:t>%</w:t>
      </w:r>
      <w:r>
        <w:rPr>
          <w:b/>
        </w:rPr>
        <w:t xml:space="preserve">. </w:t>
      </w:r>
      <w:r w:rsidRPr="00961827">
        <w:t xml:space="preserve">The pattern of </w:t>
      </w:r>
      <w:r>
        <w:t xml:space="preserve">SAEs was consistent with that observed for </w:t>
      </w:r>
      <w:proofErr w:type="spellStart"/>
      <w:r>
        <w:t>sorafenib</w:t>
      </w:r>
      <w:proofErr w:type="spellEnd"/>
      <w:r>
        <w:t xml:space="preserve"> in the double-blind phase.</w:t>
      </w:r>
    </w:p>
    <w:p w:rsidR="00A26F3C" w:rsidRDefault="00A26F3C" w:rsidP="00121C20">
      <w:pPr>
        <w:pStyle w:val="TableTitle"/>
      </w:pPr>
      <w:bookmarkStart w:id="162" w:name="_Ref247338571"/>
      <w:bookmarkStart w:id="163" w:name="_Toc247598404"/>
      <w:proofErr w:type="gramStart"/>
      <w:r>
        <w:lastRenderedPageBreak/>
        <w:t>Table 22</w:t>
      </w:r>
      <w:bookmarkEnd w:id="162"/>
      <w:r w:rsidR="008E1A61">
        <w:t>.</w:t>
      </w:r>
      <w:proofErr w:type="gramEnd"/>
      <w:r>
        <w:t xml:space="preserve"> Study 14295 Serious AEs in the </w:t>
      </w:r>
      <w:r w:rsidRPr="00121C20">
        <w:t>double</w:t>
      </w:r>
      <w:r>
        <w:t>-blind phase</w:t>
      </w:r>
      <w:bookmarkEnd w:id="163"/>
    </w:p>
    <w:p w:rsidR="00A26F3C" w:rsidRDefault="00A26F3C" w:rsidP="00121C20">
      <w:r>
        <w:rPr>
          <w:noProof/>
          <w:lang w:eastAsia="en-AU"/>
        </w:rPr>
        <w:drawing>
          <wp:inline distT="0" distB="0" distL="0" distR="0" wp14:anchorId="3070B40D" wp14:editId="6EB83714">
            <wp:extent cx="3602892" cy="4455313"/>
            <wp:effectExtent l="0" t="0" r="0" b="2540"/>
            <wp:docPr id="32" name="Picture 13" descr="Table 22. Study 14295 Serious AEs in the double-blind phase" title="Table 22. Study 14295 Serious AEs in the double-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6697" cy="4460019"/>
                    </a:xfrm>
                    <a:prstGeom prst="rect">
                      <a:avLst/>
                    </a:prstGeom>
                    <a:noFill/>
                    <a:ln>
                      <a:noFill/>
                    </a:ln>
                  </pic:spPr>
                </pic:pic>
              </a:graphicData>
            </a:graphic>
          </wp:inline>
        </w:drawing>
      </w:r>
    </w:p>
    <w:p w:rsidR="00FD5F83" w:rsidRPr="008F73B4" w:rsidRDefault="00FD5F83" w:rsidP="00121C20">
      <w:pPr>
        <w:pStyle w:val="Heading5"/>
      </w:pPr>
      <w:bookmarkStart w:id="164" w:name="_Toc241374325"/>
      <w:bookmarkStart w:id="165" w:name="_Ref272333477"/>
      <w:bookmarkStart w:id="166" w:name="_Toc272414667"/>
      <w:bookmarkStart w:id="167" w:name="_Toc290846305"/>
      <w:bookmarkStart w:id="168" w:name="_Toc247598326"/>
      <w:r w:rsidRPr="00121C20">
        <w:t>Discontinuation</w:t>
      </w:r>
      <w:r>
        <w:t xml:space="preserve"> due to adverse events</w:t>
      </w:r>
      <w:bookmarkEnd w:id="164"/>
      <w:bookmarkEnd w:id="165"/>
      <w:bookmarkEnd w:id="166"/>
      <w:bookmarkEnd w:id="167"/>
      <w:bookmarkEnd w:id="168"/>
    </w:p>
    <w:p w:rsidR="00FD5F83" w:rsidRDefault="00FD5F83" w:rsidP="00121C20">
      <w:pPr>
        <w:rPr>
          <w:b/>
        </w:rPr>
      </w:pPr>
      <w:r>
        <w:t xml:space="preserve">The incidence of AEs leading to permanent discontinuation of study drug during the double blind treatment phase was </w:t>
      </w:r>
      <w:r>
        <w:rPr>
          <w:b/>
        </w:rPr>
        <w:t>18.8</w:t>
      </w:r>
      <w:r w:rsidRPr="00956F54">
        <w:rPr>
          <w:b/>
        </w:rPr>
        <w:t>%</w:t>
      </w:r>
      <w:r>
        <w:t xml:space="preserve"> in the </w:t>
      </w:r>
      <w:proofErr w:type="spellStart"/>
      <w:r>
        <w:t>sorafenib</w:t>
      </w:r>
      <w:proofErr w:type="spellEnd"/>
      <w:r>
        <w:t xml:space="preserve"> group and </w:t>
      </w:r>
      <w:r>
        <w:rPr>
          <w:b/>
        </w:rPr>
        <w:t>3.8</w:t>
      </w:r>
      <w:r w:rsidRPr="00956F54">
        <w:rPr>
          <w:b/>
        </w:rPr>
        <w:t>%</w:t>
      </w:r>
      <w:r>
        <w:t xml:space="preserve"> in the placebo group. </w:t>
      </w:r>
      <w:r w:rsidRPr="00FF7C11">
        <w:t xml:space="preserve">In placebo treated patients who received </w:t>
      </w:r>
      <w:proofErr w:type="spellStart"/>
      <w:r w:rsidRPr="00FF7C11">
        <w:t>sorafenib</w:t>
      </w:r>
      <w:proofErr w:type="spellEnd"/>
      <w:r w:rsidRPr="00FF7C11">
        <w:t xml:space="preserve"> in the open-label phase (n=150), the incidence</w:t>
      </w:r>
      <w:r>
        <w:t xml:space="preserve"> of AEs leading to permanent discontinuation was </w:t>
      </w:r>
      <w:r>
        <w:rPr>
          <w:b/>
        </w:rPr>
        <w:t>18.7</w:t>
      </w:r>
      <w:r w:rsidRPr="000C763C">
        <w:rPr>
          <w:b/>
        </w:rPr>
        <w:t>%</w:t>
      </w:r>
      <w:r>
        <w:rPr>
          <w:b/>
        </w:rPr>
        <w:t xml:space="preserve">. </w:t>
      </w:r>
    </w:p>
    <w:p w:rsidR="00FD5F83" w:rsidRDefault="00FD5F83" w:rsidP="00121C20">
      <w:r>
        <w:t xml:space="preserve">The AEs leading to permanent discontinuation in the double blind and open label phases </w:t>
      </w:r>
      <w:r w:rsidR="00A26F3C">
        <w:t>were</w:t>
      </w:r>
      <w:r>
        <w:t xml:space="preserve"> summarised.</w:t>
      </w:r>
    </w:p>
    <w:p w:rsidR="00FD5F83" w:rsidRDefault="00FD5F83" w:rsidP="00121C20">
      <w:pPr>
        <w:ind w:left="567"/>
      </w:pPr>
      <w:r>
        <w:t>Comment:</w:t>
      </w:r>
      <w:r w:rsidR="000F0631">
        <w:t xml:space="preserve"> </w:t>
      </w:r>
      <w:r>
        <w:t>The pattern of adverse events was similar to previous analyses. Notably, in the double-blind phase, 5.3% of subjects discontinued due to hand-foot syndrome (</w:t>
      </w:r>
      <w:r w:rsidR="000F0631">
        <w:t>versus</w:t>
      </w:r>
      <w:r>
        <w:t xml:space="preserve"> 0% in the placebo arm).</w:t>
      </w:r>
    </w:p>
    <w:p w:rsidR="00FD5F83" w:rsidRDefault="00FD5F83" w:rsidP="00121C20">
      <w:pPr>
        <w:pStyle w:val="Heading5"/>
      </w:pPr>
      <w:bookmarkStart w:id="169" w:name="_Toc247598327"/>
      <w:r>
        <w:t xml:space="preserve">Adverse </w:t>
      </w:r>
      <w:r w:rsidRPr="00121C20">
        <w:t>events</w:t>
      </w:r>
      <w:r>
        <w:t xml:space="preserve"> of special interest</w:t>
      </w:r>
      <w:bookmarkEnd w:id="169"/>
    </w:p>
    <w:p w:rsidR="00FD5F83" w:rsidRDefault="00FD5F83" w:rsidP="00121C20">
      <w:r>
        <w:t>The sponsor identified the following as AEs of special interest:</w:t>
      </w:r>
    </w:p>
    <w:p w:rsidR="00FD5F83" w:rsidRPr="00121C20" w:rsidRDefault="00FD5F83" w:rsidP="00121C20">
      <w:pPr>
        <w:pStyle w:val="ListBullet"/>
      </w:pPr>
      <w:r w:rsidRPr="00121C20">
        <w:t>Bleeding events;</w:t>
      </w:r>
    </w:p>
    <w:p w:rsidR="00FD5F83" w:rsidRPr="00121C20" w:rsidRDefault="00FD5F83" w:rsidP="00121C20">
      <w:pPr>
        <w:pStyle w:val="ListBullet"/>
      </w:pPr>
      <w:r w:rsidRPr="00121C20">
        <w:t>Hypertension;</w:t>
      </w:r>
    </w:p>
    <w:p w:rsidR="00FD5F83" w:rsidRPr="00121C20" w:rsidRDefault="00FD5F83" w:rsidP="00121C20">
      <w:pPr>
        <w:pStyle w:val="ListBullet"/>
      </w:pPr>
      <w:r w:rsidRPr="00121C20">
        <w:t>Hand-foot syndrome</w:t>
      </w:r>
    </w:p>
    <w:p w:rsidR="00FD5F83" w:rsidRPr="00121C20" w:rsidRDefault="00FD5F83" w:rsidP="00121C20">
      <w:pPr>
        <w:pStyle w:val="ListBullet"/>
      </w:pPr>
      <w:r w:rsidRPr="00121C20">
        <w:t>Weight loss;</w:t>
      </w:r>
    </w:p>
    <w:p w:rsidR="00FD5F83" w:rsidRPr="00121C20" w:rsidRDefault="00FD5F83" w:rsidP="00121C20">
      <w:pPr>
        <w:pStyle w:val="ListBullet"/>
      </w:pPr>
      <w:r w:rsidRPr="00121C20">
        <w:t>Left ventricular systolic dysfunction;</w:t>
      </w:r>
    </w:p>
    <w:p w:rsidR="00FD5F83" w:rsidRPr="00121C20" w:rsidRDefault="00FD5F83" w:rsidP="00121C20">
      <w:pPr>
        <w:pStyle w:val="ListBullet"/>
      </w:pPr>
      <w:r w:rsidRPr="00121C20">
        <w:t xml:space="preserve">Cardiac </w:t>
      </w:r>
      <w:proofErr w:type="spellStart"/>
      <w:r w:rsidRPr="00121C20">
        <w:t>ischaemia</w:t>
      </w:r>
      <w:proofErr w:type="spellEnd"/>
      <w:r w:rsidRPr="00121C20">
        <w:t xml:space="preserve"> / infarction</w:t>
      </w:r>
    </w:p>
    <w:p w:rsidR="00FD5F83" w:rsidRPr="00121C20" w:rsidRDefault="00FD5F83" w:rsidP="00121C20">
      <w:pPr>
        <w:pStyle w:val="ListBullet"/>
      </w:pPr>
      <w:r w:rsidRPr="00121C20">
        <w:lastRenderedPageBreak/>
        <w:t>Other cardiac events;</w:t>
      </w:r>
    </w:p>
    <w:p w:rsidR="00FD5F83" w:rsidRPr="00121C20" w:rsidRDefault="00FD5F83" w:rsidP="00121C20">
      <w:pPr>
        <w:pStyle w:val="ListBullet"/>
      </w:pPr>
      <w:r w:rsidRPr="00121C20">
        <w:t>Pancreatitis;</w:t>
      </w:r>
    </w:p>
    <w:p w:rsidR="00FD5F83" w:rsidRPr="00121C20" w:rsidRDefault="00FD5F83" w:rsidP="00121C20">
      <w:pPr>
        <w:pStyle w:val="ListBullet"/>
      </w:pPr>
      <w:r w:rsidRPr="00121C20">
        <w:t>Secondary cancer;</w:t>
      </w:r>
    </w:p>
    <w:p w:rsidR="00FD5F83" w:rsidRPr="00121C20" w:rsidRDefault="00FD5F83" w:rsidP="00121C20">
      <w:pPr>
        <w:pStyle w:val="ListBullet"/>
      </w:pPr>
      <w:proofErr w:type="spellStart"/>
      <w:r w:rsidRPr="00121C20">
        <w:t>Keratoacanthoma</w:t>
      </w:r>
      <w:proofErr w:type="spellEnd"/>
      <w:r w:rsidRPr="00121C20">
        <w:t xml:space="preserve"> / squamous cell carcinoma of the skin (SCC).</w:t>
      </w:r>
    </w:p>
    <w:p w:rsidR="00FD5F83" w:rsidRDefault="00FD5F83" w:rsidP="00121C20">
      <w:r>
        <w:t>These events (apart from secondary cancer) are all currently listed in the approved Australian PI.</w:t>
      </w:r>
    </w:p>
    <w:p w:rsidR="00FD5F83" w:rsidRDefault="00FD5F83" w:rsidP="00121C20">
      <w:r>
        <w:t xml:space="preserve">The incidence of these AEs (apart from </w:t>
      </w:r>
      <w:r w:rsidRPr="006D5221">
        <w:t>cancers) in th</w:t>
      </w:r>
      <w:r w:rsidR="000F0631" w:rsidRPr="006D5221">
        <w:t>e double-blind phase is summaris</w:t>
      </w:r>
      <w:r w:rsidRPr="006D5221">
        <w:t xml:space="preserve">ed in </w:t>
      </w:r>
      <w:r w:rsidRPr="006D5221">
        <w:fldChar w:fldCharType="begin"/>
      </w:r>
      <w:r w:rsidRPr="006D5221">
        <w:instrText xml:space="preserve"> REF _Ref247342218 \h </w:instrText>
      </w:r>
      <w:r w:rsidR="000F0631" w:rsidRPr="006D5221">
        <w:instrText xml:space="preserve"> \* MERGEFORMAT </w:instrText>
      </w:r>
      <w:r w:rsidRPr="006D5221">
        <w:fldChar w:fldCharType="separate"/>
      </w:r>
      <w:r w:rsidR="00E42429">
        <w:t xml:space="preserve">Table </w:t>
      </w:r>
      <w:r w:rsidRPr="006D5221">
        <w:fldChar w:fldCharType="end"/>
      </w:r>
      <w:r w:rsidR="006D5221" w:rsidRPr="006D5221">
        <w:t>23</w:t>
      </w:r>
      <w:r w:rsidRPr="006D5221">
        <w:t xml:space="preserve">. The incidence of secondary cancers </w:t>
      </w:r>
      <w:r w:rsidR="006D5221" w:rsidRPr="006D5221">
        <w:t xml:space="preserve">and </w:t>
      </w:r>
      <w:proofErr w:type="spellStart"/>
      <w:r w:rsidR="006D5221" w:rsidRPr="006D5221">
        <w:t>keratoacanthoma</w:t>
      </w:r>
      <w:proofErr w:type="spellEnd"/>
      <w:r w:rsidR="006D5221" w:rsidRPr="006D5221">
        <w:t xml:space="preserve">/SCC </w:t>
      </w:r>
      <w:r w:rsidRPr="006D5221">
        <w:t xml:space="preserve">in the double blind and open label phases </w:t>
      </w:r>
      <w:r w:rsidR="006D5221" w:rsidRPr="006D5221">
        <w:t>were also</w:t>
      </w:r>
      <w:r w:rsidRPr="006D5221">
        <w:t xml:space="preserve"> summarised.</w:t>
      </w:r>
    </w:p>
    <w:p w:rsidR="00FD5F83" w:rsidRDefault="00FD5F83" w:rsidP="00121C20">
      <w:pPr>
        <w:ind w:left="567"/>
      </w:pPr>
      <w:r>
        <w:t>Comment:</w:t>
      </w:r>
      <w:r w:rsidR="000F0631">
        <w:t xml:space="preserve"> </w:t>
      </w:r>
      <w:r>
        <w:t xml:space="preserve">If SCC is excluded, there was no apparent increased risk of secondary malignancy in the </w:t>
      </w:r>
      <w:proofErr w:type="spellStart"/>
      <w:r>
        <w:t>sorafenib</w:t>
      </w:r>
      <w:proofErr w:type="spellEnd"/>
      <w:r>
        <w:t xml:space="preserve"> group. SCC and </w:t>
      </w:r>
      <w:proofErr w:type="spellStart"/>
      <w:r>
        <w:t>keratoacanthoma</w:t>
      </w:r>
      <w:proofErr w:type="spellEnd"/>
      <w:r>
        <w:t xml:space="preserve"> are known to be associated with </w:t>
      </w:r>
      <w:proofErr w:type="spellStart"/>
      <w:r>
        <w:t>sorafenib</w:t>
      </w:r>
      <w:proofErr w:type="spellEnd"/>
      <w:r>
        <w:t>.</w:t>
      </w:r>
    </w:p>
    <w:p w:rsidR="006D5221" w:rsidRDefault="006D5221" w:rsidP="00121C20">
      <w:pPr>
        <w:pStyle w:val="TableTitle"/>
      </w:pPr>
      <w:bookmarkStart w:id="170" w:name="_Ref247342218"/>
      <w:bookmarkStart w:id="171" w:name="_Toc247598406"/>
      <w:proofErr w:type="gramStart"/>
      <w:r>
        <w:t xml:space="preserve">Table </w:t>
      </w:r>
      <w:bookmarkEnd w:id="170"/>
      <w:r>
        <w:t>23.</w:t>
      </w:r>
      <w:proofErr w:type="gramEnd"/>
      <w:r>
        <w:t xml:space="preserve"> Study 14295 – </w:t>
      </w:r>
      <w:r w:rsidRPr="00121C20">
        <w:t>AEs</w:t>
      </w:r>
      <w:r>
        <w:t xml:space="preserve"> of special interest in the double blind phase</w:t>
      </w:r>
      <w:bookmarkEnd w:id="171"/>
    </w:p>
    <w:p w:rsidR="006D5221" w:rsidRDefault="006D5221" w:rsidP="00121C20">
      <w:r>
        <w:rPr>
          <w:noProof/>
          <w:lang w:eastAsia="en-AU"/>
        </w:rPr>
        <w:drawing>
          <wp:inline distT="0" distB="0" distL="0" distR="0" wp14:anchorId="2C25EABC" wp14:editId="45AAFA80">
            <wp:extent cx="3792861" cy="3430954"/>
            <wp:effectExtent l="0" t="0" r="0" b="0"/>
            <wp:docPr id="36" name="Picture 17" descr="Table 23. Study 14295 – AEs of special interest in the double blind phase" title="Table 23. Study 14295 – AEs of special interest in the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7167" cy="3434849"/>
                    </a:xfrm>
                    <a:prstGeom prst="rect">
                      <a:avLst/>
                    </a:prstGeom>
                    <a:noFill/>
                    <a:ln>
                      <a:noFill/>
                    </a:ln>
                  </pic:spPr>
                </pic:pic>
              </a:graphicData>
            </a:graphic>
          </wp:inline>
        </w:drawing>
      </w:r>
    </w:p>
    <w:p w:rsidR="00FD5F83" w:rsidRDefault="00FD5F83" w:rsidP="00121C20">
      <w:pPr>
        <w:pStyle w:val="Heading4"/>
      </w:pPr>
      <w:bookmarkStart w:id="172" w:name="_Toc241374321"/>
      <w:bookmarkStart w:id="173" w:name="_Ref271044780"/>
      <w:bookmarkStart w:id="174" w:name="_Ref271196640"/>
      <w:bookmarkStart w:id="175" w:name="_Ref272333085"/>
      <w:bookmarkStart w:id="176" w:name="_Toc272414668"/>
      <w:bookmarkStart w:id="177" w:name="_Toc290846306"/>
      <w:bookmarkStart w:id="178" w:name="_Toc247598328"/>
      <w:r w:rsidRPr="00121C20">
        <w:t>Laboratory</w:t>
      </w:r>
      <w:r>
        <w:t xml:space="preserve"> tests</w:t>
      </w:r>
      <w:bookmarkEnd w:id="172"/>
      <w:bookmarkEnd w:id="173"/>
      <w:bookmarkEnd w:id="174"/>
      <w:bookmarkEnd w:id="175"/>
      <w:bookmarkEnd w:id="176"/>
      <w:bookmarkEnd w:id="177"/>
      <w:bookmarkEnd w:id="178"/>
    </w:p>
    <w:p w:rsidR="00FD5F83" w:rsidRDefault="00FD5F83" w:rsidP="00121C20">
      <w:r>
        <w:t xml:space="preserve">Grade 3 or 4 biochemical abnormalities are </w:t>
      </w:r>
      <w:r w:rsidRPr="008E1A61">
        <w:t xml:space="preserve">summarised in </w:t>
      </w:r>
      <w:r w:rsidR="008E1A61">
        <w:t>Table 24</w:t>
      </w:r>
      <w:r w:rsidRPr="008E1A61">
        <w:t xml:space="preserve">. Grade 3 or 4 haematological abnormalities are summarised in </w:t>
      </w:r>
      <w:r w:rsidR="008E1A61">
        <w:t>Table 25</w:t>
      </w:r>
      <w:r w:rsidRPr="008E1A61">
        <w:t>.</w:t>
      </w:r>
    </w:p>
    <w:p w:rsidR="006D5221" w:rsidRDefault="006D5221" w:rsidP="00121C20">
      <w:pPr>
        <w:pStyle w:val="TableTitle"/>
      </w:pPr>
      <w:bookmarkStart w:id="179" w:name="_Ref247346916"/>
      <w:bookmarkStart w:id="180" w:name="_Toc247598409"/>
      <w:proofErr w:type="gramStart"/>
      <w:r>
        <w:lastRenderedPageBreak/>
        <w:t xml:space="preserve">Table </w:t>
      </w:r>
      <w:bookmarkEnd w:id="179"/>
      <w:r>
        <w:t>24.</w:t>
      </w:r>
      <w:proofErr w:type="gramEnd"/>
      <w:r>
        <w:t xml:space="preserve"> </w:t>
      </w:r>
      <w:r w:rsidRPr="00121C20">
        <w:t>Study</w:t>
      </w:r>
      <w:r>
        <w:t xml:space="preserve"> 14295 Biochemistry abnormalities</w:t>
      </w:r>
      <w:bookmarkEnd w:id="180"/>
    </w:p>
    <w:p w:rsidR="006D5221" w:rsidRDefault="007B32FA" w:rsidP="00121C20">
      <w:r>
        <w:rPr>
          <w:noProof/>
          <w:lang w:eastAsia="en-AU"/>
        </w:rPr>
        <w:drawing>
          <wp:inline distT="0" distB="0" distL="0" distR="0" wp14:anchorId="4B58CFEC" wp14:editId="292D7F41">
            <wp:extent cx="3657600" cy="5280339"/>
            <wp:effectExtent l="0" t="0" r="0" b="0"/>
            <wp:docPr id="52" name="Picture 52" descr="Table 24. Study 14295 Biochemistry abnormalities" title="Table 24. Study 14295 Biochemistr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62966" cy="5288086"/>
                    </a:xfrm>
                    <a:prstGeom prst="rect">
                      <a:avLst/>
                    </a:prstGeom>
                  </pic:spPr>
                </pic:pic>
              </a:graphicData>
            </a:graphic>
          </wp:inline>
        </w:drawing>
      </w:r>
    </w:p>
    <w:p w:rsidR="006D5221" w:rsidRDefault="006D5221" w:rsidP="00121C20">
      <w:pPr>
        <w:pStyle w:val="TableTitle"/>
      </w:pPr>
      <w:bookmarkStart w:id="181" w:name="_Ref247351188"/>
      <w:bookmarkStart w:id="182" w:name="_Toc247598410"/>
      <w:proofErr w:type="gramStart"/>
      <w:r>
        <w:t xml:space="preserve">Table </w:t>
      </w:r>
      <w:bookmarkEnd w:id="181"/>
      <w:r>
        <w:t>25.</w:t>
      </w:r>
      <w:proofErr w:type="gramEnd"/>
      <w:r>
        <w:t xml:space="preserve"> Study 14295 </w:t>
      </w:r>
      <w:r w:rsidRPr="00121C20">
        <w:t>Haematology</w:t>
      </w:r>
      <w:r>
        <w:t xml:space="preserve"> abnormalities</w:t>
      </w:r>
      <w:bookmarkEnd w:id="182"/>
    </w:p>
    <w:p w:rsidR="006D5221" w:rsidRPr="00ED3668" w:rsidRDefault="006D5221" w:rsidP="00121C20">
      <w:r>
        <w:rPr>
          <w:noProof/>
          <w:lang w:eastAsia="en-AU"/>
        </w:rPr>
        <w:drawing>
          <wp:inline distT="0" distB="0" distL="0" distR="0" wp14:anchorId="5177B761" wp14:editId="78C2EB1D">
            <wp:extent cx="3387489" cy="2344616"/>
            <wp:effectExtent l="0" t="0" r="3810" b="0"/>
            <wp:docPr id="61" name="Picture 10" descr="Table 25. Study 14295 Haematology abnormalities" title="Table 25. Study 14295 Haematolog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a:extLst>
                        <a:ext uri="{28A0092B-C50C-407E-A947-70E740481C1C}">
                          <a14:useLocalDpi xmlns:a14="http://schemas.microsoft.com/office/drawing/2010/main" val="0"/>
                        </a:ext>
                      </a:extLst>
                    </a:blip>
                    <a:srcRect b="5323"/>
                    <a:stretch/>
                  </pic:blipFill>
                  <pic:spPr bwMode="auto">
                    <a:xfrm>
                      <a:off x="0" y="0"/>
                      <a:ext cx="3388494" cy="2345312"/>
                    </a:xfrm>
                    <a:prstGeom prst="rect">
                      <a:avLst/>
                    </a:prstGeom>
                    <a:noFill/>
                    <a:ln>
                      <a:noFill/>
                    </a:ln>
                    <a:extLst>
                      <a:ext uri="{53640926-AAD7-44D8-BBD7-CCE9431645EC}">
                        <a14:shadowObscured xmlns:a14="http://schemas.microsoft.com/office/drawing/2010/main"/>
                      </a:ext>
                    </a:extLst>
                  </pic:spPr>
                </pic:pic>
              </a:graphicData>
            </a:graphic>
          </wp:inline>
        </w:drawing>
      </w:r>
    </w:p>
    <w:p w:rsidR="00FD5F83" w:rsidRDefault="00FD5F83" w:rsidP="00121C20">
      <w:pPr>
        <w:pStyle w:val="Heading5"/>
      </w:pPr>
      <w:bookmarkStart w:id="183" w:name="_Toc272414669"/>
      <w:bookmarkStart w:id="184" w:name="_Toc290846307"/>
      <w:bookmarkStart w:id="185" w:name="_Ref247357743"/>
      <w:bookmarkStart w:id="186" w:name="_Toc247598329"/>
      <w:r>
        <w:t xml:space="preserve">Liver </w:t>
      </w:r>
      <w:r w:rsidRPr="00121C20">
        <w:t>function</w:t>
      </w:r>
      <w:bookmarkEnd w:id="183"/>
      <w:bookmarkEnd w:id="184"/>
      <w:bookmarkEnd w:id="185"/>
      <w:bookmarkEnd w:id="186"/>
    </w:p>
    <w:p w:rsidR="00FD5F83" w:rsidRDefault="00FD5F83" w:rsidP="00121C20">
      <w:r>
        <w:t xml:space="preserve">In the double blind phase, the following liver function test abnormalities were more common in the </w:t>
      </w:r>
      <w:proofErr w:type="spellStart"/>
      <w:r>
        <w:t>sorafenib</w:t>
      </w:r>
      <w:proofErr w:type="spellEnd"/>
      <w:r>
        <w:t xml:space="preserve"> arm:</w:t>
      </w:r>
    </w:p>
    <w:p w:rsidR="00FD5F83" w:rsidRPr="00121C20" w:rsidRDefault="00FD5F83" w:rsidP="00121C20">
      <w:pPr>
        <w:pStyle w:val="ListBullet"/>
      </w:pPr>
      <w:r w:rsidRPr="00121C20">
        <w:lastRenderedPageBreak/>
        <w:t>ALT elevations</w:t>
      </w:r>
      <w:r w:rsidR="000F0631" w:rsidRPr="00121C20">
        <w:t>:</w:t>
      </w:r>
      <w:r w:rsidRPr="00121C20">
        <w:t xml:space="preserve"> 58.9%</w:t>
      </w:r>
      <w:r w:rsidR="00E22FDA" w:rsidRPr="00121C20">
        <w:t xml:space="preserve"> versus</w:t>
      </w:r>
      <w:r w:rsidR="00121C20" w:rsidRPr="00121C20">
        <w:t xml:space="preserve"> 24.4% </w:t>
      </w:r>
      <w:r w:rsidRPr="00121C20">
        <w:t>(</w:t>
      </w:r>
      <w:r w:rsidR="000F0631" w:rsidRPr="00121C20">
        <w:t>G</w:t>
      </w:r>
      <w:r w:rsidRPr="00121C20">
        <w:t>rade 3/4: 4.4%</w:t>
      </w:r>
      <w:r w:rsidR="00E22FDA" w:rsidRPr="00121C20">
        <w:t xml:space="preserve"> versus</w:t>
      </w:r>
      <w:r w:rsidRPr="00121C20">
        <w:t xml:space="preserve"> 0%);</w:t>
      </w:r>
    </w:p>
    <w:p w:rsidR="00FD5F83" w:rsidRPr="00121C20" w:rsidRDefault="00FD5F83" w:rsidP="00121C20">
      <w:pPr>
        <w:pStyle w:val="ListBullet"/>
      </w:pPr>
      <w:r w:rsidRPr="00121C20">
        <w:t>AST elevations</w:t>
      </w:r>
      <w:r w:rsidR="000F0631" w:rsidRPr="00121C20">
        <w:t>:</w:t>
      </w:r>
      <w:r w:rsidRPr="00121C20">
        <w:t xml:space="preserve"> 53.6%</w:t>
      </w:r>
      <w:r w:rsidR="00E22FDA" w:rsidRPr="00121C20">
        <w:t xml:space="preserve"> versus</w:t>
      </w:r>
      <w:r w:rsidRPr="00121C20">
        <w:t xml:space="preserve"> 14.8% (</w:t>
      </w:r>
      <w:r w:rsidR="000F0631" w:rsidRPr="00121C20">
        <w:t>G</w:t>
      </w:r>
      <w:r w:rsidRPr="00121C20">
        <w:t>rade 3/4: 2.0%</w:t>
      </w:r>
      <w:r w:rsidR="00E22FDA" w:rsidRPr="00121C20">
        <w:t xml:space="preserve"> versus</w:t>
      </w:r>
      <w:r w:rsidRPr="00121C20">
        <w:t xml:space="preserve"> 0%);</w:t>
      </w:r>
    </w:p>
    <w:p w:rsidR="00FD5F83" w:rsidRPr="00121C20" w:rsidRDefault="00FD5F83" w:rsidP="00121C20">
      <w:pPr>
        <w:pStyle w:val="ListBullet"/>
      </w:pPr>
      <w:r w:rsidRPr="00121C20">
        <w:t>Bilirubin elevations</w:t>
      </w:r>
      <w:r w:rsidR="000F0631" w:rsidRPr="00121C20">
        <w:t>:</w:t>
      </w:r>
      <w:r w:rsidRPr="00121C20">
        <w:t xml:space="preserve"> 8.7%</w:t>
      </w:r>
      <w:r w:rsidR="00E22FDA" w:rsidRPr="00121C20">
        <w:t xml:space="preserve"> versus</w:t>
      </w:r>
      <w:r w:rsidRPr="00121C20">
        <w:t xml:space="preserve"> 4.8% (there were no </w:t>
      </w:r>
      <w:r w:rsidR="000F0631" w:rsidRPr="00121C20">
        <w:t>G</w:t>
      </w:r>
      <w:r w:rsidRPr="00121C20">
        <w:t>rade 3 or 4 elevations);</w:t>
      </w:r>
    </w:p>
    <w:p w:rsidR="00FD5F83" w:rsidRPr="00121C20" w:rsidRDefault="00FD5F83" w:rsidP="00121C20">
      <w:pPr>
        <w:pStyle w:val="ListBullet"/>
      </w:pPr>
      <w:proofErr w:type="spellStart"/>
      <w:r w:rsidRPr="00121C20">
        <w:t>Hypoalbuminaemia</w:t>
      </w:r>
      <w:proofErr w:type="spellEnd"/>
      <w:r w:rsidR="000F0631" w:rsidRPr="00121C20">
        <w:t>:</w:t>
      </w:r>
      <w:r w:rsidRPr="00121C20">
        <w:t xml:space="preserve"> 21.3%</w:t>
      </w:r>
      <w:r w:rsidR="00E22FDA" w:rsidRPr="00121C20">
        <w:t xml:space="preserve"> versus</w:t>
      </w:r>
      <w:r w:rsidRPr="00121C20">
        <w:t xml:space="preserve"> 11.0% (</w:t>
      </w:r>
      <w:r w:rsidR="000F0631" w:rsidRPr="00121C20">
        <w:t>G</w:t>
      </w:r>
      <w:r w:rsidRPr="00121C20">
        <w:t>rade 3/4: 0.5%</w:t>
      </w:r>
      <w:r w:rsidR="00E22FDA" w:rsidRPr="00121C20">
        <w:t xml:space="preserve"> versus</w:t>
      </w:r>
      <w:r w:rsidRPr="00121C20">
        <w:t xml:space="preserve"> 0%).</w:t>
      </w:r>
    </w:p>
    <w:p w:rsidR="00FD5F83" w:rsidRDefault="00FD5F83" w:rsidP="00121C20">
      <w:r>
        <w:t xml:space="preserve">None of the subjects with abnormal LFTs fulfilled the criteria for </w:t>
      </w:r>
      <w:proofErr w:type="spellStart"/>
      <w:r>
        <w:t>Hy’s</w:t>
      </w:r>
      <w:proofErr w:type="spellEnd"/>
      <w:r>
        <w:t xml:space="preserve"> Law (predictive of severe drug-induced liver injury).</w:t>
      </w:r>
      <w:r w:rsidRPr="009A52CB">
        <w:t xml:space="preserve"> </w:t>
      </w:r>
      <w:r>
        <w:t xml:space="preserve">However, the PI for </w:t>
      </w:r>
      <w:proofErr w:type="spellStart"/>
      <w:r>
        <w:t>sorafenib</w:t>
      </w:r>
      <w:proofErr w:type="spellEnd"/>
      <w:r>
        <w:t xml:space="preserve"> already lists drug-induced hepatitis (with a life-threatening or fatal outcome) as a rare adverse event.</w:t>
      </w:r>
    </w:p>
    <w:p w:rsidR="00FD5F83" w:rsidRDefault="00FD5F83" w:rsidP="00121C20">
      <w:pPr>
        <w:pStyle w:val="Heading5"/>
      </w:pPr>
      <w:bookmarkStart w:id="187" w:name="_Toc272414670"/>
      <w:bookmarkStart w:id="188" w:name="_Toc290846308"/>
      <w:bookmarkStart w:id="189" w:name="_Toc247598330"/>
      <w:r>
        <w:t xml:space="preserve">Kidney </w:t>
      </w:r>
      <w:r w:rsidRPr="00121C20">
        <w:t>function</w:t>
      </w:r>
      <w:bookmarkEnd w:id="187"/>
      <w:bookmarkEnd w:id="188"/>
      <w:bookmarkEnd w:id="189"/>
    </w:p>
    <w:p w:rsidR="00FD5F83" w:rsidRDefault="00FD5F83" w:rsidP="00121C20">
      <w:r>
        <w:t xml:space="preserve">In the double blind phase, the following renal function test abnormalities were more common in the </w:t>
      </w:r>
      <w:proofErr w:type="spellStart"/>
      <w:r>
        <w:t>sorafenib</w:t>
      </w:r>
      <w:proofErr w:type="spellEnd"/>
      <w:r>
        <w:t xml:space="preserve"> arm:</w:t>
      </w:r>
    </w:p>
    <w:p w:rsidR="00FD5F83" w:rsidRDefault="00FD5F83" w:rsidP="00121C20">
      <w:pPr>
        <w:pStyle w:val="ListBullet"/>
      </w:pPr>
      <w:r w:rsidRPr="00121C20">
        <w:t>Creatinine</w:t>
      </w:r>
      <w:r>
        <w:t xml:space="preserve"> elevations – 6.8%</w:t>
      </w:r>
      <w:r w:rsidR="00E22FDA">
        <w:t xml:space="preserve"> versus</w:t>
      </w:r>
      <w:r w:rsidR="00CA3A80">
        <w:t xml:space="preserve"> 5.3%  (there were no G</w:t>
      </w:r>
      <w:r>
        <w:t>rade 3 or 4 elevations);</w:t>
      </w:r>
    </w:p>
    <w:p w:rsidR="00FD5F83" w:rsidRDefault="00FD5F83" w:rsidP="00121C20">
      <w:r>
        <w:t>Elevations of blood urea nitrogen were not reported.</w:t>
      </w:r>
    </w:p>
    <w:p w:rsidR="00FD5F83" w:rsidRDefault="00FD5F83" w:rsidP="00121C20">
      <w:r>
        <w:t>The currently approved Australian PI lists renal failure (and proteinuria) as common adverse drug reactions.</w:t>
      </w:r>
    </w:p>
    <w:p w:rsidR="00FD5F83" w:rsidRDefault="00FD5F83" w:rsidP="00121C20">
      <w:pPr>
        <w:pStyle w:val="Heading5"/>
      </w:pPr>
      <w:bookmarkStart w:id="190" w:name="_Toc247598331"/>
      <w:r w:rsidRPr="00121C20">
        <w:t>Pancreatic</w:t>
      </w:r>
      <w:r>
        <w:t xml:space="preserve"> enzymes</w:t>
      </w:r>
      <w:bookmarkEnd w:id="190"/>
    </w:p>
    <w:p w:rsidR="00FD5F83" w:rsidRDefault="00FD5F83" w:rsidP="00121C20">
      <w:r>
        <w:t xml:space="preserve">In the double blind phase, the following pancreatic enzyme abnormalities were more common in the </w:t>
      </w:r>
      <w:proofErr w:type="spellStart"/>
      <w:r>
        <w:t>sorafenib</w:t>
      </w:r>
      <w:proofErr w:type="spellEnd"/>
      <w:r>
        <w:t xml:space="preserve"> arm:</w:t>
      </w:r>
    </w:p>
    <w:p w:rsidR="00FD5F83" w:rsidRDefault="00FD5F83" w:rsidP="00121C20">
      <w:pPr>
        <w:pStyle w:val="ListBullet"/>
      </w:pPr>
      <w:r>
        <w:t xml:space="preserve">Amylase </w:t>
      </w:r>
      <w:r w:rsidRPr="00121C20">
        <w:t>elevations</w:t>
      </w:r>
      <w:r w:rsidR="00CA3A80">
        <w:t>:</w:t>
      </w:r>
      <w:r>
        <w:t xml:space="preserve"> 12.6%</w:t>
      </w:r>
      <w:r w:rsidR="00E22FDA">
        <w:t xml:space="preserve"> versus</w:t>
      </w:r>
      <w:r>
        <w:t xml:space="preserve"> 6.2% </w:t>
      </w:r>
      <w:r w:rsidR="00CA3A80">
        <w:t>(G</w:t>
      </w:r>
      <w:r>
        <w:t>rade 3/4: 3.8%</w:t>
      </w:r>
      <w:r w:rsidR="00E22FDA">
        <w:t xml:space="preserve"> versus</w:t>
      </w:r>
      <w:r>
        <w:t xml:space="preserve"> 1.0%);</w:t>
      </w:r>
    </w:p>
    <w:p w:rsidR="00FD5F83" w:rsidRDefault="00FD5F83" w:rsidP="00121C20">
      <w:pPr>
        <w:pStyle w:val="ListBullet"/>
      </w:pPr>
      <w:r>
        <w:t>Lipase elevations</w:t>
      </w:r>
      <w:r w:rsidR="00CA3A80">
        <w:t>:</w:t>
      </w:r>
      <w:r>
        <w:t xml:space="preserve"> 11.1%</w:t>
      </w:r>
      <w:r w:rsidR="00E22FDA">
        <w:t xml:space="preserve"> versus</w:t>
      </w:r>
      <w:r>
        <w:t xml:space="preserve"> 2.9% (</w:t>
      </w:r>
      <w:r w:rsidR="00CA3A80">
        <w:t>G</w:t>
      </w:r>
      <w:r>
        <w:t>rade 3/4: 2.4%</w:t>
      </w:r>
      <w:r w:rsidR="00E22FDA">
        <w:t xml:space="preserve"> versus</w:t>
      </w:r>
      <w:r>
        <w:t xml:space="preserve"> 0.5%).</w:t>
      </w:r>
    </w:p>
    <w:p w:rsidR="00FD5F83" w:rsidRDefault="00FD5F83" w:rsidP="00121C20">
      <w:r>
        <w:t xml:space="preserve">In the double-blind phase of the pivotal study there was one case of pancreatitis in the </w:t>
      </w:r>
      <w:proofErr w:type="spellStart"/>
      <w:r>
        <w:t>sorafenib</w:t>
      </w:r>
      <w:proofErr w:type="spellEnd"/>
      <w:r>
        <w:t xml:space="preserve"> arm and none in the placebo arm.</w:t>
      </w:r>
    </w:p>
    <w:p w:rsidR="00FD5F83" w:rsidRDefault="00FD5F83" w:rsidP="00121C20">
      <w:pPr>
        <w:pStyle w:val="Heading5"/>
      </w:pPr>
      <w:bookmarkStart w:id="191" w:name="_Toc247598332"/>
      <w:r w:rsidRPr="00121C20">
        <w:t>Hypocalcaemia</w:t>
      </w:r>
      <w:bookmarkEnd w:id="191"/>
    </w:p>
    <w:p w:rsidR="00FD5F83" w:rsidRDefault="00FD5F83" w:rsidP="00121C20">
      <w:r>
        <w:t xml:space="preserve">In the double blind phase, hypocalcaemia more common in the </w:t>
      </w:r>
      <w:proofErr w:type="spellStart"/>
      <w:r>
        <w:t>sorafenib</w:t>
      </w:r>
      <w:proofErr w:type="spellEnd"/>
      <w:r>
        <w:t xml:space="preserve"> arm:</w:t>
      </w:r>
    </w:p>
    <w:p w:rsidR="00FD5F83" w:rsidRDefault="00FD5F83" w:rsidP="00121C20">
      <w:pPr>
        <w:pStyle w:val="ListBullet"/>
      </w:pPr>
      <w:proofErr w:type="gramStart"/>
      <w:r>
        <w:t xml:space="preserve">Hypocalcaemia </w:t>
      </w:r>
      <w:r w:rsidR="00CA3A80">
        <w:t>:</w:t>
      </w:r>
      <w:r>
        <w:t>35.7</w:t>
      </w:r>
      <w:proofErr w:type="gramEnd"/>
      <w:r>
        <w:t>%</w:t>
      </w:r>
      <w:r w:rsidR="00E22FDA">
        <w:t xml:space="preserve"> </w:t>
      </w:r>
      <w:r w:rsidR="00E22FDA" w:rsidRPr="00121C20">
        <w:t>versus</w:t>
      </w:r>
      <w:r>
        <w:t xml:space="preserve"> 11.0% (</w:t>
      </w:r>
      <w:r w:rsidR="00CA3A80">
        <w:t>G</w:t>
      </w:r>
      <w:r>
        <w:t>rade 3/4: 10.2%</w:t>
      </w:r>
      <w:r w:rsidR="00E22FDA">
        <w:t xml:space="preserve"> versus</w:t>
      </w:r>
      <w:r>
        <w:t xml:space="preserve"> 2.9%).</w:t>
      </w:r>
    </w:p>
    <w:p w:rsidR="00FD5F83" w:rsidRDefault="00FD5F83" w:rsidP="00121C20">
      <w:r>
        <w:t xml:space="preserve">There was no increased incidence of </w:t>
      </w:r>
      <w:proofErr w:type="spellStart"/>
      <w:r>
        <w:t>hypercalcaemia</w:t>
      </w:r>
      <w:proofErr w:type="spellEnd"/>
      <w:r>
        <w:t>.</w:t>
      </w:r>
    </w:p>
    <w:p w:rsidR="00FD5F83" w:rsidRDefault="00FD5F83" w:rsidP="00121C20">
      <w:pPr>
        <w:pStyle w:val="Heading5"/>
      </w:pPr>
      <w:bookmarkStart w:id="192" w:name="_Toc247598333"/>
      <w:proofErr w:type="spellStart"/>
      <w:r w:rsidRPr="00121C20">
        <w:t>Hypophosphataemia</w:t>
      </w:r>
      <w:bookmarkEnd w:id="192"/>
      <w:proofErr w:type="spellEnd"/>
    </w:p>
    <w:p w:rsidR="00FD5F83" w:rsidRDefault="00FD5F83" w:rsidP="00121C20">
      <w:r>
        <w:t xml:space="preserve">In the double blind phase, </w:t>
      </w:r>
      <w:proofErr w:type="spellStart"/>
      <w:r>
        <w:t>hypophosphataemia</w:t>
      </w:r>
      <w:proofErr w:type="spellEnd"/>
      <w:r>
        <w:t xml:space="preserve"> more common in the </w:t>
      </w:r>
      <w:proofErr w:type="spellStart"/>
      <w:r>
        <w:t>sorafenib</w:t>
      </w:r>
      <w:proofErr w:type="spellEnd"/>
      <w:r>
        <w:t xml:space="preserve"> arm:</w:t>
      </w:r>
    </w:p>
    <w:p w:rsidR="00FD5F83" w:rsidRDefault="00FD5F83" w:rsidP="00121C20">
      <w:pPr>
        <w:pStyle w:val="ListBullet"/>
      </w:pPr>
      <w:proofErr w:type="spellStart"/>
      <w:r>
        <w:t>Hypophosphataemia</w:t>
      </w:r>
      <w:proofErr w:type="spellEnd"/>
      <w:r w:rsidR="00CA3A80">
        <w:t>:</w:t>
      </w:r>
      <w:r>
        <w:t xml:space="preserve"> 19.3%</w:t>
      </w:r>
      <w:r w:rsidR="00E22FDA">
        <w:t xml:space="preserve"> versus</w:t>
      </w:r>
      <w:r>
        <w:t xml:space="preserve"> 2.4% (</w:t>
      </w:r>
      <w:r w:rsidR="00CA3A80">
        <w:t>G</w:t>
      </w:r>
      <w:r>
        <w:t>rade 3/4: 12.6%</w:t>
      </w:r>
      <w:r w:rsidR="00E22FDA">
        <w:t xml:space="preserve"> versus</w:t>
      </w:r>
      <w:r>
        <w:t xml:space="preserve"> 1.4%).</w:t>
      </w:r>
    </w:p>
    <w:p w:rsidR="00FD5F83" w:rsidRDefault="00FD5F83" w:rsidP="00121C20">
      <w:pPr>
        <w:pStyle w:val="Heading5"/>
      </w:pPr>
      <w:bookmarkStart w:id="193" w:name="_Toc247598334"/>
      <w:r>
        <w:t xml:space="preserve">Thyroid </w:t>
      </w:r>
      <w:r w:rsidRPr="00121C20">
        <w:t>function</w:t>
      </w:r>
      <w:bookmarkEnd w:id="193"/>
    </w:p>
    <w:p w:rsidR="00FD5F83" w:rsidRDefault="00FD5F83" w:rsidP="00121C20">
      <w:r>
        <w:t>Subjects entered into the study were required to have been TSH</w:t>
      </w:r>
      <w:r w:rsidR="00CA3A80">
        <w:t xml:space="preserve"> </w:t>
      </w:r>
      <w:r>
        <w:t xml:space="preserve">suppressed </w:t>
      </w:r>
      <w:r w:rsidRPr="0032281B">
        <w:t>(</w:t>
      </w:r>
      <w:r>
        <w:t xml:space="preserve">TSH </w:t>
      </w:r>
      <w:r w:rsidRPr="0032281B">
        <w:t xml:space="preserve">&lt; 0.5 </w:t>
      </w:r>
      <w:proofErr w:type="spellStart"/>
      <w:r w:rsidRPr="0032281B">
        <w:t>mU</w:t>
      </w:r>
      <w:proofErr w:type="spellEnd"/>
      <w:r w:rsidRPr="0032281B">
        <w:t>/L</w:t>
      </w:r>
      <w:r>
        <w:t xml:space="preserve">; normal range: </w:t>
      </w:r>
      <w:proofErr w:type="gramStart"/>
      <w:r>
        <w:t xml:space="preserve">0.4 </w:t>
      </w:r>
      <w:r w:rsidR="00CA4282">
        <w:t xml:space="preserve">to </w:t>
      </w:r>
      <w:r>
        <w:t xml:space="preserve">5.0 </w:t>
      </w:r>
      <w:proofErr w:type="spellStart"/>
      <w:r>
        <w:t>mU</w:t>
      </w:r>
      <w:proofErr w:type="spellEnd"/>
      <w:r>
        <w:t>/L</w:t>
      </w:r>
      <w:proofErr w:type="gramEnd"/>
      <w:r w:rsidRPr="0032281B">
        <w:t>)</w:t>
      </w:r>
      <w:r>
        <w:t xml:space="preserve">. Elevations of TSH </w:t>
      </w:r>
      <w:proofErr w:type="gramStart"/>
      <w:r>
        <w:t xml:space="preserve">above 0.5 </w:t>
      </w:r>
      <w:proofErr w:type="spellStart"/>
      <w:r>
        <w:t>mU</w:t>
      </w:r>
      <w:proofErr w:type="spellEnd"/>
      <w:r>
        <w:t>/L</w:t>
      </w:r>
      <w:proofErr w:type="gramEnd"/>
      <w:r>
        <w:t xml:space="preserve"> were therefore considered to be adverse events and managed as </w:t>
      </w:r>
      <w:r w:rsidR="00CA4282">
        <w:t>shown in Table</w:t>
      </w:r>
      <w:r w:rsidR="006D5221">
        <w:t xml:space="preserve"> 26</w:t>
      </w:r>
      <w:r w:rsidR="00CA4282">
        <w:t>.</w:t>
      </w:r>
    </w:p>
    <w:p w:rsidR="00CA4282" w:rsidRDefault="00CA4282" w:rsidP="00121C20">
      <w:pPr>
        <w:pStyle w:val="TableTitle"/>
      </w:pPr>
      <w:proofErr w:type="gramStart"/>
      <w:r>
        <w:t xml:space="preserve">Table </w:t>
      </w:r>
      <w:r w:rsidR="006D5221">
        <w:t>26.</w:t>
      </w:r>
      <w:proofErr w:type="gramEnd"/>
      <w:r w:rsidR="006D5221">
        <w:t xml:space="preserve"> </w:t>
      </w:r>
      <w:r>
        <w:t xml:space="preserve">Management of elevated TSH </w:t>
      </w:r>
      <w:r w:rsidRPr="00121C20">
        <w:t>levels</w:t>
      </w:r>
    </w:p>
    <w:p w:rsidR="006D5221" w:rsidRDefault="00FD5F83" w:rsidP="00121C20">
      <w:r>
        <w:rPr>
          <w:noProof/>
          <w:lang w:eastAsia="en-AU"/>
        </w:rPr>
        <w:drawing>
          <wp:inline distT="0" distB="0" distL="0" distR="0" wp14:anchorId="68C2A06F" wp14:editId="0D91A78E">
            <wp:extent cx="3133969" cy="1029358"/>
            <wp:effectExtent l="0" t="0" r="9525" b="0"/>
            <wp:docPr id="33" name="Picture 1" descr="Table 26. Management of elevated TSH levels" title="Table 26. Management of elevated TSH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b="4655"/>
                    <a:stretch/>
                  </pic:blipFill>
                  <pic:spPr bwMode="auto">
                    <a:xfrm>
                      <a:off x="0" y="0"/>
                      <a:ext cx="3133969" cy="1029358"/>
                    </a:xfrm>
                    <a:prstGeom prst="rect">
                      <a:avLst/>
                    </a:prstGeom>
                    <a:noFill/>
                    <a:ln>
                      <a:noFill/>
                    </a:ln>
                    <a:extLst>
                      <a:ext uri="{53640926-AAD7-44D8-BBD7-CCE9431645EC}">
                        <a14:shadowObscured xmlns:a14="http://schemas.microsoft.com/office/drawing/2010/main"/>
                      </a:ext>
                    </a:extLst>
                  </pic:spPr>
                </pic:pic>
              </a:graphicData>
            </a:graphic>
          </wp:inline>
        </w:drawing>
      </w:r>
    </w:p>
    <w:p w:rsidR="00FD5F83" w:rsidRDefault="00FD5F83" w:rsidP="00121C20">
      <w:r>
        <w:t xml:space="preserve">In the double blind phase of the study, increases in TSH (reported as AEs) were more common in the </w:t>
      </w:r>
      <w:proofErr w:type="spellStart"/>
      <w:r>
        <w:t>sorafenib</w:t>
      </w:r>
      <w:proofErr w:type="spellEnd"/>
      <w:r>
        <w:t xml:space="preserve"> arm (33.3%</w:t>
      </w:r>
      <w:r w:rsidR="00E22FDA">
        <w:t xml:space="preserve"> versus</w:t>
      </w:r>
      <w:r>
        <w:t xml:space="preserve"> 13.4%). Elevations in free T4 and total T3, reported as </w:t>
      </w:r>
      <w:r>
        <w:lastRenderedPageBreak/>
        <w:t xml:space="preserve">laboratory abnormalities, were also more common in the </w:t>
      </w:r>
      <w:proofErr w:type="spellStart"/>
      <w:r>
        <w:t>sorafenib</w:t>
      </w:r>
      <w:proofErr w:type="spellEnd"/>
      <w:r>
        <w:t xml:space="preserve"> arm</w:t>
      </w:r>
      <w:r w:rsidR="00CA4282">
        <w:t>;</w:t>
      </w:r>
      <w:r>
        <w:t xml:space="preserve"> 86.7%</w:t>
      </w:r>
      <w:r w:rsidR="00E22FDA">
        <w:t xml:space="preserve"> versus</w:t>
      </w:r>
      <w:r>
        <w:t xml:space="preserve"> 70.6% and 8.3%</w:t>
      </w:r>
      <w:r w:rsidR="00E22FDA">
        <w:t xml:space="preserve"> versus</w:t>
      </w:r>
      <w:r>
        <w:t xml:space="preserve"> 5.2% respectively.</w:t>
      </w:r>
    </w:p>
    <w:p w:rsidR="00FD5F83" w:rsidRDefault="00FD5F83" w:rsidP="00121C20">
      <w:r>
        <w:t xml:space="preserve">The incidence of elevated thyroglobulin levels was lower in the </w:t>
      </w:r>
      <w:proofErr w:type="spellStart"/>
      <w:r>
        <w:t>sorafenib</w:t>
      </w:r>
      <w:proofErr w:type="spellEnd"/>
      <w:r>
        <w:t xml:space="preserve"> arm (9.5%</w:t>
      </w:r>
      <w:r w:rsidR="00E22FDA">
        <w:t xml:space="preserve"> versus</w:t>
      </w:r>
      <w:r>
        <w:t xml:space="preserve"> 26.2%), a finding that would be consistent with an </w:t>
      </w:r>
      <w:proofErr w:type="spellStart"/>
      <w:r>
        <w:t>antitumour</w:t>
      </w:r>
      <w:proofErr w:type="spellEnd"/>
      <w:r>
        <w:t xml:space="preserve"> effect. There were no anti-thyroglobulin antibodies reported.</w:t>
      </w:r>
    </w:p>
    <w:p w:rsidR="00FD5F83" w:rsidRDefault="00FD5F83" w:rsidP="00121C20">
      <w:pPr>
        <w:pStyle w:val="Heading5"/>
      </w:pPr>
      <w:bookmarkStart w:id="194" w:name="_Toc272414671"/>
      <w:bookmarkStart w:id="195" w:name="_Toc290846309"/>
      <w:bookmarkStart w:id="196" w:name="_Toc247598335"/>
      <w:r>
        <w:t xml:space="preserve">Other </w:t>
      </w:r>
      <w:r w:rsidRPr="00121C20">
        <w:t>clinical</w:t>
      </w:r>
      <w:r>
        <w:t xml:space="preserve"> chemistry</w:t>
      </w:r>
      <w:bookmarkEnd w:id="194"/>
      <w:bookmarkEnd w:id="195"/>
      <w:bookmarkEnd w:id="196"/>
    </w:p>
    <w:p w:rsidR="00FD5F83" w:rsidRDefault="00FD5F83" w:rsidP="00121C20">
      <w:r>
        <w:t xml:space="preserve">In the double blind phase, the following were more common in the </w:t>
      </w:r>
      <w:proofErr w:type="spellStart"/>
      <w:r>
        <w:t>sorafenib</w:t>
      </w:r>
      <w:proofErr w:type="spellEnd"/>
      <w:r>
        <w:t xml:space="preserve"> arm:</w:t>
      </w:r>
    </w:p>
    <w:p w:rsidR="00FD5F83" w:rsidRDefault="00FD5F83" w:rsidP="00121C20">
      <w:pPr>
        <w:pStyle w:val="ListBullet"/>
      </w:pPr>
      <w:r>
        <w:t>Hypokalaemia</w:t>
      </w:r>
      <w:r w:rsidR="00CA4282">
        <w:t>:</w:t>
      </w:r>
      <w:r>
        <w:t xml:space="preserve"> 17.9%</w:t>
      </w:r>
      <w:r w:rsidR="00E22FDA">
        <w:t xml:space="preserve"> versus</w:t>
      </w:r>
      <w:r>
        <w:t xml:space="preserve"> 2.4% (</w:t>
      </w:r>
      <w:r w:rsidR="00CA4282">
        <w:t>Grade 3/4</w:t>
      </w:r>
      <w:r>
        <w:t>: 1.9%</w:t>
      </w:r>
      <w:r w:rsidR="00E22FDA">
        <w:t xml:space="preserve"> versus</w:t>
      </w:r>
      <w:r>
        <w:t xml:space="preserve"> 0%);</w:t>
      </w:r>
    </w:p>
    <w:p w:rsidR="00FD5F83" w:rsidRDefault="00FD5F83" w:rsidP="00121C20">
      <w:pPr>
        <w:pStyle w:val="ListBullet"/>
      </w:pPr>
      <w:proofErr w:type="spellStart"/>
      <w:r>
        <w:t>Hyponatraemia</w:t>
      </w:r>
      <w:proofErr w:type="spellEnd"/>
      <w:r w:rsidR="00CA4282">
        <w:t>:</w:t>
      </w:r>
      <w:r>
        <w:t xml:space="preserve"> 11.1%</w:t>
      </w:r>
      <w:r w:rsidR="00E22FDA">
        <w:t xml:space="preserve"> versus</w:t>
      </w:r>
      <w:r>
        <w:t xml:space="preserve"> 1.9% (</w:t>
      </w:r>
      <w:r w:rsidR="00CA4282">
        <w:t>Grade 3/4</w:t>
      </w:r>
      <w:r>
        <w:t>: 2.9%</w:t>
      </w:r>
      <w:r w:rsidR="00E22FDA">
        <w:t xml:space="preserve"> versus</w:t>
      </w:r>
      <w:r>
        <w:t xml:space="preserve"> 0.5%).</w:t>
      </w:r>
    </w:p>
    <w:p w:rsidR="00FD5F83" w:rsidRDefault="00FD5F83" w:rsidP="00121C20">
      <w:pPr>
        <w:pStyle w:val="Heading5"/>
      </w:pPr>
      <w:bookmarkStart w:id="197" w:name="_Toc272414672"/>
      <w:bookmarkStart w:id="198" w:name="_Toc290846310"/>
      <w:bookmarkStart w:id="199" w:name="_Ref247360484"/>
      <w:bookmarkStart w:id="200" w:name="_Toc247598336"/>
      <w:r w:rsidRPr="00121C20">
        <w:t>Haematology</w:t>
      </w:r>
      <w:bookmarkEnd w:id="197"/>
      <w:bookmarkEnd w:id="198"/>
      <w:bookmarkEnd w:id="199"/>
      <w:bookmarkEnd w:id="200"/>
    </w:p>
    <w:p w:rsidR="00FD5F83" w:rsidRDefault="00FD5F83" w:rsidP="00121C20">
      <w:r>
        <w:t xml:space="preserve">In the double-blind phase, haematological abnormalities were more common in the </w:t>
      </w:r>
      <w:proofErr w:type="spellStart"/>
      <w:r>
        <w:t>sorafenib</w:t>
      </w:r>
      <w:proofErr w:type="spellEnd"/>
      <w:r>
        <w:t xml:space="preserve"> </w:t>
      </w:r>
      <w:r w:rsidRPr="006D5221">
        <w:t>arm (</w:t>
      </w:r>
      <w:r w:rsidRPr="006D5221">
        <w:fldChar w:fldCharType="begin"/>
      </w:r>
      <w:r w:rsidRPr="006D5221">
        <w:instrText xml:space="preserve"> REF _Ref247351188 \h </w:instrText>
      </w:r>
      <w:r w:rsidR="00CA4282" w:rsidRPr="006D5221">
        <w:instrText xml:space="preserve"> \* MERGEFORMAT </w:instrText>
      </w:r>
      <w:r w:rsidRPr="006D5221">
        <w:fldChar w:fldCharType="separate"/>
      </w:r>
      <w:r w:rsidR="00E42429">
        <w:t xml:space="preserve">Table </w:t>
      </w:r>
      <w:r w:rsidRPr="006D5221">
        <w:fldChar w:fldCharType="end"/>
      </w:r>
      <w:r w:rsidR="006D5221" w:rsidRPr="006D5221">
        <w:t>25</w:t>
      </w:r>
      <w:r w:rsidRPr="006D5221">
        <w:t>).</w:t>
      </w:r>
      <w:r>
        <w:t xml:space="preserve"> This may have been due in part to the longer duration of double-blind treatment in this group. Grade 3 or 4</w:t>
      </w:r>
      <w:r w:rsidRPr="00324393">
        <w:t xml:space="preserve"> </w:t>
      </w:r>
      <w:r>
        <w:t xml:space="preserve">abnormalities were only marginally more common. </w:t>
      </w:r>
      <w:proofErr w:type="spellStart"/>
      <w:r>
        <w:t>Cytopaenias</w:t>
      </w:r>
      <w:proofErr w:type="spellEnd"/>
      <w:r>
        <w:t xml:space="preserve"> are listed in the current PI as being common adverse drug reactions with </w:t>
      </w:r>
      <w:proofErr w:type="spellStart"/>
      <w:r>
        <w:t>sorafenib</w:t>
      </w:r>
      <w:proofErr w:type="spellEnd"/>
      <w:r>
        <w:t>.</w:t>
      </w:r>
    </w:p>
    <w:p w:rsidR="00FD5F83" w:rsidRPr="00872461" w:rsidRDefault="00FD5F83" w:rsidP="00121C20">
      <w:pPr>
        <w:pStyle w:val="Heading5"/>
      </w:pPr>
      <w:bookmarkStart w:id="201" w:name="_Toc247598337"/>
      <w:r w:rsidRPr="00121C20">
        <w:t>Coagulation</w:t>
      </w:r>
      <w:r>
        <w:t xml:space="preserve"> parameters</w:t>
      </w:r>
      <w:bookmarkEnd w:id="201"/>
    </w:p>
    <w:p w:rsidR="00FD5F83" w:rsidRDefault="00FD5F83" w:rsidP="00121C20">
      <w:r>
        <w:t xml:space="preserve">There was no increased incidence of elevations in </w:t>
      </w:r>
      <w:proofErr w:type="spellStart"/>
      <w:r>
        <w:t>aPPT</w:t>
      </w:r>
      <w:proofErr w:type="spellEnd"/>
      <w:r>
        <w:t xml:space="preserve">, PT or INR in the </w:t>
      </w:r>
      <w:proofErr w:type="spellStart"/>
      <w:r>
        <w:t>sorafenib</w:t>
      </w:r>
      <w:proofErr w:type="spellEnd"/>
      <w:r>
        <w:t xml:space="preserve"> group during the double blind phase.</w:t>
      </w:r>
    </w:p>
    <w:p w:rsidR="00FD5F83" w:rsidRDefault="00FD5F83" w:rsidP="00121C20">
      <w:pPr>
        <w:pStyle w:val="Heading5"/>
      </w:pPr>
      <w:bookmarkStart w:id="202" w:name="_Toc247598338"/>
      <w:r w:rsidRPr="00121C20">
        <w:t>Urinalysis</w:t>
      </w:r>
      <w:bookmarkEnd w:id="202"/>
    </w:p>
    <w:p w:rsidR="00FD5F83" w:rsidRDefault="00FD5F83" w:rsidP="00121C20">
      <w:r>
        <w:t>Although urine dipstick testing was conducted throughout the study, the report did not include any data on results.</w:t>
      </w:r>
    </w:p>
    <w:p w:rsidR="00FD5F83" w:rsidRDefault="00FD5F83" w:rsidP="00121C20">
      <w:pPr>
        <w:ind w:left="567"/>
      </w:pPr>
      <w:r>
        <w:t>Comment:</w:t>
      </w:r>
      <w:r w:rsidR="00CA4282">
        <w:t xml:space="preserve"> </w:t>
      </w:r>
      <w:r>
        <w:t xml:space="preserve">Laboratory testing abnormalities observed in the pivotal study were generally consistent with those previously described for </w:t>
      </w:r>
      <w:proofErr w:type="spellStart"/>
      <w:r>
        <w:t>sorafenib</w:t>
      </w:r>
      <w:proofErr w:type="spellEnd"/>
      <w:r>
        <w:t xml:space="preserve">. Hypocalcaemia appears to be a new AE. It was very common (incidence of 35.7%) and potentially clinically significant (incidence of </w:t>
      </w:r>
      <w:r w:rsidR="00CA4282">
        <w:t>Grade 3/4</w:t>
      </w:r>
      <w:r>
        <w:t xml:space="preserve"> events of 10.2%).</w:t>
      </w:r>
    </w:p>
    <w:p w:rsidR="00FD5F83" w:rsidRDefault="00FD5F83" w:rsidP="00121C20">
      <w:pPr>
        <w:ind w:left="567"/>
      </w:pPr>
      <w:r>
        <w:t xml:space="preserve">The observation of an increased incidence of elevated TSH levels with </w:t>
      </w:r>
      <w:proofErr w:type="spellStart"/>
      <w:r>
        <w:t>sorafenib</w:t>
      </w:r>
      <w:proofErr w:type="spellEnd"/>
      <w:r>
        <w:t xml:space="preserve"> is important for this population who require TSH suppression as part of ongoing management.</w:t>
      </w:r>
    </w:p>
    <w:p w:rsidR="00FD5F83" w:rsidRPr="004C2515" w:rsidRDefault="00FD5F83" w:rsidP="00121C20">
      <w:pPr>
        <w:ind w:left="567"/>
      </w:pPr>
      <w:r>
        <w:t xml:space="preserve">The sponsor has added statements to the </w:t>
      </w:r>
      <w:proofErr w:type="spellStart"/>
      <w:r>
        <w:t>sorafenib</w:t>
      </w:r>
      <w:proofErr w:type="spellEnd"/>
      <w:r>
        <w:t xml:space="preserve"> PI addressing these two issues.</w:t>
      </w:r>
    </w:p>
    <w:p w:rsidR="00FD5F83" w:rsidRPr="007F491A" w:rsidRDefault="00FD5F83" w:rsidP="00121C20">
      <w:pPr>
        <w:pStyle w:val="Heading4"/>
      </w:pPr>
      <w:bookmarkStart w:id="203" w:name="_Toc272414676"/>
      <w:bookmarkStart w:id="204" w:name="_Toc290846314"/>
      <w:bookmarkStart w:id="205" w:name="_Toc247598339"/>
      <w:r w:rsidRPr="00121C20">
        <w:t>Vital</w:t>
      </w:r>
      <w:r w:rsidRPr="007F491A">
        <w:t xml:space="preserve"> signs</w:t>
      </w:r>
      <w:bookmarkEnd w:id="203"/>
      <w:bookmarkEnd w:id="204"/>
      <w:bookmarkEnd w:id="205"/>
    </w:p>
    <w:p w:rsidR="00FD5F83" w:rsidRDefault="00FD5F83" w:rsidP="00121C20">
      <w:r>
        <w:t xml:space="preserve">As noted above, the incidence of hypertension was significantly increased in the </w:t>
      </w:r>
      <w:proofErr w:type="spellStart"/>
      <w:r>
        <w:t>sorafenib</w:t>
      </w:r>
      <w:proofErr w:type="spellEnd"/>
      <w:r>
        <w:t xml:space="preserve"> arm of the study. No other notable changes to vital signs were observed.</w:t>
      </w:r>
    </w:p>
    <w:p w:rsidR="00FD5F83" w:rsidRPr="00744344" w:rsidRDefault="00FD5F83" w:rsidP="00121C20">
      <w:pPr>
        <w:pStyle w:val="Heading4"/>
      </w:pPr>
      <w:bookmarkStart w:id="206" w:name="_Toc247598340"/>
      <w:r w:rsidRPr="00744344">
        <w:t xml:space="preserve">Comparative adverse </w:t>
      </w:r>
      <w:r w:rsidRPr="00121C20">
        <w:t>event</w:t>
      </w:r>
      <w:r w:rsidRPr="00744344">
        <w:t xml:space="preserve"> rates</w:t>
      </w:r>
      <w:bookmarkEnd w:id="206"/>
    </w:p>
    <w:p w:rsidR="00FD5F83" w:rsidRDefault="00FD5F83" w:rsidP="00121C20">
      <w:r>
        <w:t xml:space="preserve">In the </w:t>
      </w:r>
      <w:r w:rsidR="00CA4282">
        <w:t>sponsor’s S</w:t>
      </w:r>
      <w:r>
        <w:t>ummary of clinical safety, the sponsor presented a comparison of AE rates observed in the pivotal study with those observed in the previous pivotal studies in renal cell carcinoma (RCC) and hepatocellular carcinoma (</w:t>
      </w:r>
      <w:r w:rsidRPr="006D5221">
        <w:t xml:space="preserve">HCC) </w:t>
      </w:r>
      <w:r w:rsidR="006D5221" w:rsidRPr="006D5221">
        <w:t>(</w:t>
      </w:r>
      <w:r w:rsidRPr="006D5221">
        <w:t xml:space="preserve">see </w:t>
      </w:r>
      <w:r w:rsidR="0058415A">
        <w:t>Table 27</w:t>
      </w:r>
      <w:r w:rsidR="006D5221" w:rsidRPr="006D5221">
        <w:t>)</w:t>
      </w:r>
      <w:r w:rsidRPr="006D5221">
        <w:t>. Although</w:t>
      </w:r>
      <w:r>
        <w:t xml:space="preserve"> not a consistent finding across all AE terms, there was a suggestion that AE rates were higher in DTC patients than in other indications. This was particularly noticeable for hand-foot syndrome, alopecia, hypocalcaemia and diarrhoea. AST and ALT elevations were much more common than in RCC.</w:t>
      </w:r>
    </w:p>
    <w:p w:rsidR="00FD5F83" w:rsidRDefault="00FD5F83" w:rsidP="00121C20">
      <w:r>
        <w:t>The sponsor has added a statement to the ‘Adverse Reactions’ section of the PI outlining this finding.</w:t>
      </w:r>
    </w:p>
    <w:p w:rsidR="006D5221" w:rsidRDefault="00FD5F83" w:rsidP="00121C20">
      <w:pPr>
        <w:ind w:left="567"/>
      </w:pPr>
      <w:r>
        <w:t>Comment:</w:t>
      </w:r>
      <w:r w:rsidR="00CA4282">
        <w:t xml:space="preserve"> </w:t>
      </w:r>
      <w:r>
        <w:t xml:space="preserve">An increased incidence of adverse events in DTC subjects would be consistent </w:t>
      </w:r>
      <w:r w:rsidRPr="006D5221">
        <w:t xml:space="preserve">with the finding of increased systemic exposure to </w:t>
      </w:r>
      <w:proofErr w:type="spellStart"/>
      <w:r w:rsidRPr="006D5221">
        <w:t>sorafenib</w:t>
      </w:r>
      <w:proofErr w:type="spellEnd"/>
      <w:r w:rsidRPr="006D5221">
        <w:t xml:space="preserve"> in this population (see </w:t>
      </w:r>
      <w:r w:rsidR="008E1A61">
        <w:t>Table</w:t>
      </w:r>
      <w:r w:rsidR="007B32FA">
        <w:t xml:space="preserve"> 27</w:t>
      </w:r>
      <w:r w:rsidRPr="006D5221">
        <w:t xml:space="preserve">). In retrospect, a lower starting dose may have been appropriate for the pivotal </w:t>
      </w:r>
      <w:r w:rsidRPr="006D5221">
        <w:lastRenderedPageBreak/>
        <w:t>study. However</w:t>
      </w:r>
      <w:r>
        <w:t>, there is no data to support efficacy of a lower starting dose and toxicities were manageable in most patients with dose interruptions or dose reductions.</w:t>
      </w:r>
    </w:p>
    <w:p w:rsidR="006D5221" w:rsidRDefault="006D5221" w:rsidP="00121C20">
      <w:pPr>
        <w:pStyle w:val="TableTitle"/>
      </w:pPr>
      <w:bookmarkStart w:id="207" w:name="_Ref247359498"/>
      <w:bookmarkStart w:id="208" w:name="_Toc247598411"/>
      <w:proofErr w:type="gramStart"/>
      <w:r>
        <w:t xml:space="preserve">Table </w:t>
      </w:r>
      <w:bookmarkEnd w:id="207"/>
      <w:r>
        <w:t>27.</w:t>
      </w:r>
      <w:proofErr w:type="gramEnd"/>
      <w:r>
        <w:t xml:space="preserve"> </w:t>
      </w:r>
      <w:r w:rsidRPr="00121C20">
        <w:t>Adverse</w:t>
      </w:r>
      <w:r>
        <w:t xml:space="preserve"> event rates in different indications</w:t>
      </w:r>
      <w:bookmarkEnd w:id="208"/>
    </w:p>
    <w:p w:rsidR="006D5221" w:rsidRDefault="006D5221" w:rsidP="00121C20">
      <w:r>
        <w:rPr>
          <w:noProof/>
          <w:lang w:eastAsia="en-AU"/>
        </w:rPr>
        <w:drawing>
          <wp:inline distT="0" distB="0" distL="0" distR="0" wp14:anchorId="27D5B546" wp14:editId="4C980B3B">
            <wp:extent cx="4117260" cy="4994031"/>
            <wp:effectExtent l="0" t="0" r="0" b="0"/>
            <wp:docPr id="39" name="Picture 2" descr="Table 27. Adverse event rates in different indications" title="Table 27. Adverse event rates in different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38031" cy="5019226"/>
                    </a:xfrm>
                    <a:prstGeom prst="rect">
                      <a:avLst/>
                    </a:prstGeom>
                    <a:noFill/>
                    <a:ln>
                      <a:noFill/>
                    </a:ln>
                  </pic:spPr>
                </pic:pic>
              </a:graphicData>
            </a:graphic>
          </wp:inline>
        </w:drawing>
      </w:r>
    </w:p>
    <w:p w:rsidR="00FD5F83" w:rsidRDefault="00FD5F83" w:rsidP="00121C20">
      <w:pPr>
        <w:pStyle w:val="Heading3"/>
      </w:pPr>
      <w:bookmarkStart w:id="209" w:name="_Toc247598341"/>
      <w:bookmarkStart w:id="210" w:name="_Toc396729352"/>
      <w:r>
        <w:t xml:space="preserve">Supportive </w:t>
      </w:r>
      <w:r w:rsidR="00121C20" w:rsidRPr="00121C20">
        <w:t>p</w:t>
      </w:r>
      <w:r w:rsidR="000C18FC" w:rsidRPr="00121C20">
        <w:t>hase</w:t>
      </w:r>
      <w:r w:rsidR="000C18FC">
        <w:t xml:space="preserve"> II</w:t>
      </w:r>
      <w:r>
        <w:t xml:space="preserve"> studies</w:t>
      </w:r>
      <w:bookmarkEnd w:id="209"/>
      <w:bookmarkEnd w:id="210"/>
    </w:p>
    <w:p w:rsidR="00FD5F83" w:rsidRDefault="00FD5F83" w:rsidP="00121C20">
      <w:r>
        <w:t>The five published studies included in the submission provided the following safety data.</w:t>
      </w:r>
    </w:p>
    <w:p w:rsidR="00FD5F83" w:rsidRPr="00FD188D" w:rsidRDefault="00FD5F83" w:rsidP="00121C20">
      <w:pPr>
        <w:pStyle w:val="Heading4"/>
      </w:pPr>
      <w:r w:rsidRPr="00121C20">
        <w:t>Ahmed</w:t>
      </w:r>
      <w:r w:rsidRPr="00FD188D">
        <w:t xml:space="preserve"> </w:t>
      </w:r>
      <w:r>
        <w:t>(2011)</w:t>
      </w:r>
    </w:p>
    <w:p w:rsidR="00FD5F83" w:rsidRDefault="00FD5F83" w:rsidP="00121C20">
      <w:r w:rsidRPr="006B5A7C">
        <w:t xml:space="preserve">This trial enrolled 34 subjects (19) with DTC). Adverse events (incidence &gt; 5%) are summarised in </w:t>
      </w:r>
      <w:r w:rsidR="0058415A">
        <w:t>Table 28</w:t>
      </w:r>
      <w:r w:rsidRPr="006B5A7C">
        <w:t>, and laboratory abnormalities (incidence &gt; 5%) are summarised in</w:t>
      </w:r>
      <w:r w:rsidR="0058415A">
        <w:t xml:space="preserve"> Table 29</w:t>
      </w:r>
      <w:r w:rsidRPr="006B5A7C">
        <w:t>.</w:t>
      </w:r>
    </w:p>
    <w:p w:rsidR="006B5A7C" w:rsidRDefault="006B5A7C" w:rsidP="00121C20">
      <w:pPr>
        <w:pStyle w:val="TableTitle"/>
      </w:pPr>
      <w:bookmarkStart w:id="211" w:name="_Ref247433685"/>
      <w:bookmarkStart w:id="212" w:name="_Toc247598412"/>
      <w:proofErr w:type="gramStart"/>
      <w:r>
        <w:lastRenderedPageBreak/>
        <w:t xml:space="preserve">Table </w:t>
      </w:r>
      <w:bookmarkEnd w:id="211"/>
      <w:r>
        <w:t>28.</w:t>
      </w:r>
      <w:proofErr w:type="gramEnd"/>
      <w:r>
        <w:t xml:space="preserve"> Ahmed (2011) Phase II </w:t>
      </w:r>
      <w:proofErr w:type="gramStart"/>
      <w:r>
        <w:t>study  AEs</w:t>
      </w:r>
      <w:proofErr w:type="gramEnd"/>
      <w:r>
        <w:t xml:space="preserve"> with a frequency &gt; 5%.</w:t>
      </w:r>
      <w:bookmarkEnd w:id="212"/>
    </w:p>
    <w:p w:rsidR="006B5A7C" w:rsidRDefault="006B5A7C" w:rsidP="00121C20">
      <w:r>
        <w:rPr>
          <w:noProof/>
          <w:lang w:eastAsia="en-AU"/>
        </w:rPr>
        <w:drawing>
          <wp:inline distT="0" distB="0" distL="0" distR="0" wp14:anchorId="7FF3B73D" wp14:editId="43C99313">
            <wp:extent cx="4517292" cy="7704298"/>
            <wp:effectExtent l="0" t="0" r="0" b="0"/>
            <wp:docPr id="30" name="Picture 30" descr="Table 28. Ahmed (2011) Phase II study  AEs with a frequency &gt; 5%." title="Table 28. Ahmed (2011) Phase II study  AEs with a frequency &g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4620" t="-22" b="22"/>
                    <a:stretch/>
                  </pic:blipFill>
                  <pic:spPr bwMode="auto">
                    <a:xfrm>
                      <a:off x="0" y="0"/>
                      <a:ext cx="4520997" cy="7710616"/>
                    </a:xfrm>
                    <a:prstGeom prst="rect">
                      <a:avLst/>
                    </a:prstGeom>
                    <a:ln>
                      <a:noFill/>
                    </a:ln>
                    <a:extLst>
                      <a:ext uri="{53640926-AAD7-44D8-BBD7-CCE9431645EC}">
                        <a14:shadowObscured xmlns:a14="http://schemas.microsoft.com/office/drawing/2010/main"/>
                      </a:ext>
                    </a:extLst>
                  </pic:spPr>
                </pic:pic>
              </a:graphicData>
            </a:graphic>
          </wp:inline>
        </w:drawing>
      </w:r>
    </w:p>
    <w:p w:rsidR="006B5A7C" w:rsidRDefault="006B5A7C" w:rsidP="00B52D84">
      <w:pPr>
        <w:pStyle w:val="TableTitle"/>
      </w:pPr>
      <w:bookmarkStart w:id="213" w:name="_Ref247433749"/>
      <w:bookmarkStart w:id="214" w:name="_Toc247598413"/>
      <w:proofErr w:type="gramStart"/>
      <w:r>
        <w:lastRenderedPageBreak/>
        <w:t xml:space="preserve">Table </w:t>
      </w:r>
      <w:bookmarkEnd w:id="213"/>
      <w:r>
        <w:t>29.</w:t>
      </w:r>
      <w:proofErr w:type="gramEnd"/>
      <w:r>
        <w:t xml:space="preserve"> Ahmed (2011) Phase II </w:t>
      </w:r>
      <w:proofErr w:type="gramStart"/>
      <w:r w:rsidRPr="00B52D84">
        <w:t>study</w:t>
      </w:r>
      <w:r>
        <w:t xml:space="preserve">  Laboratory</w:t>
      </w:r>
      <w:proofErr w:type="gramEnd"/>
      <w:r>
        <w:t xml:space="preserve"> abnormalities with a frequency &gt; 5%.</w:t>
      </w:r>
      <w:bookmarkEnd w:id="214"/>
    </w:p>
    <w:p w:rsidR="006B5A7C" w:rsidRDefault="006B5A7C" w:rsidP="00B52D84">
      <w:r>
        <w:rPr>
          <w:noProof/>
          <w:lang w:eastAsia="en-AU"/>
        </w:rPr>
        <w:drawing>
          <wp:inline distT="0" distB="0" distL="0" distR="0" wp14:anchorId="271C19BE" wp14:editId="7C145FB1">
            <wp:extent cx="4527326" cy="2899508"/>
            <wp:effectExtent l="0" t="0" r="6985" b="0"/>
            <wp:docPr id="31" name="Picture 31" descr="Table 29. Ahmed (2011) Phase II study  Laboratory abnormalities with a frequency &gt; 5%." title="Table 29. Ahmed (2011) Phase II study  Laboratory abnormalities with a frequency &g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195"/>
                    <a:stretch/>
                  </pic:blipFill>
                  <pic:spPr bwMode="auto">
                    <a:xfrm>
                      <a:off x="0" y="0"/>
                      <a:ext cx="4542295" cy="2909095"/>
                    </a:xfrm>
                    <a:prstGeom prst="rect">
                      <a:avLst/>
                    </a:prstGeom>
                    <a:ln>
                      <a:noFill/>
                    </a:ln>
                    <a:extLst>
                      <a:ext uri="{53640926-AAD7-44D8-BBD7-CCE9431645EC}">
                        <a14:shadowObscured xmlns:a14="http://schemas.microsoft.com/office/drawing/2010/main"/>
                      </a:ext>
                    </a:extLst>
                  </pic:spPr>
                </pic:pic>
              </a:graphicData>
            </a:graphic>
          </wp:inline>
        </w:drawing>
      </w:r>
    </w:p>
    <w:p w:rsidR="00FD5F83" w:rsidRPr="00FD188D" w:rsidRDefault="00FD5F83" w:rsidP="00B52D84">
      <w:pPr>
        <w:pStyle w:val="Heading4"/>
      </w:pPr>
      <w:r w:rsidRPr="00B52D84">
        <w:t>Schneider</w:t>
      </w:r>
      <w:r w:rsidRPr="00FD188D">
        <w:t xml:space="preserve"> </w:t>
      </w:r>
      <w:r>
        <w:t>(</w:t>
      </w:r>
      <w:r w:rsidRPr="00FD188D">
        <w:t>2012</w:t>
      </w:r>
      <w:r>
        <w:t>)</w:t>
      </w:r>
    </w:p>
    <w:p w:rsidR="00FD5F83" w:rsidRDefault="00FD5F83" w:rsidP="00B52D84">
      <w:r>
        <w:t xml:space="preserve">This study enrolled 31 subjects with DTC. Adverse events are </w:t>
      </w:r>
      <w:r w:rsidRPr="006B5A7C">
        <w:t xml:space="preserve">summarised in </w:t>
      </w:r>
      <w:r w:rsidR="0058415A">
        <w:t>table 30</w:t>
      </w:r>
      <w:r w:rsidRPr="006B5A7C">
        <w:t>.</w:t>
      </w:r>
    </w:p>
    <w:p w:rsidR="006B5A7C" w:rsidRDefault="006B5A7C" w:rsidP="00B52D84">
      <w:pPr>
        <w:pStyle w:val="TableTitle"/>
      </w:pPr>
      <w:bookmarkStart w:id="215" w:name="_Ref247434623"/>
      <w:bookmarkStart w:id="216" w:name="_Toc247598414"/>
      <w:proofErr w:type="gramStart"/>
      <w:r>
        <w:t xml:space="preserve">Table </w:t>
      </w:r>
      <w:bookmarkEnd w:id="215"/>
      <w:r w:rsidR="0058415A">
        <w:t>3</w:t>
      </w:r>
      <w:r w:rsidR="0058415A">
        <w:rPr>
          <w:noProof/>
        </w:rPr>
        <w:t>0</w:t>
      </w:r>
      <w:r>
        <w:rPr>
          <w:noProof/>
        </w:rPr>
        <w:t>.</w:t>
      </w:r>
      <w:proofErr w:type="gramEnd"/>
      <w:r>
        <w:rPr>
          <w:noProof/>
        </w:rPr>
        <w:t xml:space="preserve"> </w:t>
      </w:r>
      <w:proofErr w:type="gramStart"/>
      <w:r>
        <w:t>Schneider (2012)</w:t>
      </w:r>
      <w:r w:rsidR="007B32FA">
        <w:t>.</w:t>
      </w:r>
      <w:proofErr w:type="gramEnd"/>
      <w:r>
        <w:t xml:space="preserve"> Phase II </w:t>
      </w:r>
      <w:proofErr w:type="gramStart"/>
      <w:r>
        <w:t>study  AEs</w:t>
      </w:r>
      <w:bookmarkEnd w:id="216"/>
      <w:proofErr w:type="gramEnd"/>
    </w:p>
    <w:p w:rsidR="006B5A7C" w:rsidRDefault="006B5A7C" w:rsidP="00FD5F83">
      <w:pPr>
        <w:autoSpaceDE w:val="0"/>
        <w:autoSpaceDN w:val="0"/>
        <w:adjustRightInd w:val="0"/>
      </w:pPr>
      <w:r>
        <w:rPr>
          <w:noProof/>
          <w:lang w:eastAsia="en-AU"/>
        </w:rPr>
        <w:drawing>
          <wp:inline distT="0" distB="0" distL="0" distR="0" wp14:anchorId="34A8090E" wp14:editId="2D702C63">
            <wp:extent cx="5517906" cy="2891692"/>
            <wp:effectExtent l="0" t="0" r="6985" b="4445"/>
            <wp:docPr id="34" name="Picture 34" descr="Table 30. Schneider (2012)  Phase II study  AEs" title="Table 30. Schneider (2012)  Phase II study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3518"/>
                    <a:stretch/>
                  </pic:blipFill>
                  <pic:spPr bwMode="auto">
                    <a:xfrm>
                      <a:off x="0" y="0"/>
                      <a:ext cx="5527728" cy="2896839"/>
                    </a:xfrm>
                    <a:prstGeom prst="rect">
                      <a:avLst/>
                    </a:prstGeom>
                    <a:ln>
                      <a:noFill/>
                    </a:ln>
                    <a:extLst>
                      <a:ext uri="{53640926-AAD7-44D8-BBD7-CCE9431645EC}">
                        <a14:shadowObscured xmlns:a14="http://schemas.microsoft.com/office/drawing/2010/main"/>
                      </a:ext>
                    </a:extLst>
                  </pic:spPr>
                </pic:pic>
              </a:graphicData>
            </a:graphic>
          </wp:inline>
        </w:drawing>
      </w:r>
    </w:p>
    <w:p w:rsidR="00FD5F83" w:rsidRPr="00FD188D" w:rsidRDefault="00FD5F83" w:rsidP="00CA4282">
      <w:pPr>
        <w:pStyle w:val="Heading4"/>
      </w:pPr>
      <w:r w:rsidRPr="00FD188D">
        <w:t xml:space="preserve">Gupta-Abramson </w:t>
      </w:r>
      <w:r>
        <w:t>(</w:t>
      </w:r>
      <w:r w:rsidRPr="00FD188D">
        <w:t>2008</w:t>
      </w:r>
      <w:r>
        <w:t>)</w:t>
      </w:r>
    </w:p>
    <w:p w:rsidR="00FD5F83" w:rsidRDefault="00FD5F83" w:rsidP="00B52D84">
      <w:r>
        <w:t xml:space="preserve">This study enrolled 47 subjects with DTC. The initial publication reported on the first 30 subjects, including safety data. Follow-up conference abstracts reported efficacy but not safety data for the remaining subjects. Treatment-related AEs for the initial 30 subjects are summarised </w:t>
      </w:r>
      <w:r w:rsidRPr="006B5A7C">
        <w:t xml:space="preserve">in </w:t>
      </w:r>
      <w:r w:rsidR="0058415A">
        <w:t>Table 31</w:t>
      </w:r>
      <w:r w:rsidRPr="006B5A7C">
        <w:t>. In addition, 10</w:t>
      </w:r>
      <w:r>
        <w:t xml:space="preserve"> subjects (33%) developed elevated TSH levels (&gt; 0.1 </w:t>
      </w:r>
      <w:proofErr w:type="spellStart"/>
      <w:r>
        <w:t>mU</w:t>
      </w:r>
      <w:proofErr w:type="spellEnd"/>
      <w:r>
        <w:t xml:space="preserve">/L). </w:t>
      </w:r>
    </w:p>
    <w:p w:rsidR="006B5A7C" w:rsidRDefault="006B5A7C" w:rsidP="00B52D84">
      <w:pPr>
        <w:pStyle w:val="TableTitle"/>
      </w:pPr>
      <w:bookmarkStart w:id="217" w:name="_Ref247434836"/>
      <w:bookmarkStart w:id="218" w:name="_Toc247598415"/>
      <w:proofErr w:type="gramStart"/>
      <w:r>
        <w:lastRenderedPageBreak/>
        <w:t xml:space="preserve">Table </w:t>
      </w:r>
      <w:bookmarkEnd w:id="217"/>
      <w:r>
        <w:t>31.</w:t>
      </w:r>
      <w:proofErr w:type="gramEnd"/>
      <w:r>
        <w:t xml:space="preserve"> Gupta-Abramson (2012) </w:t>
      </w:r>
      <w:r w:rsidRPr="00B52D84">
        <w:t>Phase</w:t>
      </w:r>
      <w:r>
        <w:t xml:space="preserve"> II study Treatment-related AEs</w:t>
      </w:r>
      <w:bookmarkEnd w:id="218"/>
    </w:p>
    <w:p w:rsidR="006B5A7C" w:rsidRDefault="006B5A7C" w:rsidP="00B52D84">
      <w:r>
        <w:rPr>
          <w:noProof/>
          <w:lang w:eastAsia="en-AU"/>
        </w:rPr>
        <w:drawing>
          <wp:inline distT="0" distB="0" distL="0" distR="0" wp14:anchorId="4363A4B0" wp14:editId="60B1BBCB">
            <wp:extent cx="3532554" cy="6369301"/>
            <wp:effectExtent l="0" t="0" r="0" b="0"/>
            <wp:docPr id="35" name="Picture 35" descr="Table 31. Gupta-Abramson (2012) Phase II study Treatment-related AEs" title="Table 31. Gupta-Abramson (2012) Phase II study Treatment-related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5439" t="1103" b="980"/>
                    <a:stretch/>
                  </pic:blipFill>
                  <pic:spPr bwMode="auto">
                    <a:xfrm>
                      <a:off x="0" y="0"/>
                      <a:ext cx="3534471" cy="6372757"/>
                    </a:xfrm>
                    <a:prstGeom prst="rect">
                      <a:avLst/>
                    </a:prstGeom>
                    <a:ln>
                      <a:noFill/>
                    </a:ln>
                    <a:extLst>
                      <a:ext uri="{53640926-AAD7-44D8-BBD7-CCE9431645EC}">
                        <a14:shadowObscured xmlns:a14="http://schemas.microsoft.com/office/drawing/2010/main"/>
                      </a:ext>
                    </a:extLst>
                  </pic:spPr>
                </pic:pic>
              </a:graphicData>
            </a:graphic>
          </wp:inline>
        </w:drawing>
      </w:r>
    </w:p>
    <w:p w:rsidR="00FD5F83" w:rsidRPr="00FD188D" w:rsidRDefault="00FD5F83" w:rsidP="00B52D84">
      <w:pPr>
        <w:pStyle w:val="Heading4"/>
      </w:pPr>
      <w:proofErr w:type="spellStart"/>
      <w:r w:rsidRPr="00FD188D">
        <w:t>Kloos</w:t>
      </w:r>
      <w:proofErr w:type="spellEnd"/>
      <w:r w:rsidRPr="00FD188D">
        <w:t xml:space="preserve"> </w:t>
      </w:r>
      <w:r>
        <w:t>(</w:t>
      </w:r>
      <w:r w:rsidRPr="00FD188D">
        <w:t>2009</w:t>
      </w:r>
      <w:r>
        <w:t>)</w:t>
      </w:r>
    </w:p>
    <w:p w:rsidR="00FD5F83" w:rsidRDefault="00FD5F83" w:rsidP="00B52D84">
      <w:r>
        <w:t>This study included 56 subjects</w:t>
      </w:r>
      <w:r w:rsidR="00CA4282">
        <w:t>;</w:t>
      </w:r>
      <w:r>
        <w:t xml:space="preserve"> 19 with papillary thyroid cancer in ‘Arm A’ (the main statistical </w:t>
      </w:r>
      <w:r w:rsidRPr="008E1A61">
        <w:t xml:space="preserve">arm) and 37 with various thyroid cancers in ‘Arm B’. Grade 1-3 toxicities are summarised in </w:t>
      </w:r>
      <w:r w:rsidR="0058415A">
        <w:t>Tables 32 and 33</w:t>
      </w:r>
      <w:r w:rsidRPr="008E1A61">
        <w:t xml:space="preserve">. In addition to these events, there were 2 reports (4%) of reversible </w:t>
      </w:r>
      <w:proofErr w:type="spellStart"/>
      <w:r w:rsidRPr="008E1A61">
        <w:t>neutropaenia</w:t>
      </w:r>
      <w:proofErr w:type="spellEnd"/>
      <w:r w:rsidRPr="008E1A61">
        <w:t xml:space="preserve"> and 1 report (2</w:t>
      </w:r>
      <w:r>
        <w:t xml:space="preserve">%) of pericardial effusion. One patient with advanced disease had sudden death. </w:t>
      </w:r>
    </w:p>
    <w:p w:rsidR="006B5A7C" w:rsidRDefault="006B5A7C" w:rsidP="00B52D84">
      <w:pPr>
        <w:pStyle w:val="TableTitle"/>
      </w:pPr>
      <w:bookmarkStart w:id="219" w:name="_Ref247436273"/>
      <w:bookmarkStart w:id="220" w:name="_Toc247598416"/>
      <w:proofErr w:type="gramStart"/>
      <w:r>
        <w:lastRenderedPageBreak/>
        <w:t xml:space="preserve">Table </w:t>
      </w:r>
      <w:bookmarkEnd w:id="219"/>
      <w:r>
        <w:t>32.</w:t>
      </w:r>
      <w:proofErr w:type="gramEnd"/>
      <w:r>
        <w:t xml:space="preserve"> </w:t>
      </w:r>
      <w:proofErr w:type="spellStart"/>
      <w:r>
        <w:t>Kloos</w:t>
      </w:r>
      <w:proofErr w:type="spellEnd"/>
      <w:r>
        <w:t xml:space="preserve"> (2009) Phase II study Grades 1-3 AEs</w:t>
      </w:r>
      <w:bookmarkEnd w:id="220"/>
    </w:p>
    <w:p w:rsidR="006B5A7C" w:rsidRDefault="006B5A7C" w:rsidP="00B52D84">
      <w:r>
        <w:rPr>
          <w:noProof/>
          <w:lang w:eastAsia="en-AU"/>
        </w:rPr>
        <w:drawing>
          <wp:inline distT="0" distB="0" distL="0" distR="0" wp14:anchorId="1D7E3C01" wp14:editId="0ED0C35D">
            <wp:extent cx="5548923" cy="8509680"/>
            <wp:effectExtent l="0" t="0" r="0" b="5715"/>
            <wp:docPr id="37" name="Picture 37" descr="Table 32. Kloos (2009) Phase II study Grades 1-3 AEs" title="Table 32. Kloos (2009) Phase II study Grades 1-3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606"/>
                    <a:stretch/>
                  </pic:blipFill>
                  <pic:spPr bwMode="auto">
                    <a:xfrm>
                      <a:off x="0" y="0"/>
                      <a:ext cx="5548923" cy="8509680"/>
                    </a:xfrm>
                    <a:prstGeom prst="rect">
                      <a:avLst/>
                    </a:prstGeom>
                    <a:ln>
                      <a:noFill/>
                    </a:ln>
                    <a:extLst>
                      <a:ext uri="{53640926-AAD7-44D8-BBD7-CCE9431645EC}">
                        <a14:shadowObscured xmlns:a14="http://schemas.microsoft.com/office/drawing/2010/main"/>
                      </a:ext>
                    </a:extLst>
                  </pic:spPr>
                </pic:pic>
              </a:graphicData>
            </a:graphic>
          </wp:inline>
        </w:drawing>
      </w:r>
    </w:p>
    <w:p w:rsidR="006B5A7C" w:rsidRDefault="006B5A7C" w:rsidP="00B52D84">
      <w:pPr>
        <w:pStyle w:val="TableTitle"/>
      </w:pPr>
      <w:bookmarkStart w:id="221" w:name="_Ref247436293"/>
      <w:bookmarkStart w:id="222" w:name="_Toc247598417"/>
      <w:proofErr w:type="gramStart"/>
      <w:r>
        <w:lastRenderedPageBreak/>
        <w:t xml:space="preserve">Table </w:t>
      </w:r>
      <w:bookmarkEnd w:id="221"/>
      <w:r>
        <w:t>33.</w:t>
      </w:r>
      <w:proofErr w:type="gramEnd"/>
      <w:r>
        <w:t xml:space="preserve"> </w:t>
      </w:r>
      <w:proofErr w:type="spellStart"/>
      <w:r>
        <w:t>Kloos</w:t>
      </w:r>
      <w:proofErr w:type="spellEnd"/>
      <w:r>
        <w:t xml:space="preserve"> (2009) </w:t>
      </w:r>
      <w:r w:rsidRPr="00B52D84">
        <w:t>Phase</w:t>
      </w:r>
      <w:r>
        <w:t xml:space="preserve"> II study Laboratory abnormalities (Grades 1-3)</w:t>
      </w:r>
      <w:bookmarkEnd w:id="222"/>
    </w:p>
    <w:p w:rsidR="006B5A7C" w:rsidRDefault="006B5A7C" w:rsidP="00B52D84">
      <w:r>
        <w:rPr>
          <w:noProof/>
          <w:lang w:eastAsia="en-AU"/>
        </w:rPr>
        <w:drawing>
          <wp:inline distT="0" distB="0" distL="0" distR="0" wp14:anchorId="79E387D2" wp14:editId="28DE769B">
            <wp:extent cx="5417010" cy="2883877"/>
            <wp:effectExtent l="0" t="0" r="0" b="0"/>
            <wp:docPr id="38" name="Picture 38" descr="Table 33. Kloos (2009)  Phase II study Laboratory abnormalities (Grades 1-3)" title="Table 33. Kloos (2009)  Phase II study Laboratory abnormalities (Grade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006" t="3581" r="2024" b="1790"/>
                    <a:stretch/>
                  </pic:blipFill>
                  <pic:spPr bwMode="auto">
                    <a:xfrm>
                      <a:off x="0" y="0"/>
                      <a:ext cx="5432543" cy="2892146"/>
                    </a:xfrm>
                    <a:prstGeom prst="rect">
                      <a:avLst/>
                    </a:prstGeom>
                    <a:ln>
                      <a:noFill/>
                    </a:ln>
                    <a:extLst>
                      <a:ext uri="{53640926-AAD7-44D8-BBD7-CCE9431645EC}">
                        <a14:shadowObscured xmlns:a14="http://schemas.microsoft.com/office/drawing/2010/main"/>
                      </a:ext>
                    </a:extLst>
                  </pic:spPr>
                </pic:pic>
              </a:graphicData>
            </a:graphic>
          </wp:inline>
        </w:drawing>
      </w:r>
    </w:p>
    <w:p w:rsidR="00FD5F83" w:rsidRPr="00FD188D" w:rsidRDefault="00FD5F83" w:rsidP="00B52D84">
      <w:pPr>
        <w:pStyle w:val="Heading4"/>
      </w:pPr>
      <w:r w:rsidRPr="00B52D84">
        <w:t>Chen</w:t>
      </w:r>
      <w:r w:rsidRPr="00FD188D">
        <w:t xml:space="preserve"> (2011)</w:t>
      </w:r>
    </w:p>
    <w:p w:rsidR="00FD5F83" w:rsidRDefault="00FD5F83" w:rsidP="00B52D84">
      <w:r>
        <w:t xml:space="preserve">This study enrolled only 9 subjects. Reported AEs are </w:t>
      </w:r>
      <w:r w:rsidRPr="006B5A7C">
        <w:t xml:space="preserve">listed in </w:t>
      </w:r>
      <w:r w:rsidRPr="006B5A7C">
        <w:fldChar w:fldCharType="begin"/>
      </w:r>
      <w:r w:rsidRPr="006B5A7C">
        <w:instrText xml:space="preserve"> REF _Ref247437250 \h </w:instrText>
      </w:r>
      <w:r w:rsidR="00CA4282" w:rsidRPr="006B5A7C">
        <w:instrText xml:space="preserve"> \* MERGEFORMAT </w:instrText>
      </w:r>
      <w:r w:rsidRPr="006B5A7C">
        <w:fldChar w:fldCharType="separate"/>
      </w:r>
      <w:r w:rsidR="00E42429">
        <w:t xml:space="preserve">Table </w:t>
      </w:r>
      <w:r w:rsidRPr="006B5A7C">
        <w:fldChar w:fldCharType="end"/>
      </w:r>
      <w:r w:rsidR="006B5A7C" w:rsidRPr="006B5A7C">
        <w:t>34</w:t>
      </w:r>
      <w:r w:rsidRPr="006B5A7C">
        <w:t>. All</w:t>
      </w:r>
      <w:r>
        <w:t xml:space="preserve"> AEs were </w:t>
      </w:r>
      <w:r w:rsidR="00CA4282">
        <w:t>G</w:t>
      </w:r>
      <w:r>
        <w:t>rade 1 or 2.</w:t>
      </w:r>
    </w:p>
    <w:p w:rsidR="00FD5F83" w:rsidRDefault="00FD5F83" w:rsidP="00B52D84">
      <w:pPr>
        <w:ind w:left="567"/>
      </w:pPr>
      <w:r>
        <w:t>Comment:</w:t>
      </w:r>
      <w:r w:rsidR="00CA4282">
        <w:t xml:space="preserve"> </w:t>
      </w:r>
      <w:r>
        <w:t xml:space="preserve">The toxicities observed in the </w:t>
      </w:r>
      <w:r w:rsidR="000C18FC">
        <w:t>Phase II</w:t>
      </w:r>
      <w:r>
        <w:t xml:space="preserve"> studies were consistent with those established for </w:t>
      </w:r>
      <w:proofErr w:type="spellStart"/>
      <w:r>
        <w:t>sorafenib</w:t>
      </w:r>
      <w:proofErr w:type="spellEnd"/>
      <w:r>
        <w:t xml:space="preserve"> or those reported in the pivotal study.</w:t>
      </w:r>
    </w:p>
    <w:p w:rsidR="006B5A7C" w:rsidRDefault="006B5A7C" w:rsidP="00B52D84">
      <w:pPr>
        <w:pStyle w:val="TableTitle"/>
      </w:pPr>
      <w:bookmarkStart w:id="223" w:name="_Ref247437250"/>
      <w:bookmarkStart w:id="224" w:name="_Toc247598418"/>
      <w:proofErr w:type="gramStart"/>
      <w:r>
        <w:t xml:space="preserve">Table </w:t>
      </w:r>
      <w:bookmarkEnd w:id="223"/>
      <w:r>
        <w:t>34.</w:t>
      </w:r>
      <w:proofErr w:type="gramEnd"/>
      <w:r>
        <w:t xml:space="preserve"> Chen (2011) </w:t>
      </w:r>
      <w:r w:rsidRPr="00B52D84">
        <w:t>Phase</w:t>
      </w:r>
      <w:r>
        <w:t xml:space="preserve"> II study AEs</w:t>
      </w:r>
      <w:bookmarkEnd w:id="224"/>
    </w:p>
    <w:p w:rsidR="006B5A7C" w:rsidRDefault="006B5A7C" w:rsidP="00B52D84">
      <w:r>
        <w:rPr>
          <w:noProof/>
          <w:lang w:eastAsia="en-AU"/>
        </w:rPr>
        <w:drawing>
          <wp:inline distT="0" distB="0" distL="0" distR="0" wp14:anchorId="7978E0C3" wp14:editId="2D538B7B">
            <wp:extent cx="4407877" cy="1125255"/>
            <wp:effectExtent l="0" t="0" r="0" b="0"/>
            <wp:docPr id="40" name="Picture 40" descr="Table 34. Chen (2011) Phase II study AEs" title="Table 34. Chen (2011) Phase II study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7098"/>
                    <a:stretch/>
                  </pic:blipFill>
                  <pic:spPr bwMode="auto">
                    <a:xfrm>
                      <a:off x="0" y="0"/>
                      <a:ext cx="4425459" cy="1129743"/>
                    </a:xfrm>
                    <a:prstGeom prst="rect">
                      <a:avLst/>
                    </a:prstGeom>
                    <a:ln>
                      <a:noFill/>
                    </a:ln>
                    <a:extLst>
                      <a:ext uri="{53640926-AAD7-44D8-BBD7-CCE9431645EC}">
                        <a14:shadowObscured xmlns:a14="http://schemas.microsoft.com/office/drawing/2010/main"/>
                      </a:ext>
                    </a:extLst>
                  </pic:spPr>
                </pic:pic>
              </a:graphicData>
            </a:graphic>
          </wp:inline>
        </w:drawing>
      </w:r>
    </w:p>
    <w:p w:rsidR="00FD5F83" w:rsidRPr="00FC16DC" w:rsidRDefault="00FD5F83" w:rsidP="00B52D84">
      <w:pPr>
        <w:pStyle w:val="Heading4"/>
      </w:pPr>
      <w:r w:rsidRPr="00FC16DC">
        <w:t>Other</w:t>
      </w:r>
    </w:p>
    <w:p w:rsidR="00FD5F83" w:rsidRDefault="00FD5F83" w:rsidP="00B52D84">
      <w:r>
        <w:t xml:space="preserve">Safety data from 9 subjects with DTC who were enrolled in company-sponsored early </w:t>
      </w:r>
      <w:r w:rsidR="00CA4282">
        <w:t>P</w:t>
      </w:r>
      <w:r>
        <w:t xml:space="preserve">hase </w:t>
      </w:r>
      <w:r w:rsidR="00CA4282">
        <w:t>I and II</w:t>
      </w:r>
      <w:r>
        <w:t xml:space="preserve"> studies were also provided. The reported toxicities were unremarkable.</w:t>
      </w:r>
    </w:p>
    <w:p w:rsidR="00FD5F83" w:rsidRDefault="00FD5F83" w:rsidP="00B52D84">
      <w:pPr>
        <w:pStyle w:val="Heading3"/>
      </w:pPr>
      <w:bookmarkStart w:id="225" w:name="_Toc241374326"/>
      <w:bookmarkStart w:id="226" w:name="_Ref272333048"/>
      <w:bookmarkStart w:id="227" w:name="_Toc272414679"/>
      <w:bookmarkStart w:id="228" w:name="_Toc290846317"/>
      <w:bookmarkStart w:id="229" w:name="_Toc247598342"/>
      <w:bookmarkStart w:id="230" w:name="_Toc396729353"/>
      <w:proofErr w:type="spellStart"/>
      <w:r w:rsidRPr="00B52D84">
        <w:t>Postmarketing</w:t>
      </w:r>
      <w:proofErr w:type="spellEnd"/>
      <w:r>
        <w:t xml:space="preserve"> experience</w:t>
      </w:r>
      <w:bookmarkEnd w:id="225"/>
      <w:bookmarkEnd w:id="226"/>
      <w:bookmarkEnd w:id="227"/>
      <w:bookmarkEnd w:id="228"/>
      <w:bookmarkEnd w:id="229"/>
      <w:bookmarkEnd w:id="230"/>
    </w:p>
    <w:p w:rsidR="00FD5F83" w:rsidRDefault="00FD5F83" w:rsidP="00B52D84">
      <w:r>
        <w:t xml:space="preserve">As </w:t>
      </w:r>
      <w:proofErr w:type="spellStart"/>
      <w:r>
        <w:t>sorafenib</w:t>
      </w:r>
      <w:proofErr w:type="spellEnd"/>
      <w:r>
        <w:t xml:space="preserve"> had been used “off-label” for the treatment of thyroid cancer for some time prior to the current submission, the sponsor had received reports of adverse events occurring in this population. The </w:t>
      </w:r>
      <w:r w:rsidR="00CA4282">
        <w:t>sponsor’s S</w:t>
      </w:r>
      <w:r>
        <w:t xml:space="preserve">ummary of clinical safety included an analysis of AE reports from patients receiving </w:t>
      </w:r>
      <w:proofErr w:type="spellStart"/>
      <w:r>
        <w:t>sorafenib</w:t>
      </w:r>
      <w:proofErr w:type="spellEnd"/>
      <w:r>
        <w:t xml:space="preserve"> for thyroid cancer. </w:t>
      </w:r>
    </w:p>
    <w:p w:rsidR="00FD5F83" w:rsidRDefault="00FD5F83" w:rsidP="00B52D84">
      <w:r>
        <w:t xml:space="preserve">A total of 1354 cases had been received up to 31 March 2013. Of these, 582 were classed as serious. The sponsor’s analysis focused on those that were considered serious, related to </w:t>
      </w:r>
      <w:proofErr w:type="spellStart"/>
      <w:r>
        <w:t>sorafenib</w:t>
      </w:r>
      <w:proofErr w:type="spellEnd"/>
      <w:r>
        <w:t xml:space="preserve"> (either by the reporter or the sponsor) and unexpected. There were 88 of these cases. Individual AEs with more than one report included the following:</w:t>
      </w:r>
    </w:p>
    <w:p w:rsidR="00FD5F83" w:rsidRDefault="00FD5F83" w:rsidP="00B52D84">
      <w:pPr>
        <w:pStyle w:val="ListBullet"/>
      </w:pPr>
      <w:r>
        <w:t xml:space="preserve">Atrial fibrillation (2 reports). Both subjects had ‘hypertensive decompensation’ and one had hypokalaemia, both known AEs associated with </w:t>
      </w:r>
      <w:proofErr w:type="spellStart"/>
      <w:r>
        <w:t>sorafenib</w:t>
      </w:r>
      <w:proofErr w:type="spellEnd"/>
      <w:r>
        <w:t>;</w:t>
      </w:r>
    </w:p>
    <w:p w:rsidR="00FD5F83" w:rsidRDefault="00FD5F83" w:rsidP="00B52D84">
      <w:pPr>
        <w:pStyle w:val="ListBullet"/>
      </w:pPr>
      <w:r>
        <w:lastRenderedPageBreak/>
        <w:t>Dyspnoea (6 reports). Most reports had insufficient information. Some were most likely related to disease progression (lung metastases, pneumonia). Interstitial lung disease</w:t>
      </w:r>
      <w:r w:rsidR="00CA4282">
        <w:t xml:space="preserve"> </w:t>
      </w:r>
      <w:r>
        <w:t xml:space="preserve">like events are known to be uncommonly associated with </w:t>
      </w:r>
      <w:proofErr w:type="spellStart"/>
      <w:r>
        <w:t>sorafenib</w:t>
      </w:r>
      <w:proofErr w:type="spellEnd"/>
      <w:r>
        <w:t xml:space="preserve"> treatment;</w:t>
      </w:r>
    </w:p>
    <w:p w:rsidR="00FD5F83" w:rsidRDefault="00FD5F83" w:rsidP="00B52D84">
      <w:pPr>
        <w:pStyle w:val="ListBullet"/>
      </w:pPr>
      <w:r w:rsidRPr="00B52D84">
        <w:t>Cerebrovascular</w:t>
      </w:r>
      <w:r>
        <w:t xml:space="preserve"> accident (2 reports). Both reports had insufficient information to clearly understand the event. Hypertension and haemorrhage are both known AEs with </w:t>
      </w:r>
      <w:proofErr w:type="spellStart"/>
      <w:r>
        <w:t>sorafenib</w:t>
      </w:r>
      <w:proofErr w:type="spellEnd"/>
      <w:r>
        <w:t>.</w:t>
      </w:r>
    </w:p>
    <w:p w:rsidR="00FD5F83" w:rsidRDefault="00FD5F83" w:rsidP="00B52D84">
      <w:r>
        <w:t>Many of the ‘unexpected’ AEs were simply different terms used to describe known AEs (</w:t>
      </w:r>
      <w:r w:rsidR="00CA4282">
        <w:t>such as</w:t>
      </w:r>
      <w:r>
        <w:t xml:space="preserve"> ‘inability to walk’ and ‘gait disturbance’ in subjects with hand-foot syndrome; ‘pharyngeal oedema’ in subjects with </w:t>
      </w:r>
      <w:proofErr w:type="spellStart"/>
      <w:r>
        <w:t>mucositis</w:t>
      </w:r>
      <w:proofErr w:type="spellEnd"/>
      <w:r>
        <w:t>).</w:t>
      </w:r>
    </w:p>
    <w:p w:rsidR="00FD5F83" w:rsidRDefault="00FD5F83" w:rsidP="00B52D84">
      <w:r>
        <w:t xml:space="preserve">Overall, the review of the </w:t>
      </w:r>
      <w:proofErr w:type="spellStart"/>
      <w:r>
        <w:t>postmarketing</w:t>
      </w:r>
      <w:proofErr w:type="spellEnd"/>
      <w:r>
        <w:t xml:space="preserve"> reports did not suggest any novel toxicity for the drug. </w:t>
      </w:r>
    </w:p>
    <w:p w:rsidR="00FD5F83" w:rsidRPr="009A52CB" w:rsidRDefault="00FD5F83" w:rsidP="00B52D84">
      <w:pPr>
        <w:pStyle w:val="Heading3"/>
      </w:pPr>
      <w:bookmarkStart w:id="231" w:name="_Ref272333005"/>
      <w:bookmarkStart w:id="232" w:name="_Toc272414680"/>
      <w:bookmarkStart w:id="233" w:name="_Toc290846318"/>
      <w:bookmarkStart w:id="234" w:name="_Toc247598343"/>
      <w:bookmarkStart w:id="235" w:name="_Toc396729354"/>
      <w:r w:rsidRPr="00B52D84">
        <w:t>Safety</w:t>
      </w:r>
      <w:r w:rsidRPr="009A52CB">
        <w:t xml:space="preserve"> issues with the potential for major regulatory imp</w:t>
      </w:r>
      <w:bookmarkEnd w:id="231"/>
      <w:bookmarkEnd w:id="232"/>
      <w:r w:rsidRPr="009A52CB">
        <w:t>act</w:t>
      </w:r>
      <w:bookmarkEnd w:id="233"/>
      <w:bookmarkEnd w:id="234"/>
      <w:bookmarkEnd w:id="235"/>
    </w:p>
    <w:p w:rsidR="00FD5F83" w:rsidRPr="00E008AF" w:rsidRDefault="00FD5F83" w:rsidP="00B52D84">
      <w:pPr>
        <w:pStyle w:val="Heading4"/>
      </w:pPr>
      <w:bookmarkStart w:id="236" w:name="_Toc272414681"/>
      <w:bookmarkStart w:id="237" w:name="_Toc290846319"/>
      <w:bookmarkStart w:id="238" w:name="_Toc247598344"/>
      <w:r w:rsidRPr="00E008AF">
        <w:t xml:space="preserve">Liver </w:t>
      </w:r>
      <w:r w:rsidRPr="00B52D84">
        <w:t>toxicity</w:t>
      </w:r>
      <w:bookmarkEnd w:id="236"/>
      <w:bookmarkEnd w:id="237"/>
      <w:bookmarkEnd w:id="238"/>
    </w:p>
    <w:p w:rsidR="00FD5F83" w:rsidRDefault="00FD5F83" w:rsidP="00B52D84">
      <w:r>
        <w:t xml:space="preserve">As described in </w:t>
      </w:r>
      <w:r w:rsidR="00CA4282" w:rsidRPr="00CA4282">
        <w:rPr>
          <w:i/>
        </w:rPr>
        <w:t>Liver function</w:t>
      </w:r>
      <w:r w:rsidR="00CA4282">
        <w:t xml:space="preserve"> above,</w:t>
      </w:r>
      <w:r>
        <w:t xml:space="preserve"> LFT abnormalities are common with </w:t>
      </w:r>
      <w:proofErr w:type="spellStart"/>
      <w:r>
        <w:t>sorafenib</w:t>
      </w:r>
      <w:proofErr w:type="spellEnd"/>
      <w:r>
        <w:t xml:space="preserve"> treatment. However, in the pivotal study, no evidence of severe drug induced liver injury was observed. The PI for </w:t>
      </w:r>
      <w:proofErr w:type="spellStart"/>
      <w:r>
        <w:t>sorafenib</w:t>
      </w:r>
      <w:proofErr w:type="spellEnd"/>
      <w:r>
        <w:t xml:space="preserve"> already lists drug</w:t>
      </w:r>
      <w:r w:rsidR="00CA4282">
        <w:t xml:space="preserve"> </w:t>
      </w:r>
      <w:r>
        <w:t>induced hepatitis (with a life-threatening or fatal outcome) as a rare adverse event.</w:t>
      </w:r>
    </w:p>
    <w:p w:rsidR="00FD5F83" w:rsidRPr="009A52CB" w:rsidRDefault="00FD5F83" w:rsidP="00B52D84">
      <w:pPr>
        <w:pStyle w:val="Heading4"/>
      </w:pPr>
      <w:bookmarkStart w:id="239" w:name="_Toc272414682"/>
      <w:bookmarkStart w:id="240" w:name="_Toc290846320"/>
      <w:bookmarkStart w:id="241" w:name="_Toc247598345"/>
      <w:r w:rsidRPr="00B52D84">
        <w:t>Haematological</w:t>
      </w:r>
      <w:r w:rsidRPr="009A52CB">
        <w:t xml:space="preserve"> toxicity</w:t>
      </w:r>
      <w:bookmarkEnd w:id="239"/>
      <w:bookmarkEnd w:id="240"/>
      <w:bookmarkEnd w:id="241"/>
    </w:p>
    <w:p w:rsidR="00FD5F83" w:rsidRDefault="00FD5F83" w:rsidP="00B52D84">
      <w:r>
        <w:t xml:space="preserve">As described in </w:t>
      </w:r>
      <w:r w:rsidR="00CA4282" w:rsidRPr="00CA4282">
        <w:rPr>
          <w:i/>
        </w:rPr>
        <w:t>Haematology</w:t>
      </w:r>
      <w:r w:rsidR="00CA4282">
        <w:t xml:space="preserve"> above</w:t>
      </w:r>
      <w:r>
        <w:t xml:space="preserve">, </w:t>
      </w:r>
      <w:proofErr w:type="spellStart"/>
      <w:r>
        <w:t>cytopaenias</w:t>
      </w:r>
      <w:proofErr w:type="spellEnd"/>
      <w:r>
        <w:t xml:space="preserve"> are a common adverse event with </w:t>
      </w:r>
      <w:proofErr w:type="spellStart"/>
      <w:r>
        <w:t>sorafenib</w:t>
      </w:r>
      <w:proofErr w:type="spellEnd"/>
      <w:r>
        <w:t xml:space="preserve"> treatment. There were no reports of </w:t>
      </w:r>
      <w:proofErr w:type="spellStart"/>
      <w:r>
        <w:t>pancytopaenia</w:t>
      </w:r>
      <w:proofErr w:type="spellEnd"/>
      <w:r>
        <w:t xml:space="preserve"> or aplastic anaemia in the pivotal study.</w:t>
      </w:r>
    </w:p>
    <w:p w:rsidR="00FD5F83" w:rsidRPr="008B54A3" w:rsidRDefault="00FD5F83" w:rsidP="00B52D84">
      <w:pPr>
        <w:pStyle w:val="Heading4"/>
      </w:pPr>
      <w:bookmarkStart w:id="242" w:name="_Toc272414683"/>
      <w:bookmarkStart w:id="243" w:name="_Toc290846321"/>
      <w:bookmarkStart w:id="244" w:name="_Toc247598346"/>
      <w:r w:rsidRPr="008B54A3">
        <w:t xml:space="preserve">Serious </w:t>
      </w:r>
      <w:r w:rsidRPr="00B52D84">
        <w:t>skin</w:t>
      </w:r>
      <w:r w:rsidRPr="008B54A3">
        <w:t xml:space="preserve"> reactions</w:t>
      </w:r>
      <w:bookmarkEnd w:id="242"/>
      <w:bookmarkEnd w:id="243"/>
      <w:bookmarkEnd w:id="244"/>
    </w:p>
    <w:p w:rsidR="00FD5F83" w:rsidRDefault="00FD5F83" w:rsidP="00B52D84">
      <w:r>
        <w:t xml:space="preserve">Serious skin toxicities, principally hand-foot syndrome and rash/desquamation are common with </w:t>
      </w:r>
      <w:proofErr w:type="spellStart"/>
      <w:r>
        <w:t>sorafenib</w:t>
      </w:r>
      <w:proofErr w:type="spellEnd"/>
      <w:r>
        <w:t xml:space="preserve">, and this was confirmed in the pivotal </w:t>
      </w:r>
      <w:r w:rsidRPr="006B5A7C">
        <w:t xml:space="preserve">study (see </w:t>
      </w:r>
      <w:r w:rsidR="0058415A">
        <w:t>Table 19</w:t>
      </w:r>
      <w:r w:rsidRPr="006B5A7C">
        <w:t>).</w:t>
      </w:r>
      <w:r>
        <w:t xml:space="preserve"> Stevens-Johnson syndrome and toxic epidermal </w:t>
      </w:r>
      <w:proofErr w:type="spellStart"/>
      <w:r>
        <w:t>necrolysis</w:t>
      </w:r>
      <w:proofErr w:type="spellEnd"/>
      <w:r>
        <w:t xml:space="preserve"> have also been reported in </w:t>
      </w:r>
      <w:proofErr w:type="spellStart"/>
      <w:r>
        <w:t>postmarketing</w:t>
      </w:r>
      <w:proofErr w:type="spellEnd"/>
      <w:r>
        <w:t xml:space="preserve"> experience and are listed in the current PI.</w:t>
      </w:r>
    </w:p>
    <w:p w:rsidR="00FD5F83" w:rsidRPr="005555DF" w:rsidRDefault="00FD5F83" w:rsidP="00B52D84">
      <w:pPr>
        <w:pStyle w:val="Heading4"/>
      </w:pPr>
      <w:bookmarkStart w:id="245" w:name="_Toc272414684"/>
      <w:bookmarkStart w:id="246" w:name="_Toc290846322"/>
      <w:bookmarkStart w:id="247" w:name="_Toc247598347"/>
      <w:r w:rsidRPr="00B52D84">
        <w:t>Cardiovascular</w:t>
      </w:r>
      <w:r w:rsidRPr="005555DF">
        <w:t xml:space="preserve"> safety</w:t>
      </w:r>
      <w:bookmarkEnd w:id="245"/>
      <w:bookmarkEnd w:id="246"/>
      <w:bookmarkEnd w:id="247"/>
    </w:p>
    <w:p w:rsidR="00FD5F83" w:rsidRDefault="00FD5F83" w:rsidP="00B52D84">
      <w:proofErr w:type="spellStart"/>
      <w:r>
        <w:t>Sorafenib</w:t>
      </w:r>
      <w:proofErr w:type="spellEnd"/>
      <w:r>
        <w:t xml:space="preserve"> is known to be associated with cardiovascular toxicity. Hypertension, myocardial infarction/</w:t>
      </w:r>
      <w:proofErr w:type="spellStart"/>
      <w:r>
        <w:t>ischaemia</w:t>
      </w:r>
      <w:proofErr w:type="spellEnd"/>
      <w:r>
        <w:t>, QT prolongation and congestive heart failure are all listed in the currently approved PI. The new safety data provided with the current submission did not indicate any novel cardiovascular toxicity.</w:t>
      </w:r>
    </w:p>
    <w:p w:rsidR="00FD5F83" w:rsidRPr="008B54A3" w:rsidRDefault="00FD5F83" w:rsidP="00B52D84">
      <w:pPr>
        <w:pStyle w:val="Heading4"/>
      </w:pPr>
      <w:bookmarkStart w:id="248" w:name="_Toc241374323"/>
      <w:bookmarkStart w:id="249" w:name="_Toc272414685"/>
      <w:bookmarkStart w:id="250" w:name="_Toc290846323"/>
      <w:bookmarkStart w:id="251" w:name="_Toc247598348"/>
      <w:r w:rsidRPr="008B54A3">
        <w:t>Unwanted immunological events</w:t>
      </w:r>
      <w:bookmarkEnd w:id="248"/>
      <w:bookmarkEnd w:id="249"/>
      <w:bookmarkEnd w:id="250"/>
      <w:bookmarkEnd w:id="251"/>
    </w:p>
    <w:p w:rsidR="00FD5F83" w:rsidRPr="00B96A9B" w:rsidRDefault="00FD5F83" w:rsidP="00B52D84">
      <w:r w:rsidRPr="00B96A9B">
        <w:t xml:space="preserve">Anaphylactic and hypersensitivity reactions are listed in the draft PI as uncommon adverse reactions. In the pivotal study, one subject experienced a </w:t>
      </w:r>
      <w:r w:rsidR="00CA4282">
        <w:t>G</w:t>
      </w:r>
      <w:r w:rsidRPr="00B96A9B">
        <w:t xml:space="preserve">rade 4 anaphylactic reaction (considered related) and one had a </w:t>
      </w:r>
      <w:r w:rsidR="00CA4282">
        <w:t>G</w:t>
      </w:r>
      <w:r w:rsidRPr="00B96A9B">
        <w:t xml:space="preserve">rade 4 allergic reaction (considered unrelated). Both subjects were receiving </w:t>
      </w:r>
      <w:proofErr w:type="spellStart"/>
      <w:r w:rsidRPr="00B96A9B">
        <w:t>sorafenib</w:t>
      </w:r>
      <w:proofErr w:type="spellEnd"/>
      <w:r w:rsidRPr="00B96A9B">
        <w:t>.</w:t>
      </w:r>
    </w:p>
    <w:p w:rsidR="00FD5F83" w:rsidRPr="00B94A2E" w:rsidRDefault="00FD5F83" w:rsidP="00B52D84">
      <w:pPr>
        <w:pStyle w:val="Heading3"/>
      </w:pPr>
      <w:bookmarkStart w:id="252" w:name="_Toc272414686"/>
      <w:bookmarkStart w:id="253" w:name="_Ref273005527"/>
      <w:bookmarkStart w:id="254" w:name="_Toc290846324"/>
      <w:bookmarkStart w:id="255" w:name="_Toc247598349"/>
      <w:bookmarkStart w:id="256" w:name="_Toc396729355"/>
      <w:r w:rsidRPr="00B94A2E">
        <w:t xml:space="preserve">Other safety </w:t>
      </w:r>
      <w:r w:rsidRPr="00B52D84">
        <w:t>issues</w:t>
      </w:r>
      <w:bookmarkEnd w:id="252"/>
      <w:bookmarkEnd w:id="253"/>
      <w:bookmarkEnd w:id="254"/>
      <w:bookmarkEnd w:id="255"/>
      <w:bookmarkEnd w:id="256"/>
    </w:p>
    <w:p w:rsidR="00FD5F83" w:rsidRPr="00B94A2E" w:rsidRDefault="00FD5F83" w:rsidP="00B52D84">
      <w:pPr>
        <w:pStyle w:val="Heading4"/>
      </w:pPr>
      <w:bookmarkStart w:id="257" w:name="_Toc241374322"/>
      <w:bookmarkStart w:id="258" w:name="_Ref272331212"/>
      <w:bookmarkStart w:id="259" w:name="_Toc272414687"/>
      <w:bookmarkStart w:id="260" w:name="_Toc290846325"/>
      <w:bookmarkStart w:id="261" w:name="_Toc247598350"/>
      <w:r w:rsidRPr="00B94A2E">
        <w:t xml:space="preserve">Safety in special </w:t>
      </w:r>
      <w:r w:rsidRPr="00B52D84">
        <w:t>populations</w:t>
      </w:r>
      <w:bookmarkEnd w:id="257"/>
      <w:bookmarkEnd w:id="258"/>
      <w:bookmarkEnd w:id="259"/>
      <w:bookmarkEnd w:id="260"/>
      <w:bookmarkEnd w:id="261"/>
    </w:p>
    <w:p w:rsidR="00FD5F83" w:rsidRDefault="00FD5F83" w:rsidP="00B52D84">
      <w:r>
        <w:t xml:space="preserve">In the pivotal study, subgroup analyses of adverse events were performed for the following variables: geographical region, age, body mass index, sex, race, baseline ECOG status, </w:t>
      </w:r>
      <w:proofErr w:type="gramStart"/>
      <w:r>
        <w:t>histological</w:t>
      </w:r>
      <w:proofErr w:type="gramEnd"/>
      <w:r>
        <w:t xml:space="preserve"> subtype, history of </w:t>
      </w:r>
      <w:proofErr w:type="spellStart"/>
      <w:r>
        <w:t>hypoparathyroidism</w:t>
      </w:r>
      <w:proofErr w:type="spellEnd"/>
      <w:r>
        <w:t>, renal function and hepatic function. Findings of note included the following:</w:t>
      </w:r>
    </w:p>
    <w:p w:rsidR="00FD5F83" w:rsidRDefault="00FD5F83" w:rsidP="00B52D84">
      <w:pPr>
        <w:pStyle w:val="ListBullet"/>
      </w:pPr>
      <w:r>
        <w:t xml:space="preserve">Among </w:t>
      </w:r>
      <w:proofErr w:type="spellStart"/>
      <w:r>
        <w:t>sorafenib</w:t>
      </w:r>
      <w:proofErr w:type="spellEnd"/>
      <w:r>
        <w:t xml:space="preserve">-treated subjects, toxicity appeared comparable in patients aged &lt;60 and those aged ≥ 60 years. </w:t>
      </w:r>
      <w:r w:rsidRPr="00B52D84">
        <w:t>However</w:t>
      </w:r>
      <w:r>
        <w:t xml:space="preserve">, subjects aged </w:t>
      </w:r>
      <w:r w:rsidR="005602DF">
        <w:t>≥</w:t>
      </w:r>
      <w:r>
        <w:t xml:space="preserve"> 75 years experienced greater toxicity than those aged &lt; 75 years (SAEs 52.0%</w:t>
      </w:r>
      <w:r w:rsidR="00E22FDA">
        <w:t xml:space="preserve"> versus</w:t>
      </w:r>
      <w:r>
        <w:t xml:space="preserve"> 35.2%; </w:t>
      </w:r>
      <w:r w:rsidR="00CA4282">
        <w:t>Grade 3/4</w:t>
      </w:r>
      <w:r>
        <w:t xml:space="preserve"> toxicity 84.0%</w:t>
      </w:r>
      <w:r w:rsidR="00E22FDA">
        <w:t xml:space="preserve"> versus</w:t>
      </w:r>
      <w:r>
        <w:t xml:space="preserve"> 61.5%);</w:t>
      </w:r>
    </w:p>
    <w:p w:rsidR="00FD5F83" w:rsidRDefault="00FD5F83" w:rsidP="00CA4282">
      <w:pPr>
        <w:pStyle w:val="ListBullet"/>
      </w:pPr>
      <w:r>
        <w:lastRenderedPageBreak/>
        <w:t xml:space="preserve">The incidence of hypocalcaemia in the </w:t>
      </w:r>
      <w:proofErr w:type="spellStart"/>
      <w:r>
        <w:t>sorafenib</w:t>
      </w:r>
      <w:proofErr w:type="spellEnd"/>
      <w:r>
        <w:t xml:space="preserve"> arm was higher in subjects with a history of </w:t>
      </w:r>
      <w:proofErr w:type="spellStart"/>
      <w:r>
        <w:t>hypoparathyroidism</w:t>
      </w:r>
      <w:proofErr w:type="spellEnd"/>
      <w:r>
        <w:t xml:space="preserve"> (28.6%) than in subjects with no such history (5.2%), although numbers in the former group were small (n=14);</w:t>
      </w:r>
    </w:p>
    <w:p w:rsidR="00FD5F83" w:rsidRPr="0034729C" w:rsidRDefault="00FD5F83" w:rsidP="00B52D84">
      <w:pPr>
        <w:pStyle w:val="Heading4"/>
      </w:pPr>
      <w:bookmarkStart w:id="262" w:name="_Toc241374324"/>
      <w:bookmarkStart w:id="263" w:name="_Ref272331214"/>
      <w:bookmarkStart w:id="264" w:name="_Toc272414688"/>
      <w:bookmarkStart w:id="265" w:name="_Toc290846326"/>
      <w:bookmarkStart w:id="266" w:name="_Toc247598351"/>
      <w:r w:rsidRPr="0034729C">
        <w:t>Safety related to drug-drug interactions and other interactions</w:t>
      </w:r>
      <w:bookmarkEnd w:id="262"/>
      <w:bookmarkEnd w:id="263"/>
      <w:bookmarkEnd w:id="264"/>
      <w:bookmarkEnd w:id="265"/>
      <w:bookmarkEnd w:id="266"/>
    </w:p>
    <w:p w:rsidR="00FD5F83" w:rsidRDefault="00FD5F83" w:rsidP="00B52D84">
      <w:r>
        <w:t>The submission contained no new data on interactions.</w:t>
      </w:r>
    </w:p>
    <w:p w:rsidR="00FD5F83" w:rsidRDefault="00FD5F83" w:rsidP="00B52D84">
      <w:pPr>
        <w:pStyle w:val="Heading3"/>
      </w:pPr>
      <w:bookmarkStart w:id="267" w:name="_Toc241374328"/>
      <w:bookmarkStart w:id="268" w:name="_Toc272414691"/>
      <w:bookmarkStart w:id="269" w:name="_Toc290846329"/>
      <w:bookmarkStart w:id="270" w:name="_Toc247598352"/>
      <w:bookmarkStart w:id="271" w:name="_Toc396729356"/>
      <w:r>
        <w:t xml:space="preserve">Evaluator’s overall </w:t>
      </w:r>
      <w:r w:rsidRPr="00B52D84">
        <w:t>conclusions</w:t>
      </w:r>
      <w:r>
        <w:t xml:space="preserve"> on clinical safety</w:t>
      </w:r>
      <w:bookmarkEnd w:id="267"/>
      <w:bookmarkEnd w:id="268"/>
      <w:bookmarkEnd w:id="269"/>
      <w:bookmarkEnd w:id="270"/>
      <w:bookmarkEnd w:id="271"/>
    </w:p>
    <w:p w:rsidR="00FD5F83" w:rsidRDefault="00FD5F83" w:rsidP="00B52D84">
      <w:r>
        <w:t xml:space="preserve">The pattern of toxicity seen with </w:t>
      </w:r>
      <w:proofErr w:type="spellStart"/>
      <w:r>
        <w:t>sorafenib</w:t>
      </w:r>
      <w:proofErr w:type="spellEnd"/>
      <w:r>
        <w:t xml:space="preserve"> in the submitted studies was generally consistent with that previously documented for </w:t>
      </w:r>
      <w:proofErr w:type="spellStart"/>
      <w:r>
        <w:t>sorafenib</w:t>
      </w:r>
      <w:proofErr w:type="spellEnd"/>
      <w:r>
        <w:t xml:space="preserve">. The most common AEs were dermatological (hand-foot syndrome, alopecia, rash/desquamation), gastrointestinal (diarrhoea, anorexia, </w:t>
      </w:r>
      <w:proofErr w:type="spellStart"/>
      <w:r>
        <w:t>mucositis</w:t>
      </w:r>
      <w:proofErr w:type="spellEnd"/>
      <w:r>
        <w:t>), constitutional (fatigue, weight loss), hypertension and hepatic (elevated transaminases).</w:t>
      </w:r>
    </w:p>
    <w:p w:rsidR="00FD5F83" w:rsidRDefault="00FD5F83" w:rsidP="00B52D84">
      <w:r>
        <w:t>Novel toxicities identified in the new population were hypocalcaemia and elevated TSH levels.</w:t>
      </w:r>
    </w:p>
    <w:p w:rsidR="00FD5F83" w:rsidRDefault="00FD5F83" w:rsidP="00B52D84">
      <w:r>
        <w:t xml:space="preserve">The data suggested that some </w:t>
      </w:r>
      <w:proofErr w:type="gramStart"/>
      <w:r>
        <w:t>toxicities</w:t>
      </w:r>
      <w:proofErr w:type="gramEnd"/>
      <w:r>
        <w:t xml:space="preserve"> were more common in the thyroid cancer population than in the renal cell carcinoma and hepatic carcinoma populations. This would be consistent with the observation that systemic exposure to </w:t>
      </w:r>
      <w:proofErr w:type="spellStart"/>
      <w:r>
        <w:t>sorafenib</w:t>
      </w:r>
      <w:proofErr w:type="spellEnd"/>
      <w:r>
        <w:t xml:space="preserve"> is greater in the thyroid cancer population.</w:t>
      </w:r>
    </w:p>
    <w:p w:rsidR="00FD5F83" w:rsidRDefault="00FD5F83" w:rsidP="00B52D84">
      <w:r>
        <w:t xml:space="preserve">The toxicity of </w:t>
      </w:r>
      <w:proofErr w:type="spellStart"/>
      <w:r>
        <w:t>sorafenib</w:t>
      </w:r>
      <w:proofErr w:type="spellEnd"/>
      <w:r>
        <w:t xml:space="preserve"> is significant. Compared to placebo treatment, </w:t>
      </w:r>
      <w:proofErr w:type="spellStart"/>
      <w:r>
        <w:t>sorafenib</w:t>
      </w:r>
      <w:proofErr w:type="spellEnd"/>
      <w:r>
        <w:t xml:space="preserve"> treatment was associated with an excess incidence of </w:t>
      </w:r>
      <w:r w:rsidR="00CA4282">
        <w:t>Grade 3/4</w:t>
      </w:r>
      <w:r>
        <w:t xml:space="preserve"> AEs of 34% (64.3%</w:t>
      </w:r>
      <w:r w:rsidR="00E22FDA">
        <w:t xml:space="preserve"> versus</w:t>
      </w:r>
      <w:r>
        <w:t xml:space="preserve"> 30.1%) and an 11% excess incidence of serious AEs (37.2%</w:t>
      </w:r>
      <w:r w:rsidR="00E22FDA">
        <w:t xml:space="preserve"> versus</w:t>
      </w:r>
      <w:r>
        <w:t xml:space="preserve"> 26.3%). However, in most patients, </w:t>
      </w:r>
      <w:proofErr w:type="spellStart"/>
      <w:r>
        <w:t>sorafenib</w:t>
      </w:r>
      <w:proofErr w:type="spellEnd"/>
      <w:r>
        <w:t xml:space="preserve"> toxicity was manageable with dose interruptions and reductions, as the incidence of discontinuations due to AEs was increased by only 15% (18.8%</w:t>
      </w:r>
      <w:r w:rsidR="00E22FDA">
        <w:t xml:space="preserve"> versus</w:t>
      </w:r>
      <w:r>
        <w:t xml:space="preserve"> 3.8%). </w:t>
      </w:r>
      <w:proofErr w:type="spellStart"/>
      <w:r>
        <w:t>Sorafenib</w:t>
      </w:r>
      <w:proofErr w:type="spellEnd"/>
      <w:r>
        <w:t xml:space="preserve"> was not associated with an increase in treatment-related deaths.</w:t>
      </w:r>
    </w:p>
    <w:p w:rsidR="00FD5F83" w:rsidRDefault="00FD5F83" w:rsidP="00B52D84">
      <w:r>
        <w:t xml:space="preserve">Overall, the toxicity of </w:t>
      </w:r>
      <w:proofErr w:type="spellStart"/>
      <w:r>
        <w:t>sorafenib</w:t>
      </w:r>
      <w:proofErr w:type="spellEnd"/>
      <w:r>
        <w:t xml:space="preserve"> in the treatment of patients with advanced DTC has been adequately documented.</w:t>
      </w:r>
    </w:p>
    <w:p w:rsidR="00C22678" w:rsidRDefault="00C22678" w:rsidP="00B52D84">
      <w:pPr>
        <w:pStyle w:val="Heading2"/>
      </w:pPr>
      <w:bookmarkStart w:id="272" w:name="_Toc396729357"/>
      <w:r>
        <w:t>First round benefit-risk assessment</w:t>
      </w:r>
      <w:bookmarkEnd w:id="272"/>
    </w:p>
    <w:p w:rsidR="00FD5F83" w:rsidRDefault="00FD5F83" w:rsidP="00B52D84">
      <w:pPr>
        <w:pStyle w:val="Heading3"/>
      </w:pPr>
      <w:bookmarkStart w:id="273" w:name="_Toc236802592"/>
      <w:bookmarkStart w:id="274" w:name="_Toc241374331"/>
      <w:bookmarkStart w:id="275" w:name="_Ref272160836"/>
      <w:bookmarkStart w:id="276" w:name="_Toc272414693"/>
      <w:bookmarkStart w:id="277" w:name="_Toc290846331"/>
      <w:bookmarkStart w:id="278" w:name="_Toc247598354"/>
      <w:bookmarkStart w:id="279" w:name="_Toc396729358"/>
      <w:r>
        <w:t xml:space="preserve">First round </w:t>
      </w:r>
      <w:r w:rsidRPr="00B52D84">
        <w:t>assessment</w:t>
      </w:r>
      <w:r>
        <w:t xml:space="preserve"> of benefits</w:t>
      </w:r>
      <w:bookmarkEnd w:id="273"/>
      <w:bookmarkEnd w:id="274"/>
      <w:bookmarkEnd w:id="275"/>
      <w:bookmarkEnd w:id="276"/>
      <w:bookmarkEnd w:id="277"/>
      <w:bookmarkEnd w:id="278"/>
      <w:bookmarkEnd w:id="279"/>
    </w:p>
    <w:p w:rsidR="00FD5F83" w:rsidRDefault="00FD5F83" w:rsidP="00B52D84">
      <w:r>
        <w:t xml:space="preserve">The benefits of </w:t>
      </w:r>
      <w:proofErr w:type="spellStart"/>
      <w:r>
        <w:t>sorafenib</w:t>
      </w:r>
      <w:proofErr w:type="spellEnd"/>
      <w:r>
        <w:t xml:space="preserve"> in the proposed usage are:</w:t>
      </w:r>
    </w:p>
    <w:p w:rsidR="00FD5F83" w:rsidRDefault="00FD5F83" w:rsidP="00B52D84">
      <w:pPr>
        <w:pStyle w:val="ListBullet"/>
      </w:pPr>
      <w:r>
        <w:t>A significant reduction, of approximately 40%, in the risk of disease progression (or death) events. Median progression-free survival was increased by approximately 5 months.</w:t>
      </w:r>
    </w:p>
    <w:p w:rsidR="00FD5F83" w:rsidRDefault="00FD5F83" w:rsidP="00B52D84">
      <w:pPr>
        <w:pStyle w:val="Heading3"/>
      </w:pPr>
      <w:bookmarkStart w:id="280" w:name="_Toc236802596"/>
      <w:bookmarkStart w:id="281" w:name="_Toc241374334"/>
      <w:bookmarkStart w:id="282" w:name="_Ref272160964"/>
      <w:bookmarkStart w:id="283" w:name="_Toc272414694"/>
      <w:bookmarkStart w:id="284" w:name="_Toc290846332"/>
      <w:bookmarkStart w:id="285" w:name="_Toc247598355"/>
      <w:bookmarkStart w:id="286" w:name="_Toc396729359"/>
      <w:r>
        <w:t xml:space="preserve">First round </w:t>
      </w:r>
      <w:r w:rsidRPr="00B52D84">
        <w:t>assessment</w:t>
      </w:r>
      <w:r>
        <w:t xml:space="preserve"> of risks</w:t>
      </w:r>
      <w:bookmarkEnd w:id="280"/>
      <w:bookmarkEnd w:id="281"/>
      <w:bookmarkEnd w:id="282"/>
      <w:bookmarkEnd w:id="283"/>
      <w:bookmarkEnd w:id="284"/>
      <w:bookmarkEnd w:id="285"/>
      <w:bookmarkEnd w:id="286"/>
    </w:p>
    <w:p w:rsidR="00FD5F83" w:rsidRDefault="00FD5F83" w:rsidP="00FD5F83">
      <w:r>
        <w:t xml:space="preserve">The risks of </w:t>
      </w:r>
      <w:proofErr w:type="spellStart"/>
      <w:r>
        <w:t>sorafenib</w:t>
      </w:r>
      <w:proofErr w:type="spellEnd"/>
      <w:r>
        <w:t xml:space="preserve"> in the proposed usage are:</w:t>
      </w:r>
    </w:p>
    <w:p w:rsidR="00FD5F83" w:rsidRDefault="00FD5F83" w:rsidP="00B52D84">
      <w:pPr>
        <w:pStyle w:val="ListBullet"/>
      </w:pPr>
      <w:r>
        <w:t xml:space="preserve">An </w:t>
      </w:r>
      <w:r w:rsidRPr="00B52D84">
        <w:t>increased</w:t>
      </w:r>
      <w:r>
        <w:t xml:space="preserve"> risk of several adverse events, which have previously been documented with the drug. </w:t>
      </w:r>
    </w:p>
    <w:p w:rsidR="00FD5F83" w:rsidRDefault="00FD5F83" w:rsidP="005602DF">
      <w:pPr>
        <w:pStyle w:val="ListBullet"/>
      </w:pPr>
      <w:r>
        <w:t xml:space="preserve">An increased risk of two novel adverse events, hypocalcaemia and elevated TSH. </w:t>
      </w:r>
    </w:p>
    <w:p w:rsidR="00FD5F83" w:rsidRDefault="00FD5F83" w:rsidP="00B52D84">
      <w:r>
        <w:t>In a significant proportion of patients these events may be severe or life threatening (</w:t>
      </w:r>
      <w:r w:rsidR="000F0631">
        <w:t>that is,</w:t>
      </w:r>
      <w:r>
        <w:t xml:space="preserve"> </w:t>
      </w:r>
      <w:r w:rsidR="005602DF">
        <w:t>G</w:t>
      </w:r>
      <w:r>
        <w:t>rade 3 or 4). However, there does not appear to be an increased risk of fatal adverse drug reactions.  In most patients the toxicities can be managed, such that only 15% of subjects have to discontinue the drug due to adverse events caused by the drug.</w:t>
      </w:r>
    </w:p>
    <w:p w:rsidR="00FD5F83" w:rsidRDefault="00FD5F83" w:rsidP="00B52D84">
      <w:pPr>
        <w:pStyle w:val="Heading3"/>
      </w:pPr>
      <w:bookmarkStart w:id="287" w:name="_Toc236802597"/>
      <w:bookmarkStart w:id="288" w:name="_Toc241374335"/>
      <w:bookmarkStart w:id="289" w:name="_Toc272414695"/>
      <w:bookmarkStart w:id="290" w:name="_Toc290846333"/>
      <w:bookmarkStart w:id="291" w:name="_Toc247598356"/>
      <w:bookmarkStart w:id="292" w:name="_Toc396729360"/>
      <w:r>
        <w:lastRenderedPageBreak/>
        <w:t xml:space="preserve">First round assessment </w:t>
      </w:r>
      <w:r w:rsidRPr="00B52D84">
        <w:t>of</w:t>
      </w:r>
      <w:r>
        <w:t xml:space="preserve"> benefit-risk balance</w:t>
      </w:r>
      <w:bookmarkEnd w:id="287"/>
      <w:bookmarkEnd w:id="288"/>
      <w:bookmarkEnd w:id="289"/>
      <w:bookmarkEnd w:id="290"/>
      <w:bookmarkEnd w:id="291"/>
      <w:bookmarkEnd w:id="292"/>
    </w:p>
    <w:p w:rsidR="00FD5F83" w:rsidRDefault="00FD5F83" w:rsidP="00B52D84">
      <w:r>
        <w:t xml:space="preserve">The benefit-risk balance of </w:t>
      </w:r>
      <w:proofErr w:type="spellStart"/>
      <w:r>
        <w:t>sorafenib</w:t>
      </w:r>
      <w:proofErr w:type="spellEnd"/>
      <w:r>
        <w:t xml:space="preserve">, given the proposed usage, is considered favourable. This assessment takes into account the nature of the population (subjects with a life-threatening illness) and the very limited alternative treatments available.  </w:t>
      </w:r>
    </w:p>
    <w:p w:rsidR="00C22678" w:rsidRDefault="00C22678" w:rsidP="00B52D84">
      <w:pPr>
        <w:pStyle w:val="Heading2"/>
      </w:pPr>
      <w:bookmarkStart w:id="293" w:name="_Toc396729361"/>
      <w:r w:rsidRPr="005602DF">
        <w:t>First</w:t>
      </w:r>
      <w:r>
        <w:t xml:space="preserve"> round </w:t>
      </w:r>
      <w:r w:rsidRPr="00B52D84">
        <w:t>recommendation</w:t>
      </w:r>
      <w:r>
        <w:t xml:space="preserve"> regarding authorisation</w:t>
      </w:r>
      <w:bookmarkEnd w:id="293"/>
    </w:p>
    <w:p w:rsidR="00C22678" w:rsidRPr="00586F98" w:rsidRDefault="00FD5F83" w:rsidP="00B52D84">
      <w:pPr>
        <w:rPr>
          <w:lang w:eastAsia="ja-JP"/>
        </w:rPr>
      </w:pPr>
      <w:r>
        <w:t>It is recommended that the application be approved.</w:t>
      </w:r>
    </w:p>
    <w:p w:rsidR="00C22678" w:rsidRDefault="00C22678" w:rsidP="00B52D84">
      <w:pPr>
        <w:pStyle w:val="Heading2"/>
      </w:pPr>
      <w:bookmarkStart w:id="294" w:name="_Toc396729362"/>
      <w:r>
        <w:t xml:space="preserve">Clinical </w:t>
      </w:r>
      <w:r w:rsidRPr="00B52D84">
        <w:t>questions</w:t>
      </w:r>
      <w:bookmarkEnd w:id="294"/>
    </w:p>
    <w:p w:rsidR="00FD5F83" w:rsidRDefault="00FD5F83" w:rsidP="00B52D84">
      <w:pPr>
        <w:pStyle w:val="Heading3"/>
      </w:pPr>
      <w:bookmarkStart w:id="295" w:name="_Toc247598363"/>
      <w:bookmarkStart w:id="296" w:name="_Toc272414702"/>
      <w:bookmarkStart w:id="297" w:name="_Toc290846342"/>
      <w:bookmarkStart w:id="298" w:name="_Toc396729363"/>
      <w:r w:rsidRPr="00B52D84">
        <w:t>General</w:t>
      </w:r>
      <w:bookmarkEnd w:id="295"/>
      <w:bookmarkEnd w:id="298"/>
    </w:p>
    <w:p w:rsidR="00FD5F83" w:rsidRDefault="00FD5F83" w:rsidP="00B52D84">
      <w:r>
        <w:t xml:space="preserve">Please provide an assurance that the formulation of </w:t>
      </w:r>
      <w:proofErr w:type="spellStart"/>
      <w:r>
        <w:t>sorafenib</w:t>
      </w:r>
      <w:proofErr w:type="spellEnd"/>
      <w:r>
        <w:t xml:space="preserve"> used in the pivotal study (14295) was identical to that currently registered in Australia.</w:t>
      </w:r>
    </w:p>
    <w:p w:rsidR="00FD5F83" w:rsidRDefault="00FD5F83" w:rsidP="00B52D84">
      <w:r>
        <w:t>Please outline the arguments that were put to the EMA to obtain the paediatric waiver.</w:t>
      </w:r>
    </w:p>
    <w:p w:rsidR="00FD5F83" w:rsidRPr="00872461" w:rsidRDefault="00FD5F83" w:rsidP="00B52D84">
      <w:pPr>
        <w:pStyle w:val="Heading3"/>
      </w:pPr>
      <w:bookmarkStart w:id="299" w:name="_Toc247598364"/>
      <w:bookmarkStart w:id="300" w:name="_Toc396729364"/>
      <w:r w:rsidRPr="00B52D84">
        <w:t>Pharmacokinetics</w:t>
      </w:r>
      <w:bookmarkEnd w:id="296"/>
      <w:bookmarkEnd w:id="297"/>
      <w:bookmarkEnd w:id="299"/>
      <w:bookmarkEnd w:id="300"/>
    </w:p>
    <w:p w:rsidR="00FD5F83" w:rsidRDefault="00FD5F83" w:rsidP="00B52D84">
      <w:r>
        <w:t xml:space="preserve">Please provide an update on the progress of the investigations being undertaken to determine the mechanism responsible for the increased </w:t>
      </w:r>
      <w:proofErr w:type="spellStart"/>
      <w:r>
        <w:t>sorafenib</w:t>
      </w:r>
      <w:proofErr w:type="spellEnd"/>
      <w:r>
        <w:t xml:space="preserve"> exposure observed in thyroid cancer patients.</w:t>
      </w:r>
    </w:p>
    <w:p w:rsidR="00FD5F83" w:rsidRPr="00872461" w:rsidRDefault="00FD5F83" w:rsidP="00B52D84">
      <w:pPr>
        <w:pStyle w:val="Heading3"/>
      </w:pPr>
      <w:bookmarkStart w:id="301" w:name="_Toc272414704"/>
      <w:bookmarkStart w:id="302" w:name="_Toc290846344"/>
      <w:bookmarkStart w:id="303" w:name="_Toc247598365"/>
      <w:bookmarkStart w:id="304" w:name="_Toc396729365"/>
      <w:r w:rsidRPr="00B52D84">
        <w:t>Efficacy</w:t>
      </w:r>
      <w:bookmarkEnd w:id="301"/>
      <w:bookmarkEnd w:id="302"/>
      <w:bookmarkEnd w:id="303"/>
      <w:bookmarkEnd w:id="304"/>
    </w:p>
    <w:p w:rsidR="00FD5F83" w:rsidRDefault="00FD5F83" w:rsidP="00B52D84">
      <w:r>
        <w:t>Please provide the results of the follow-up analysis of overall survival that was due to be conducted nine months after the primary completion date of 31 A</w:t>
      </w:r>
      <w:r w:rsidRPr="00B52D84">
        <w:t>u</w:t>
      </w:r>
      <w:r>
        <w:t>gust 2012. Please advise whether any further analyses of overall survival are planned.</w:t>
      </w:r>
    </w:p>
    <w:p w:rsidR="00C618F7" w:rsidRDefault="00C618F7" w:rsidP="00B52D84">
      <w:pPr>
        <w:pStyle w:val="Heading2"/>
      </w:pPr>
      <w:bookmarkStart w:id="305" w:name="_Toc396729366"/>
      <w:r w:rsidRPr="005602DF">
        <w:t>Second</w:t>
      </w:r>
      <w:r>
        <w:t xml:space="preserve"> </w:t>
      </w:r>
      <w:r w:rsidRPr="00B52D84">
        <w:t>round</w:t>
      </w:r>
      <w:r>
        <w:t xml:space="preserve"> evaluation of clinical data submitted in response to questions</w:t>
      </w:r>
      <w:bookmarkEnd w:id="305"/>
    </w:p>
    <w:p w:rsidR="005602DF" w:rsidRDefault="00FD5F83" w:rsidP="00B52D84">
      <w:pPr>
        <w:rPr>
          <w:lang w:eastAsia="ja-JP"/>
        </w:rPr>
      </w:pPr>
      <w:r>
        <w:rPr>
          <w:lang w:eastAsia="ja-JP"/>
        </w:rPr>
        <w:t xml:space="preserve">No second </w:t>
      </w:r>
      <w:r w:rsidR="00B52D84">
        <w:rPr>
          <w:lang w:eastAsia="ja-JP"/>
        </w:rPr>
        <w:t>round evaluation was conducted.</w:t>
      </w:r>
    </w:p>
    <w:p w:rsidR="005602DF" w:rsidRDefault="005602DF" w:rsidP="00B52D84">
      <w:r>
        <w:t>The sponsor’s responses to the evaluator’s request for further information (</w:t>
      </w:r>
      <w:r w:rsidRPr="0065080B">
        <w:rPr>
          <w:i/>
        </w:rPr>
        <w:t>Clinical questions</w:t>
      </w:r>
      <w:r>
        <w:t xml:space="preserve"> above) have been taken into account in the Delegate’s overview (see </w:t>
      </w:r>
      <w:proofErr w:type="spellStart"/>
      <w:r>
        <w:t>Nexavar</w:t>
      </w:r>
      <w:proofErr w:type="spellEnd"/>
      <w:r>
        <w:t xml:space="preserve"> </w:t>
      </w:r>
      <w:proofErr w:type="spellStart"/>
      <w:r>
        <w:t>AusPAR</w:t>
      </w:r>
      <w:proofErr w:type="spellEnd"/>
      <w:r>
        <w:t xml:space="preserve">) and a second round evaluation was not generated. </w:t>
      </w:r>
    </w:p>
    <w:p w:rsidR="00C618F7" w:rsidRDefault="00C618F7" w:rsidP="00B52D84">
      <w:pPr>
        <w:pStyle w:val="Heading2"/>
      </w:pPr>
      <w:bookmarkStart w:id="306" w:name="_Toc396729367"/>
      <w:r w:rsidRPr="00B52D84">
        <w:t>References</w:t>
      </w:r>
      <w:bookmarkEnd w:id="306"/>
    </w:p>
    <w:bookmarkEnd w:id="1"/>
    <w:bookmarkEnd w:id="0"/>
    <w:bookmarkEnd w:id="3"/>
    <w:p w:rsidR="00FD5F83" w:rsidRPr="005602DF" w:rsidRDefault="00FD5F83" w:rsidP="00B52D84">
      <w:pPr>
        <w:pStyle w:val="Numberbullet0"/>
        <w:numPr>
          <w:ilvl w:val="0"/>
          <w:numId w:val="42"/>
        </w:numPr>
      </w:pPr>
      <w:r w:rsidRPr="005602DF">
        <w:t xml:space="preserve">2012. Cancer in Australia: an overview, 2012. Cancer series no. 74. Cat. </w:t>
      </w:r>
      <w:proofErr w:type="gramStart"/>
      <w:r w:rsidRPr="005602DF">
        <w:t>no</w:t>
      </w:r>
      <w:proofErr w:type="gramEnd"/>
      <w:r w:rsidRPr="005602DF">
        <w:t xml:space="preserve">. CAN 70. </w:t>
      </w:r>
      <w:r w:rsidRPr="00B52D84">
        <w:t>Canberra</w:t>
      </w:r>
      <w:r w:rsidRPr="005602DF">
        <w:t>: AIHW.</w:t>
      </w:r>
    </w:p>
    <w:p w:rsidR="00FD5F83" w:rsidRPr="005602DF" w:rsidRDefault="00FD5F83" w:rsidP="00B52D84">
      <w:pPr>
        <w:pStyle w:val="Numberbullet0"/>
        <w:numPr>
          <w:ilvl w:val="0"/>
          <w:numId w:val="42"/>
        </w:numPr>
      </w:pPr>
      <w:proofErr w:type="spellStart"/>
      <w:r w:rsidRPr="005602DF">
        <w:t>Hundahl</w:t>
      </w:r>
      <w:proofErr w:type="spellEnd"/>
      <w:r w:rsidRPr="005602DF">
        <w:t xml:space="preserve"> SA, Fleming ID, </w:t>
      </w:r>
      <w:proofErr w:type="spellStart"/>
      <w:r w:rsidRPr="005602DF">
        <w:t>Fremgen</w:t>
      </w:r>
      <w:proofErr w:type="spellEnd"/>
      <w:r w:rsidRPr="005602DF">
        <w:t xml:space="preserve"> AM and </w:t>
      </w:r>
      <w:proofErr w:type="spellStart"/>
      <w:r w:rsidRPr="005602DF">
        <w:t>Menck</w:t>
      </w:r>
      <w:proofErr w:type="spellEnd"/>
      <w:r w:rsidRPr="005602DF">
        <w:t xml:space="preserve"> HR. A National Cancer Data Base Report on 53,856 Cases of Thyroid Carcinoma Treated in the U.S., 1985–1995. Cancer 1998 Dec 15; 83 (12): 2638-48.</w:t>
      </w:r>
    </w:p>
    <w:p w:rsidR="00FD5F83" w:rsidRPr="005602DF" w:rsidRDefault="00FD5F83" w:rsidP="00B52D84">
      <w:pPr>
        <w:pStyle w:val="Numberbullet0"/>
        <w:numPr>
          <w:ilvl w:val="0"/>
          <w:numId w:val="42"/>
        </w:numPr>
      </w:pPr>
      <w:r w:rsidRPr="005602DF">
        <w:t xml:space="preserve">Cooper DS, David S, Doherty GM et al. Revised </w:t>
      </w:r>
      <w:r w:rsidRPr="00B52D84">
        <w:t>American</w:t>
      </w:r>
      <w:r w:rsidRPr="005602DF">
        <w:t xml:space="preserve"> Thyroid Association Management Guidelines for Patients with Thyroid Nodules and Differentiated Thyroid Cancer. Thyroid; 2009; 19 (11): 1164-1214.</w:t>
      </w:r>
    </w:p>
    <w:p w:rsidR="00FD5F83" w:rsidRPr="005602DF" w:rsidRDefault="00FD5F83" w:rsidP="00B52D84">
      <w:pPr>
        <w:pStyle w:val="Numberbullet0"/>
        <w:numPr>
          <w:ilvl w:val="0"/>
          <w:numId w:val="42"/>
        </w:numPr>
      </w:pPr>
      <w:r w:rsidRPr="005602DF">
        <w:lastRenderedPageBreak/>
        <w:t xml:space="preserve">National </w:t>
      </w:r>
      <w:r w:rsidRPr="00B52D84">
        <w:t>Comprehensive</w:t>
      </w:r>
      <w:r w:rsidRPr="005602DF">
        <w:t xml:space="preserve"> Cancer Network (NCCN), Clinical Practice Guidelines in Oncology, Thyroid Carcinoma, Version 1.2013. Available from: </w:t>
      </w:r>
      <w:r w:rsidR="00B52D84">
        <w:t>&lt;</w:t>
      </w:r>
      <w:hyperlink r:id="rId59" w:history="1">
        <w:r w:rsidRPr="005602DF">
          <w:rPr>
            <w:rStyle w:val="Hyperlink"/>
          </w:rPr>
          <w:t>http://www.nccn.org/professionals/physician_gls/pdf/thyroid.pdf</w:t>
        </w:r>
      </w:hyperlink>
      <w:r w:rsidR="00B52D84" w:rsidRPr="00B52D84">
        <w:t>&gt;</w:t>
      </w:r>
    </w:p>
    <w:p w:rsidR="00FD5F83" w:rsidRPr="005602DF" w:rsidRDefault="00FD5F83" w:rsidP="005602DF">
      <w:pPr>
        <w:pStyle w:val="Numberbullet0"/>
      </w:pPr>
      <w:r w:rsidRPr="005602DF">
        <w:t>Xing M, Haugen BR, Schlumberger M. Progress in molecular-based management of differentiated thyroid cancer. Lancet 2013; 381:1058-1069</w:t>
      </w:r>
    </w:p>
    <w:p w:rsidR="00FD5F83" w:rsidRPr="005602DF" w:rsidRDefault="00FD5F83" w:rsidP="00B52D84">
      <w:pPr>
        <w:pStyle w:val="Numberbullet0"/>
      </w:pPr>
      <w:r w:rsidRPr="005602DF">
        <w:t xml:space="preserve">European Medicines Agency. Guideline on the Evaluation of Anticancer Medicinal Products in Man (CPMP/EWP/205/95/Rev.3/Corr.); 2005. Available from: </w:t>
      </w:r>
      <w:r w:rsidR="00B52D84">
        <w:t>&lt;</w:t>
      </w:r>
      <w:hyperlink r:id="rId60" w:anchor="chmp205" w:history="1">
        <w:r w:rsidR="00B52D84" w:rsidRPr="00B52D84">
          <w:rPr>
            <w:rStyle w:val="Hyperlink"/>
          </w:rPr>
          <w:t>http://www.tga.gov.au/industry/pm-euguidelines-adopted-clinical.htm#chmp205</w:t>
        </w:r>
      </w:hyperlink>
      <w:r w:rsidR="00B52D84" w:rsidRPr="00B52D84">
        <w:t>&gt;</w:t>
      </w:r>
    </w:p>
    <w:p w:rsidR="00FD5F83" w:rsidRPr="005602DF" w:rsidRDefault="00FD5F83" w:rsidP="00B52D84">
      <w:pPr>
        <w:pStyle w:val="Numberbullet0"/>
      </w:pPr>
      <w:r w:rsidRPr="005602DF">
        <w:t xml:space="preserve">European Medicines Agency. Appendix 1 </w:t>
      </w:r>
      <w:proofErr w:type="gramStart"/>
      <w:r w:rsidRPr="005602DF">
        <w:t>To</w:t>
      </w:r>
      <w:proofErr w:type="gramEnd"/>
      <w:r w:rsidRPr="005602DF">
        <w:t xml:space="preserve"> The Guideline On The Evaluation of Anticancer Medicinal Products In Man:  Methodological Considerations For Using Progression-Free Survival (PFS) As Primary Endpoint In Confirmatory Trials For Registration (EMEA/CHMP/EWP/27994/2008); 2008. Available from: </w:t>
      </w:r>
      <w:r w:rsidR="00B52D84">
        <w:t>&lt;</w:t>
      </w:r>
      <w:hyperlink r:id="rId61" w:anchor="chmp27994" w:history="1">
        <w:r w:rsidR="00B52D84" w:rsidRPr="00B52D84">
          <w:rPr>
            <w:rStyle w:val="Hyperlink"/>
          </w:rPr>
          <w:t>http://www.tga.gov.au/industry/pm-euguidelines-adopted-clinical.htm#chmp27994</w:t>
        </w:r>
      </w:hyperlink>
      <w:r w:rsidR="00B52D84">
        <w:t>&gt;</w:t>
      </w:r>
    </w:p>
    <w:p w:rsidR="00FD5F83" w:rsidRPr="005602DF" w:rsidRDefault="00FD5F83" w:rsidP="00B52D84">
      <w:pPr>
        <w:pStyle w:val="Numberbullet0"/>
      </w:pPr>
      <w:r w:rsidRPr="005602DF">
        <w:t xml:space="preserve">European Medicines Agency. Points to Consider on Application with 1. Meta-Analyses; 2. One Pivotal Study (CPMP/EWP/2330/99); 2001. Available from: </w:t>
      </w:r>
      <w:r w:rsidR="00B52D84">
        <w:t>&lt;</w:t>
      </w:r>
      <w:hyperlink r:id="rId62" w:anchor="ewp2330" w:history="1">
        <w:r w:rsidR="00B52D84" w:rsidRPr="00B52D84">
          <w:rPr>
            <w:rStyle w:val="Hyperlink"/>
          </w:rPr>
          <w:t>http://www.tga.gov.au/industry/pm-euguidelines-adopted-clinical.htm#ewp2330</w:t>
        </w:r>
      </w:hyperlink>
      <w:r w:rsidR="00B52D84">
        <w:t>&gt;</w:t>
      </w:r>
    </w:p>
    <w:p w:rsidR="00FD5F83" w:rsidRPr="005602DF" w:rsidRDefault="00FD5F83" w:rsidP="005602DF">
      <w:pPr>
        <w:pStyle w:val="Numberbullet0"/>
      </w:pPr>
      <w:r w:rsidRPr="005602DF">
        <w:t xml:space="preserve">Food and Drug Administration. FDA News Release. 22 Nov 2013. Available from: </w:t>
      </w:r>
      <w:r w:rsidR="00B52D84">
        <w:t>&lt;</w:t>
      </w:r>
      <w:hyperlink r:id="rId63" w:history="1">
        <w:r w:rsidRPr="005602DF">
          <w:rPr>
            <w:rStyle w:val="Hyperlink"/>
          </w:rPr>
          <w:t>http://www.fda.gov/NewsEvents/Newsroom/PressAnnouncements/ucm376443.htm</w:t>
        </w:r>
      </w:hyperlink>
      <w:r w:rsidR="00B52D84" w:rsidRPr="00B52D84">
        <w:t>&gt;</w:t>
      </w:r>
    </w:p>
    <w:p w:rsidR="00FD5F83" w:rsidRPr="005602DF" w:rsidRDefault="00FD5F83" w:rsidP="00B52D84">
      <w:pPr>
        <w:pStyle w:val="Numberbullet0"/>
      </w:pPr>
      <w:proofErr w:type="spellStart"/>
      <w:r w:rsidRPr="005602DF">
        <w:t>Semrad</w:t>
      </w:r>
      <w:proofErr w:type="spellEnd"/>
      <w:r w:rsidRPr="005602DF">
        <w:t xml:space="preserve"> TJ, </w:t>
      </w:r>
      <w:proofErr w:type="spellStart"/>
      <w:r w:rsidRPr="005602DF">
        <w:t>Gandara</w:t>
      </w:r>
      <w:proofErr w:type="spellEnd"/>
      <w:r w:rsidRPr="005602DF">
        <w:t xml:space="preserve"> DR and Lara PN. Enhancing the clinical activity of </w:t>
      </w:r>
      <w:proofErr w:type="spellStart"/>
      <w:r w:rsidRPr="005602DF">
        <w:t>sorafenib</w:t>
      </w:r>
      <w:proofErr w:type="spellEnd"/>
      <w:r w:rsidRPr="005602DF">
        <w:t xml:space="preserve"> through dose escalation: rationale and current experience. Therapeutic Advances in Medical Oncology; 2011 March; 3(2): 95-100.</w:t>
      </w:r>
    </w:p>
    <w:p w:rsidR="00FD5F83" w:rsidRPr="005602DF" w:rsidRDefault="00FD5F83" w:rsidP="005602DF">
      <w:pPr>
        <w:pStyle w:val="Numberbullet0"/>
      </w:pPr>
      <w:r w:rsidRPr="005602DF">
        <w:t xml:space="preserve">Brose MS, Nutting C, </w:t>
      </w:r>
      <w:proofErr w:type="spellStart"/>
      <w:r w:rsidRPr="005602DF">
        <w:t>Jarzab</w:t>
      </w:r>
      <w:proofErr w:type="spellEnd"/>
      <w:r w:rsidRPr="005602DF">
        <w:t xml:space="preserve"> B et al. </w:t>
      </w:r>
      <w:proofErr w:type="spellStart"/>
      <w:r w:rsidRPr="005602DF">
        <w:t>Sorafenib</w:t>
      </w:r>
      <w:proofErr w:type="spellEnd"/>
      <w:r w:rsidRPr="005602DF">
        <w:t xml:space="preserve"> in locally advanced or metastatic patients with radioactive iodine-refractory differentiated thyroid cancer: The phase III DECISION trial. J </w:t>
      </w:r>
      <w:proofErr w:type="spellStart"/>
      <w:r w:rsidRPr="005602DF">
        <w:t>Clin</w:t>
      </w:r>
      <w:proofErr w:type="spellEnd"/>
      <w:r w:rsidRPr="005602DF">
        <w:t xml:space="preserve"> </w:t>
      </w:r>
      <w:proofErr w:type="spellStart"/>
      <w:r w:rsidRPr="005602DF">
        <w:t>Oncol</w:t>
      </w:r>
      <w:proofErr w:type="spellEnd"/>
      <w:r w:rsidRPr="005602DF">
        <w:t>; 2013 31 (</w:t>
      </w:r>
      <w:proofErr w:type="spellStart"/>
      <w:r w:rsidRPr="005602DF">
        <w:t>suppl</w:t>
      </w:r>
      <w:proofErr w:type="spellEnd"/>
      <w:r w:rsidRPr="005602DF">
        <w:t>): abstract 4. [ASCO 2013 Abstract]</w:t>
      </w:r>
    </w:p>
    <w:p w:rsidR="00FD5F83" w:rsidRPr="005602DF" w:rsidRDefault="00FD5F83" w:rsidP="00B52D84">
      <w:pPr>
        <w:pStyle w:val="Numberbullet0"/>
      </w:pPr>
      <w:r w:rsidRPr="005602DF">
        <w:t xml:space="preserve">Ahmed M, </w:t>
      </w:r>
      <w:proofErr w:type="spellStart"/>
      <w:r w:rsidRPr="005602DF">
        <w:t>Barbachano</w:t>
      </w:r>
      <w:proofErr w:type="spellEnd"/>
      <w:r w:rsidRPr="005602DF">
        <w:t xml:space="preserve"> Y, Riddell </w:t>
      </w:r>
      <w:proofErr w:type="gramStart"/>
      <w:r w:rsidRPr="005602DF">
        <w:t>A</w:t>
      </w:r>
      <w:proofErr w:type="gramEnd"/>
      <w:r w:rsidRPr="005602DF">
        <w:t xml:space="preserve"> et al. Analysis of the efficacy and toxicity of </w:t>
      </w:r>
      <w:proofErr w:type="spellStart"/>
      <w:r w:rsidRPr="005602DF">
        <w:t>sorafenib</w:t>
      </w:r>
      <w:proofErr w:type="spellEnd"/>
      <w:r w:rsidRPr="005602DF">
        <w:t xml:space="preserve"> in thyroid </w:t>
      </w:r>
      <w:r w:rsidRPr="00B52D84">
        <w:t>cancer</w:t>
      </w:r>
      <w:r w:rsidRPr="005602DF">
        <w:t xml:space="preserve"> - a phase II study in a UK based population. </w:t>
      </w:r>
      <w:proofErr w:type="spellStart"/>
      <w:r w:rsidRPr="005602DF">
        <w:t>Eur</w:t>
      </w:r>
      <w:proofErr w:type="spellEnd"/>
      <w:r w:rsidRPr="005602DF">
        <w:t xml:space="preserve"> J </w:t>
      </w:r>
      <w:proofErr w:type="spellStart"/>
      <w:r w:rsidRPr="005602DF">
        <w:t>Endocrinol</w:t>
      </w:r>
      <w:proofErr w:type="spellEnd"/>
      <w:r w:rsidRPr="005602DF">
        <w:t>. 2011; 165: 315-322.</w:t>
      </w:r>
    </w:p>
    <w:p w:rsidR="00FD5F83" w:rsidRPr="005602DF" w:rsidRDefault="00FD5F83" w:rsidP="005602DF">
      <w:pPr>
        <w:pStyle w:val="Numberbullet0"/>
      </w:pPr>
      <w:r w:rsidRPr="005602DF">
        <w:t xml:space="preserve">Schneider TC, </w:t>
      </w:r>
      <w:proofErr w:type="spellStart"/>
      <w:r w:rsidRPr="005602DF">
        <w:t>Abdulrahman</w:t>
      </w:r>
      <w:proofErr w:type="spellEnd"/>
      <w:r w:rsidRPr="005602DF">
        <w:t xml:space="preserve"> RM, </w:t>
      </w:r>
      <w:proofErr w:type="spellStart"/>
      <w:r w:rsidRPr="005602DF">
        <w:t>Corssmit</w:t>
      </w:r>
      <w:proofErr w:type="spellEnd"/>
      <w:r w:rsidRPr="005602DF">
        <w:t xml:space="preserve"> EP, et al. Long-term analysis of the efficacy and tolerability of </w:t>
      </w:r>
      <w:proofErr w:type="spellStart"/>
      <w:r w:rsidRPr="005602DF">
        <w:t>sorafenib</w:t>
      </w:r>
      <w:proofErr w:type="spellEnd"/>
      <w:r w:rsidRPr="005602DF">
        <w:t xml:space="preserve"> in advanced radio-iodine refractory differentiated thyroid carcinoma: final results of a phase II trial. </w:t>
      </w:r>
      <w:proofErr w:type="spellStart"/>
      <w:r w:rsidRPr="005602DF">
        <w:t>Eur</w:t>
      </w:r>
      <w:proofErr w:type="spellEnd"/>
      <w:r w:rsidRPr="005602DF">
        <w:t xml:space="preserve"> J Endocrinology 2012; 167: 643-650.</w:t>
      </w:r>
    </w:p>
    <w:p w:rsidR="00FD5F83" w:rsidRPr="005602DF" w:rsidRDefault="00FD5F83" w:rsidP="005602DF">
      <w:pPr>
        <w:pStyle w:val="Numberbullet0"/>
      </w:pPr>
      <w:r w:rsidRPr="005602DF">
        <w:t xml:space="preserve">Gupta-Abramson V, </w:t>
      </w:r>
      <w:proofErr w:type="spellStart"/>
      <w:r w:rsidRPr="005602DF">
        <w:t>Troxel</w:t>
      </w:r>
      <w:proofErr w:type="spellEnd"/>
      <w:r w:rsidRPr="005602DF">
        <w:t xml:space="preserve"> AB, Nellore </w:t>
      </w:r>
      <w:proofErr w:type="gramStart"/>
      <w:r w:rsidRPr="005602DF">
        <w:t>A</w:t>
      </w:r>
      <w:proofErr w:type="gramEnd"/>
      <w:r w:rsidRPr="005602DF">
        <w:t xml:space="preserve"> et al. Phase II trial of </w:t>
      </w:r>
      <w:proofErr w:type="spellStart"/>
      <w:r w:rsidRPr="005602DF">
        <w:t>sorafenib</w:t>
      </w:r>
      <w:proofErr w:type="spellEnd"/>
      <w:r w:rsidRPr="005602DF">
        <w:t xml:space="preserve"> in advanced thyroid cancer. J </w:t>
      </w:r>
      <w:proofErr w:type="spellStart"/>
      <w:r w:rsidRPr="005602DF">
        <w:t>Clin</w:t>
      </w:r>
      <w:proofErr w:type="spellEnd"/>
      <w:r w:rsidRPr="005602DF">
        <w:t xml:space="preserve"> </w:t>
      </w:r>
      <w:proofErr w:type="spellStart"/>
      <w:r w:rsidRPr="005602DF">
        <w:t>Oncol</w:t>
      </w:r>
      <w:proofErr w:type="spellEnd"/>
      <w:r w:rsidRPr="005602DF">
        <w:t xml:space="preserve"> 2008; 26: 4714-4719.</w:t>
      </w:r>
    </w:p>
    <w:p w:rsidR="00FD5F83" w:rsidRPr="005602DF" w:rsidRDefault="00FD5F83" w:rsidP="00B52D84">
      <w:pPr>
        <w:pStyle w:val="Numberbullet0"/>
      </w:pPr>
      <w:r w:rsidRPr="005602DF">
        <w:t xml:space="preserve">Brose MS, </w:t>
      </w:r>
      <w:proofErr w:type="spellStart"/>
      <w:r w:rsidRPr="005602DF">
        <w:t>Troxel</w:t>
      </w:r>
      <w:proofErr w:type="spellEnd"/>
      <w:r w:rsidRPr="005602DF">
        <w:t xml:space="preserve"> AB, </w:t>
      </w:r>
      <w:proofErr w:type="spellStart"/>
      <w:r w:rsidRPr="005602DF">
        <w:t>Harlacker</w:t>
      </w:r>
      <w:proofErr w:type="spellEnd"/>
      <w:r w:rsidRPr="005602DF">
        <w:t xml:space="preserve"> K et al. Completion of a phase II study of </w:t>
      </w:r>
      <w:proofErr w:type="spellStart"/>
      <w:r w:rsidRPr="005602DF">
        <w:t>sorafenib</w:t>
      </w:r>
      <w:proofErr w:type="spellEnd"/>
      <w:r w:rsidRPr="005602DF">
        <w:t xml:space="preserve"> for advanced </w:t>
      </w:r>
      <w:r w:rsidRPr="00B52D84">
        <w:t>thyroid</w:t>
      </w:r>
      <w:r w:rsidRPr="005602DF">
        <w:t xml:space="preserve"> cancer. </w:t>
      </w:r>
      <w:proofErr w:type="spellStart"/>
      <w:r w:rsidRPr="005602DF">
        <w:t>Eur</w:t>
      </w:r>
      <w:proofErr w:type="spellEnd"/>
      <w:r w:rsidRPr="005602DF">
        <w:t xml:space="preserve"> J Cancer. 2009</w:t>
      </w:r>
      <w:proofErr w:type="gramStart"/>
      <w:r w:rsidRPr="005602DF">
        <w:t>;7</w:t>
      </w:r>
      <w:proofErr w:type="gramEnd"/>
      <w:r w:rsidRPr="005602DF">
        <w:t>(</w:t>
      </w:r>
      <w:proofErr w:type="spellStart"/>
      <w:r w:rsidRPr="005602DF">
        <w:t>suppl</w:t>
      </w:r>
      <w:proofErr w:type="spellEnd"/>
      <w:r w:rsidRPr="005602DF">
        <w:t>):22. Abstract 51LBA. [ESMO 2009 Abstract].</w:t>
      </w:r>
    </w:p>
    <w:p w:rsidR="00FD5F83" w:rsidRPr="005602DF" w:rsidRDefault="00FD5F83" w:rsidP="005602DF">
      <w:pPr>
        <w:pStyle w:val="Numberbullet0"/>
      </w:pPr>
      <w:r w:rsidRPr="005602DF">
        <w:t xml:space="preserve">Keefe SM, </w:t>
      </w:r>
      <w:proofErr w:type="spellStart"/>
      <w:r w:rsidRPr="005602DF">
        <w:t>Troxel</w:t>
      </w:r>
      <w:proofErr w:type="spellEnd"/>
      <w:r w:rsidRPr="005602DF">
        <w:t xml:space="preserve"> ABH, Rhee S, </w:t>
      </w:r>
      <w:proofErr w:type="spellStart"/>
      <w:r w:rsidRPr="005602DF">
        <w:t>Puttaswamy</w:t>
      </w:r>
      <w:proofErr w:type="spellEnd"/>
      <w:r w:rsidRPr="005602DF">
        <w:t xml:space="preserve"> K et al. Phase II trial of </w:t>
      </w:r>
      <w:proofErr w:type="spellStart"/>
      <w:r w:rsidRPr="005602DF">
        <w:t>sorafenib</w:t>
      </w:r>
      <w:proofErr w:type="spellEnd"/>
      <w:r w:rsidRPr="005602DF">
        <w:t xml:space="preserve"> in patients with advanced thyroid cancer. J </w:t>
      </w:r>
      <w:proofErr w:type="spellStart"/>
      <w:r w:rsidRPr="005602DF">
        <w:t>Clin</w:t>
      </w:r>
      <w:proofErr w:type="spellEnd"/>
      <w:r w:rsidRPr="005602DF">
        <w:t xml:space="preserve"> </w:t>
      </w:r>
      <w:proofErr w:type="spellStart"/>
      <w:r w:rsidRPr="005602DF">
        <w:t>Oncol</w:t>
      </w:r>
      <w:proofErr w:type="spellEnd"/>
      <w:r w:rsidRPr="005602DF">
        <w:t>. 2011</w:t>
      </w:r>
      <w:proofErr w:type="gramStart"/>
      <w:r w:rsidRPr="005602DF">
        <w:t>;29</w:t>
      </w:r>
      <w:proofErr w:type="gramEnd"/>
      <w:r w:rsidRPr="005602DF">
        <w:t xml:space="preserve"> (</w:t>
      </w:r>
      <w:proofErr w:type="spellStart"/>
      <w:r w:rsidRPr="005602DF">
        <w:t>suppl</w:t>
      </w:r>
      <w:proofErr w:type="spellEnd"/>
      <w:r w:rsidRPr="005602DF">
        <w:t>):375S. Abstract 5562. [ASCO 2011 Abstract]</w:t>
      </w:r>
    </w:p>
    <w:p w:rsidR="00FD5F83" w:rsidRPr="005602DF" w:rsidRDefault="00FD5F83" w:rsidP="005602DF">
      <w:pPr>
        <w:pStyle w:val="Numberbullet0"/>
      </w:pPr>
      <w:proofErr w:type="spellStart"/>
      <w:r w:rsidRPr="005602DF">
        <w:t>Kloos</w:t>
      </w:r>
      <w:proofErr w:type="spellEnd"/>
      <w:r w:rsidRPr="005602DF">
        <w:t xml:space="preserve"> RT, </w:t>
      </w:r>
      <w:proofErr w:type="spellStart"/>
      <w:r w:rsidRPr="005602DF">
        <w:t>Ringel</w:t>
      </w:r>
      <w:proofErr w:type="spellEnd"/>
      <w:r w:rsidRPr="005602DF">
        <w:t xml:space="preserve"> MD, </w:t>
      </w:r>
      <w:proofErr w:type="spellStart"/>
      <w:r w:rsidRPr="005602DF">
        <w:t>Knopp</w:t>
      </w:r>
      <w:proofErr w:type="spellEnd"/>
      <w:r w:rsidRPr="005602DF">
        <w:t xml:space="preserve"> MV et al. Phase II trial of </w:t>
      </w:r>
      <w:proofErr w:type="spellStart"/>
      <w:r w:rsidRPr="005602DF">
        <w:t>sorafenib</w:t>
      </w:r>
      <w:proofErr w:type="spellEnd"/>
      <w:r w:rsidRPr="005602DF">
        <w:t xml:space="preserve"> in metastatic thyroid cancer. J </w:t>
      </w:r>
      <w:proofErr w:type="spellStart"/>
      <w:r w:rsidRPr="005602DF">
        <w:t>Clin</w:t>
      </w:r>
      <w:proofErr w:type="spellEnd"/>
      <w:r w:rsidRPr="005602DF">
        <w:t xml:space="preserve"> </w:t>
      </w:r>
      <w:proofErr w:type="spellStart"/>
      <w:r w:rsidRPr="005602DF">
        <w:t>Oncol</w:t>
      </w:r>
      <w:proofErr w:type="spellEnd"/>
      <w:r w:rsidRPr="005602DF">
        <w:t xml:space="preserve"> 2009; 27: 1675-1684. </w:t>
      </w:r>
    </w:p>
    <w:p w:rsidR="00FD5F83" w:rsidRPr="005602DF" w:rsidRDefault="00FD5F83" w:rsidP="00B52D84">
      <w:pPr>
        <w:pStyle w:val="Numberbullet0"/>
      </w:pPr>
      <w:r w:rsidRPr="005602DF">
        <w:t xml:space="preserve">Chen l, </w:t>
      </w:r>
      <w:r w:rsidRPr="00B52D84">
        <w:t>Shen</w:t>
      </w:r>
      <w:r w:rsidRPr="005602DF">
        <w:t xml:space="preserve"> Y, Luo Q, et al. Response to </w:t>
      </w:r>
      <w:proofErr w:type="spellStart"/>
      <w:r w:rsidRPr="005602DF">
        <w:t>sorafenib</w:t>
      </w:r>
      <w:proofErr w:type="spellEnd"/>
      <w:r w:rsidRPr="005602DF">
        <w:t xml:space="preserve"> at a low dose in patients with radioiodine-refractory pulmonary metastases from papillary thyroid carcinoma. Thyroid 2011; 21 (2): 119-124.</w:t>
      </w:r>
    </w:p>
    <w:p w:rsidR="003D1E62" w:rsidRPr="001D043B" w:rsidRDefault="008E7846" w:rsidP="00B52D84">
      <w:pPr>
        <w:sectPr w:rsidR="003D1E62" w:rsidRPr="001D043B" w:rsidSect="002F262E">
          <w:headerReference w:type="even" r:id="rId64"/>
          <w:headerReference w:type="default" r:id="rId65"/>
          <w:headerReference w:type="first" r:id="rId66"/>
          <w:footerReference w:type="first" r:id="rId67"/>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0C18FC">
        <w:trPr>
          <w:trHeight w:hRule="exact" w:val="564"/>
        </w:trPr>
        <w:tc>
          <w:tcPr>
            <w:tcW w:w="9175" w:type="dxa"/>
          </w:tcPr>
          <w:p w:rsidR="00B3567E" w:rsidRPr="00487162" w:rsidRDefault="00B3567E" w:rsidP="000C18FC">
            <w:pPr>
              <w:pStyle w:val="TGASignoff"/>
            </w:pPr>
            <w:r w:rsidRPr="00487162">
              <w:lastRenderedPageBreak/>
              <w:t>Therapeutic Goods Administration</w:t>
            </w:r>
          </w:p>
        </w:tc>
      </w:tr>
      <w:tr w:rsidR="00B3567E" w:rsidRPr="00487162" w:rsidTr="000C18FC">
        <w:trPr>
          <w:trHeight w:val="1221"/>
        </w:trPr>
        <w:tc>
          <w:tcPr>
            <w:tcW w:w="9175" w:type="dxa"/>
            <w:tcMar>
              <w:top w:w="28" w:type="dxa"/>
            </w:tcMar>
          </w:tcPr>
          <w:p w:rsidR="00B3567E" w:rsidRPr="00487162" w:rsidRDefault="00B3567E" w:rsidP="000C18FC">
            <w:pPr>
              <w:pStyle w:val="Address"/>
            </w:pPr>
            <w:r w:rsidRPr="00487162">
              <w:t>PO Box 100 Woden ACT 2606 Australia</w:t>
            </w:r>
          </w:p>
          <w:p w:rsidR="00B3567E" w:rsidRPr="00487162" w:rsidRDefault="00B3567E" w:rsidP="000C18FC">
            <w:pPr>
              <w:pStyle w:val="Address"/>
            </w:pPr>
            <w:r w:rsidRPr="00487162">
              <w:t xml:space="preserve">Email: </w:t>
            </w:r>
            <w:hyperlink r:id="rId68" w:history="1">
              <w:r w:rsidRPr="008D770F">
                <w:rPr>
                  <w:rStyle w:val="Hyperlink"/>
                </w:rPr>
                <w:t>info@tga.gov.au</w:t>
              </w:r>
            </w:hyperlink>
            <w:r w:rsidRPr="00487162">
              <w:t xml:space="preserve">  Phone: 1800 020 653  Fax: 02 6232 8605</w:t>
            </w:r>
          </w:p>
          <w:p w:rsidR="00B3567E" w:rsidRPr="008D770F" w:rsidRDefault="00195E3B" w:rsidP="000C18FC">
            <w:pPr>
              <w:pStyle w:val="Address"/>
              <w:spacing w:line="260" w:lineRule="atLeast"/>
              <w:rPr>
                <w:b/>
                <w:color w:val="0000FF"/>
                <w:u w:val="single"/>
              </w:rPr>
            </w:pPr>
            <w:hyperlink r:id="rId69"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70"/>
      <w:headerReference w:type="default" r:id="rId71"/>
      <w:footerReference w:type="default" r:id="rId72"/>
      <w:headerReference w:type="first" r:id="rId73"/>
      <w:footerReference w:type="first" r:id="rId7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C20" w:rsidRDefault="00121C20" w:rsidP="00C40A36">
      <w:pPr>
        <w:spacing w:after="0"/>
      </w:pPr>
      <w:r>
        <w:separator/>
      </w:r>
    </w:p>
  </w:endnote>
  <w:endnote w:type="continuationSeparator" w:id="0">
    <w:p w:rsidR="00121C20" w:rsidRDefault="00121C2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0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512"/>
      <w:gridCol w:w="989"/>
    </w:tblGrid>
    <w:tr w:rsidR="00121C20" w:rsidRPr="00487162" w:rsidTr="00E22FDA">
      <w:trPr>
        <w:trHeight w:val="300"/>
      </w:trPr>
      <w:tc>
        <w:tcPr>
          <w:tcW w:w="8512" w:type="dxa"/>
          <w:tcMar>
            <w:top w:w="142" w:type="dxa"/>
            <w:bottom w:w="0" w:type="dxa"/>
          </w:tcMar>
        </w:tcPr>
        <w:p w:rsidR="00121C20" w:rsidRPr="00487162" w:rsidRDefault="00121C20" w:rsidP="00E22FDA">
          <w:pPr>
            <w:pStyle w:val="Footer"/>
            <w:tabs>
              <w:tab w:val="clear" w:pos="9026"/>
              <w:tab w:val="right" w:pos="8512"/>
            </w:tabs>
            <w:ind w:right="1424"/>
          </w:pPr>
          <w:r>
            <w:t>Submission</w:t>
          </w:r>
          <w:r w:rsidRPr="00487162">
            <w:t xml:space="preserve"> PM-20</w:t>
          </w:r>
          <w:r>
            <w:t>13</w:t>
          </w:r>
          <w:r w:rsidRPr="00487162">
            <w:t>-</w:t>
          </w:r>
          <w:r>
            <w:t xml:space="preserve">02057-1-4 Extract from the Clinical Evaluation Report for </w:t>
          </w:r>
          <w:proofErr w:type="spellStart"/>
          <w:r w:rsidRPr="00195E3B">
            <w:t>Sorafenib</w:t>
          </w:r>
          <w:proofErr w:type="spellEnd"/>
          <w:r>
            <w:t xml:space="preserve"> (</w:t>
          </w:r>
          <w:proofErr w:type="spellStart"/>
          <w:r>
            <w:t>Nexavar</w:t>
          </w:r>
          <w:proofErr w:type="spellEnd"/>
          <w:r>
            <w:t>)</w:t>
          </w:r>
        </w:p>
      </w:tc>
      <w:tc>
        <w:tcPr>
          <w:tcW w:w="989" w:type="dxa"/>
          <w:tcMar>
            <w:top w:w="142" w:type="dxa"/>
            <w:bottom w:w="0" w:type="dxa"/>
          </w:tcMar>
        </w:tcPr>
        <w:p w:rsidR="00121C20" w:rsidRPr="00981D66" w:rsidRDefault="00121C20" w:rsidP="00E22FDA">
          <w:pPr>
            <w:pStyle w:val="Footer"/>
          </w:pPr>
          <w:r w:rsidRPr="00981D66">
            <w:t xml:space="preserve">Page </w:t>
          </w:r>
          <w:r w:rsidRPr="00981D66">
            <w:fldChar w:fldCharType="begin"/>
          </w:r>
          <w:r w:rsidRPr="00981D66">
            <w:instrText xml:space="preserve"> PAGE  \* Arabic  \* MERGEFORMAT </w:instrText>
          </w:r>
          <w:r w:rsidRPr="00981D66">
            <w:fldChar w:fldCharType="separate"/>
          </w:r>
          <w:r w:rsidR="00B213FE">
            <w:rPr>
              <w:noProof/>
            </w:rPr>
            <w:t>5</w:t>
          </w:r>
          <w:r w:rsidRPr="00981D66">
            <w:fldChar w:fldCharType="end"/>
          </w:r>
          <w:r w:rsidRPr="00981D66">
            <w:t xml:space="preserve"> of </w:t>
          </w:r>
          <w:fldSimple w:instr=" NUMPAGES  \* Arabic  \* MERGEFORMAT ">
            <w:r w:rsidR="00B213FE">
              <w:rPr>
                <w:noProof/>
              </w:rPr>
              <w:t>49</w:t>
            </w:r>
          </w:fldSimple>
        </w:p>
      </w:tc>
    </w:tr>
  </w:tbl>
  <w:p w:rsidR="00121C20" w:rsidRDefault="00121C2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21C20" w:rsidRPr="00487162" w:rsidTr="00E45619">
      <w:trPr>
        <w:trHeight w:val="269"/>
      </w:trPr>
      <w:tc>
        <w:tcPr>
          <w:tcW w:w="4519" w:type="dxa"/>
          <w:tcBorders>
            <w:top w:val="single" w:sz="4" w:space="0" w:color="auto"/>
          </w:tcBorders>
          <w:tcMar>
            <w:top w:w="142" w:type="dxa"/>
            <w:bottom w:w="0" w:type="dxa"/>
          </w:tcMar>
        </w:tcPr>
        <w:p w:rsidR="00121C20" w:rsidRPr="00487162" w:rsidRDefault="00121C20" w:rsidP="00FE1DEE">
          <w:pPr>
            <w:pStyle w:val="Footer"/>
          </w:pPr>
          <w:r w:rsidRPr="00487162">
            <w:t>Document title, Part #, Section # - Section title</w:t>
          </w:r>
        </w:p>
        <w:p w:rsidR="00121C20" w:rsidRPr="00487162" w:rsidRDefault="00121C20" w:rsidP="00FE1DEE">
          <w:pPr>
            <w:pStyle w:val="Footer"/>
          </w:pPr>
          <w:r w:rsidRPr="00487162">
            <w:t>V1.0 October 2010</w:t>
          </w:r>
        </w:p>
      </w:tc>
      <w:tc>
        <w:tcPr>
          <w:tcW w:w="4342" w:type="dxa"/>
          <w:tcBorders>
            <w:top w:val="single" w:sz="4" w:space="0" w:color="auto"/>
          </w:tcBorders>
          <w:tcMar>
            <w:top w:w="142" w:type="dxa"/>
            <w:bottom w:w="0" w:type="dxa"/>
          </w:tcMar>
        </w:tcPr>
        <w:p w:rsidR="00121C20" w:rsidRPr="00487162" w:rsidRDefault="00121C2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121C20" w:rsidRDefault="00121C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0" w:rsidRDefault="00121C2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21C20" w:rsidTr="0010601F">
      <w:trPr>
        <w:trHeight w:val="108"/>
      </w:trPr>
      <w:tc>
        <w:tcPr>
          <w:tcW w:w="8875" w:type="dxa"/>
          <w:gridSpan w:val="2"/>
          <w:tcBorders>
            <w:bottom w:val="single" w:sz="4" w:space="0" w:color="auto"/>
          </w:tcBorders>
          <w:tcMar>
            <w:right w:w="284" w:type="dxa"/>
          </w:tcMar>
        </w:tcPr>
        <w:p w:rsidR="00121C20" w:rsidRDefault="00121C20" w:rsidP="006E08B3">
          <w:pPr>
            <w:pStyle w:val="Heading3"/>
          </w:pPr>
          <w:r>
            <w:t>Copyright</w:t>
          </w:r>
        </w:p>
        <w:p w:rsidR="00121C20" w:rsidRDefault="00121C20" w:rsidP="006E08B3">
          <w:r>
            <w:rPr>
              <w:rFonts w:cs="Arial"/>
            </w:rPr>
            <w:t>©</w:t>
          </w:r>
          <w:r>
            <w:t xml:space="preserve"> Commonwealth of Australia [add year]</w:t>
          </w:r>
        </w:p>
        <w:p w:rsidR="00121C20" w:rsidRDefault="00121C20" w:rsidP="006E08B3"/>
        <w:p w:rsidR="00121C20" w:rsidRDefault="00121C2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21C20" w:rsidRDefault="00121C20" w:rsidP="006E08B3"/>
        <w:p w:rsidR="00121C20" w:rsidRDefault="00121C20" w:rsidP="006E08B3">
          <w:pPr>
            <w:pStyle w:val="Heading3"/>
          </w:pPr>
          <w:r>
            <w:t>Confidentiality</w:t>
          </w:r>
        </w:p>
        <w:p w:rsidR="00121C20" w:rsidRDefault="00121C2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21C20" w:rsidRDefault="00121C20" w:rsidP="006E08B3"/>
        <w:p w:rsidR="00121C20" w:rsidRDefault="00121C20" w:rsidP="006E08B3">
          <w:r>
            <w:t>For submission made by individuals, all personal details, other than your name, will be removed from your submission before it is published on the TGA’s Internet site.</w:t>
          </w:r>
        </w:p>
        <w:p w:rsidR="00121C20" w:rsidRDefault="00121C20" w:rsidP="006E08B3"/>
        <w:p w:rsidR="00121C20" w:rsidRDefault="00121C2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21C20" w:rsidTr="0010601F">
      <w:trPr>
        <w:trHeight w:val="417"/>
      </w:trPr>
      <w:tc>
        <w:tcPr>
          <w:tcW w:w="4519" w:type="dxa"/>
          <w:tcBorders>
            <w:top w:val="single" w:sz="4" w:space="0" w:color="auto"/>
          </w:tcBorders>
          <w:tcMar>
            <w:top w:w="142" w:type="dxa"/>
            <w:bottom w:w="0" w:type="dxa"/>
          </w:tcMar>
        </w:tcPr>
        <w:p w:rsidR="00121C20" w:rsidRDefault="00121C20" w:rsidP="006E08B3">
          <w:r>
            <w:t>Document title, Part #, Section # - Section title</w:t>
          </w:r>
        </w:p>
        <w:p w:rsidR="00121C20" w:rsidRDefault="00121C20" w:rsidP="006E08B3">
          <w:r>
            <w:t>V1.0 October 2010</w:t>
          </w:r>
        </w:p>
      </w:tc>
      <w:tc>
        <w:tcPr>
          <w:tcW w:w="4356" w:type="dxa"/>
          <w:tcBorders>
            <w:top w:val="single" w:sz="4" w:space="0" w:color="auto"/>
          </w:tcBorders>
          <w:tcMar>
            <w:top w:w="142" w:type="dxa"/>
            <w:bottom w:w="0" w:type="dxa"/>
          </w:tcMar>
        </w:tcPr>
        <w:p w:rsidR="00121C20" w:rsidRDefault="00121C2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121C20" w:rsidRDefault="00121C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C20" w:rsidRDefault="00121C20" w:rsidP="00C40A36">
      <w:pPr>
        <w:spacing w:after="0"/>
      </w:pPr>
      <w:r>
        <w:separator/>
      </w:r>
    </w:p>
  </w:footnote>
  <w:footnote w:type="continuationSeparator" w:id="0">
    <w:p w:rsidR="00121C20" w:rsidRDefault="00121C20"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0" w:rsidRDefault="00121C2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0" w:rsidRDefault="00121C20">
    <w:pPr>
      <w:rPr>
        <w:noProof/>
        <w:lang w:eastAsia="en-AU"/>
      </w:rPr>
    </w:pPr>
    <w:r w:rsidRPr="002D545C">
      <w:rPr>
        <w:noProof/>
        <w:lang w:eastAsia="en-AU"/>
      </w:rPr>
      <w:drawing>
        <wp:anchor distT="0" distB="0" distL="114300" distR="114300" simplePos="0" relativeHeight="251659264" behindDoc="1" locked="0" layoutInCell="1" allowOverlap="1" wp14:anchorId="0A61F3FA" wp14:editId="6AD965E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21C20" w:rsidRDefault="00121C20"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0" w:rsidRDefault="00121C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0" w:rsidRDefault="00121C2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0" w:rsidRDefault="00121C2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0" w:rsidRDefault="00121C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0" w:rsidRDefault="00121C2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C20" w:rsidRDefault="00121C20" w:rsidP="006E08B3">
    <w:r>
      <w:t>Therapeutic Goods Administration</w:t>
    </w:r>
  </w:p>
  <w:p w:rsidR="00121C20" w:rsidRDefault="00121C2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9DC43A7"/>
    <w:multiLevelType w:val="hybridMultilevel"/>
    <w:tmpl w:val="ED44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0C4096"/>
    <w:multiLevelType w:val="hybridMultilevel"/>
    <w:tmpl w:val="D2BAA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3A74F9E"/>
    <w:multiLevelType w:val="hybridMultilevel"/>
    <w:tmpl w:val="468E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A83566"/>
    <w:multiLevelType w:val="hybridMultilevel"/>
    <w:tmpl w:val="E458ADB0"/>
    <w:lvl w:ilvl="0" w:tplc="04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5868595F"/>
    <w:multiLevelType w:val="hybridMultilevel"/>
    <w:tmpl w:val="30405178"/>
    <w:lvl w:ilvl="0" w:tplc="04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C1F3283"/>
    <w:multiLevelType w:val="hybridMultilevel"/>
    <w:tmpl w:val="F6D6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0B1B75"/>
    <w:multiLevelType w:val="multilevel"/>
    <w:tmpl w:val="D3FAAFB8"/>
    <w:lvl w:ilvl="0">
      <w:start w:val="1"/>
      <w:numFmt w:val="decimal"/>
      <w:pStyle w:val="Heading2"/>
      <w:lvlText w:val="%1."/>
      <w:lvlJc w:val="left"/>
      <w:pPr>
        <w:tabs>
          <w:tab w:val="num" w:pos="4253"/>
        </w:tabs>
        <w:ind w:left="4253"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714835A8"/>
    <w:multiLevelType w:val="hybridMultilevel"/>
    <w:tmpl w:val="32D8F780"/>
    <w:lvl w:ilvl="0" w:tplc="FB883FBA">
      <w:start w:val="1"/>
      <w:numFmt w:val="bullet"/>
      <w:lvlText w:val=""/>
      <w:lvlJc w:val="left"/>
      <w:pPr>
        <w:ind w:left="1724" w:hanging="360"/>
      </w:pPr>
      <w:rPr>
        <w:rFonts w:ascii="Cambria" w:hAnsi="Cambria" w:hint="default"/>
        <w:sz w:val="22"/>
        <w:szCs w:val="22"/>
      </w:rPr>
    </w:lvl>
    <w:lvl w:ilvl="1" w:tplc="04090003" w:tentative="1">
      <w:start w:val="1"/>
      <w:numFmt w:val="bullet"/>
      <w:lvlText w:val="o"/>
      <w:lvlJc w:val="left"/>
      <w:pPr>
        <w:ind w:left="2444" w:hanging="360"/>
      </w:pPr>
      <w:rPr>
        <w:rFonts w:ascii="Courier New" w:hAnsi="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1">
    <w:nsid w:val="739B5294"/>
    <w:multiLevelType w:val="hybridMultilevel"/>
    <w:tmpl w:val="64E2B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FB02DD"/>
    <w:multiLevelType w:val="hybridMultilevel"/>
    <w:tmpl w:val="FBBE5C68"/>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3"/>
  </w:num>
  <w:num w:numId="27">
    <w:abstractNumId w:val="15"/>
  </w:num>
  <w:num w:numId="28">
    <w:abstractNumId w:val="16"/>
  </w:num>
  <w:num w:numId="29">
    <w:abstractNumId w:val="18"/>
  </w:num>
  <w:num w:numId="30">
    <w:abstractNumId w:val="18"/>
  </w:num>
  <w:num w:numId="31">
    <w:abstractNumId w:val="18"/>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num>
  <w:num w:numId="34">
    <w:abstractNumId w:val="8"/>
  </w:num>
  <w:num w:numId="35">
    <w:abstractNumId w:val="11"/>
  </w:num>
  <w:num w:numId="36">
    <w:abstractNumId w:val="9"/>
  </w:num>
  <w:num w:numId="37">
    <w:abstractNumId w:val="22"/>
  </w:num>
  <w:num w:numId="38">
    <w:abstractNumId w:val="19"/>
  </w:num>
  <w:num w:numId="39">
    <w:abstractNumId w:val="20"/>
  </w:num>
  <w:num w:numId="40">
    <w:abstractNumId w:val="21"/>
  </w:num>
  <w:num w:numId="41">
    <w:abstractNumId w:val="18"/>
    <w:lvlOverride w:ilvl="0">
      <w:startOverride w:val="1"/>
    </w:lvlOverride>
  </w:num>
  <w:num w:numId="4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7"/>
  </w:num>
  <w:num w:numId="44">
    <w:abstractNumId w:val="17"/>
  </w:num>
  <w:num w:numId="4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10"/>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F83"/>
    <w:rsid w:val="00002031"/>
    <w:rsid w:val="00004734"/>
    <w:rsid w:val="00005428"/>
    <w:rsid w:val="00006B22"/>
    <w:rsid w:val="0001276A"/>
    <w:rsid w:val="000246AE"/>
    <w:rsid w:val="00025C67"/>
    <w:rsid w:val="00040ACB"/>
    <w:rsid w:val="0005559E"/>
    <w:rsid w:val="00077775"/>
    <w:rsid w:val="00090471"/>
    <w:rsid w:val="000A3AED"/>
    <w:rsid w:val="000A63AF"/>
    <w:rsid w:val="000B3532"/>
    <w:rsid w:val="000B3A75"/>
    <w:rsid w:val="000C18FC"/>
    <w:rsid w:val="000C690F"/>
    <w:rsid w:val="000D1295"/>
    <w:rsid w:val="000D391B"/>
    <w:rsid w:val="000D3D6D"/>
    <w:rsid w:val="000D4FC7"/>
    <w:rsid w:val="000F02F9"/>
    <w:rsid w:val="000F0631"/>
    <w:rsid w:val="000F4869"/>
    <w:rsid w:val="000F5B42"/>
    <w:rsid w:val="000F6E6F"/>
    <w:rsid w:val="00104613"/>
    <w:rsid w:val="0010601F"/>
    <w:rsid w:val="0010788A"/>
    <w:rsid w:val="00107A31"/>
    <w:rsid w:val="00110EA5"/>
    <w:rsid w:val="00112F56"/>
    <w:rsid w:val="00121C20"/>
    <w:rsid w:val="00125318"/>
    <w:rsid w:val="001305A2"/>
    <w:rsid w:val="00133238"/>
    <w:rsid w:val="0014197B"/>
    <w:rsid w:val="00143E57"/>
    <w:rsid w:val="001447CD"/>
    <w:rsid w:val="001516B1"/>
    <w:rsid w:val="00154EBB"/>
    <w:rsid w:val="00156316"/>
    <w:rsid w:val="00165389"/>
    <w:rsid w:val="0017078F"/>
    <w:rsid w:val="0017693F"/>
    <w:rsid w:val="0018110E"/>
    <w:rsid w:val="00181684"/>
    <w:rsid w:val="00182042"/>
    <w:rsid w:val="001843C6"/>
    <w:rsid w:val="001850E0"/>
    <w:rsid w:val="00195E3B"/>
    <w:rsid w:val="001A2158"/>
    <w:rsid w:val="001A525F"/>
    <w:rsid w:val="001B09F9"/>
    <w:rsid w:val="001B5D98"/>
    <w:rsid w:val="001B6448"/>
    <w:rsid w:val="001E07CF"/>
    <w:rsid w:val="001E59F1"/>
    <w:rsid w:val="001F3800"/>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262E"/>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46165"/>
    <w:rsid w:val="0044647D"/>
    <w:rsid w:val="004564A7"/>
    <w:rsid w:val="004617BF"/>
    <w:rsid w:val="00463658"/>
    <w:rsid w:val="004722CC"/>
    <w:rsid w:val="004936E4"/>
    <w:rsid w:val="00494E60"/>
    <w:rsid w:val="00496F0F"/>
    <w:rsid w:val="00497487"/>
    <w:rsid w:val="004A7E13"/>
    <w:rsid w:val="004B7B76"/>
    <w:rsid w:val="004C2DCA"/>
    <w:rsid w:val="004F0F38"/>
    <w:rsid w:val="004F4AF5"/>
    <w:rsid w:val="00501921"/>
    <w:rsid w:val="005171F9"/>
    <w:rsid w:val="00530354"/>
    <w:rsid w:val="0053625B"/>
    <w:rsid w:val="005434C6"/>
    <w:rsid w:val="00543B39"/>
    <w:rsid w:val="00550096"/>
    <w:rsid w:val="00557FF9"/>
    <w:rsid w:val="005602DF"/>
    <w:rsid w:val="00576378"/>
    <w:rsid w:val="00577945"/>
    <w:rsid w:val="00577E38"/>
    <w:rsid w:val="0058415A"/>
    <w:rsid w:val="00585322"/>
    <w:rsid w:val="005857C6"/>
    <w:rsid w:val="00586F98"/>
    <w:rsid w:val="00592F6E"/>
    <w:rsid w:val="00593AD1"/>
    <w:rsid w:val="005A68B6"/>
    <w:rsid w:val="005C5570"/>
    <w:rsid w:val="005C79A4"/>
    <w:rsid w:val="005D5442"/>
    <w:rsid w:val="00603F32"/>
    <w:rsid w:val="00620406"/>
    <w:rsid w:val="00632398"/>
    <w:rsid w:val="00640FC3"/>
    <w:rsid w:val="00642020"/>
    <w:rsid w:val="00646206"/>
    <w:rsid w:val="0065337B"/>
    <w:rsid w:val="0065419D"/>
    <w:rsid w:val="006604D8"/>
    <w:rsid w:val="00664A5B"/>
    <w:rsid w:val="006763D2"/>
    <w:rsid w:val="00680C08"/>
    <w:rsid w:val="006931B1"/>
    <w:rsid w:val="006A15C0"/>
    <w:rsid w:val="006B5A7C"/>
    <w:rsid w:val="006C130C"/>
    <w:rsid w:val="006C3E2A"/>
    <w:rsid w:val="006C642F"/>
    <w:rsid w:val="006D03E5"/>
    <w:rsid w:val="006D5221"/>
    <w:rsid w:val="006D5D3E"/>
    <w:rsid w:val="006E08B3"/>
    <w:rsid w:val="006F17AC"/>
    <w:rsid w:val="006F1D37"/>
    <w:rsid w:val="006F2796"/>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32FA"/>
    <w:rsid w:val="007B6E9F"/>
    <w:rsid w:val="007C1216"/>
    <w:rsid w:val="007C1AF7"/>
    <w:rsid w:val="007E6E27"/>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1A61"/>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1D66"/>
    <w:rsid w:val="0098585A"/>
    <w:rsid w:val="0098669D"/>
    <w:rsid w:val="009A3448"/>
    <w:rsid w:val="009A4CED"/>
    <w:rsid w:val="009A690D"/>
    <w:rsid w:val="009B1D12"/>
    <w:rsid w:val="009B416B"/>
    <w:rsid w:val="009C4BD5"/>
    <w:rsid w:val="009D7B77"/>
    <w:rsid w:val="009E0BB0"/>
    <w:rsid w:val="009E3FBB"/>
    <w:rsid w:val="00A102E4"/>
    <w:rsid w:val="00A12C42"/>
    <w:rsid w:val="00A14DF7"/>
    <w:rsid w:val="00A235D9"/>
    <w:rsid w:val="00A26F3C"/>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3FE"/>
    <w:rsid w:val="00B21D29"/>
    <w:rsid w:val="00B25034"/>
    <w:rsid w:val="00B33588"/>
    <w:rsid w:val="00B33863"/>
    <w:rsid w:val="00B3567E"/>
    <w:rsid w:val="00B37D17"/>
    <w:rsid w:val="00B4175E"/>
    <w:rsid w:val="00B452CE"/>
    <w:rsid w:val="00B52D84"/>
    <w:rsid w:val="00B54C25"/>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1164D"/>
    <w:rsid w:val="00C16861"/>
    <w:rsid w:val="00C22678"/>
    <w:rsid w:val="00C270FB"/>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A3A80"/>
    <w:rsid w:val="00CA4282"/>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93466"/>
    <w:rsid w:val="00DA1124"/>
    <w:rsid w:val="00DB75B7"/>
    <w:rsid w:val="00DC6E02"/>
    <w:rsid w:val="00DE02AE"/>
    <w:rsid w:val="00DF1D7F"/>
    <w:rsid w:val="00DF4BE4"/>
    <w:rsid w:val="00E02FB4"/>
    <w:rsid w:val="00E07F15"/>
    <w:rsid w:val="00E20571"/>
    <w:rsid w:val="00E22FDA"/>
    <w:rsid w:val="00E235F7"/>
    <w:rsid w:val="00E23659"/>
    <w:rsid w:val="00E239D4"/>
    <w:rsid w:val="00E26130"/>
    <w:rsid w:val="00E2741C"/>
    <w:rsid w:val="00E40B22"/>
    <w:rsid w:val="00E42429"/>
    <w:rsid w:val="00E45619"/>
    <w:rsid w:val="00E4588F"/>
    <w:rsid w:val="00E46DA3"/>
    <w:rsid w:val="00E51BB1"/>
    <w:rsid w:val="00E55D15"/>
    <w:rsid w:val="00E624A5"/>
    <w:rsid w:val="00E72C11"/>
    <w:rsid w:val="00E7344E"/>
    <w:rsid w:val="00E936E3"/>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725FD"/>
    <w:rsid w:val="00F80E40"/>
    <w:rsid w:val="00F848D9"/>
    <w:rsid w:val="00FA5B82"/>
    <w:rsid w:val="00FA639E"/>
    <w:rsid w:val="00FC25E4"/>
    <w:rsid w:val="00FC4EF7"/>
    <w:rsid w:val="00FD5F83"/>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213F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FD5F83"/>
    <w:pPr>
      <w:keepNext/>
      <w:keepLines/>
      <w:numPr>
        <w:numId w:val="31"/>
      </w:numPr>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D5F8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FD5F83"/>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FD5F83"/>
    <w:pPr>
      <w:numPr>
        <w:numId w:val="34"/>
      </w:numPr>
      <w:spacing w:after="0" w:line="240" w:lineRule="auto"/>
    </w:pPr>
    <w:rPr>
      <w:rFonts w:eastAsia="Times New Roman"/>
      <w:kern w:val="24"/>
      <w:szCs w:val="24"/>
      <w:lang w:eastAsia="en-AU"/>
    </w:rPr>
  </w:style>
  <w:style w:type="paragraph" w:customStyle="1" w:styleId="Bullet2">
    <w:name w:val="Bullet 2"/>
    <w:basedOn w:val="Bullet1"/>
    <w:rsid w:val="00FD5F83"/>
    <w:pPr>
      <w:numPr>
        <w:numId w:val="35"/>
      </w:numPr>
    </w:pPr>
  </w:style>
  <w:style w:type="paragraph" w:customStyle="1" w:styleId="Comment1">
    <w:name w:val="Comment 1"/>
    <w:basedOn w:val="Normal"/>
    <w:next w:val="Normal"/>
    <w:qFormat/>
    <w:rsid w:val="00FD5F8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FD5F8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ListParagraph">
    <w:name w:val="List Paragraph"/>
    <w:basedOn w:val="Normal"/>
    <w:uiPriority w:val="34"/>
    <w:qFormat/>
    <w:rsid w:val="00FD5F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FD5F83"/>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rsid w:val="00FD5F83"/>
    <w:pPr>
      <w:numPr>
        <w:numId w:val="3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Abbreviations">
    <w:name w:val="Abbreviations"/>
    <w:basedOn w:val="Normal"/>
    <w:rsid w:val="000C18F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213F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FD5F83"/>
    <w:pPr>
      <w:keepNext/>
      <w:keepLines/>
      <w:numPr>
        <w:numId w:val="31"/>
      </w:numPr>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D5F8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FD5F83"/>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FD5F83"/>
    <w:pPr>
      <w:numPr>
        <w:numId w:val="34"/>
      </w:numPr>
      <w:spacing w:after="0" w:line="240" w:lineRule="auto"/>
    </w:pPr>
    <w:rPr>
      <w:rFonts w:eastAsia="Times New Roman"/>
      <w:kern w:val="24"/>
      <w:szCs w:val="24"/>
      <w:lang w:eastAsia="en-AU"/>
    </w:rPr>
  </w:style>
  <w:style w:type="paragraph" w:customStyle="1" w:styleId="Bullet2">
    <w:name w:val="Bullet 2"/>
    <w:basedOn w:val="Bullet1"/>
    <w:rsid w:val="00FD5F83"/>
    <w:pPr>
      <w:numPr>
        <w:numId w:val="35"/>
      </w:numPr>
    </w:pPr>
  </w:style>
  <w:style w:type="paragraph" w:customStyle="1" w:styleId="Comment1">
    <w:name w:val="Comment 1"/>
    <w:basedOn w:val="Normal"/>
    <w:next w:val="Normal"/>
    <w:qFormat/>
    <w:rsid w:val="00FD5F8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2">
    <w:name w:val="Comment 2"/>
    <w:basedOn w:val="Normal"/>
    <w:qFormat/>
    <w:rsid w:val="00FD5F8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ListParagraph">
    <w:name w:val="List Paragraph"/>
    <w:basedOn w:val="Normal"/>
    <w:uiPriority w:val="34"/>
    <w:qFormat/>
    <w:rsid w:val="00FD5F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FD5F83"/>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rsid w:val="00FD5F83"/>
    <w:pPr>
      <w:numPr>
        <w:numId w:val="3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Abbreviations">
    <w:name w:val="Abbreviations"/>
    <w:basedOn w:val="Normal"/>
    <w:rsid w:val="000C18F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www.fda.gov/NewsEvents/Newsroom/PressAnnouncements/ucm376443.htm" TargetMode="External"/><Relationship Id="rId68" Type="http://schemas.openxmlformats.org/officeDocument/2006/relationships/hyperlink" Target="mailto:info@tga.gov.au"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5.xml"/><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yperlink" Target="http://www.tga.gov.au/industry/pm-euguidelines-adopted-clinical.htm" TargetMode="Externa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www.tga.gov.au/industry/pm-euguidelines-adopted-clinical.htm" TargetMode="External"/><Relationship Id="rId65" Type="http://schemas.openxmlformats.org/officeDocument/2006/relationships/header" Target="header4.xml"/><Relationship Id="rId73"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3.xml"/><Relationship Id="rId69" Type="http://schemas.openxmlformats.org/officeDocument/2006/relationships/hyperlink" Target="http://www.tga.gov.au"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www.nccn.org/professionals/physician_gls/pdf/thyroid.pdf" TargetMode="External"/><Relationship Id="rId67"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www.tga.gov.au/industry/pm-euguidelines-adopted-clinical.htm" TargetMode="External"/><Relationship Id="rId70" Type="http://schemas.openxmlformats.org/officeDocument/2006/relationships/header" Target="header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92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E7766-7622-4EEC-BD68-B5F0D6DD7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68</TotalTime>
  <Pages>49</Pages>
  <Words>11013</Words>
  <Characters>63107</Characters>
  <Application>Microsoft Office Word</Application>
  <DocSecurity>0</DocSecurity>
  <Lines>1287</Lines>
  <Paragraphs>764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Sorafenib</vt:lpstr>
    </vt:vector>
  </TitlesOfParts>
  <Company>Department of Health Therapeutic Goods Administration</Company>
  <LinksUpToDate>false</LinksUpToDate>
  <CharactersWithSpaces>73356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Sorafenib</dc:title>
  <dc:subject>prescription medicine regulation</dc:subject>
  <dc:creator>Therapeutic Goods Administration</dc:creator>
  <cp:keywords>clinical, evaluation, report, medicine, assessment, regulation, australia, sorafenib, nexavar, bayer, cer</cp:keywords>
  <cp:lastModifiedBy>Searson, Lisa</cp:lastModifiedBy>
  <cp:revision>3</cp:revision>
  <cp:lastPrinted>2010-12-20T22:59:00Z</cp:lastPrinted>
  <dcterms:created xsi:type="dcterms:W3CDTF">2014-08-25T00:18:00Z</dcterms:created>
  <dcterms:modified xsi:type="dcterms:W3CDTF">2014-08-25T01:26:00Z</dcterms:modified>
</cp:coreProperties>
</file>