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A2" w:rsidRPr="00FA21F2" w:rsidRDefault="00655FA2" w:rsidP="006C1E13">
      <w:pPr>
        <w:pStyle w:val="Heading2"/>
        <w:ind w:right="-688"/>
        <w:rPr>
          <w:sz w:val="28"/>
          <w:szCs w:val="28"/>
          <w:lang w:val="en-GB"/>
        </w:rPr>
      </w:pPr>
      <w:r w:rsidRPr="00FA21F2">
        <w:rPr>
          <w:sz w:val="28"/>
          <w:szCs w:val="28"/>
          <w:lang w:val="en-GB"/>
        </w:rPr>
        <w:t>PRODUCT INFORMATION</w:t>
      </w:r>
    </w:p>
    <w:p w:rsidR="00655FA2" w:rsidRPr="00FA21F2" w:rsidRDefault="004112DD" w:rsidP="00217FB0">
      <w:pPr>
        <w:pStyle w:val="Heading2"/>
        <w:rPr>
          <w:sz w:val="28"/>
          <w:szCs w:val="28"/>
          <w:lang w:val="en-GB"/>
        </w:rPr>
      </w:pPr>
      <w:r w:rsidRPr="00FA21F2">
        <w:rPr>
          <w:sz w:val="28"/>
          <w:szCs w:val="28"/>
          <w:lang w:val="en-GB"/>
        </w:rPr>
        <w:t>NEXAVAR</w:t>
      </w:r>
      <w:r w:rsidR="00655FA2" w:rsidRPr="00FA21F2">
        <w:rPr>
          <w:sz w:val="28"/>
          <w:szCs w:val="28"/>
          <w:vertAlign w:val="superscript"/>
          <w:lang w:val="en-GB"/>
        </w:rPr>
        <w:t>®</w:t>
      </w:r>
      <w:r w:rsidR="00F344D2" w:rsidRPr="00FA21F2">
        <w:rPr>
          <w:sz w:val="28"/>
          <w:szCs w:val="28"/>
          <w:lang w:val="en-GB"/>
        </w:rPr>
        <w:t xml:space="preserve"> </w:t>
      </w:r>
      <w:r w:rsidR="00655FA2" w:rsidRPr="00FA21F2">
        <w:rPr>
          <w:sz w:val="28"/>
          <w:szCs w:val="28"/>
          <w:lang w:val="en-GB"/>
        </w:rPr>
        <w:t>(</w:t>
      </w:r>
      <w:r w:rsidR="00842383" w:rsidRPr="00FA21F2">
        <w:rPr>
          <w:sz w:val="28"/>
          <w:szCs w:val="28"/>
          <w:lang w:val="en-GB"/>
        </w:rPr>
        <w:t>sorafenib tosylate</w:t>
      </w:r>
      <w:r w:rsidR="00655FA2" w:rsidRPr="00FA21F2">
        <w:rPr>
          <w:sz w:val="28"/>
          <w:szCs w:val="28"/>
          <w:lang w:val="en-GB"/>
        </w:rPr>
        <w:t>)</w:t>
      </w:r>
    </w:p>
    <w:p w:rsidR="00655FA2" w:rsidRPr="00EB44BE" w:rsidRDefault="00655FA2" w:rsidP="00217FB0">
      <w:pPr>
        <w:pStyle w:val="Heading1"/>
        <w:rPr>
          <w:lang w:val="en-GB"/>
        </w:rPr>
      </w:pPr>
      <w:r w:rsidRPr="00EB44BE">
        <w:rPr>
          <w:lang w:val="en-GB"/>
        </w:rPr>
        <w:t>NAME OF THE MEDICINE</w:t>
      </w:r>
    </w:p>
    <w:p w:rsidR="00E36623" w:rsidRPr="00EB44BE" w:rsidRDefault="004112DD" w:rsidP="00217FB0">
      <w:pPr>
        <w:jc w:val="both"/>
      </w:pPr>
      <w:r>
        <w:t>NEXAVAR</w:t>
      </w:r>
      <w:r w:rsidR="00EB73F3" w:rsidRPr="00EB44BE">
        <w:t xml:space="preserve"> is a multikinase inhibitor targeting several serine/threonine and receptor tyrosine kinases. </w:t>
      </w:r>
    </w:p>
    <w:p w:rsidR="00EB73F3" w:rsidRPr="00EB44BE" w:rsidRDefault="00EB73F3" w:rsidP="00217FB0">
      <w:pPr>
        <w:jc w:val="both"/>
      </w:pPr>
    </w:p>
    <w:p w:rsidR="00655FA2" w:rsidRDefault="00842383" w:rsidP="00217FB0">
      <w:pPr>
        <w:jc w:val="both"/>
      </w:pPr>
      <w:r w:rsidRPr="00EB44BE">
        <w:t xml:space="preserve">Sorafenib tosylate is 4-(4-{3-[4-Chloro-3-(trifluoromethyl)phenyl]-ureido}phenoxy)-N2-methylpyridine-2-carboxamide 4-methylbenzenesulfonate. </w:t>
      </w:r>
      <w:r w:rsidR="00810EBC" w:rsidRPr="00EB44BE">
        <w:t>The e</w:t>
      </w:r>
      <w:r w:rsidRPr="00EB44BE">
        <w:t>mpirical formula is C</w:t>
      </w:r>
      <w:r w:rsidRPr="00EB44BE">
        <w:rPr>
          <w:vertAlign w:val="subscript"/>
        </w:rPr>
        <w:t>21</w:t>
      </w:r>
      <w:r w:rsidRPr="00EB44BE">
        <w:t>H</w:t>
      </w:r>
      <w:r w:rsidRPr="00EB44BE">
        <w:rPr>
          <w:vertAlign w:val="subscript"/>
        </w:rPr>
        <w:t>16</w:t>
      </w:r>
      <w:r w:rsidRPr="00EB44BE">
        <w:t>ClF</w:t>
      </w:r>
      <w:r w:rsidRPr="00EB44BE">
        <w:rPr>
          <w:vertAlign w:val="subscript"/>
        </w:rPr>
        <w:t>3</w:t>
      </w:r>
      <w:r w:rsidRPr="00EB44BE">
        <w:t>N</w:t>
      </w:r>
      <w:r w:rsidRPr="00EB44BE">
        <w:rPr>
          <w:vertAlign w:val="subscript"/>
        </w:rPr>
        <w:t>4</w:t>
      </w:r>
      <w:r w:rsidRPr="00EB44BE">
        <w:t>O</w:t>
      </w:r>
      <w:r w:rsidRPr="00EB44BE">
        <w:rPr>
          <w:vertAlign w:val="subscript"/>
        </w:rPr>
        <w:t>3</w:t>
      </w:r>
      <w:r w:rsidRPr="00EB44BE">
        <w:t xml:space="preserve"> x C</w:t>
      </w:r>
      <w:r w:rsidRPr="00EB44BE">
        <w:rPr>
          <w:vertAlign w:val="subscript"/>
        </w:rPr>
        <w:t>7</w:t>
      </w:r>
      <w:r w:rsidRPr="00EB44BE">
        <w:t>H</w:t>
      </w:r>
      <w:r w:rsidRPr="00EB44BE">
        <w:rPr>
          <w:vertAlign w:val="subscript"/>
        </w:rPr>
        <w:t>8</w:t>
      </w:r>
      <w:r w:rsidRPr="00EB44BE">
        <w:t>O</w:t>
      </w:r>
      <w:r w:rsidRPr="00EB44BE">
        <w:rPr>
          <w:vertAlign w:val="subscript"/>
        </w:rPr>
        <w:t>3</w:t>
      </w:r>
      <w:r w:rsidRPr="00EB44BE">
        <w:t>S</w:t>
      </w:r>
      <w:r w:rsidR="00810EBC" w:rsidRPr="00EB44BE">
        <w:t xml:space="preserve"> and the</w:t>
      </w:r>
      <w:r w:rsidR="00655FA2" w:rsidRPr="00EB44BE">
        <w:t xml:space="preserve"> CAS number </w:t>
      </w:r>
      <w:r w:rsidR="00810EBC" w:rsidRPr="00EB44BE">
        <w:t xml:space="preserve">is </w:t>
      </w:r>
      <w:r w:rsidR="00D37532">
        <w:t>28844-1-73-01 (sorafenib) and 475207-59-1 (sorafenib tosylate).</w:t>
      </w:r>
    </w:p>
    <w:p w:rsidR="00D37532" w:rsidRPr="00EB44BE" w:rsidRDefault="00D37532" w:rsidP="00217FB0">
      <w:pPr>
        <w:jc w:val="both"/>
      </w:pPr>
    </w:p>
    <w:p w:rsidR="00655FA2" w:rsidRDefault="00842383" w:rsidP="00217FB0">
      <w:pPr>
        <w:pStyle w:val="Header"/>
        <w:tabs>
          <w:tab w:val="clear" w:pos="4153"/>
          <w:tab w:val="clear" w:pos="8306"/>
        </w:tabs>
        <w:jc w:val="both"/>
      </w:pPr>
      <w:r w:rsidRPr="00EB44BE">
        <w:t>Sorafenib tosylate</w:t>
      </w:r>
      <w:r w:rsidR="00655FA2" w:rsidRPr="00EB44BE">
        <w:t xml:space="preserve"> has the following structural formula:</w:t>
      </w:r>
    </w:p>
    <w:p w:rsidR="00946806" w:rsidRPr="00EB44BE" w:rsidRDefault="00946806" w:rsidP="00217FB0">
      <w:pPr>
        <w:pStyle w:val="Header"/>
        <w:tabs>
          <w:tab w:val="clear" w:pos="4153"/>
          <w:tab w:val="clear" w:pos="8306"/>
        </w:tabs>
        <w:jc w:val="both"/>
      </w:pPr>
    </w:p>
    <w:p w:rsidR="00655FA2" w:rsidRPr="00EB44BE" w:rsidRDefault="00A8247A" w:rsidP="00217FB0">
      <w:pPr>
        <w:jc w:val="both"/>
      </w:pPr>
      <w:r>
        <w:rPr>
          <w:noProof/>
          <w:lang w:val="en-AU" w:eastAsia="en-AU"/>
        </w:rPr>
        <w:drawing>
          <wp:inline distT="0" distB="0" distL="0" distR="0">
            <wp:extent cx="3364230" cy="1604645"/>
            <wp:effectExtent l="0" t="0" r="0" b="0"/>
            <wp:docPr id="2" name="Picture 2" descr="structural formula for Nexavar (Sorafenib tosy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ctural formula for Nexavar (Sorafenib tosyla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4230" cy="1604645"/>
                    </a:xfrm>
                    <a:prstGeom prst="rect">
                      <a:avLst/>
                    </a:prstGeom>
                    <a:noFill/>
                    <a:ln>
                      <a:noFill/>
                    </a:ln>
                  </pic:spPr>
                </pic:pic>
              </a:graphicData>
            </a:graphic>
          </wp:inline>
        </w:drawing>
      </w:r>
    </w:p>
    <w:p w:rsidR="00655FA2" w:rsidRPr="00EB44BE" w:rsidRDefault="00655FA2" w:rsidP="00217FB0">
      <w:pPr>
        <w:pStyle w:val="Heading1"/>
        <w:rPr>
          <w:lang w:val="en-GB"/>
        </w:rPr>
      </w:pPr>
      <w:r w:rsidRPr="00EB44BE">
        <w:rPr>
          <w:lang w:val="en-GB"/>
        </w:rPr>
        <w:t>DESCRIPTION</w:t>
      </w:r>
    </w:p>
    <w:p w:rsidR="00655FA2" w:rsidRPr="00EB44BE" w:rsidRDefault="00810EBC" w:rsidP="00217FB0">
      <w:pPr>
        <w:jc w:val="both"/>
      </w:pPr>
      <w:r w:rsidRPr="00EB44BE">
        <w:t>Sorafenib tosylate is a white to yellowish or brownish solid with a molecular weight of 637</w:t>
      </w:r>
      <w:r w:rsidR="00E04403" w:rsidRPr="00EB44BE">
        <w:t xml:space="preserve"> g/mole</w:t>
      </w:r>
      <w:r w:rsidRPr="00EB44BE">
        <w:t>. Sorafenib tosylate is practically insoluble in aqueous media, slightly soluble in ethanol and soluble in PEG 400.</w:t>
      </w:r>
    </w:p>
    <w:p w:rsidR="007E0668" w:rsidRPr="00EB44BE" w:rsidRDefault="007E0668" w:rsidP="00217FB0">
      <w:pPr>
        <w:jc w:val="both"/>
      </w:pPr>
    </w:p>
    <w:p w:rsidR="00655FA2" w:rsidRPr="00EB44BE" w:rsidRDefault="00655FA2" w:rsidP="00217FB0">
      <w:pPr>
        <w:jc w:val="both"/>
      </w:pPr>
      <w:r w:rsidRPr="00EB44BE">
        <w:t xml:space="preserve">In addition to </w:t>
      </w:r>
      <w:r w:rsidR="00E04403" w:rsidRPr="00EB44BE">
        <w:t>sorafenib tosylate</w:t>
      </w:r>
      <w:r w:rsidRPr="00EB44BE">
        <w:t xml:space="preserve">, each </w:t>
      </w:r>
      <w:r w:rsidR="004112DD">
        <w:t>NEXAVAR</w:t>
      </w:r>
      <w:r w:rsidRPr="00EB44BE">
        <w:t xml:space="preserve"> tablet contains the following inactive ingredients: </w:t>
      </w:r>
      <w:r w:rsidR="00E04403" w:rsidRPr="00EB44BE">
        <w:t xml:space="preserve">croscarmellose sodium, </w:t>
      </w:r>
      <w:r w:rsidRPr="00EB44BE">
        <w:t xml:space="preserve">microcrystalline cellulose, </w:t>
      </w:r>
      <w:r w:rsidR="00E04403" w:rsidRPr="00EB44BE">
        <w:t>hypromellose, sodium lauryl sulphate, magnesium stearate, macrogol</w:t>
      </w:r>
      <w:r w:rsidRPr="00EB44BE">
        <w:t xml:space="preserve">, titanium dioxide, </w:t>
      </w:r>
      <w:r w:rsidR="00E04403" w:rsidRPr="00EB44BE">
        <w:t>iron oxide red</w:t>
      </w:r>
      <w:r w:rsidRPr="00EB44BE">
        <w:t>.</w:t>
      </w:r>
    </w:p>
    <w:p w:rsidR="00655FA2" w:rsidRPr="00EB44BE" w:rsidRDefault="00655FA2" w:rsidP="00217FB0">
      <w:pPr>
        <w:pStyle w:val="Heading1"/>
        <w:rPr>
          <w:lang w:val="en-GB"/>
        </w:rPr>
      </w:pPr>
      <w:r w:rsidRPr="00EB44BE">
        <w:rPr>
          <w:lang w:val="en-GB"/>
        </w:rPr>
        <w:t>PHARMACOLOGY</w:t>
      </w:r>
    </w:p>
    <w:p w:rsidR="00655FA2" w:rsidRDefault="00655FA2" w:rsidP="00FA21F2">
      <w:pPr>
        <w:pStyle w:val="Heading2"/>
        <w:rPr>
          <w:lang w:val="en-GB"/>
        </w:rPr>
      </w:pPr>
      <w:r w:rsidRPr="00EB44BE">
        <w:rPr>
          <w:lang w:val="en-GB"/>
        </w:rPr>
        <w:t>Pharmacological actions</w:t>
      </w:r>
    </w:p>
    <w:p w:rsidR="00FA1865" w:rsidRPr="00FA1865" w:rsidRDefault="00FA1865" w:rsidP="001E24A4">
      <w:pPr>
        <w:jc w:val="both"/>
      </w:pPr>
      <w:r>
        <w:t>Sorafenib is a multikinase inhibitor that targets various receptor tyrosine kinases and RAF kinases (serine/threonine kinases) associated with tumour gro</w:t>
      </w:r>
      <w:r w:rsidR="00C86D87">
        <w:t>w</w:t>
      </w:r>
      <w:r>
        <w:t>th. Sorafenib inhibits the activity of targets prese</w:t>
      </w:r>
      <w:r w:rsidR="00C86D87">
        <w:t>nt in tumour cells (Raf-1 [CRAF]</w:t>
      </w:r>
      <w:r>
        <w:t xml:space="preserve">, BRAF, V600E BRAF, KIT and FLT-3) and in the tumour vasculature (Raf-1 [CRAF], VEGFR-2, VEGFR-3 and PDGFR-β). Sorafenib has </w:t>
      </w:r>
      <w:r w:rsidR="00F71EB1">
        <w:t xml:space="preserve">been </w:t>
      </w:r>
      <w:r w:rsidR="00412D43">
        <w:t>shown</w:t>
      </w:r>
      <w:r>
        <w:t xml:space="preserve"> to inhibit tumour cell proliferation</w:t>
      </w:r>
      <w:r w:rsidRPr="00FA1865">
        <w:rPr>
          <w:i/>
        </w:rPr>
        <w:t xml:space="preserve"> in vitro</w:t>
      </w:r>
      <w:r>
        <w:t xml:space="preserve">, and to inhibit the growth of mouse renal cell carcinoma (RENCA) allografts, human renal cell carcinoma (A498) xenografts, </w:t>
      </w:r>
      <w:r w:rsidR="008B5BE5">
        <w:t xml:space="preserve">human hepatocellular carcinoma (PLC/PRF/5) xenographs, </w:t>
      </w:r>
      <w:r>
        <w:t>as well as a broad range of other human tumour xenografts, in nude mice. Inhibition of tumour growth was accompanied by a reduction in tumour angiogenesis.</w:t>
      </w:r>
    </w:p>
    <w:p w:rsidR="00655FA2" w:rsidRPr="00EB44BE" w:rsidRDefault="00217FB0" w:rsidP="00FA21F2">
      <w:pPr>
        <w:pStyle w:val="Heading2"/>
        <w:rPr>
          <w:lang w:val="en-GB"/>
        </w:rPr>
      </w:pPr>
      <w:r w:rsidRPr="00EB44BE">
        <w:rPr>
          <w:lang w:val="en-GB"/>
        </w:rPr>
        <w:lastRenderedPageBreak/>
        <w:t>Pharmacokinetics</w:t>
      </w:r>
    </w:p>
    <w:p w:rsidR="00217FB0" w:rsidRPr="00EB44BE" w:rsidRDefault="00217FB0" w:rsidP="00217FB0">
      <w:pPr>
        <w:jc w:val="both"/>
      </w:pPr>
      <w:r w:rsidRPr="00EB44BE">
        <w:t xml:space="preserve">After administration of </w:t>
      </w:r>
      <w:r w:rsidR="004112DD">
        <w:t>NEXAVAR</w:t>
      </w:r>
      <w:r w:rsidRPr="00EB44BE">
        <w:t xml:space="preserve"> tablets, the mean relative bioavailability is 38-49% when compared to an oral solution.</w:t>
      </w:r>
      <w:r w:rsidR="00C355F2">
        <w:t xml:space="preserve"> Absolute bioavailability has not been determined.</w:t>
      </w:r>
    </w:p>
    <w:p w:rsidR="00217FB0" w:rsidRPr="00EB44BE" w:rsidRDefault="00217FB0" w:rsidP="00217FB0">
      <w:pPr>
        <w:jc w:val="both"/>
      </w:pPr>
    </w:p>
    <w:p w:rsidR="00217FB0" w:rsidRPr="00EB44BE" w:rsidRDefault="00217FB0" w:rsidP="00217FB0">
      <w:pPr>
        <w:jc w:val="both"/>
      </w:pPr>
      <w:r w:rsidRPr="00EB44BE">
        <w:t xml:space="preserve">The elimination half-life of </w:t>
      </w:r>
      <w:r w:rsidR="00A97B9D">
        <w:t>sorafenib</w:t>
      </w:r>
      <w:r w:rsidRPr="00EB44BE">
        <w:t xml:space="preserve"> is approximately 2</w:t>
      </w:r>
      <w:r w:rsidR="007A6124">
        <w:t>5</w:t>
      </w:r>
      <w:r w:rsidRPr="00EB44BE">
        <w:t xml:space="preserve">-48 hours. Multiple dosing of </w:t>
      </w:r>
      <w:r w:rsidR="004112DD">
        <w:t>NEXAVAR</w:t>
      </w:r>
      <w:r w:rsidRPr="00EB44BE">
        <w:t xml:space="preserve"> for 7 days results in a </w:t>
      </w:r>
      <w:smartTag w:uri="urn:schemas-microsoft-com:office:smarttags" w:element="time">
        <w:smartTagPr>
          <w:attr w:name="Hour" w:val="18"/>
          <w:attr w:name="Minute" w:val="57"/>
        </w:smartTagPr>
        <w:r w:rsidRPr="00EB44BE">
          <w:t>3 to 7</w:t>
        </w:r>
      </w:smartTag>
      <w:r w:rsidRPr="00EB44BE">
        <w:t xml:space="preserve"> fold accumulation compared to single dose administration.</w:t>
      </w:r>
    </w:p>
    <w:p w:rsidR="00F3357F" w:rsidRDefault="00F3357F" w:rsidP="00217FB0">
      <w:pPr>
        <w:jc w:val="both"/>
      </w:pPr>
    </w:p>
    <w:p w:rsidR="00217FB0" w:rsidRDefault="00217FB0" w:rsidP="00217FB0">
      <w:pPr>
        <w:jc w:val="both"/>
      </w:pPr>
      <w:r w:rsidRPr="00EB44BE">
        <w:t>Steady state plasma sorafenib concentrations are achieved within 7 days, with a peak to trough ratio of mean concentrations of less than 2.</w:t>
      </w:r>
    </w:p>
    <w:p w:rsidR="002237EB" w:rsidRPr="00EB44BE" w:rsidRDefault="002237EB" w:rsidP="00217FB0">
      <w:pPr>
        <w:jc w:val="both"/>
      </w:pPr>
      <w:r w:rsidRPr="00E55B18">
        <w:t xml:space="preserve">The steady-state pharmacokinetics of </w:t>
      </w:r>
      <w:r w:rsidR="00704942" w:rsidRPr="00E55B18">
        <w:t>sorafenib</w:t>
      </w:r>
      <w:r w:rsidRPr="00E55B18">
        <w:t xml:space="preserve"> administered at 400 mg twice a day were evaluated in thyroid carcinoma, renal cell carcinoma and hepatocellular carcinoma. The highest mean exposure was observed in thyroid carcinoma patients</w:t>
      </w:r>
      <w:r w:rsidR="00E55B18" w:rsidRPr="00E55B18">
        <w:t xml:space="preserve"> (approximately twice that observed in patients with RCC and HCC), </w:t>
      </w:r>
      <w:r w:rsidRPr="00E55B18">
        <w:t xml:space="preserve">though variability was high for all tumor types. The clinical relevance of the increased </w:t>
      </w:r>
      <w:r w:rsidR="00E55B18">
        <w:t xml:space="preserve">exposure </w:t>
      </w:r>
      <w:r w:rsidRPr="00E55B18">
        <w:t>in thyroid carcinoma patients is unknown.</w:t>
      </w:r>
    </w:p>
    <w:p w:rsidR="00217FB0" w:rsidRPr="00EB44BE" w:rsidRDefault="00217FB0" w:rsidP="00FA21F2">
      <w:pPr>
        <w:pStyle w:val="Heading3"/>
        <w:spacing w:before="240" w:after="120"/>
      </w:pPr>
      <w:r w:rsidRPr="00EB44BE">
        <w:t xml:space="preserve">Absorption and </w:t>
      </w:r>
      <w:r w:rsidR="00B660BE">
        <w:t>d</w:t>
      </w:r>
      <w:r w:rsidRPr="00EB44BE">
        <w:t>istribution</w:t>
      </w:r>
    </w:p>
    <w:p w:rsidR="00217FB0" w:rsidRPr="00EB44BE" w:rsidRDefault="00217FB0" w:rsidP="00F3357F">
      <w:pPr>
        <w:spacing w:before="120"/>
        <w:jc w:val="both"/>
      </w:pPr>
      <w:r w:rsidRPr="00EB44BE">
        <w:t xml:space="preserve">Following oral administration, sorafenib reaches peak plasma levels in approximately 3 hours. When given with a moderate-fat meal, bioavailability is similar to that in the fasted state. With a high-fat meal, sorafenib bioavailability is reduced by </w:t>
      </w:r>
      <w:r w:rsidR="007A6124">
        <w:t>29</w:t>
      </w:r>
      <w:r w:rsidRPr="00EB44BE">
        <w:t>% compared to administration in the fasted state.</w:t>
      </w:r>
    </w:p>
    <w:p w:rsidR="00217FB0" w:rsidRPr="00EB44BE" w:rsidRDefault="00217FB0" w:rsidP="00217FB0">
      <w:pPr>
        <w:jc w:val="both"/>
      </w:pPr>
    </w:p>
    <w:p w:rsidR="00217FB0" w:rsidRPr="00EB44BE" w:rsidRDefault="00217FB0" w:rsidP="00217FB0">
      <w:pPr>
        <w:jc w:val="both"/>
      </w:pPr>
      <w:r w:rsidRPr="00EB44BE">
        <w:t>Mean C</w:t>
      </w:r>
      <w:r w:rsidRPr="00EB44BE">
        <w:rPr>
          <w:vertAlign w:val="subscript"/>
        </w:rPr>
        <w:t>max</w:t>
      </w:r>
      <w:r w:rsidRPr="00EB44BE">
        <w:t xml:space="preserve"> and AUC increase less than proportionally beyond doses of 400 mg administered orally twice daily.</w:t>
      </w:r>
    </w:p>
    <w:p w:rsidR="00217FB0" w:rsidRPr="00EB44BE" w:rsidRDefault="00217FB0" w:rsidP="00217FB0">
      <w:pPr>
        <w:jc w:val="both"/>
      </w:pPr>
    </w:p>
    <w:p w:rsidR="00D0668B" w:rsidRPr="00EB44BE" w:rsidRDefault="00217FB0" w:rsidP="00217FB0">
      <w:pPr>
        <w:jc w:val="both"/>
      </w:pPr>
      <w:r w:rsidRPr="00EB44BE">
        <w:rPr>
          <w:i/>
        </w:rPr>
        <w:t>In vitro</w:t>
      </w:r>
      <w:r w:rsidRPr="00EB44BE">
        <w:t xml:space="preserve"> binding of sorafenib to human plasma proteins is 99.5%.</w:t>
      </w:r>
    </w:p>
    <w:p w:rsidR="00217FB0" w:rsidRPr="00EB44BE" w:rsidRDefault="00217FB0" w:rsidP="00FA21F2">
      <w:pPr>
        <w:pStyle w:val="Heading3"/>
        <w:spacing w:before="240" w:after="120"/>
      </w:pPr>
      <w:r w:rsidRPr="00EB44BE">
        <w:t xml:space="preserve">Metabolism and </w:t>
      </w:r>
      <w:r w:rsidR="00B660BE">
        <w:t>e</w:t>
      </w:r>
      <w:r w:rsidRPr="00EB44BE">
        <w:t>limination</w:t>
      </w:r>
    </w:p>
    <w:p w:rsidR="00217FB0" w:rsidRPr="00EB44BE" w:rsidRDefault="00470B1B" w:rsidP="00F3357F">
      <w:pPr>
        <w:spacing w:before="120"/>
        <w:jc w:val="both"/>
      </w:pPr>
      <w:r>
        <w:t>Sorafenib is metabolis</w:t>
      </w:r>
      <w:r w:rsidR="00217FB0" w:rsidRPr="00EB44BE">
        <w:t>ed primarily in the liver undergoing oxidative metabolism, mediated by CYP3A4, as well as glucuronidation mediated by UGT1A9.</w:t>
      </w:r>
      <w:r w:rsidR="008B6795">
        <w:t xml:space="preserve"> Sorafenib conjugates may be cleaved in the GI tract by bacterial glucuronidase activity, allowing reabsorption of unconjugated drug. Co-administration of neomycin interferes with this process, decreasing the mean bioavailability of sorafenib by 54%.</w:t>
      </w:r>
    </w:p>
    <w:p w:rsidR="00217FB0" w:rsidRPr="00EB44BE" w:rsidRDefault="00217FB0" w:rsidP="00217FB0">
      <w:pPr>
        <w:jc w:val="both"/>
      </w:pPr>
    </w:p>
    <w:p w:rsidR="00217FB0" w:rsidRPr="00EB44BE" w:rsidRDefault="00217FB0" w:rsidP="00217FB0">
      <w:pPr>
        <w:jc w:val="both"/>
      </w:pPr>
      <w:r w:rsidRPr="00EB44BE">
        <w:t xml:space="preserve">Sorafenib accounts for approximately 70-85% of the circulating analytes in plasma at steady state. Eight metabolites of sorafenib have been identified, of which five have been detected in plasma. The main circulating metabolite of sorafenib in plasma, the pyridine N-oxide, shows </w:t>
      </w:r>
      <w:r w:rsidRPr="00741AE1">
        <w:rPr>
          <w:i/>
        </w:rPr>
        <w:t>in vitro</w:t>
      </w:r>
      <w:r w:rsidRPr="00EB44BE">
        <w:t xml:space="preserve"> potency similar to that of sorafenib and comprises approximately 9-16% of circulating analytes at steady state.</w:t>
      </w:r>
    </w:p>
    <w:p w:rsidR="00217FB0" w:rsidRPr="00EB44BE" w:rsidRDefault="00217FB0" w:rsidP="00217FB0">
      <w:pPr>
        <w:jc w:val="both"/>
      </w:pPr>
    </w:p>
    <w:p w:rsidR="001E24A4" w:rsidRPr="00456BB8" w:rsidRDefault="00217FB0" w:rsidP="001E24A4">
      <w:pPr>
        <w:jc w:val="both"/>
      </w:pPr>
      <w:r w:rsidRPr="00EB44BE">
        <w:t xml:space="preserve">Following oral administration of a 100 mg dose of a solution formulation of sorafenib, 96% of the dose was recovered within 14 days, with 77% of the dose excreted in </w:t>
      </w:r>
      <w:r w:rsidR="00EB44BE" w:rsidRPr="00EB44BE">
        <w:t>faeces</w:t>
      </w:r>
      <w:r w:rsidRPr="00EB44BE">
        <w:t xml:space="preserve">, and 19% of the dose excreted in urine as glucuronidated metabolites. Unchanged sorafenib, accounting for 51% of the dose, was found in </w:t>
      </w:r>
      <w:r w:rsidR="00EB44BE" w:rsidRPr="00EB44BE">
        <w:t>faeces</w:t>
      </w:r>
      <w:r w:rsidRPr="00EB44BE">
        <w:t xml:space="preserve"> but not in urine.</w:t>
      </w:r>
      <w:r w:rsidR="001E24A4">
        <w:t xml:space="preserve"> </w:t>
      </w:r>
    </w:p>
    <w:p w:rsidR="005A140C" w:rsidRPr="00456BB8" w:rsidRDefault="00655FA2" w:rsidP="00456BB8">
      <w:pPr>
        <w:pStyle w:val="Heading3"/>
        <w:spacing w:before="240" w:after="120"/>
        <w:rPr>
          <w:b w:val="0"/>
        </w:rPr>
      </w:pPr>
      <w:r w:rsidRPr="00533310">
        <w:rPr>
          <w:b w:val="0"/>
        </w:rPr>
        <w:t>Renal impairment</w:t>
      </w:r>
    </w:p>
    <w:p w:rsidR="00E32E71" w:rsidRPr="00EB44BE" w:rsidRDefault="00E32E71" w:rsidP="001E24A4">
      <w:pPr>
        <w:jc w:val="both"/>
      </w:pPr>
      <w:r w:rsidRPr="00EB44BE">
        <w:t>In patients with normal renal function (N = 71) and in patients with mild renal impairment (CrCl &gt; 50</w:t>
      </w:r>
      <w:r w:rsidR="005A140C">
        <w:t>-80 mL</w:t>
      </w:r>
      <w:r w:rsidRPr="00EB44BE">
        <w:t>/min, N = 24) or moderate renal impairment (CrCl 30</w:t>
      </w:r>
      <w:r w:rsidR="005A140C">
        <w:t>-50 mL</w:t>
      </w:r>
      <w:r w:rsidRPr="00EB44BE">
        <w:t>/min, N = 4), there was no relationship observed between steady state sorafenib AUC and renal function at doses of 400 mg twice daily. The pharmacokinetics of sorafenib has not been studied in patients with severe renal impairment (CrCl &lt; 30 m</w:t>
      </w:r>
      <w:r w:rsidR="005A140C">
        <w:t>L</w:t>
      </w:r>
      <w:r w:rsidRPr="00EB44BE">
        <w:t>/min) or patients undergoing dialysis</w:t>
      </w:r>
      <w:r w:rsidR="005D5471">
        <w:t>.</w:t>
      </w:r>
      <w:r w:rsidRPr="00EB44BE">
        <w:t xml:space="preserve"> </w:t>
      </w:r>
    </w:p>
    <w:p w:rsidR="00655FA2" w:rsidRPr="00A5704C" w:rsidRDefault="00655FA2" w:rsidP="00FA21F2">
      <w:pPr>
        <w:pStyle w:val="Heading3"/>
        <w:spacing w:before="240" w:after="120"/>
        <w:rPr>
          <w:b w:val="0"/>
        </w:rPr>
      </w:pPr>
      <w:r w:rsidRPr="00A5704C">
        <w:rPr>
          <w:b w:val="0"/>
        </w:rPr>
        <w:lastRenderedPageBreak/>
        <w:t>Hepatic impairment</w:t>
      </w:r>
    </w:p>
    <w:p w:rsidR="000F3FF4" w:rsidRPr="00533310" w:rsidRDefault="000F3FF4" w:rsidP="00533310">
      <w:r w:rsidRPr="00533310">
        <w:t xml:space="preserve">Sorafenib is cleared primarily by the liver. </w:t>
      </w:r>
    </w:p>
    <w:p w:rsidR="00582D8A" w:rsidRPr="00533310" w:rsidRDefault="000F3FF4" w:rsidP="00533310">
      <w:r w:rsidRPr="00533310">
        <w:t xml:space="preserve">In </w:t>
      </w:r>
      <w:r w:rsidR="00911A58" w:rsidRPr="00533310">
        <w:t xml:space="preserve">HCC </w:t>
      </w:r>
      <w:r w:rsidRPr="00533310">
        <w:t>patients with mild (Child-Pugh A) or moderate (Child-Pugh B) hepatic impairment, exposure values were within the range observed in patients without hepatic impairment.</w:t>
      </w:r>
      <w:r w:rsidR="00911A58" w:rsidRPr="00533310">
        <w:t xml:space="preserve"> In non-HCC patients the pharmacokinetics (PK) of sorafenib in Child-Pugh A and Child-Pugh B patients were similar to the PK in healthy volunteers.</w:t>
      </w:r>
      <w:r w:rsidRPr="00533310">
        <w:t xml:space="preserve"> The pharmacokinetics of sorafenib ha</w:t>
      </w:r>
      <w:r w:rsidR="00836B3D" w:rsidRPr="00533310">
        <w:t>ve</w:t>
      </w:r>
      <w:r w:rsidRPr="00533310">
        <w:t xml:space="preserve"> not been studied in patients with severe (Child-Pugh C) hepatic impairment (see PRECAUTIONS).</w:t>
      </w:r>
    </w:p>
    <w:p w:rsidR="00582D8A" w:rsidRPr="00533310" w:rsidRDefault="00582D8A" w:rsidP="00533310">
      <w:pPr>
        <w:pStyle w:val="Heading2"/>
      </w:pPr>
      <w:r w:rsidRPr="00533310">
        <w:t>QT interval prolongation</w:t>
      </w:r>
    </w:p>
    <w:p w:rsidR="00582D8A" w:rsidRPr="006051D8" w:rsidRDefault="00582D8A" w:rsidP="00582D8A">
      <w:pPr>
        <w:jc w:val="both"/>
      </w:pPr>
      <w:r>
        <w:t xml:space="preserve">In a clinical pharmacology study, QT/QTc measurements were recorded in 31 patients at baseline (pre-treatment) and post-treatment. After one 28-day treatment cycle, at the time of maximum concentration of sorafenib, QTcB was prolonged by 4±19 ms and QTcF by 9±18 ms, as compared to placebo treatment at baseline. No subject showed a QTcB or QTcF &gt;500 ms during the post-treatment ECG monitoring. (See </w:t>
      </w:r>
      <w:r w:rsidRPr="008B44AD">
        <w:rPr>
          <w:b/>
        </w:rPr>
        <w:t>PRECAUTIONS</w:t>
      </w:r>
      <w:r>
        <w:t>)</w:t>
      </w:r>
    </w:p>
    <w:p w:rsidR="00655FA2" w:rsidRPr="00EB44BE" w:rsidRDefault="00655FA2" w:rsidP="00217FB0">
      <w:pPr>
        <w:pStyle w:val="Heading1"/>
        <w:rPr>
          <w:caps w:val="0"/>
          <w:lang w:val="en-GB"/>
        </w:rPr>
      </w:pPr>
      <w:r w:rsidRPr="00EB44BE">
        <w:rPr>
          <w:lang w:val="en-GB"/>
        </w:rPr>
        <w:t xml:space="preserve">CLINICAL </w:t>
      </w:r>
      <w:r w:rsidR="00BE0E14">
        <w:rPr>
          <w:lang w:val="en-GB"/>
        </w:rPr>
        <w:t>trials</w:t>
      </w:r>
    </w:p>
    <w:p w:rsidR="00C84872" w:rsidRDefault="00C84872" w:rsidP="00807DDD">
      <w:pPr>
        <w:jc w:val="both"/>
      </w:pPr>
      <w:r w:rsidRPr="00C84872">
        <w:t xml:space="preserve">The clinical safety and efficacy of </w:t>
      </w:r>
      <w:r>
        <w:t>NEXAVAR</w:t>
      </w:r>
      <w:r w:rsidRPr="00C84872">
        <w:t xml:space="preserve"> have been studied in patients with hepatocellular carcinoma (HCC)</w:t>
      </w:r>
      <w:r w:rsidR="003029EA">
        <w:t>,</w:t>
      </w:r>
      <w:r w:rsidRPr="00C84872">
        <w:t xml:space="preserve"> in patients with advanced renal cell carcinoma (RCC)</w:t>
      </w:r>
      <w:r w:rsidR="003029EA" w:rsidRPr="003029EA">
        <w:t xml:space="preserve"> and in patients with </w:t>
      </w:r>
      <w:r w:rsidR="003029EA">
        <w:t>d</w:t>
      </w:r>
      <w:r w:rsidR="003029EA" w:rsidRPr="003029EA">
        <w:t xml:space="preserve">ifferentiated </w:t>
      </w:r>
      <w:r w:rsidR="003029EA">
        <w:t>t</w:t>
      </w:r>
      <w:r w:rsidR="003029EA" w:rsidRPr="003029EA">
        <w:t xml:space="preserve">hyroid </w:t>
      </w:r>
      <w:r w:rsidR="003029EA">
        <w:t>c</w:t>
      </w:r>
      <w:r w:rsidR="003029EA" w:rsidRPr="003029EA">
        <w:t>arcinoma (DTC)</w:t>
      </w:r>
      <w:r w:rsidRPr="00C84872">
        <w:t>.</w:t>
      </w:r>
    </w:p>
    <w:p w:rsidR="00C84872" w:rsidRDefault="00C84872" w:rsidP="00C84872">
      <w:pPr>
        <w:pStyle w:val="Heading2"/>
      </w:pPr>
      <w:r>
        <w:t>H</w:t>
      </w:r>
      <w:r w:rsidR="00B660BE">
        <w:t>epatocellular C</w:t>
      </w:r>
      <w:r w:rsidRPr="00C84872">
        <w:t>arcinoma</w:t>
      </w:r>
    </w:p>
    <w:p w:rsidR="00052221" w:rsidRPr="00052221" w:rsidRDefault="00052221" w:rsidP="008E74E0">
      <w:pPr>
        <w:autoSpaceDE w:val="0"/>
        <w:autoSpaceDN w:val="0"/>
        <w:adjustRightInd w:val="0"/>
        <w:jc w:val="both"/>
        <w:rPr>
          <w:lang w:val="en-AU" w:eastAsia="en-AU"/>
        </w:rPr>
      </w:pPr>
      <w:r>
        <w:rPr>
          <w:lang w:val="en-AU"/>
        </w:rPr>
        <w:t>S</w:t>
      </w:r>
      <w:r w:rsidRPr="00052221">
        <w:rPr>
          <w:lang w:val="en-AU"/>
        </w:rPr>
        <w:t>tudy 100554 was a Phase III, international, multi-centre, randomised, double blind, placebo-controlled trial in 602 patients with hepatocellular carcinoma.</w:t>
      </w:r>
      <w:r w:rsidRPr="005973F0">
        <w:rPr>
          <w:lang w:val="en-AU"/>
        </w:rPr>
        <w:t xml:space="preserve"> </w:t>
      </w:r>
      <w:r w:rsidRPr="00052221">
        <w:rPr>
          <w:lang w:val="en-AU"/>
        </w:rPr>
        <w:t>Overall survival (OS) was a primary endpoint of this study, time to progression (TTP) a secondary endpoint.</w:t>
      </w:r>
    </w:p>
    <w:p w:rsidR="00052221" w:rsidRDefault="00052221" w:rsidP="00052221">
      <w:pPr>
        <w:jc w:val="both"/>
        <w:rPr>
          <w:lang w:val="en-AU"/>
        </w:rPr>
      </w:pPr>
    </w:p>
    <w:p w:rsidR="00052221" w:rsidRDefault="00052221" w:rsidP="002B70FA">
      <w:pPr>
        <w:jc w:val="both"/>
        <w:rPr>
          <w:lang w:val="en-AU"/>
        </w:rPr>
      </w:pPr>
      <w:r w:rsidRPr="002B70FA">
        <w:rPr>
          <w:lang w:val="en-AU"/>
        </w:rPr>
        <w:t xml:space="preserve">Demographics and baseline disease characteristics were comparable between the NEXAVAR and placebo groups with regard to age, gender, </w:t>
      </w:r>
      <w:r w:rsidR="00D12747">
        <w:rPr>
          <w:lang w:val="en-AU"/>
        </w:rPr>
        <w:t>ethnicity</w:t>
      </w:r>
      <w:r w:rsidRPr="002B70FA">
        <w:rPr>
          <w:lang w:val="en-AU"/>
        </w:rPr>
        <w:t xml:space="preserve">, performance status, </w:t>
      </w:r>
      <w:r w:rsidR="00505CD4" w:rsidRPr="002B70FA">
        <w:rPr>
          <w:lang w:val="en-AU"/>
        </w:rPr>
        <w:t>aetiology</w:t>
      </w:r>
      <w:r w:rsidRPr="002B70FA">
        <w:rPr>
          <w:lang w:val="en-AU"/>
        </w:rPr>
        <w:t xml:space="preserve"> (including hepatitis B, hepatitis C and alcoholic liver disease), TNM </w:t>
      </w:r>
      <w:r w:rsidR="005A140C">
        <w:rPr>
          <w:lang w:val="en-AU"/>
        </w:rPr>
        <w:t xml:space="preserve">(tumour node metastasis) </w:t>
      </w:r>
      <w:r w:rsidRPr="002B70FA">
        <w:rPr>
          <w:lang w:val="en-AU"/>
        </w:rPr>
        <w:t>stage (stage I: &lt;</w:t>
      </w:r>
      <w:r w:rsidR="005A140C">
        <w:rPr>
          <w:lang w:val="en-AU"/>
        </w:rPr>
        <w:t xml:space="preserve"> </w:t>
      </w:r>
      <w:r w:rsidRPr="002B70FA">
        <w:rPr>
          <w:lang w:val="en-AU"/>
        </w:rPr>
        <w:t>1% vs. &lt;</w:t>
      </w:r>
      <w:r w:rsidR="005A140C">
        <w:rPr>
          <w:lang w:val="en-AU"/>
        </w:rPr>
        <w:t xml:space="preserve"> </w:t>
      </w:r>
      <w:r w:rsidRPr="002B70FA">
        <w:rPr>
          <w:lang w:val="en-AU"/>
        </w:rPr>
        <w:t xml:space="preserve">1%; stage II: 10.4% vs. 8.3%; stage III: 37.8% vs. 43.6%; stage IV: 50.8% vs. 46.9%), absence of both macroscopic vascular invasion and extrahepatic tumour spread (30.1% vs. 30.0%), and BCLC </w:t>
      </w:r>
      <w:r w:rsidR="005A140C">
        <w:rPr>
          <w:lang w:val="en-AU"/>
        </w:rPr>
        <w:t>(</w:t>
      </w:r>
      <w:r w:rsidR="005A140C" w:rsidRPr="005A140C">
        <w:rPr>
          <w:lang w:val="en-AU"/>
        </w:rPr>
        <w:t xml:space="preserve">Barcelona </w:t>
      </w:r>
      <w:r w:rsidR="00D12747">
        <w:rPr>
          <w:lang w:val="en-AU"/>
        </w:rPr>
        <w:t>C</w:t>
      </w:r>
      <w:r w:rsidR="005A140C" w:rsidRPr="005A140C">
        <w:rPr>
          <w:lang w:val="en-AU"/>
        </w:rPr>
        <w:t xml:space="preserve">linic </w:t>
      </w:r>
      <w:r w:rsidR="00D12747">
        <w:rPr>
          <w:lang w:val="en-AU"/>
        </w:rPr>
        <w:t>L</w:t>
      </w:r>
      <w:r w:rsidR="005A140C" w:rsidRPr="005A140C">
        <w:rPr>
          <w:lang w:val="en-AU"/>
        </w:rPr>
        <w:t xml:space="preserve">iver </w:t>
      </w:r>
      <w:r w:rsidR="00D12747">
        <w:rPr>
          <w:lang w:val="en-AU"/>
        </w:rPr>
        <w:t>C</w:t>
      </w:r>
      <w:r w:rsidR="005A140C" w:rsidRPr="005A140C">
        <w:rPr>
          <w:lang w:val="en-AU"/>
        </w:rPr>
        <w:t>ancer</w:t>
      </w:r>
      <w:r w:rsidR="005A140C">
        <w:rPr>
          <w:lang w:val="en-AU"/>
        </w:rPr>
        <w:t xml:space="preserve">) </w:t>
      </w:r>
      <w:r w:rsidRPr="002B70FA">
        <w:rPr>
          <w:lang w:val="en-AU"/>
        </w:rPr>
        <w:t>stage (stage B: 18.1% vs. 16.8%; stage C: 81.6% vs. 83.2%; stage D: &lt;</w:t>
      </w:r>
      <w:r w:rsidR="005A140C">
        <w:rPr>
          <w:lang w:val="en-AU"/>
        </w:rPr>
        <w:t xml:space="preserve"> </w:t>
      </w:r>
      <w:r w:rsidRPr="002B70FA">
        <w:rPr>
          <w:lang w:val="en-AU"/>
        </w:rPr>
        <w:t>1% vs. 0%). Liver function Child-Pugh status was comparable between the NEXAVAR and placebo groups (A: 95% vs. 98%; B</w:t>
      </w:r>
      <w:r w:rsidR="00505CD4" w:rsidRPr="002B70FA">
        <w:rPr>
          <w:lang w:val="en-AU"/>
        </w:rPr>
        <w:t>:</w:t>
      </w:r>
      <w:r w:rsidRPr="002B70FA">
        <w:rPr>
          <w:lang w:val="en-AU"/>
        </w:rPr>
        <w:t xml:space="preserve"> 5% vs. 2%). Only one patient with Child-Pugh C liver dysfunction was treated in the study. Prior treatment included surgical resection procedures (19.1% vs. 20.5%), locoregional therapies (including radiofrequency ablation, percutaneous ethanol injection and transarterial chemoembolisation; 38.8% vs. 40.6%), radiotherapy (4.3% vs. 5.0%) and systemic therapy (3.0% vs. 5.0%).</w:t>
      </w:r>
    </w:p>
    <w:p w:rsidR="000E482D" w:rsidRDefault="000E482D" w:rsidP="002B70FA">
      <w:pPr>
        <w:jc w:val="both"/>
        <w:rPr>
          <w:lang w:val="en-AU"/>
        </w:rPr>
      </w:pPr>
    </w:p>
    <w:p w:rsidR="00C84872" w:rsidRDefault="00052221" w:rsidP="00052221">
      <w:pPr>
        <w:jc w:val="both"/>
        <w:rPr>
          <w:lang w:val="en-AU"/>
        </w:rPr>
      </w:pPr>
      <w:r w:rsidRPr="00052221">
        <w:rPr>
          <w:lang w:val="en-AU"/>
        </w:rPr>
        <w:t xml:space="preserve">The study was stopped after a planned interim analysis of OS had crossed the prespecified efficacy boundary. This OS analysis showed a statistically significant advantage for </w:t>
      </w:r>
      <w:r>
        <w:rPr>
          <w:lang w:val="en-AU"/>
        </w:rPr>
        <w:t>NEXAVAR</w:t>
      </w:r>
      <w:r w:rsidRPr="00052221">
        <w:rPr>
          <w:lang w:val="en-AU"/>
        </w:rPr>
        <w:t xml:space="preserve"> over placebo for OS (HR: 0.69</w:t>
      </w:r>
      <w:r w:rsidR="001C4503">
        <w:rPr>
          <w:lang w:val="en-AU"/>
        </w:rPr>
        <w:t>;</w:t>
      </w:r>
      <w:r w:rsidRPr="00052221">
        <w:rPr>
          <w:lang w:val="en-AU"/>
        </w:rPr>
        <w:t xml:space="preserve"> p</w:t>
      </w:r>
      <w:r w:rsidR="005A140C">
        <w:rPr>
          <w:lang w:val="en-AU"/>
        </w:rPr>
        <w:t xml:space="preserve"> = </w:t>
      </w:r>
      <w:r w:rsidRPr="00052221">
        <w:rPr>
          <w:lang w:val="en-AU"/>
        </w:rPr>
        <w:t xml:space="preserve">0.00058, see Table </w:t>
      </w:r>
      <w:r>
        <w:rPr>
          <w:lang w:val="en-AU"/>
        </w:rPr>
        <w:t>1</w:t>
      </w:r>
      <w:r w:rsidRPr="00052221">
        <w:rPr>
          <w:lang w:val="en-AU"/>
        </w:rPr>
        <w:t xml:space="preserve"> and Figure 1). This advantage was consistent across all subsets analysed. In the prespecified stratification factors </w:t>
      </w:r>
      <w:r w:rsidR="005A140C">
        <w:rPr>
          <w:lang w:val="en-AU"/>
        </w:rPr>
        <w:t>[</w:t>
      </w:r>
      <w:r w:rsidRPr="00052221">
        <w:rPr>
          <w:lang w:val="en-AU"/>
        </w:rPr>
        <w:t>ECOG</w:t>
      </w:r>
      <w:r w:rsidR="005A140C">
        <w:rPr>
          <w:lang w:val="en-AU"/>
        </w:rPr>
        <w:t xml:space="preserve"> (</w:t>
      </w:r>
      <w:r w:rsidR="005A140C" w:rsidRPr="005A140C">
        <w:rPr>
          <w:lang w:val="en-AU"/>
        </w:rPr>
        <w:t>Eastern Cooperative Oncology Group</w:t>
      </w:r>
      <w:r w:rsidR="005A140C">
        <w:rPr>
          <w:lang w:val="en-AU"/>
        </w:rPr>
        <w:t>)</w:t>
      </w:r>
      <w:r w:rsidRPr="00052221">
        <w:rPr>
          <w:lang w:val="en-AU"/>
        </w:rPr>
        <w:t xml:space="preserve"> status, presence or absence of macroscopic vascular invasion and/or extrahepatic tumour spread, and region</w:t>
      </w:r>
      <w:r w:rsidR="005A140C">
        <w:rPr>
          <w:lang w:val="en-AU"/>
        </w:rPr>
        <w:t>]</w:t>
      </w:r>
      <w:r w:rsidRPr="00052221">
        <w:rPr>
          <w:lang w:val="en-AU"/>
        </w:rPr>
        <w:t xml:space="preserve"> the hazard ratio consistently favoured </w:t>
      </w:r>
      <w:r>
        <w:rPr>
          <w:lang w:val="en-AU"/>
        </w:rPr>
        <w:t>NEXAVAR</w:t>
      </w:r>
      <w:r w:rsidRPr="00052221">
        <w:rPr>
          <w:lang w:val="en-AU"/>
        </w:rPr>
        <w:t xml:space="preserve"> over placebo. The TTP </w:t>
      </w:r>
      <w:r w:rsidR="005A140C">
        <w:rPr>
          <w:lang w:val="en-AU"/>
        </w:rPr>
        <w:t>(</w:t>
      </w:r>
      <w:r w:rsidRPr="00052221">
        <w:rPr>
          <w:lang w:val="en-AU"/>
        </w:rPr>
        <w:t>by independent radiological review) was significantly l</w:t>
      </w:r>
      <w:r w:rsidR="003E69B1">
        <w:rPr>
          <w:lang w:val="en-AU"/>
        </w:rPr>
        <w:t>onger</w:t>
      </w:r>
      <w:r w:rsidRPr="00052221">
        <w:rPr>
          <w:lang w:val="en-AU"/>
        </w:rPr>
        <w:t xml:space="preserve"> in the </w:t>
      </w:r>
      <w:r>
        <w:rPr>
          <w:lang w:val="en-AU"/>
        </w:rPr>
        <w:t>NEXAVAR</w:t>
      </w:r>
      <w:r w:rsidRPr="00052221">
        <w:rPr>
          <w:lang w:val="en-AU"/>
        </w:rPr>
        <w:t xml:space="preserve"> arm (HR: 0.58</w:t>
      </w:r>
      <w:r w:rsidR="00946806">
        <w:rPr>
          <w:lang w:val="en-AU"/>
        </w:rPr>
        <w:t>;</w:t>
      </w:r>
      <w:r w:rsidRPr="00052221">
        <w:rPr>
          <w:lang w:val="en-AU"/>
        </w:rPr>
        <w:t xml:space="preserve"> p</w:t>
      </w:r>
      <w:r w:rsidR="005A140C">
        <w:rPr>
          <w:lang w:val="en-AU"/>
        </w:rPr>
        <w:t xml:space="preserve"> </w:t>
      </w:r>
      <w:r w:rsidRPr="00052221">
        <w:rPr>
          <w:lang w:val="en-AU"/>
        </w:rPr>
        <w:t>=</w:t>
      </w:r>
      <w:r w:rsidR="005A140C">
        <w:rPr>
          <w:lang w:val="en-AU"/>
        </w:rPr>
        <w:t xml:space="preserve"> </w:t>
      </w:r>
      <w:r w:rsidRPr="00052221">
        <w:rPr>
          <w:lang w:val="en-AU"/>
        </w:rPr>
        <w:t xml:space="preserve">0.000007, see Table </w:t>
      </w:r>
      <w:r>
        <w:rPr>
          <w:lang w:val="en-AU"/>
        </w:rPr>
        <w:t>1</w:t>
      </w:r>
      <w:r w:rsidRPr="00052221">
        <w:rPr>
          <w:lang w:val="en-AU"/>
        </w:rPr>
        <w:t>).</w:t>
      </w:r>
    </w:p>
    <w:p w:rsidR="00052221" w:rsidRPr="00052221" w:rsidRDefault="00C51556" w:rsidP="00FA21F2">
      <w:pPr>
        <w:spacing w:after="120"/>
        <w:rPr>
          <w:b/>
          <w:u w:val="single"/>
        </w:rPr>
      </w:pPr>
      <w:r>
        <w:rPr>
          <w:b/>
          <w:u w:val="single"/>
        </w:rPr>
        <w:br w:type="page"/>
      </w:r>
      <w:r w:rsidR="00B660BE">
        <w:rPr>
          <w:b/>
          <w:u w:val="single"/>
        </w:rPr>
        <w:lastRenderedPageBreak/>
        <w:t>Table 1: Efficacy r</w:t>
      </w:r>
      <w:r w:rsidR="00052221" w:rsidRPr="00052221">
        <w:rPr>
          <w:b/>
          <w:u w:val="single"/>
        </w:rPr>
        <w:t xml:space="preserve">esults from </w:t>
      </w:r>
      <w:r w:rsidR="00052221">
        <w:rPr>
          <w:b/>
          <w:u w:val="single"/>
        </w:rPr>
        <w:t>Study 100554</w:t>
      </w:r>
      <w:r w:rsidR="00052221" w:rsidRPr="00052221">
        <w:rPr>
          <w:b/>
          <w:u w:val="single"/>
        </w:rPr>
        <w:t xml:space="preserve"> in hepatocellular carcinoma</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558"/>
        <w:gridCol w:w="1771"/>
        <w:gridCol w:w="1771"/>
        <w:gridCol w:w="1772"/>
      </w:tblGrid>
      <w:tr w:rsidR="00052221" w:rsidRPr="00B806D3" w:rsidTr="00B806D3">
        <w:tc>
          <w:tcPr>
            <w:tcW w:w="2448" w:type="dxa"/>
            <w:shd w:val="clear" w:color="auto" w:fill="auto"/>
          </w:tcPr>
          <w:p w:rsidR="00052221" w:rsidRPr="00B806D3" w:rsidRDefault="00052221" w:rsidP="00B806D3">
            <w:pPr>
              <w:widowControl w:val="0"/>
              <w:adjustRightInd w:val="0"/>
              <w:spacing w:line="0" w:lineRule="atLeast"/>
              <w:jc w:val="both"/>
              <w:textAlignment w:val="baseline"/>
              <w:rPr>
                <w:rFonts w:eastAsia="MS Mincho" w:cs="Arial"/>
                <w:b/>
                <w:sz w:val="20"/>
                <w:szCs w:val="20"/>
              </w:rPr>
            </w:pPr>
            <w:r w:rsidRPr="00B806D3">
              <w:rPr>
                <w:rFonts w:eastAsia="MS Mincho" w:cs="Arial"/>
                <w:b/>
                <w:sz w:val="20"/>
                <w:szCs w:val="20"/>
              </w:rPr>
              <w:t>Efficacy Parameter</w:t>
            </w:r>
          </w:p>
        </w:tc>
        <w:tc>
          <w:tcPr>
            <w:tcW w:w="1558" w:type="dxa"/>
            <w:shd w:val="clear" w:color="auto" w:fill="auto"/>
          </w:tcPr>
          <w:p w:rsidR="00052221" w:rsidRPr="00B806D3" w:rsidRDefault="00052221" w:rsidP="00B806D3">
            <w:pPr>
              <w:widowControl w:val="0"/>
              <w:adjustRightInd w:val="0"/>
              <w:spacing w:line="0" w:lineRule="atLeast"/>
              <w:jc w:val="both"/>
              <w:textAlignment w:val="baseline"/>
              <w:rPr>
                <w:rFonts w:eastAsia="MS Mincho" w:cs="Arial"/>
                <w:b/>
                <w:sz w:val="20"/>
                <w:szCs w:val="20"/>
              </w:rPr>
            </w:pPr>
            <w:r w:rsidRPr="00B806D3">
              <w:rPr>
                <w:rFonts w:eastAsia="MS Mincho" w:cs="Arial"/>
                <w:b/>
                <w:sz w:val="20"/>
                <w:szCs w:val="20"/>
              </w:rPr>
              <w:t>Nexavar</w:t>
            </w:r>
          </w:p>
          <w:p w:rsidR="00052221" w:rsidRPr="00B806D3" w:rsidRDefault="00052221" w:rsidP="00B806D3">
            <w:pPr>
              <w:widowControl w:val="0"/>
              <w:adjustRightInd w:val="0"/>
              <w:spacing w:line="0" w:lineRule="atLeast"/>
              <w:jc w:val="both"/>
              <w:textAlignment w:val="baseline"/>
              <w:rPr>
                <w:rFonts w:eastAsia="MS Mincho" w:cs="Arial"/>
                <w:b/>
                <w:sz w:val="20"/>
                <w:szCs w:val="20"/>
              </w:rPr>
            </w:pPr>
            <w:r w:rsidRPr="00B806D3">
              <w:rPr>
                <w:rFonts w:eastAsia="MS Mincho" w:cs="Arial"/>
                <w:b/>
                <w:sz w:val="20"/>
                <w:szCs w:val="20"/>
              </w:rPr>
              <w:t>(N</w:t>
            </w:r>
            <w:r w:rsidR="005A140C" w:rsidRPr="00B806D3">
              <w:rPr>
                <w:rFonts w:eastAsia="MS Mincho" w:cs="Arial"/>
                <w:b/>
                <w:sz w:val="20"/>
                <w:szCs w:val="20"/>
              </w:rPr>
              <w:t xml:space="preserve"> </w:t>
            </w:r>
            <w:r w:rsidRPr="00B806D3">
              <w:rPr>
                <w:rFonts w:eastAsia="MS Mincho" w:cs="Arial"/>
                <w:b/>
                <w:sz w:val="20"/>
                <w:szCs w:val="20"/>
              </w:rPr>
              <w:t>=</w:t>
            </w:r>
            <w:r w:rsidR="005A140C" w:rsidRPr="00B806D3">
              <w:rPr>
                <w:rFonts w:eastAsia="MS Mincho" w:cs="Arial"/>
                <w:b/>
                <w:sz w:val="20"/>
                <w:szCs w:val="20"/>
              </w:rPr>
              <w:t xml:space="preserve"> </w:t>
            </w:r>
            <w:r w:rsidRPr="00B806D3">
              <w:rPr>
                <w:rFonts w:eastAsia="MS Mincho" w:cs="Arial"/>
                <w:b/>
                <w:sz w:val="20"/>
                <w:szCs w:val="20"/>
              </w:rPr>
              <w:t>299)</w:t>
            </w:r>
          </w:p>
        </w:tc>
        <w:tc>
          <w:tcPr>
            <w:tcW w:w="1771" w:type="dxa"/>
            <w:shd w:val="clear" w:color="auto" w:fill="auto"/>
          </w:tcPr>
          <w:p w:rsidR="00052221" w:rsidRPr="00B806D3" w:rsidRDefault="00052221" w:rsidP="00B806D3">
            <w:pPr>
              <w:widowControl w:val="0"/>
              <w:adjustRightInd w:val="0"/>
              <w:spacing w:line="0" w:lineRule="atLeast"/>
              <w:jc w:val="both"/>
              <w:textAlignment w:val="baseline"/>
              <w:rPr>
                <w:rFonts w:eastAsia="MS Mincho" w:cs="Arial"/>
                <w:b/>
                <w:sz w:val="20"/>
                <w:szCs w:val="20"/>
              </w:rPr>
            </w:pPr>
            <w:r w:rsidRPr="00B806D3">
              <w:rPr>
                <w:rFonts w:eastAsia="MS Mincho" w:cs="Arial"/>
                <w:b/>
                <w:sz w:val="20"/>
                <w:szCs w:val="20"/>
              </w:rPr>
              <w:t>Placebo</w:t>
            </w:r>
          </w:p>
          <w:p w:rsidR="00052221" w:rsidRPr="00B806D3" w:rsidRDefault="00052221" w:rsidP="00B806D3">
            <w:pPr>
              <w:widowControl w:val="0"/>
              <w:adjustRightInd w:val="0"/>
              <w:spacing w:line="0" w:lineRule="atLeast"/>
              <w:jc w:val="both"/>
              <w:textAlignment w:val="baseline"/>
              <w:rPr>
                <w:rFonts w:eastAsia="MS Mincho" w:cs="Arial"/>
                <w:b/>
                <w:sz w:val="20"/>
                <w:szCs w:val="20"/>
              </w:rPr>
            </w:pPr>
            <w:r w:rsidRPr="00B806D3">
              <w:rPr>
                <w:rFonts w:eastAsia="MS Mincho" w:cs="Arial"/>
                <w:b/>
                <w:sz w:val="20"/>
                <w:szCs w:val="20"/>
              </w:rPr>
              <w:t>(N</w:t>
            </w:r>
            <w:r w:rsidR="005A140C" w:rsidRPr="00B806D3">
              <w:rPr>
                <w:rFonts w:eastAsia="MS Mincho" w:cs="Arial"/>
                <w:b/>
                <w:sz w:val="20"/>
                <w:szCs w:val="20"/>
              </w:rPr>
              <w:t xml:space="preserve"> </w:t>
            </w:r>
            <w:r w:rsidRPr="00B806D3">
              <w:rPr>
                <w:rFonts w:eastAsia="MS Mincho" w:cs="Arial"/>
                <w:b/>
                <w:sz w:val="20"/>
                <w:szCs w:val="20"/>
              </w:rPr>
              <w:t>=</w:t>
            </w:r>
            <w:r w:rsidR="005A140C" w:rsidRPr="00B806D3">
              <w:rPr>
                <w:rFonts w:eastAsia="MS Mincho" w:cs="Arial"/>
                <w:b/>
                <w:sz w:val="20"/>
                <w:szCs w:val="20"/>
              </w:rPr>
              <w:t xml:space="preserve"> </w:t>
            </w:r>
            <w:r w:rsidRPr="00B806D3">
              <w:rPr>
                <w:rFonts w:eastAsia="MS Mincho" w:cs="Arial"/>
                <w:b/>
                <w:sz w:val="20"/>
                <w:szCs w:val="20"/>
              </w:rPr>
              <w:t>30</w:t>
            </w:r>
            <w:r w:rsidR="003E69B1" w:rsidRPr="00B806D3">
              <w:rPr>
                <w:rFonts w:eastAsia="MS Mincho" w:cs="Arial"/>
                <w:b/>
                <w:sz w:val="20"/>
                <w:szCs w:val="20"/>
              </w:rPr>
              <w:t>3</w:t>
            </w:r>
            <w:r w:rsidRPr="00B806D3">
              <w:rPr>
                <w:rFonts w:eastAsia="MS Mincho" w:cs="Arial"/>
                <w:b/>
                <w:sz w:val="20"/>
                <w:szCs w:val="20"/>
              </w:rPr>
              <w:t>)</w:t>
            </w:r>
          </w:p>
        </w:tc>
        <w:tc>
          <w:tcPr>
            <w:tcW w:w="1771" w:type="dxa"/>
            <w:shd w:val="clear" w:color="auto" w:fill="auto"/>
          </w:tcPr>
          <w:p w:rsidR="00052221" w:rsidRPr="00B806D3" w:rsidRDefault="00052221" w:rsidP="00B806D3">
            <w:pPr>
              <w:widowControl w:val="0"/>
              <w:adjustRightInd w:val="0"/>
              <w:spacing w:line="0" w:lineRule="atLeast"/>
              <w:jc w:val="both"/>
              <w:textAlignment w:val="baseline"/>
              <w:rPr>
                <w:rFonts w:eastAsia="MS Mincho" w:cs="Arial"/>
                <w:b/>
                <w:sz w:val="20"/>
                <w:szCs w:val="20"/>
              </w:rPr>
            </w:pPr>
            <w:r w:rsidRPr="00B806D3">
              <w:rPr>
                <w:rFonts w:eastAsia="MS Mincho" w:cs="Arial"/>
                <w:b/>
                <w:sz w:val="20"/>
                <w:szCs w:val="20"/>
              </w:rPr>
              <w:t>P-value</w:t>
            </w:r>
          </w:p>
        </w:tc>
        <w:tc>
          <w:tcPr>
            <w:tcW w:w="1772" w:type="dxa"/>
            <w:shd w:val="clear" w:color="auto" w:fill="auto"/>
          </w:tcPr>
          <w:p w:rsidR="00052221" w:rsidRPr="00B806D3" w:rsidRDefault="00052221" w:rsidP="00B806D3">
            <w:pPr>
              <w:widowControl w:val="0"/>
              <w:adjustRightInd w:val="0"/>
              <w:spacing w:line="0" w:lineRule="atLeast"/>
              <w:jc w:val="both"/>
              <w:textAlignment w:val="baseline"/>
              <w:rPr>
                <w:rFonts w:eastAsia="MS Mincho" w:cs="Arial"/>
                <w:b/>
                <w:sz w:val="20"/>
                <w:szCs w:val="20"/>
              </w:rPr>
            </w:pPr>
            <w:r w:rsidRPr="00B806D3">
              <w:rPr>
                <w:rFonts w:eastAsia="MS Mincho" w:cs="Arial"/>
                <w:b/>
                <w:sz w:val="20"/>
                <w:szCs w:val="20"/>
              </w:rPr>
              <w:t>HR</w:t>
            </w:r>
          </w:p>
          <w:p w:rsidR="00052221" w:rsidRPr="00B806D3" w:rsidRDefault="00052221" w:rsidP="00B806D3">
            <w:pPr>
              <w:widowControl w:val="0"/>
              <w:adjustRightInd w:val="0"/>
              <w:spacing w:line="0" w:lineRule="atLeast"/>
              <w:jc w:val="both"/>
              <w:textAlignment w:val="baseline"/>
              <w:rPr>
                <w:rFonts w:eastAsia="MS Mincho" w:cs="Arial"/>
                <w:b/>
                <w:sz w:val="20"/>
                <w:szCs w:val="20"/>
              </w:rPr>
            </w:pPr>
            <w:r w:rsidRPr="00B806D3">
              <w:rPr>
                <w:rFonts w:eastAsia="MS Mincho" w:cs="Arial"/>
                <w:b/>
                <w:sz w:val="20"/>
                <w:szCs w:val="20"/>
              </w:rPr>
              <w:t>(95% CI)</w:t>
            </w:r>
          </w:p>
        </w:tc>
      </w:tr>
      <w:tr w:rsidR="00052221" w:rsidRPr="00B806D3" w:rsidTr="00B806D3">
        <w:tc>
          <w:tcPr>
            <w:tcW w:w="2448" w:type="dxa"/>
            <w:shd w:val="clear" w:color="auto" w:fill="auto"/>
          </w:tcPr>
          <w:p w:rsidR="00052221" w:rsidRPr="00B806D3" w:rsidRDefault="00052221" w:rsidP="00B806D3">
            <w:pPr>
              <w:widowControl w:val="0"/>
              <w:adjustRightInd w:val="0"/>
              <w:spacing w:line="0" w:lineRule="atLeast"/>
              <w:textAlignment w:val="baseline"/>
              <w:rPr>
                <w:rFonts w:eastAsia="MS Mincho" w:cs="Arial"/>
                <w:sz w:val="20"/>
                <w:szCs w:val="20"/>
                <w:lang w:val="en-US"/>
              </w:rPr>
            </w:pPr>
            <w:r w:rsidRPr="00B806D3">
              <w:rPr>
                <w:rFonts w:eastAsia="MS Mincho" w:cs="Arial"/>
                <w:sz w:val="20"/>
                <w:szCs w:val="20"/>
                <w:lang w:val="en-US"/>
              </w:rPr>
              <w:t xml:space="preserve">Overall Survival (OS) [median, </w:t>
            </w:r>
            <w:r w:rsidR="002A48B4" w:rsidRPr="00B806D3">
              <w:rPr>
                <w:rFonts w:eastAsia="MS Mincho" w:cs="Arial"/>
                <w:sz w:val="20"/>
                <w:szCs w:val="20"/>
                <w:lang w:val="en-US"/>
              </w:rPr>
              <w:t>months</w:t>
            </w:r>
            <w:r w:rsidRPr="00B806D3">
              <w:rPr>
                <w:rFonts w:eastAsia="MS Mincho" w:cs="Arial"/>
                <w:sz w:val="20"/>
                <w:szCs w:val="20"/>
                <w:lang w:val="en-US"/>
              </w:rPr>
              <w:t xml:space="preserve"> (95% CI)]</w:t>
            </w:r>
          </w:p>
        </w:tc>
        <w:tc>
          <w:tcPr>
            <w:tcW w:w="1558" w:type="dxa"/>
            <w:shd w:val="clear" w:color="auto" w:fill="auto"/>
          </w:tcPr>
          <w:p w:rsidR="00052221" w:rsidRPr="00B806D3" w:rsidRDefault="002A48B4"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10.7</w:t>
            </w:r>
            <w:r w:rsidR="00052221" w:rsidRPr="00B806D3">
              <w:rPr>
                <w:rFonts w:eastAsia="MS Mincho" w:cs="Arial"/>
                <w:sz w:val="20"/>
                <w:szCs w:val="20"/>
              </w:rPr>
              <w:t xml:space="preserve"> </w:t>
            </w:r>
          </w:p>
          <w:p w:rsidR="00052221"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w:t>
            </w:r>
            <w:r w:rsidR="00D9162C" w:rsidRPr="00B806D3">
              <w:rPr>
                <w:rFonts w:eastAsia="MS Mincho" w:cs="Arial"/>
                <w:sz w:val="20"/>
                <w:szCs w:val="20"/>
              </w:rPr>
              <w:t>9.4</w:t>
            </w:r>
            <w:r w:rsidRPr="00B806D3">
              <w:rPr>
                <w:rFonts w:eastAsia="MS Mincho" w:cs="Arial"/>
                <w:sz w:val="20"/>
                <w:szCs w:val="20"/>
              </w:rPr>
              <w:t xml:space="preserve">, </w:t>
            </w:r>
            <w:r w:rsidR="00D9162C" w:rsidRPr="00B806D3">
              <w:rPr>
                <w:rFonts w:eastAsia="MS Mincho" w:cs="Arial"/>
                <w:sz w:val="20"/>
                <w:szCs w:val="20"/>
              </w:rPr>
              <w:t>13.3</w:t>
            </w:r>
            <w:r w:rsidRPr="00B806D3">
              <w:rPr>
                <w:rFonts w:eastAsia="MS Mincho" w:cs="Arial"/>
                <w:sz w:val="20"/>
                <w:szCs w:val="20"/>
              </w:rPr>
              <w:t>)</w:t>
            </w:r>
          </w:p>
        </w:tc>
        <w:tc>
          <w:tcPr>
            <w:tcW w:w="1771" w:type="dxa"/>
            <w:shd w:val="clear" w:color="auto" w:fill="auto"/>
          </w:tcPr>
          <w:p w:rsidR="00052221" w:rsidRPr="00B806D3" w:rsidRDefault="002A48B4"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7.9</w:t>
            </w:r>
            <w:r w:rsidR="00052221" w:rsidRPr="00B806D3">
              <w:rPr>
                <w:rFonts w:eastAsia="MS Mincho" w:cs="Arial"/>
                <w:sz w:val="20"/>
                <w:szCs w:val="20"/>
              </w:rPr>
              <w:t xml:space="preserve"> </w:t>
            </w:r>
          </w:p>
          <w:p w:rsidR="00052221"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w:t>
            </w:r>
            <w:r w:rsidR="00D9162C" w:rsidRPr="00B806D3">
              <w:rPr>
                <w:rFonts w:eastAsia="MS Mincho" w:cs="Arial"/>
                <w:sz w:val="20"/>
                <w:szCs w:val="20"/>
              </w:rPr>
              <w:t>6.8</w:t>
            </w:r>
            <w:r w:rsidRPr="00B806D3">
              <w:rPr>
                <w:rFonts w:eastAsia="MS Mincho" w:cs="Arial"/>
                <w:sz w:val="20"/>
                <w:szCs w:val="20"/>
              </w:rPr>
              <w:t xml:space="preserve">, </w:t>
            </w:r>
            <w:r w:rsidR="00D9162C" w:rsidRPr="00B806D3">
              <w:rPr>
                <w:rFonts w:eastAsia="MS Mincho" w:cs="Arial"/>
                <w:sz w:val="20"/>
                <w:szCs w:val="20"/>
              </w:rPr>
              <w:t>9.1</w:t>
            </w:r>
            <w:r w:rsidRPr="00B806D3">
              <w:rPr>
                <w:rFonts w:eastAsia="MS Mincho" w:cs="Arial"/>
                <w:sz w:val="20"/>
                <w:szCs w:val="20"/>
              </w:rPr>
              <w:t>)</w:t>
            </w:r>
          </w:p>
        </w:tc>
        <w:tc>
          <w:tcPr>
            <w:tcW w:w="1771" w:type="dxa"/>
            <w:shd w:val="clear" w:color="auto" w:fill="auto"/>
          </w:tcPr>
          <w:p w:rsidR="00052221" w:rsidRPr="00B806D3" w:rsidRDefault="00052221" w:rsidP="00B806D3">
            <w:pPr>
              <w:widowControl w:val="0"/>
              <w:autoSpaceDE w:val="0"/>
              <w:autoSpaceDN w:val="0"/>
              <w:adjustRightInd w:val="0"/>
              <w:spacing w:line="0" w:lineRule="atLeast"/>
              <w:textAlignment w:val="baseline"/>
              <w:rPr>
                <w:rFonts w:eastAsia="MS Mincho" w:cs="Arial"/>
                <w:sz w:val="20"/>
                <w:szCs w:val="20"/>
                <w:lang w:eastAsia="ja-JP"/>
              </w:rPr>
            </w:pPr>
            <w:r w:rsidRPr="00B806D3">
              <w:rPr>
                <w:rFonts w:eastAsia="MS Mincho" w:cs="Arial"/>
                <w:sz w:val="20"/>
                <w:szCs w:val="20"/>
                <w:lang w:eastAsia="ja-JP"/>
              </w:rPr>
              <w:t>0.00058*</w:t>
            </w:r>
          </w:p>
          <w:p w:rsidR="00052221" w:rsidRPr="00B806D3" w:rsidRDefault="00052221" w:rsidP="00B806D3">
            <w:pPr>
              <w:widowControl w:val="0"/>
              <w:adjustRightInd w:val="0"/>
              <w:spacing w:line="0" w:lineRule="atLeast"/>
              <w:textAlignment w:val="baseline"/>
              <w:rPr>
                <w:rFonts w:eastAsia="MS Mincho" w:cs="Arial"/>
                <w:sz w:val="20"/>
                <w:szCs w:val="20"/>
              </w:rPr>
            </w:pPr>
          </w:p>
        </w:tc>
        <w:tc>
          <w:tcPr>
            <w:tcW w:w="1772" w:type="dxa"/>
            <w:shd w:val="clear" w:color="auto" w:fill="auto"/>
          </w:tcPr>
          <w:p w:rsidR="00052221"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0.69</w:t>
            </w:r>
          </w:p>
          <w:p w:rsidR="00052221"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(0.55, 0.87)</w:t>
            </w:r>
          </w:p>
        </w:tc>
      </w:tr>
      <w:tr w:rsidR="00052221" w:rsidRPr="00B806D3" w:rsidTr="00B806D3">
        <w:tc>
          <w:tcPr>
            <w:tcW w:w="2448" w:type="dxa"/>
            <w:shd w:val="clear" w:color="auto" w:fill="auto"/>
          </w:tcPr>
          <w:p w:rsidR="00052221" w:rsidRPr="00B806D3" w:rsidRDefault="00052221" w:rsidP="00B806D3">
            <w:pPr>
              <w:widowControl w:val="0"/>
              <w:adjustRightInd w:val="0"/>
              <w:spacing w:line="0" w:lineRule="atLeast"/>
              <w:textAlignment w:val="baseline"/>
              <w:rPr>
                <w:rFonts w:eastAsia="MS Mincho" w:cs="Arial"/>
                <w:sz w:val="20"/>
                <w:szCs w:val="20"/>
                <w:lang w:val="en-US"/>
              </w:rPr>
            </w:pPr>
            <w:r w:rsidRPr="00B806D3">
              <w:rPr>
                <w:rFonts w:eastAsia="MS Mincho" w:cs="Arial"/>
                <w:sz w:val="20"/>
                <w:szCs w:val="20"/>
                <w:lang w:val="en-US"/>
              </w:rPr>
              <w:t xml:space="preserve">Time to Progression </w:t>
            </w:r>
            <w:r w:rsidRPr="00B806D3" w:rsidDel="00490B6A">
              <w:rPr>
                <w:rFonts w:eastAsia="MS Mincho" w:cs="Arial"/>
                <w:sz w:val="20"/>
                <w:szCs w:val="20"/>
                <w:lang w:val="en-US"/>
              </w:rPr>
              <w:t xml:space="preserve"> </w:t>
            </w:r>
            <w:r w:rsidRPr="00B806D3">
              <w:rPr>
                <w:rFonts w:eastAsia="MS Mincho" w:cs="Arial"/>
                <w:sz w:val="20"/>
                <w:szCs w:val="20"/>
                <w:lang w:val="en-US"/>
              </w:rPr>
              <w:t xml:space="preserve">(TTP) [median, </w:t>
            </w:r>
            <w:r w:rsidR="002A48B4" w:rsidRPr="00B806D3">
              <w:rPr>
                <w:rFonts w:eastAsia="MS Mincho" w:cs="Arial"/>
                <w:sz w:val="20"/>
                <w:szCs w:val="20"/>
                <w:lang w:val="en-US"/>
              </w:rPr>
              <w:t>months</w:t>
            </w:r>
            <w:r w:rsidRPr="00B806D3">
              <w:rPr>
                <w:rFonts w:eastAsia="MS Mincho" w:cs="Arial"/>
                <w:sz w:val="20"/>
                <w:szCs w:val="20"/>
                <w:lang w:val="en-US"/>
              </w:rPr>
              <w:t xml:space="preserve"> (95% CI)]**</w:t>
            </w:r>
          </w:p>
        </w:tc>
        <w:tc>
          <w:tcPr>
            <w:tcW w:w="1558" w:type="dxa"/>
            <w:shd w:val="clear" w:color="auto" w:fill="auto"/>
          </w:tcPr>
          <w:p w:rsidR="00052221" w:rsidRPr="00B806D3" w:rsidRDefault="002A48B4"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5.5</w:t>
            </w:r>
          </w:p>
          <w:p w:rsidR="00052221"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w:t>
            </w:r>
            <w:r w:rsidR="00D9162C" w:rsidRPr="00B806D3">
              <w:rPr>
                <w:rFonts w:eastAsia="MS Mincho" w:cs="Arial"/>
                <w:sz w:val="20"/>
                <w:szCs w:val="20"/>
              </w:rPr>
              <w:t>4.1</w:t>
            </w:r>
            <w:r w:rsidRPr="00B806D3">
              <w:rPr>
                <w:rFonts w:eastAsia="MS Mincho" w:cs="Arial"/>
                <w:sz w:val="20"/>
                <w:szCs w:val="20"/>
              </w:rPr>
              <w:t xml:space="preserve">, </w:t>
            </w:r>
            <w:r w:rsidR="00D9162C" w:rsidRPr="00B806D3">
              <w:rPr>
                <w:rFonts w:eastAsia="MS Mincho" w:cs="Arial"/>
                <w:sz w:val="20"/>
                <w:szCs w:val="20"/>
              </w:rPr>
              <w:t>6.9</w:t>
            </w:r>
            <w:r w:rsidRPr="00B806D3">
              <w:rPr>
                <w:rFonts w:eastAsia="MS Mincho" w:cs="Arial"/>
                <w:sz w:val="20"/>
                <w:szCs w:val="20"/>
              </w:rPr>
              <w:t>)</w:t>
            </w:r>
          </w:p>
        </w:tc>
        <w:tc>
          <w:tcPr>
            <w:tcW w:w="1771" w:type="dxa"/>
            <w:shd w:val="clear" w:color="auto" w:fill="auto"/>
          </w:tcPr>
          <w:p w:rsidR="00052221" w:rsidRPr="00B806D3" w:rsidRDefault="002A48B4"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2.8</w:t>
            </w:r>
          </w:p>
          <w:p w:rsidR="00D9162C"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w:t>
            </w:r>
            <w:r w:rsidR="00D9162C" w:rsidRPr="00B806D3">
              <w:rPr>
                <w:rFonts w:eastAsia="MS Mincho" w:cs="Arial"/>
                <w:sz w:val="20"/>
                <w:szCs w:val="20"/>
              </w:rPr>
              <w:t>2.7, 3.9</w:t>
            </w:r>
            <w:r w:rsidRPr="00B806D3">
              <w:rPr>
                <w:rFonts w:eastAsia="MS Mincho" w:cs="Arial"/>
                <w:sz w:val="20"/>
                <w:szCs w:val="20"/>
              </w:rPr>
              <w:t>)</w:t>
            </w:r>
          </w:p>
        </w:tc>
        <w:tc>
          <w:tcPr>
            <w:tcW w:w="1771" w:type="dxa"/>
            <w:shd w:val="clear" w:color="auto" w:fill="auto"/>
          </w:tcPr>
          <w:p w:rsidR="00052221"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0.000007</w:t>
            </w:r>
          </w:p>
        </w:tc>
        <w:tc>
          <w:tcPr>
            <w:tcW w:w="1772" w:type="dxa"/>
            <w:shd w:val="clear" w:color="auto" w:fill="auto"/>
          </w:tcPr>
          <w:p w:rsidR="00052221"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0.58</w:t>
            </w:r>
          </w:p>
          <w:p w:rsidR="00052221" w:rsidRPr="00B806D3" w:rsidRDefault="00052221" w:rsidP="00B806D3">
            <w:pPr>
              <w:widowControl w:val="0"/>
              <w:adjustRightInd w:val="0"/>
              <w:spacing w:line="0" w:lineRule="atLeast"/>
              <w:textAlignment w:val="baseline"/>
              <w:rPr>
                <w:rFonts w:eastAsia="MS Mincho" w:cs="Arial"/>
                <w:sz w:val="20"/>
                <w:szCs w:val="20"/>
              </w:rPr>
            </w:pPr>
            <w:r w:rsidRPr="00B806D3">
              <w:rPr>
                <w:rFonts w:eastAsia="MS Mincho" w:cs="Arial"/>
                <w:sz w:val="20"/>
                <w:szCs w:val="20"/>
              </w:rPr>
              <w:t>(0.45, 0.74)</w:t>
            </w:r>
          </w:p>
        </w:tc>
      </w:tr>
    </w:tbl>
    <w:p w:rsidR="00052221" w:rsidRPr="006C1E13" w:rsidRDefault="00052221" w:rsidP="00052221">
      <w:pPr>
        <w:rPr>
          <w:sz w:val="20"/>
          <w:szCs w:val="20"/>
          <w:lang w:val="en-US"/>
        </w:rPr>
      </w:pPr>
      <w:r w:rsidRPr="006C1E13">
        <w:rPr>
          <w:sz w:val="20"/>
          <w:szCs w:val="20"/>
          <w:lang w:val="en-US"/>
        </w:rPr>
        <w:t>CI</w:t>
      </w:r>
      <w:r w:rsidR="005A140C">
        <w:rPr>
          <w:sz w:val="20"/>
          <w:szCs w:val="20"/>
          <w:lang w:val="en-US"/>
        </w:rPr>
        <w:t xml:space="preserve"> </w:t>
      </w:r>
      <w:r w:rsidRPr="006C1E13">
        <w:rPr>
          <w:sz w:val="20"/>
          <w:szCs w:val="20"/>
          <w:lang w:val="en-US"/>
        </w:rPr>
        <w:t>=</w:t>
      </w:r>
      <w:r w:rsidR="005A140C">
        <w:rPr>
          <w:sz w:val="20"/>
          <w:szCs w:val="20"/>
          <w:lang w:val="en-US"/>
        </w:rPr>
        <w:t xml:space="preserve"> </w:t>
      </w:r>
      <w:r w:rsidRPr="006C1E13">
        <w:rPr>
          <w:sz w:val="20"/>
          <w:szCs w:val="20"/>
          <w:lang w:val="en-US"/>
        </w:rPr>
        <w:t>Confidence interval, HR</w:t>
      </w:r>
      <w:r w:rsidR="005A140C">
        <w:rPr>
          <w:sz w:val="20"/>
          <w:szCs w:val="20"/>
          <w:lang w:val="en-US"/>
        </w:rPr>
        <w:t xml:space="preserve"> </w:t>
      </w:r>
      <w:r w:rsidRPr="006C1E13">
        <w:rPr>
          <w:sz w:val="20"/>
          <w:szCs w:val="20"/>
          <w:lang w:val="en-US"/>
        </w:rPr>
        <w:t>=</w:t>
      </w:r>
      <w:r w:rsidR="005A140C">
        <w:rPr>
          <w:sz w:val="20"/>
          <w:szCs w:val="20"/>
          <w:lang w:val="en-US"/>
        </w:rPr>
        <w:t xml:space="preserve"> </w:t>
      </w:r>
      <w:r w:rsidRPr="006C1E13">
        <w:rPr>
          <w:sz w:val="20"/>
          <w:szCs w:val="20"/>
          <w:lang w:val="en-US"/>
        </w:rPr>
        <w:t>Hazard ratio (Nexavar over placebo)</w:t>
      </w:r>
    </w:p>
    <w:p w:rsidR="00052221" w:rsidRPr="006C1E13" w:rsidRDefault="00C51556" w:rsidP="00C51556">
      <w:pPr>
        <w:ind w:left="540" w:hanging="540"/>
        <w:rPr>
          <w:sz w:val="20"/>
          <w:szCs w:val="20"/>
          <w:lang w:val="en-US"/>
        </w:rPr>
      </w:pPr>
      <w:r>
        <w:rPr>
          <w:sz w:val="20"/>
          <w:szCs w:val="20"/>
          <w:lang w:val="en-US"/>
        </w:rPr>
        <w:t xml:space="preserve">* </w:t>
      </w:r>
      <w:r w:rsidR="00052221" w:rsidRPr="006C1E13">
        <w:rPr>
          <w:sz w:val="20"/>
          <w:szCs w:val="20"/>
          <w:lang w:val="en-US"/>
        </w:rPr>
        <w:t>statistically significant because the p-value was below the prespecified O’Brien Fleming stopping boundary of 0.0077</w:t>
      </w:r>
    </w:p>
    <w:p w:rsidR="00052221" w:rsidRPr="006C1E13" w:rsidRDefault="00C51556" w:rsidP="00052221">
      <w:pPr>
        <w:rPr>
          <w:sz w:val="20"/>
          <w:szCs w:val="20"/>
          <w:lang w:val="en-US"/>
        </w:rPr>
      </w:pPr>
      <w:r>
        <w:rPr>
          <w:sz w:val="20"/>
          <w:szCs w:val="20"/>
          <w:lang w:val="en-US"/>
        </w:rPr>
        <w:t xml:space="preserve">** </w:t>
      </w:r>
      <w:r w:rsidR="00052221" w:rsidRPr="006C1E13">
        <w:rPr>
          <w:sz w:val="20"/>
          <w:szCs w:val="20"/>
          <w:lang w:val="en-US"/>
        </w:rPr>
        <w:t>independent radiological review</w:t>
      </w:r>
    </w:p>
    <w:p w:rsidR="00052221" w:rsidRDefault="00052221" w:rsidP="00052221">
      <w:pPr>
        <w:jc w:val="both"/>
        <w:rPr>
          <w:lang w:val="en-AU"/>
        </w:rPr>
      </w:pPr>
    </w:p>
    <w:p w:rsidR="00052221" w:rsidRDefault="00A8247A" w:rsidP="00052221">
      <w:pPr>
        <w:jc w:val="both"/>
        <w:rPr>
          <w:b/>
          <w:u w:val="single"/>
          <w:lang w:val="en-AU"/>
        </w:rPr>
      </w:pPr>
      <w:r>
        <w:rPr>
          <w:noProof/>
          <w:lang w:val="en-AU" w:eastAsia="en-AU"/>
        </w:rPr>
        <w:drawing>
          <wp:anchor distT="0" distB="0" distL="114300" distR="114300" simplePos="0" relativeHeight="251657728" behindDoc="1" locked="0" layoutInCell="1" allowOverlap="1">
            <wp:simplePos x="0" y="0"/>
            <wp:positionH relativeFrom="column">
              <wp:posOffset>-114300</wp:posOffset>
            </wp:positionH>
            <wp:positionV relativeFrom="paragraph">
              <wp:posOffset>701040</wp:posOffset>
            </wp:positionV>
            <wp:extent cx="5868035" cy="4601845"/>
            <wp:effectExtent l="0" t="0" r="0" b="8255"/>
            <wp:wrapTight wrapText="bothSides">
              <wp:wrapPolygon edited="0">
                <wp:start x="0" y="0"/>
                <wp:lineTo x="0" y="21549"/>
                <wp:lineTo x="21528" y="21549"/>
                <wp:lineTo x="21528" y="0"/>
                <wp:lineTo x="0" y="0"/>
              </wp:wrapPolygon>
            </wp:wrapTight>
            <wp:docPr id="63" name="Picture 6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ig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8035" cy="460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221" w:rsidRPr="00052221">
        <w:rPr>
          <w:b/>
          <w:u w:val="single"/>
          <w:lang w:val="en-AU"/>
        </w:rPr>
        <w:t xml:space="preserve">Figure 1: Kaplan-Meier curve of overall survival in </w:t>
      </w:r>
      <w:r w:rsidR="00E80E62">
        <w:rPr>
          <w:b/>
          <w:u w:val="single"/>
          <w:lang w:val="en-AU"/>
        </w:rPr>
        <w:t>S</w:t>
      </w:r>
      <w:r w:rsidR="00052221" w:rsidRPr="00052221">
        <w:rPr>
          <w:b/>
          <w:u w:val="single"/>
          <w:lang w:val="en-AU"/>
        </w:rPr>
        <w:t>tudy 100554, intent-to-treat population)</w:t>
      </w:r>
    </w:p>
    <w:p w:rsidR="00052221" w:rsidRPr="00052221" w:rsidRDefault="00052221" w:rsidP="00052221">
      <w:pPr>
        <w:jc w:val="both"/>
        <w:rPr>
          <w:lang w:val="en-AU"/>
        </w:rPr>
      </w:pPr>
    </w:p>
    <w:p w:rsidR="00052221" w:rsidRDefault="00052221" w:rsidP="00C84872">
      <w:pPr>
        <w:pStyle w:val="Heading2"/>
      </w:pPr>
    </w:p>
    <w:p w:rsidR="00807DDD" w:rsidRPr="00EB44BE" w:rsidRDefault="00052221" w:rsidP="00C84872">
      <w:pPr>
        <w:pStyle w:val="Heading2"/>
      </w:pPr>
      <w:r>
        <w:br w:type="page"/>
      </w:r>
      <w:r w:rsidR="00C84872">
        <w:lastRenderedPageBreak/>
        <w:t>Renal Cell Carcinoma</w:t>
      </w:r>
    </w:p>
    <w:p w:rsidR="00D37532" w:rsidRDefault="00D37532" w:rsidP="00FA21F2">
      <w:pPr>
        <w:pStyle w:val="Heading3"/>
        <w:spacing w:before="240" w:after="120"/>
      </w:pPr>
      <w:r w:rsidRPr="00D37532">
        <w:t>Study 11213, TARGET (Treatment Approaches in Renal cancer Global Evaluation Trial)</w:t>
      </w:r>
    </w:p>
    <w:p w:rsidR="00C843EA" w:rsidRDefault="007A5331" w:rsidP="001C7DBB">
      <w:pPr>
        <w:jc w:val="both"/>
      </w:pPr>
      <w:r>
        <w:rPr>
          <w:color w:val="000000"/>
        </w:rPr>
        <w:t xml:space="preserve">The TARGET study </w:t>
      </w:r>
      <w:r w:rsidR="00807DDD" w:rsidRPr="00D37532">
        <w:t>was</w:t>
      </w:r>
      <w:r w:rsidR="00807DDD" w:rsidRPr="00EB44BE">
        <w:t xml:space="preserve"> a </w:t>
      </w:r>
      <w:r w:rsidR="001E29E3">
        <w:t xml:space="preserve">Phase III </w:t>
      </w:r>
      <w:r w:rsidR="00807DDD" w:rsidRPr="00EB44BE">
        <w:t xml:space="preserve">multi-centre, </w:t>
      </w:r>
      <w:r w:rsidR="00F3357F">
        <w:t>randomised</w:t>
      </w:r>
      <w:r w:rsidR="00807DDD" w:rsidRPr="00EB44BE">
        <w:t>, double blind, placebo-controlled trial in</w:t>
      </w:r>
      <w:r w:rsidR="00C843EA">
        <w:t xml:space="preserve"> 903</w:t>
      </w:r>
      <w:r w:rsidR="00807DDD" w:rsidRPr="00EB44BE">
        <w:t xml:space="preserve"> patients</w:t>
      </w:r>
      <w:r w:rsidR="001C7DBB">
        <w:t xml:space="preserve"> with advanced renal cell carcinoma who had received prior systemic therapy</w:t>
      </w:r>
      <w:r w:rsidR="00C843EA">
        <w:t>. Primary study end points included overall survival</w:t>
      </w:r>
      <w:r w:rsidR="001C4503">
        <w:t xml:space="preserve"> and progression </w:t>
      </w:r>
      <w:r w:rsidR="00C843EA">
        <w:t>free survival (PFS). Tumour response rate was a secondary endpoint.</w:t>
      </w:r>
    </w:p>
    <w:p w:rsidR="00C843EA" w:rsidRDefault="00C843EA" w:rsidP="00807DDD">
      <w:pPr>
        <w:jc w:val="both"/>
      </w:pPr>
    </w:p>
    <w:p w:rsidR="00FF3964" w:rsidRDefault="00807DDD" w:rsidP="00F3357F">
      <w:pPr>
        <w:jc w:val="both"/>
      </w:pPr>
      <w:r w:rsidRPr="00EB44BE">
        <w:t xml:space="preserve">Patients were </w:t>
      </w:r>
      <w:r w:rsidR="00F3357F">
        <w:t>randomised</w:t>
      </w:r>
      <w:r w:rsidRPr="00EB44BE">
        <w:t xml:space="preserve"> to </w:t>
      </w:r>
      <w:r w:rsidR="004112DD">
        <w:t>NEXAVAR</w:t>
      </w:r>
      <w:r w:rsidRPr="00EB44BE">
        <w:t xml:space="preserve"> 400 mg twice daily </w:t>
      </w:r>
      <w:r w:rsidRPr="00EB44BE">
        <w:rPr>
          <w:color w:val="000000"/>
        </w:rPr>
        <w:t>(N = </w:t>
      </w:r>
      <w:r w:rsidR="00C843EA">
        <w:rPr>
          <w:color w:val="000000"/>
        </w:rPr>
        <w:t>451</w:t>
      </w:r>
      <w:r w:rsidRPr="00EB44BE">
        <w:rPr>
          <w:color w:val="000000"/>
        </w:rPr>
        <w:t>)</w:t>
      </w:r>
      <w:r w:rsidRPr="00EB44BE">
        <w:t xml:space="preserve"> or to placebo </w:t>
      </w:r>
      <w:r w:rsidRPr="00EB44BE">
        <w:rPr>
          <w:color w:val="000000"/>
        </w:rPr>
        <w:t>(N = </w:t>
      </w:r>
      <w:r w:rsidR="00C843EA">
        <w:rPr>
          <w:color w:val="000000"/>
        </w:rPr>
        <w:t>452</w:t>
      </w:r>
      <w:r w:rsidRPr="00EB44BE">
        <w:rPr>
          <w:color w:val="000000"/>
        </w:rPr>
        <w:t>)</w:t>
      </w:r>
      <w:r w:rsidRPr="00EB44BE">
        <w:t xml:space="preserve">. Baseline demographics and patient characteristics were well balanced for both treatment groups. Approximately half of the patients had an ECOG performance status of 0 and half of the patients were in the low </w:t>
      </w:r>
      <w:r w:rsidR="00C843EA">
        <w:t xml:space="preserve">MSKCC (Memorial Sloan Kettering Cancer Centre) </w:t>
      </w:r>
      <w:r w:rsidRPr="00EB44BE">
        <w:t xml:space="preserve">prognostic group. </w:t>
      </w:r>
    </w:p>
    <w:p w:rsidR="00FF3964" w:rsidRDefault="00FF3964" w:rsidP="00807DDD">
      <w:pPr>
        <w:jc w:val="both"/>
      </w:pPr>
    </w:p>
    <w:p w:rsidR="0010752E" w:rsidRPr="00B274A4" w:rsidRDefault="00125E87" w:rsidP="00B274A4">
      <w:pPr>
        <w:pStyle w:val="BayerBodytext"/>
        <w:spacing w:line="240" w:lineRule="auto"/>
        <w:ind w:left="0"/>
        <w:jc w:val="both"/>
        <w:rPr>
          <w:szCs w:val="24"/>
        </w:rPr>
      </w:pPr>
      <w:r>
        <w:t>Two planned interim analyses of survival were conducted</w:t>
      </w:r>
      <w:r w:rsidR="00605B12">
        <w:t>.</w:t>
      </w:r>
      <w:r>
        <w:t xml:space="preserve"> </w:t>
      </w:r>
      <w:r w:rsidR="00EB3190" w:rsidRPr="00125E87">
        <w:t xml:space="preserve">In </w:t>
      </w:r>
      <w:r>
        <w:t>the first analysis</w:t>
      </w:r>
      <w:r w:rsidR="00EB3190" w:rsidRPr="00125E87">
        <w:t xml:space="preserve"> based on 220 deaths, there was an estimated 39% improvement in overall survival for patients receiving NEXAVAR vs</w:t>
      </w:r>
      <w:r w:rsidR="001C4503">
        <w:t>.</w:t>
      </w:r>
      <w:r w:rsidR="00EB3190" w:rsidRPr="00125E87">
        <w:t xml:space="preserve"> placebo. The estimated hazard ratio (risk of death with NEXAVAR compared to placebo) was 0.72 (95% CI</w:t>
      </w:r>
      <w:r w:rsidR="001C4503">
        <w:t>:</w:t>
      </w:r>
      <w:r w:rsidR="00EB3190" w:rsidRPr="00125E87">
        <w:t xml:space="preserve"> 0.55-0.95; p</w:t>
      </w:r>
      <w:r w:rsidR="001C4503">
        <w:t xml:space="preserve"> </w:t>
      </w:r>
      <w:r w:rsidR="00EB3190" w:rsidRPr="00125E87">
        <w:t>=</w:t>
      </w:r>
      <w:r w:rsidR="001C4503">
        <w:t xml:space="preserve"> </w:t>
      </w:r>
      <w:r w:rsidR="00EB3190" w:rsidRPr="00125E87">
        <w:t>0.018. The threshold for statistical significance of the interim analysis was p &lt; 0.0005).</w:t>
      </w:r>
      <w:r w:rsidR="00DC7EE9" w:rsidRPr="00125E87">
        <w:t xml:space="preserve"> </w:t>
      </w:r>
      <w:r w:rsidRPr="00125E87">
        <w:t xml:space="preserve">As of </w:t>
      </w:r>
      <w:r w:rsidR="001C4503">
        <w:t xml:space="preserve">30 </w:t>
      </w:r>
      <w:r w:rsidRPr="00125E87">
        <w:t>November 2005, 367 deaths were reported, comprising 68% of the protocol-specified 540 survival events</w:t>
      </w:r>
      <w:r w:rsidR="00EB7524">
        <w:t xml:space="preserve">, there was an estimated </w:t>
      </w:r>
      <w:r w:rsidR="00EB7524" w:rsidRPr="00BD785C">
        <w:t>3</w:t>
      </w:r>
      <w:r w:rsidR="00EB7524">
        <w:t>0</w:t>
      </w:r>
      <w:r w:rsidR="00EB7524" w:rsidRPr="00BD785C">
        <w:t xml:space="preserve">% </w:t>
      </w:r>
      <w:r w:rsidR="00EB7524">
        <w:t>improvement in overall survival</w:t>
      </w:r>
      <w:r w:rsidR="00EB7524" w:rsidRPr="00BD785C">
        <w:t xml:space="preserve"> for patients receiving </w:t>
      </w:r>
      <w:r w:rsidR="00EB7524" w:rsidRPr="00125E87">
        <w:t>NEXAVAR</w:t>
      </w:r>
      <w:r w:rsidR="00EB7524" w:rsidRPr="0051109A">
        <w:t xml:space="preserve"> </w:t>
      </w:r>
      <w:r w:rsidR="00EB7524" w:rsidRPr="00BD785C">
        <w:t>compared to placebo.</w:t>
      </w:r>
      <w:r w:rsidRPr="00125E87">
        <w:t xml:space="preserve"> A total of 216 placebo patients </w:t>
      </w:r>
      <w:r>
        <w:t xml:space="preserve">had </w:t>
      </w:r>
      <w:r w:rsidRPr="00125E87">
        <w:t xml:space="preserve">crossed over to </w:t>
      </w:r>
      <w:r w:rsidR="00EB7524" w:rsidRPr="00125E87">
        <w:t xml:space="preserve">NEXAVAR </w:t>
      </w:r>
      <w:r w:rsidRPr="00125E87">
        <w:t>treatment.</w:t>
      </w:r>
      <w:r w:rsidRPr="00E541EC">
        <w:t xml:space="preserve"> The median </w:t>
      </w:r>
      <w:r>
        <w:t xml:space="preserve">overall </w:t>
      </w:r>
      <w:r w:rsidR="009028A0">
        <w:t>survival</w:t>
      </w:r>
      <w:r w:rsidR="009028A0" w:rsidRPr="00E541EC">
        <w:t xml:space="preserve"> for the </w:t>
      </w:r>
      <w:r w:rsidR="009028A0" w:rsidRPr="00125E87">
        <w:t>NEXAVAR</w:t>
      </w:r>
      <w:r w:rsidR="009028A0">
        <w:t xml:space="preserve"> and </w:t>
      </w:r>
      <w:r w:rsidR="009028A0" w:rsidRPr="00E541EC">
        <w:t>placebo group w</w:t>
      </w:r>
      <w:r w:rsidR="009028A0">
        <w:t>as</w:t>
      </w:r>
      <w:r w:rsidRPr="00E541EC">
        <w:t xml:space="preserve"> 19.3 months </w:t>
      </w:r>
      <w:r>
        <w:t xml:space="preserve">and </w:t>
      </w:r>
      <w:r w:rsidRPr="00E541EC">
        <w:t>15.9 months</w:t>
      </w:r>
      <w:r>
        <w:t>, respectively</w:t>
      </w:r>
      <w:r w:rsidRPr="00E541EC">
        <w:t>. The estimated hazard ratio (risk of death with sorafenib compared to placebo) was 0.77</w:t>
      </w:r>
      <w:r w:rsidR="00EB7524">
        <w:t xml:space="preserve"> (</w:t>
      </w:r>
      <w:r w:rsidR="00EB7524" w:rsidRPr="00E541EC">
        <w:t>95% CI: 0.63</w:t>
      </w:r>
      <w:r w:rsidR="00EB7524">
        <w:t>-</w:t>
      </w:r>
      <w:r w:rsidR="00EB7524" w:rsidRPr="00E541EC">
        <w:t>0.95</w:t>
      </w:r>
      <w:r w:rsidR="00EB7524">
        <w:t>; p</w:t>
      </w:r>
      <w:r w:rsidR="001C4503">
        <w:t xml:space="preserve"> </w:t>
      </w:r>
      <w:r w:rsidR="00EB7524">
        <w:t>=</w:t>
      </w:r>
      <w:r w:rsidR="001C4503">
        <w:t xml:space="preserve"> </w:t>
      </w:r>
      <w:r w:rsidR="00EB7524">
        <w:t>0.015.</w:t>
      </w:r>
      <w:r w:rsidRPr="00E541EC">
        <w:t xml:space="preserve"> </w:t>
      </w:r>
      <w:r w:rsidR="00EB7524" w:rsidRPr="00125E87">
        <w:t>The threshold for statistical significance of the interim analysis was p &lt; 0.0094</w:t>
      </w:r>
      <w:r w:rsidRPr="00E541EC">
        <w:t>)</w:t>
      </w:r>
      <w:r w:rsidR="00605B12">
        <w:t>.</w:t>
      </w:r>
      <w:r w:rsidRPr="00BD785C">
        <w:t xml:space="preserve"> </w:t>
      </w:r>
    </w:p>
    <w:p w:rsidR="007A5331" w:rsidRDefault="00FF3964" w:rsidP="00807DDD">
      <w:pPr>
        <w:jc w:val="both"/>
      </w:pPr>
      <w:r>
        <w:t xml:space="preserve">Progression </w:t>
      </w:r>
      <w:r w:rsidR="001C4503">
        <w:t>f</w:t>
      </w:r>
      <w:r>
        <w:t xml:space="preserve">ree </w:t>
      </w:r>
      <w:r w:rsidR="001C4503">
        <w:t>s</w:t>
      </w:r>
      <w:r>
        <w:t>urvival</w:t>
      </w:r>
      <w:r w:rsidR="00C843EA">
        <w:t xml:space="preserve"> </w:t>
      </w:r>
      <w:r>
        <w:t xml:space="preserve">in the intent-to-treat population was evaluated by blinded independent radiological review using RECIST criteria. </w:t>
      </w:r>
      <w:r w:rsidR="00052221">
        <w:t>Figure 2</w:t>
      </w:r>
      <w:r>
        <w:t xml:space="preserve"> depicts Kaplan-Meier curves for PFS. The PFS analysis was a two-sided Log-Rank test stratified by Motzer/MSKCC prognostic risk category</w:t>
      </w:r>
      <w:r w:rsidR="005A140C">
        <w:rPr>
          <w:rStyle w:val="FootnoteReference"/>
        </w:rPr>
        <w:footnoteReference w:id="1"/>
      </w:r>
      <w:r>
        <w:t xml:space="preserve"> and country.</w:t>
      </w:r>
    </w:p>
    <w:p w:rsidR="007A5331" w:rsidRPr="00052221" w:rsidRDefault="00A8247A" w:rsidP="00052221">
      <w:pPr>
        <w:rPr>
          <w:b/>
          <w:u w:val="single"/>
        </w:rPr>
      </w:pPr>
      <w:bookmarkStart w:id="0" w:name="_Ref102800801"/>
      <w:r>
        <w:rPr>
          <w:b/>
          <w:u w:val="single"/>
        </w:rPr>
        <w:br w:type="page"/>
      </w:r>
      <w:r w:rsidR="007A5331" w:rsidRPr="00052221">
        <w:rPr>
          <w:b/>
          <w:u w:val="single"/>
        </w:rPr>
        <w:lastRenderedPageBreak/>
        <w:t xml:space="preserve">Figure </w:t>
      </w:r>
      <w:bookmarkEnd w:id="0"/>
      <w:r w:rsidR="00052221" w:rsidRPr="00052221">
        <w:rPr>
          <w:b/>
          <w:u w:val="single"/>
        </w:rPr>
        <w:t>2</w:t>
      </w:r>
      <w:r w:rsidR="007A5331" w:rsidRPr="00052221">
        <w:rPr>
          <w:b/>
          <w:u w:val="single"/>
        </w:rPr>
        <w:t>: Kaplan-Meier Curv</w:t>
      </w:r>
      <w:r w:rsidR="001C4503">
        <w:rPr>
          <w:b/>
          <w:u w:val="single"/>
        </w:rPr>
        <w:t xml:space="preserve">es for Progression </w:t>
      </w:r>
      <w:r w:rsidR="007A5331" w:rsidRPr="00052221">
        <w:rPr>
          <w:b/>
          <w:u w:val="single"/>
        </w:rPr>
        <w:t>F</w:t>
      </w:r>
      <w:r w:rsidR="00204DAD" w:rsidRPr="00052221">
        <w:rPr>
          <w:b/>
          <w:u w:val="single"/>
        </w:rPr>
        <w:t>ree Survival</w:t>
      </w:r>
    </w:p>
    <w:p w:rsidR="007A5331" w:rsidRPr="009F1992" w:rsidRDefault="00A8247A" w:rsidP="007A5331">
      <w:pPr>
        <w:keepNext/>
        <w:spacing w:before="240" w:after="120"/>
        <w:jc w:val="both"/>
      </w:pPr>
      <w:r>
        <w:rPr>
          <w:noProof/>
          <w:lang w:val="en-AU" w:eastAsia="en-AU"/>
        </w:rPr>
        <w:drawing>
          <wp:inline distT="0" distB="0" distL="0" distR="0">
            <wp:extent cx="4002405" cy="2338070"/>
            <wp:effectExtent l="0" t="0" r="0" b="5080"/>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02405" cy="2338070"/>
                    </a:xfrm>
                    <a:prstGeom prst="rect">
                      <a:avLst/>
                    </a:prstGeom>
                    <a:noFill/>
                    <a:ln>
                      <a:noFill/>
                    </a:ln>
                  </pic:spPr>
                </pic:pic>
              </a:graphicData>
            </a:graphic>
          </wp:inline>
        </w:drawing>
      </w:r>
    </w:p>
    <w:p w:rsidR="007A5331" w:rsidRPr="00736156" w:rsidRDefault="007A5331" w:rsidP="007A5331">
      <w:pPr>
        <w:tabs>
          <w:tab w:val="left" w:pos="720"/>
        </w:tabs>
        <w:spacing w:after="120"/>
        <w:ind w:left="720" w:hanging="720"/>
        <w:jc w:val="both"/>
        <w:rPr>
          <w:sz w:val="18"/>
          <w:szCs w:val="18"/>
        </w:rPr>
      </w:pPr>
      <w:r w:rsidRPr="00773BE0">
        <w:rPr>
          <w:b/>
          <w:sz w:val="18"/>
          <w:szCs w:val="18"/>
        </w:rPr>
        <w:t>NOTE</w:t>
      </w:r>
      <w:r>
        <w:rPr>
          <w:sz w:val="18"/>
          <w:szCs w:val="18"/>
        </w:rPr>
        <w:t>:</w:t>
      </w:r>
      <w:r>
        <w:rPr>
          <w:sz w:val="18"/>
          <w:szCs w:val="18"/>
        </w:rPr>
        <w:tab/>
      </w:r>
      <w:r w:rsidRPr="00736156">
        <w:rPr>
          <w:sz w:val="18"/>
          <w:szCs w:val="18"/>
        </w:rPr>
        <w:t>HR is from Cox regression model with the following cova</w:t>
      </w:r>
      <w:r>
        <w:rPr>
          <w:sz w:val="18"/>
          <w:szCs w:val="18"/>
        </w:rPr>
        <w:t xml:space="preserve">riates: Motzer/MSKCC prognostic </w:t>
      </w:r>
      <w:r w:rsidRPr="00736156">
        <w:rPr>
          <w:sz w:val="18"/>
          <w:szCs w:val="18"/>
        </w:rPr>
        <w:t>risk category</w:t>
      </w:r>
      <w:r w:rsidR="001C4503" w:rsidRPr="001C4503">
        <w:rPr>
          <w:sz w:val="18"/>
          <w:szCs w:val="18"/>
          <w:vertAlign w:val="superscript"/>
        </w:rPr>
        <w:t>1</w:t>
      </w:r>
      <w:r w:rsidR="001C4503">
        <w:rPr>
          <w:sz w:val="18"/>
          <w:szCs w:val="18"/>
        </w:rPr>
        <w:t xml:space="preserve"> </w:t>
      </w:r>
      <w:r>
        <w:rPr>
          <w:sz w:val="18"/>
          <w:szCs w:val="18"/>
        </w:rPr>
        <w:t>and country</w:t>
      </w:r>
      <w:r w:rsidRPr="00736156">
        <w:rPr>
          <w:sz w:val="18"/>
          <w:szCs w:val="18"/>
        </w:rPr>
        <w:t xml:space="preserve">. </w:t>
      </w:r>
      <w:r w:rsidR="00C51556">
        <w:rPr>
          <w:sz w:val="18"/>
          <w:szCs w:val="18"/>
        </w:rPr>
        <w:br/>
      </w:r>
      <w:r w:rsidRPr="00736156">
        <w:rPr>
          <w:sz w:val="18"/>
          <w:szCs w:val="18"/>
        </w:rPr>
        <w:t>P</w:t>
      </w:r>
      <w:r>
        <w:rPr>
          <w:sz w:val="18"/>
          <w:szCs w:val="18"/>
        </w:rPr>
        <w:t>-</w:t>
      </w:r>
      <w:r w:rsidRPr="00736156">
        <w:rPr>
          <w:sz w:val="18"/>
          <w:szCs w:val="18"/>
        </w:rPr>
        <w:t xml:space="preserve">value is from two-sided Log-Rank test stratified by Motzer/MSKCC prognostic </w:t>
      </w:r>
      <w:r>
        <w:rPr>
          <w:sz w:val="18"/>
          <w:szCs w:val="18"/>
        </w:rPr>
        <w:t xml:space="preserve">risk </w:t>
      </w:r>
      <w:r w:rsidRPr="001C4503">
        <w:rPr>
          <w:sz w:val="18"/>
          <w:szCs w:val="18"/>
        </w:rPr>
        <w:t>category</w:t>
      </w:r>
      <w:r w:rsidR="001C4503" w:rsidRPr="001C4503">
        <w:rPr>
          <w:sz w:val="18"/>
          <w:szCs w:val="18"/>
          <w:vertAlign w:val="superscript"/>
        </w:rPr>
        <w:t>1</w:t>
      </w:r>
      <w:r w:rsidR="001C4503">
        <w:rPr>
          <w:sz w:val="18"/>
          <w:szCs w:val="18"/>
        </w:rPr>
        <w:t xml:space="preserve"> </w:t>
      </w:r>
      <w:r w:rsidRPr="001C4503">
        <w:rPr>
          <w:sz w:val="18"/>
          <w:szCs w:val="18"/>
        </w:rPr>
        <w:t>and</w:t>
      </w:r>
      <w:r w:rsidRPr="00736156">
        <w:rPr>
          <w:sz w:val="18"/>
          <w:szCs w:val="18"/>
        </w:rPr>
        <w:t xml:space="preserve"> country</w:t>
      </w:r>
      <w:r>
        <w:rPr>
          <w:sz w:val="18"/>
          <w:szCs w:val="18"/>
        </w:rPr>
        <w:t>.</w:t>
      </w:r>
    </w:p>
    <w:p w:rsidR="001024F2" w:rsidRDefault="001024F2" w:rsidP="00807DDD">
      <w:pPr>
        <w:jc w:val="both"/>
      </w:pPr>
    </w:p>
    <w:p w:rsidR="00655FA2" w:rsidRPr="00EB44BE" w:rsidRDefault="00C843EA" w:rsidP="00807DDD">
      <w:pPr>
        <w:jc w:val="both"/>
      </w:pPr>
      <w:r>
        <w:t>The PFS analysis included 769 patients randomised to NEXAVAR 400 mg twice daily (N</w:t>
      </w:r>
      <w:r w:rsidR="001C4503">
        <w:t xml:space="preserve"> </w:t>
      </w:r>
      <w:r>
        <w:t>=</w:t>
      </w:r>
      <w:r w:rsidR="001C4503">
        <w:t xml:space="preserve"> </w:t>
      </w:r>
      <w:r>
        <w:t>384) or to placebo (N</w:t>
      </w:r>
      <w:r w:rsidR="001C4503">
        <w:t xml:space="preserve"> </w:t>
      </w:r>
      <w:r>
        <w:t>=</w:t>
      </w:r>
      <w:r w:rsidR="001C4503">
        <w:t xml:space="preserve"> </w:t>
      </w:r>
      <w:r>
        <w:t>385).</w:t>
      </w:r>
      <w:r w:rsidRPr="00EB44BE">
        <w:t xml:space="preserve"> </w:t>
      </w:r>
      <w:r w:rsidR="00807DDD" w:rsidRPr="00EB44BE">
        <w:t xml:space="preserve">The median PFS was double for patients </w:t>
      </w:r>
      <w:r w:rsidR="00F3357F">
        <w:t>randomised</w:t>
      </w:r>
      <w:r w:rsidR="00807DDD" w:rsidRPr="00EB44BE">
        <w:t xml:space="preserve"> to </w:t>
      </w:r>
      <w:r w:rsidR="004112DD">
        <w:t>NEXAVAR</w:t>
      </w:r>
      <w:r w:rsidR="00807DDD" w:rsidRPr="00EB44BE">
        <w:t xml:space="preserve"> (167 days) compared to patients </w:t>
      </w:r>
      <w:r w:rsidR="00F3357F">
        <w:t>randomised</w:t>
      </w:r>
      <w:r w:rsidR="00807DDD" w:rsidRPr="00EB44BE">
        <w:t xml:space="preserve"> to placebo (84 days), representing a 56% reduction in risk of progression for patients receiving </w:t>
      </w:r>
      <w:r w:rsidR="004112DD">
        <w:t>NEXAVAR</w:t>
      </w:r>
      <w:r w:rsidR="00807DDD" w:rsidRPr="00EB44BE">
        <w:t xml:space="preserve"> compared to placebo.</w:t>
      </w:r>
      <w:r w:rsidR="00595B86">
        <w:t xml:space="preserve"> (HR</w:t>
      </w:r>
      <w:r w:rsidR="00946806">
        <w:t xml:space="preserve">: </w:t>
      </w:r>
      <w:r w:rsidR="00595B86">
        <w:t>0.44; 95% CI: 0.35-0.55; p</w:t>
      </w:r>
      <w:r w:rsidR="001C4503">
        <w:t xml:space="preserve"> </w:t>
      </w:r>
      <w:r w:rsidR="00595B86">
        <w:t>&lt;</w:t>
      </w:r>
      <w:r w:rsidR="001C4503">
        <w:t xml:space="preserve"> </w:t>
      </w:r>
      <w:r w:rsidR="00595B86">
        <w:t>0.000001)</w:t>
      </w:r>
    </w:p>
    <w:p w:rsidR="00655FA2" w:rsidRPr="00EB44BE" w:rsidRDefault="00655FA2" w:rsidP="00217FB0">
      <w:pPr>
        <w:jc w:val="both"/>
      </w:pPr>
    </w:p>
    <w:p w:rsidR="00655FA2" w:rsidRDefault="00AD3506" w:rsidP="00217FB0">
      <w:pPr>
        <w:jc w:val="both"/>
      </w:pPr>
      <w:r w:rsidRPr="00EB44BE">
        <w:t xml:space="preserve">A series of patient subsets were examined in exploratory univariate analyses of PFS. These results are shown in Figure </w:t>
      </w:r>
      <w:r w:rsidR="00052221">
        <w:t>3</w:t>
      </w:r>
      <w:r w:rsidRPr="00EB44BE">
        <w:t xml:space="preserve">. The effect of </w:t>
      </w:r>
      <w:r w:rsidR="004112DD">
        <w:t>NEXAVAR</w:t>
      </w:r>
      <w:r w:rsidRPr="00EB44BE">
        <w:t xml:space="preserve"> on PFS was consistent across these subsets, including patients with no prior IL-2 or Interferon therapy (N = 137), for whom the median PFS was 172 days on </w:t>
      </w:r>
      <w:r w:rsidR="004112DD">
        <w:t>NEXAVAR</w:t>
      </w:r>
      <w:r w:rsidRPr="00EB44BE">
        <w:t xml:space="preserve"> compared to 85 days on placebo.</w:t>
      </w:r>
    </w:p>
    <w:p w:rsidR="00AD3506" w:rsidRPr="00EB44BE" w:rsidRDefault="00AD3506" w:rsidP="00217FB0">
      <w:pPr>
        <w:jc w:val="both"/>
      </w:pPr>
    </w:p>
    <w:p w:rsidR="00AD3506" w:rsidRPr="00EB44BE" w:rsidRDefault="00AD3506" w:rsidP="00217FB0">
      <w:pPr>
        <w:jc w:val="both"/>
        <w:rPr>
          <w:b/>
          <w:u w:val="single"/>
        </w:rPr>
      </w:pPr>
      <w:r w:rsidRPr="00EB44BE">
        <w:rPr>
          <w:b/>
          <w:u w:val="single"/>
        </w:rPr>
        <w:t xml:space="preserve">Figure </w:t>
      </w:r>
      <w:r w:rsidR="00052221">
        <w:rPr>
          <w:b/>
          <w:u w:val="single"/>
        </w:rPr>
        <w:t>3</w:t>
      </w:r>
      <w:r w:rsidR="001C4503">
        <w:rPr>
          <w:b/>
          <w:u w:val="single"/>
        </w:rPr>
        <w:t xml:space="preserve">: Progression </w:t>
      </w:r>
      <w:r w:rsidRPr="00EB44BE">
        <w:rPr>
          <w:b/>
          <w:u w:val="single"/>
        </w:rPr>
        <w:t>Free Survival in Patient Su</w:t>
      </w:r>
      <w:r w:rsidR="001C4503">
        <w:rPr>
          <w:b/>
          <w:u w:val="single"/>
        </w:rPr>
        <w:t>bgroups (Hazard Ratio and 95% CI</w:t>
      </w:r>
      <w:r w:rsidRPr="00EB44BE">
        <w:rPr>
          <w:b/>
          <w:u w:val="single"/>
        </w:rPr>
        <w:t xml:space="preserve"> for </w:t>
      </w:r>
      <w:r w:rsidR="004112DD">
        <w:rPr>
          <w:b/>
          <w:u w:val="single"/>
        </w:rPr>
        <w:t>NEXAVAR</w:t>
      </w:r>
      <w:r w:rsidR="001C4503">
        <w:rPr>
          <w:b/>
          <w:u w:val="single"/>
        </w:rPr>
        <w:t xml:space="preserve"> </w:t>
      </w:r>
      <w:r w:rsidRPr="00EB44BE">
        <w:rPr>
          <w:b/>
          <w:u w:val="single"/>
        </w:rPr>
        <w:t xml:space="preserve">: Placebo) </w:t>
      </w:r>
    </w:p>
    <w:p w:rsidR="00AD3506" w:rsidRPr="00EB44BE" w:rsidRDefault="00AD3506" w:rsidP="00217FB0">
      <w:pPr>
        <w:jc w:val="both"/>
        <w:rPr>
          <w:b/>
          <w:u w:val="single"/>
        </w:rPr>
      </w:pPr>
    </w:p>
    <w:p w:rsidR="00AD3506" w:rsidRPr="00EB44BE" w:rsidRDefault="00A8247A" w:rsidP="00217FB0">
      <w:pPr>
        <w:jc w:val="both"/>
      </w:pPr>
      <w:r>
        <w:rPr>
          <w:noProof/>
          <w:lang w:val="en-AU" w:eastAsia="en-AU"/>
        </w:rPr>
        <w:drawing>
          <wp:inline distT="0" distB="0" distL="0" distR="0">
            <wp:extent cx="4338955" cy="2553335"/>
            <wp:effectExtent l="0" t="0" r="4445" b="0"/>
            <wp:docPr id="4" name="Picture 4"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4338955" cy="2553335"/>
                    </a:xfrm>
                    <a:prstGeom prst="rect">
                      <a:avLst/>
                    </a:prstGeom>
                    <a:noFill/>
                    <a:ln>
                      <a:noFill/>
                    </a:ln>
                  </pic:spPr>
                </pic:pic>
              </a:graphicData>
            </a:graphic>
          </wp:inline>
        </w:drawing>
      </w:r>
    </w:p>
    <w:p w:rsidR="001C4503" w:rsidRDefault="001C4503" w:rsidP="00562AC8">
      <w:pPr>
        <w:jc w:val="both"/>
      </w:pPr>
    </w:p>
    <w:p w:rsidR="00595B86" w:rsidRDefault="00595B86" w:rsidP="00562AC8">
      <w:pPr>
        <w:jc w:val="both"/>
      </w:pPr>
      <w:r>
        <w:lastRenderedPageBreak/>
        <w:t xml:space="preserve">Best overall tumour response was determined by investigator radiological review according to RECIST criteria. In the NEXAVAR group 1 patient (0.2%) had a complete response, 43 patients (9.5%) had a partial response, and 333 patients (73.8%) had stable disease. In the placebo group 0 patients (0%) had a complete response, 8 patients (1.8%) had a partial response, and 239 patients (52.9%) had stable disease. </w:t>
      </w:r>
    </w:p>
    <w:p w:rsidR="00562AC8" w:rsidRPr="00EB44BE" w:rsidRDefault="00595B86" w:rsidP="00562AC8">
      <w:pPr>
        <w:jc w:val="both"/>
      </w:pPr>
      <w:r>
        <w:t xml:space="preserve"> </w:t>
      </w:r>
    </w:p>
    <w:p w:rsidR="00562AC8" w:rsidRPr="00EB44BE" w:rsidRDefault="00562AC8" w:rsidP="00562AC8">
      <w:pPr>
        <w:jc w:val="both"/>
      </w:pPr>
      <w:r w:rsidRPr="00EB44BE">
        <w:t xml:space="preserve">Overall, 293 patients in the </w:t>
      </w:r>
      <w:r w:rsidR="004112DD">
        <w:t>NEXAVAR</w:t>
      </w:r>
      <w:r w:rsidRPr="00EB44BE">
        <w:t xml:space="preserve"> group and 281 patients in the placebo group had at least one post-baseline radiographic </w:t>
      </w:r>
      <w:r w:rsidR="00EB44BE" w:rsidRPr="00EB44BE">
        <w:t>tumour</w:t>
      </w:r>
      <w:r w:rsidRPr="00EB44BE">
        <w:t xml:space="preserve"> evaluation available for independent review; </w:t>
      </w:r>
      <w:r w:rsidR="00EB44BE" w:rsidRPr="00EB44BE">
        <w:t>tumour</w:t>
      </w:r>
      <w:r w:rsidRPr="00EB44BE">
        <w:t xml:space="preserve"> shrinkage was reported in 74% of patients receiving </w:t>
      </w:r>
      <w:r w:rsidR="004112DD">
        <w:t>NEXAVAR</w:t>
      </w:r>
      <w:r w:rsidRPr="00EB44BE">
        <w:t xml:space="preserve"> compared to 20% of patients in the placebo group (see Figure </w:t>
      </w:r>
      <w:r w:rsidR="00052221">
        <w:t>4</w:t>
      </w:r>
      <w:r w:rsidRPr="00EB44BE">
        <w:t>).</w:t>
      </w:r>
    </w:p>
    <w:p w:rsidR="00AD3506" w:rsidRPr="00EB44BE" w:rsidRDefault="00C51556" w:rsidP="00AD3506">
      <w:pPr>
        <w:jc w:val="both"/>
        <w:rPr>
          <w:b/>
          <w:u w:val="single"/>
        </w:rPr>
      </w:pPr>
      <w:r>
        <w:rPr>
          <w:b/>
          <w:u w:val="single"/>
        </w:rPr>
        <w:br w:type="page"/>
      </w:r>
      <w:r w:rsidR="00AD3506" w:rsidRPr="00EB44BE">
        <w:rPr>
          <w:b/>
          <w:u w:val="single"/>
        </w:rPr>
        <w:lastRenderedPageBreak/>
        <w:t xml:space="preserve">Figure </w:t>
      </w:r>
      <w:r w:rsidR="00052221">
        <w:rPr>
          <w:b/>
          <w:u w:val="single"/>
        </w:rPr>
        <w:t>4</w:t>
      </w:r>
      <w:r w:rsidR="00D37532">
        <w:rPr>
          <w:b/>
          <w:u w:val="single"/>
        </w:rPr>
        <w:t>: M</w:t>
      </w:r>
      <w:r w:rsidR="00AD3506" w:rsidRPr="00EB44BE">
        <w:rPr>
          <w:b/>
          <w:u w:val="single"/>
        </w:rPr>
        <w:t xml:space="preserve">aximum Percent Reduction of Target Lesions by Patient, Using Independent Review of Scans in </w:t>
      </w:r>
      <w:r w:rsidR="00B97DB6">
        <w:rPr>
          <w:b/>
          <w:u w:val="single"/>
        </w:rPr>
        <w:t xml:space="preserve">the TARGET </w:t>
      </w:r>
      <w:r w:rsidR="00AD3506" w:rsidRPr="00EB44BE">
        <w:rPr>
          <w:b/>
          <w:u w:val="single"/>
        </w:rPr>
        <w:t>Study</w:t>
      </w:r>
    </w:p>
    <w:p w:rsidR="00AD3506" w:rsidRPr="00EB44BE" w:rsidRDefault="00A8247A" w:rsidP="001E29E3">
      <w:pPr>
        <w:jc w:val="center"/>
        <w:rPr>
          <w:b/>
          <w:u w:val="single"/>
        </w:rPr>
      </w:pPr>
      <w:r>
        <w:rPr>
          <w:noProof/>
          <w:lang w:val="en-AU" w:eastAsia="en-AU"/>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1004570</wp:posOffset>
                </wp:positionV>
                <wp:extent cx="228600" cy="342900"/>
                <wp:effectExtent l="0" t="0" r="2540" b="381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08B6" w:rsidRPr="001E29E3" w:rsidRDefault="00E008B6">
                            <w:pPr>
                              <w:rPr>
                                <w:lang w:val="en-AU"/>
                              </w:rPr>
                            </w:pPr>
                            <w:r>
                              <w:rPr>
                                <w:lang w:val="en-A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9pt;margin-top:79.1pt;width:1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zVgA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" stroked="f">
                <v:textbox>
                  <w:txbxContent>
                    <w:p w:rsidR="00E008B6" w:rsidRPr="001E29E3" w:rsidRDefault="00E008B6">
                      <w:pPr>
                        <w:rPr>
                          <w:lang w:val="en-AU"/>
                        </w:rPr>
                      </w:pPr>
                      <w:r>
                        <w:rPr>
                          <w:lang w:val="en-AU"/>
                        </w:rPr>
                        <w:t>*</w:t>
                      </w:r>
                    </w:p>
                  </w:txbxContent>
                </v:textbox>
              </v:shape>
            </w:pict>
          </mc:Fallback>
        </mc:AlternateContent>
      </w:r>
      <w:r>
        <w:rPr>
          <w:noProof/>
          <w:lang w:val="en-AU" w:eastAsia="en-AU"/>
        </w:rPr>
        <w:drawing>
          <wp:inline distT="0" distB="0" distL="0" distR="0">
            <wp:extent cx="5141595" cy="2415540"/>
            <wp:effectExtent l="0" t="0" r="1905" b="3810"/>
            <wp:docPr id="5"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19" cstate="print">
                      <a:grayscl/>
                      <a:extLst>
                        <a:ext uri="{28A0092B-C50C-407E-A947-70E740481C1C}">
                          <a14:useLocalDpi xmlns:a14="http://schemas.microsoft.com/office/drawing/2010/main" val="0"/>
                        </a:ext>
                      </a:extLst>
                    </a:blip>
                    <a:srcRect/>
                    <a:stretch>
                      <a:fillRect/>
                    </a:stretch>
                  </pic:blipFill>
                  <pic:spPr bwMode="auto">
                    <a:xfrm>
                      <a:off x="0" y="0"/>
                      <a:ext cx="5141595" cy="2415540"/>
                    </a:xfrm>
                    <a:prstGeom prst="rect">
                      <a:avLst/>
                    </a:prstGeom>
                    <a:noFill/>
                    <a:ln>
                      <a:noFill/>
                    </a:ln>
                  </pic:spPr>
                </pic:pic>
              </a:graphicData>
            </a:graphic>
          </wp:inline>
        </w:drawing>
      </w:r>
    </w:p>
    <w:p w:rsidR="00AD3506" w:rsidRPr="00EB44BE" w:rsidRDefault="00AD3506" w:rsidP="00AD3506">
      <w:pPr>
        <w:ind w:left="720" w:hanging="720"/>
        <w:jc w:val="both"/>
        <w:rPr>
          <w:sz w:val="20"/>
          <w:szCs w:val="20"/>
        </w:rPr>
      </w:pPr>
      <w:r w:rsidRPr="00EB44BE">
        <w:rPr>
          <w:sz w:val="20"/>
          <w:szCs w:val="20"/>
        </w:rPr>
        <w:t>*</w:t>
      </w:r>
      <w:r w:rsidRPr="00EB44BE">
        <w:rPr>
          <w:sz w:val="20"/>
          <w:szCs w:val="20"/>
        </w:rPr>
        <w:tab/>
        <w:t xml:space="preserve">Maximum percentage reduction in </w:t>
      </w:r>
      <w:r w:rsidR="00EB44BE" w:rsidRPr="00EB44BE">
        <w:rPr>
          <w:sz w:val="20"/>
          <w:szCs w:val="20"/>
        </w:rPr>
        <w:t>tumour</w:t>
      </w:r>
      <w:r w:rsidRPr="00EB44BE">
        <w:rPr>
          <w:sz w:val="20"/>
          <w:szCs w:val="20"/>
        </w:rPr>
        <w:t xml:space="preserve"> burden from baseline for individual patients, each of whom is represented by a bar on the graph. Bars pointing in the positive direction of the Y axis represent patients whose </w:t>
      </w:r>
      <w:r w:rsidR="00EB44BE" w:rsidRPr="00EB44BE">
        <w:rPr>
          <w:sz w:val="20"/>
          <w:szCs w:val="20"/>
        </w:rPr>
        <w:t>tumours</w:t>
      </w:r>
      <w:r w:rsidRPr="00EB44BE">
        <w:rPr>
          <w:sz w:val="20"/>
          <w:szCs w:val="20"/>
        </w:rPr>
        <w:t xml:space="preserve"> grew, while bars pointing in the negative direction represent patients with </w:t>
      </w:r>
      <w:r w:rsidR="00EB44BE" w:rsidRPr="00EB44BE">
        <w:rPr>
          <w:sz w:val="20"/>
          <w:szCs w:val="20"/>
        </w:rPr>
        <w:t>tumour</w:t>
      </w:r>
      <w:r w:rsidRPr="00EB44BE">
        <w:rPr>
          <w:sz w:val="20"/>
          <w:szCs w:val="20"/>
        </w:rPr>
        <w:t xml:space="preserve"> shrinkage.</w:t>
      </w:r>
    </w:p>
    <w:p w:rsidR="0020139C" w:rsidRPr="00EB44BE" w:rsidRDefault="0020139C" w:rsidP="0020139C">
      <w:pPr>
        <w:jc w:val="both"/>
      </w:pPr>
    </w:p>
    <w:p w:rsidR="0065436A" w:rsidRDefault="0065436A" w:rsidP="005D5471">
      <w:pPr>
        <w:autoSpaceDE w:val="0"/>
        <w:autoSpaceDN w:val="0"/>
        <w:adjustRightInd w:val="0"/>
        <w:spacing w:line="240" w:lineRule="atLeast"/>
        <w:jc w:val="both"/>
        <w:rPr>
          <w:color w:val="000000"/>
        </w:rPr>
      </w:pPr>
      <w:r w:rsidRPr="0065436A">
        <w:rPr>
          <w:color w:val="000000"/>
        </w:rPr>
        <w:t xml:space="preserve">NEXAVAR demonstrated </w:t>
      </w:r>
      <w:r>
        <w:rPr>
          <w:color w:val="000000"/>
        </w:rPr>
        <w:t xml:space="preserve">no overall deterioration in kidney-cancer specific symptoms (FKSI-10) or health-related quality of life compared to placebo. </w:t>
      </w:r>
    </w:p>
    <w:p w:rsidR="001024F2" w:rsidRPr="001024F2" w:rsidRDefault="001024F2" w:rsidP="00FA21F2">
      <w:pPr>
        <w:pStyle w:val="Heading3"/>
        <w:spacing w:before="240" w:after="120"/>
      </w:pPr>
      <w:r w:rsidRPr="001024F2">
        <w:t xml:space="preserve">Study 100391 </w:t>
      </w:r>
    </w:p>
    <w:p w:rsidR="00DC7385" w:rsidRDefault="001024F2" w:rsidP="00F3357F">
      <w:pPr>
        <w:spacing w:before="120"/>
        <w:jc w:val="both"/>
      </w:pPr>
      <w:r>
        <w:t>Study 100391</w:t>
      </w:r>
      <w:r w:rsidR="0065436A" w:rsidRPr="0065436A">
        <w:rPr>
          <w:b/>
          <w:color w:val="000000"/>
        </w:rPr>
        <w:t xml:space="preserve"> </w:t>
      </w:r>
      <w:r w:rsidR="0065436A" w:rsidRPr="0065436A">
        <w:rPr>
          <w:color w:val="000000"/>
        </w:rPr>
        <w:t xml:space="preserve">was a Phase II discontinuation </w:t>
      </w:r>
      <w:r w:rsidR="0065436A">
        <w:rPr>
          <w:color w:val="000000"/>
        </w:rPr>
        <w:t xml:space="preserve">trial </w:t>
      </w:r>
      <w:r w:rsidR="0020139C" w:rsidRPr="00EB44BE">
        <w:t>in patients with metastatic malignancies</w:t>
      </w:r>
      <w:r w:rsidR="00204DAD">
        <w:t xml:space="preserve"> including RCC</w:t>
      </w:r>
      <w:r w:rsidR="0020139C" w:rsidRPr="00EB44BE">
        <w:t xml:space="preserve">. The primary endpoint was percentage </w:t>
      </w:r>
      <w:r w:rsidR="0065436A">
        <w:t xml:space="preserve">of </w:t>
      </w:r>
      <w:r w:rsidR="0020139C" w:rsidRPr="00EB44BE">
        <w:t>randomi</w:t>
      </w:r>
      <w:r w:rsidR="0065436A">
        <w:t>s</w:t>
      </w:r>
      <w:r w:rsidR="0020139C" w:rsidRPr="00EB44BE">
        <w:t>ed patients</w:t>
      </w:r>
      <w:r w:rsidR="0065436A">
        <w:t xml:space="preserve"> (N</w:t>
      </w:r>
      <w:r w:rsidR="001C4503">
        <w:t xml:space="preserve"> </w:t>
      </w:r>
      <w:r w:rsidR="0065436A">
        <w:t>=</w:t>
      </w:r>
      <w:r w:rsidR="001C4503">
        <w:t xml:space="preserve"> </w:t>
      </w:r>
      <w:r w:rsidR="0065436A">
        <w:t>65)</w:t>
      </w:r>
      <w:r w:rsidR="0020139C" w:rsidRPr="00EB44BE">
        <w:t xml:space="preserve"> remaining progression</w:t>
      </w:r>
      <w:r w:rsidR="001C4503">
        <w:t xml:space="preserve"> </w:t>
      </w:r>
      <w:r w:rsidR="0020139C" w:rsidRPr="00EB44BE">
        <w:t xml:space="preserve">free at 24 weeks. </w:t>
      </w:r>
      <w:r w:rsidR="0065436A">
        <w:t>Progression</w:t>
      </w:r>
      <w:r w:rsidR="001C4503">
        <w:t xml:space="preserve"> </w:t>
      </w:r>
      <w:r w:rsidR="0065436A">
        <w:t>free survival was significantly longer in the NEXAVAR group (163 days) than in the placebo group (41 days) (p</w:t>
      </w:r>
      <w:r w:rsidR="001C4503">
        <w:t xml:space="preserve"> </w:t>
      </w:r>
      <w:r w:rsidR="0065436A">
        <w:t>=</w:t>
      </w:r>
      <w:r w:rsidR="001C4503">
        <w:t xml:space="preserve"> </w:t>
      </w:r>
      <w:r w:rsidR="0065436A">
        <w:t>0.0001</w:t>
      </w:r>
      <w:r w:rsidR="001C4503">
        <w:t>;</w:t>
      </w:r>
      <w:r w:rsidR="0065436A">
        <w:t xml:space="preserve"> HR</w:t>
      </w:r>
      <w:r w:rsidR="001C4503">
        <w:t xml:space="preserve"> </w:t>
      </w:r>
      <w:r w:rsidR="0065436A">
        <w:t>=</w:t>
      </w:r>
      <w:r w:rsidR="001C4503">
        <w:t xml:space="preserve"> </w:t>
      </w:r>
      <w:r w:rsidR="0065436A">
        <w:t>0.29). The progre</w:t>
      </w:r>
      <w:r w:rsidR="001C4503">
        <w:t xml:space="preserve">ssion </w:t>
      </w:r>
      <w:r w:rsidR="0065436A">
        <w:t>free rate was significantly higher in patients randomised to NEXAVAR (50</w:t>
      </w:r>
      <w:r w:rsidR="00F3357F">
        <w:t xml:space="preserve">%) than in the placebo patients </w:t>
      </w:r>
      <w:r w:rsidR="0065436A">
        <w:t>(18%) (p</w:t>
      </w:r>
      <w:r w:rsidR="001C4503">
        <w:t xml:space="preserve"> </w:t>
      </w:r>
      <w:r w:rsidR="0065436A">
        <w:t>=</w:t>
      </w:r>
      <w:r w:rsidR="001C4503">
        <w:t xml:space="preserve"> </w:t>
      </w:r>
      <w:r w:rsidR="0065436A">
        <w:t>0.0077).</w:t>
      </w:r>
    </w:p>
    <w:p w:rsidR="00DC7385" w:rsidRPr="00E157B8" w:rsidRDefault="00DC7385" w:rsidP="00533310">
      <w:pPr>
        <w:pStyle w:val="Heading2"/>
      </w:pPr>
      <w:r w:rsidRPr="00E157B8">
        <w:t>Differe</w:t>
      </w:r>
      <w:r w:rsidR="00C05893">
        <w:t>ntiated thyroid carcinoma</w:t>
      </w:r>
      <w:r w:rsidRPr="00E157B8">
        <w:t xml:space="preserve">  </w:t>
      </w:r>
    </w:p>
    <w:p w:rsidR="009A085F" w:rsidRPr="009A085F" w:rsidRDefault="00DC7385" w:rsidP="00CC54B4">
      <w:pPr>
        <w:pStyle w:val="BayerBodyTextFull"/>
        <w:jc w:val="both"/>
      </w:pPr>
      <w:r>
        <w:t>Study 14295</w:t>
      </w:r>
      <w:r w:rsidR="001B2BB6">
        <w:t>,</w:t>
      </w:r>
      <w:r w:rsidR="002020C7">
        <w:t xml:space="preserve"> </w:t>
      </w:r>
      <w:r w:rsidR="009A085F" w:rsidRPr="009A085F">
        <w:t>a Phase III, international, multi-centre, randomised, double blind, placebo-controlled trial in</w:t>
      </w:r>
      <w:r w:rsidR="001B2BB6">
        <w:t>cluded</w:t>
      </w:r>
      <w:r w:rsidR="009A085F" w:rsidRPr="009A085F">
        <w:t xml:space="preserve"> 417 patients with locally advanced or metastatic differentiated thyroid carcinoma refractory to radioactive iodine</w:t>
      </w:r>
      <w:r w:rsidR="001B2BB6">
        <w:t>.</w:t>
      </w:r>
    </w:p>
    <w:p w:rsidR="009A085F" w:rsidRPr="009A085F" w:rsidRDefault="009A085F" w:rsidP="00CC54B4">
      <w:pPr>
        <w:spacing w:before="120" w:after="120"/>
        <w:jc w:val="both"/>
        <w:rPr>
          <w:rFonts w:eastAsia="SimSun"/>
          <w:szCs w:val="20"/>
          <w:lang w:val="en-US"/>
        </w:rPr>
      </w:pPr>
      <w:r w:rsidRPr="009A085F">
        <w:rPr>
          <w:rFonts w:eastAsia="SimSun"/>
          <w:szCs w:val="20"/>
          <w:lang w:val="en-US"/>
        </w:rPr>
        <w:t xml:space="preserve">Progression-free survival (PFS) was the primary endpoint of the study. Secondary endpoints included overall survival (OS), tumor response rate and duration of response. Following progression, patients were allowed to receive open label </w:t>
      </w:r>
      <w:r w:rsidR="00395BFD">
        <w:rPr>
          <w:rFonts w:eastAsia="SimSun"/>
          <w:szCs w:val="20"/>
          <w:lang w:val="en-US"/>
        </w:rPr>
        <w:t>NEXAVAR</w:t>
      </w:r>
      <w:r w:rsidRPr="009A085F">
        <w:rPr>
          <w:rFonts w:eastAsia="SimSun"/>
          <w:szCs w:val="20"/>
          <w:lang w:val="en-US"/>
        </w:rPr>
        <w:t>. Concomitant radioactive iodine treatment was not permitted.</w:t>
      </w:r>
    </w:p>
    <w:p w:rsidR="009A085F" w:rsidRPr="009A085F" w:rsidRDefault="009A085F" w:rsidP="00CC54B4">
      <w:pPr>
        <w:spacing w:before="120" w:after="120"/>
        <w:jc w:val="both"/>
        <w:rPr>
          <w:rFonts w:eastAsia="SimSun"/>
          <w:szCs w:val="20"/>
          <w:lang w:val="en-US"/>
        </w:rPr>
      </w:pPr>
      <w:r w:rsidRPr="009A085F">
        <w:rPr>
          <w:rFonts w:eastAsia="SimSun"/>
          <w:szCs w:val="20"/>
          <w:lang w:val="en-US"/>
        </w:rPr>
        <w:t xml:space="preserve">Patients were included in the study if they experienced progression within 14 months of enrollment and had </w:t>
      </w:r>
      <w:r w:rsidR="00395BFD">
        <w:rPr>
          <w:rFonts w:eastAsia="SimSun"/>
          <w:szCs w:val="20"/>
          <w:lang w:val="en-US"/>
        </w:rPr>
        <w:t>differentiated thyroid carcinoma (</w:t>
      </w:r>
      <w:r w:rsidRPr="009A085F">
        <w:rPr>
          <w:rFonts w:eastAsia="SimSun"/>
          <w:szCs w:val="20"/>
          <w:lang w:val="en-US"/>
        </w:rPr>
        <w:t>DTC</w:t>
      </w:r>
      <w:r w:rsidR="00395BFD">
        <w:rPr>
          <w:rFonts w:eastAsia="SimSun"/>
          <w:szCs w:val="20"/>
          <w:lang w:val="en-US"/>
        </w:rPr>
        <w:t>)</w:t>
      </w:r>
      <w:r w:rsidRPr="009A085F">
        <w:rPr>
          <w:rFonts w:eastAsia="SimSun"/>
          <w:szCs w:val="20"/>
          <w:lang w:val="en-US"/>
        </w:rPr>
        <w:t xml:space="preserve"> refractory to </w:t>
      </w:r>
      <w:r w:rsidR="00395BFD">
        <w:rPr>
          <w:rFonts w:eastAsia="SimSun"/>
          <w:szCs w:val="20"/>
          <w:lang w:val="en-US"/>
        </w:rPr>
        <w:t>radioactive iodine (</w:t>
      </w:r>
      <w:r w:rsidRPr="009A085F">
        <w:rPr>
          <w:rFonts w:eastAsia="SimSun"/>
          <w:szCs w:val="20"/>
          <w:lang w:val="en-US"/>
        </w:rPr>
        <w:t>RAI</w:t>
      </w:r>
      <w:r w:rsidR="00395BFD">
        <w:rPr>
          <w:rFonts w:eastAsia="SimSun"/>
          <w:szCs w:val="20"/>
          <w:lang w:val="en-US"/>
        </w:rPr>
        <w:t>)</w:t>
      </w:r>
      <w:r w:rsidRPr="009A085F">
        <w:rPr>
          <w:rFonts w:eastAsia="SimSun"/>
          <w:szCs w:val="20"/>
          <w:lang w:val="en-US"/>
        </w:rPr>
        <w:t>.</w:t>
      </w:r>
      <w:r w:rsidR="00395BFD">
        <w:rPr>
          <w:rFonts w:eastAsia="SimSun"/>
          <w:szCs w:val="20"/>
          <w:lang w:val="en-US"/>
        </w:rPr>
        <w:t xml:space="preserve"> </w:t>
      </w:r>
      <w:r w:rsidRPr="009A085F">
        <w:rPr>
          <w:rFonts w:eastAsia="SimSun"/>
          <w:szCs w:val="20"/>
          <w:lang w:val="en-US"/>
        </w:rPr>
        <w:t xml:space="preserve">DTC refractory to RAI was defined as having a lesion without iodine uptake on a radioactive iodine (RAI) scan, or receiving cumulative RAI ≥ 600 mCi, or experiencing  progression after a RAI treatment within 16 months of enrollment or after two RAI treatments within 16 months of each other. </w:t>
      </w:r>
    </w:p>
    <w:p w:rsidR="009A085F" w:rsidRPr="009A085F" w:rsidRDefault="009A085F" w:rsidP="00CC54B4">
      <w:pPr>
        <w:spacing w:before="120" w:after="120"/>
        <w:jc w:val="both"/>
        <w:rPr>
          <w:rFonts w:eastAsia="SimSun"/>
          <w:szCs w:val="20"/>
          <w:lang w:val="en-US"/>
        </w:rPr>
      </w:pPr>
      <w:r w:rsidRPr="009A085F">
        <w:rPr>
          <w:rFonts w:eastAsia="SimSun"/>
          <w:szCs w:val="20"/>
          <w:lang w:val="en-US"/>
        </w:rPr>
        <w:t xml:space="preserve">Baseline demographics and patient characteristics were well balanced for both treatment groups. Metastases were present in the lungs in 86%, lymph node in 51% and bone in 27% of the patients. Almost all patients had thyroidectomy (99.5%) and had a median delivered cumulative radioactive activity of approximately 400 mCi. </w:t>
      </w:r>
      <w:r w:rsidR="00D12747">
        <w:rPr>
          <w:rFonts w:eastAsia="SimSun"/>
          <w:szCs w:val="20"/>
          <w:lang w:val="en-US"/>
        </w:rPr>
        <w:t>The m</w:t>
      </w:r>
      <w:r w:rsidRPr="009A085F">
        <w:rPr>
          <w:rFonts w:eastAsia="SimSun"/>
          <w:szCs w:val="20"/>
          <w:lang w:val="en-US"/>
        </w:rPr>
        <w:t>ajority of patients had papillary carcinoma (56.8%), followed by follicular (25.4%) and poorly differentiated carcinoma (9.6%).</w:t>
      </w:r>
    </w:p>
    <w:p w:rsidR="009A085F" w:rsidRPr="009A085F" w:rsidRDefault="009A085F" w:rsidP="00CC54B4">
      <w:pPr>
        <w:spacing w:before="120" w:after="120"/>
        <w:jc w:val="both"/>
        <w:rPr>
          <w:rFonts w:eastAsia="SimSun"/>
          <w:szCs w:val="20"/>
          <w:lang w:val="en-US"/>
        </w:rPr>
      </w:pPr>
      <w:r w:rsidRPr="009A085F">
        <w:rPr>
          <w:rFonts w:eastAsia="SimSun"/>
          <w:szCs w:val="20"/>
          <w:lang w:val="en-US"/>
        </w:rPr>
        <w:lastRenderedPageBreak/>
        <w:t xml:space="preserve">The full analysis set included 207 patients randomised to </w:t>
      </w:r>
      <w:r w:rsidR="00395BFD" w:rsidRPr="00395BFD">
        <w:rPr>
          <w:rFonts w:eastAsia="SimSun"/>
          <w:szCs w:val="20"/>
          <w:lang w:val="en-US"/>
        </w:rPr>
        <w:t>NEXAVAR</w:t>
      </w:r>
      <w:r w:rsidRPr="009A085F">
        <w:rPr>
          <w:rFonts w:eastAsia="SimSun"/>
          <w:szCs w:val="20"/>
          <w:lang w:val="en-US"/>
        </w:rPr>
        <w:t xml:space="preserve"> 400 mg twice daily and 210 patients randomised to placebo. PFS was evaluated by blinded independent radiological review using RECIST criteria. </w:t>
      </w:r>
    </w:p>
    <w:p w:rsidR="009A085F" w:rsidRPr="009A085F" w:rsidRDefault="009A085F" w:rsidP="00CC54B4">
      <w:pPr>
        <w:spacing w:before="120" w:after="120"/>
        <w:jc w:val="both"/>
        <w:rPr>
          <w:rFonts w:eastAsia="SimSun"/>
          <w:szCs w:val="20"/>
          <w:lang w:val="en-US"/>
        </w:rPr>
      </w:pPr>
      <w:r w:rsidRPr="009A085F">
        <w:rPr>
          <w:rFonts w:eastAsia="SimSun"/>
          <w:szCs w:val="20"/>
          <w:lang w:val="en-US"/>
        </w:rPr>
        <w:t xml:space="preserve">Median PFS was 329 days (10.8 months) in the </w:t>
      </w:r>
      <w:r w:rsidR="00395BFD" w:rsidRPr="00395BFD">
        <w:rPr>
          <w:rFonts w:eastAsia="SimSun"/>
          <w:szCs w:val="20"/>
          <w:lang w:val="en-US"/>
        </w:rPr>
        <w:t>NEXAVAR</w:t>
      </w:r>
      <w:r w:rsidRPr="009A085F">
        <w:rPr>
          <w:rFonts w:eastAsia="SimSun"/>
          <w:szCs w:val="20"/>
          <w:lang w:val="en-US"/>
        </w:rPr>
        <w:t xml:space="preserve"> group compared to 175 days (5.8 months) in the placebo group. (HR)</w:t>
      </w:r>
      <w:r w:rsidR="00395BFD">
        <w:rPr>
          <w:rFonts w:eastAsia="SimSun"/>
          <w:szCs w:val="20"/>
          <w:lang w:val="en-US"/>
        </w:rPr>
        <w:t>:</w:t>
      </w:r>
      <w:r w:rsidRPr="009A085F">
        <w:rPr>
          <w:rFonts w:eastAsia="SimSun"/>
          <w:szCs w:val="20"/>
          <w:lang w:val="en-US"/>
        </w:rPr>
        <w:t> 0.587; 95% Confidence Interval (CI): 0.454</w:t>
      </w:r>
      <w:r w:rsidR="00395BFD">
        <w:rPr>
          <w:rFonts w:eastAsia="SimSun"/>
          <w:szCs w:val="20"/>
          <w:lang w:val="en-US"/>
        </w:rPr>
        <w:t>-</w:t>
      </w:r>
      <w:r w:rsidRPr="009A085F">
        <w:rPr>
          <w:rFonts w:eastAsia="SimSun"/>
          <w:szCs w:val="20"/>
          <w:lang w:val="en-US"/>
        </w:rPr>
        <w:t xml:space="preserve">0.758; one-sided p &lt;0.0001). (Table </w:t>
      </w:r>
      <w:r w:rsidR="00FD1910">
        <w:rPr>
          <w:rFonts w:eastAsia="SimSun"/>
          <w:szCs w:val="20"/>
          <w:lang w:val="en-US"/>
        </w:rPr>
        <w:t>2</w:t>
      </w:r>
      <w:r w:rsidRPr="009A085F">
        <w:rPr>
          <w:rFonts w:eastAsia="SimSun"/>
          <w:szCs w:val="20"/>
          <w:lang w:val="en-US"/>
        </w:rPr>
        <w:t xml:space="preserve">, Figure </w:t>
      </w:r>
      <w:r w:rsidR="00FD1910">
        <w:rPr>
          <w:rFonts w:eastAsia="SimSun"/>
          <w:szCs w:val="20"/>
          <w:lang w:val="en-US"/>
        </w:rPr>
        <w:t>5</w:t>
      </w:r>
      <w:r w:rsidRPr="009A085F">
        <w:rPr>
          <w:rFonts w:eastAsia="SimSun"/>
          <w:szCs w:val="20"/>
          <w:lang w:val="en-US"/>
        </w:rPr>
        <w:t>)</w:t>
      </w:r>
    </w:p>
    <w:p w:rsidR="009A085F" w:rsidRPr="009A085F" w:rsidRDefault="009A085F" w:rsidP="00CC54B4">
      <w:pPr>
        <w:spacing w:before="120" w:after="120"/>
        <w:jc w:val="both"/>
        <w:rPr>
          <w:rFonts w:eastAsia="SimSun"/>
          <w:szCs w:val="20"/>
          <w:lang w:val="en-US"/>
        </w:rPr>
      </w:pPr>
      <w:r w:rsidRPr="009A085F">
        <w:rPr>
          <w:rFonts w:eastAsia="SimSun"/>
          <w:szCs w:val="20"/>
          <w:lang w:val="en-US"/>
        </w:rPr>
        <w:t xml:space="preserve">The effect of </w:t>
      </w:r>
      <w:r w:rsidR="00395BFD">
        <w:rPr>
          <w:rFonts w:eastAsia="SimSun"/>
          <w:szCs w:val="20"/>
          <w:lang w:val="en-US"/>
        </w:rPr>
        <w:t>NEXAVAR</w:t>
      </w:r>
      <w:r w:rsidRPr="009A085F">
        <w:rPr>
          <w:rFonts w:eastAsia="SimSun"/>
          <w:szCs w:val="20"/>
          <w:lang w:val="en-US"/>
        </w:rPr>
        <w:t xml:space="preserve"> on PFS was consistent across all subsets including geographic region, age above or below 60 years, gender, histological subtype, tumor burden and presence or absence of bone metastasis. </w:t>
      </w:r>
    </w:p>
    <w:p w:rsidR="009A085F" w:rsidRDefault="009A085F" w:rsidP="00CC54B4">
      <w:pPr>
        <w:spacing w:before="120" w:after="120"/>
        <w:jc w:val="both"/>
        <w:rPr>
          <w:rFonts w:eastAsia="SimSun"/>
          <w:szCs w:val="20"/>
          <w:lang w:val="en-US"/>
        </w:rPr>
      </w:pPr>
      <w:r w:rsidRPr="009A085F">
        <w:rPr>
          <w:rFonts w:eastAsia="SimSun"/>
          <w:szCs w:val="20"/>
          <w:lang w:val="en-US"/>
        </w:rPr>
        <w:t>There was no statistical difference in overall survival between the treatment groups (the HR was 0.802; 95% CI:</w:t>
      </w:r>
      <w:r w:rsidR="001B2BB6">
        <w:rPr>
          <w:rFonts w:eastAsia="SimSun"/>
          <w:szCs w:val="20"/>
          <w:lang w:val="en-US"/>
        </w:rPr>
        <w:t xml:space="preserve"> </w:t>
      </w:r>
      <w:r w:rsidRPr="009A085F">
        <w:rPr>
          <w:rFonts w:eastAsia="SimSun"/>
          <w:szCs w:val="20"/>
          <w:lang w:val="en-US"/>
        </w:rPr>
        <w:t>0.539</w:t>
      </w:r>
      <w:r w:rsidR="001B2BB6">
        <w:rPr>
          <w:rFonts w:eastAsia="SimSun"/>
          <w:szCs w:val="20"/>
          <w:lang w:val="en-US"/>
        </w:rPr>
        <w:t>-</w:t>
      </w:r>
      <w:r w:rsidRPr="009A085F">
        <w:rPr>
          <w:rFonts w:eastAsia="SimSun"/>
          <w:szCs w:val="20"/>
          <w:lang w:val="en-US"/>
        </w:rPr>
        <w:t xml:space="preserve"> 1.194</w:t>
      </w:r>
      <w:r w:rsidR="001B2BB6">
        <w:rPr>
          <w:rFonts w:eastAsia="SimSun"/>
          <w:szCs w:val="20"/>
          <w:lang w:val="en-US"/>
        </w:rPr>
        <w:t>;</w:t>
      </w:r>
      <w:r w:rsidRPr="009A085F">
        <w:rPr>
          <w:rFonts w:eastAsia="SimSun"/>
          <w:szCs w:val="20"/>
          <w:lang w:val="en-US"/>
        </w:rPr>
        <w:t xml:space="preserve"> one-sided p value of 0.138, Table </w:t>
      </w:r>
      <w:r w:rsidR="00FD1910">
        <w:rPr>
          <w:rFonts w:eastAsia="SimSun"/>
          <w:szCs w:val="20"/>
          <w:lang w:val="en-US"/>
        </w:rPr>
        <w:t>2</w:t>
      </w:r>
      <w:r w:rsidRPr="009A085F">
        <w:rPr>
          <w:rFonts w:eastAsia="SimSun"/>
          <w:szCs w:val="20"/>
          <w:lang w:val="en-US"/>
        </w:rPr>
        <w:t xml:space="preserve">). The median OS was not reached for either arm. One hundred fifty (71.4%) patients randomised to placebo and 55 (26.6%) patients randomised to </w:t>
      </w:r>
      <w:r w:rsidR="00395BFD">
        <w:rPr>
          <w:rFonts w:eastAsia="SimSun"/>
          <w:szCs w:val="20"/>
          <w:lang w:val="en-US"/>
        </w:rPr>
        <w:t>NEXAVAR</w:t>
      </w:r>
      <w:r w:rsidRPr="009A085F">
        <w:rPr>
          <w:rFonts w:eastAsia="SimSun"/>
          <w:szCs w:val="20"/>
          <w:lang w:val="en-US"/>
        </w:rPr>
        <w:t xml:space="preserve"> received open-label </w:t>
      </w:r>
      <w:r w:rsidR="00395BFD">
        <w:rPr>
          <w:rFonts w:eastAsia="SimSun"/>
          <w:szCs w:val="20"/>
          <w:lang w:val="en-US"/>
        </w:rPr>
        <w:t>NEXAVAR</w:t>
      </w:r>
      <w:r w:rsidRPr="009A085F">
        <w:rPr>
          <w:rFonts w:eastAsia="SimSun"/>
          <w:szCs w:val="20"/>
          <w:lang w:val="en-US"/>
        </w:rPr>
        <w:t>.</w:t>
      </w:r>
    </w:p>
    <w:p w:rsidR="00750C75" w:rsidRPr="00750C75" w:rsidRDefault="00750C75" w:rsidP="00CC54B4">
      <w:pPr>
        <w:spacing w:before="120" w:after="120"/>
        <w:jc w:val="both"/>
        <w:rPr>
          <w:rFonts w:eastAsia="SimSun"/>
          <w:szCs w:val="20"/>
          <w:lang w:val="en-US"/>
        </w:rPr>
      </w:pPr>
      <w:r w:rsidRPr="00750C75">
        <w:rPr>
          <w:rFonts w:eastAsia="SimSun"/>
          <w:szCs w:val="20"/>
          <w:lang w:val="en-US"/>
        </w:rPr>
        <w:t>The median duration of therapy in the double-blind period was 46 weeks (range 0.3-135) for patients receiving NEXAVAR and 28 weeks (range 1.7–132) for patients receiving placebo.</w:t>
      </w:r>
    </w:p>
    <w:p w:rsidR="009A085F" w:rsidRPr="009A085F" w:rsidRDefault="009A085F" w:rsidP="00CC54B4">
      <w:pPr>
        <w:spacing w:before="120" w:after="120"/>
        <w:jc w:val="both"/>
        <w:rPr>
          <w:rFonts w:eastAsia="SimSun"/>
          <w:szCs w:val="20"/>
          <w:lang w:val="en-US"/>
        </w:rPr>
      </w:pPr>
      <w:r w:rsidRPr="009A085F">
        <w:rPr>
          <w:rFonts w:eastAsia="SimSun"/>
          <w:szCs w:val="20"/>
          <w:lang w:val="en-US"/>
        </w:rPr>
        <w:t xml:space="preserve">No complete response (CR) according to RECIST were observed. The overall response rate (CR + partial response (PR) per independent radiological assessment was higher in the </w:t>
      </w:r>
      <w:r w:rsidR="00395BFD">
        <w:rPr>
          <w:rFonts w:eastAsia="SimSun"/>
          <w:szCs w:val="20"/>
          <w:lang w:val="en-US"/>
        </w:rPr>
        <w:t>NEXAVAR</w:t>
      </w:r>
      <w:r w:rsidRPr="009A085F">
        <w:rPr>
          <w:rFonts w:eastAsia="SimSun"/>
          <w:szCs w:val="20"/>
          <w:lang w:val="en-US"/>
        </w:rPr>
        <w:t xml:space="preserve"> group (24 patients, </w:t>
      </w:r>
      <w:r w:rsidR="008045CD">
        <w:rPr>
          <w:rFonts w:eastAsia="SimSun"/>
          <w:szCs w:val="20"/>
          <w:lang w:val="en-US"/>
        </w:rPr>
        <w:t>12.2%</w:t>
      </w:r>
      <w:r w:rsidRPr="009A085F">
        <w:rPr>
          <w:rFonts w:eastAsia="SimSun"/>
          <w:szCs w:val="20"/>
          <w:lang w:val="en-US"/>
        </w:rPr>
        <w:t>) than in the placebo group (1 patient, 0.5%), one-sided p&lt;0.0001. The median duration of response was 309 days (95% CI:</w:t>
      </w:r>
      <w:r w:rsidR="001B2BB6">
        <w:rPr>
          <w:rFonts w:eastAsia="SimSun"/>
          <w:szCs w:val="20"/>
          <w:lang w:val="en-US"/>
        </w:rPr>
        <w:t xml:space="preserve"> </w:t>
      </w:r>
      <w:r w:rsidRPr="009A085F">
        <w:rPr>
          <w:rFonts w:eastAsia="SimSun"/>
          <w:szCs w:val="20"/>
          <w:lang w:val="en-US"/>
        </w:rPr>
        <w:t>226</w:t>
      </w:r>
      <w:r w:rsidR="001B2BB6">
        <w:rPr>
          <w:rFonts w:eastAsia="SimSun"/>
          <w:szCs w:val="20"/>
          <w:lang w:val="en-US"/>
        </w:rPr>
        <w:t>-</w:t>
      </w:r>
      <w:r w:rsidRPr="009A085F">
        <w:rPr>
          <w:rFonts w:eastAsia="SimSun"/>
          <w:szCs w:val="20"/>
          <w:lang w:val="en-US"/>
        </w:rPr>
        <w:t xml:space="preserve"> 505 days) in </w:t>
      </w:r>
      <w:r w:rsidR="00395BFD">
        <w:rPr>
          <w:rFonts w:eastAsia="SimSun"/>
          <w:szCs w:val="20"/>
          <w:lang w:val="en-US"/>
        </w:rPr>
        <w:t>NEXAVAR</w:t>
      </w:r>
      <w:r w:rsidRPr="009A085F">
        <w:rPr>
          <w:rFonts w:eastAsia="SimSun"/>
          <w:szCs w:val="20"/>
          <w:lang w:val="en-US"/>
        </w:rPr>
        <w:t xml:space="preserve"> treated patients who experienced a PR.</w:t>
      </w:r>
    </w:p>
    <w:p w:rsidR="00B051EA" w:rsidRDefault="00B051EA" w:rsidP="009A085F">
      <w:pPr>
        <w:tabs>
          <w:tab w:val="left" w:pos="11174"/>
          <w:tab w:val="left" w:pos="15142"/>
        </w:tabs>
        <w:suppressAutoHyphens/>
        <w:spacing w:before="120" w:after="240"/>
        <w:rPr>
          <w:rFonts w:eastAsia="SimSun"/>
          <w:b/>
          <w:bCs/>
          <w:lang w:val="en-US" w:eastAsia="de-DE"/>
        </w:rPr>
      </w:pPr>
    </w:p>
    <w:p w:rsidR="009A085F" w:rsidRPr="009A085F" w:rsidRDefault="009A085F" w:rsidP="009A085F">
      <w:pPr>
        <w:tabs>
          <w:tab w:val="left" w:pos="11174"/>
          <w:tab w:val="left" w:pos="15142"/>
        </w:tabs>
        <w:suppressAutoHyphens/>
        <w:spacing w:before="120" w:after="240"/>
        <w:rPr>
          <w:rFonts w:eastAsia="SimSun"/>
          <w:b/>
          <w:bCs/>
          <w:lang w:val="en-US" w:eastAsia="de-DE"/>
        </w:rPr>
      </w:pPr>
      <w:r w:rsidRPr="009A085F">
        <w:rPr>
          <w:rFonts w:eastAsia="SimSun"/>
          <w:b/>
          <w:bCs/>
          <w:lang w:val="en-US" w:eastAsia="de-DE"/>
        </w:rPr>
        <w:t xml:space="preserve">Table </w:t>
      </w:r>
      <w:r w:rsidR="00B051EA">
        <w:rPr>
          <w:rFonts w:eastAsia="SimSun"/>
          <w:b/>
          <w:bCs/>
          <w:lang w:val="en-US" w:eastAsia="de-DE"/>
        </w:rPr>
        <w:t>2</w:t>
      </w:r>
      <w:r w:rsidRPr="009A085F">
        <w:rPr>
          <w:rFonts w:eastAsia="SimSun"/>
          <w:b/>
          <w:bCs/>
          <w:lang w:val="en-US" w:eastAsia="de-DE"/>
        </w:rPr>
        <w:t xml:space="preserve">: Efficacy Results from Study </w:t>
      </w:r>
      <w:r w:rsidR="00B051EA" w:rsidRPr="00B051EA">
        <w:rPr>
          <w:rFonts w:eastAsia="SimSun"/>
          <w:b/>
          <w:bCs/>
          <w:lang w:val="en-US" w:eastAsia="de-DE"/>
        </w:rPr>
        <w:t>14295</w:t>
      </w:r>
      <w:r w:rsidRPr="009A085F">
        <w:rPr>
          <w:rFonts w:eastAsia="SimSun"/>
          <w:b/>
          <w:bCs/>
          <w:lang w:val="en-US" w:eastAsia="de-DE"/>
        </w:rPr>
        <w:t xml:space="preserve">  in Differentiated Thyroid Carcinoma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35"/>
        <w:gridCol w:w="1771"/>
        <w:gridCol w:w="1771"/>
        <w:gridCol w:w="1771"/>
        <w:gridCol w:w="1772"/>
      </w:tblGrid>
      <w:tr w:rsidR="009A085F" w:rsidRPr="00B86D4C" w:rsidTr="00B01FA5">
        <w:trPr>
          <w:trHeight w:val="753"/>
        </w:trPr>
        <w:tc>
          <w:tcPr>
            <w:tcW w:w="2235"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Efficacy Parameter</w:t>
            </w:r>
          </w:p>
        </w:tc>
        <w:tc>
          <w:tcPr>
            <w:tcW w:w="1771" w:type="dxa"/>
          </w:tcPr>
          <w:p w:rsidR="009A085F" w:rsidRPr="00B051EA" w:rsidRDefault="00395BFD" w:rsidP="009A085F">
            <w:pPr>
              <w:tabs>
                <w:tab w:val="left" w:pos="11174"/>
                <w:tab w:val="left" w:pos="15142"/>
              </w:tabs>
              <w:suppressAutoHyphens/>
              <w:spacing w:after="120"/>
              <w:rPr>
                <w:rFonts w:eastAsia="SimSun"/>
                <w:sz w:val="20"/>
                <w:szCs w:val="20"/>
                <w:lang w:val="en-US" w:eastAsia="de-DE"/>
              </w:rPr>
            </w:pPr>
            <w:r>
              <w:rPr>
                <w:rFonts w:eastAsia="SimSun"/>
                <w:sz w:val="20"/>
                <w:szCs w:val="20"/>
                <w:lang w:val="en-US" w:eastAsia="de-DE"/>
              </w:rPr>
              <w:t>NEXAVAR</w:t>
            </w:r>
          </w:p>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(N=207)</w:t>
            </w:r>
          </w:p>
          <w:p w:rsidR="009A085F" w:rsidRPr="00B051EA" w:rsidRDefault="009A085F" w:rsidP="009A085F">
            <w:pPr>
              <w:tabs>
                <w:tab w:val="left" w:pos="11174"/>
                <w:tab w:val="left" w:pos="15142"/>
              </w:tabs>
              <w:suppressAutoHyphens/>
              <w:spacing w:after="120"/>
              <w:rPr>
                <w:rFonts w:eastAsia="SimSun"/>
                <w:sz w:val="20"/>
                <w:szCs w:val="20"/>
                <w:lang w:val="en-US" w:eastAsia="de-DE"/>
              </w:rPr>
            </w:pPr>
          </w:p>
        </w:tc>
        <w:tc>
          <w:tcPr>
            <w:tcW w:w="1771"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Placebo</w:t>
            </w:r>
          </w:p>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 N=210)</w:t>
            </w:r>
          </w:p>
        </w:tc>
        <w:tc>
          <w:tcPr>
            <w:tcW w:w="1771"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P-value</w:t>
            </w:r>
          </w:p>
        </w:tc>
        <w:tc>
          <w:tcPr>
            <w:tcW w:w="1772"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HR</w:t>
            </w:r>
          </w:p>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(95% CI)</w:t>
            </w:r>
          </w:p>
        </w:tc>
      </w:tr>
      <w:tr w:rsidR="009A085F" w:rsidRPr="00B86D4C" w:rsidTr="00B01FA5">
        <w:tc>
          <w:tcPr>
            <w:tcW w:w="2235"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Progression-Free Survival (PFS) [median, days (95% CI)]*</w:t>
            </w:r>
          </w:p>
        </w:tc>
        <w:tc>
          <w:tcPr>
            <w:tcW w:w="1771"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329</w:t>
            </w:r>
          </w:p>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(278, 393)</w:t>
            </w:r>
          </w:p>
        </w:tc>
        <w:tc>
          <w:tcPr>
            <w:tcW w:w="1771"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175</w:t>
            </w:r>
          </w:p>
          <w:p w:rsidR="009A085F" w:rsidRPr="00B051EA" w:rsidRDefault="009179CA" w:rsidP="009A085F">
            <w:pPr>
              <w:tabs>
                <w:tab w:val="left" w:pos="11174"/>
                <w:tab w:val="left" w:pos="15142"/>
              </w:tabs>
              <w:suppressAutoHyphens/>
              <w:spacing w:after="120"/>
              <w:rPr>
                <w:rFonts w:eastAsia="SimSun"/>
                <w:sz w:val="20"/>
                <w:szCs w:val="20"/>
                <w:lang w:val="en-US" w:eastAsia="de-DE"/>
              </w:rPr>
            </w:pPr>
            <w:r>
              <w:rPr>
                <w:rFonts w:eastAsia="SimSun"/>
                <w:sz w:val="20"/>
                <w:szCs w:val="20"/>
                <w:lang w:val="en-US" w:eastAsia="de-DE"/>
              </w:rPr>
              <w:t>(</w:t>
            </w:r>
            <w:r w:rsidR="009A085F" w:rsidRPr="00B051EA">
              <w:rPr>
                <w:rFonts w:eastAsia="SimSun"/>
                <w:sz w:val="20"/>
                <w:szCs w:val="20"/>
                <w:lang w:val="en-US" w:eastAsia="de-DE"/>
              </w:rPr>
              <w:t>160, 238)</w:t>
            </w:r>
          </w:p>
        </w:tc>
        <w:tc>
          <w:tcPr>
            <w:tcW w:w="1771"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&lt;0.0001</w:t>
            </w:r>
          </w:p>
        </w:tc>
        <w:tc>
          <w:tcPr>
            <w:tcW w:w="1772"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0.587</w:t>
            </w:r>
          </w:p>
          <w:p w:rsidR="009A085F" w:rsidRPr="00B051EA" w:rsidRDefault="009A085F" w:rsidP="009630D7">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(0.454</w:t>
            </w:r>
            <w:r w:rsidR="001B2BB6">
              <w:rPr>
                <w:rFonts w:eastAsia="SimSun"/>
                <w:sz w:val="20"/>
                <w:szCs w:val="20"/>
                <w:lang w:val="en-US" w:eastAsia="de-DE"/>
              </w:rPr>
              <w:t>-</w:t>
            </w:r>
            <w:r w:rsidRPr="00B051EA">
              <w:rPr>
                <w:rFonts w:eastAsia="SimSun"/>
                <w:sz w:val="20"/>
                <w:szCs w:val="20"/>
                <w:lang w:val="en-US" w:eastAsia="de-DE"/>
              </w:rPr>
              <w:t>0.758)</w:t>
            </w:r>
          </w:p>
        </w:tc>
      </w:tr>
      <w:tr w:rsidR="009A085F" w:rsidRPr="00B86D4C" w:rsidTr="00B01FA5">
        <w:tc>
          <w:tcPr>
            <w:tcW w:w="2235"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 xml:space="preserve">Overall Survival (OS) [median, days (95% CI)] </w:t>
            </w:r>
          </w:p>
        </w:tc>
        <w:tc>
          <w:tcPr>
            <w:tcW w:w="1771"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NR</w:t>
            </w:r>
          </w:p>
        </w:tc>
        <w:tc>
          <w:tcPr>
            <w:tcW w:w="1771"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NR</w:t>
            </w:r>
          </w:p>
        </w:tc>
        <w:tc>
          <w:tcPr>
            <w:tcW w:w="1771"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0.1381</w:t>
            </w:r>
          </w:p>
          <w:p w:rsidR="009A085F" w:rsidRPr="00B051EA" w:rsidRDefault="009A085F" w:rsidP="009A085F">
            <w:pPr>
              <w:tabs>
                <w:tab w:val="left" w:pos="11174"/>
                <w:tab w:val="left" w:pos="15142"/>
              </w:tabs>
              <w:suppressAutoHyphens/>
              <w:spacing w:after="120"/>
              <w:rPr>
                <w:rFonts w:eastAsia="SimSun"/>
                <w:sz w:val="20"/>
                <w:szCs w:val="20"/>
                <w:lang w:val="en-US" w:eastAsia="de-DE"/>
              </w:rPr>
            </w:pPr>
          </w:p>
        </w:tc>
        <w:tc>
          <w:tcPr>
            <w:tcW w:w="1772" w:type="dxa"/>
          </w:tcPr>
          <w:p w:rsidR="009A085F" w:rsidRPr="00B051EA" w:rsidRDefault="009A085F" w:rsidP="009A085F">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0.802</w:t>
            </w:r>
          </w:p>
          <w:p w:rsidR="009A085F" w:rsidRPr="00B051EA" w:rsidRDefault="009A085F" w:rsidP="009630D7">
            <w:pPr>
              <w:tabs>
                <w:tab w:val="left" w:pos="11174"/>
                <w:tab w:val="left" w:pos="15142"/>
              </w:tabs>
              <w:suppressAutoHyphens/>
              <w:spacing w:after="120"/>
              <w:rPr>
                <w:rFonts w:eastAsia="SimSun"/>
                <w:sz w:val="20"/>
                <w:szCs w:val="20"/>
                <w:lang w:val="en-US" w:eastAsia="de-DE"/>
              </w:rPr>
            </w:pPr>
            <w:r w:rsidRPr="00B051EA">
              <w:rPr>
                <w:rFonts w:eastAsia="SimSun"/>
                <w:sz w:val="20"/>
                <w:szCs w:val="20"/>
                <w:lang w:val="en-US" w:eastAsia="de-DE"/>
              </w:rPr>
              <w:t>(0.539</w:t>
            </w:r>
            <w:r w:rsidR="001B2BB6">
              <w:rPr>
                <w:rFonts w:eastAsia="SimSun"/>
                <w:sz w:val="20"/>
                <w:szCs w:val="20"/>
                <w:lang w:val="en-US" w:eastAsia="de-DE"/>
              </w:rPr>
              <w:t>-</w:t>
            </w:r>
            <w:r w:rsidRPr="00B051EA">
              <w:rPr>
                <w:rFonts w:eastAsia="SimSun"/>
                <w:sz w:val="20"/>
                <w:szCs w:val="20"/>
                <w:lang w:val="en-US" w:eastAsia="de-DE"/>
              </w:rPr>
              <w:t>1.194)</w:t>
            </w:r>
          </w:p>
        </w:tc>
      </w:tr>
    </w:tbl>
    <w:p w:rsidR="009A085F" w:rsidRPr="009A085F" w:rsidRDefault="009A085F" w:rsidP="009A085F">
      <w:pPr>
        <w:tabs>
          <w:tab w:val="left" w:pos="11174"/>
          <w:tab w:val="left" w:pos="15142"/>
        </w:tabs>
        <w:suppressAutoHyphens/>
        <w:spacing w:after="120"/>
        <w:rPr>
          <w:rFonts w:eastAsia="SimSun"/>
          <w:sz w:val="20"/>
          <w:szCs w:val="20"/>
          <w:lang w:val="en-US" w:eastAsia="de-DE"/>
        </w:rPr>
      </w:pPr>
      <w:r w:rsidRPr="009A085F">
        <w:rPr>
          <w:rFonts w:eastAsia="SimSun"/>
          <w:sz w:val="20"/>
          <w:szCs w:val="20"/>
          <w:lang w:val="en-US" w:eastAsia="de-DE"/>
        </w:rPr>
        <w:t xml:space="preserve"> NR = Not reached CI=Confidence interval, HR=Hazard ratio (</w:t>
      </w:r>
      <w:r w:rsidR="00395BFD">
        <w:rPr>
          <w:rFonts w:eastAsia="SimSun"/>
          <w:sz w:val="20"/>
          <w:szCs w:val="20"/>
          <w:lang w:val="en-US" w:eastAsia="de-DE"/>
        </w:rPr>
        <w:t>NEXAVAR</w:t>
      </w:r>
      <w:r w:rsidRPr="009A085F">
        <w:rPr>
          <w:rFonts w:eastAsia="SimSun"/>
          <w:sz w:val="20"/>
          <w:szCs w:val="20"/>
          <w:lang w:val="en-US" w:eastAsia="de-DE"/>
        </w:rPr>
        <w:t xml:space="preserve"> over placebo)</w:t>
      </w:r>
    </w:p>
    <w:p w:rsidR="009A085F" w:rsidRPr="009A085F" w:rsidRDefault="009A085F" w:rsidP="009A085F">
      <w:pPr>
        <w:tabs>
          <w:tab w:val="left" w:pos="11174"/>
          <w:tab w:val="left" w:pos="15142"/>
        </w:tabs>
        <w:suppressAutoHyphens/>
        <w:spacing w:after="120"/>
        <w:rPr>
          <w:rFonts w:eastAsia="SimSun"/>
          <w:sz w:val="20"/>
          <w:szCs w:val="20"/>
          <w:lang w:val="en-US" w:eastAsia="de-DE"/>
        </w:rPr>
      </w:pPr>
      <w:r w:rsidRPr="009A085F">
        <w:rPr>
          <w:rFonts w:eastAsia="SimSun"/>
          <w:sz w:val="20"/>
          <w:szCs w:val="20"/>
          <w:lang w:val="en-US" w:eastAsia="de-DE"/>
        </w:rPr>
        <w:t>*independent radiological review</w:t>
      </w:r>
    </w:p>
    <w:p w:rsidR="0040733F" w:rsidRDefault="00A8247A" w:rsidP="00A8247A">
      <w:pPr>
        <w:spacing w:before="120"/>
        <w:jc w:val="both"/>
      </w:pPr>
      <w:r>
        <w:br w:type="page"/>
      </w:r>
      <w:r w:rsidR="00FD1910">
        <w:lastRenderedPageBreak/>
        <w:t xml:space="preserve">Figure </w:t>
      </w:r>
      <w:r w:rsidR="00B051EA">
        <w:t>5</w:t>
      </w:r>
      <w:r w:rsidR="00B051EA" w:rsidRPr="00B051EA">
        <w:t>:</w:t>
      </w:r>
      <w:r w:rsidR="00FD1910">
        <w:t xml:space="preserve"> </w:t>
      </w:r>
      <w:r w:rsidR="00B051EA" w:rsidRPr="00B051EA">
        <w:t>Kaplan-Meier curve of Progression-Free Survival (PFS) in Study 14295 Thyroid carcinoma</w:t>
      </w:r>
      <w:r w:rsidR="0040733F">
        <w:t xml:space="preserve"> (full analysis set)</w:t>
      </w:r>
    </w:p>
    <w:p w:rsidR="00B051EA" w:rsidRDefault="00A8247A" w:rsidP="00B86D4C">
      <w:pPr>
        <w:spacing w:before="120"/>
      </w:pPr>
      <w:r>
        <w:rPr>
          <w:noProof/>
          <w:lang w:val="en-AU" w:eastAsia="en-AU"/>
        </w:rPr>
        <w:drawing>
          <wp:inline distT="0" distB="0" distL="0" distR="0">
            <wp:extent cx="4813935" cy="3501390"/>
            <wp:effectExtent l="0" t="0" r="5715" b="3810"/>
            <wp:docPr id="64" name="Picture 64"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ig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3935" cy="3501390"/>
                    </a:xfrm>
                    <a:prstGeom prst="rect">
                      <a:avLst/>
                    </a:prstGeom>
                    <a:noFill/>
                  </pic:spPr>
                </pic:pic>
              </a:graphicData>
            </a:graphic>
          </wp:inline>
        </w:drawing>
      </w:r>
    </w:p>
    <w:p w:rsidR="00655FA2" w:rsidRPr="00EB44BE" w:rsidRDefault="00655FA2" w:rsidP="00217FB0">
      <w:pPr>
        <w:pStyle w:val="Heading1"/>
        <w:rPr>
          <w:lang w:val="en-GB"/>
        </w:rPr>
      </w:pPr>
      <w:r w:rsidRPr="00EB44BE">
        <w:rPr>
          <w:lang w:val="en-GB"/>
        </w:rPr>
        <w:t>INDICATIONS</w:t>
      </w:r>
    </w:p>
    <w:p w:rsidR="00D105BE" w:rsidRPr="00533310" w:rsidRDefault="00D105BE" w:rsidP="00533310">
      <w:pPr>
        <w:pStyle w:val="Heading2"/>
        <w:rPr>
          <w:b w:val="0"/>
          <w:u w:val="single"/>
        </w:rPr>
      </w:pPr>
      <w:r w:rsidRPr="00533310">
        <w:rPr>
          <w:b w:val="0"/>
          <w:u w:val="single"/>
        </w:rPr>
        <w:t>Hepatocellular carcinoma</w:t>
      </w:r>
    </w:p>
    <w:p w:rsidR="00D105BE" w:rsidRDefault="00D105BE" w:rsidP="00D105BE">
      <w:pPr>
        <w:jc w:val="both"/>
      </w:pPr>
      <w:r>
        <w:t xml:space="preserve">NEXAVAR is indicated for the treatment of patients with </w:t>
      </w:r>
      <w:r w:rsidR="009A6BB6">
        <w:t xml:space="preserve">advanced </w:t>
      </w:r>
      <w:bookmarkStart w:id="1" w:name="OLE_LINK2"/>
      <w:r>
        <w:t>hepatocellular carcinoma.</w:t>
      </w:r>
      <w:bookmarkEnd w:id="1"/>
    </w:p>
    <w:p w:rsidR="00D105BE" w:rsidRPr="00533310" w:rsidRDefault="00D105BE" w:rsidP="00533310">
      <w:pPr>
        <w:pStyle w:val="Heading2"/>
        <w:rPr>
          <w:b w:val="0"/>
          <w:u w:val="single"/>
        </w:rPr>
      </w:pPr>
      <w:r w:rsidRPr="00533310">
        <w:rPr>
          <w:b w:val="0"/>
          <w:u w:val="single"/>
        </w:rPr>
        <w:t xml:space="preserve">Renal cell carcinoma </w:t>
      </w:r>
    </w:p>
    <w:p w:rsidR="00E90089" w:rsidRDefault="004112DD" w:rsidP="00D105BE">
      <w:pPr>
        <w:jc w:val="both"/>
      </w:pPr>
      <w:r>
        <w:t>NEXAVAR</w:t>
      </w:r>
      <w:r w:rsidR="00EB73F3" w:rsidRPr="00EB44BE">
        <w:t xml:space="preserve"> is indicated for the t</w:t>
      </w:r>
      <w:r w:rsidR="00395567" w:rsidRPr="00EB44BE">
        <w:t>reatment of patients with advanced renal cell carcinoma.</w:t>
      </w:r>
    </w:p>
    <w:p w:rsidR="00E90089" w:rsidRPr="00533310" w:rsidRDefault="00DC7385" w:rsidP="00533310">
      <w:pPr>
        <w:pStyle w:val="Heading2"/>
        <w:rPr>
          <w:b w:val="0"/>
          <w:u w:val="single"/>
        </w:rPr>
      </w:pPr>
      <w:r w:rsidRPr="00533310">
        <w:rPr>
          <w:b w:val="0"/>
          <w:u w:val="single"/>
        </w:rPr>
        <w:t xml:space="preserve">Differentiated </w:t>
      </w:r>
      <w:r w:rsidR="00E90089" w:rsidRPr="00533310">
        <w:rPr>
          <w:b w:val="0"/>
          <w:u w:val="single"/>
        </w:rPr>
        <w:t>Thyroid ca</w:t>
      </w:r>
      <w:r w:rsidR="002064D9">
        <w:rPr>
          <w:b w:val="0"/>
          <w:u w:val="single"/>
        </w:rPr>
        <w:t>r</w:t>
      </w:r>
      <w:r w:rsidR="00E90089" w:rsidRPr="00533310">
        <w:rPr>
          <w:b w:val="0"/>
          <w:u w:val="single"/>
        </w:rPr>
        <w:t>cinoma</w:t>
      </w:r>
    </w:p>
    <w:p w:rsidR="00E90089" w:rsidRPr="00EB44BE" w:rsidRDefault="00E90089" w:rsidP="00D105BE">
      <w:pPr>
        <w:jc w:val="both"/>
      </w:pPr>
      <w:r w:rsidRPr="00E90089">
        <w:t xml:space="preserve">NEXAVAR is indicated for the </w:t>
      </w:r>
      <w:r>
        <w:t>t</w:t>
      </w:r>
      <w:r w:rsidRPr="00E90089">
        <w:t>reatment of patients with locally advanced or metastatic</w:t>
      </w:r>
      <w:r w:rsidR="002D60BC">
        <w:t>,</w:t>
      </w:r>
      <w:r w:rsidRPr="00E90089">
        <w:t xml:space="preserve"> </w:t>
      </w:r>
      <w:r w:rsidR="008045CD" w:rsidRPr="008045CD">
        <w:t>progressive,</w:t>
      </w:r>
      <w:r w:rsidR="008045CD">
        <w:t xml:space="preserve"> </w:t>
      </w:r>
      <w:r w:rsidRPr="00E90089">
        <w:t>differentiated thyroid carcinoma refractory to radioactive iodine</w:t>
      </w:r>
      <w:r>
        <w:t>.</w:t>
      </w:r>
    </w:p>
    <w:p w:rsidR="00655FA2" w:rsidRPr="00EB44BE" w:rsidRDefault="00655FA2" w:rsidP="00217FB0">
      <w:pPr>
        <w:pStyle w:val="Heading1"/>
        <w:rPr>
          <w:lang w:val="en-GB"/>
        </w:rPr>
      </w:pPr>
      <w:r w:rsidRPr="00EB44BE">
        <w:rPr>
          <w:lang w:val="en-GB"/>
        </w:rPr>
        <w:t>CONTRAINDICATIONS</w:t>
      </w:r>
    </w:p>
    <w:p w:rsidR="00655FA2" w:rsidRPr="00EB44BE" w:rsidRDefault="004112DD" w:rsidP="00217FB0">
      <w:pPr>
        <w:jc w:val="both"/>
      </w:pPr>
      <w:r>
        <w:t>NEXAVAR</w:t>
      </w:r>
      <w:r w:rsidR="00395567" w:rsidRPr="00EB44BE">
        <w:t xml:space="preserve"> is contraindicated in patients with known severe hypersensitivity to sorafenib or any of the excipients</w:t>
      </w:r>
      <w:r w:rsidR="00EB73F3" w:rsidRPr="00EB44BE">
        <w:t xml:space="preserve"> in the tablet</w:t>
      </w:r>
      <w:r w:rsidR="00395567" w:rsidRPr="00EB44BE">
        <w:t>.</w:t>
      </w:r>
    </w:p>
    <w:p w:rsidR="00204DAD" w:rsidRDefault="00655FA2" w:rsidP="00204DAD">
      <w:pPr>
        <w:pStyle w:val="Heading1"/>
        <w:rPr>
          <w:color w:val="000000"/>
        </w:rPr>
      </w:pPr>
      <w:r w:rsidRPr="00204DAD">
        <w:rPr>
          <w:color w:val="000000"/>
        </w:rPr>
        <w:t>PRECAUTIONS</w:t>
      </w:r>
    </w:p>
    <w:p w:rsidR="004B15D0" w:rsidRPr="00EB44BE" w:rsidRDefault="004B15D0" w:rsidP="0013363C">
      <w:pPr>
        <w:pStyle w:val="Heading2"/>
      </w:pPr>
      <w:r w:rsidRPr="00EB44BE">
        <w:t xml:space="preserve">Pregnancy </w:t>
      </w:r>
      <w:r w:rsidR="0013363C">
        <w:t>and Lactation</w:t>
      </w:r>
    </w:p>
    <w:p w:rsidR="004B15D0" w:rsidRPr="00EB44BE" w:rsidRDefault="004B15D0" w:rsidP="00F009B5">
      <w:pPr>
        <w:jc w:val="both"/>
      </w:pPr>
      <w:r w:rsidRPr="00EB44BE">
        <w:t xml:space="preserve">Women should avoid becoming pregnant while on therapy. Women of childbearing potential must be apprised of the potential hazard to the </w:t>
      </w:r>
      <w:r w:rsidR="00EB44BE" w:rsidRPr="00EB44BE">
        <w:t>fetus</w:t>
      </w:r>
      <w:r w:rsidRPr="00EB44BE">
        <w:t xml:space="preserve">, which includes severe malformation (teratogenicity), failure to thrive and </w:t>
      </w:r>
      <w:r w:rsidR="00D80323">
        <w:t>fetal</w:t>
      </w:r>
      <w:r w:rsidRPr="00EB44BE">
        <w:t xml:space="preserve"> death (embryotoxicity). (See </w:t>
      </w:r>
      <w:r w:rsidRPr="00836B3D">
        <w:rPr>
          <w:b/>
        </w:rPr>
        <w:t>Use in Pregnancy</w:t>
      </w:r>
      <w:r w:rsidRPr="00EB44BE">
        <w:t>).</w:t>
      </w:r>
    </w:p>
    <w:p w:rsidR="004B15D0" w:rsidRPr="00EB44BE" w:rsidRDefault="004B15D0" w:rsidP="004B15D0">
      <w:pPr>
        <w:jc w:val="both"/>
      </w:pPr>
      <w:r w:rsidRPr="00EB44BE">
        <w:lastRenderedPageBreak/>
        <w:t xml:space="preserve"> </w:t>
      </w:r>
    </w:p>
    <w:p w:rsidR="00F009B5" w:rsidRDefault="0013363C" w:rsidP="004B15D0">
      <w:pPr>
        <w:jc w:val="both"/>
      </w:pPr>
      <w:r>
        <w:t>NEXAVAR</w:t>
      </w:r>
      <w:r w:rsidR="004B15D0" w:rsidRPr="00EB44BE">
        <w:t xml:space="preserve"> should not be used during pregnancy. Breastfeeding should be discontinued during </w:t>
      </w:r>
      <w:r w:rsidR="004112DD">
        <w:t>NEXAVAR</w:t>
      </w:r>
      <w:r w:rsidR="004B15D0" w:rsidRPr="00EB44BE">
        <w:t xml:space="preserve"> therapy. (</w:t>
      </w:r>
      <w:r w:rsidR="005323CD" w:rsidRPr="00EB44BE">
        <w:t>See</w:t>
      </w:r>
      <w:r w:rsidR="004B15D0" w:rsidRPr="00EB44BE">
        <w:t xml:space="preserve"> </w:t>
      </w:r>
      <w:r w:rsidR="004B15D0" w:rsidRPr="004112DD">
        <w:rPr>
          <w:b/>
        </w:rPr>
        <w:t>Use in Lactation</w:t>
      </w:r>
      <w:r w:rsidR="004B15D0" w:rsidRPr="00EB44BE">
        <w:t>).</w:t>
      </w:r>
    </w:p>
    <w:p w:rsidR="00F009B5" w:rsidRPr="00533310" w:rsidRDefault="00F009B5" w:rsidP="00533310">
      <w:pPr>
        <w:pStyle w:val="Heading2"/>
      </w:pPr>
      <w:r w:rsidRPr="00533310">
        <w:t>Effects on ability to drive and use machines</w:t>
      </w:r>
    </w:p>
    <w:p w:rsidR="00F009B5" w:rsidRPr="00EB44BE" w:rsidRDefault="00F009B5" w:rsidP="00F009B5">
      <w:pPr>
        <w:spacing w:before="120"/>
        <w:jc w:val="both"/>
      </w:pPr>
      <w:r>
        <w:t>No studies on the effects of sorafenib on the ability to drive or use machines have been performed. There is no evidence that sorafenib affects the ability to drive or operate machinery.</w:t>
      </w:r>
    </w:p>
    <w:p w:rsidR="009D1DF4" w:rsidRPr="00EB44BE" w:rsidRDefault="00B660BE" w:rsidP="009D1DF4">
      <w:pPr>
        <w:pStyle w:val="Heading2"/>
        <w:rPr>
          <w:lang w:val="en-GB"/>
        </w:rPr>
      </w:pPr>
      <w:r>
        <w:rPr>
          <w:lang w:val="en-GB"/>
        </w:rPr>
        <w:t>Dermatological t</w:t>
      </w:r>
      <w:r w:rsidR="009D1DF4" w:rsidRPr="00EB44BE">
        <w:rPr>
          <w:lang w:val="en-GB"/>
        </w:rPr>
        <w:t>oxicities</w:t>
      </w:r>
    </w:p>
    <w:p w:rsidR="009D1DF4" w:rsidRPr="00EB44BE" w:rsidRDefault="00127346" w:rsidP="004B15D0">
      <w:pPr>
        <w:jc w:val="both"/>
      </w:pPr>
      <w:r>
        <w:t xml:space="preserve">Hand foot skin reaction (palmar </w:t>
      </w:r>
      <w:r w:rsidR="009D1DF4" w:rsidRPr="00EB44BE">
        <w:t xml:space="preserve">plantar erythrodysaesthesia) and rash represent the most common adverse drug reactions with </w:t>
      </w:r>
      <w:r w:rsidR="004112DD">
        <w:t>NEXAVAR</w:t>
      </w:r>
      <w:r>
        <w:t xml:space="preserve">. Rash and hand </w:t>
      </w:r>
      <w:r w:rsidR="009D1DF4" w:rsidRPr="00EB44BE">
        <w:t xml:space="preserve">foot skin reaction are usually CTC (National Cancer Institute Common Toxicity Criteria) Grade 1 and 2 and generally appear during the first six weeks of treatment with </w:t>
      </w:r>
      <w:r w:rsidR="004112DD">
        <w:t>NEXAVAR</w:t>
      </w:r>
      <w:r w:rsidR="009D1DF4" w:rsidRPr="00EB44BE">
        <w:t xml:space="preserve">. Management of dermatologic toxicities may include topical therapies for symptomatic relief, temporary treatment interruption and/or dose modification of </w:t>
      </w:r>
      <w:r w:rsidR="004112DD">
        <w:t>NEXAVAR</w:t>
      </w:r>
      <w:r w:rsidR="009D1DF4" w:rsidRPr="00EB44BE">
        <w:t xml:space="preserve">, or in severe or persistent cases, permanent discontinuation of </w:t>
      </w:r>
      <w:r w:rsidR="004112DD">
        <w:t>NEXAVAR</w:t>
      </w:r>
      <w:r w:rsidR="009D1DF4" w:rsidRPr="00EB44BE">
        <w:t xml:space="preserve"> (see </w:t>
      </w:r>
      <w:r w:rsidR="009D1DF4" w:rsidRPr="004112DD">
        <w:rPr>
          <w:b/>
        </w:rPr>
        <w:t xml:space="preserve">ADVERSE </w:t>
      </w:r>
      <w:r w:rsidR="002F39F9" w:rsidRPr="004112DD">
        <w:rPr>
          <w:b/>
        </w:rPr>
        <w:t>EFFECTS</w:t>
      </w:r>
      <w:r w:rsidR="009D1DF4" w:rsidRPr="00EB44BE">
        <w:t>).</w:t>
      </w:r>
    </w:p>
    <w:p w:rsidR="009D1DF4" w:rsidRPr="00EB44BE" w:rsidRDefault="009D1DF4" w:rsidP="009D1DF4">
      <w:pPr>
        <w:pStyle w:val="Heading2"/>
        <w:rPr>
          <w:lang w:val="en-GB"/>
        </w:rPr>
      </w:pPr>
      <w:r w:rsidRPr="00EB44BE">
        <w:rPr>
          <w:lang w:val="en-GB"/>
        </w:rPr>
        <w:t xml:space="preserve">Hypertension </w:t>
      </w:r>
    </w:p>
    <w:p w:rsidR="009D1DF4" w:rsidRPr="00EB44BE" w:rsidRDefault="009D1DF4" w:rsidP="009D1DF4">
      <w:pPr>
        <w:jc w:val="both"/>
      </w:pPr>
      <w:r w:rsidRPr="00EB44BE">
        <w:t xml:space="preserve">An increased incidence of hypertension was observed in </w:t>
      </w:r>
      <w:r w:rsidR="004112DD">
        <w:t>NEXAVAR</w:t>
      </w:r>
      <w:r w:rsidRPr="00EB44BE">
        <w:t xml:space="preserve">-treated patients. Hypertension was usually mild to moderate, occurred early in the course of treatment, and was amenable to management with standard antihypertensive therapy. Blood pressure should be monitored regularly and treated, if required, in accordance with standard medical practice. In cases of severe or persistent hypertension, or hypertensive crisis despite adequate antihypertensive therapy, permanent discontinuation of </w:t>
      </w:r>
      <w:r w:rsidR="004112DD">
        <w:t>NEXAVAR</w:t>
      </w:r>
      <w:r w:rsidRPr="00EB44BE">
        <w:t xml:space="preserve"> should be considered (see </w:t>
      </w:r>
      <w:r w:rsidR="002F39F9" w:rsidRPr="004112DD">
        <w:rPr>
          <w:b/>
        </w:rPr>
        <w:t>ADVER</w:t>
      </w:r>
      <w:r w:rsidR="0013363C">
        <w:rPr>
          <w:b/>
        </w:rPr>
        <w:t>S</w:t>
      </w:r>
      <w:r w:rsidR="002F39F9" w:rsidRPr="004112DD">
        <w:rPr>
          <w:b/>
        </w:rPr>
        <w:t>E EFFECTS</w:t>
      </w:r>
      <w:r w:rsidRPr="00EB44BE">
        <w:t>).</w:t>
      </w:r>
    </w:p>
    <w:p w:rsidR="009D1DF4" w:rsidRPr="00EB44BE" w:rsidRDefault="003D27ED" w:rsidP="00533310">
      <w:pPr>
        <w:pStyle w:val="Heading2"/>
      </w:pPr>
      <w:r w:rsidRPr="00EB44BE">
        <w:rPr>
          <w:rStyle w:val="Heading2Char"/>
          <w:lang w:val="en-GB"/>
        </w:rPr>
        <w:t>Haemorrhage</w:t>
      </w:r>
      <w:r w:rsidR="009D1DF4" w:rsidRPr="00EB44BE">
        <w:t xml:space="preserve"> </w:t>
      </w:r>
    </w:p>
    <w:p w:rsidR="009D1DF4" w:rsidRPr="00EB44BE" w:rsidRDefault="009D1DF4" w:rsidP="00F3357F">
      <w:pPr>
        <w:spacing w:before="120"/>
        <w:jc w:val="both"/>
      </w:pPr>
      <w:r w:rsidRPr="00EB44BE">
        <w:t xml:space="preserve">An increase in the risk of bleeding may occur following </w:t>
      </w:r>
      <w:r w:rsidR="004112DD">
        <w:t>NEXAVAR</w:t>
      </w:r>
      <w:r w:rsidRPr="00EB44BE">
        <w:t xml:space="preserve"> administration. The incidence of severe bleeding events is uncommon. If any bleeding event necessitates medical intervention, it is recommended that permanent discontinuation of </w:t>
      </w:r>
      <w:r w:rsidR="004112DD">
        <w:t>NEXAVAR</w:t>
      </w:r>
      <w:r w:rsidRPr="00EB44BE">
        <w:t xml:space="preserve"> should be considered (see </w:t>
      </w:r>
      <w:r w:rsidR="0092335E" w:rsidRPr="00FF3964">
        <w:rPr>
          <w:b/>
        </w:rPr>
        <w:t>ADVERSE</w:t>
      </w:r>
      <w:r w:rsidRPr="00FF3964">
        <w:rPr>
          <w:b/>
        </w:rPr>
        <w:t xml:space="preserve"> </w:t>
      </w:r>
      <w:r w:rsidR="0092335E" w:rsidRPr="00FF3964">
        <w:rPr>
          <w:b/>
        </w:rPr>
        <w:t>EFFECTS</w:t>
      </w:r>
      <w:r w:rsidRPr="00EB44BE">
        <w:t>).</w:t>
      </w:r>
      <w:r w:rsidR="00C41CC9">
        <w:t xml:space="preserve"> </w:t>
      </w:r>
      <w:r w:rsidR="00C41CC9" w:rsidRPr="00C41CC9">
        <w:t xml:space="preserve">Due to the potential risk of bleeding, tracheal, bronchial, and </w:t>
      </w:r>
      <w:r w:rsidR="00913E50">
        <w:t>o</w:t>
      </w:r>
      <w:r w:rsidR="00C41CC9" w:rsidRPr="00C41CC9">
        <w:t>esophageal  infiltration should be treated with locali</w:t>
      </w:r>
      <w:r w:rsidR="00913E50">
        <w:t>s</w:t>
      </w:r>
      <w:r w:rsidR="00C41CC9" w:rsidRPr="00C41CC9">
        <w:t xml:space="preserve">ed therapy prior to administering </w:t>
      </w:r>
      <w:r w:rsidR="00C41CC9">
        <w:t>NEXAVAR</w:t>
      </w:r>
      <w:r w:rsidR="00C41CC9" w:rsidRPr="00C41CC9">
        <w:t xml:space="preserve"> in patients with differentiated thyroid carcinoma</w:t>
      </w:r>
      <w:r w:rsidR="00C41CC9">
        <w:t>.</w:t>
      </w:r>
    </w:p>
    <w:p w:rsidR="009D1DF4" w:rsidRPr="00EB44BE" w:rsidRDefault="009D1DF4" w:rsidP="009D1DF4">
      <w:pPr>
        <w:pStyle w:val="Heading2"/>
        <w:rPr>
          <w:lang w:val="en-GB"/>
        </w:rPr>
      </w:pPr>
      <w:r w:rsidRPr="00EB44BE">
        <w:rPr>
          <w:lang w:val="en-GB"/>
        </w:rPr>
        <w:t xml:space="preserve">Warfarin </w:t>
      </w:r>
    </w:p>
    <w:p w:rsidR="009D1DF4" w:rsidRPr="00EB44BE" w:rsidRDefault="009D1DF4" w:rsidP="009D1DF4">
      <w:pPr>
        <w:jc w:val="both"/>
      </w:pPr>
      <w:r w:rsidRPr="00EB44BE">
        <w:t xml:space="preserve">Infrequent bleeding events or elevations in the International Normalized Ratio (INR) have been reported in some patients taking warfarin while on </w:t>
      </w:r>
      <w:r w:rsidR="004112DD">
        <w:t>NEXAVAR</w:t>
      </w:r>
      <w:r w:rsidRPr="00EB44BE">
        <w:t xml:space="preserve"> therapy. Patients taking warfarin concomitantly should be monitored regularly for changes in prothrombin time, INR and for clinical bleeding episodes (see </w:t>
      </w:r>
      <w:r w:rsidR="0092335E" w:rsidRPr="00FF3964">
        <w:rPr>
          <w:b/>
        </w:rPr>
        <w:t>ADVERSE EFFECTS</w:t>
      </w:r>
      <w:r w:rsidRPr="00EB44BE">
        <w:t>).</w:t>
      </w:r>
    </w:p>
    <w:p w:rsidR="009D1DF4" w:rsidRPr="00EB44BE" w:rsidRDefault="00031C52" w:rsidP="009D1DF4">
      <w:pPr>
        <w:pStyle w:val="Heading2"/>
        <w:rPr>
          <w:lang w:val="en-GB"/>
        </w:rPr>
      </w:pPr>
      <w:r>
        <w:rPr>
          <w:lang w:val="en-GB"/>
        </w:rPr>
        <w:t>Wound Healing C</w:t>
      </w:r>
      <w:r w:rsidR="009D1DF4" w:rsidRPr="00EB44BE">
        <w:rPr>
          <w:lang w:val="en-GB"/>
        </w:rPr>
        <w:t xml:space="preserve">omplications </w:t>
      </w:r>
    </w:p>
    <w:p w:rsidR="00F85B46" w:rsidRDefault="009D1DF4" w:rsidP="009D1DF4">
      <w:pPr>
        <w:jc w:val="both"/>
      </w:pPr>
      <w:r w:rsidRPr="00EB44BE">
        <w:t xml:space="preserve">No formal studies of the effect of </w:t>
      </w:r>
      <w:r w:rsidR="004112DD">
        <w:t>NEXAVAR</w:t>
      </w:r>
      <w:r w:rsidRPr="00EB44BE">
        <w:t xml:space="preserve"> on wound healing have been conducted. In patients undergoing major surgical procedures, temporary interruption of </w:t>
      </w:r>
      <w:r w:rsidR="004112DD">
        <w:t>NEXAVAR</w:t>
      </w:r>
      <w:r w:rsidRPr="00EB44BE">
        <w:t xml:space="preserve"> therapy is recommended for precautionary reasons. There is limited clinical experience regarding the timing of reinitiation of therapy following major surgical intervention. Therefore, the decision to resume </w:t>
      </w:r>
      <w:r w:rsidR="004112DD">
        <w:t>NEXAVAR</w:t>
      </w:r>
      <w:r w:rsidRPr="00EB44BE">
        <w:t xml:space="preserve"> therapy following a major surgical intervention should be based on clinical judgment of adequate wound healing.</w:t>
      </w:r>
    </w:p>
    <w:p w:rsidR="00FD358C" w:rsidRDefault="00DD642C" w:rsidP="005739CC">
      <w:pPr>
        <w:pStyle w:val="Heading2"/>
      </w:pPr>
      <w:r w:rsidRPr="00DD642C">
        <w:lastRenderedPageBreak/>
        <w:t>Additional information on sorafenib combinations in 1st line NSCLC</w:t>
      </w:r>
    </w:p>
    <w:p w:rsidR="00FD358C" w:rsidRPr="005739CC" w:rsidRDefault="00FD358C" w:rsidP="00FD358C">
      <w:pPr>
        <w:jc w:val="both"/>
        <w:rPr>
          <w:lang w:val="en-AU"/>
        </w:rPr>
      </w:pPr>
      <w:r w:rsidRPr="00FD358C">
        <w:rPr>
          <w:lang w:val="en-AU"/>
        </w:rPr>
        <w:t>Higher mortality has been reported in patients with squamous cell carcinoma of the lung treated with</w:t>
      </w:r>
      <w:r>
        <w:rPr>
          <w:lang w:val="en-AU"/>
        </w:rPr>
        <w:t xml:space="preserve"> </w:t>
      </w:r>
      <w:r w:rsidRPr="00FD358C">
        <w:rPr>
          <w:lang w:val="en-AU"/>
        </w:rPr>
        <w:t>sorafenib in combination with platinum-based chemotherapies. In two randomised trials investigating</w:t>
      </w:r>
      <w:r>
        <w:rPr>
          <w:lang w:val="en-AU"/>
        </w:rPr>
        <w:t xml:space="preserve"> </w:t>
      </w:r>
      <w:r w:rsidR="00BC61D6">
        <w:rPr>
          <w:lang w:val="en-AU"/>
        </w:rPr>
        <w:t>patients with n</w:t>
      </w:r>
      <w:r w:rsidRPr="00FD358C">
        <w:rPr>
          <w:lang w:val="en-AU"/>
        </w:rPr>
        <w:t>on-</w:t>
      </w:r>
      <w:r w:rsidR="00BC61D6">
        <w:rPr>
          <w:lang w:val="en-AU"/>
        </w:rPr>
        <w:t>s</w:t>
      </w:r>
      <w:r w:rsidRPr="00FD358C">
        <w:rPr>
          <w:lang w:val="en-AU"/>
        </w:rPr>
        <w:t xml:space="preserve">mall </w:t>
      </w:r>
      <w:r w:rsidR="00BC61D6">
        <w:rPr>
          <w:lang w:val="en-AU"/>
        </w:rPr>
        <w:t>c</w:t>
      </w:r>
      <w:r w:rsidRPr="00FD358C">
        <w:rPr>
          <w:lang w:val="en-AU"/>
        </w:rPr>
        <w:t xml:space="preserve">ell </w:t>
      </w:r>
      <w:r w:rsidR="00BC61D6">
        <w:rPr>
          <w:lang w:val="en-AU"/>
        </w:rPr>
        <w:t>l</w:t>
      </w:r>
      <w:r w:rsidRPr="00FD358C">
        <w:rPr>
          <w:lang w:val="en-AU"/>
        </w:rPr>
        <w:t xml:space="preserve">ung </w:t>
      </w:r>
      <w:r w:rsidR="00BC61D6">
        <w:rPr>
          <w:lang w:val="en-AU"/>
        </w:rPr>
        <w:t>c</w:t>
      </w:r>
      <w:r w:rsidRPr="00FD358C">
        <w:rPr>
          <w:lang w:val="en-AU"/>
        </w:rPr>
        <w:t>ancer in the subgroup of patients with squamous cell carcinoma</w:t>
      </w:r>
      <w:r>
        <w:rPr>
          <w:lang w:val="en-AU"/>
        </w:rPr>
        <w:t xml:space="preserve"> </w:t>
      </w:r>
      <w:r w:rsidRPr="00FD358C">
        <w:rPr>
          <w:lang w:val="en-AU"/>
        </w:rPr>
        <w:t>treated with sorafenib as add-on to paclitaxel/carboplatin, the HR for overall survival was found to be</w:t>
      </w:r>
      <w:r>
        <w:rPr>
          <w:lang w:val="en-AU"/>
        </w:rPr>
        <w:t xml:space="preserve"> </w:t>
      </w:r>
      <w:r w:rsidRPr="00FD358C">
        <w:rPr>
          <w:lang w:val="en-AU"/>
        </w:rPr>
        <w:t>1.81 (95% CI 1.19; 2.74) and as add-on to gemcitabine/cisplatin 1.22 (95% CI 0.82; 1.80). No single</w:t>
      </w:r>
      <w:r>
        <w:rPr>
          <w:lang w:val="en-AU"/>
        </w:rPr>
        <w:t xml:space="preserve"> </w:t>
      </w:r>
      <w:r w:rsidRPr="00FD358C">
        <w:rPr>
          <w:lang w:val="en-AU"/>
        </w:rPr>
        <w:t>cause of death dominated, but higher incidence of respiratory failure, hemorrhages and infectious</w:t>
      </w:r>
      <w:r>
        <w:rPr>
          <w:lang w:val="en-AU"/>
        </w:rPr>
        <w:t xml:space="preserve"> </w:t>
      </w:r>
      <w:r w:rsidRPr="00FD358C">
        <w:rPr>
          <w:lang w:val="en-AU"/>
        </w:rPr>
        <w:t>adverse events were observed in patients treated with sorafenib as add-on to platinum-based</w:t>
      </w:r>
      <w:r>
        <w:rPr>
          <w:lang w:val="en-AU"/>
        </w:rPr>
        <w:t xml:space="preserve"> </w:t>
      </w:r>
      <w:r w:rsidRPr="00FD358C">
        <w:rPr>
          <w:lang w:val="en-AU"/>
        </w:rPr>
        <w:t>chemotherapies.</w:t>
      </w:r>
    </w:p>
    <w:p w:rsidR="008F26C0" w:rsidRDefault="008F26C0" w:rsidP="008F26C0">
      <w:pPr>
        <w:pStyle w:val="Heading2"/>
      </w:pPr>
      <w:r w:rsidRPr="008F26C0">
        <w:t>Car</w:t>
      </w:r>
      <w:r w:rsidR="00B660BE">
        <w:t>diac i</w:t>
      </w:r>
      <w:r>
        <w:t xml:space="preserve">schemia and/or </w:t>
      </w:r>
      <w:r w:rsidR="00B660BE">
        <w:t>i</w:t>
      </w:r>
      <w:r>
        <w:t>nfarction</w:t>
      </w:r>
      <w:r w:rsidRPr="008F26C0">
        <w:t xml:space="preserve"> </w:t>
      </w:r>
    </w:p>
    <w:p w:rsidR="00C51ECB" w:rsidRDefault="008F26C0" w:rsidP="009D1DF4">
      <w:pPr>
        <w:jc w:val="both"/>
      </w:pPr>
      <w:r w:rsidRPr="008F26C0">
        <w:t>In Study 1</w:t>
      </w:r>
      <w:r w:rsidR="00FD6B2B">
        <w:t>1213</w:t>
      </w:r>
      <w:r w:rsidRPr="008F26C0">
        <w:t>, the incidence of treatment-emergent cardiac isch</w:t>
      </w:r>
      <w:r w:rsidR="003E69B1">
        <w:t>a</w:t>
      </w:r>
      <w:r w:rsidRPr="008F26C0">
        <w:t>emia/infarction events was higher in the NEXAVAR group (</w:t>
      </w:r>
      <w:r w:rsidR="00313AF0">
        <w:t>4.9%</w:t>
      </w:r>
      <w:r w:rsidRPr="008F26C0">
        <w:t xml:space="preserve">) compared with the placebo group (0.4%). </w:t>
      </w:r>
      <w:r w:rsidR="000820FF" w:rsidRPr="000820FF">
        <w:t>In Study 100554, the incidence of treatment-emergent cardiac isch</w:t>
      </w:r>
      <w:r w:rsidR="003E69B1">
        <w:t>a</w:t>
      </w:r>
      <w:r w:rsidR="000820FF" w:rsidRPr="000820FF">
        <w:t>emia/infarction events was 2.7% in sorafenib patients compared with 1.</w:t>
      </w:r>
      <w:r w:rsidR="00462066">
        <w:t>3</w:t>
      </w:r>
      <w:r w:rsidR="000820FF" w:rsidRPr="000820FF">
        <w:t xml:space="preserve">% in the placebo group. </w:t>
      </w:r>
      <w:r w:rsidRPr="008F26C0">
        <w:t xml:space="preserve">Patients with unstable coronary artery disease or recent myocardial infarction were excluded from </w:t>
      </w:r>
      <w:r w:rsidR="000820FF">
        <w:t>these</w:t>
      </w:r>
      <w:r w:rsidR="000820FF" w:rsidRPr="008F26C0">
        <w:t xml:space="preserve"> </w:t>
      </w:r>
      <w:r w:rsidRPr="008F26C0">
        <w:t>stud</w:t>
      </w:r>
      <w:r w:rsidR="000820FF">
        <w:t>ies</w:t>
      </w:r>
      <w:r w:rsidRPr="008F26C0">
        <w:t>. Temporary or permanent discontinuation of NEXAVAR should be considered in patients who develop cardiac isch</w:t>
      </w:r>
      <w:r w:rsidR="003E69B1">
        <w:t>a</w:t>
      </w:r>
      <w:r w:rsidRPr="008F26C0">
        <w:t xml:space="preserve">emia and/or infarction (see </w:t>
      </w:r>
      <w:r w:rsidRPr="00FF3964">
        <w:rPr>
          <w:b/>
        </w:rPr>
        <w:t>ADVERSE EFFECTS</w:t>
      </w:r>
      <w:r w:rsidRPr="008F26C0">
        <w:t>).</w:t>
      </w:r>
    </w:p>
    <w:p w:rsidR="00C51ECB" w:rsidRPr="00533310" w:rsidRDefault="00B660BE" w:rsidP="00533310">
      <w:pPr>
        <w:pStyle w:val="Heading2"/>
      </w:pPr>
      <w:r w:rsidRPr="00533310">
        <w:t>QT i</w:t>
      </w:r>
      <w:r w:rsidR="00C51ECB" w:rsidRPr="00533310">
        <w:t xml:space="preserve">nterval </w:t>
      </w:r>
      <w:r w:rsidRPr="00533310">
        <w:t>p</w:t>
      </w:r>
      <w:r w:rsidR="00C51ECB" w:rsidRPr="00533310">
        <w:t xml:space="preserve">rolongation  </w:t>
      </w:r>
    </w:p>
    <w:p w:rsidR="00C51ECB" w:rsidRDefault="00C51ECB" w:rsidP="00C51ECB">
      <w:pPr>
        <w:jc w:val="both"/>
      </w:pPr>
      <w:r>
        <w:t xml:space="preserve">NEXAVAR has been shown to prolong the QT/QTc interval (see </w:t>
      </w:r>
      <w:r w:rsidRPr="00C51ECB">
        <w:rPr>
          <w:b/>
        </w:rPr>
        <w:t>PHARMACOLOGY</w:t>
      </w:r>
      <w:r>
        <w:t>), which may lead to an increased risk for ventricular arrhythmias. Use NEXAVAR with caution in patients who have, or may develop prolongation of QTc, such as patients with a congenital long QT syndrome, patients treated with a high cumulative dose of anthracycline therapy, patients taking certain anti-arrhythmic medicines or other medicinal products that lead to QT prolongation, and those with electrolyte disturbances such as hypokalemia, hypocalc</w:t>
      </w:r>
      <w:r w:rsidR="00E55CF4">
        <w:t>a</w:t>
      </w:r>
      <w:r>
        <w:t>emia, or hypomagnesemia. When using NEXAVAR in these patients, periodic monitoring with on-treatment electrocardiograms and electrolytes (magnesium, potassium, calcium) should be considered.</w:t>
      </w:r>
    </w:p>
    <w:p w:rsidR="005D5471" w:rsidRDefault="00B660BE" w:rsidP="005D5471">
      <w:pPr>
        <w:pStyle w:val="Heading2"/>
      </w:pPr>
      <w:r>
        <w:t>Gastrointestinal p</w:t>
      </w:r>
      <w:r w:rsidR="005D5471">
        <w:t>erforation</w:t>
      </w:r>
      <w:r w:rsidR="005D5471" w:rsidRPr="005D5471">
        <w:t xml:space="preserve"> </w:t>
      </w:r>
    </w:p>
    <w:p w:rsidR="00C355F2" w:rsidRDefault="005D5471" w:rsidP="009D1DF4">
      <w:pPr>
        <w:jc w:val="both"/>
      </w:pPr>
      <w:r w:rsidRPr="005D5471">
        <w:t xml:space="preserve">Gastrointestinal perforation is an uncommon event and has been reported in less than 1% of patients taking NEXAVAR. In some cases this was not associated with apparent intra-abdominal </w:t>
      </w:r>
      <w:r w:rsidR="001E24A4" w:rsidRPr="005D5471">
        <w:t>tumour</w:t>
      </w:r>
      <w:r w:rsidRPr="005D5471">
        <w:t>. NEXAVAR therapy should be discontinued.</w:t>
      </w:r>
    </w:p>
    <w:p w:rsidR="00C355F2" w:rsidRPr="00533310" w:rsidRDefault="00B660BE" w:rsidP="00533310">
      <w:pPr>
        <w:pStyle w:val="Heading2"/>
      </w:pPr>
      <w:r w:rsidRPr="00533310">
        <w:t>Hepatic i</w:t>
      </w:r>
      <w:r w:rsidR="00A72534" w:rsidRPr="00533310">
        <w:t>mpair</w:t>
      </w:r>
      <w:r w:rsidR="00C355F2" w:rsidRPr="00533310">
        <w:t xml:space="preserve">ment </w:t>
      </w:r>
    </w:p>
    <w:p w:rsidR="001E24A4" w:rsidRDefault="00C355F2" w:rsidP="001C4503">
      <w:pPr>
        <w:jc w:val="both"/>
      </w:pPr>
      <w:r>
        <w:t>No data is a</w:t>
      </w:r>
      <w:r w:rsidR="001C4503">
        <w:t>vailable on patients with Child-</w:t>
      </w:r>
      <w:r>
        <w:t xml:space="preserve">Pugh C (severe) hepatic impairment. Since sorafenib is mainly eliminated via the hepatic route, exposure might be increased in patients with severe hepatic impairment (see </w:t>
      </w:r>
      <w:r w:rsidRPr="00460146">
        <w:rPr>
          <w:b/>
        </w:rPr>
        <w:t>Pharmacokinetics</w:t>
      </w:r>
      <w:r>
        <w:t>)</w:t>
      </w:r>
      <w:r w:rsidR="001E24A4">
        <w:t xml:space="preserve">. </w:t>
      </w:r>
    </w:p>
    <w:p w:rsidR="00046F8C" w:rsidRDefault="00046F8C" w:rsidP="001C4503">
      <w:pPr>
        <w:jc w:val="both"/>
      </w:pPr>
    </w:p>
    <w:p w:rsidR="00046F8C" w:rsidRPr="00046F8C" w:rsidRDefault="00046F8C" w:rsidP="00046F8C">
      <w:pPr>
        <w:jc w:val="both"/>
        <w:rPr>
          <w:b/>
        </w:rPr>
      </w:pPr>
      <w:r w:rsidRPr="00046F8C">
        <w:rPr>
          <w:b/>
        </w:rPr>
        <w:t>Hypocalcaemia</w:t>
      </w:r>
    </w:p>
    <w:p w:rsidR="00046F8C" w:rsidRDefault="00046F8C" w:rsidP="00046F8C">
      <w:pPr>
        <w:jc w:val="both"/>
      </w:pPr>
      <w:r>
        <w:t xml:space="preserve">When using </w:t>
      </w:r>
      <w:r w:rsidR="007762E7">
        <w:t>NEXAVAR</w:t>
      </w:r>
      <w:r>
        <w:t xml:space="preserve"> in patients with differentiated thyroid carcinoma, close monitoring of  blood calcium level is recommended. In clinical trials, hypocalcaemia was more frequent and more severe in patients with differentiated thyroid carcinoma, especially with a history of hypoparathyroidism, compared to patients with renal cell or hepatocellular carcinoma. (see section </w:t>
      </w:r>
      <w:r w:rsidR="00FC7959">
        <w:t>ADVERSE EFFECTS</w:t>
      </w:r>
      <w:r>
        <w:t xml:space="preserve">) </w:t>
      </w:r>
    </w:p>
    <w:p w:rsidR="00046F8C" w:rsidRDefault="00046F8C" w:rsidP="00046F8C">
      <w:pPr>
        <w:jc w:val="both"/>
      </w:pPr>
    </w:p>
    <w:p w:rsidR="00046F8C" w:rsidRPr="00046F8C" w:rsidRDefault="00046F8C" w:rsidP="00046F8C">
      <w:pPr>
        <w:jc w:val="both"/>
        <w:rPr>
          <w:b/>
        </w:rPr>
      </w:pPr>
      <w:r w:rsidRPr="00046F8C">
        <w:rPr>
          <w:b/>
        </w:rPr>
        <w:t>TSH Suppression in Differentiated Thyroid Carcinoma (DTC)</w:t>
      </w:r>
    </w:p>
    <w:p w:rsidR="00046F8C" w:rsidRDefault="00046F8C" w:rsidP="00046F8C">
      <w:pPr>
        <w:jc w:val="both"/>
      </w:pPr>
      <w:r>
        <w:t xml:space="preserve">In the DTC clinical trials, increases in TSH levels above 0.5mU/L were observed in </w:t>
      </w:r>
      <w:r w:rsidR="007762E7">
        <w:t>NEXAVAR</w:t>
      </w:r>
      <w:r>
        <w:t xml:space="preserve"> treated patients. When using </w:t>
      </w:r>
      <w:r w:rsidR="007762E7">
        <w:t>NEXAVAR</w:t>
      </w:r>
      <w:r>
        <w:t xml:space="preserve"> in differentiated thyroid carcinoma patients, close monitoring of TSH level </w:t>
      </w:r>
      <w:r w:rsidR="005663FB">
        <w:t xml:space="preserve">and appropriate adjustment of thyroxine dosing </w:t>
      </w:r>
      <w:r>
        <w:t>is recommended.</w:t>
      </w:r>
    </w:p>
    <w:p w:rsidR="00655FA2" w:rsidRPr="00EB44BE" w:rsidRDefault="00655FA2" w:rsidP="00FA21F2">
      <w:pPr>
        <w:pStyle w:val="Heading2"/>
      </w:pPr>
      <w:r w:rsidRPr="00EB44BE">
        <w:lastRenderedPageBreak/>
        <w:t xml:space="preserve">Effects on </w:t>
      </w:r>
      <w:r w:rsidR="00B660BE">
        <w:t>f</w:t>
      </w:r>
      <w:r w:rsidRPr="00EB44BE">
        <w:t>ertility</w:t>
      </w:r>
    </w:p>
    <w:p w:rsidR="00CF5A5C" w:rsidRPr="00533310" w:rsidRDefault="00E83310" w:rsidP="00533310">
      <w:r w:rsidRPr="00533310">
        <w:t xml:space="preserve">No specific studies with </w:t>
      </w:r>
      <w:r w:rsidR="004112DD" w:rsidRPr="00533310">
        <w:t>NEXAVAR</w:t>
      </w:r>
      <w:r w:rsidRPr="00533310">
        <w:t xml:space="preserve"> have been conducted in animals to evaluate the effect on fertility. An adverse effect on male and female fertility</w:t>
      </w:r>
      <w:r w:rsidR="00B57141" w:rsidRPr="00533310">
        <w:t xml:space="preserve"> is expected</w:t>
      </w:r>
      <w:r w:rsidR="008A039A" w:rsidRPr="00533310">
        <w:t>, however</w:t>
      </w:r>
      <w:r w:rsidR="00B57141" w:rsidRPr="00533310">
        <w:t>, based on histological changes in reproductive organs observed in</w:t>
      </w:r>
      <w:r w:rsidRPr="00533310">
        <w:t xml:space="preserve"> repeat-dose studies in animals</w:t>
      </w:r>
      <w:r w:rsidR="00B57141" w:rsidRPr="00533310">
        <w:t>.</w:t>
      </w:r>
      <w:r w:rsidRPr="00533310">
        <w:t xml:space="preserve"> </w:t>
      </w:r>
      <w:r w:rsidR="00CF5A5C" w:rsidRPr="00533310">
        <w:t xml:space="preserve">Sorafenib </w:t>
      </w:r>
      <w:r w:rsidR="00A72534" w:rsidRPr="00533310">
        <w:t>caused</w:t>
      </w:r>
      <w:r w:rsidR="00CF5A5C" w:rsidRPr="00533310">
        <w:t xml:space="preserve"> testicular tubular degeneration and oligospermia in mice, rats, and dogs at daily doses producing plasma exposures approximately 0.9-, 1.5- and 0.3-times respectively that expected in patients (based on relative AUC for unbound sorafenib). Retardation of prostatic and seminal vesicle development were also observed in rats. In female mice and rats, arrested follicular development in the ovaries was observed following treatment with sorafenib at doses producing exposure levels 0.7-0.9 times that expected in patients. </w:t>
      </w:r>
    </w:p>
    <w:p w:rsidR="00655FA2" w:rsidRPr="00EB44BE" w:rsidRDefault="00B660BE" w:rsidP="00FA21F2">
      <w:pPr>
        <w:pStyle w:val="Heading2"/>
        <w:rPr>
          <w:lang w:val="en-GB"/>
        </w:rPr>
      </w:pPr>
      <w:r>
        <w:rPr>
          <w:lang w:val="en-GB"/>
        </w:rPr>
        <w:t>Use in p</w:t>
      </w:r>
      <w:r w:rsidR="00655FA2" w:rsidRPr="00EB44BE">
        <w:rPr>
          <w:lang w:val="en-GB"/>
        </w:rPr>
        <w:t>regnancy</w:t>
      </w:r>
    </w:p>
    <w:p w:rsidR="0080599A" w:rsidRPr="00EB44BE" w:rsidRDefault="00655FA2" w:rsidP="0080599A">
      <w:pPr>
        <w:jc w:val="both"/>
      </w:pPr>
      <w:r w:rsidRPr="00EB44BE">
        <w:t xml:space="preserve">Pregnancy </w:t>
      </w:r>
      <w:r w:rsidR="00CF5A5C">
        <w:t>C</w:t>
      </w:r>
      <w:r w:rsidRPr="00EB44BE">
        <w:t xml:space="preserve">ategory </w:t>
      </w:r>
      <w:r w:rsidR="00E83310" w:rsidRPr="00EB44BE">
        <w:t>D</w:t>
      </w:r>
    </w:p>
    <w:p w:rsidR="0080599A" w:rsidRPr="00EB44BE" w:rsidRDefault="0080599A" w:rsidP="00FD40D1">
      <w:pPr>
        <w:spacing w:before="120"/>
        <w:jc w:val="both"/>
      </w:pPr>
      <w:r w:rsidRPr="00EB44BE">
        <w:t xml:space="preserve">There are no adequate and well-controlled studies in pregnant women using </w:t>
      </w:r>
      <w:r w:rsidR="004112DD">
        <w:t>NEXAVAR</w:t>
      </w:r>
      <w:r w:rsidRPr="00EB44BE">
        <w:t xml:space="preserve">. </w:t>
      </w:r>
      <w:r w:rsidR="00CF5A5C">
        <w:t>Sorafenib</w:t>
      </w:r>
      <w:r w:rsidR="00CF5A5C" w:rsidRPr="00EB44BE">
        <w:t xml:space="preserve"> </w:t>
      </w:r>
      <w:r w:rsidRPr="00EB44BE">
        <w:t xml:space="preserve">has been shown to be embryotoxic and teratogenic when administered to rats and rabbits. Observed effects included decreases in maternal and </w:t>
      </w:r>
      <w:r w:rsidR="003D27ED" w:rsidRPr="00EB44BE">
        <w:t>fetal</w:t>
      </w:r>
      <w:r w:rsidRPr="00EB44BE">
        <w:t xml:space="preserve"> body weights, an increased number of </w:t>
      </w:r>
      <w:r w:rsidR="003D27ED" w:rsidRPr="00EB44BE">
        <w:t>fetal</w:t>
      </w:r>
      <w:r w:rsidRPr="00EB44BE">
        <w:t xml:space="preserve"> resorptions and an increased number of </w:t>
      </w:r>
      <w:r w:rsidR="00CF5A5C">
        <w:t>skeletal</w:t>
      </w:r>
      <w:r w:rsidR="00CF5A5C" w:rsidRPr="00EB44BE">
        <w:t xml:space="preserve"> </w:t>
      </w:r>
      <w:r w:rsidRPr="00EB44BE">
        <w:t xml:space="preserve">and visceral malformations. Adverse </w:t>
      </w:r>
      <w:r w:rsidR="003D27ED" w:rsidRPr="00EB44BE">
        <w:t>fetal</w:t>
      </w:r>
      <w:r w:rsidRPr="00EB44BE">
        <w:t xml:space="preserve"> outcomes were observed at an oral dose of </w:t>
      </w:r>
      <w:r w:rsidR="00CF5A5C">
        <w:t>1 mg/kg/day</w:t>
      </w:r>
      <w:r w:rsidRPr="00EB44BE">
        <w:t xml:space="preserve"> in rats </w:t>
      </w:r>
      <w:r w:rsidR="00CF5A5C">
        <w:t xml:space="preserve">(relative exposure, 0.08) </w:t>
      </w:r>
      <w:r w:rsidRPr="00EB44BE">
        <w:t xml:space="preserve">and </w:t>
      </w:r>
      <w:r w:rsidR="00CF5A5C">
        <w:t>3 mg/kg/day</w:t>
      </w:r>
      <w:r w:rsidRPr="00EB44BE">
        <w:t xml:space="preserve"> in rabbits</w:t>
      </w:r>
      <w:r w:rsidR="00CF5A5C">
        <w:t xml:space="preserve"> (relative exposure, 0.4)</w:t>
      </w:r>
      <w:r w:rsidRPr="00EB44BE">
        <w:t xml:space="preserve">. In rats, </w:t>
      </w:r>
      <w:r w:rsidR="00CF5A5C">
        <w:t>sorafenib</w:t>
      </w:r>
      <w:r w:rsidR="00CF5A5C" w:rsidRPr="00EB44BE">
        <w:t xml:space="preserve"> </w:t>
      </w:r>
      <w:r w:rsidRPr="00EB44BE">
        <w:t>and</w:t>
      </w:r>
      <w:r w:rsidR="00CF5A5C">
        <w:t>/or</w:t>
      </w:r>
      <w:r w:rsidRPr="00EB44BE">
        <w:t xml:space="preserve"> its metabolites were demonstrated to cross the placenta</w:t>
      </w:r>
      <w:r w:rsidR="00CF5A5C">
        <w:t>.</w:t>
      </w:r>
      <w:r w:rsidRPr="00EB44BE">
        <w:t xml:space="preserve"> </w:t>
      </w:r>
      <w:r w:rsidR="004112DD">
        <w:t>NEXAVAR</w:t>
      </w:r>
      <w:r w:rsidRPr="00EB44BE">
        <w:t xml:space="preserve"> </w:t>
      </w:r>
      <w:r w:rsidR="00CF5A5C">
        <w:t xml:space="preserve">therapy in pregnant patients </w:t>
      </w:r>
      <w:r w:rsidRPr="00EB44BE">
        <w:t xml:space="preserve">is anticipated to inhibit angiogenesis in the </w:t>
      </w:r>
      <w:r w:rsidR="00EB44BE" w:rsidRPr="00EB44BE">
        <w:t>fetus</w:t>
      </w:r>
      <w:r w:rsidRPr="00EB44BE">
        <w:t>.</w:t>
      </w:r>
    </w:p>
    <w:p w:rsidR="0080599A" w:rsidRPr="00EB44BE" w:rsidRDefault="0080599A" w:rsidP="0080599A">
      <w:pPr>
        <w:jc w:val="both"/>
      </w:pPr>
    </w:p>
    <w:p w:rsidR="0080599A" w:rsidRPr="00EB44BE" w:rsidRDefault="00D80323" w:rsidP="0080599A">
      <w:pPr>
        <w:jc w:val="both"/>
      </w:pPr>
      <w:r>
        <w:t>NEXAVAR</w:t>
      </w:r>
      <w:r w:rsidRPr="00EB44BE">
        <w:t xml:space="preserve"> should not be used during pregnancy.</w:t>
      </w:r>
      <w:r>
        <w:t xml:space="preserve"> </w:t>
      </w:r>
      <w:r w:rsidR="0080599A" w:rsidRPr="00EB44BE">
        <w:t xml:space="preserve">Women </w:t>
      </w:r>
      <w:r>
        <w:t xml:space="preserve">must be advised to </w:t>
      </w:r>
      <w:r w:rsidR="0080599A" w:rsidRPr="00EB44BE">
        <w:t xml:space="preserve">avoid becoming pregnant while on therapy. </w:t>
      </w:r>
      <w:r>
        <w:t>If NEXAVAR is used during pregnancy or if the patient becomes pregnant while using NEXAVAR, the patient</w:t>
      </w:r>
      <w:r w:rsidR="0080599A" w:rsidRPr="00EB44BE">
        <w:t xml:space="preserve"> must be apprised of the potential hazard to the </w:t>
      </w:r>
      <w:r w:rsidR="00EB44BE" w:rsidRPr="00EB44BE">
        <w:t>fetus</w:t>
      </w:r>
      <w:r w:rsidR="0080599A" w:rsidRPr="00EB44BE">
        <w:t xml:space="preserve">, which includes severe malformation (teratogenicity), failure to thrive and </w:t>
      </w:r>
      <w:r w:rsidR="003D27ED" w:rsidRPr="00EB44BE">
        <w:t>fetal</w:t>
      </w:r>
      <w:r w:rsidR="0080599A" w:rsidRPr="00EB44BE">
        <w:t xml:space="preserve"> death (embryotoxicity). Adequate contraception should be used during therapy and for at least 2 weeks after completion of therapy.</w:t>
      </w:r>
    </w:p>
    <w:p w:rsidR="00655FA2" w:rsidRPr="00EB44BE" w:rsidRDefault="00B660BE" w:rsidP="00FA21F2">
      <w:pPr>
        <w:pStyle w:val="Heading2"/>
        <w:rPr>
          <w:lang w:val="en-GB"/>
        </w:rPr>
      </w:pPr>
      <w:r>
        <w:rPr>
          <w:lang w:val="en-GB"/>
        </w:rPr>
        <w:t>Use in l</w:t>
      </w:r>
      <w:r w:rsidR="00655FA2" w:rsidRPr="00EB44BE">
        <w:rPr>
          <w:lang w:val="en-GB"/>
        </w:rPr>
        <w:t>actation</w:t>
      </w:r>
    </w:p>
    <w:p w:rsidR="0080599A" w:rsidRPr="00EB44BE" w:rsidRDefault="0080599A" w:rsidP="00F96CBB">
      <w:pPr>
        <w:jc w:val="both"/>
      </w:pPr>
      <w:r w:rsidRPr="00EB44BE">
        <w:t xml:space="preserve">It is not known whether </w:t>
      </w:r>
      <w:r w:rsidR="004112DD">
        <w:t>NEXAVAR</w:t>
      </w:r>
      <w:r w:rsidRPr="00EB44BE">
        <w:t xml:space="preserve"> is excreted in human milk. In </w:t>
      </w:r>
      <w:r w:rsidR="00D80323">
        <w:t>lactating rats</w:t>
      </w:r>
      <w:r w:rsidRPr="00EB44BE">
        <w:t xml:space="preserve">, </w:t>
      </w:r>
      <w:r w:rsidR="00C47447">
        <w:t>sorafenib</w:t>
      </w:r>
      <w:r w:rsidRPr="00EB44BE">
        <w:t xml:space="preserve"> and/or its metabolites were</w:t>
      </w:r>
      <w:r w:rsidR="00D80323">
        <w:t xml:space="preserve"> readily</w:t>
      </w:r>
      <w:r w:rsidRPr="00EB44BE">
        <w:t xml:space="preserve"> excreted in milk</w:t>
      </w:r>
      <w:r w:rsidR="00D80323">
        <w:t xml:space="preserve"> (milk:</w:t>
      </w:r>
      <w:r w:rsidR="001C4503">
        <w:t xml:space="preserve"> </w:t>
      </w:r>
      <w:r w:rsidR="00D80323">
        <w:t>plasma AUC ratio of approximately 5:1)</w:t>
      </w:r>
      <w:r w:rsidRPr="00EB44BE">
        <w:t xml:space="preserve">. Because </w:t>
      </w:r>
      <w:r w:rsidR="00D80323">
        <w:t>of the potential for excretion in human milk and the likelihood that infants will be particularly sensitive to the toxic effects of sorafenib</w:t>
      </w:r>
      <w:r w:rsidR="006F2571">
        <w:t>, women must be advised to</w:t>
      </w:r>
      <w:r w:rsidRPr="00EB44BE">
        <w:t xml:space="preserve"> discontinue breastfeeding during </w:t>
      </w:r>
      <w:r w:rsidR="004112DD">
        <w:t>NEXAVAR</w:t>
      </w:r>
      <w:r w:rsidRPr="00EB44BE">
        <w:t xml:space="preserve"> treatment.</w:t>
      </w:r>
    </w:p>
    <w:p w:rsidR="00655FA2" w:rsidRPr="00EB44BE" w:rsidRDefault="00B660BE" w:rsidP="00FA21F2">
      <w:pPr>
        <w:pStyle w:val="Heading2"/>
        <w:rPr>
          <w:lang w:val="en-GB"/>
        </w:rPr>
      </w:pPr>
      <w:r>
        <w:rPr>
          <w:lang w:val="en-GB"/>
        </w:rPr>
        <w:t>Paediatric u</w:t>
      </w:r>
      <w:r w:rsidR="00655FA2" w:rsidRPr="00EB44BE">
        <w:rPr>
          <w:lang w:val="en-GB"/>
        </w:rPr>
        <w:t>se</w:t>
      </w:r>
    </w:p>
    <w:p w:rsidR="006F2571" w:rsidRDefault="0080599A" w:rsidP="006F2571">
      <w:pPr>
        <w:jc w:val="both"/>
      </w:pPr>
      <w:r w:rsidRPr="00EB44BE">
        <w:t xml:space="preserve">The safety and effectiveness of </w:t>
      </w:r>
      <w:r w:rsidR="004112DD">
        <w:t>NEXAVAR</w:t>
      </w:r>
      <w:r w:rsidRPr="00EB44BE">
        <w:t xml:space="preserve"> in </w:t>
      </w:r>
      <w:r w:rsidR="003D27ED" w:rsidRPr="00EB44BE">
        <w:t>paediatric</w:t>
      </w:r>
      <w:r w:rsidRPr="00EB44BE">
        <w:t xml:space="preserve"> patients has not been established.</w:t>
      </w:r>
      <w:r w:rsidR="006F2571" w:rsidRPr="006F2571">
        <w:t xml:space="preserve"> </w:t>
      </w:r>
    </w:p>
    <w:p w:rsidR="006F2571" w:rsidRDefault="006F2571" w:rsidP="006F2571">
      <w:pPr>
        <w:jc w:val="both"/>
      </w:pPr>
    </w:p>
    <w:p w:rsidR="006F2571" w:rsidRPr="00EB44BE" w:rsidRDefault="006F2571" w:rsidP="006F2571">
      <w:pPr>
        <w:jc w:val="both"/>
      </w:pPr>
      <w:r>
        <w:t>E</w:t>
      </w:r>
      <w:r w:rsidRPr="00EB44BE">
        <w:t>ffects on bone and teeth were observed</w:t>
      </w:r>
      <w:r w:rsidRPr="006F2571">
        <w:t xml:space="preserve"> </w:t>
      </w:r>
      <w:r>
        <w:t>a</w:t>
      </w:r>
      <w:r w:rsidRPr="00EB44BE">
        <w:t xml:space="preserve">fter repeated dosing to young and growing dogs. </w:t>
      </w:r>
      <w:r>
        <w:t>The c</w:t>
      </w:r>
      <w:r w:rsidRPr="00EB44BE">
        <w:t xml:space="preserve">hanges consisted </w:t>
      </w:r>
      <w:r w:rsidR="00605B12">
        <w:t>of</w:t>
      </w:r>
      <w:r w:rsidRPr="00EB44BE">
        <w:t xml:space="preserve"> irregular thickening of the femoral growth plate at a dose of </w:t>
      </w:r>
      <w:r>
        <w:t xml:space="preserve">30 mg/kg/day </w:t>
      </w:r>
      <w:r w:rsidRPr="00EB44BE">
        <w:t>(</w:t>
      </w:r>
      <w:r>
        <w:t>relative exposure 0.5 based on relative AUC for unbound drug)</w:t>
      </w:r>
      <w:r w:rsidRPr="00EB44BE">
        <w:t xml:space="preserve">, hypocellularity of the bone marrow </w:t>
      </w:r>
      <w:r>
        <w:t xml:space="preserve">at 10 mg/kg/day </w:t>
      </w:r>
      <w:r w:rsidR="00737D6B">
        <w:t>(</w:t>
      </w:r>
      <w:r>
        <w:t xml:space="preserve">relative exposure, 0.25) and alteration of dentin </w:t>
      </w:r>
      <w:r w:rsidRPr="00EB44BE">
        <w:t xml:space="preserve">composition at </w:t>
      </w:r>
      <w:r>
        <w:t>30</w:t>
      </w:r>
      <w:r w:rsidRPr="00EB44BE">
        <w:t xml:space="preserve"> mg/</w:t>
      </w:r>
      <w:r>
        <w:t>kg</w:t>
      </w:r>
      <w:r w:rsidRPr="00EB44BE">
        <w:t>/day</w:t>
      </w:r>
      <w:r w:rsidR="00737D6B">
        <w:t xml:space="preserve"> </w:t>
      </w:r>
      <w:r>
        <w:t>(relative exposure, 0.3)</w:t>
      </w:r>
      <w:r w:rsidRPr="00EB44BE">
        <w:t xml:space="preserve">. Similar effects were </w:t>
      </w:r>
      <w:r>
        <w:t>observed in mice and rats. A study in adult dogs revealed no effects on teeth and minimal effects on bone marrow.</w:t>
      </w:r>
    </w:p>
    <w:p w:rsidR="0080599A" w:rsidRPr="00F3357F" w:rsidRDefault="00F3357F" w:rsidP="001E24A4">
      <w:pPr>
        <w:pStyle w:val="Heading2"/>
      </w:pPr>
      <w:r w:rsidRPr="00F3357F">
        <w:t>Carcinogenicity</w:t>
      </w:r>
    </w:p>
    <w:p w:rsidR="0080599A" w:rsidRPr="00EB44BE" w:rsidRDefault="00505CD4" w:rsidP="00F3357F">
      <w:pPr>
        <w:spacing w:before="120"/>
        <w:jc w:val="both"/>
      </w:pPr>
      <w:r w:rsidRPr="00EB44BE">
        <w:t>Carcinogenicity</w:t>
      </w:r>
      <w:r w:rsidR="0080599A" w:rsidRPr="00EB44BE">
        <w:t xml:space="preserve"> studies have not been performed with </w:t>
      </w:r>
      <w:r w:rsidR="006F2571">
        <w:t>sorafenib</w:t>
      </w:r>
      <w:r w:rsidR="0080599A" w:rsidRPr="00EB44BE">
        <w:t>.</w:t>
      </w:r>
    </w:p>
    <w:p w:rsidR="00655FA2" w:rsidRPr="00EB44BE" w:rsidRDefault="00655FA2" w:rsidP="00FA21F2">
      <w:pPr>
        <w:pStyle w:val="Heading2"/>
        <w:rPr>
          <w:lang w:val="en-GB"/>
        </w:rPr>
      </w:pPr>
      <w:r w:rsidRPr="00EB44BE">
        <w:rPr>
          <w:lang w:val="en-GB"/>
        </w:rPr>
        <w:lastRenderedPageBreak/>
        <w:t>Genotoxicity</w:t>
      </w:r>
    </w:p>
    <w:p w:rsidR="0080599A" w:rsidRDefault="00055B9A" w:rsidP="0080599A">
      <w:pPr>
        <w:jc w:val="both"/>
      </w:pPr>
      <w:r>
        <w:t xml:space="preserve">Sorafenib has been tested for genotoxicity in a series of </w:t>
      </w:r>
      <w:r w:rsidRPr="00055B9A">
        <w:rPr>
          <w:i/>
        </w:rPr>
        <w:t>in vitro</w:t>
      </w:r>
      <w:r>
        <w:t xml:space="preserve"> (bacterial mutation and mammalian chromosomal aberration) and </w:t>
      </w:r>
      <w:r w:rsidRPr="00055B9A">
        <w:rPr>
          <w:i/>
        </w:rPr>
        <w:t>in vivo</w:t>
      </w:r>
      <w:r>
        <w:t xml:space="preserve"> (mouse micronucleus test) assays. Sorafenib did not cause genetic damage in the bacterial reverse mutation and mouse micronucleus tests. </w:t>
      </w:r>
      <w:r w:rsidR="00605B12">
        <w:t>Weak clastogenicity was dis</w:t>
      </w:r>
      <w:r>
        <w:t>pl</w:t>
      </w:r>
      <w:r w:rsidR="00605B12">
        <w:t>a</w:t>
      </w:r>
      <w:r>
        <w:t xml:space="preserve">yed by sorafenib in the </w:t>
      </w:r>
      <w:r w:rsidRPr="00055B9A">
        <w:rPr>
          <w:i/>
        </w:rPr>
        <w:t>in vitro</w:t>
      </w:r>
      <w:r>
        <w:t xml:space="preserve"> mammalian chromosomal aberration assay (using Chinese Hamster lung cells) in the presence of metabolic activation but only at cytotoxic concentrations. An impurity in the final drug substance (&lt;</w:t>
      </w:r>
      <w:r w:rsidR="001C4503">
        <w:t xml:space="preserve"> </w:t>
      </w:r>
      <w:r>
        <w:t>0.15%), picolinamide phenylether (PAPE), was mutagenic in the bacterial reverse mutation assay.</w:t>
      </w:r>
    </w:p>
    <w:p w:rsidR="00BF77BD" w:rsidRPr="00EB44BE" w:rsidRDefault="00B660BE" w:rsidP="00BF77BD">
      <w:pPr>
        <w:pStyle w:val="Heading2"/>
        <w:rPr>
          <w:lang w:val="en-GB"/>
        </w:rPr>
      </w:pPr>
      <w:r>
        <w:rPr>
          <w:lang w:val="en-GB"/>
        </w:rPr>
        <w:t>Effect on l</w:t>
      </w:r>
      <w:r w:rsidR="00BF77BD" w:rsidRPr="00EB44BE">
        <w:rPr>
          <w:lang w:val="en-GB"/>
        </w:rPr>
        <w:t xml:space="preserve">aboratory </w:t>
      </w:r>
      <w:r>
        <w:rPr>
          <w:lang w:val="en-GB"/>
        </w:rPr>
        <w:t>t</w:t>
      </w:r>
      <w:r w:rsidR="00BF77BD" w:rsidRPr="00EB44BE">
        <w:rPr>
          <w:lang w:val="en-GB"/>
        </w:rPr>
        <w:t>ests</w:t>
      </w:r>
    </w:p>
    <w:p w:rsidR="00BF77BD" w:rsidRPr="00C84872" w:rsidRDefault="00BF77BD" w:rsidP="00BF77BD">
      <w:pPr>
        <w:pStyle w:val="Heading3"/>
        <w:spacing w:before="240" w:after="120"/>
      </w:pPr>
      <w:r w:rsidRPr="00C84872">
        <w:t>Laboratory test abnormalities in RCC patients (study 11213)</w:t>
      </w:r>
    </w:p>
    <w:p w:rsidR="00BF77BD" w:rsidRDefault="00BF77BD" w:rsidP="00BF77BD">
      <w:pPr>
        <w:jc w:val="both"/>
      </w:pPr>
      <w:r w:rsidRPr="00EB44BE">
        <w:t xml:space="preserve">Elevated lipase and amylase levels were very commonly reported. In </w:t>
      </w:r>
      <w:r>
        <w:t xml:space="preserve">the TARGET </w:t>
      </w:r>
      <w:r w:rsidRPr="00EB44BE">
        <w:t>Study CTC</w:t>
      </w:r>
      <w:r>
        <w:t xml:space="preserve"> </w:t>
      </w:r>
      <w:r w:rsidRPr="00EB44BE">
        <w:t xml:space="preserve">AE grade 3 or 4 lipase elevations occurred in 10% of patients in the </w:t>
      </w:r>
      <w:r>
        <w:t>NEXAVAR</w:t>
      </w:r>
      <w:r w:rsidRPr="00EB44BE">
        <w:t xml:space="preserve"> group compared to 5% of patients in the placebo group. CTC</w:t>
      </w:r>
      <w:r>
        <w:t xml:space="preserve"> </w:t>
      </w:r>
      <w:r w:rsidRPr="00EB44BE">
        <w:t xml:space="preserve">AE grade 3 or 4 amylase elevations were reported in 1% of patients in the </w:t>
      </w:r>
      <w:r>
        <w:t>NEXAVAR</w:t>
      </w:r>
      <w:r w:rsidRPr="00EB44BE">
        <w:t xml:space="preserve"> group compared to 3% of patients in the placebo group. Clinical pancreatitis was reported in 2 of 384 </w:t>
      </w:r>
      <w:r>
        <w:t>NEXAVAR</w:t>
      </w:r>
      <w:r w:rsidRPr="00EB44BE">
        <w:t xml:space="preserve"> treated patients (CTC</w:t>
      </w:r>
      <w:r>
        <w:t xml:space="preserve"> </w:t>
      </w:r>
      <w:r w:rsidRPr="00EB44BE">
        <w:t>AE grade 4) and 1 of 384 patients (CTC</w:t>
      </w:r>
      <w:r>
        <w:t xml:space="preserve"> </w:t>
      </w:r>
      <w:r w:rsidRPr="00EB44BE">
        <w:t>AE grade 2) in the placebo group.</w:t>
      </w:r>
    </w:p>
    <w:p w:rsidR="00BF77BD" w:rsidRDefault="00BF77BD" w:rsidP="00BF77BD">
      <w:pPr>
        <w:jc w:val="both"/>
      </w:pPr>
    </w:p>
    <w:p w:rsidR="00BF77BD" w:rsidRDefault="00BF77BD" w:rsidP="00BF77BD">
      <w:pPr>
        <w:jc w:val="both"/>
      </w:pPr>
      <w:bookmarkStart w:id="2" w:name="OLE_LINK1"/>
      <w:r w:rsidRPr="00DA26D3">
        <w:t>Hypophosphataemia was a common laboratory finding, observed in 45% of sorafenib treated patients compared to 11% of placebo patients. CTCAE grade 3 hypophosphataemia (1</w:t>
      </w:r>
      <w:r>
        <w:t>0-</w:t>
      </w:r>
      <w:r w:rsidRPr="00DA26D3">
        <w:t>2</w:t>
      </w:r>
      <w:r>
        <w:t>0</w:t>
      </w:r>
      <w:r w:rsidRPr="00DA26D3">
        <w:t xml:space="preserve"> mg/</w:t>
      </w:r>
      <w:r>
        <w:t>L</w:t>
      </w:r>
      <w:r w:rsidRPr="00DA26D3">
        <w:t>) occurred in 13% on sorafenib treated patients and 3% of patients in the placebo group. There were no cases of CTCAE grade 4 hypophosphataemia (&lt; 1</w:t>
      </w:r>
      <w:r>
        <w:t>0</w:t>
      </w:r>
      <w:r w:rsidRPr="00DA26D3">
        <w:t xml:space="preserve"> mg/</w:t>
      </w:r>
      <w:r>
        <w:t>L</w:t>
      </w:r>
      <w:r w:rsidRPr="00DA26D3">
        <w:t>) reported in either sorafenib or placebo patients. The aetiology of hypophosphataemia associated wi</w:t>
      </w:r>
      <w:bookmarkEnd w:id="2"/>
      <w:r w:rsidRPr="00DA26D3">
        <w:t>th sorafenib is not known.</w:t>
      </w:r>
    </w:p>
    <w:p w:rsidR="00BF77BD" w:rsidRPr="00C84872" w:rsidRDefault="00BF77BD" w:rsidP="00BF77BD">
      <w:pPr>
        <w:pStyle w:val="Heading3"/>
        <w:spacing w:before="240" w:after="120"/>
      </w:pPr>
      <w:r w:rsidRPr="00C84872">
        <w:t>Laboratory abnormalities in HCC patients (study 100554)</w:t>
      </w:r>
    </w:p>
    <w:p w:rsidR="00BF77BD" w:rsidRDefault="00BF77BD" w:rsidP="00456BB8">
      <w:pPr>
        <w:jc w:val="both"/>
      </w:pPr>
      <w:r>
        <w:t>Elevated lipase was observed in 40% of patients treated with NEXAVAR compared to 37% of patients in the placebo group. CTCAE Grade 3 or 4 lipase elevations occurred in 9% of patients in each group. Elevated amylase was observed in 34% of patients treated with NEXAVAR compared to 29% of patients in the placebo group. CTCAE Grade 3 or 4 amylase elevations were reported in 2% of patients in each group. Many of the lipase and amylase elevations were transient, and in the majority of cases NEXAVAR treatment was not interrupted. Clinical pancreatitis was reported in 1 of 297 NEXAVAR-treated patients (CTCAE Grade 2).</w:t>
      </w:r>
    </w:p>
    <w:p w:rsidR="00456BB8" w:rsidRDefault="00456BB8" w:rsidP="00456BB8">
      <w:pPr>
        <w:jc w:val="both"/>
      </w:pPr>
    </w:p>
    <w:p w:rsidR="00BF77BD" w:rsidRDefault="00BF77BD" w:rsidP="00BF77BD">
      <w:pPr>
        <w:pStyle w:val="GlobalBayerBodyText"/>
        <w:spacing w:before="0" w:after="120"/>
        <w:jc w:val="both"/>
        <w:rPr>
          <w:rFonts w:ascii="Times New Roman" w:hAnsi="Times New Roman"/>
          <w:sz w:val="24"/>
          <w:szCs w:val="24"/>
        </w:rPr>
      </w:pPr>
      <w:r w:rsidRPr="00A13058">
        <w:rPr>
          <w:rFonts w:ascii="Times New Roman" w:hAnsi="Times New Roman"/>
          <w:sz w:val="24"/>
          <w:szCs w:val="24"/>
        </w:rPr>
        <w:t>Hypophosphataemia was a common laboratory finding, observed in 35% of sorafenib treated patients compared to 11% of placebo patients; CTCAE Grade 3 hypophosphataemia (1</w:t>
      </w:r>
      <w:r>
        <w:rPr>
          <w:rFonts w:ascii="Times New Roman" w:hAnsi="Times New Roman"/>
          <w:sz w:val="24"/>
          <w:szCs w:val="24"/>
        </w:rPr>
        <w:t>0-</w:t>
      </w:r>
      <w:r w:rsidRPr="00A13058">
        <w:rPr>
          <w:rFonts w:ascii="Times New Roman" w:hAnsi="Times New Roman"/>
          <w:sz w:val="24"/>
          <w:szCs w:val="24"/>
        </w:rPr>
        <w:t>2</w:t>
      </w:r>
      <w:r>
        <w:rPr>
          <w:rFonts w:ascii="Times New Roman" w:hAnsi="Times New Roman"/>
          <w:sz w:val="24"/>
          <w:szCs w:val="24"/>
        </w:rPr>
        <w:t>0</w:t>
      </w:r>
      <w:r w:rsidRPr="00A13058">
        <w:rPr>
          <w:rFonts w:ascii="Times New Roman" w:hAnsi="Times New Roman"/>
          <w:sz w:val="24"/>
          <w:szCs w:val="24"/>
        </w:rPr>
        <w:t xml:space="preserve"> mg/L) occurred in 11% of sorafenib treated patients and 2% of patients in the placebo group; there was 1 case of CTCAE Grade 4 hypophosphataemia (&lt;</w:t>
      </w:r>
      <w:r>
        <w:rPr>
          <w:rFonts w:ascii="Times New Roman" w:hAnsi="Times New Roman"/>
          <w:sz w:val="24"/>
          <w:szCs w:val="24"/>
        </w:rPr>
        <w:t xml:space="preserve"> </w:t>
      </w:r>
      <w:r w:rsidRPr="00A13058">
        <w:rPr>
          <w:rFonts w:ascii="Times New Roman" w:hAnsi="Times New Roman"/>
          <w:sz w:val="24"/>
          <w:szCs w:val="24"/>
        </w:rPr>
        <w:t>1</w:t>
      </w:r>
      <w:r>
        <w:rPr>
          <w:rFonts w:ascii="Times New Roman" w:hAnsi="Times New Roman"/>
          <w:sz w:val="24"/>
          <w:szCs w:val="24"/>
        </w:rPr>
        <w:t>0</w:t>
      </w:r>
      <w:r w:rsidRPr="00A13058">
        <w:rPr>
          <w:rFonts w:ascii="Times New Roman" w:hAnsi="Times New Roman"/>
          <w:sz w:val="24"/>
          <w:szCs w:val="24"/>
        </w:rPr>
        <w:t xml:space="preserve"> mg/L) reported in the placebo group. The </w:t>
      </w:r>
      <w:r w:rsidR="00762A37">
        <w:rPr>
          <w:rFonts w:ascii="Times New Roman" w:hAnsi="Times New Roman"/>
          <w:sz w:val="24"/>
          <w:szCs w:val="24"/>
        </w:rPr>
        <w:t>a</w:t>
      </w:r>
      <w:r w:rsidRPr="00A13058">
        <w:rPr>
          <w:rFonts w:ascii="Times New Roman" w:hAnsi="Times New Roman"/>
          <w:sz w:val="24"/>
          <w:szCs w:val="24"/>
        </w:rPr>
        <w:t xml:space="preserve">etiology of hypophosphataemia associated with sorafenib is not known. </w:t>
      </w:r>
    </w:p>
    <w:p w:rsidR="00AF4E07" w:rsidRPr="00AF4E07" w:rsidRDefault="00AF4E07" w:rsidP="00AF4E07">
      <w:pPr>
        <w:pStyle w:val="GlobalBayerBodyText"/>
        <w:spacing w:after="120"/>
        <w:jc w:val="both"/>
        <w:rPr>
          <w:rFonts w:ascii="Times New Roman" w:hAnsi="Times New Roman"/>
          <w:b/>
          <w:i/>
          <w:sz w:val="24"/>
          <w:szCs w:val="24"/>
        </w:rPr>
      </w:pPr>
      <w:r w:rsidRPr="00AF4E07">
        <w:rPr>
          <w:rFonts w:ascii="Times New Roman" w:hAnsi="Times New Roman"/>
          <w:b/>
          <w:i/>
          <w:sz w:val="24"/>
          <w:szCs w:val="24"/>
        </w:rPr>
        <w:t>Laboratory test abnormalities in thyroid carcinoma patients</w:t>
      </w:r>
      <w:r w:rsidR="00577938" w:rsidRPr="00577938">
        <w:t xml:space="preserve"> </w:t>
      </w:r>
      <w:r w:rsidR="00577938">
        <w:t>(</w:t>
      </w:r>
      <w:r w:rsidR="00577938" w:rsidRPr="00577938">
        <w:rPr>
          <w:b/>
          <w:i/>
        </w:rPr>
        <w:t>s</w:t>
      </w:r>
      <w:r w:rsidR="00577938" w:rsidRPr="00577938">
        <w:rPr>
          <w:rFonts w:ascii="Times New Roman" w:hAnsi="Times New Roman"/>
          <w:b/>
          <w:i/>
          <w:sz w:val="24"/>
          <w:szCs w:val="24"/>
        </w:rPr>
        <w:t>tudy 14295</w:t>
      </w:r>
      <w:r w:rsidR="00577938">
        <w:rPr>
          <w:rFonts w:ascii="Times New Roman" w:hAnsi="Times New Roman"/>
          <w:b/>
          <w:i/>
          <w:sz w:val="24"/>
          <w:szCs w:val="24"/>
        </w:rPr>
        <w:t>)</w:t>
      </w:r>
      <w:r w:rsidR="00577938" w:rsidRPr="00577938">
        <w:rPr>
          <w:rFonts w:ascii="Times New Roman" w:hAnsi="Times New Roman"/>
          <w:b/>
          <w:i/>
          <w:sz w:val="24"/>
          <w:szCs w:val="24"/>
        </w:rPr>
        <w:t xml:space="preserve"> </w:t>
      </w:r>
      <w:r w:rsidRPr="00AF4E07">
        <w:rPr>
          <w:rFonts w:ascii="Times New Roman" w:hAnsi="Times New Roman"/>
          <w:b/>
          <w:i/>
          <w:sz w:val="24"/>
          <w:szCs w:val="24"/>
        </w:rPr>
        <w:t xml:space="preserve">  </w:t>
      </w:r>
    </w:p>
    <w:p w:rsidR="00AF4E07" w:rsidRPr="00A13058" w:rsidRDefault="00AF4E07" w:rsidP="00AF4E07">
      <w:pPr>
        <w:pStyle w:val="GlobalBayerBodyText"/>
        <w:spacing w:before="0" w:after="120"/>
        <w:jc w:val="both"/>
        <w:rPr>
          <w:rFonts w:ascii="Times New Roman" w:hAnsi="Times New Roman"/>
          <w:sz w:val="24"/>
          <w:szCs w:val="24"/>
        </w:rPr>
      </w:pPr>
      <w:r w:rsidRPr="00AF4E07">
        <w:rPr>
          <w:rFonts w:ascii="Times New Roman" w:hAnsi="Times New Roman"/>
          <w:sz w:val="24"/>
          <w:szCs w:val="24"/>
        </w:rPr>
        <w:t xml:space="preserve">Hypocalcaemia was reported in 35.7% of </w:t>
      </w:r>
      <w:r w:rsidR="005847D5" w:rsidRPr="005847D5">
        <w:rPr>
          <w:rFonts w:ascii="Times New Roman" w:hAnsi="Times New Roman"/>
          <w:sz w:val="24"/>
          <w:szCs w:val="24"/>
        </w:rPr>
        <w:t>sorafenib</w:t>
      </w:r>
      <w:r w:rsidRPr="00AF4E07">
        <w:rPr>
          <w:rFonts w:ascii="Times New Roman" w:hAnsi="Times New Roman"/>
          <w:sz w:val="24"/>
          <w:szCs w:val="24"/>
        </w:rPr>
        <w:t xml:space="preserve"> treated patients compared to 11.0% of the patients in the placebo group. Most reports of hypocalcaemia were low grade. CTCAE grade 3 hypocalcaemia occurred in 6.8% of </w:t>
      </w:r>
      <w:r w:rsidR="005847D5" w:rsidRPr="005847D5">
        <w:rPr>
          <w:rFonts w:ascii="Times New Roman" w:hAnsi="Times New Roman"/>
          <w:sz w:val="24"/>
          <w:szCs w:val="24"/>
        </w:rPr>
        <w:t>sorafenib</w:t>
      </w:r>
      <w:r w:rsidRPr="00AF4E07">
        <w:rPr>
          <w:rFonts w:ascii="Times New Roman" w:hAnsi="Times New Roman"/>
          <w:sz w:val="24"/>
          <w:szCs w:val="24"/>
        </w:rPr>
        <w:t xml:space="preserve"> treated patients and 1.9% of patients in the placebo group, and CTCAE grade 4 hypocalcaemia occurred in 3.4% of </w:t>
      </w:r>
      <w:r w:rsidR="005847D5" w:rsidRPr="005847D5">
        <w:rPr>
          <w:rFonts w:ascii="Times New Roman" w:hAnsi="Times New Roman"/>
          <w:sz w:val="24"/>
          <w:szCs w:val="24"/>
        </w:rPr>
        <w:t>sorafenib</w:t>
      </w:r>
      <w:r w:rsidRPr="00AF4E07">
        <w:rPr>
          <w:rFonts w:ascii="Times New Roman" w:hAnsi="Times New Roman"/>
          <w:sz w:val="24"/>
          <w:szCs w:val="24"/>
        </w:rPr>
        <w:t xml:space="preserve"> treated patients and 1.0% of patients in the placebo group.</w:t>
      </w:r>
    </w:p>
    <w:p w:rsidR="00655FA2" w:rsidRPr="007B0EF9" w:rsidRDefault="007E0668" w:rsidP="007B0EF9">
      <w:pPr>
        <w:pStyle w:val="Heading1"/>
        <w:rPr>
          <w:bCs/>
          <w:color w:val="000000"/>
        </w:rPr>
      </w:pPr>
      <w:r w:rsidRPr="007B0EF9">
        <w:rPr>
          <w:bCs/>
          <w:color w:val="000000"/>
        </w:rPr>
        <w:lastRenderedPageBreak/>
        <w:t xml:space="preserve">Interactions </w:t>
      </w:r>
      <w:r w:rsidR="00031C52" w:rsidRPr="007B0EF9">
        <w:rPr>
          <w:bCs/>
          <w:color w:val="000000"/>
        </w:rPr>
        <w:t>w</w:t>
      </w:r>
      <w:r w:rsidRPr="007B0EF9">
        <w:rPr>
          <w:bCs/>
          <w:color w:val="000000"/>
        </w:rPr>
        <w:t>ith Other Medicines</w:t>
      </w:r>
    </w:p>
    <w:p w:rsidR="00A04933" w:rsidRPr="00C46C6D" w:rsidRDefault="00737D6B" w:rsidP="00A04933">
      <w:pPr>
        <w:jc w:val="both"/>
      </w:pPr>
      <w:r>
        <w:t>Sorafenib</w:t>
      </w:r>
      <w:r w:rsidRPr="00A04933">
        <w:t xml:space="preserve"> </w:t>
      </w:r>
      <w:r w:rsidR="00A04933" w:rsidRPr="00A04933">
        <w:t>is metaboli</w:t>
      </w:r>
      <w:r w:rsidR="00FA49FB">
        <w:t>s</w:t>
      </w:r>
      <w:r w:rsidR="00A04933" w:rsidRPr="00A04933">
        <w:t>ed primarily in the liver</w:t>
      </w:r>
      <w:r w:rsidR="00FA49FB">
        <w:t>,</w:t>
      </w:r>
      <w:r w:rsidR="00A04933" w:rsidRPr="00A04933">
        <w:t xml:space="preserve"> undergoing oxidative metabolism mediated by CYP3A4, as well as glucuronidation mediated by UGT1A9.</w:t>
      </w:r>
      <w:r w:rsidR="00A04933">
        <w:t xml:space="preserve"> Studies with human liver microsomes demonstrated that sorafenib is a competitive inhibitor of </w:t>
      </w:r>
      <w:r w:rsidRPr="00DE2F9E">
        <w:t>CYP2B6, CYP2C8,</w:t>
      </w:r>
      <w:r w:rsidR="00490D2D" w:rsidRPr="00DE2F9E">
        <w:t xml:space="preserve"> and</w:t>
      </w:r>
      <w:r w:rsidRPr="00DE2F9E">
        <w:t xml:space="preserve"> CYP2C9</w:t>
      </w:r>
      <w:r w:rsidR="00FA49FB">
        <w:t xml:space="preserve"> (K</w:t>
      </w:r>
      <w:r w:rsidR="00FA49FB" w:rsidRPr="001500D6">
        <w:rPr>
          <w:vertAlign w:val="subscript"/>
        </w:rPr>
        <w:t>i</w:t>
      </w:r>
      <w:r w:rsidR="00FA49FB">
        <w:t xml:space="preserve"> </w:t>
      </w:r>
      <w:r w:rsidR="00865BEB">
        <w:t xml:space="preserve">= </w:t>
      </w:r>
      <w:r w:rsidR="00FA49FB">
        <w:t>1-8 µM)</w:t>
      </w:r>
      <w:r w:rsidR="00582D8A">
        <w:t xml:space="preserve">. </w:t>
      </w:r>
    </w:p>
    <w:p w:rsidR="00A04933" w:rsidRDefault="00A04933" w:rsidP="00A04933">
      <w:pPr>
        <w:jc w:val="both"/>
      </w:pPr>
    </w:p>
    <w:p w:rsidR="00582D8A" w:rsidRDefault="00BF77BD" w:rsidP="00A04933">
      <w:pPr>
        <w:jc w:val="both"/>
      </w:pPr>
      <w:r>
        <w:t xml:space="preserve">Caution is recommended when administering NEXAVAR together with compounds that are metabolised / eliminated predominantly by the UGT1A1 pathway (e.g. irinotecan). </w:t>
      </w:r>
      <w:r w:rsidR="00582D8A">
        <w:rPr>
          <w:i/>
        </w:rPr>
        <w:t xml:space="preserve">In vitro </w:t>
      </w:r>
      <w:r w:rsidR="00582D8A">
        <w:t>data show that s</w:t>
      </w:r>
      <w:r w:rsidR="00737D6B" w:rsidRPr="00C46C6D">
        <w:t>orafenib</w:t>
      </w:r>
      <w:r w:rsidR="00737D6B">
        <w:t xml:space="preserve"> </w:t>
      </w:r>
      <w:r w:rsidR="00A04933">
        <w:t xml:space="preserve">inhibits glucuronidation by the UGT1A1 </w:t>
      </w:r>
      <w:r w:rsidR="00582D8A">
        <w:t>(K</w:t>
      </w:r>
      <w:r w:rsidR="00582D8A" w:rsidRPr="001500D6">
        <w:rPr>
          <w:vertAlign w:val="subscript"/>
        </w:rPr>
        <w:t>i</w:t>
      </w:r>
      <w:r w:rsidR="00582D8A">
        <w:t xml:space="preserve"> = 1 </w:t>
      </w:r>
      <w:r w:rsidR="00582D8A">
        <w:sym w:font="Symbol" w:char="F06D"/>
      </w:r>
      <w:r w:rsidR="00582D8A">
        <w:t xml:space="preserve">M) </w:t>
      </w:r>
      <w:r w:rsidR="00A04933">
        <w:t>and UGT1A9</w:t>
      </w:r>
      <w:r w:rsidR="00582D8A">
        <w:t xml:space="preserve"> (K</w:t>
      </w:r>
      <w:r w:rsidR="00582D8A" w:rsidRPr="001500D6">
        <w:rPr>
          <w:vertAlign w:val="subscript"/>
        </w:rPr>
        <w:t>i</w:t>
      </w:r>
      <w:r w:rsidR="00582D8A">
        <w:t xml:space="preserve"> = 2 </w:t>
      </w:r>
      <w:r w:rsidR="00582D8A">
        <w:sym w:font="Symbol" w:char="F06D"/>
      </w:r>
      <w:r w:rsidR="00582D8A">
        <w:t>M)</w:t>
      </w:r>
      <w:r w:rsidR="00A04933">
        <w:t xml:space="preserve"> pathways.</w:t>
      </w:r>
      <w:r w:rsidR="00582D8A">
        <w:t xml:space="preserve"> </w:t>
      </w:r>
      <w:r w:rsidR="00582D8A" w:rsidRPr="00C46C6D">
        <w:t>Concomitant clinical administration of sorafenib with irinotecan, whose active metabolite SN-38 is further me</w:t>
      </w:r>
      <w:r w:rsidR="00582D8A">
        <w:t>tabolis</w:t>
      </w:r>
      <w:r w:rsidR="00582D8A" w:rsidRPr="00C46C6D">
        <w:t>ed by the UGT1A1 pathway, resulted in a 67</w:t>
      </w:r>
      <w:r w:rsidR="00582D8A">
        <w:t>-</w:t>
      </w:r>
      <w:r w:rsidR="00582D8A" w:rsidRPr="00C46C6D">
        <w:t>120% increase in the AUC of SN-38.</w:t>
      </w:r>
      <w:r w:rsidR="00A04933">
        <w:t xml:space="preserve"> Systemic exposure to substrates of UGT1A1 and UGT1A9 may be increased when co-administered with sorafenib.</w:t>
      </w:r>
    </w:p>
    <w:p w:rsidR="00F959B8" w:rsidRPr="00533310" w:rsidRDefault="00F959B8" w:rsidP="00533310">
      <w:pPr>
        <w:pStyle w:val="Heading2"/>
        <w:rPr>
          <w:i/>
        </w:rPr>
      </w:pPr>
      <w:r w:rsidRPr="00533310">
        <w:rPr>
          <w:i/>
        </w:rPr>
        <w:t xml:space="preserve">CYP inducers: </w:t>
      </w:r>
    </w:p>
    <w:p w:rsidR="00F959B8" w:rsidRPr="00EB44BE" w:rsidRDefault="00582D8A" w:rsidP="00F959B8">
      <w:pPr>
        <w:jc w:val="both"/>
      </w:pPr>
      <w:r w:rsidRPr="009B0AB8">
        <w:t>CYP1A2</w:t>
      </w:r>
      <w:r w:rsidR="00FA49FB">
        <w:t>, 2A6, 2B6, 2C9, 2C19</w:t>
      </w:r>
      <w:r w:rsidRPr="009B0AB8">
        <w:t xml:space="preserve"> and CYP3A4 activities were not altered after treatment of cultured human hepatocytes with sorafenib, indicating that sorafenib is unlikely to be an inducer of </w:t>
      </w:r>
      <w:r w:rsidR="00FA49FB">
        <w:t>these enzymes</w:t>
      </w:r>
      <w:r w:rsidRPr="009B0AB8">
        <w:t>.</w:t>
      </w:r>
      <w:r>
        <w:t xml:space="preserve"> </w:t>
      </w:r>
      <w:r w:rsidR="0069658F" w:rsidRPr="00E3183B">
        <w:t>Continuous concomitant</w:t>
      </w:r>
      <w:r>
        <w:t xml:space="preserve"> clinical</w:t>
      </w:r>
      <w:r w:rsidR="0069658F" w:rsidRPr="00E3183B">
        <w:t xml:space="preserve"> administration of sorafenib and rifampicin resulted in an average 37% reduction of sorafenib AUC.</w:t>
      </w:r>
      <w:r w:rsidR="0069658F">
        <w:t xml:space="preserve"> Other i</w:t>
      </w:r>
      <w:r w:rsidR="0069658F" w:rsidRPr="00EB44BE">
        <w:t xml:space="preserve">nducers of CYP3A4 activity (e.g. </w:t>
      </w:r>
      <w:r w:rsidR="0069658F" w:rsidRPr="00031C52">
        <w:rPr>
          <w:i/>
        </w:rPr>
        <w:t>Hypericum perforatum</w:t>
      </w:r>
      <w:r w:rsidR="0069658F" w:rsidRPr="00EB44BE">
        <w:t xml:space="preserve"> also known as </w:t>
      </w:r>
      <w:smartTag w:uri="urn:schemas-microsoft-com:office:smarttags" w:element="address">
        <w:smartTag w:uri="urn:schemas-microsoft-com:office:smarttags" w:element="City">
          <w:r w:rsidR="0069658F" w:rsidRPr="00EB44BE">
            <w:t>St. John’s</w:t>
          </w:r>
        </w:smartTag>
      </w:smartTag>
      <w:r w:rsidR="0069658F" w:rsidRPr="00EB44BE">
        <w:t xml:space="preserve"> wort, phenytoin, carbamazepine, phenobarbital, and dexamethasone) may </w:t>
      </w:r>
      <w:r w:rsidR="0069658F">
        <w:t xml:space="preserve">also </w:t>
      </w:r>
      <w:r w:rsidR="0069658F" w:rsidRPr="00EB44BE">
        <w:t xml:space="preserve">increase metabolism of </w:t>
      </w:r>
      <w:r w:rsidR="0069658F">
        <w:t>NEXAVAR</w:t>
      </w:r>
      <w:r w:rsidR="0069658F" w:rsidRPr="00EB44BE">
        <w:t xml:space="preserve"> and thus decrease </w:t>
      </w:r>
      <w:r w:rsidR="0069658F">
        <w:t>NEXAVAR</w:t>
      </w:r>
      <w:r w:rsidR="0069658F" w:rsidRPr="00EB44BE">
        <w:t xml:space="preserve"> concentrations.</w:t>
      </w:r>
    </w:p>
    <w:p w:rsidR="00F959B8" w:rsidRPr="00533310" w:rsidRDefault="00F959B8" w:rsidP="00533310">
      <w:pPr>
        <w:pStyle w:val="Heading2"/>
        <w:rPr>
          <w:i/>
        </w:rPr>
      </w:pPr>
      <w:r w:rsidRPr="00533310">
        <w:rPr>
          <w:i/>
        </w:rPr>
        <w:t xml:space="preserve">CYP3A4 inhibitors: </w:t>
      </w:r>
    </w:p>
    <w:p w:rsidR="00EB73F3" w:rsidRPr="00EB44BE" w:rsidRDefault="00F959B8" w:rsidP="00456BB8">
      <w:pPr>
        <w:jc w:val="both"/>
      </w:pPr>
      <w:r w:rsidRPr="00EB44BE">
        <w:t>Ketoconazole</w:t>
      </w:r>
      <w:r w:rsidR="00582D8A">
        <w:t xml:space="preserve"> (400 mg)</w:t>
      </w:r>
      <w:r w:rsidRPr="00EB44BE">
        <w:t>, a potent inhibitor of CYP3A4</w:t>
      </w:r>
      <w:r w:rsidR="007F6165">
        <w:t xml:space="preserve"> and P-glycoprotein</w:t>
      </w:r>
      <w:r w:rsidRPr="00EB44BE">
        <w:t xml:space="preserve">, administered once daily for 7 days to healthy male volunteers did not alter the mean AUC of a single 50 mg dose of </w:t>
      </w:r>
      <w:r w:rsidR="004112DD">
        <w:t>NEXAVAR</w:t>
      </w:r>
      <w:r w:rsidRPr="00EB44BE">
        <w:t xml:space="preserve">. Therefore, clinical pharmacokinetic interactions of </w:t>
      </w:r>
      <w:r w:rsidR="004112DD">
        <w:t>NEXAVAR</w:t>
      </w:r>
      <w:r w:rsidRPr="00EB44BE">
        <w:t xml:space="preserve"> with CYP3A4 inhibitors are unlikely.</w:t>
      </w:r>
    </w:p>
    <w:p w:rsidR="005A140C" w:rsidRDefault="00F959B8" w:rsidP="00456BB8">
      <w:pPr>
        <w:pStyle w:val="Heading2"/>
        <w:rPr>
          <w:i/>
        </w:rPr>
      </w:pPr>
      <w:r w:rsidRPr="00533310">
        <w:rPr>
          <w:i/>
        </w:rPr>
        <w:t xml:space="preserve">CYP2C9 substrates: </w:t>
      </w:r>
    </w:p>
    <w:p w:rsidR="00F344D2" w:rsidRDefault="00A04933" w:rsidP="00F959B8">
      <w:pPr>
        <w:jc w:val="both"/>
      </w:pPr>
      <w:r w:rsidRPr="00A04933">
        <w:rPr>
          <w:i/>
        </w:rPr>
        <w:t xml:space="preserve">In </w:t>
      </w:r>
      <w:r>
        <w:rPr>
          <w:i/>
        </w:rPr>
        <w:t>v</w:t>
      </w:r>
      <w:r w:rsidRPr="00A04933">
        <w:rPr>
          <w:i/>
        </w:rPr>
        <w:t>itro</w:t>
      </w:r>
      <w:r>
        <w:t xml:space="preserve"> s</w:t>
      </w:r>
      <w:r w:rsidRPr="00A04933">
        <w:t xml:space="preserve">tudies with human liver microsomes demonstrated that </w:t>
      </w:r>
      <w:r w:rsidR="00737D6B">
        <w:t>sorafenib</w:t>
      </w:r>
      <w:r w:rsidR="00737D6B" w:rsidRPr="00A04933">
        <w:t xml:space="preserve"> </w:t>
      </w:r>
      <w:r w:rsidRPr="00A04933">
        <w:t>is a competitive inhibitor of CYP2C9 with a K</w:t>
      </w:r>
      <w:r w:rsidRPr="001500D6">
        <w:rPr>
          <w:vertAlign w:val="subscript"/>
        </w:rPr>
        <w:t>i</w:t>
      </w:r>
      <w:r w:rsidRPr="00A04933">
        <w:t xml:space="preserve"> value of 7</w:t>
      </w:r>
      <w:r w:rsidR="00582D8A">
        <w:t>-</w:t>
      </w:r>
      <w:r w:rsidRPr="00A04933">
        <w:t xml:space="preserve">8 µM. </w:t>
      </w:r>
      <w:r w:rsidR="00695985" w:rsidRPr="00695985">
        <w:t xml:space="preserve">The possible effect of sorafenib on warfarin, a CYP2C9 substrate, was assessed </w:t>
      </w:r>
      <w:r w:rsidR="00695985" w:rsidRPr="00A04933">
        <w:rPr>
          <w:i/>
        </w:rPr>
        <w:t>in</w:t>
      </w:r>
      <w:r w:rsidRPr="00A04933">
        <w:rPr>
          <w:i/>
        </w:rPr>
        <w:t xml:space="preserve"> vivo</w:t>
      </w:r>
      <w:r>
        <w:t xml:space="preserve"> in</w:t>
      </w:r>
      <w:r w:rsidR="00695985" w:rsidRPr="00695985">
        <w:t xml:space="preserve"> </w:t>
      </w:r>
      <w:r w:rsidR="00695985">
        <w:t>NEXAVAR</w:t>
      </w:r>
      <w:r w:rsidR="00695985" w:rsidRPr="00695985">
        <w:t xml:space="preserve">-treated patients compared to placebo treated patients. The concomitant treatment with </w:t>
      </w:r>
      <w:r w:rsidR="00695985">
        <w:t>NEXAVAR</w:t>
      </w:r>
      <w:r w:rsidR="00695985" w:rsidRPr="00695985">
        <w:t xml:space="preserve"> and warfarin did not result in changes in mean PT-INR compared to placebo</w:t>
      </w:r>
      <w:r w:rsidR="008E6641">
        <w:t xml:space="preserve"> </w:t>
      </w:r>
      <w:r w:rsidR="008E6641" w:rsidRPr="008E6641">
        <w:t xml:space="preserve">suggesting that </w:t>
      </w:r>
      <w:r w:rsidR="008E6641">
        <w:t>NEXAVAR</w:t>
      </w:r>
      <w:r w:rsidR="008E6641" w:rsidRPr="008E6641">
        <w:t xml:space="preserve"> may not be an </w:t>
      </w:r>
      <w:r w:rsidR="008E6641" w:rsidRPr="008E6641">
        <w:rPr>
          <w:i/>
        </w:rPr>
        <w:t>in vivo</w:t>
      </w:r>
      <w:r w:rsidR="008E6641" w:rsidRPr="008E6641">
        <w:t xml:space="preserve"> inhibitor of CYP2C9.</w:t>
      </w:r>
      <w:r w:rsidR="00695985" w:rsidRPr="00695985">
        <w:t xml:space="preserve"> However, patients taking warfarin should have their INR checked regularly.</w:t>
      </w:r>
    </w:p>
    <w:p w:rsidR="00231C9C" w:rsidRPr="00533310" w:rsidRDefault="00231C9C" w:rsidP="00533310">
      <w:pPr>
        <w:pStyle w:val="Heading2"/>
        <w:rPr>
          <w:i/>
        </w:rPr>
      </w:pPr>
      <w:r w:rsidRPr="00533310">
        <w:rPr>
          <w:i/>
        </w:rPr>
        <w:t>CYP isoform-selective substrates:</w:t>
      </w:r>
    </w:p>
    <w:p w:rsidR="00582D8A" w:rsidRDefault="00231C9C" w:rsidP="00F959B8">
      <w:pPr>
        <w:jc w:val="both"/>
      </w:pPr>
      <w:r w:rsidRPr="00231C9C">
        <w:t>Concomitant</w:t>
      </w:r>
      <w:r w:rsidR="000C4AE9">
        <w:t xml:space="preserve"> clinical</w:t>
      </w:r>
      <w:r w:rsidRPr="00231C9C">
        <w:t xml:space="preserve"> administration of midazolam, dextromethorphan and omeprazole, which are substrates of cytochromes CYP3A4, CYP2D6 and CYP2C19, respectively, following 4 weeks of NEXAVAR administration did not alter the exposure of these agents. This indicates that NEXAVAR is neither an inhibitor nor an inducer of these cytochrome P450 isoenzymes</w:t>
      </w:r>
      <w:r w:rsidR="00B511ED">
        <w:t>.</w:t>
      </w:r>
    </w:p>
    <w:p w:rsidR="006A7AD3" w:rsidRDefault="006A7AD3" w:rsidP="00F959B8">
      <w:pPr>
        <w:jc w:val="both"/>
      </w:pPr>
    </w:p>
    <w:p w:rsidR="000C4AE9" w:rsidRDefault="000C4AE9" w:rsidP="000C4AE9">
      <w:pPr>
        <w:jc w:val="both"/>
      </w:pPr>
      <w:r w:rsidRPr="00E06A47">
        <w:t xml:space="preserve">Sorafenib inhibits </w:t>
      </w:r>
      <w:r w:rsidR="00FA49FB" w:rsidRPr="00E06A47">
        <w:t>CYP2C8</w:t>
      </w:r>
      <w:r w:rsidR="00E06A47">
        <w:t xml:space="preserve"> and</w:t>
      </w:r>
      <w:r w:rsidR="00FA49FB" w:rsidRPr="00E06A47">
        <w:t xml:space="preserve"> </w:t>
      </w:r>
      <w:r w:rsidRPr="00E06A47">
        <w:t xml:space="preserve">CYP2B6 </w:t>
      </w:r>
      <w:r w:rsidRPr="00E06A47">
        <w:rPr>
          <w:i/>
        </w:rPr>
        <w:t>in vitro</w:t>
      </w:r>
      <w:r w:rsidRPr="00E06A47">
        <w:t xml:space="preserve"> with K</w:t>
      </w:r>
      <w:r w:rsidRPr="00E06A47">
        <w:rPr>
          <w:vertAlign w:val="subscript"/>
        </w:rPr>
        <w:t>i</w:t>
      </w:r>
      <w:r w:rsidRPr="00E06A47">
        <w:t xml:space="preserve"> values of 1-2</w:t>
      </w:r>
      <w:r w:rsidR="00E06A47">
        <w:t xml:space="preserve"> and</w:t>
      </w:r>
      <w:r w:rsidR="00FA49FB" w:rsidRPr="00E06A47">
        <w:t xml:space="preserve"> 6</w:t>
      </w:r>
      <w:r w:rsidRPr="00E06A47">
        <w:t>µM,</w:t>
      </w:r>
      <w:r w:rsidRPr="000C4AE9">
        <w:t xml:space="preserve"> respectively. Concomitant clinical administration of sorafenib with paclitaxel resulted in an increase, instead of a decrease, in the exposure of 6-OH paclitaxel, the active metabolite of paclitaxel that is formed by CYP2C8. These data suggest that sorafenib may not be an </w:t>
      </w:r>
      <w:r w:rsidRPr="000C4AE9">
        <w:rPr>
          <w:i/>
        </w:rPr>
        <w:t>in vivo</w:t>
      </w:r>
      <w:r w:rsidRPr="000C4AE9">
        <w:t xml:space="preserve"> inhibitor of CYP2C8.</w:t>
      </w:r>
      <w:r w:rsidR="00911A58">
        <w:t xml:space="preserve"> </w:t>
      </w:r>
      <w:r w:rsidR="00911A58" w:rsidRPr="007C6CD0">
        <w:t xml:space="preserve">Concomitant </w:t>
      </w:r>
      <w:r w:rsidR="00911A58">
        <w:t xml:space="preserve">clinical </w:t>
      </w:r>
      <w:r w:rsidR="00911A58" w:rsidRPr="007C6CD0">
        <w:t xml:space="preserve">administration of sorafenib with cyclophosphamide resulted in a small decrease in cyclophosphamide exposure, but no decrease in the systemic exposure of 4-OH cyclophosphamide, the </w:t>
      </w:r>
      <w:r w:rsidR="00911A58" w:rsidRPr="007C6CD0">
        <w:lastRenderedPageBreak/>
        <w:t xml:space="preserve">active metabolite of cyclophosphamide that is formed primarily by CYP2B6. These data suggest that sorafenib may not be an </w:t>
      </w:r>
      <w:r w:rsidR="00911A58" w:rsidRPr="007C6CD0">
        <w:rPr>
          <w:i/>
        </w:rPr>
        <w:t>in vivo</w:t>
      </w:r>
      <w:r w:rsidR="00911A58" w:rsidRPr="007C6CD0">
        <w:t xml:space="preserve"> inhibitor of CYP2B6.</w:t>
      </w:r>
      <w:r w:rsidRPr="00104774">
        <w:t xml:space="preserve">     </w:t>
      </w:r>
    </w:p>
    <w:p w:rsidR="008429AF" w:rsidRPr="00533310" w:rsidRDefault="008429AF" w:rsidP="005739CC">
      <w:pPr>
        <w:pStyle w:val="Heading2"/>
        <w:rPr>
          <w:i/>
        </w:rPr>
      </w:pPr>
      <w:r w:rsidRPr="00533310">
        <w:rPr>
          <w:i/>
        </w:rPr>
        <w:t>P-glycoprotein substrates</w:t>
      </w:r>
    </w:p>
    <w:p w:rsidR="008429AF" w:rsidRDefault="008429AF" w:rsidP="008429AF">
      <w:pPr>
        <w:jc w:val="both"/>
        <w:rPr>
          <w:lang w:val="en-AU"/>
        </w:rPr>
      </w:pPr>
      <w:r w:rsidRPr="008429AF">
        <w:rPr>
          <w:lang w:val="en-AU"/>
        </w:rPr>
        <w:t xml:space="preserve">Sorafenib inhibited P-glycoprotein </w:t>
      </w:r>
      <w:r w:rsidRPr="005739CC">
        <w:rPr>
          <w:i/>
          <w:lang w:val="en-AU"/>
        </w:rPr>
        <w:t>in vitro</w:t>
      </w:r>
      <w:r w:rsidR="00AB64F3">
        <w:rPr>
          <w:lang w:val="en-AU"/>
        </w:rPr>
        <w:t>. Sorafenib</w:t>
      </w:r>
      <w:r w:rsidRPr="008429AF">
        <w:rPr>
          <w:lang w:val="en-AU"/>
        </w:rPr>
        <w:t xml:space="preserve"> could increase the </w:t>
      </w:r>
      <w:r>
        <w:rPr>
          <w:lang w:val="en-AU"/>
        </w:rPr>
        <w:t xml:space="preserve">concentrations of concomitantly </w:t>
      </w:r>
      <w:r w:rsidRPr="008429AF">
        <w:rPr>
          <w:lang w:val="en-AU"/>
        </w:rPr>
        <w:t>administered drugs that are P-glycoprotein substrates.</w:t>
      </w:r>
    </w:p>
    <w:p w:rsidR="00F959B8" w:rsidRPr="00533310" w:rsidRDefault="00F959B8" w:rsidP="00533310">
      <w:pPr>
        <w:pStyle w:val="Heading2"/>
        <w:rPr>
          <w:i/>
        </w:rPr>
      </w:pPr>
      <w:r w:rsidRPr="00533310">
        <w:rPr>
          <w:i/>
        </w:rPr>
        <w:t xml:space="preserve">Combination with other anti-neoplastic agents: </w:t>
      </w:r>
    </w:p>
    <w:p w:rsidR="006A7AD3" w:rsidRDefault="00F959B8" w:rsidP="00984B09">
      <w:pPr>
        <w:jc w:val="both"/>
      </w:pPr>
      <w:r w:rsidRPr="00EB44BE">
        <w:t xml:space="preserve">In clinical studies, </w:t>
      </w:r>
      <w:r w:rsidR="004112DD">
        <w:t>NEXAVAR</w:t>
      </w:r>
      <w:r w:rsidRPr="00EB44BE">
        <w:t xml:space="preserve"> has been administered together with a variety of other anti-neoplastic agents at their commonly used dosing regimens, including gemcitabine, </w:t>
      </w:r>
      <w:r w:rsidR="00911A58">
        <w:t xml:space="preserve">cisplatin, cyclophosphamide, </w:t>
      </w:r>
      <w:r w:rsidRPr="00EB44BE">
        <w:t>oxaliplatin,</w:t>
      </w:r>
      <w:r w:rsidR="00582D8A">
        <w:t xml:space="preserve"> paclitaxel, carboplatin, capecitabine,</w:t>
      </w:r>
      <w:r w:rsidRPr="00EB44BE">
        <w:t xml:space="preserve"> doxorubicin, irinotecan</w:t>
      </w:r>
      <w:r w:rsidR="00582D8A">
        <w:t>, and docetaxel</w:t>
      </w:r>
      <w:r w:rsidRPr="00EB44BE">
        <w:t xml:space="preserve">. </w:t>
      </w:r>
      <w:r w:rsidR="004112DD">
        <w:t>NEXAVAR</w:t>
      </w:r>
      <w:r w:rsidRPr="00EB44BE">
        <w:t xml:space="preserve"> had no</w:t>
      </w:r>
      <w:r w:rsidR="00911A58">
        <w:t xml:space="preserve"> clinically relevant</w:t>
      </w:r>
      <w:r w:rsidRPr="00EB44BE">
        <w:t xml:space="preserve"> effect on the pharmacokinetics of </w:t>
      </w:r>
      <w:r w:rsidR="00911A58">
        <w:t xml:space="preserve">cisplatin, </w:t>
      </w:r>
      <w:r w:rsidRPr="00EB44BE">
        <w:t>gemcitabine</w:t>
      </w:r>
      <w:r w:rsidR="00911A58">
        <w:t xml:space="preserve"> </w:t>
      </w:r>
      <w:r w:rsidRPr="00EB44BE">
        <w:t xml:space="preserve">or oxaliplatin. </w:t>
      </w:r>
    </w:p>
    <w:p w:rsidR="006A7AD3" w:rsidRDefault="006A7AD3" w:rsidP="00984B09">
      <w:pPr>
        <w:jc w:val="both"/>
      </w:pPr>
    </w:p>
    <w:p w:rsidR="006A7AD3" w:rsidRPr="006C78DA" w:rsidRDefault="006A7AD3" w:rsidP="006A7AD3">
      <w:pPr>
        <w:jc w:val="both"/>
        <w:rPr>
          <w:u w:val="single"/>
        </w:rPr>
      </w:pPr>
      <w:r w:rsidRPr="006C78DA">
        <w:rPr>
          <w:u w:val="single"/>
        </w:rPr>
        <w:t xml:space="preserve">Paclitaxel/Carboplatin </w:t>
      </w:r>
    </w:p>
    <w:p w:rsidR="006A7AD3" w:rsidRDefault="006A7AD3" w:rsidP="006A7AD3">
      <w:pPr>
        <w:jc w:val="both"/>
      </w:pPr>
    </w:p>
    <w:p w:rsidR="006A7AD3" w:rsidRDefault="006A7AD3" w:rsidP="006A7AD3">
      <w:pPr>
        <w:jc w:val="both"/>
      </w:pPr>
      <w:r>
        <w:t>Administration of paclitaxel (225 mg/m</w:t>
      </w:r>
      <w:r w:rsidRPr="006C78DA">
        <w:rPr>
          <w:vertAlign w:val="superscript"/>
        </w:rPr>
        <w:t>2</w:t>
      </w:r>
      <w:r>
        <w:t xml:space="preserve">) and carboplatin (AUC = 6) with sorafenib (≤ 400 mg twice daily), administered with a 3-day break in sorafenib dosing around administration of paclitaxel/carboplatin, resulted in no significant effect on the pharmacokinetics of paclitaxel. </w:t>
      </w:r>
    </w:p>
    <w:p w:rsidR="006A7AD3" w:rsidRDefault="006A7AD3" w:rsidP="006A7AD3">
      <w:pPr>
        <w:jc w:val="both"/>
      </w:pPr>
    </w:p>
    <w:p w:rsidR="006A7AD3" w:rsidRDefault="006A7AD3" w:rsidP="006A7AD3">
      <w:pPr>
        <w:jc w:val="both"/>
      </w:pPr>
      <w:r>
        <w:t>Co-administration of paclitaxel (225 mg/m</w:t>
      </w:r>
      <w:r w:rsidRPr="006C78DA">
        <w:rPr>
          <w:vertAlign w:val="superscript"/>
        </w:rPr>
        <w:t>2</w:t>
      </w:r>
      <w:r>
        <w:t xml:space="preserve">, once every 3 weeks) and carboplatin (AUC = 6) with sorafenib (400 mg twice daily, without a break in sorafenib dosing) resulted in a 47% increase in sorafenib exposure, a 29% increase in paclitaxel exposure and a 50% increase in 6-OH paclitaxel exposure. The pharmacokinetics of carboplatin were unaffected. </w:t>
      </w:r>
    </w:p>
    <w:p w:rsidR="006A7AD3" w:rsidRDefault="006A7AD3" w:rsidP="006A7AD3">
      <w:pPr>
        <w:jc w:val="both"/>
      </w:pPr>
    </w:p>
    <w:p w:rsidR="006A7AD3" w:rsidRDefault="006A7AD3" w:rsidP="006A7AD3">
      <w:pPr>
        <w:jc w:val="both"/>
      </w:pPr>
      <w:r>
        <w:t>These data indicate no need for dose adjustments when paclitaxel and carboplatin are co-administered with sorafenib with a 3-day break in sorafenib dosing. The clinical significance of the increases in sorafenib and paclitaxel exposure, upon co-administration of sorafenib without a break in dosing, is unknown.</w:t>
      </w:r>
    </w:p>
    <w:p w:rsidR="006A7AD3" w:rsidRDefault="006A7AD3" w:rsidP="006A7AD3">
      <w:pPr>
        <w:jc w:val="both"/>
      </w:pPr>
    </w:p>
    <w:p w:rsidR="006A7AD3" w:rsidRPr="006C78DA" w:rsidRDefault="006A7AD3" w:rsidP="006A7AD3">
      <w:pPr>
        <w:jc w:val="both"/>
        <w:rPr>
          <w:u w:val="single"/>
        </w:rPr>
      </w:pPr>
      <w:r w:rsidRPr="006C78DA">
        <w:rPr>
          <w:u w:val="single"/>
        </w:rPr>
        <w:t>Capecitabine</w:t>
      </w:r>
    </w:p>
    <w:p w:rsidR="006A7AD3" w:rsidRDefault="006A7AD3" w:rsidP="006A7AD3">
      <w:pPr>
        <w:jc w:val="both"/>
      </w:pPr>
    </w:p>
    <w:p w:rsidR="006A7AD3" w:rsidRDefault="006A7AD3" w:rsidP="006A7AD3">
      <w:pPr>
        <w:jc w:val="both"/>
      </w:pPr>
      <w:r>
        <w:t>Co-administration of capecitabine (750-1050 mg/m</w:t>
      </w:r>
      <w:r w:rsidRPr="006C78DA">
        <w:rPr>
          <w:vertAlign w:val="superscript"/>
        </w:rPr>
        <w:t>2</w:t>
      </w:r>
      <w:r w:rsidR="00F2570E">
        <w:t xml:space="preserve"> twice daily, d</w:t>
      </w:r>
      <w:r>
        <w:t>ays 1-14 every 21 days) and sorafenib (200 or 400 mg twice daily, continuous uninterrupted administration) resulted in no significant change in sorafenib exposure, but a 15-50% increase in capecitabine exposure and a 0-52% increase in 5-FU exposure. The clinical significance of these small to modest increases in capecitabine and 5-FU exposure when co-administered with sorafenib is unknown.</w:t>
      </w:r>
    </w:p>
    <w:p w:rsidR="006A7AD3" w:rsidRDefault="006A7AD3" w:rsidP="00984B09">
      <w:pPr>
        <w:jc w:val="both"/>
      </w:pPr>
    </w:p>
    <w:p w:rsidR="0014600C" w:rsidRDefault="0014600C" w:rsidP="00984B09">
      <w:pPr>
        <w:jc w:val="both"/>
        <w:rPr>
          <w:u w:val="single"/>
        </w:rPr>
      </w:pPr>
      <w:r>
        <w:rPr>
          <w:u w:val="single"/>
        </w:rPr>
        <w:t>Cyclophosphamide</w:t>
      </w:r>
    </w:p>
    <w:p w:rsidR="0014600C" w:rsidRDefault="0014600C" w:rsidP="00984B09">
      <w:pPr>
        <w:jc w:val="both"/>
        <w:rPr>
          <w:u w:val="single"/>
        </w:rPr>
      </w:pPr>
    </w:p>
    <w:p w:rsidR="0014600C" w:rsidRPr="00BB4094" w:rsidRDefault="0014600C" w:rsidP="00984B09">
      <w:pPr>
        <w:jc w:val="both"/>
      </w:pPr>
      <w:r w:rsidRPr="00BB4094">
        <w:t xml:space="preserve">Concomitant administration with NEXAVAR resulted in a 37% increase in the AUC of 4-OH cyclophosphamide, the active metabolite of cyclophosphamide. The clinical significance of this finding is unknown. </w:t>
      </w:r>
    </w:p>
    <w:p w:rsidR="0014600C" w:rsidRDefault="0014600C" w:rsidP="00984B09">
      <w:pPr>
        <w:jc w:val="both"/>
      </w:pPr>
    </w:p>
    <w:p w:rsidR="006A7AD3" w:rsidRDefault="006A7AD3" w:rsidP="006A7AD3">
      <w:pPr>
        <w:jc w:val="both"/>
      </w:pPr>
      <w:r>
        <w:rPr>
          <w:u w:val="single"/>
        </w:rPr>
        <w:t>Doxorubicin/Irinotecan</w:t>
      </w:r>
    </w:p>
    <w:p w:rsidR="006A7AD3" w:rsidRDefault="006A7AD3" w:rsidP="00984B09">
      <w:pPr>
        <w:jc w:val="both"/>
      </w:pPr>
    </w:p>
    <w:p w:rsidR="00655FA2" w:rsidRDefault="00F959B8" w:rsidP="00984B09">
      <w:pPr>
        <w:jc w:val="both"/>
      </w:pPr>
      <w:r w:rsidRPr="00EB44BE">
        <w:t xml:space="preserve">Concomitant treatment with </w:t>
      </w:r>
      <w:r w:rsidR="004112DD">
        <w:t>NEXAVAR</w:t>
      </w:r>
      <w:r w:rsidRPr="00EB44BE">
        <w:t xml:space="preserve"> resulted in a 21% increase in the AUC of doxorubicin. When administered with irinotecan, whose active metabolite SN-38 is further metabolized by the UGT1A1 </w:t>
      </w:r>
      <w:r w:rsidRPr="00EB44BE">
        <w:lastRenderedPageBreak/>
        <w:t>pathway, there was a 67</w:t>
      </w:r>
      <w:r w:rsidR="00695985">
        <w:t>-</w:t>
      </w:r>
      <w:r w:rsidRPr="00EB44BE">
        <w:t xml:space="preserve">120% increase in the AUC of SN-38 and a 26-42% increase in the AUC of irinotecan. The clinical significance of these findings is unknown (see </w:t>
      </w:r>
      <w:r w:rsidRPr="004112DD">
        <w:rPr>
          <w:b/>
        </w:rPr>
        <w:t>P</w:t>
      </w:r>
      <w:r w:rsidR="004112DD">
        <w:rPr>
          <w:b/>
        </w:rPr>
        <w:t>RECAUTIONS</w:t>
      </w:r>
      <w:r w:rsidRPr="00EB44BE">
        <w:t>).</w:t>
      </w:r>
    </w:p>
    <w:p w:rsidR="006A7AD3" w:rsidRDefault="006A7AD3" w:rsidP="00984B09">
      <w:pPr>
        <w:jc w:val="both"/>
      </w:pPr>
    </w:p>
    <w:p w:rsidR="006A7AD3" w:rsidRPr="006A7AD3" w:rsidRDefault="006A7AD3" w:rsidP="006A7AD3">
      <w:pPr>
        <w:jc w:val="both"/>
        <w:rPr>
          <w:u w:val="single"/>
        </w:rPr>
      </w:pPr>
      <w:r>
        <w:rPr>
          <w:u w:val="single"/>
        </w:rPr>
        <w:t>Docetaxel</w:t>
      </w:r>
    </w:p>
    <w:p w:rsidR="00BF77BD" w:rsidRDefault="00E3183B" w:rsidP="00533310">
      <w:pPr>
        <w:spacing w:before="120"/>
        <w:jc w:val="both"/>
      </w:pPr>
      <w:r w:rsidRPr="00E3183B">
        <w:t>Docetaxel (75 or 100 mg/m</w:t>
      </w:r>
      <w:r w:rsidRPr="00E3183B">
        <w:rPr>
          <w:vertAlign w:val="superscript"/>
        </w:rPr>
        <w:t>2</w:t>
      </w:r>
      <w:r w:rsidRPr="00E3183B">
        <w:t xml:space="preserve"> administered once every 21 days) when co-administered with sorafenib (200 mg twice daily or 400 </w:t>
      </w:r>
      <w:r w:rsidR="00F2570E">
        <w:t>mg twice daily administered on d</w:t>
      </w:r>
      <w:r w:rsidRPr="00E3183B">
        <w:t>ays 2 through 19 of a 21-day cycle) with a 3-day break in dosing around administration of docetaxel</w:t>
      </w:r>
      <w:r w:rsidR="00031C52">
        <w:t>,</w:t>
      </w:r>
      <w:r w:rsidRPr="00E3183B">
        <w:t xml:space="preserve"> resulted in a 36-80% increase in docetaxel AUC and a 16-32% increase in docetaxel C</w:t>
      </w:r>
      <w:r w:rsidRPr="0069658F">
        <w:rPr>
          <w:vertAlign w:val="subscript"/>
        </w:rPr>
        <w:t>max</w:t>
      </w:r>
      <w:r w:rsidRPr="00E3183B">
        <w:t xml:space="preserve">. Caution is recommended when </w:t>
      </w:r>
      <w:r>
        <w:t>NEXAVAR</w:t>
      </w:r>
      <w:r w:rsidRPr="00E3183B">
        <w:t xml:space="preserve"> is co</w:t>
      </w:r>
      <w:r w:rsidR="00127346">
        <w:t xml:space="preserve">-administered with docetaxel. </w:t>
      </w:r>
    </w:p>
    <w:p w:rsidR="006A7AD3" w:rsidRPr="00533310" w:rsidRDefault="006A7AD3" w:rsidP="00533310">
      <w:pPr>
        <w:pStyle w:val="Heading2"/>
        <w:rPr>
          <w:i/>
        </w:rPr>
      </w:pPr>
      <w:r w:rsidRPr="00533310">
        <w:rPr>
          <w:i/>
        </w:rPr>
        <w:t xml:space="preserve">Combination with other agents: </w:t>
      </w:r>
    </w:p>
    <w:p w:rsidR="001B027E" w:rsidRPr="00533310" w:rsidRDefault="001B027E" w:rsidP="00456BB8">
      <w:pPr>
        <w:jc w:val="both"/>
        <w:rPr>
          <w:u w:val="single"/>
        </w:rPr>
      </w:pPr>
      <w:r w:rsidRPr="00533310">
        <w:rPr>
          <w:u w:val="single"/>
        </w:rPr>
        <w:t>Neomycin</w:t>
      </w:r>
    </w:p>
    <w:p w:rsidR="001B027E" w:rsidRPr="001B027E" w:rsidRDefault="001B027E" w:rsidP="00456BB8">
      <w:pPr>
        <w:spacing w:before="120"/>
        <w:jc w:val="both"/>
      </w:pPr>
      <w:r w:rsidRPr="001B027E">
        <w:t xml:space="preserve">Co-administration of neomycin, a non-systemic antimicrobial agent used to eradicate GI flora, interferes with the enterohepatic recycling of sorafenib (see </w:t>
      </w:r>
      <w:r w:rsidR="008D7C80">
        <w:rPr>
          <w:b/>
        </w:rPr>
        <w:t>Pharmacokinetics</w:t>
      </w:r>
      <w:r w:rsidRPr="001B027E">
        <w:t xml:space="preserve">, </w:t>
      </w:r>
      <w:r w:rsidRPr="008D7C80">
        <w:rPr>
          <w:b/>
          <w:i/>
        </w:rPr>
        <w:t>Metabolism and Elimination</w:t>
      </w:r>
      <w:r w:rsidRPr="001B027E">
        <w:t>), resulting in decreased sorafenib exposure. In healthy volunteers treated with a 5-day regimen of neomycin the average bioavailability of sorafenib decreased by 54%. The clinical significance of these findings is unknown. Effects of other antibiotics have not been studied, but will likely depend on their ability to decrease glucuronidase activity.</w:t>
      </w:r>
    </w:p>
    <w:p w:rsidR="00655FA2" w:rsidRPr="00EB44BE" w:rsidRDefault="00655FA2" w:rsidP="00217FB0">
      <w:pPr>
        <w:pStyle w:val="Heading1"/>
        <w:rPr>
          <w:caps w:val="0"/>
          <w:lang w:val="en-GB"/>
        </w:rPr>
      </w:pPr>
      <w:r w:rsidRPr="00EB44BE">
        <w:rPr>
          <w:lang w:val="en-GB"/>
        </w:rPr>
        <w:t xml:space="preserve">ADVERSE </w:t>
      </w:r>
      <w:r w:rsidR="00F959B8" w:rsidRPr="00EB44BE">
        <w:rPr>
          <w:lang w:val="en-GB"/>
        </w:rPr>
        <w:t>EFFECTS</w:t>
      </w:r>
    </w:p>
    <w:p w:rsidR="001C3829" w:rsidRDefault="001C3829" w:rsidP="009825D9">
      <w:pPr>
        <w:jc w:val="both"/>
      </w:pPr>
      <w:r w:rsidRPr="001C3829">
        <w:t xml:space="preserve">The most common adverse reactions were diarrhoea, </w:t>
      </w:r>
      <w:r w:rsidR="00046F8C" w:rsidRPr="00046F8C">
        <w:t>fatigue, alopecia, infection</w:t>
      </w:r>
      <w:r w:rsidR="00046F8C">
        <w:t>,</w:t>
      </w:r>
      <w:r w:rsidR="00046F8C" w:rsidRPr="00046F8C">
        <w:t xml:space="preserve"> </w:t>
      </w:r>
      <w:r w:rsidRPr="001C3829">
        <w:t xml:space="preserve">rash,andhand-foot skin </w:t>
      </w:r>
      <w:r w:rsidR="00046F8C">
        <w:t xml:space="preserve">reaction </w:t>
      </w:r>
      <w:r w:rsidRPr="001C3829">
        <w:t>(corresponds to palmar plantar erythrodysaesthesia syndrome in MedDRA).</w:t>
      </w:r>
    </w:p>
    <w:p w:rsidR="005860C0" w:rsidRPr="00396E08" w:rsidRDefault="005860C0" w:rsidP="005860C0">
      <w:pPr>
        <w:pStyle w:val="Heading2"/>
      </w:pPr>
      <w:r w:rsidRPr="00396E08">
        <w:t>Hepatocellular carcinoma</w:t>
      </w:r>
    </w:p>
    <w:p w:rsidR="005860C0" w:rsidRDefault="005860C0" w:rsidP="00523AEC">
      <w:pPr>
        <w:rPr>
          <w:b/>
          <w:u w:val="single"/>
        </w:rPr>
      </w:pPr>
      <w:r w:rsidRPr="00052221">
        <w:rPr>
          <w:b/>
          <w:u w:val="single"/>
        </w:rPr>
        <w:t>Table</w:t>
      </w:r>
      <w:r w:rsidR="00AA22F2">
        <w:rPr>
          <w:b/>
          <w:u w:val="single"/>
        </w:rPr>
        <w:t>3</w:t>
      </w:r>
      <w:r w:rsidRPr="00052221">
        <w:rPr>
          <w:b/>
          <w:u w:val="single"/>
        </w:rPr>
        <w:t xml:space="preserve">. Adverse reactions reported in at least 5% of patients in any treatment group – Study 100554 in hepatocellular carcinoma (see </w:t>
      </w:r>
      <w:r w:rsidR="003652B8">
        <w:rPr>
          <w:b/>
          <w:u w:val="single"/>
        </w:rPr>
        <w:t>CLINICAL TRIALS</w:t>
      </w:r>
      <w:r w:rsidRPr="00052221">
        <w:rPr>
          <w:b/>
          <w:u w:val="single"/>
        </w:rPr>
        <w:t>).</w:t>
      </w:r>
    </w:p>
    <w:p w:rsidR="005860C0" w:rsidRPr="00052221" w:rsidRDefault="005860C0" w:rsidP="004E0212">
      <w:pPr>
        <w:rPr>
          <w:b/>
          <w:u w:val="single"/>
        </w:rPr>
      </w:pP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8"/>
        <w:gridCol w:w="1080"/>
        <w:gridCol w:w="900"/>
        <w:gridCol w:w="900"/>
        <w:gridCol w:w="1080"/>
        <w:gridCol w:w="900"/>
        <w:gridCol w:w="1080"/>
      </w:tblGrid>
      <w:tr w:rsidR="005860C0" w:rsidRPr="00CC2E5A" w:rsidTr="00B915ED">
        <w:trPr>
          <w:trHeight w:val="285"/>
          <w:tblHeader/>
        </w:trPr>
        <w:tc>
          <w:tcPr>
            <w:tcW w:w="2988" w:type="dxa"/>
            <w:vMerge w:val="restart"/>
            <w:tcBorders>
              <w:top w:val="single" w:sz="4" w:space="0" w:color="auto"/>
              <w:right w:val="single" w:sz="4" w:space="0" w:color="auto"/>
            </w:tcBorders>
            <w:vAlign w:val="center"/>
          </w:tcPr>
          <w:p w:rsidR="005860C0" w:rsidRDefault="005860C0" w:rsidP="009067E1">
            <w:pPr>
              <w:rPr>
                <w:b/>
                <w:bCs/>
                <w:sz w:val="20"/>
                <w:szCs w:val="20"/>
                <w:lang w:val="en-US" w:eastAsia="ja-JP"/>
              </w:rPr>
            </w:pPr>
          </w:p>
          <w:p w:rsidR="005860C0" w:rsidRDefault="005860C0" w:rsidP="009067E1">
            <w:pPr>
              <w:rPr>
                <w:b/>
                <w:sz w:val="20"/>
                <w:szCs w:val="20"/>
                <w:lang w:val="en-US" w:eastAsia="ja-JP"/>
              </w:rPr>
            </w:pPr>
            <w:r w:rsidRPr="00396E08">
              <w:rPr>
                <w:b/>
                <w:bCs/>
                <w:sz w:val="20"/>
                <w:szCs w:val="20"/>
                <w:lang w:val="en-US" w:eastAsia="ja-JP"/>
              </w:rPr>
              <w:t>System organ class</w:t>
            </w:r>
            <w:r>
              <w:rPr>
                <w:b/>
                <w:bCs/>
                <w:sz w:val="20"/>
                <w:szCs w:val="20"/>
                <w:lang w:val="en-US" w:eastAsia="ja-JP"/>
              </w:rPr>
              <w:t>/</w:t>
            </w:r>
            <w:r>
              <w:rPr>
                <w:b/>
                <w:sz w:val="20"/>
                <w:szCs w:val="20"/>
                <w:lang w:val="en-US" w:eastAsia="ja-JP"/>
              </w:rPr>
              <w:t xml:space="preserve"> </w:t>
            </w:r>
          </w:p>
          <w:p w:rsidR="005860C0" w:rsidRDefault="005860C0" w:rsidP="009067E1">
            <w:pPr>
              <w:rPr>
                <w:b/>
                <w:sz w:val="20"/>
                <w:szCs w:val="20"/>
                <w:lang w:val="en-US" w:eastAsia="ja-JP"/>
              </w:rPr>
            </w:pPr>
            <w:r w:rsidRPr="003E69B1">
              <w:rPr>
                <w:b/>
                <w:sz w:val="20"/>
                <w:szCs w:val="20"/>
                <w:lang w:val="en-US" w:eastAsia="ja-JP"/>
              </w:rPr>
              <w:t>Preferred term</w:t>
            </w:r>
          </w:p>
          <w:p w:rsidR="005860C0" w:rsidRPr="00396E08" w:rsidRDefault="005860C0" w:rsidP="009067E1">
            <w:pPr>
              <w:rPr>
                <w:sz w:val="20"/>
                <w:szCs w:val="20"/>
                <w:lang w:val="en-US" w:eastAsia="ja-JP"/>
              </w:rPr>
            </w:pPr>
          </w:p>
        </w:tc>
        <w:tc>
          <w:tcPr>
            <w:tcW w:w="2880" w:type="dxa"/>
            <w:gridSpan w:val="3"/>
            <w:tcBorders>
              <w:top w:val="single" w:sz="4" w:space="0" w:color="auto"/>
              <w:left w:val="single" w:sz="4" w:space="0" w:color="auto"/>
              <w:bottom w:val="single" w:sz="4" w:space="0" w:color="auto"/>
              <w:right w:val="single" w:sz="4" w:space="0" w:color="auto"/>
            </w:tcBorders>
            <w:noWrap/>
            <w:vAlign w:val="center"/>
          </w:tcPr>
          <w:p w:rsidR="005860C0" w:rsidRPr="00396E08" w:rsidRDefault="005860C0" w:rsidP="009067E1">
            <w:pPr>
              <w:jc w:val="center"/>
              <w:rPr>
                <w:b/>
                <w:bCs/>
                <w:sz w:val="20"/>
                <w:szCs w:val="20"/>
                <w:lang w:val="en-US" w:eastAsia="ja-JP"/>
              </w:rPr>
            </w:pPr>
            <w:r w:rsidRPr="00396E08">
              <w:rPr>
                <w:b/>
                <w:bCs/>
                <w:sz w:val="20"/>
                <w:szCs w:val="20"/>
                <w:lang w:val="en-US" w:eastAsia="ja-JP"/>
              </w:rPr>
              <w:t>Nexavar N</w:t>
            </w:r>
            <w:r w:rsidR="00127346">
              <w:rPr>
                <w:b/>
                <w:bCs/>
                <w:sz w:val="20"/>
                <w:szCs w:val="20"/>
                <w:lang w:val="en-US" w:eastAsia="ja-JP"/>
              </w:rPr>
              <w:t xml:space="preserve"> </w:t>
            </w:r>
            <w:r w:rsidRPr="00396E08">
              <w:rPr>
                <w:b/>
                <w:bCs/>
                <w:sz w:val="20"/>
                <w:szCs w:val="20"/>
                <w:lang w:val="en-US" w:eastAsia="ja-JP"/>
              </w:rPr>
              <w:t>= 29</w:t>
            </w:r>
            <w:r w:rsidR="00C94F7F">
              <w:rPr>
                <w:b/>
                <w:bCs/>
                <w:sz w:val="20"/>
                <w:szCs w:val="20"/>
                <w:lang w:val="en-US" w:eastAsia="ja-JP"/>
              </w:rPr>
              <w:t>7</w:t>
            </w:r>
          </w:p>
        </w:tc>
        <w:tc>
          <w:tcPr>
            <w:tcW w:w="3060" w:type="dxa"/>
            <w:gridSpan w:val="3"/>
            <w:tcBorders>
              <w:top w:val="single" w:sz="4" w:space="0" w:color="auto"/>
              <w:left w:val="single" w:sz="4" w:space="0" w:color="auto"/>
              <w:bottom w:val="single" w:sz="4" w:space="0" w:color="auto"/>
            </w:tcBorders>
            <w:noWrap/>
            <w:vAlign w:val="center"/>
          </w:tcPr>
          <w:p w:rsidR="005860C0" w:rsidRPr="00396E08" w:rsidRDefault="005860C0" w:rsidP="009067E1">
            <w:pPr>
              <w:jc w:val="center"/>
              <w:rPr>
                <w:b/>
                <w:bCs/>
                <w:sz w:val="20"/>
                <w:szCs w:val="20"/>
                <w:lang w:val="en-US" w:eastAsia="ja-JP"/>
              </w:rPr>
            </w:pPr>
            <w:r w:rsidRPr="00396E08">
              <w:rPr>
                <w:b/>
                <w:bCs/>
                <w:sz w:val="20"/>
                <w:szCs w:val="20"/>
                <w:lang w:val="en-US" w:eastAsia="ja-JP"/>
              </w:rPr>
              <w:t>Placebo N</w:t>
            </w:r>
            <w:r w:rsidR="00127346">
              <w:rPr>
                <w:b/>
                <w:bCs/>
                <w:sz w:val="20"/>
                <w:szCs w:val="20"/>
                <w:lang w:val="en-US" w:eastAsia="ja-JP"/>
              </w:rPr>
              <w:t xml:space="preserve"> </w:t>
            </w:r>
            <w:r w:rsidRPr="00396E08">
              <w:rPr>
                <w:b/>
                <w:bCs/>
                <w:sz w:val="20"/>
                <w:szCs w:val="20"/>
                <w:lang w:val="en-US" w:eastAsia="ja-JP"/>
              </w:rPr>
              <w:t>= 30</w:t>
            </w:r>
            <w:r w:rsidR="00C94F7F">
              <w:rPr>
                <w:b/>
                <w:bCs/>
                <w:sz w:val="20"/>
                <w:szCs w:val="20"/>
                <w:lang w:val="en-US" w:eastAsia="ja-JP"/>
              </w:rPr>
              <w:t>2</w:t>
            </w:r>
          </w:p>
        </w:tc>
      </w:tr>
      <w:tr w:rsidR="005860C0" w:rsidRPr="00CC2E5A" w:rsidTr="00B915ED">
        <w:trPr>
          <w:trHeight w:val="285"/>
          <w:tblHeader/>
        </w:trPr>
        <w:tc>
          <w:tcPr>
            <w:tcW w:w="2988" w:type="dxa"/>
            <w:vMerge/>
            <w:tcBorders>
              <w:bottom w:val="single" w:sz="4" w:space="0" w:color="auto"/>
              <w:right w:val="single" w:sz="4" w:space="0" w:color="auto"/>
            </w:tcBorders>
            <w:vAlign w:val="center"/>
          </w:tcPr>
          <w:p w:rsidR="005860C0" w:rsidRPr="00396E08" w:rsidRDefault="005860C0" w:rsidP="009067E1">
            <w:pPr>
              <w:rPr>
                <w:b/>
                <w:bCs/>
                <w:sz w:val="20"/>
                <w:szCs w:val="20"/>
                <w:lang w:val="en-US" w:eastAsia="ja-JP"/>
              </w:rPr>
            </w:pPr>
          </w:p>
        </w:tc>
        <w:tc>
          <w:tcPr>
            <w:tcW w:w="1080" w:type="dxa"/>
            <w:tcBorders>
              <w:top w:val="single" w:sz="4" w:space="0" w:color="auto"/>
              <w:left w:val="single" w:sz="4" w:space="0" w:color="auto"/>
              <w:bottom w:val="single" w:sz="4" w:space="0" w:color="auto"/>
            </w:tcBorders>
            <w:noWrap/>
            <w:vAlign w:val="center"/>
          </w:tcPr>
          <w:p w:rsidR="00A203AF" w:rsidRDefault="005860C0" w:rsidP="009067E1">
            <w:pPr>
              <w:jc w:val="center"/>
              <w:rPr>
                <w:b/>
                <w:bCs/>
                <w:sz w:val="20"/>
                <w:szCs w:val="20"/>
                <w:lang w:val="en-US" w:eastAsia="ja-JP"/>
              </w:rPr>
            </w:pPr>
            <w:r w:rsidRPr="00396E08">
              <w:rPr>
                <w:b/>
                <w:bCs/>
                <w:sz w:val="20"/>
                <w:szCs w:val="20"/>
                <w:lang w:val="en-US" w:eastAsia="ja-JP"/>
              </w:rPr>
              <w:t>all grades</w:t>
            </w:r>
          </w:p>
          <w:p w:rsidR="005860C0" w:rsidRPr="00396E08" w:rsidRDefault="00A203AF" w:rsidP="009067E1">
            <w:pPr>
              <w:jc w:val="center"/>
              <w:rPr>
                <w:b/>
                <w:bCs/>
                <w:sz w:val="20"/>
                <w:szCs w:val="20"/>
                <w:lang w:val="en-US" w:eastAsia="ja-JP"/>
              </w:rPr>
            </w:pPr>
            <w:r>
              <w:rPr>
                <w:b/>
                <w:bCs/>
                <w:sz w:val="20"/>
                <w:szCs w:val="20"/>
                <w:lang w:val="en-US" w:eastAsia="ja-JP"/>
              </w:rPr>
              <w:t>%</w:t>
            </w:r>
            <w:r w:rsidR="005860C0" w:rsidRPr="00396E08">
              <w:rPr>
                <w:b/>
                <w:bCs/>
                <w:sz w:val="20"/>
                <w:szCs w:val="20"/>
                <w:lang w:val="en-US" w:eastAsia="ja-JP"/>
              </w:rPr>
              <w:t xml:space="preserve"> </w:t>
            </w:r>
          </w:p>
        </w:tc>
        <w:tc>
          <w:tcPr>
            <w:tcW w:w="900" w:type="dxa"/>
            <w:tcBorders>
              <w:top w:val="single" w:sz="4" w:space="0" w:color="auto"/>
              <w:bottom w:val="single" w:sz="4" w:space="0" w:color="auto"/>
            </w:tcBorders>
            <w:noWrap/>
            <w:vAlign w:val="center"/>
          </w:tcPr>
          <w:p w:rsidR="005860C0" w:rsidRDefault="005860C0" w:rsidP="009067E1">
            <w:pPr>
              <w:jc w:val="center"/>
              <w:rPr>
                <w:b/>
                <w:bCs/>
                <w:sz w:val="20"/>
                <w:szCs w:val="20"/>
                <w:lang w:val="en-US" w:eastAsia="ja-JP"/>
              </w:rPr>
            </w:pPr>
            <w:r w:rsidRPr="00396E08">
              <w:rPr>
                <w:b/>
                <w:bCs/>
                <w:sz w:val="20"/>
                <w:szCs w:val="20"/>
                <w:lang w:val="en-US" w:eastAsia="ja-JP"/>
              </w:rPr>
              <w:t>grade 3</w:t>
            </w:r>
          </w:p>
          <w:p w:rsidR="00A203AF" w:rsidRPr="00396E08" w:rsidRDefault="00A203AF" w:rsidP="009067E1">
            <w:pPr>
              <w:jc w:val="center"/>
              <w:rPr>
                <w:b/>
                <w:bCs/>
                <w:sz w:val="20"/>
                <w:szCs w:val="20"/>
                <w:lang w:val="en-US" w:eastAsia="ja-JP"/>
              </w:rPr>
            </w:pPr>
            <w:r>
              <w:rPr>
                <w:b/>
                <w:bCs/>
                <w:sz w:val="20"/>
                <w:szCs w:val="20"/>
                <w:lang w:val="en-US" w:eastAsia="ja-JP"/>
              </w:rPr>
              <w:t>%</w:t>
            </w:r>
          </w:p>
        </w:tc>
        <w:tc>
          <w:tcPr>
            <w:tcW w:w="900" w:type="dxa"/>
            <w:tcBorders>
              <w:top w:val="single" w:sz="4" w:space="0" w:color="auto"/>
              <w:bottom w:val="single" w:sz="4" w:space="0" w:color="auto"/>
              <w:right w:val="single" w:sz="4" w:space="0" w:color="auto"/>
            </w:tcBorders>
            <w:noWrap/>
            <w:vAlign w:val="center"/>
          </w:tcPr>
          <w:p w:rsidR="005860C0" w:rsidRDefault="005860C0" w:rsidP="009067E1">
            <w:pPr>
              <w:jc w:val="center"/>
              <w:rPr>
                <w:b/>
                <w:bCs/>
                <w:sz w:val="20"/>
                <w:szCs w:val="20"/>
                <w:lang w:val="en-US" w:eastAsia="ja-JP"/>
              </w:rPr>
            </w:pPr>
            <w:r w:rsidRPr="00396E08">
              <w:rPr>
                <w:b/>
                <w:bCs/>
                <w:sz w:val="20"/>
                <w:szCs w:val="20"/>
                <w:lang w:val="en-US" w:eastAsia="ja-JP"/>
              </w:rPr>
              <w:t>grade 4</w:t>
            </w:r>
          </w:p>
          <w:p w:rsidR="00A203AF" w:rsidRPr="00396E08" w:rsidRDefault="00A203AF" w:rsidP="009067E1">
            <w:pPr>
              <w:jc w:val="center"/>
              <w:rPr>
                <w:b/>
                <w:bCs/>
                <w:sz w:val="20"/>
                <w:szCs w:val="20"/>
                <w:lang w:val="en-US" w:eastAsia="ja-JP"/>
              </w:rPr>
            </w:pPr>
            <w:r>
              <w:rPr>
                <w:b/>
                <w:bCs/>
                <w:sz w:val="20"/>
                <w:szCs w:val="20"/>
                <w:lang w:val="en-US" w:eastAsia="ja-JP"/>
              </w:rPr>
              <w:t>%</w:t>
            </w:r>
          </w:p>
        </w:tc>
        <w:tc>
          <w:tcPr>
            <w:tcW w:w="1080" w:type="dxa"/>
            <w:tcBorders>
              <w:top w:val="single" w:sz="4" w:space="0" w:color="auto"/>
              <w:left w:val="single" w:sz="4" w:space="0" w:color="auto"/>
              <w:bottom w:val="single" w:sz="4" w:space="0" w:color="auto"/>
            </w:tcBorders>
            <w:noWrap/>
            <w:vAlign w:val="center"/>
          </w:tcPr>
          <w:p w:rsidR="00A203AF" w:rsidRDefault="005860C0" w:rsidP="009067E1">
            <w:pPr>
              <w:jc w:val="center"/>
              <w:rPr>
                <w:b/>
                <w:bCs/>
                <w:sz w:val="20"/>
                <w:szCs w:val="20"/>
                <w:lang w:val="en-US" w:eastAsia="ja-JP"/>
              </w:rPr>
            </w:pPr>
            <w:r w:rsidRPr="00396E08">
              <w:rPr>
                <w:b/>
                <w:bCs/>
                <w:sz w:val="20"/>
                <w:szCs w:val="20"/>
                <w:lang w:val="en-US" w:eastAsia="ja-JP"/>
              </w:rPr>
              <w:t>all grades</w:t>
            </w:r>
          </w:p>
          <w:p w:rsidR="005860C0" w:rsidRPr="00396E08" w:rsidRDefault="00A203AF" w:rsidP="009067E1">
            <w:pPr>
              <w:jc w:val="center"/>
              <w:rPr>
                <w:b/>
                <w:bCs/>
                <w:sz w:val="20"/>
                <w:szCs w:val="20"/>
                <w:lang w:val="en-US" w:eastAsia="ja-JP"/>
              </w:rPr>
            </w:pPr>
            <w:r>
              <w:rPr>
                <w:b/>
                <w:bCs/>
                <w:sz w:val="20"/>
                <w:szCs w:val="20"/>
                <w:lang w:val="en-US" w:eastAsia="ja-JP"/>
              </w:rPr>
              <w:t>%</w:t>
            </w:r>
            <w:r w:rsidR="005860C0" w:rsidRPr="00396E08">
              <w:rPr>
                <w:b/>
                <w:bCs/>
                <w:sz w:val="20"/>
                <w:szCs w:val="20"/>
                <w:lang w:val="en-US" w:eastAsia="ja-JP"/>
              </w:rPr>
              <w:t xml:space="preserve"> </w:t>
            </w:r>
          </w:p>
        </w:tc>
        <w:tc>
          <w:tcPr>
            <w:tcW w:w="900" w:type="dxa"/>
            <w:tcBorders>
              <w:top w:val="single" w:sz="4" w:space="0" w:color="auto"/>
              <w:bottom w:val="single" w:sz="4" w:space="0" w:color="auto"/>
            </w:tcBorders>
            <w:noWrap/>
            <w:vAlign w:val="center"/>
          </w:tcPr>
          <w:p w:rsidR="005860C0" w:rsidRDefault="005860C0" w:rsidP="009067E1">
            <w:pPr>
              <w:jc w:val="center"/>
              <w:rPr>
                <w:b/>
                <w:bCs/>
                <w:sz w:val="20"/>
                <w:szCs w:val="20"/>
                <w:lang w:val="en-US" w:eastAsia="ja-JP"/>
              </w:rPr>
            </w:pPr>
            <w:r w:rsidRPr="00396E08">
              <w:rPr>
                <w:b/>
                <w:bCs/>
                <w:sz w:val="20"/>
                <w:szCs w:val="20"/>
                <w:lang w:val="en-US" w:eastAsia="ja-JP"/>
              </w:rPr>
              <w:t>grade 3</w:t>
            </w:r>
          </w:p>
          <w:p w:rsidR="00A203AF" w:rsidRPr="00396E08" w:rsidRDefault="00A203AF" w:rsidP="009067E1">
            <w:pPr>
              <w:jc w:val="center"/>
              <w:rPr>
                <w:b/>
                <w:bCs/>
                <w:sz w:val="20"/>
                <w:szCs w:val="20"/>
                <w:lang w:val="en-US" w:eastAsia="ja-JP"/>
              </w:rPr>
            </w:pPr>
            <w:r>
              <w:rPr>
                <w:b/>
                <w:bCs/>
                <w:sz w:val="20"/>
                <w:szCs w:val="20"/>
                <w:lang w:val="en-US" w:eastAsia="ja-JP"/>
              </w:rPr>
              <w:t>%</w:t>
            </w:r>
          </w:p>
        </w:tc>
        <w:tc>
          <w:tcPr>
            <w:tcW w:w="1080" w:type="dxa"/>
            <w:tcBorders>
              <w:top w:val="single" w:sz="4" w:space="0" w:color="auto"/>
              <w:bottom w:val="single" w:sz="4" w:space="0" w:color="auto"/>
            </w:tcBorders>
            <w:noWrap/>
            <w:vAlign w:val="center"/>
          </w:tcPr>
          <w:p w:rsidR="005860C0" w:rsidRDefault="005860C0" w:rsidP="009067E1">
            <w:pPr>
              <w:jc w:val="center"/>
              <w:rPr>
                <w:b/>
                <w:bCs/>
                <w:sz w:val="20"/>
                <w:szCs w:val="20"/>
                <w:lang w:val="en-US" w:eastAsia="ja-JP"/>
              </w:rPr>
            </w:pPr>
            <w:r w:rsidRPr="00396E08">
              <w:rPr>
                <w:b/>
                <w:bCs/>
                <w:sz w:val="20"/>
                <w:szCs w:val="20"/>
                <w:lang w:val="en-US" w:eastAsia="ja-JP"/>
              </w:rPr>
              <w:t xml:space="preserve">grade 4 </w:t>
            </w:r>
          </w:p>
          <w:p w:rsidR="00A203AF" w:rsidRPr="00396E08" w:rsidRDefault="00A203AF" w:rsidP="009067E1">
            <w:pPr>
              <w:jc w:val="center"/>
              <w:rPr>
                <w:b/>
                <w:bCs/>
                <w:sz w:val="20"/>
                <w:szCs w:val="20"/>
                <w:lang w:val="en-US" w:eastAsia="ja-JP"/>
              </w:rPr>
            </w:pPr>
            <w:r>
              <w:rPr>
                <w:b/>
                <w:bCs/>
                <w:sz w:val="20"/>
                <w:szCs w:val="20"/>
                <w:lang w:val="en-US" w:eastAsia="ja-JP"/>
              </w:rPr>
              <w:t>%</w:t>
            </w:r>
          </w:p>
        </w:tc>
      </w:tr>
      <w:tr w:rsidR="005860C0" w:rsidRPr="00CC2E5A">
        <w:trPr>
          <w:trHeight w:val="359"/>
        </w:trPr>
        <w:tc>
          <w:tcPr>
            <w:tcW w:w="2988" w:type="dxa"/>
            <w:tcBorders>
              <w:top w:val="single" w:sz="4" w:space="0" w:color="auto"/>
              <w:bottom w:val="nil"/>
              <w:right w:val="single" w:sz="4" w:space="0" w:color="auto"/>
            </w:tcBorders>
            <w:vAlign w:val="center"/>
          </w:tcPr>
          <w:p w:rsidR="005860C0" w:rsidRPr="003E69B1" w:rsidRDefault="005860C0" w:rsidP="009067E1">
            <w:pPr>
              <w:rPr>
                <w:b/>
                <w:sz w:val="20"/>
                <w:szCs w:val="20"/>
                <w:lang w:val="en-US" w:eastAsia="ja-JP"/>
              </w:rPr>
            </w:pPr>
            <w:r w:rsidRPr="003E69B1">
              <w:rPr>
                <w:b/>
                <w:sz w:val="20"/>
                <w:szCs w:val="20"/>
                <w:lang w:val="en-US" w:eastAsia="ja-JP"/>
              </w:rPr>
              <w:t>Metabolism and Nutrition Disorders</w:t>
            </w:r>
          </w:p>
        </w:tc>
        <w:tc>
          <w:tcPr>
            <w:tcW w:w="1080" w:type="dxa"/>
            <w:tcBorders>
              <w:top w:val="single" w:sz="4" w:space="0" w:color="auto"/>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tcBorders>
              <w:top w:val="single" w:sz="4" w:space="0" w:color="auto"/>
            </w:tcBorders>
            <w:noWrap/>
            <w:vAlign w:val="center"/>
          </w:tcPr>
          <w:p w:rsidR="005860C0" w:rsidRPr="00396E08" w:rsidRDefault="005860C0" w:rsidP="009067E1">
            <w:pPr>
              <w:jc w:val="center"/>
              <w:rPr>
                <w:sz w:val="20"/>
                <w:szCs w:val="20"/>
                <w:lang w:val="en-US" w:eastAsia="ja-JP"/>
              </w:rPr>
            </w:pPr>
          </w:p>
        </w:tc>
        <w:tc>
          <w:tcPr>
            <w:tcW w:w="900" w:type="dxa"/>
            <w:tcBorders>
              <w:top w:val="single" w:sz="4" w:space="0" w:color="auto"/>
              <w:right w:val="single" w:sz="4" w:space="0" w:color="auto"/>
            </w:tcBorders>
            <w:noWrap/>
            <w:vAlign w:val="center"/>
          </w:tcPr>
          <w:p w:rsidR="005860C0" w:rsidRPr="00396E08" w:rsidRDefault="005860C0" w:rsidP="009067E1">
            <w:pPr>
              <w:jc w:val="center"/>
              <w:rPr>
                <w:sz w:val="20"/>
                <w:szCs w:val="20"/>
                <w:lang w:val="en-US" w:eastAsia="ja-JP"/>
              </w:rPr>
            </w:pPr>
          </w:p>
        </w:tc>
        <w:tc>
          <w:tcPr>
            <w:tcW w:w="1080" w:type="dxa"/>
            <w:tcBorders>
              <w:top w:val="single" w:sz="4" w:space="0" w:color="auto"/>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tcBorders>
              <w:top w:val="single" w:sz="4" w:space="0" w:color="auto"/>
            </w:tcBorders>
            <w:noWrap/>
            <w:vAlign w:val="center"/>
          </w:tcPr>
          <w:p w:rsidR="005860C0" w:rsidRPr="00396E08" w:rsidRDefault="005860C0" w:rsidP="009067E1">
            <w:pPr>
              <w:jc w:val="center"/>
              <w:rPr>
                <w:sz w:val="20"/>
                <w:szCs w:val="20"/>
                <w:lang w:val="en-US" w:eastAsia="ja-JP"/>
              </w:rPr>
            </w:pPr>
          </w:p>
        </w:tc>
        <w:tc>
          <w:tcPr>
            <w:tcW w:w="1080" w:type="dxa"/>
            <w:tcBorders>
              <w:top w:val="single" w:sz="4" w:space="0" w:color="auto"/>
            </w:tcBorders>
            <w:noWrap/>
            <w:vAlign w:val="center"/>
          </w:tcPr>
          <w:p w:rsidR="005860C0" w:rsidRPr="00396E08" w:rsidRDefault="005860C0" w:rsidP="009067E1">
            <w:pPr>
              <w:jc w:val="center"/>
              <w:rPr>
                <w:sz w:val="20"/>
                <w:szCs w:val="20"/>
                <w:lang w:val="en-US" w:eastAsia="ja-JP"/>
              </w:rPr>
            </w:pPr>
          </w:p>
        </w:tc>
      </w:tr>
      <w:tr w:rsidR="005860C0" w:rsidRPr="00CC2E5A">
        <w:trPr>
          <w:trHeight w:val="359"/>
        </w:trPr>
        <w:tc>
          <w:tcPr>
            <w:tcW w:w="2988" w:type="dxa"/>
            <w:tcBorders>
              <w:top w:val="nil"/>
              <w:bottom w:val="nil"/>
              <w:right w:val="single" w:sz="4" w:space="0" w:color="auto"/>
            </w:tcBorders>
            <w:vAlign w:val="center"/>
          </w:tcPr>
          <w:p w:rsidR="005860C0" w:rsidRPr="00396E08" w:rsidRDefault="00C54710" w:rsidP="00C94F7F">
            <w:pPr>
              <w:rPr>
                <w:sz w:val="20"/>
                <w:szCs w:val="20"/>
                <w:lang w:val="en-US" w:eastAsia="ja-JP"/>
              </w:rPr>
            </w:pPr>
            <w:r>
              <w:rPr>
                <w:sz w:val="20"/>
                <w:szCs w:val="20"/>
                <w:lang w:val="en-US" w:eastAsia="ja-JP"/>
              </w:rPr>
              <w:t>a</w:t>
            </w:r>
            <w:r w:rsidR="005860C0" w:rsidRPr="00396E08">
              <w:rPr>
                <w:sz w:val="20"/>
                <w:szCs w:val="20"/>
                <w:lang w:val="en-US" w:eastAsia="ja-JP"/>
              </w:rPr>
              <w:t>norexia</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11</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3</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E69B1" w:rsidRDefault="005860C0" w:rsidP="009067E1">
            <w:pPr>
              <w:rPr>
                <w:b/>
                <w:sz w:val="20"/>
                <w:szCs w:val="20"/>
                <w:lang w:val="en-US" w:eastAsia="ja-JP"/>
              </w:rPr>
            </w:pPr>
            <w:r w:rsidRPr="003E69B1">
              <w:rPr>
                <w:b/>
                <w:sz w:val="20"/>
                <w:szCs w:val="20"/>
                <w:lang w:val="en-US" w:eastAsia="ja-JP"/>
              </w:rPr>
              <w:t>Gastrointestinal Disorders</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1080" w:type="dxa"/>
            <w:noWrap/>
            <w:vAlign w:val="center"/>
          </w:tcPr>
          <w:p w:rsidR="005860C0" w:rsidRPr="00396E08" w:rsidRDefault="005860C0" w:rsidP="009067E1">
            <w:pPr>
              <w:jc w:val="center"/>
              <w:rPr>
                <w:sz w:val="20"/>
                <w:szCs w:val="20"/>
                <w:lang w:val="en-US" w:eastAsia="ja-JP"/>
              </w:rPr>
            </w:pPr>
          </w:p>
        </w:tc>
      </w:tr>
      <w:tr w:rsidR="005860C0" w:rsidRPr="00CC2E5A">
        <w:trPr>
          <w:trHeight w:val="323"/>
        </w:trPr>
        <w:tc>
          <w:tcPr>
            <w:tcW w:w="2988" w:type="dxa"/>
            <w:tcBorders>
              <w:top w:val="nil"/>
              <w:bottom w:val="nil"/>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d</w:t>
            </w:r>
            <w:r w:rsidR="005860C0" w:rsidRPr="00396E08">
              <w:rPr>
                <w:sz w:val="20"/>
                <w:szCs w:val="20"/>
                <w:lang w:val="en-US" w:eastAsia="ja-JP"/>
              </w:rPr>
              <w:t>iarrhoea</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39</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8</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11</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2</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n</w:t>
            </w:r>
            <w:r w:rsidR="005860C0" w:rsidRPr="00396E08">
              <w:rPr>
                <w:sz w:val="20"/>
                <w:szCs w:val="20"/>
                <w:lang w:val="en-US" w:eastAsia="ja-JP"/>
              </w:rPr>
              <w:t>ausea</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11</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8</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5860C0" w:rsidP="009067E1">
            <w:pPr>
              <w:rPr>
                <w:sz w:val="20"/>
                <w:szCs w:val="20"/>
                <w:lang w:val="en-US" w:eastAsia="ja-JP"/>
              </w:rPr>
            </w:pPr>
            <w:r w:rsidRPr="00396E08">
              <w:rPr>
                <w:sz w:val="20"/>
                <w:szCs w:val="20"/>
                <w:lang w:val="en-US" w:eastAsia="ja-JP"/>
              </w:rPr>
              <w:t>abdominal pain</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7</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2</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3</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v</w:t>
            </w:r>
            <w:r w:rsidR="005860C0" w:rsidRPr="00396E08">
              <w:rPr>
                <w:sz w:val="20"/>
                <w:szCs w:val="20"/>
                <w:lang w:val="en-US" w:eastAsia="ja-JP"/>
              </w:rPr>
              <w:t>omiting</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5</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3</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E69B1" w:rsidRDefault="005860C0" w:rsidP="009067E1">
            <w:pPr>
              <w:rPr>
                <w:b/>
                <w:sz w:val="20"/>
                <w:szCs w:val="20"/>
                <w:lang w:val="en-US" w:eastAsia="ja-JP"/>
              </w:rPr>
            </w:pPr>
            <w:r w:rsidRPr="003E69B1">
              <w:rPr>
                <w:b/>
                <w:sz w:val="20"/>
                <w:szCs w:val="20"/>
                <w:lang w:val="en-US" w:eastAsia="ja-JP"/>
              </w:rPr>
              <w:t>Skin and Subcutaneous Tissue Disorders</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1080" w:type="dxa"/>
            <w:noWrap/>
            <w:vAlign w:val="center"/>
          </w:tcPr>
          <w:p w:rsidR="005860C0" w:rsidRPr="00396E08" w:rsidRDefault="005860C0" w:rsidP="009067E1">
            <w:pPr>
              <w:jc w:val="center"/>
              <w:rPr>
                <w:sz w:val="20"/>
                <w:szCs w:val="20"/>
                <w:lang w:val="en-US" w:eastAsia="ja-JP"/>
              </w:rPr>
            </w:pPr>
          </w:p>
        </w:tc>
      </w:tr>
      <w:tr w:rsidR="005860C0" w:rsidRPr="00CC2E5A">
        <w:trPr>
          <w:trHeight w:val="323"/>
        </w:trPr>
        <w:tc>
          <w:tcPr>
            <w:tcW w:w="2988" w:type="dxa"/>
            <w:tcBorders>
              <w:top w:val="nil"/>
              <w:bottom w:val="nil"/>
              <w:right w:val="single" w:sz="4" w:space="0" w:color="auto"/>
            </w:tcBorders>
            <w:vAlign w:val="center"/>
          </w:tcPr>
          <w:p w:rsidR="005860C0" w:rsidRPr="00396E08" w:rsidRDefault="005860C0" w:rsidP="00046F8C">
            <w:pPr>
              <w:rPr>
                <w:sz w:val="20"/>
                <w:szCs w:val="20"/>
                <w:lang w:val="en-US" w:eastAsia="ja-JP"/>
              </w:rPr>
            </w:pPr>
            <w:r w:rsidRPr="00396E08">
              <w:rPr>
                <w:sz w:val="20"/>
                <w:szCs w:val="20"/>
                <w:lang w:val="en-US" w:eastAsia="ja-JP"/>
              </w:rPr>
              <w:t xml:space="preserve">hand foot </w:t>
            </w:r>
            <w:r w:rsidR="00046F8C">
              <w:rPr>
                <w:sz w:val="20"/>
                <w:szCs w:val="20"/>
                <w:lang w:val="en-US" w:eastAsia="ja-JP"/>
              </w:rPr>
              <w:t xml:space="preserve">skin reaction </w:t>
            </w:r>
            <w:r w:rsidRPr="00396E08">
              <w:rPr>
                <w:sz w:val="20"/>
                <w:szCs w:val="20"/>
                <w:lang w:val="en-US" w:eastAsia="ja-JP"/>
              </w:rPr>
              <w:t>**</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18</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7</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2</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a</w:t>
            </w:r>
            <w:r w:rsidR="005860C0" w:rsidRPr="00396E08">
              <w:rPr>
                <w:sz w:val="20"/>
                <w:szCs w:val="20"/>
                <w:lang w:val="en-US" w:eastAsia="ja-JP"/>
              </w:rPr>
              <w:t>lopecia</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14</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2</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r</w:t>
            </w:r>
            <w:r w:rsidR="005860C0" w:rsidRPr="00396E08">
              <w:rPr>
                <w:sz w:val="20"/>
                <w:szCs w:val="20"/>
                <w:lang w:val="en-US" w:eastAsia="ja-JP"/>
              </w:rPr>
              <w:t>ash</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11</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8</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p</w:t>
            </w:r>
            <w:r w:rsidR="005860C0" w:rsidRPr="00396E08">
              <w:rPr>
                <w:sz w:val="20"/>
                <w:szCs w:val="20"/>
                <w:lang w:val="en-US" w:eastAsia="ja-JP"/>
              </w:rPr>
              <w:t>ruritus</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8</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7</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5860C0" w:rsidP="009067E1">
            <w:pPr>
              <w:rPr>
                <w:sz w:val="20"/>
                <w:szCs w:val="20"/>
                <w:lang w:val="en-US" w:eastAsia="ja-JP"/>
              </w:rPr>
            </w:pPr>
            <w:r w:rsidRPr="00396E08">
              <w:rPr>
                <w:sz w:val="20"/>
                <w:szCs w:val="20"/>
                <w:lang w:val="en-US" w:eastAsia="ja-JP"/>
              </w:rPr>
              <w:lastRenderedPageBreak/>
              <w:t>dry skin</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8</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4</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5860C0" w:rsidP="009067E1">
            <w:pPr>
              <w:rPr>
                <w:sz w:val="20"/>
                <w:szCs w:val="20"/>
                <w:lang w:val="en-US" w:eastAsia="ja-JP"/>
              </w:rPr>
            </w:pPr>
            <w:r w:rsidRPr="003E69B1">
              <w:rPr>
                <w:b/>
                <w:sz w:val="20"/>
                <w:szCs w:val="20"/>
                <w:lang w:val="en-US" w:eastAsia="ja-JP"/>
              </w:rPr>
              <w:t>General Disorders and Administration</w:t>
            </w:r>
            <w:r>
              <w:rPr>
                <w:b/>
                <w:sz w:val="20"/>
                <w:szCs w:val="20"/>
                <w:lang w:val="en-US" w:eastAsia="ja-JP"/>
              </w:rPr>
              <w:t xml:space="preserve"> </w:t>
            </w:r>
            <w:r w:rsidRPr="003E69B1">
              <w:rPr>
                <w:b/>
                <w:sz w:val="20"/>
                <w:szCs w:val="20"/>
                <w:lang w:val="en-US" w:eastAsia="ja-JP"/>
              </w:rPr>
              <w:t>Site conditions</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1080" w:type="dxa"/>
            <w:noWrap/>
            <w:vAlign w:val="center"/>
          </w:tcPr>
          <w:p w:rsidR="005860C0" w:rsidRPr="00396E08" w:rsidRDefault="005860C0" w:rsidP="009067E1">
            <w:pPr>
              <w:jc w:val="center"/>
              <w:rPr>
                <w:sz w:val="20"/>
                <w:szCs w:val="20"/>
                <w:lang w:val="en-US" w:eastAsia="ja-JP"/>
              </w:rPr>
            </w:pPr>
          </w:p>
        </w:tc>
      </w:tr>
      <w:tr w:rsidR="005860C0" w:rsidRPr="00CC2E5A">
        <w:trPr>
          <w:trHeight w:val="323"/>
        </w:trPr>
        <w:tc>
          <w:tcPr>
            <w:tcW w:w="2988" w:type="dxa"/>
            <w:tcBorders>
              <w:top w:val="nil"/>
              <w:bottom w:val="nil"/>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f</w:t>
            </w:r>
            <w:r w:rsidR="005860C0" w:rsidRPr="00396E08">
              <w:rPr>
                <w:sz w:val="20"/>
                <w:szCs w:val="20"/>
                <w:lang w:val="en-US" w:eastAsia="ja-JP"/>
              </w:rPr>
              <w:t>atigue</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17</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2</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13</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3</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r>
      <w:tr w:rsidR="005860C0" w:rsidRPr="00CC2E5A">
        <w:trPr>
          <w:trHeight w:val="323"/>
        </w:trPr>
        <w:tc>
          <w:tcPr>
            <w:tcW w:w="2988" w:type="dxa"/>
            <w:tcBorders>
              <w:top w:val="nil"/>
              <w:bottom w:val="nil"/>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a</w:t>
            </w:r>
            <w:r w:rsidR="005860C0" w:rsidRPr="00396E08">
              <w:rPr>
                <w:sz w:val="20"/>
                <w:szCs w:val="20"/>
                <w:lang w:val="en-US" w:eastAsia="ja-JP"/>
              </w:rPr>
              <w:t>sthenia</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6</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1</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2</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E69B1" w:rsidRDefault="005860C0" w:rsidP="009067E1">
            <w:pPr>
              <w:rPr>
                <w:b/>
                <w:sz w:val="20"/>
                <w:szCs w:val="20"/>
                <w:lang w:val="en-US" w:eastAsia="ja-JP"/>
              </w:rPr>
            </w:pPr>
            <w:r w:rsidRPr="003E69B1">
              <w:rPr>
                <w:b/>
                <w:sz w:val="20"/>
                <w:szCs w:val="20"/>
                <w:lang w:val="en-US" w:eastAsia="ja-JP"/>
              </w:rPr>
              <w:t>Investigations</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1080" w:type="dxa"/>
            <w:noWrap/>
            <w:vAlign w:val="center"/>
          </w:tcPr>
          <w:p w:rsidR="005860C0" w:rsidRPr="00396E08" w:rsidRDefault="005860C0" w:rsidP="009067E1">
            <w:pPr>
              <w:jc w:val="center"/>
              <w:rPr>
                <w:sz w:val="20"/>
                <w:szCs w:val="20"/>
                <w:lang w:val="en-US" w:eastAsia="ja-JP"/>
              </w:rPr>
            </w:pPr>
          </w:p>
        </w:tc>
      </w:tr>
      <w:tr w:rsidR="005860C0" w:rsidRPr="00CC2E5A">
        <w:trPr>
          <w:trHeight w:val="323"/>
        </w:trPr>
        <w:tc>
          <w:tcPr>
            <w:tcW w:w="2988" w:type="dxa"/>
            <w:tcBorders>
              <w:top w:val="nil"/>
              <w:bottom w:val="nil"/>
              <w:right w:val="single" w:sz="4" w:space="0" w:color="auto"/>
            </w:tcBorders>
            <w:vAlign w:val="center"/>
          </w:tcPr>
          <w:p w:rsidR="005860C0" w:rsidRPr="003E69B1" w:rsidRDefault="005860C0" w:rsidP="009067E1">
            <w:pPr>
              <w:rPr>
                <w:b/>
                <w:sz w:val="20"/>
                <w:szCs w:val="20"/>
                <w:lang w:val="en-US" w:eastAsia="ja-JP"/>
              </w:rPr>
            </w:pPr>
            <w:r w:rsidRPr="00396E08">
              <w:rPr>
                <w:sz w:val="20"/>
                <w:szCs w:val="20"/>
                <w:lang w:val="en-US" w:eastAsia="ja-JP"/>
              </w:rPr>
              <w:t>weight decreased</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9</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2</w:t>
            </w: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r w:rsidR="005860C0" w:rsidRPr="00CC2E5A">
        <w:trPr>
          <w:trHeight w:val="323"/>
        </w:trPr>
        <w:tc>
          <w:tcPr>
            <w:tcW w:w="2988" w:type="dxa"/>
            <w:tcBorders>
              <w:top w:val="nil"/>
              <w:bottom w:val="nil"/>
              <w:right w:val="single" w:sz="4" w:space="0" w:color="auto"/>
            </w:tcBorders>
            <w:vAlign w:val="center"/>
          </w:tcPr>
          <w:p w:rsidR="005860C0" w:rsidRPr="003E69B1" w:rsidRDefault="005860C0" w:rsidP="009067E1">
            <w:pPr>
              <w:rPr>
                <w:b/>
                <w:sz w:val="20"/>
                <w:szCs w:val="20"/>
                <w:lang w:val="en-US" w:eastAsia="ja-JP"/>
              </w:rPr>
            </w:pPr>
            <w:r w:rsidRPr="003E69B1">
              <w:rPr>
                <w:b/>
                <w:sz w:val="20"/>
                <w:szCs w:val="20"/>
                <w:lang w:val="en-US" w:eastAsia="ja-JP"/>
              </w:rPr>
              <w:t xml:space="preserve">Respiratory, </w:t>
            </w:r>
            <w:r w:rsidR="00C54710">
              <w:rPr>
                <w:b/>
                <w:sz w:val="20"/>
                <w:szCs w:val="20"/>
                <w:lang w:val="en-US" w:eastAsia="ja-JP"/>
              </w:rPr>
              <w:t>T</w:t>
            </w:r>
            <w:r w:rsidRPr="003E69B1">
              <w:rPr>
                <w:b/>
                <w:sz w:val="20"/>
                <w:szCs w:val="20"/>
                <w:lang w:val="en-US" w:eastAsia="ja-JP"/>
              </w:rPr>
              <w:t xml:space="preserve">horacic and </w:t>
            </w:r>
            <w:r w:rsidR="00C54710">
              <w:rPr>
                <w:b/>
                <w:sz w:val="20"/>
                <w:szCs w:val="20"/>
                <w:lang w:val="en-US" w:eastAsia="ja-JP"/>
              </w:rPr>
              <w:t>M</w:t>
            </w:r>
            <w:r w:rsidRPr="003E69B1">
              <w:rPr>
                <w:b/>
                <w:sz w:val="20"/>
                <w:szCs w:val="20"/>
                <w:lang w:val="en-US" w:eastAsia="ja-JP"/>
              </w:rPr>
              <w:t xml:space="preserve">ediastinal </w:t>
            </w:r>
            <w:r w:rsidR="00C54710">
              <w:rPr>
                <w:b/>
                <w:sz w:val="20"/>
                <w:szCs w:val="20"/>
                <w:lang w:val="en-US" w:eastAsia="ja-JP"/>
              </w:rPr>
              <w:t>D</w:t>
            </w:r>
            <w:r w:rsidRPr="003E69B1">
              <w:rPr>
                <w:b/>
                <w:sz w:val="20"/>
                <w:szCs w:val="20"/>
                <w:lang w:val="en-US" w:eastAsia="ja-JP"/>
              </w:rPr>
              <w:t>isorders</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900" w:type="dxa"/>
            <w:tcBorders>
              <w:right w:val="single" w:sz="4" w:space="0" w:color="auto"/>
            </w:tcBorders>
            <w:noWrap/>
            <w:vAlign w:val="center"/>
          </w:tcPr>
          <w:p w:rsidR="005860C0" w:rsidRPr="00396E08" w:rsidRDefault="005860C0" w:rsidP="009067E1">
            <w:pPr>
              <w:jc w:val="center"/>
              <w:rPr>
                <w:sz w:val="20"/>
                <w:szCs w:val="20"/>
                <w:lang w:val="en-US" w:eastAsia="ja-JP"/>
              </w:rPr>
            </w:pP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p>
        </w:tc>
        <w:tc>
          <w:tcPr>
            <w:tcW w:w="900" w:type="dxa"/>
            <w:noWrap/>
            <w:vAlign w:val="center"/>
          </w:tcPr>
          <w:p w:rsidR="005860C0" w:rsidRPr="00396E08" w:rsidRDefault="005860C0" w:rsidP="009067E1">
            <w:pPr>
              <w:jc w:val="center"/>
              <w:rPr>
                <w:sz w:val="20"/>
                <w:szCs w:val="20"/>
                <w:lang w:val="en-US" w:eastAsia="ja-JP"/>
              </w:rPr>
            </w:pPr>
          </w:p>
        </w:tc>
        <w:tc>
          <w:tcPr>
            <w:tcW w:w="1080" w:type="dxa"/>
            <w:noWrap/>
            <w:vAlign w:val="center"/>
          </w:tcPr>
          <w:p w:rsidR="005860C0" w:rsidRPr="00396E08" w:rsidRDefault="005860C0" w:rsidP="009067E1">
            <w:pPr>
              <w:jc w:val="center"/>
              <w:rPr>
                <w:sz w:val="20"/>
                <w:szCs w:val="20"/>
                <w:lang w:val="en-US" w:eastAsia="ja-JP"/>
              </w:rPr>
            </w:pPr>
          </w:p>
        </w:tc>
      </w:tr>
      <w:tr w:rsidR="005860C0" w:rsidRPr="00CC2E5A">
        <w:trPr>
          <w:trHeight w:val="323"/>
        </w:trPr>
        <w:tc>
          <w:tcPr>
            <w:tcW w:w="2988" w:type="dxa"/>
            <w:tcBorders>
              <w:top w:val="nil"/>
              <w:bottom w:val="single" w:sz="4" w:space="0" w:color="auto"/>
              <w:right w:val="single" w:sz="4" w:space="0" w:color="auto"/>
            </w:tcBorders>
            <w:vAlign w:val="center"/>
          </w:tcPr>
          <w:p w:rsidR="005860C0" w:rsidRPr="00396E08" w:rsidRDefault="00C54710" w:rsidP="009067E1">
            <w:pPr>
              <w:rPr>
                <w:sz w:val="20"/>
                <w:szCs w:val="20"/>
                <w:lang w:val="en-US" w:eastAsia="ja-JP"/>
              </w:rPr>
            </w:pPr>
            <w:r>
              <w:rPr>
                <w:sz w:val="20"/>
                <w:szCs w:val="20"/>
                <w:lang w:val="en-US" w:eastAsia="ja-JP"/>
              </w:rPr>
              <w:t>h</w:t>
            </w:r>
            <w:r w:rsidR="005860C0" w:rsidRPr="00396E08">
              <w:rPr>
                <w:sz w:val="20"/>
                <w:szCs w:val="20"/>
                <w:lang w:val="en-US" w:eastAsia="ja-JP"/>
              </w:rPr>
              <w:t>oarseness</w:t>
            </w:r>
          </w:p>
        </w:tc>
        <w:tc>
          <w:tcPr>
            <w:tcW w:w="1080" w:type="dxa"/>
            <w:tcBorders>
              <w:left w:val="single" w:sz="4" w:space="0" w:color="auto"/>
              <w:bottom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5</w:t>
            </w:r>
          </w:p>
        </w:tc>
        <w:tc>
          <w:tcPr>
            <w:tcW w:w="900" w:type="dxa"/>
            <w:tcBorders>
              <w:bottom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900" w:type="dxa"/>
            <w:tcBorders>
              <w:bottom w:val="single" w:sz="4" w:space="0" w:color="auto"/>
              <w:righ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tcBorders>
              <w:left w:val="single" w:sz="4" w:space="0" w:color="auto"/>
            </w:tcBorders>
            <w:noWrap/>
            <w:vAlign w:val="center"/>
          </w:tcPr>
          <w:p w:rsidR="005860C0" w:rsidRPr="00396E08" w:rsidRDefault="005860C0" w:rsidP="009067E1">
            <w:pPr>
              <w:jc w:val="center"/>
              <w:rPr>
                <w:sz w:val="20"/>
                <w:szCs w:val="20"/>
                <w:lang w:val="en-US" w:eastAsia="ja-JP"/>
              </w:rPr>
            </w:pPr>
            <w:r w:rsidRPr="00396E08">
              <w:rPr>
                <w:sz w:val="20"/>
                <w:szCs w:val="20"/>
                <w:lang w:val="en-US" w:eastAsia="ja-JP"/>
              </w:rPr>
              <w:t>&lt;1</w:t>
            </w:r>
          </w:p>
        </w:tc>
        <w:tc>
          <w:tcPr>
            <w:tcW w:w="90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c>
          <w:tcPr>
            <w:tcW w:w="1080" w:type="dxa"/>
            <w:noWrap/>
            <w:vAlign w:val="center"/>
          </w:tcPr>
          <w:p w:rsidR="005860C0" w:rsidRPr="00396E08" w:rsidRDefault="005860C0" w:rsidP="009067E1">
            <w:pPr>
              <w:jc w:val="center"/>
              <w:rPr>
                <w:sz w:val="20"/>
                <w:szCs w:val="20"/>
                <w:lang w:val="en-US" w:eastAsia="ja-JP"/>
              </w:rPr>
            </w:pPr>
            <w:r w:rsidRPr="00396E08">
              <w:rPr>
                <w:sz w:val="20"/>
                <w:szCs w:val="20"/>
                <w:lang w:val="en-US" w:eastAsia="ja-JP"/>
              </w:rPr>
              <w:t>0</w:t>
            </w:r>
          </w:p>
        </w:tc>
      </w:tr>
    </w:tbl>
    <w:p w:rsidR="005860C0" w:rsidRPr="00396903" w:rsidRDefault="00396903" w:rsidP="005860C0">
      <w:pPr>
        <w:jc w:val="both"/>
      </w:pPr>
      <w:r w:rsidRPr="00396903">
        <w:rPr>
          <w:sz w:val="20"/>
        </w:rPr>
        <w:t>** palmar plantar erythrodysaesthesia syndrome in MedDRA</w:t>
      </w:r>
    </w:p>
    <w:p w:rsidR="001C3829" w:rsidRPr="001C3829" w:rsidRDefault="001C3829" w:rsidP="00396E08">
      <w:pPr>
        <w:pStyle w:val="Heading2"/>
      </w:pPr>
      <w:r w:rsidRPr="001C3829">
        <w:t xml:space="preserve">Renal </w:t>
      </w:r>
      <w:r w:rsidR="007249AF">
        <w:t>c</w:t>
      </w:r>
      <w:r w:rsidRPr="001C3829">
        <w:t xml:space="preserve">ell </w:t>
      </w:r>
      <w:r w:rsidR="007249AF">
        <w:t>c</w:t>
      </w:r>
      <w:r w:rsidRPr="001C3829">
        <w:t>arcinoma</w:t>
      </w:r>
    </w:p>
    <w:p w:rsidR="009825D9" w:rsidRPr="00EB44BE" w:rsidRDefault="009825D9" w:rsidP="009825D9">
      <w:pPr>
        <w:jc w:val="both"/>
      </w:pPr>
      <w:r w:rsidRPr="00EB44BE">
        <w:t xml:space="preserve">The overall safety profile of </w:t>
      </w:r>
      <w:r w:rsidR="004112DD">
        <w:t>NEXAVAR</w:t>
      </w:r>
      <w:r w:rsidRPr="00EB44BE">
        <w:t xml:space="preserve"> is based on </w:t>
      </w:r>
      <w:r w:rsidR="00C861DA" w:rsidRPr="00EB44BE">
        <w:t>12</w:t>
      </w:r>
      <w:r w:rsidR="00C861DA">
        <w:t>86</w:t>
      </w:r>
      <w:r w:rsidR="00C861DA" w:rsidRPr="00EB44BE">
        <w:t xml:space="preserve"> </w:t>
      </w:r>
      <w:r w:rsidRPr="00EB44BE">
        <w:t xml:space="preserve">cancer patients, who received </w:t>
      </w:r>
      <w:r w:rsidR="004112DD">
        <w:t>NEXAVAR</w:t>
      </w:r>
      <w:r w:rsidRPr="00EB44BE">
        <w:t xml:space="preserve"> as single agent.</w:t>
      </w:r>
    </w:p>
    <w:p w:rsidR="006F7C03" w:rsidRDefault="006F7C03" w:rsidP="00217FB0">
      <w:pPr>
        <w:pStyle w:val="BodyText"/>
      </w:pPr>
    </w:p>
    <w:p w:rsidR="009825D9" w:rsidRPr="00EB44BE" w:rsidRDefault="00655FA2" w:rsidP="00217FB0">
      <w:pPr>
        <w:pStyle w:val="BodyText"/>
      </w:pPr>
      <w:r w:rsidRPr="00EB44BE">
        <w:t>Table</w:t>
      </w:r>
      <w:r w:rsidR="00AA22F2">
        <w:t>4</w:t>
      </w:r>
      <w:r w:rsidRPr="00EB44BE">
        <w:t xml:space="preserve">. </w:t>
      </w:r>
      <w:r w:rsidR="009825D9" w:rsidRPr="00EB44BE">
        <w:t xml:space="preserve">Adverse </w:t>
      </w:r>
      <w:r w:rsidR="009617F0">
        <w:t xml:space="preserve">reactions reported in at least 5% of patients in any treatment group – Study 11213 in renal cell carcinoma (see CLINICAL TRIALS) </w:t>
      </w:r>
    </w:p>
    <w:p w:rsidR="00655FA2" w:rsidRPr="00EB44BE" w:rsidRDefault="00655FA2" w:rsidP="00217FB0">
      <w:pPr>
        <w:pStyle w:val="BodyText"/>
      </w:pPr>
    </w:p>
    <w:tbl>
      <w:tblPr>
        <w:tblW w:w="8814" w:type="dxa"/>
        <w:tblInd w:w="72" w:type="dxa"/>
        <w:tblLayout w:type="fixed"/>
        <w:tblCellMar>
          <w:left w:w="72" w:type="dxa"/>
          <w:right w:w="72" w:type="dxa"/>
        </w:tblCellMar>
        <w:tblLook w:val="0000" w:firstRow="0" w:lastRow="0" w:firstColumn="0" w:lastColumn="0" w:noHBand="0" w:noVBand="0"/>
      </w:tblPr>
      <w:tblGrid>
        <w:gridCol w:w="3060"/>
        <w:gridCol w:w="1080"/>
        <w:gridCol w:w="900"/>
        <w:gridCol w:w="900"/>
        <w:gridCol w:w="1080"/>
        <w:gridCol w:w="900"/>
        <w:gridCol w:w="894"/>
      </w:tblGrid>
      <w:tr w:rsidR="009825D9" w:rsidRPr="00EB44BE">
        <w:trPr>
          <w:tblHeader/>
        </w:trPr>
        <w:tc>
          <w:tcPr>
            <w:tcW w:w="3060" w:type="dxa"/>
            <w:vMerge w:val="restart"/>
            <w:tcBorders>
              <w:top w:val="single" w:sz="12" w:space="0" w:color="auto"/>
              <w:left w:val="single" w:sz="2" w:space="0" w:color="auto"/>
              <w:bottom w:val="single" w:sz="6" w:space="0" w:color="auto"/>
              <w:right w:val="single" w:sz="4" w:space="0" w:color="auto"/>
            </w:tcBorders>
            <w:shd w:val="clear" w:color="auto" w:fill="auto"/>
            <w:vAlign w:val="center"/>
          </w:tcPr>
          <w:p w:rsidR="009825D9" w:rsidRDefault="009825D9" w:rsidP="00655FA2">
            <w:pPr>
              <w:pStyle w:val="BayerTableColumnHeadings"/>
              <w:keepNext w:val="0"/>
              <w:keepLines/>
              <w:rPr>
                <w:rFonts w:ascii="Times New Roman" w:hAnsi="Times New Roman" w:cs="Times New Roman"/>
                <w:lang w:val="en-GB"/>
              </w:rPr>
            </w:pPr>
          </w:p>
          <w:p w:rsidR="009617F0" w:rsidRPr="000D5086" w:rsidRDefault="009617F0" w:rsidP="00655FA2">
            <w:pPr>
              <w:pStyle w:val="BayerTableColumnHeadings"/>
              <w:keepNext w:val="0"/>
              <w:keepLines/>
              <w:rPr>
                <w:rFonts w:ascii="Times New Roman" w:hAnsi="Times New Roman" w:cs="Times New Roman"/>
                <w:lang w:val="en-GB"/>
              </w:rPr>
            </w:pPr>
            <w:r>
              <w:rPr>
                <w:rFonts w:ascii="Times New Roman" w:hAnsi="Times New Roman" w:cs="Times New Roman"/>
                <w:lang w:val="en-GB"/>
              </w:rPr>
              <w:t>System Organ Class/ Preferred term</w:t>
            </w:r>
          </w:p>
        </w:tc>
        <w:tc>
          <w:tcPr>
            <w:tcW w:w="2880" w:type="dxa"/>
            <w:gridSpan w:val="3"/>
            <w:tcBorders>
              <w:top w:val="single" w:sz="12" w:space="0" w:color="auto"/>
              <w:left w:val="single" w:sz="4" w:space="0" w:color="auto"/>
              <w:bottom w:val="single" w:sz="2" w:space="0" w:color="auto"/>
              <w:right w:val="single" w:sz="4" w:space="0" w:color="auto"/>
            </w:tcBorders>
            <w:shd w:val="clear" w:color="auto" w:fill="auto"/>
            <w:vAlign w:val="center"/>
          </w:tcPr>
          <w:p w:rsidR="009825D9" w:rsidRPr="000D5086" w:rsidRDefault="004112DD"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N</w:t>
            </w:r>
            <w:r w:rsidR="00554486">
              <w:rPr>
                <w:rFonts w:ascii="Times New Roman" w:hAnsi="Times New Roman" w:cs="Times New Roman"/>
                <w:lang w:val="en-GB"/>
              </w:rPr>
              <w:t>exavar</w:t>
            </w:r>
            <w:r w:rsidR="009825D9" w:rsidRPr="000D5086">
              <w:rPr>
                <w:rFonts w:ascii="Times New Roman" w:hAnsi="Times New Roman" w:cs="Times New Roman"/>
                <w:lang w:val="en-GB"/>
              </w:rPr>
              <w:t xml:space="preserve"> N = </w:t>
            </w:r>
            <w:r w:rsidR="000D5086" w:rsidRPr="000D5086">
              <w:rPr>
                <w:rFonts w:ascii="Times New Roman" w:hAnsi="Times New Roman" w:cs="Times New Roman"/>
                <w:lang w:val="en-GB"/>
              </w:rPr>
              <w:t>451</w:t>
            </w:r>
          </w:p>
        </w:tc>
        <w:tc>
          <w:tcPr>
            <w:tcW w:w="2874" w:type="dxa"/>
            <w:gridSpan w:val="3"/>
            <w:tcBorders>
              <w:top w:val="single" w:sz="12" w:space="0" w:color="auto"/>
              <w:left w:val="single" w:sz="4" w:space="0" w:color="auto"/>
              <w:bottom w:val="single" w:sz="2" w:space="0" w:color="auto"/>
              <w:right w:val="single" w:sz="4" w:space="0" w:color="auto"/>
            </w:tcBorders>
            <w:shd w:val="clear" w:color="auto" w:fill="auto"/>
            <w:vAlign w:val="center"/>
          </w:tcPr>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 xml:space="preserve">Placebo N = </w:t>
            </w:r>
            <w:r w:rsidR="000D5086" w:rsidRPr="000D5086">
              <w:rPr>
                <w:rFonts w:ascii="Times New Roman" w:hAnsi="Times New Roman" w:cs="Times New Roman"/>
                <w:lang w:val="en-GB"/>
              </w:rPr>
              <w:t>451</w:t>
            </w:r>
          </w:p>
        </w:tc>
      </w:tr>
      <w:tr w:rsidR="009825D9" w:rsidRPr="00EB44BE">
        <w:trPr>
          <w:trHeight w:val="729"/>
          <w:tblHeader/>
        </w:trPr>
        <w:tc>
          <w:tcPr>
            <w:tcW w:w="3060" w:type="dxa"/>
            <w:vMerge/>
            <w:tcBorders>
              <w:top w:val="single" w:sz="12" w:space="0" w:color="auto"/>
              <w:left w:val="single" w:sz="2" w:space="0" w:color="auto"/>
              <w:bottom w:val="single" w:sz="6" w:space="0" w:color="auto"/>
              <w:right w:val="single" w:sz="4" w:space="0" w:color="auto"/>
            </w:tcBorders>
            <w:shd w:val="clear" w:color="auto" w:fill="auto"/>
            <w:vAlign w:val="center"/>
          </w:tcPr>
          <w:p w:rsidR="009825D9" w:rsidRPr="000D5086" w:rsidRDefault="009825D9" w:rsidP="00655FA2">
            <w:pPr>
              <w:widowControl w:val="0"/>
              <w:rPr>
                <w:b/>
                <w:bCs/>
                <w:sz w:val="20"/>
                <w:szCs w:val="20"/>
              </w:rPr>
            </w:pPr>
          </w:p>
        </w:tc>
        <w:tc>
          <w:tcPr>
            <w:tcW w:w="1080" w:type="dxa"/>
            <w:tcBorders>
              <w:top w:val="single" w:sz="2" w:space="0" w:color="auto"/>
              <w:left w:val="single" w:sz="4" w:space="0" w:color="auto"/>
              <w:bottom w:val="single" w:sz="6" w:space="0" w:color="auto"/>
              <w:right w:val="nil"/>
            </w:tcBorders>
            <w:shd w:val="clear" w:color="auto" w:fill="auto"/>
            <w:vAlign w:val="center"/>
          </w:tcPr>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All Grades</w:t>
            </w:r>
          </w:p>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w:t>
            </w:r>
          </w:p>
        </w:tc>
        <w:tc>
          <w:tcPr>
            <w:tcW w:w="900" w:type="dxa"/>
            <w:tcBorders>
              <w:top w:val="single" w:sz="2" w:space="0" w:color="auto"/>
              <w:left w:val="nil"/>
              <w:bottom w:val="single" w:sz="6" w:space="0" w:color="auto"/>
              <w:right w:val="nil"/>
            </w:tcBorders>
            <w:shd w:val="clear" w:color="auto" w:fill="auto"/>
            <w:vAlign w:val="center"/>
          </w:tcPr>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Grade 3</w:t>
            </w:r>
            <w:r w:rsidRPr="000D5086">
              <w:rPr>
                <w:rFonts w:ascii="Times New Roman" w:hAnsi="Times New Roman" w:cs="Times New Roman"/>
                <w:lang w:val="en-GB"/>
              </w:rPr>
              <w:br/>
              <w:t xml:space="preserve">% </w:t>
            </w:r>
          </w:p>
        </w:tc>
        <w:tc>
          <w:tcPr>
            <w:tcW w:w="900" w:type="dxa"/>
            <w:tcBorders>
              <w:top w:val="single" w:sz="2" w:space="0" w:color="auto"/>
              <w:left w:val="nil"/>
              <w:bottom w:val="single" w:sz="6" w:space="0" w:color="auto"/>
              <w:right w:val="single" w:sz="4" w:space="0" w:color="auto"/>
            </w:tcBorders>
            <w:shd w:val="clear" w:color="auto" w:fill="auto"/>
            <w:vAlign w:val="center"/>
          </w:tcPr>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Grade 4</w:t>
            </w:r>
            <w:r w:rsidRPr="000D5086">
              <w:rPr>
                <w:rFonts w:ascii="Times New Roman" w:hAnsi="Times New Roman" w:cs="Times New Roman"/>
                <w:lang w:val="en-GB"/>
              </w:rPr>
              <w:br/>
              <w:t>%</w:t>
            </w:r>
          </w:p>
        </w:tc>
        <w:tc>
          <w:tcPr>
            <w:tcW w:w="1080" w:type="dxa"/>
            <w:tcBorders>
              <w:top w:val="single" w:sz="2" w:space="0" w:color="auto"/>
              <w:left w:val="single" w:sz="4" w:space="0" w:color="auto"/>
              <w:bottom w:val="single" w:sz="6" w:space="0" w:color="auto"/>
              <w:right w:val="nil"/>
            </w:tcBorders>
            <w:shd w:val="clear" w:color="auto" w:fill="auto"/>
            <w:vAlign w:val="center"/>
          </w:tcPr>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 xml:space="preserve">All Grades </w:t>
            </w:r>
          </w:p>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w:t>
            </w:r>
          </w:p>
        </w:tc>
        <w:tc>
          <w:tcPr>
            <w:tcW w:w="900" w:type="dxa"/>
            <w:tcBorders>
              <w:top w:val="single" w:sz="2" w:space="0" w:color="auto"/>
              <w:left w:val="nil"/>
              <w:bottom w:val="single" w:sz="6" w:space="0" w:color="auto"/>
              <w:right w:val="nil"/>
            </w:tcBorders>
            <w:shd w:val="clear" w:color="auto" w:fill="auto"/>
            <w:vAlign w:val="center"/>
          </w:tcPr>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Grade 3</w:t>
            </w:r>
            <w:r w:rsidRPr="000D5086">
              <w:rPr>
                <w:rFonts w:ascii="Times New Roman" w:hAnsi="Times New Roman" w:cs="Times New Roman"/>
                <w:lang w:val="en-GB"/>
              </w:rPr>
              <w:br/>
              <w:t>%</w:t>
            </w:r>
          </w:p>
        </w:tc>
        <w:tc>
          <w:tcPr>
            <w:tcW w:w="894" w:type="dxa"/>
            <w:tcBorders>
              <w:top w:val="single" w:sz="2" w:space="0" w:color="auto"/>
              <w:left w:val="nil"/>
              <w:bottom w:val="single" w:sz="6" w:space="0" w:color="auto"/>
              <w:right w:val="single" w:sz="4" w:space="0" w:color="auto"/>
            </w:tcBorders>
            <w:shd w:val="clear" w:color="auto" w:fill="auto"/>
            <w:vAlign w:val="center"/>
          </w:tcPr>
          <w:p w:rsid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Grade 4</w:t>
            </w:r>
          </w:p>
          <w:p w:rsidR="009825D9" w:rsidRPr="000D5086" w:rsidRDefault="009825D9" w:rsidP="00655FA2">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w:t>
            </w:r>
          </w:p>
        </w:tc>
      </w:tr>
      <w:tr w:rsidR="009825D9" w:rsidRPr="00EB44BE">
        <w:tc>
          <w:tcPr>
            <w:tcW w:w="3060" w:type="dxa"/>
            <w:tcBorders>
              <w:top w:val="nil"/>
              <w:left w:val="single" w:sz="2" w:space="0" w:color="auto"/>
              <w:bottom w:val="nil"/>
              <w:right w:val="single" w:sz="4" w:space="0" w:color="auto"/>
            </w:tcBorders>
            <w:shd w:val="clear" w:color="auto" w:fill="auto"/>
            <w:vAlign w:val="center"/>
          </w:tcPr>
          <w:p w:rsidR="009825D9" w:rsidRPr="000D5086" w:rsidRDefault="000D5086" w:rsidP="00655FA2">
            <w:pPr>
              <w:pStyle w:val="BayerTableRowHeadings"/>
              <w:keepNext w:val="0"/>
              <w:keepLines/>
              <w:tabs>
                <w:tab w:val="left" w:pos="273"/>
              </w:tabs>
              <w:rPr>
                <w:rFonts w:ascii="Times New Roman" w:hAnsi="Times New Roman" w:cs="Times New Roman"/>
                <w:b/>
                <w:lang w:val="en-GB"/>
              </w:rPr>
            </w:pPr>
            <w:r>
              <w:rPr>
                <w:rFonts w:ascii="Times New Roman" w:hAnsi="Times New Roman" w:cs="Times New Roman"/>
                <w:b/>
                <w:lang w:val="en-GB"/>
              </w:rPr>
              <w:t>Metabolism and Nutrition Disorders</w:t>
            </w: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b/>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b/>
                <w:lang w:val="en-GB"/>
              </w:rPr>
            </w:pPr>
          </w:p>
        </w:tc>
        <w:tc>
          <w:tcPr>
            <w:tcW w:w="900"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b/>
                <w:lang w:val="en-GB"/>
              </w:rPr>
            </w:pP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b/>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b/>
                <w:lang w:val="en-GB"/>
              </w:rPr>
            </w:pPr>
          </w:p>
        </w:tc>
        <w:tc>
          <w:tcPr>
            <w:tcW w:w="894"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b/>
                <w:lang w:val="en-GB"/>
              </w:rPr>
            </w:pP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w:t>
            </w:r>
            <w:r w:rsidR="000D5086">
              <w:rPr>
                <w:rFonts w:ascii="Times New Roman" w:hAnsi="Times New Roman" w:cs="Times New Roman"/>
                <w:lang w:val="en-GB"/>
              </w:rPr>
              <w:t>norexia</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9</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5</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0D5086" w:rsidP="00655FA2">
            <w:pPr>
              <w:pStyle w:val="BayerTableRowHeadings"/>
              <w:keepNext w:val="0"/>
              <w:keepLines/>
              <w:tabs>
                <w:tab w:val="left" w:pos="273"/>
              </w:tabs>
              <w:rPr>
                <w:rFonts w:ascii="Times New Roman" w:hAnsi="Times New Roman" w:cs="Times New Roman"/>
                <w:b/>
                <w:lang w:val="en-GB"/>
              </w:rPr>
            </w:pPr>
            <w:r>
              <w:rPr>
                <w:rFonts w:ascii="Times New Roman" w:hAnsi="Times New Roman" w:cs="Times New Roman"/>
                <w:b/>
                <w:lang w:val="en-GB"/>
              </w:rPr>
              <w:t>Nervous System Disorders</w:t>
            </w: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h</w:t>
            </w:r>
            <w:r w:rsidR="000D5086">
              <w:rPr>
                <w:rFonts w:ascii="Times New Roman" w:hAnsi="Times New Roman" w:cs="Times New Roman"/>
                <w:lang w:val="en-GB"/>
              </w:rPr>
              <w:t>eadache</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6</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3</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0D5086" w:rsidP="00655FA2">
            <w:pPr>
              <w:pStyle w:val="BayerTableRowHeadings"/>
              <w:keepNext w:val="0"/>
              <w:keepLines/>
              <w:tabs>
                <w:tab w:val="left" w:pos="273"/>
              </w:tabs>
              <w:rPr>
                <w:rFonts w:ascii="Times New Roman" w:hAnsi="Times New Roman" w:cs="Times New Roman"/>
                <w:b/>
                <w:lang w:val="en-GB"/>
              </w:rPr>
            </w:pPr>
            <w:r>
              <w:rPr>
                <w:rFonts w:ascii="Times New Roman" w:hAnsi="Times New Roman" w:cs="Times New Roman"/>
                <w:b/>
                <w:lang w:val="en-GB"/>
              </w:rPr>
              <w:t>Vascular Disorders</w:t>
            </w: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h</w:t>
            </w:r>
            <w:r w:rsidR="000D5086">
              <w:rPr>
                <w:rFonts w:ascii="Times New Roman" w:hAnsi="Times New Roman" w:cs="Times New Roman"/>
                <w:lang w:val="en-GB"/>
              </w:rPr>
              <w:t>ypertension</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12</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ind w:left="288" w:hanging="288"/>
              <w:rPr>
                <w:rFonts w:ascii="Times New Roman" w:hAnsi="Times New Roman" w:cs="Times New Roman"/>
                <w:lang w:val="en-GB"/>
              </w:rPr>
            </w:pPr>
            <w:r>
              <w:rPr>
                <w:rFonts w:ascii="Times New Roman" w:hAnsi="Times New Roman" w:cs="Times New Roman"/>
                <w:lang w:val="en-GB"/>
              </w:rPr>
              <w:t>f</w:t>
            </w:r>
            <w:r w:rsidR="000D5086">
              <w:rPr>
                <w:rFonts w:ascii="Times New Roman" w:hAnsi="Times New Roman" w:cs="Times New Roman"/>
                <w:lang w:val="en-GB"/>
              </w:rPr>
              <w:t>lushing</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6</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31C52" w:rsidRDefault="000D5086" w:rsidP="00655FA2">
            <w:pPr>
              <w:pStyle w:val="BayerTableRowHeadings"/>
              <w:keepNext w:val="0"/>
              <w:keepLines/>
              <w:tabs>
                <w:tab w:val="left" w:pos="273"/>
              </w:tabs>
              <w:rPr>
                <w:rFonts w:ascii="Times New Roman" w:hAnsi="Times New Roman" w:cs="Times New Roman"/>
                <w:b/>
                <w:lang w:val="en-GB"/>
              </w:rPr>
            </w:pPr>
            <w:r w:rsidRPr="00031C52">
              <w:rPr>
                <w:rFonts w:ascii="Times New Roman" w:hAnsi="Times New Roman" w:cs="Times New Roman"/>
                <w:b/>
                <w:lang w:val="en-GB"/>
              </w:rPr>
              <w:t>Gastrointestinal Disorders</w:t>
            </w: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d</w:t>
            </w:r>
            <w:r w:rsidR="00C861DA">
              <w:rPr>
                <w:rFonts w:ascii="Times New Roman" w:hAnsi="Times New Roman" w:cs="Times New Roman"/>
                <w:lang w:val="en-GB"/>
              </w:rPr>
              <w:t>iarrhoea</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38</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9617F0"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9</w:t>
            </w:r>
          </w:p>
        </w:tc>
        <w:tc>
          <w:tcPr>
            <w:tcW w:w="900" w:type="dxa"/>
            <w:shd w:val="clear" w:color="auto" w:fill="auto"/>
            <w:vAlign w:val="center"/>
          </w:tcPr>
          <w:p w:rsidR="009825D9" w:rsidRPr="000D5086" w:rsidRDefault="009617F0"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n</w:t>
            </w:r>
            <w:r w:rsidR="000D5086">
              <w:rPr>
                <w:rFonts w:ascii="Times New Roman" w:hAnsi="Times New Roman" w:cs="Times New Roman"/>
                <w:lang w:val="en-GB"/>
              </w:rPr>
              <w:t>ausea</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16</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12</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v</w:t>
            </w:r>
            <w:r w:rsidR="000D5086">
              <w:rPr>
                <w:rFonts w:ascii="Times New Roman" w:hAnsi="Times New Roman" w:cs="Times New Roman"/>
                <w:lang w:val="en-GB"/>
              </w:rPr>
              <w:t>omiting</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6</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C861DA"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c</w:t>
            </w:r>
            <w:r w:rsidR="000D5086" w:rsidRPr="00C861DA">
              <w:rPr>
                <w:rFonts w:ascii="Times New Roman" w:hAnsi="Times New Roman" w:cs="Times New Roman"/>
                <w:lang w:val="en-GB"/>
              </w:rPr>
              <w:t>onstipation</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6</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3</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c>
          <w:tcPr>
            <w:tcW w:w="3060" w:type="dxa"/>
            <w:tcBorders>
              <w:top w:val="nil"/>
              <w:left w:val="single" w:sz="2" w:space="0" w:color="auto"/>
              <w:bottom w:val="nil"/>
              <w:right w:val="single" w:sz="4" w:space="0" w:color="auto"/>
            </w:tcBorders>
            <w:shd w:val="clear" w:color="auto" w:fill="auto"/>
            <w:vAlign w:val="center"/>
          </w:tcPr>
          <w:p w:rsidR="009825D9" w:rsidRPr="00C861DA" w:rsidRDefault="000D5086" w:rsidP="00655FA2">
            <w:pPr>
              <w:pStyle w:val="BayerTableRowHeadings"/>
              <w:keepNext w:val="0"/>
              <w:keepLines/>
              <w:tabs>
                <w:tab w:val="left" w:pos="273"/>
              </w:tabs>
              <w:rPr>
                <w:rFonts w:ascii="Times New Roman" w:hAnsi="Times New Roman" w:cs="Times New Roman"/>
                <w:b/>
                <w:lang w:val="en-GB"/>
              </w:rPr>
            </w:pPr>
            <w:r w:rsidRPr="00C861DA">
              <w:rPr>
                <w:rFonts w:ascii="Times New Roman" w:hAnsi="Times New Roman" w:cs="Times New Roman"/>
                <w:b/>
                <w:lang w:val="en-GB"/>
              </w:rPr>
              <w:t xml:space="preserve">Skin and </w:t>
            </w:r>
            <w:r w:rsidR="00C54710">
              <w:rPr>
                <w:rFonts w:ascii="Times New Roman" w:hAnsi="Times New Roman" w:cs="Times New Roman"/>
                <w:b/>
                <w:lang w:val="en-GB"/>
              </w:rPr>
              <w:t>S</w:t>
            </w:r>
            <w:r w:rsidR="00C861DA" w:rsidRPr="00C861DA">
              <w:rPr>
                <w:rFonts w:ascii="Times New Roman" w:hAnsi="Times New Roman" w:cs="Times New Roman"/>
                <w:b/>
                <w:lang w:val="en-GB"/>
              </w:rPr>
              <w:t>ubcutaneous</w:t>
            </w:r>
            <w:r w:rsidRPr="00C861DA">
              <w:rPr>
                <w:rFonts w:ascii="Times New Roman" w:hAnsi="Times New Roman" w:cs="Times New Roman"/>
                <w:b/>
                <w:lang w:val="en-GB"/>
              </w:rPr>
              <w:t xml:space="preserve"> Tissue Disorders</w:t>
            </w: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900" w:type="dxa"/>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9825D9" w:rsidRPr="000D5086" w:rsidRDefault="009825D9" w:rsidP="00655FA2">
            <w:pPr>
              <w:pStyle w:val="BayerTableStyleCentered"/>
              <w:keepNext w:val="0"/>
              <w:keepLines/>
              <w:rPr>
                <w:rFonts w:ascii="Times New Roman" w:hAnsi="Times New Roman" w:cs="Times New Roman"/>
                <w:lang w:val="en-GB"/>
              </w:rPr>
            </w:pP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r</w:t>
            </w:r>
            <w:r w:rsidR="000D5086">
              <w:rPr>
                <w:rFonts w:ascii="Times New Roman" w:hAnsi="Times New Roman" w:cs="Times New Roman"/>
                <w:lang w:val="en-GB"/>
              </w:rPr>
              <w:t>ash</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28</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9</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w:t>
            </w:r>
            <w:r w:rsidR="000D5086">
              <w:rPr>
                <w:rFonts w:ascii="Times New Roman" w:hAnsi="Times New Roman" w:cs="Times New Roman"/>
                <w:lang w:val="en-GB"/>
              </w:rPr>
              <w:t>lopecia</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25</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3</w:t>
            </w:r>
          </w:p>
        </w:tc>
        <w:tc>
          <w:tcPr>
            <w:tcW w:w="900" w:type="dxa"/>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0D5086"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046F8C">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h</w:t>
            </w:r>
            <w:r w:rsidR="00C861DA">
              <w:rPr>
                <w:rFonts w:ascii="Times New Roman" w:hAnsi="Times New Roman" w:cs="Times New Roman"/>
                <w:lang w:val="en-GB"/>
              </w:rPr>
              <w:t xml:space="preserve">and foot </w:t>
            </w:r>
            <w:r w:rsidR="00046F8C" w:rsidRPr="00046F8C">
              <w:rPr>
                <w:rFonts w:ascii="Times New Roman" w:hAnsi="Times New Roman" w:cs="Times New Roman"/>
                <w:lang w:val="en-GB"/>
              </w:rPr>
              <w:t xml:space="preserve">skin reaction </w:t>
            </w:r>
            <w:r w:rsidR="001C3829">
              <w:rPr>
                <w:rFonts w:ascii="Times New Roman" w:hAnsi="Times New Roman" w:cs="Times New Roman"/>
                <w:lang w:val="en-GB"/>
              </w:rPr>
              <w:t>**</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19</w:t>
            </w:r>
          </w:p>
        </w:tc>
        <w:tc>
          <w:tcPr>
            <w:tcW w:w="900" w:type="dxa"/>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4</w:t>
            </w:r>
          </w:p>
        </w:tc>
        <w:tc>
          <w:tcPr>
            <w:tcW w:w="900"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3</w:t>
            </w:r>
          </w:p>
        </w:tc>
        <w:tc>
          <w:tcPr>
            <w:tcW w:w="900" w:type="dxa"/>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p</w:t>
            </w:r>
            <w:r w:rsidR="00C861DA">
              <w:rPr>
                <w:rFonts w:ascii="Times New Roman" w:hAnsi="Times New Roman" w:cs="Times New Roman"/>
                <w:lang w:val="en-GB"/>
              </w:rPr>
              <w:t>ruritis</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17</w:t>
            </w:r>
          </w:p>
        </w:tc>
        <w:tc>
          <w:tcPr>
            <w:tcW w:w="900" w:type="dxa"/>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4</w:t>
            </w:r>
          </w:p>
        </w:tc>
        <w:tc>
          <w:tcPr>
            <w:tcW w:w="900" w:type="dxa"/>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ind w:left="288" w:hanging="288"/>
              <w:rPr>
                <w:rFonts w:ascii="Times New Roman" w:hAnsi="Times New Roman" w:cs="Times New Roman"/>
                <w:lang w:val="en-GB"/>
              </w:rPr>
            </w:pPr>
            <w:r>
              <w:rPr>
                <w:rFonts w:ascii="Times New Roman" w:hAnsi="Times New Roman" w:cs="Times New Roman"/>
                <w:lang w:val="en-GB"/>
              </w:rPr>
              <w:t>e</w:t>
            </w:r>
            <w:r w:rsidR="00C861DA">
              <w:rPr>
                <w:rFonts w:ascii="Times New Roman" w:hAnsi="Times New Roman" w:cs="Times New Roman"/>
                <w:lang w:val="en-GB"/>
              </w:rPr>
              <w:t>rythema</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15</w:t>
            </w:r>
          </w:p>
        </w:tc>
        <w:tc>
          <w:tcPr>
            <w:tcW w:w="900" w:type="dxa"/>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4</w:t>
            </w:r>
          </w:p>
        </w:tc>
        <w:tc>
          <w:tcPr>
            <w:tcW w:w="900" w:type="dxa"/>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C861DA"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lastRenderedPageBreak/>
              <w:t>d</w:t>
            </w:r>
            <w:r w:rsidR="00C861DA" w:rsidRPr="00C861DA">
              <w:rPr>
                <w:rFonts w:ascii="Times New Roman" w:hAnsi="Times New Roman" w:cs="Times New Roman"/>
                <w:lang w:val="en-GB"/>
              </w:rPr>
              <w:t>ry skin</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11</w:t>
            </w:r>
          </w:p>
        </w:tc>
        <w:tc>
          <w:tcPr>
            <w:tcW w:w="900" w:type="dxa"/>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w:t>
            </w:r>
          </w:p>
        </w:tc>
        <w:tc>
          <w:tcPr>
            <w:tcW w:w="900" w:type="dxa"/>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825D9"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825D9" w:rsidRPr="000D5086"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s</w:t>
            </w:r>
            <w:r w:rsidR="00C861DA">
              <w:rPr>
                <w:rFonts w:ascii="Times New Roman" w:hAnsi="Times New Roman" w:cs="Times New Roman"/>
                <w:lang w:val="en-GB"/>
              </w:rPr>
              <w:t>kin exfoliation</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7</w:t>
            </w:r>
          </w:p>
        </w:tc>
        <w:tc>
          <w:tcPr>
            <w:tcW w:w="900" w:type="dxa"/>
            <w:tcBorders>
              <w:top w:val="nil"/>
              <w:left w:val="nil"/>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w:t>
            </w:r>
          </w:p>
        </w:tc>
        <w:tc>
          <w:tcPr>
            <w:tcW w:w="900" w:type="dxa"/>
            <w:tcBorders>
              <w:top w:val="nil"/>
              <w:left w:val="nil"/>
              <w:bottom w:val="nil"/>
              <w:right w:val="nil"/>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825D9" w:rsidRPr="000D5086" w:rsidRDefault="00C861DA"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C861DA" w:rsidRPr="00EB44BE">
        <w:tc>
          <w:tcPr>
            <w:tcW w:w="3060" w:type="dxa"/>
            <w:tcBorders>
              <w:top w:val="nil"/>
              <w:left w:val="single" w:sz="2" w:space="0" w:color="auto"/>
              <w:bottom w:val="nil"/>
              <w:right w:val="single" w:sz="4" w:space="0" w:color="auto"/>
            </w:tcBorders>
            <w:shd w:val="clear" w:color="auto" w:fill="auto"/>
            <w:vAlign w:val="center"/>
          </w:tcPr>
          <w:p w:rsidR="00C861DA" w:rsidRPr="00C861DA" w:rsidRDefault="00C861DA" w:rsidP="00655FA2">
            <w:pPr>
              <w:pStyle w:val="BayerTableRowHeadings"/>
              <w:keepNext w:val="0"/>
              <w:keepLines/>
              <w:tabs>
                <w:tab w:val="left" w:pos="273"/>
              </w:tabs>
              <w:rPr>
                <w:rFonts w:ascii="Times New Roman" w:hAnsi="Times New Roman" w:cs="Times New Roman"/>
                <w:b/>
                <w:lang w:val="en-GB"/>
              </w:rPr>
            </w:pPr>
            <w:r w:rsidRPr="00C861DA">
              <w:rPr>
                <w:rFonts w:ascii="Times New Roman" w:hAnsi="Times New Roman" w:cs="Times New Roman"/>
                <w:b/>
                <w:lang w:val="en-GB"/>
              </w:rPr>
              <w:t>Musculoskeletal, Connective Tissue and Bone Disorders</w:t>
            </w:r>
          </w:p>
        </w:tc>
        <w:tc>
          <w:tcPr>
            <w:tcW w:w="1080" w:type="dxa"/>
            <w:tcBorders>
              <w:top w:val="nil"/>
              <w:left w:val="single" w:sz="4" w:space="0" w:color="auto"/>
              <w:bottom w:val="nil"/>
              <w:right w:val="nil"/>
            </w:tcBorders>
            <w:shd w:val="clear" w:color="auto" w:fill="auto"/>
            <w:vAlign w:val="center"/>
          </w:tcPr>
          <w:p w:rsidR="00C861DA" w:rsidRDefault="00C861DA"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C861DA" w:rsidRDefault="00C861DA"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C861DA" w:rsidRDefault="00C861DA" w:rsidP="00655FA2">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C861DA" w:rsidRDefault="00C861DA"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C861DA" w:rsidRDefault="00C861DA" w:rsidP="00655FA2">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C861DA" w:rsidRDefault="00C861DA" w:rsidP="00655FA2">
            <w:pPr>
              <w:pStyle w:val="BayerTableStyleCentered"/>
              <w:keepNext w:val="0"/>
              <w:keepLines/>
              <w:rPr>
                <w:rFonts w:ascii="Times New Roman" w:hAnsi="Times New Roman" w:cs="Times New Roman"/>
                <w:lang w:val="en-GB"/>
              </w:rPr>
            </w:pPr>
          </w:p>
        </w:tc>
      </w:tr>
      <w:tr w:rsidR="0094418E"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4418E"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w:t>
            </w:r>
            <w:r w:rsidR="0094418E">
              <w:rPr>
                <w:rFonts w:ascii="Times New Roman" w:hAnsi="Times New Roman" w:cs="Times New Roman"/>
                <w:lang w:val="en-GB"/>
              </w:rPr>
              <w:t>rthralgia</w:t>
            </w:r>
          </w:p>
        </w:tc>
        <w:tc>
          <w:tcPr>
            <w:tcW w:w="1080" w:type="dxa"/>
            <w:tcBorders>
              <w:top w:val="nil"/>
              <w:left w:val="single" w:sz="4" w:space="0" w:color="auto"/>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6</w:t>
            </w:r>
          </w:p>
        </w:tc>
        <w:tc>
          <w:tcPr>
            <w:tcW w:w="900" w:type="dxa"/>
            <w:tcBorders>
              <w:top w:val="nil"/>
              <w:left w:val="nil"/>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3</w:t>
            </w:r>
          </w:p>
        </w:tc>
        <w:tc>
          <w:tcPr>
            <w:tcW w:w="900" w:type="dxa"/>
            <w:tcBorders>
              <w:top w:val="nil"/>
              <w:left w:val="nil"/>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4418E"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4418E"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p</w:t>
            </w:r>
            <w:r w:rsidR="0094418E">
              <w:rPr>
                <w:rFonts w:ascii="Times New Roman" w:hAnsi="Times New Roman" w:cs="Times New Roman"/>
                <w:lang w:val="en-GB"/>
              </w:rPr>
              <w:t>ain in extremity</w:t>
            </w:r>
          </w:p>
        </w:tc>
        <w:tc>
          <w:tcPr>
            <w:tcW w:w="1080" w:type="dxa"/>
            <w:tcBorders>
              <w:top w:val="nil"/>
              <w:left w:val="single" w:sz="4" w:space="0" w:color="auto"/>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6</w:t>
            </w:r>
          </w:p>
        </w:tc>
        <w:tc>
          <w:tcPr>
            <w:tcW w:w="900" w:type="dxa"/>
            <w:tcBorders>
              <w:top w:val="nil"/>
              <w:left w:val="nil"/>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w:t>
            </w:r>
          </w:p>
        </w:tc>
        <w:tc>
          <w:tcPr>
            <w:tcW w:w="900" w:type="dxa"/>
            <w:tcBorders>
              <w:top w:val="nil"/>
              <w:left w:val="nil"/>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4418E" w:rsidRPr="00EB44BE">
        <w:tc>
          <w:tcPr>
            <w:tcW w:w="3060" w:type="dxa"/>
            <w:tcBorders>
              <w:top w:val="nil"/>
              <w:left w:val="single" w:sz="2" w:space="0" w:color="auto"/>
              <w:bottom w:val="nil"/>
              <w:right w:val="single" w:sz="4" w:space="0" w:color="auto"/>
            </w:tcBorders>
            <w:shd w:val="clear" w:color="auto" w:fill="auto"/>
            <w:vAlign w:val="center"/>
          </w:tcPr>
          <w:p w:rsidR="0094418E" w:rsidRPr="00C861DA" w:rsidRDefault="0094418E" w:rsidP="00655FA2">
            <w:pPr>
              <w:pStyle w:val="BayerTableRowHeadings"/>
              <w:keepNext w:val="0"/>
              <w:keepLines/>
              <w:tabs>
                <w:tab w:val="left" w:pos="273"/>
              </w:tabs>
              <w:rPr>
                <w:rFonts w:ascii="Times New Roman" w:hAnsi="Times New Roman" w:cs="Times New Roman"/>
                <w:b/>
                <w:lang w:val="en-GB"/>
              </w:rPr>
            </w:pPr>
            <w:r w:rsidRPr="00C861DA">
              <w:rPr>
                <w:rFonts w:ascii="Times New Roman" w:hAnsi="Times New Roman" w:cs="Times New Roman"/>
                <w:b/>
                <w:lang w:val="en-GB"/>
              </w:rPr>
              <w:t>General Disorders and Administrati</w:t>
            </w:r>
            <w:r>
              <w:rPr>
                <w:rFonts w:ascii="Times New Roman" w:hAnsi="Times New Roman" w:cs="Times New Roman"/>
                <w:b/>
                <w:lang w:val="en-GB"/>
              </w:rPr>
              <w:t>on</w:t>
            </w:r>
            <w:r w:rsidRPr="00C861DA">
              <w:rPr>
                <w:rFonts w:ascii="Times New Roman" w:hAnsi="Times New Roman" w:cs="Times New Roman"/>
                <w:b/>
                <w:lang w:val="en-GB"/>
              </w:rPr>
              <w:t xml:space="preserve"> Site Conditions</w:t>
            </w:r>
          </w:p>
        </w:tc>
        <w:tc>
          <w:tcPr>
            <w:tcW w:w="1080" w:type="dxa"/>
            <w:tcBorders>
              <w:top w:val="nil"/>
              <w:left w:val="single" w:sz="4" w:space="0" w:color="auto"/>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p>
        </w:tc>
      </w:tr>
      <w:tr w:rsidR="0094418E" w:rsidRPr="00EB44BE">
        <w:trPr>
          <w:trHeight w:val="323"/>
        </w:trPr>
        <w:tc>
          <w:tcPr>
            <w:tcW w:w="3060" w:type="dxa"/>
            <w:tcBorders>
              <w:top w:val="nil"/>
              <w:left w:val="single" w:sz="2" w:space="0" w:color="auto"/>
              <w:bottom w:val="nil"/>
              <w:right w:val="single" w:sz="4" w:space="0" w:color="auto"/>
            </w:tcBorders>
            <w:shd w:val="clear" w:color="auto" w:fill="auto"/>
            <w:vAlign w:val="center"/>
          </w:tcPr>
          <w:p w:rsidR="0094418E"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f</w:t>
            </w:r>
            <w:r w:rsidR="0094418E">
              <w:rPr>
                <w:rFonts w:ascii="Times New Roman" w:hAnsi="Times New Roman" w:cs="Times New Roman"/>
                <w:lang w:val="en-GB"/>
              </w:rPr>
              <w:t>atigue</w:t>
            </w:r>
          </w:p>
        </w:tc>
        <w:tc>
          <w:tcPr>
            <w:tcW w:w="1080" w:type="dxa"/>
            <w:tcBorders>
              <w:top w:val="nil"/>
              <w:left w:val="single" w:sz="4" w:space="0" w:color="auto"/>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15</w:t>
            </w:r>
          </w:p>
        </w:tc>
        <w:tc>
          <w:tcPr>
            <w:tcW w:w="900" w:type="dxa"/>
            <w:tcBorders>
              <w:top w:val="nil"/>
              <w:left w:val="nil"/>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2</w:t>
            </w:r>
          </w:p>
        </w:tc>
        <w:tc>
          <w:tcPr>
            <w:tcW w:w="900" w:type="dxa"/>
            <w:tcBorders>
              <w:top w:val="nil"/>
              <w:left w:val="nil"/>
              <w:bottom w:val="nil"/>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11</w:t>
            </w:r>
          </w:p>
        </w:tc>
        <w:tc>
          <w:tcPr>
            <w:tcW w:w="900" w:type="dxa"/>
            <w:tcBorders>
              <w:top w:val="nil"/>
              <w:left w:val="nil"/>
              <w:bottom w:val="nil"/>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4418E" w:rsidRPr="00EB44BE">
        <w:trPr>
          <w:trHeight w:val="323"/>
        </w:trPr>
        <w:tc>
          <w:tcPr>
            <w:tcW w:w="3060" w:type="dxa"/>
            <w:tcBorders>
              <w:top w:val="nil"/>
              <w:left w:val="single" w:sz="2" w:space="0" w:color="auto"/>
              <w:bottom w:val="single" w:sz="12" w:space="0" w:color="auto"/>
              <w:right w:val="single" w:sz="4" w:space="0" w:color="auto"/>
            </w:tcBorders>
            <w:shd w:val="clear" w:color="auto" w:fill="auto"/>
            <w:vAlign w:val="center"/>
          </w:tcPr>
          <w:p w:rsidR="0094418E" w:rsidRDefault="00554486" w:rsidP="00655FA2">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w:t>
            </w:r>
            <w:r w:rsidR="0094418E">
              <w:rPr>
                <w:rFonts w:ascii="Times New Roman" w:hAnsi="Times New Roman" w:cs="Times New Roman"/>
                <w:lang w:val="en-GB"/>
              </w:rPr>
              <w:t>sthenia</w:t>
            </w:r>
          </w:p>
        </w:tc>
        <w:tc>
          <w:tcPr>
            <w:tcW w:w="1080" w:type="dxa"/>
            <w:tcBorders>
              <w:top w:val="nil"/>
              <w:left w:val="single" w:sz="4" w:space="0" w:color="auto"/>
              <w:bottom w:val="single" w:sz="12" w:space="0" w:color="auto"/>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9</w:t>
            </w:r>
          </w:p>
        </w:tc>
        <w:tc>
          <w:tcPr>
            <w:tcW w:w="900" w:type="dxa"/>
            <w:tcBorders>
              <w:top w:val="nil"/>
              <w:left w:val="nil"/>
              <w:bottom w:val="single" w:sz="12" w:space="0" w:color="auto"/>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900" w:type="dxa"/>
            <w:tcBorders>
              <w:top w:val="nil"/>
              <w:left w:val="nil"/>
              <w:bottom w:val="single" w:sz="12" w:space="0" w:color="auto"/>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single" w:sz="12" w:space="0" w:color="auto"/>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4</w:t>
            </w:r>
          </w:p>
        </w:tc>
        <w:tc>
          <w:tcPr>
            <w:tcW w:w="900" w:type="dxa"/>
            <w:tcBorders>
              <w:top w:val="nil"/>
              <w:left w:val="nil"/>
              <w:bottom w:val="single" w:sz="12" w:space="0" w:color="auto"/>
              <w:right w:val="nil"/>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&lt;1</w:t>
            </w:r>
          </w:p>
        </w:tc>
        <w:tc>
          <w:tcPr>
            <w:tcW w:w="894" w:type="dxa"/>
            <w:tcBorders>
              <w:top w:val="nil"/>
              <w:left w:val="nil"/>
              <w:bottom w:val="single" w:sz="12" w:space="0" w:color="auto"/>
              <w:right w:val="single" w:sz="4" w:space="0" w:color="auto"/>
            </w:tcBorders>
            <w:shd w:val="clear" w:color="auto" w:fill="auto"/>
            <w:vAlign w:val="center"/>
          </w:tcPr>
          <w:p w:rsidR="0094418E" w:rsidRDefault="0094418E" w:rsidP="00655FA2">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bl>
    <w:p w:rsidR="00A27A48" w:rsidRDefault="007D474F" w:rsidP="00A27A48">
      <w:pPr>
        <w:rPr>
          <w:sz w:val="20"/>
          <w:szCs w:val="20"/>
        </w:rPr>
      </w:pPr>
      <w:r w:rsidRPr="00396903">
        <w:rPr>
          <w:sz w:val="20"/>
          <w:szCs w:val="20"/>
        </w:rPr>
        <w:t>** palmar plantar erythrodysaesthesia syndrome in MedDRA</w:t>
      </w:r>
    </w:p>
    <w:p w:rsidR="00E326EE" w:rsidRDefault="00E326EE" w:rsidP="00396E08">
      <w:pPr>
        <w:pStyle w:val="Heading2"/>
      </w:pPr>
      <w:r w:rsidRPr="00E326EE">
        <w:t xml:space="preserve">Differentiated </w:t>
      </w:r>
      <w:r w:rsidR="00C05893">
        <w:t>t</w:t>
      </w:r>
      <w:r w:rsidRPr="00E326EE">
        <w:t>hyroid carcinoma</w:t>
      </w:r>
    </w:p>
    <w:p w:rsidR="004A4DA6" w:rsidRPr="004A4DA6" w:rsidRDefault="004A4DA6" w:rsidP="004A4DA6">
      <w:pPr>
        <w:keepNext/>
        <w:tabs>
          <w:tab w:val="left" w:pos="11174"/>
          <w:tab w:val="left" w:pos="15142"/>
        </w:tabs>
        <w:suppressAutoHyphens/>
        <w:spacing w:before="240" w:after="120"/>
        <w:rPr>
          <w:rFonts w:eastAsia="SimSun"/>
          <w:b/>
          <w:sz w:val="22"/>
          <w:szCs w:val="20"/>
          <w:lang w:val="en-US" w:eastAsia="de-DE"/>
        </w:rPr>
      </w:pPr>
      <w:r w:rsidRPr="004A4DA6">
        <w:rPr>
          <w:rFonts w:eastAsia="SimSun"/>
          <w:b/>
          <w:sz w:val="22"/>
          <w:szCs w:val="20"/>
          <w:lang w:val="en-US" w:eastAsia="de-DE"/>
        </w:rPr>
        <w:t xml:space="preserve">Adverse </w:t>
      </w:r>
      <w:r w:rsidRPr="00120D5B">
        <w:rPr>
          <w:rFonts w:eastAsia="SimSun"/>
          <w:b/>
          <w:sz w:val="22"/>
          <w:szCs w:val="20"/>
          <w:lang w:val="en-US" w:eastAsia="de-DE"/>
        </w:rPr>
        <w:t>Reactions</w:t>
      </w:r>
      <w:r w:rsidRPr="004A4DA6">
        <w:rPr>
          <w:rFonts w:eastAsia="SimSun"/>
          <w:b/>
          <w:sz w:val="22"/>
          <w:szCs w:val="20"/>
          <w:lang w:val="en-US" w:eastAsia="de-DE"/>
        </w:rPr>
        <w:t xml:space="preserve"> in Differentiated Thyroid Carcinoma study</w:t>
      </w:r>
      <w:r w:rsidRPr="004A4DA6">
        <w:t xml:space="preserve"> </w:t>
      </w:r>
      <w:r w:rsidRPr="004A4DA6">
        <w:rPr>
          <w:rFonts w:eastAsia="SimSun"/>
          <w:b/>
          <w:sz w:val="22"/>
          <w:szCs w:val="20"/>
          <w:lang w:val="en-US" w:eastAsia="de-DE"/>
        </w:rPr>
        <w:t>14295: double blind period</w:t>
      </w:r>
    </w:p>
    <w:p w:rsidR="004A4DA6" w:rsidRPr="004A4DA6" w:rsidRDefault="004A4DA6" w:rsidP="004A4DA6">
      <w:pPr>
        <w:spacing w:after="240"/>
        <w:rPr>
          <w:rFonts w:eastAsia="SimSun"/>
          <w:szCs w:val="20"/>
          <w:lang w:val="en-US"/>
        </w:rPr>
      </w:pPr>
      <w:r w:rsidRPr="004A4DA6">
        <w:rPr>
          <w:rFonts w:eastAsia="SimSun"/>
          <w:szCs w:val="20"/>
          <w:lang w:val="en-US"/>
        </w:rPr>
        <w:t xml:space="preserve">Table </w:t>
      </w:r>
      <w:r w:rsidR="00AA22F2">
        <w:rPr>
          <w:rFonts w:eastAsia="SimSun"/>
          <w:szCs w:val="20"/>
          <w:lang w:val="en-US"/>
        </w:rPr>
        <w:t>5</w:t>
      </w:r>
      <w:r w:rsidRPr="004A4DA6">
        <w:rPr>
          <w:rFonts w:eastAsia="SimSun"/>
          <w:szCs w:val="20"/>
          <w:lang w:val="en-US"/>
        </w:rPr>
        <w:t xml:space="preserve"> shows the percentage of differentiated thyroid carcinoma patients experiencing </w:t>
      </w:r>
      <w:r w:rsidR="00120D5B" w:rsidRPr="00120D5B">
        <w:rPr>
          <w:rFonts w:eastAsia="SimSun"/>
          <w:szCs w:val="20"/>
          <w:lang w:val="en-US"/>
        </w:rPr>
        <w:t xml:space="preserve">adverse reactions (TEAE – treatment </w:t>
      </w:r>
      <w:r w:rsidR="008045CD">
        <w:rPr>
          <w:rFonts w:eastAsia="SimSun"/>
          <w:szCs w:val="20"/>
          <w:lang w:val="en-US"/>
        </w:rPr>
        <w:t xml:space="preserve">emergent </w:t>
      </w:r>
      <w:r w:rsidR="00120D5B" w:rsidRPr="00120D5B">
        <w:rPr>
          <w:rFonts w:eastAsia="SimSun"/>
          <w:szCs w:val="20"/>
          <w:lang w:val="en-US"/>
        </w:rPr>
        <w:t>adverse events)</w:t>
      </w:r>
      <w:r w:rsidRPr="004A4DA6">
        <w:rPr>
          <w:rFonts w:eastAsia="SimSun"/>
          <w:szCs w:val="20"/>
          <w:lang w:val="en-US"/>
        </w:rPr>
        <w:t xml:space="preserve"> that were reported in at least </w:t>
      </w:r>
      <w:r w:rsidR="00F83BE3">
        <w:rPr>
          <w:rFonts w:eastAsia="SimSun"/>
          <w:szCs w:val="20"/>
          <w:lang w:val="en-US"/>
        </w:rPr>
        <w:t>5</w:t>
      </w:r>
      <w:r w:rsidRPr="00F83BE3">
        <w:rPr>
          <w:rFonts w:eastAsia="SimSun"/>
          <w:szCs w:val="20"/>
          <w:lang w:val="en-US"/>
        </w:rPr>
        <w:t>%</w:t>
      </w:r>
      <w:r w:rsidRPr="004A4DA6">
        <w:rPr>
          <w:rFonts w:eastAsia="SimSun"/>
          <w:szCs w:val="20"/>
          <w:lang w:val="en-US"/>
        </w:rPr>
        <w:t xml:space="preserve"> of patients and at a higher rate in the </w:t>
      </w:r>
      <w:r w:rsidR="00395BFD">
        <w:rPr>
          <w:rFonts w:eastAsia="SimSun"/>
          <w:szCs w:val="20"/>
          <w:lang w:val="en-US"/>
        </w:rPr>
        <w:t>NEXAVAR</w:t>
      </w:r>
      <w:r w:rsidRPr="004A4DA6">
        <w:rPr>
          <w:rFonts w:eastAsia="SimSun"/>
          <w:szCs w:val="20"/>
          <w:lang w:val="en-US"/>
        </w:rPr>
        <w:t xml:space="preserve"> treated subjects than the placebo arm in double blind phase. </w:t>
      </w:r>
      <w:r w:rsidRPr="002D30AB">
        <w:rPr>
          <w:rFonts w:eastAsia="SimSun"/>
          <w:szCs w:val="20"/>
          <w:lang w:val="en-US"/>
        </w:rPr>
        <w:t xml:space="preserve">Grade 3 adverse </w:t>
      </w:r>
      <w:r w:rsidR="00120D5B">
        <w:rPr>
          <w:rFonts w:eastAsia="SimSun"/>
          <w:szCs w:val="20"/>
          <w:lang w:val="en-US"/>
        </w:rPr>
        <w:t>reactions</w:t>
      </w:r>
      <w:r w:rsidRPr="002D30AB">
        <w:rPr>
          <w:rFonts w:eastAsia="SimSun"/>
          <w:szCs w:val="20"/>
          <w:lang w:val="en-US"/>
        </w:rPr>
        <w:t xml:space="preserve"> were reported in 53% of patients receiving </w:t>
      </w:r>
      <w:r w:rsidR="00395BFD">
        <w:rPr>
          <w:rFonts w:eastAsia="SimSun"/>
          <w:szCs w:val="20"/>
          <w:lang w:val="en-US"/>
        </w:rPr>
        <w:t>NEXAVAR</w:t>
      </w:r>
      <w:r w:rsidRPr="002D30AB">
        <w:rPr>
          <w:rFonts w:eastAsia="SimSun"/>
          <w:szCs w:val="20"/>
          <w:lang w:val="en-US"/>
        </w:rPr>
        <w:t xml:space="preserve"> compared to 23% of patients receiving placebo. Grade 4 adverse </w:t>
      </w:r>
      <w:r w:rsidR="00120D5B">
        <w:rPr>
          <w:rFonts w:eastAsia="SimSun"/>
          <w:szCs w:val="20"/>
          <w:lang w:val="en-US"/>
        </w:rPr>
        <w:t>reactions</w:t>
      </w:r>
      <w:r w:rsidRPr="002D30AB">
        <w:rPr>
          <w:rFonts w:eastAsia="SimSun"/>
          <w:szCs w:val="20"/>
          <w:lang w:val="en-US"/>
        </w:rPr>
        <w:t xml:space="preserve"> were reported in 12% of patients receiving </w:t>
      </w:r>
      <w:r w:rsidR="00395BFD">
        <w:rPr>
          <w:rFonts w:eastAsia="SimSun"/>
          <w:szCs w:val="20"/>
          <w:lang w:val="en-US"/>
        </w:rPr>
        <w:t>NEXAVAR</w:t>
      </w:r>
      <w:r w:rsidRPr="002D30AB">
        <w:rPr>
          <w:rFonts w:eastAsia="SimSun"/>
          <w:szCs w:val="20"/>
          <w:lang w:val="en-US"/>
        </w:rPr>
        <w:t xml:space="preserve"> compared to 7% of patients receiving placebo.</w:t>
      </w:r>
      <w:r w:rsidRPr="004A4DA6">
        <w:rPr>
          <w:rFonts w:eastAsia="SimSun"/>
          <w:szCs w:val="20"/>
          <w:lang w:val="en-US"/>
        </w:rPr>
        <w:t xml:space="preserve"> </w:t>
      </w:r>
    </w:p>
    <w:p w:rsidR="004A4DA6" w:rsidRDefault="004A4DA6" w:rsidP="004A4DA6">
      <w:pPr>
        <w:keepNext/>
        <w:spacing w:before="120" w:after="120"/>
        <w:rPr>
          <w:rFonts w:eastAsia="SimSun"/>
          <w:b/>
          <w:lang w:val="en-US"/>
        </w:rPr>
      </w:pPr>
      <w:bookmarkStart w:id="3" w:name="_Ref353361433"/>
      <w:bookmarkStart w:id="4" w:name="_Toc353437991"/>
      <w:bookmarkStart w:id="5" w:name="_Toc353441406"/>
      <w:bookmarkStart w:id="6" w:name="_Toc354758358"/>
      <w:bookmarkStart w:id="7" w:name="_Toc354996400"/>
      <w:r w:rsidRPr="004A4DA6">
        <w:rPr>
          <w:rFonts w:eastAsia="SimSun"/>
          <w:b/>
          <w:lang w:val="en-US"/>
        </w:rPr>
        <w:t>Table</w:t>
      </w:r>
      <w:bookmarkEnd w:id="3"/>
      <w:r>
        <w:rPr>
          <w:rFonts w:eastAsia="SimSun"/>
          <w:b/>
          <w:lang w:val="en-US"/>
        </w:rPr>
        <w:t xml:space="preserve"> </w:t>
      </w:r>
      <w:r w:rsidR="00AA22F2">
        <w:rPr>
          <w:rFonts w:eastAsia="SimSun"/>
          <w:b/>
          <w:lang w:val="en-US"/>
        </w:rPr>
        <w:t>5</w:t>
      </w:r>
      <w:r w:rsidRPr="004A4DA6">
        <w:rPr>
          <w:rFonts w:eastAsia="SimSun"/>
          <w:b/>
          <w:lang w:val="en-US"/>
        </w:rPr>
        <w:t>.</w:t>
      </w:r>
      <w:bookmarkEnd w:id="4"/>
      <w:bookmarkEnd w:id="5"/>
      <w:bookmarkEnd w:id="6"/>
      <w:bookmarkEnd w:id="7"/>
      <w:r w:rsidRPr="004A4DA6">
        <w:rPr>
          <w:rFonts w:ascii="Arial" w:eastAsia="SimSun" w:hAnsi="Arial" w:hint="eastAsia"/>
          <w:b/>
          <w:sz w:val="20"/>
          <w:szCs w:val="20"/>
          <w:lang w:val="en-US"/>
        </w:rPr>
        <w:t xml:space="preserve"> </w:t>
      </w:r>
      <w:r w:rsidR="00F83BE3" w:rsidRPr="00F83BE3">
        <w:rPr>
          <w:rFonts w:eastAsia="SimSun"/>
          <w:b/>
          <w:lang w:val="en-US"/>
        </w:rPr>
        <w:t xml:space="preserve">Adverse reactions reported in at least 5% of patients </w:t>
      </w:r>
      <w:r w:rsidR="0059128D" w:rsidRPr="0059128D">
        <w:rPr>
          <w:rFonts w:eastAsia="SimSun"/>
          <w:b/>
          <w:lang w:val="en-US"/>
        </w:rPr>
        <w:t xml:space="preserve">treated with </w:t>
      </w:r>
      <w:r w:rsidR="00395BFD">
        <w:rPr>
          <w:rFonts w:eastAsia="SimSun"/>
          <w:b/>
          <w:lang w:val="en-US"/>
        </w:rPr>
        <w:t>NEXAVAR</w:t>
      </w:r>
      <w:r w:rsidR="0059128D" w:rsidRPr="0059128D">
        <w:rPr>
          <w:rFonts w:eastAsia="SimSun"/>
          <w:b/>
          <w:lang w:val="en-US"/>
        </w:rPr>
        <w:t xml:space="preserve"> and more commonly than in patients receiving placebo </w:t>
      </w:r>
      <w:r w:rsidR="00F83BE3" w:rsidRPr="00F83BE3">
        <w:rPr>
          <w:rFonts w:eastAsia="SimSun"/>
          <w:b/>
          <w:lang w:val="en-US"/>
        </w:rPr>
        <w:t>– Study 1</w:t>
      </w:r>
      <w:r w:rsidR="00F83BE3">
        <w:rPr>
          <w:rFonts w:eastAsia="SimSun"/>
          <w:b/>
          <w:lang w:val="en-US"/>
        </w:rPr>
        <w:t>4295</w:t>
      </w:r>
      <w:r w:rsidR="00F83BE3" w:rsidRPr="00F83BE3">
        <w:rPr>
          <w:rFonts w:eastAsia="SimSun"/>
          <w:b/>
          <w:lang w:val="en-US"/>
        </w:rPr>
        <w:t xml:space="preserve"> in </w:t>
      </w:r>
      <w:r w:rsidR="00F83BE3">
        <w:rPr>
          <w:rFonts w:eastAsia="SimSun"/>
          <w:b/>
          <w:lang w:val="en-US"/>
        </w:rPr>
        <w:t>differentiated thyroid</w:t>
      </w:r>
      <w:r w:rsidR="00F83BE3" w:rsidRPr="00F83BE3">
        <w:rPr>
          <w:rFonts w:eastAsia="SimSun"/>
          <w:b/>
          <w:lang w:val="en-US"/>
        </w:rPr>
        <w:t xml:space="preserve"> carcinoma </w:t>
      </w:r>
      <w:r w:rsidR="004A2FED" w:rsidRPr="004A2FED">
        <w:rPr>
          <w:rFonts w:eastAsia="SimSun"/>
          <w:b/>
          <w:lang w:val="en-US"/>
        </w:rPr>
        <w:t>(double blind period, safety analysis set)</w:t>
      </w:r>
      <w:r w:rsidR="004A2FED">
        <w:rPr>
          <w:rFonts w:eastAsia="SimSun"/>
          <w:b/>
          <w:lang w:val="en-US"/>
        </w:rPr>
        <w:t xml:space="preserve"> -</w:t>
      </w:r>
      <w:r w:rsidR="004A2FED" w:rsidRPr="004A2FED">
        <w:rPr>
          <w:rFonts w:eastAsia="SimSun"/>
          <w:b/>
          <w:lang w:val="en-US"/>
        </w:rPr>
        <w:t xml:space="preserve"> </w:t>
      </w:r>
      <w:r w:rsidR="00F83BE3" w:rsidRPr="00F83BE3">
        <w:rPr>
          <w:rFonts w:eastAsia="SimSun"/>
          <w:b/>
          <w:lang w:val="en-US"/>
        </w:rPr>
        <w:t>see CLINICAL TRIALS</w:t>
      </w:r>
    </w:p>
    <w:tbl>
      <w:tblPr>
        <w:tblW w:w="8814" w:type="dxa"/>
        <w:tblInd w:w="72" w:type="dxa"/>
        <w:tblLayout w:type="fixed"/>
        <w:tblCellMar>
          <w:left w:w="72" w:type="dxa"/>
          <w:right w:w="72" w:type="dxa"/>
        </w:tblCellMar>
        <w:tblLook w:val="0000" w:firstRow="0" w:lastRow="0" w:firstColumn="0" w:lastColumn="0" w:noHBand="0" w:noVBand="0"/>
      </w:tblPr>
      <w:tblGrid>
        <w:gridCol w:w="3060"/>
        <w:gridCol w:w="1080"/>
        <w:gridCol w:w="900"/>
        <w:gridCol w:w="900"/>
        <w:gridCol w:w="1080"/>
        <w:gridCol w:w="900"/>
        <w:gridCol w:w="894"/>
        <w:tblGridChange w:id="8">
          <w:tblGrid>
            <w:gridCol w:w="3060"/>
            <w:gridCol w:w="1080"/>
            <w:gridCol w:w="900"/>
            <w:gridCol w:w="900"/>
            <w:gridCol w:w="1080"/>
            <w:gridCol w:w="900"/>
            <w:gridCol w:w="894"/>
          </w:tblGrid>
        </w:tblGridChange>
      </w:tblGrid>
      <w:tr w:rsidR="00F83BE3" w:rsidRPr="00EB44BE" w:rsidTr="00416DCA">
        <w:trPr>
          <w:tblHeader/>
        </w:trPr>
        <w:tc>
          <w:tcPr>
            <w:tcW w:w="3060" w:type="dxa"/>
            <w:vMerge w:val="restart"/>
            <w:tcBorders>
              <w:top w:val="single" w:sz="12" w:space="0" w:color="auto"/>
              <w:left w:val="single" w:sz="2" w:space="0" w:color="auto"/>
              <w:bottom w:val="single" w:sz="6" w:space="0" w:color="auto"/>
              <w:right w:val="single" w:sz="4" w:space="0" w:color="auto"/>
            </w:tcBorders>
            <w:shd w:val="clear" w:color="auto" w:fill="auto"/>
            <w:vAlign w:val="center"/>
          </w:tcPr>
          <w:p w:rsidR="00F83BE3" w:rsidRDefault="00F83BE3" w:rsidP="00416DCA">
            <w:pPr>
              <w:pStyle w:val="BayerTableColumnHeadings"/>
              <w:keepNext w:val="0"/>
              <w:keepLines/>
              <w:rPr>
                <w:rFonts w:ascii="Times New Roman" w:hAnsi="Times New Roman" w:cs="Times New Roman"/>
                <w:lang w:val="en-GB"/>
              </w:rPr>
            </w:pPr>
          </w:p>
          <w:p w:rsidR="00F83BE3" w:rsidRPr="000D5086" w:rsidRDefault="00F83BE3" w:rsidP="00416DCA">
            <w:pPr>
              <w:pStyle w:val="BayerTableColumnHeadings"/>
              <w:keepNext w:val="0"/>
              <w:keepLines/>
              <w:rPr>
                <w:rFonts w:ascii="Times New Roman" w:hAnsi="Times New Roman" w:cs="Times New Roman"/>
                <w:lang w:val="en-GB"/>
              </w:rPr>
            </w:pPr>
            <w:r>
              <w:rPr>
                <w:rFonts w:ascii="Times New Roman" w:hAnsi="Times New Roman" w:cs="Times New Roman"/>
                <w:lang w:val="en-GB"/>
              </w:rPr>
              <w:t>System Organ Class/ Preferred term</w:t>
            </w:r>
          </w:p>
        </w:tc>
        <w:tc>
          <w:tcPr>
            <w:tcW w:w="2880" w:type="dxa"/>
            <w:gridSpan w:val="3"/>
            <w:tcBorders>
              <w:top w:val="single" w:sz="12" w:space="0" w:color="auto"/>
              <w:left w:val="single" w:sz="4" w:space="0" w:color="auto"/>
              <w:bottom w:val="single" w:sz="2" w:space="0" w:color="auto"/>
              <w:right w:val="single" w:sz="4" w:space="0" w:color="auto"/>
            </w:tcBorders>
            <w:shd w:val="clear" w:color="auto" w:fill="auto"/>
            <w:vAlign w:val="center"/>
          </w:tcPr>
          <w:p w:rsidR="00F83BE3" w:rsidRPr="000D5086" w:rsidRDefault="00395BFD" w:rsidP="00065ADE">
            <w:pPr>
              <w:pStyle w:val="BayerTableColumnHeadings"/>
              <w:keepNext w:val="0"/>
              <w:keepLines/>
              <w:rPr>
                <w:rFonts w:ascii="Times New Roman" w:hAnsi="Times New Roman" w:cs="Times New Roman"/>
                <w:lang w:val="en-GB"/>
              </w:rPr>
            </w:pPr>
            <w:r>
              <w:rPr>
                <w:rFonts w:ascii="Times New Roman" w:hAnsi="Times New Roman" w:cs="Times New Roman"/>
                <w:lang w:val="en-GB"/>
              </w:rPr>
              <w:t>NEXAVAR</w:t>
            </w:r>
            <w:r w:rsidR="00F83BE3" w:rsidRPr="000D5086">
              <w:rPr>
                <w:rFonts w:ascii="Times New Roman" w:hAnsi="Times New Roman" w:cs="Times New Roman"/>
                <w:lang w:val="en-GB"/>
              </w:rPr>
              <w:t xml:space="preserve"> N = </w:t>
            </w:r>
            <w:r w:rsidR="00065ADE">
              <w:rPr>
                <w:rFonts w:ascii="Times New Roman" w:hAnsi="Times New Roman" w:cs="Times New Roman"/>
                <w:lang w:val="en-GB"/>
              </w:rPr>
              <w:t>207</w:t>
            </w:r>
          </w:p>
        </w:tc>
        <w:tc>
          <w:tcPr>
            <w:tcW w:w="2874" w:type="dxa"/>
            <w:gridSpan w:val="3"/>
            <w:tcBorders>
              <w:top w:val="single" w:sz="12" w:space="0" w:color="auto"/>
              <w:left w:val="single" w:sz="4" w:space="0" w:color="auto"/>
              <w:bottom w:val="single" w:sz="2" w:space="0" w:color="auto"/>
              <w:right w:val="single" w:sz="4" w:space="0" w:color="auto"/>
            </w:tcBorders>
            <w:shd w:val="clear" w:color="auto" w:fill="auto"/>
            <w:vAlign w:val="center"/>
          </w:tcPr>
          <w:p w:rsidR="00F83BE3" w:rsidRPr="000D5086" w:rsidRDefault="00F83BE3" w:rsidP="00065ADE">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 xml:space="preserve">Placebo N = </w:t>
            </w:r>
            <w:r w:rsidR="00065ADE">
              <w:rPr>
                <w:rFonts w:ascii="Times New Roman" w:hAnsi="Times New Roman" w:cs="Times New Roman"/>
                <w:lang w:val="en-GB"/>
              </w:rPr>
              <w:t>209</w:t>
            </w:r>
          </w:p>
        </w:tc>
      </w:tr>
      <w:tr w:rsidR="00F83BE3" w:rsidRPr="00EB44BE" w:rsidTr="00416DCA">
        <w:trPr>
          <w:trHeight w:val="729"/>
          <w:tblHeader/>
        </w:trPr>
        <w:tc>
          <w:tcPr>
            <w:tcW w:w="3060" w:type="dxa"/>
            <w:vMerge/>
            <w:tcBorders>
              <w:top w:val="single" w:sz="12" w:space="0" w:color="auto"/>
              <w:left w:val="single" w:sz="2" w:space="0" w:color="auto"/>
              <w:bottom w:val="single" w:sz="6" w:space="0" w:color="auto"/>
              <w:right w:val="single" w:sz="4" w:space="0" w:color="auto"/>
            </w:tcBorders>
            <w:shd w:val="clear" w:color="auto" w:fill="auto"/>
            <w:vAlign w:val="center"/>
          </w:tcPr>
          <w:p w:rsidR="00F83BE3" w:rsidRPr="000D5086" w:rsidRDefault="00F83BE3" w:rsidP="00416DCA">
            <w:pPr>
              <w:widowControl w:val="0"/>
              <w:rPr>
                <w:b/>
                <w:bCs/>
                <w:sz w:val="20"/>
                <w:szCs w:val="20"/>
              </w:rPr>
            </w:pPr>
          </w:p>
        </w:tc>
        <w:tc>
          <w:tcPr>
            <w:tcW w:w="1080" w:type="dxa"/>
            <w:tcBorders>
              <w:top w:val="single" w:sz="2" w:space="0" w:color="auto"/>
              <w:left w:val="single" w:sz="4" w:space="0" w:color="auto"/>
              <w:bottom w:val="single" w:sz="6" w:space="0" w:color="auto"/>
              <w:right w:val="nil"/>
            </w:tcBorders>
            <w:shd w:val="clear" w:color="auto" w:fill="auto"/>
            <w:vAlign w:val="center"/>
          </w:tcPr>
          <w:p w:rsidR="00F83BE3" w:rsidRPr="000D5086"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All Grades</w:t>
            </w:r>
          </w:p>
          <w:p w:rsidR="00F83BE3" w:rsidRPr="000D5086"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w:t>
            </w:r>
          </w:p>
        </w:tc>
        <w:tc>
          <w:tcPr>
            <w:tcW w:w="900" w:type="dxa"/>
            <w:tcBorders>
              <w:top w:val="single" w:sz="2" w:space="0" w:color="auto"/>
              <w:left w:val="nil"/>
              <w:bottom w:val="single" w:sz="6" w:space="0" w:color="auto"/>
              <w:right w:val="nil"/>
            </w:tcBorders>
            <w:shd w:val="clear" w:color="auto" w:fill="auto"/>
            <w:vAlign w:val="center"/>
          </w:tcPr>
          <w:p w:rsidR="00F83BE3" w:rsidRPr="000D5086"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Grade 3</w:t>
            </w:r>
            <w:r w:rsidRPr="000D5086">
              <w:rPr>
                <w:rFonts w:ascii="Times New Roman" w:hAnsi="Times New Roman" w:cs="Times New Roman"/>
                <w:lang w:val="en-GB"/>
              </w:rPr>
              <w:br/>
              <w:t xml:space="preserve">% </w:t>
            </w:r>
          </w:p>
        </w:tc>
        <w:tc>
          <w:tcPr>
            <w:tcW w:w="900" w:type="dxa"/>
            <w:tcBorders>
              <w:top w:val="single" w:sz="2" w:space="0" w:color="auto"/>
              <w:left w:val="nil"/>
              <w:bottom w:val="single" w:sz="6" w:space="0" w:color="auto"/>
              <w:right w:val="single" w:sz="4" w:space="0" w:color="auto"/>
            </w:tcBorders>
            <w:shd w:val="clear" w:color="auto" w:fill="auto"/>
            <w:vAlign w:val="center"/>
          </w:tcPr>
          <w:p w:rsidR="00F83BE3" w:rsidRPr="000D5086"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Grade 4</w:t>
            </w:r>
            <w:r w:rsidRPr="000D5086">
              <w:rPr>
                <w:rFonts w:ascii="Times New Roman" w:hAnsi="Times New Roman" w:cs="Times New Roman"/>
                <w:lang w:val="en-GB"/>
              </w:rPr>
              <w:br/>
              <w:t>%</w:t>
            </w:r>
          </w:p>
        </w:tc>
        <w:tc>
          <w:tcPr>
            <w:tcW w:w="1080" w:type="dxa"/>
            <w:tcBorders>
              <w:top w:val="single" w:sz="2" w:space="0" w:color="auto"/>
              <w:left w:val="single" w:sz="4" w:space="0" w:color="auto"/>
              <w:bottom w:val="single" w:sz="6" w:space="0" w:color="auto"/>
              <w:right w:val="nil"/>
            </w:tcBorders>
            <w:shd w:val="clear" w:color="auto" w:fill="auto"/>
            <w:vAlign w:val="center"/>
          </w:tcPr>
          <w:p w:rsidR="00F83BE3" w:rsidRPr="000D5086"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 xml:space="preserve">All Grades </w:t>
            </w:r>
          </w:p>
          <w:p w:rsidR="00F83BE3" w:rsidRPr="000D5086"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w:t>
            </w:r>
          </w:p>
        </w:tc>
        <w:tc>
          <w:tcPr>
            <w:tcW w:w="900" w:type="dxa"/>
            <w:tcBorders>
              <w:top w:val="single" w:sz="2" w:space="0" w:color="auto"/>
              <w:left w:val="nil"/>
              <w:bottom w:val="single" w:sz="6" w:space="0" w:color="auto"/>
              <w:right w:val="nil"/>
            </w:tcBorders>
            <w:shd w:val="clear" w:color="auto" w:fill="auto"/>
            <w:vAlign w:val="center"/>
          </w:tcPr>
          <w:p w:rsidR="00F83BE3" w:rsidRPr="000D5086"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Grade 3</w:t>
            </w:r>
            <w:r w:rsidRPr="000D5086">
              <w:rPr>
                <w:rFonts w:ascii="Times New Roman" w:hAnsi="Times New Roman" w:cs="Times New Roman"/>
                <w:lang w:val="en-GB"/>
              </w:rPr>
              <w:br/>
              <w:t>%</w:t>
            </w:r>
          </w:p>
        </w:tc>
        <w:tc>
          <w:tcPr>
            <w:tcW w:w="894" w:type="dxa"/>
            <w:tcBorders>
              <w:top w:val="single" w:sz="2" w:space="0" w:color="auto"/>
              <w:left w:val="nil"/>
              <w:bottom w:val="single" w:sz="6" w:space="0" w:color="auto"/>
              <w:right w:val="single" w:sz="4" w:space="0" w:color="auto"/>
            </w:tcBorders>
            <w:shd w:val="clear" w:color="auto" w:fill="auto"/>
            <w:vAlign w:val="center"/>
          </w:tcPr>
          <w:p w:rsidR="00F83BE3"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Grade 4</w:t>
            </w:r>
          </w:p>
          <w:p w:rsidR="00F83BE3" w:rsidRPr="000D5086" w:rsidRDefault="00F83BE3" w:rsidP="00416DCA">
            <w:pPr>
              <w:pStyle w:val="BayerTableColumnHeadings"/>
              <w:keepNext w:val="0"/>
              <w:keepLines/>
              <w:rPr>
                <w:rFonts w:ascii="Times New Roman" w:hAnsi="Times New Roman" w:cs="Times New Roman"/>
                <w:lang w:val="en-GB"/>
              </w:rPr>
            </w:pPr>
            <w:r w:rsidRPr="000D5086">
              <w:rPr>
                <w:rFonts w:ascii="Times New Roman" w:hAnsi="Times New Roman" w:cs="Times New Roman"/>
                <w:lang w:val="en-GB"/>
              </w:rPr>
              <w:t>%</w:t>
            </w:r>
          </w:p>
        </w:tc>
      </w:tr>
      <w:tr w:rsidR="00F83BE3" w:rsidRPr="00EB44BE" w:rsidTr="00416DCA">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b/>
                <w:lang w:val="en-GB"/>
              </w:rPr>
            </w:pPr>
            <w:r>
              <w:rPr>
                <w:rFonts w:ascii="Times New Roman" w:hAnsi="Times New Roman" w:cs="Times New Roman"/>
                <w:b/>
                <w:lang w:val="en-GB"/>
              </w:rPr>
              <w:t>Metabolism and Nutrition Disorders</w:t>
            </w: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b/>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b/>
                <w:lang w:val="en-GB"/>
              </w:rPr>
            </w:pPr>
          </w:p>
        </w:tc>
        <w:tc>
          <w:tcPr>
            <w:tcW w:w="900"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b/>
                <w:lang w:val="en-GB"/>
              </w:rPr>
            </w:pP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b/>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b/>
                <w:lang w:val="en-GB"/>
              </w:rPr>
            </w:pP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b/>
                <w:lang w:val="en-GB"/>
              </w:rPr>
            </w:pP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anorexia</w:t>
            </w: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30.4</w:t>
            </w:r>
          </w:p>
        </w:tc>
        <w:tc>
          <w:tcPr>
            <w:tcW w:w="900" w:type="dxa"/>
            <w:shd w:val="clear" w:color="auto" w:fill="auto"/>
            <w:vAlign w:val="center"/>
          </w:tcPr>
          <w:p w:rsidR="00F83BE3" w:rsidRPr="000D5086"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1.9</w:t>
            </w:r>
          </w:p>
        </w:tc>
        <w:tc>
          <w:tcPr>
            <w:tcW w:w="900"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4.8</w:t>
            </w:r>
          </w:p>
        </w:tc>
        <w:tc>
          <w:tcPr>
            <w:tcW w:w="900" w:type="dxa"/>
            <w:shd w:val="clear" w:color="auto" w:fill="auto"/>
            <w:vAlign w:val="center"/>
          </w:tcPr>
          <w:p w:rsidR="00F83BE3" w:rsidRPr="000D5086"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F716C"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9F716C" w:rsidRDefault="009F716C"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hypocalcaemia</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16.4</w:t>
            </w:r>
          </w:p>
        </w:tc>
        <w:tc>
          <w:tcPr>
            <w:tcW w:w="900" w:type="dxa"/>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5.8</w:t>
            </w:r>
          </w:p>
        </w:tc>
        <w:tc>
          <w:tcPr>
            <w:tcW w:w="900"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2.9</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4.8</w:t>
            </w:r>
          </w:p>
        </w:tc>
        <w:tc>
          <w:tcPr>
            <w:tcW w:w="900" w:type="dxa"/>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sidRPr="009F716C">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r>
      <w:tr w:rsidR="009F716C"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9F716C" w:rsidRDefault="009F716C"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hypokalaemia</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6.8</w:t>
            </w:r>
          </w:p>
        </w:tc>
        <w:tc>
          <w:tcPr>
            <w:tcW w:w="900" w:type="dxa"/>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1.4</w:t>
            </w:r>
          </w:p>
        </w:tc>
        <w:tc>
          <w:tcPr>
            <w:tcW w:w="900"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2.4</w:t>
            </w:r>
          </w:p>
        </w:tc>
        <w:tc>
          <w:tcPr>
            <w:tcW w:w="900" w:type="dxa"/>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b/>
                <w:lang w:val="en-GB"/>
              </w:rPr>
            </w:pPr>
            <w:r>
              <w:rPr>
                <w:rFonts w:ascii="Times New Roman" w:hAnsi="Times New Roman" w:cs="Times New Roman"/>
                <w:b/>
                <w:lang w:val="en-GB"/>
              </w:rPr>
              <w:t>Nervous System Disorders</w:t>
            </w: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headache</w:t>
            </w:r>
          </w:p>
        </w:tc>
        <w:tc>
          <w:tcPr>
            <w:tcW w:w="1080" w:type="dxa"/>
            <w:tcBorders>
              <w:top w:val="nil"/>
              <w:left w:val="single" w:sz="4" w:space="0" w:color="auto"/>
              <w:bottom w:val="nil"/>
              <w:right w:val="nil"/>
            </w:tcBorders>
            <w:shd w:val="clear" w:color="auto" w:fill="auto"/>
            <w:vAlign w:val="center"/>
          </w:tcPr>
          <w:p w:rsidR="00F83BE3" w:rsidRPr="000D5086"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w:t>
            </w:r>
            <w:r w:rsidR="00F83BE3">
              <w:rPr>
                <w:rFonts w:ascii="Times New Roman" w:hAnsi="Times New Roman" w:cs="Times New Roman"/>
                <w:lang w:val="en-GB"/>
              </w:rPr>
              <w:t>6</w:t>
            </w:r>
            <w:r>
              <w:rPr>
                <w:rFonts w:ascii="Times New Roman" w:hAnsi="Times New Roman" w:cs="Times New Roman"/>
                <w:lang w:val="en-GB"/>
              </w:rPr>
              <w:t>.9</w:t>
            </w: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6.2</w:t>
            </w: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C4468A"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C4468A" w:rsidRDefault="00C4468A"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paraesthesia</w:t>
            </w:r>
          </w:p>
        </w:tc>
        <w:tc>
          <w:tcPr>
            <w:tcW w:w="1080" w:type="dxa"/>
            <w:tcBorders>
              <w:top w:val="nil"/>
              <w:left w:val="single" w:sz="4" w:space="0" w:color="auto"/>
              <w:bottom w:val="nil"/>
              <w:right w:val="nil"/>
            </w:tcBorders>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7.2</w:t>
            </w:r>
          </w:p>
        </w:tc>
        <w:tc>
          <w:tcPr>
            <w:tcW w:w="900" w:type="dxa"/>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sidRPr="00C4468A">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2.9</w:t>
            </w:r>
          </w:p>
        </w:tc>
        <w:tc>
          <w:tcPr>
            <w:tcW w:w="900" w:type="dxa"/>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59128D" w:rsidTr="00CF3FA9">
        <w:trPr>
          <w:trHeight w:val="323"/>
        </w:trPr>
        <w:tc>
          <w:tcPr>
            <w:tcW w:w="3060" w:type="dxa"/>
            <w:tcBorders>
              <w:top w:val="nil"/>
              <w:left w:val="single" w:sz="2" w:space="0" w:color="auto"/>
              <w:bottom w:val="nil"/>
              <w:right w:val="single" w:sz="4" w:space="0" w:color="auto"/>
            </w:tcBorders>
            <w:shd w:val="clear" w:color="auto" w:fill="auto"/>
            <w:vAlign w:val="center"/>
          </w:tcPr>
          <w:p w:rsidR="0059128D" w:rsidRDefault="005847D5" w:rsidP="00CF3FA9">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d</w:t>
            </w:r>
            <w:r w:rsidR="0059128D">
              <w:rPr>
                <w:rFonts w:ascii="Times New Roman" w:hAnsi="Times New Roman" w:cs="Times New Roman"/>
                <w:lang w:val="en-GB"/>
              </w:rPr>
              <w:t>izziness</w:t>
            </w:r>
          </w:p>
        </w:tc>
        <w:tc>
          <w:tcPr>
            <w:tcW w:w="1080" w:type="dxa"/>
            <w:tcBorders>
              <w:top w:val="nil"/>
              <w:left w:val="single" w:sz="4" w:space="0" w:color="auto"/>
              <w:bottom w:val="nil"/>
              <w:right w:val="nil"/>
            </w:tcBorders>
            <w:shd w:val="clear" w:color="auto" w:fill="auto"/>
            <w:vAlign w:val="center"/>
          </w:tcPr>
          <w:p w:rsidR="0059128D"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6.3</w:t>
            </w:r>
          </w:p>
        </w:tc>
        <w:tc>
          <w:tcPr>
            <w:tcW w:w="900" w:type="dxa"/>
            <w:shd w:val="clear" w:color="auto" w:fill="auto"/>
            <w:vAlign w:val="center"/>
          </w:tcPr>
          <w:p w:rsidR="0059128D"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59128D"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59128D"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2.4</w:t>
            </w:r>
          </w:p>
        </w:tc>
        <w:tc>
          <w:tcPr>
            <w:tcW w:w="900" w:type="dxa"/>
            <w:shd w:val="clear" w:color="auto" w:fill="auto"/>
            <w:vAlign w:val="center"/>
          </w:tcPr>
          <w:p w:rsidR="0059128D"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59128D"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C4468A"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C4468A"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d</w:t>
            </w:r>
            <w:r w:rsidR="00C4468A">
              <w:rPr>
                <w:rFonts w:ascii="Times New Roman" w:hAnsi="Times New Roman" w:cs="Times New Roman"/>
                <w:lang w:val="en-GB"/>
              </w:rPr>
              <w:t>ysgeusia</w:t>
            </w:r>
          </w:p>
        </w:tc>
        <w:tc>
          <w:tcPr>
            <w:tcW w:w="1080" w:type="dxa"/>
            <w:tcBorders>
              <w:top w:val="nil"/>
              <w:left w:val="single" w:sz="4" w:space="0" w:color="auto"/>
              <w:bottom w:val="nil"/>
              <w:right w:val="nil"/>
            </w:tcBorders>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5.8</w:t>
            </w:r>
          </w:p>
        </w:tc>
        <w:tc>
          <w:tcPr>
            <w:tcW w:w="900" w:type="dxa"/>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C4468A"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b/>
                <w:lang w:val="en-GB"/>
              </w:rPr>
            </w:pPr>
            <w:r>
              <w:rPr>
                <w:rFonts w:ascii="Times New Roman" w:hAnsi="Times New Roman" w:cs="Times New Roman"/>
                <w:b/>
                <w:lang w:val="en-GB"/>
              </w:rPr>
              <w:t>Vascular Disorders</w:t>
            </w: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hypertension</w:t>
            </w:r>
          </w:p>
        </w:tc>
        <w:tc>
          <w:tcPr>
            <w:tcW w:w="1080" w:type="dxa"/>
            <w:tcBorders>
              <w:top w:val="nil"/>
              <w:left w:val="single" w:sz="4" w:space="0" w:color="auto"/>
              <w:bottom w:val="nil"/>
              <w:right w:val="nil"/>
            </w:tcBorders>
            <w:shd w:val="clear" w:color="auto" w:fill="auto"/>
            <w:vAlign w:val="center"/>
          </w:tcPr>
          <w:p w:rsidR="00F83BE3" w:rsidRPr="000D5086" w:rsidRDefault="00C4468A" w:rsidP="00416DCA">
            <w:pPr>
              <w:pStyle w:val="BayerTableStyleCentered"/>
              <w:keepNext w:val="0"/>
              <w:keepLines/>
              <w:rPr>
                <w:rFonts w:ascii="Times New Roman" w:hAnsi="Times New Roman" w:cs="Times New Roman"/>
                <w:lang w:val="en-GB"/>
              </w:rPr>
            </w:pPr>
            <w:r w:rsidRPr="008045CD">
              <w:rPr>
                <w:rFonts w:ascii="Times New Roman" w:hAnsi="Times New Roman" w:cs="Times New Roman"/>
                <w:lang w:val="en-GB"/>
              </w:rPr>
              <w:t>38.2</w:t>
            </w:r>
          </w:p>
        </w:tc>
        <w:tc>
          <w:tcPr>
            <w:tcW w:w="900" w:type="dxa"/>
            <w:shd w:val="clear" w:color="auto" w:fill="auto"/>
            <w:vAlign w:val="center"/>
          </w:tcPr>
          <w:p w:rsidR="00F83BE3" w:rsidRPr="000D5086"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9.</w:t>
            </w:r>
            <w:r w:rsidR="00F83BE3">
              <w:rPr>
                <w:rFonts w:ascii="Times New Roman" w:hAnsi="Times New Roman" w:cs="Times New Roman"/>
                <w:lang w:val="en-GB"/>
              </w:rPr>
              <w:t>2</w:t>
            </w:r>
          </w:p>
        </w:tc>
        <w:tc>
          <w:tcPr>
            <w:tcW w:w="900" w:type="dxa"/>
            <w:tcBorders>
              <w:top w:val="nil"/>
              <w:left w:val="nil"/>
              <w:bottom w:val="nil"/>
              <w:right w:val="single" w:sz="4" w:space="0" w:color="auto"/>
            </w:tcBorders>
            <w:shd w:val="clear" w:color="auto" w:fill="auto"/>
            <w:vAlign w:val="center"/>
          </w:tcPr>
          <w:p w:rsidR="00F83BE3" w:rsidRPr="000D5086" w:rsidRDefault="00C4468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sidRPr="008045CD">
              <w:rPr>
                <w:rFonts w:ascii="Times New Roman" w:hAnsi="Times New Roman" w:cs="Times New Roman"/>
                <w:lang w:val="en-GB"/>
              </w:rPr>
              <w:t>1</w:t>
            </w:r>
            <w:r w:rsidR="00F83BE3" w:rsidRPr="008045CD">
              <w:rPr>
                <w:rFonts w:ascii="Times New Roman" w:hAnsi="Times New Roman" w:cs="Times New Roman"/>
                <w:lang w:val="en-GB"/>
              </w:rPr>
              <w:t>1</w:t>
            </w:r>
            <w:r w:rsidRPr="008045CD">
              <w:rPr>
                <w:rFonts w:ascii="Times New Roman" w:hAnsi="Times New Roman" w:cs="Times New Roman"/>
                <w:lang w:val="en-GB"/>
              </w:rPr>
              <w:t>.0</w:t>
            </w: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w:t>
            </w:r>
            <w:r w:rsidR="00FE212A">
              <w:rPr>
                <w:rFonts w:ascii="Times New Roman" w:hAnsi="Times New Roman" w:cs="Times New Roman"/>
                <w:lang w:val="en-GB"/>
              </w:rPr>
              <w:t>.9</w:t>
            </w: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31C52" w:rsidRDefault="00F83BE3" w:rsidP="00416DCA">
            <w:pPr>
              <w:pStyle w:val="BayerTableRowHeadings"/>
              <w:keepNext w:val="0"/>
              <w:keepLines/>
              <w:tabs>
                <w:tab w:val="left" w:pos="273"/>
              </w:tabs>
              <w:rPr>
                <w:rFonts w:ascii="Times New Roman" w:hAnsi="Times New Roman" w:cs="Times New Roman"/>
                <w:b/>
                <w:lang w:val="en-GB"/>
              </w:rPr>
            </w:pPr>
            <w:r w:rsidRPr="00031C52">
              <w:rPr>
                <w:rFonts w:ascii="Times New Roman" w:hAnsi="Times New Roman" w:cs="Times New Roman"/>
                <w:b/>
                <w:lang w:val="en-GB"/>
              </w:rPr>
              <w:t>Gastrointestinal Disorders</w:t>
            </w: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lastRenderedPageBreak/>
              <w:t>diarrhoea</w:t>
            </w:r>
          </w:p>
        </w:tc>
        <w:tc>
          <w:tcPr>
            <w:tcW w:w="1080" w:type="dxa"/>
            <w:tcBorders>
              <w:top w:val="nil"/>
              <w:left w:val="single" w:sz="4" w:space="0" w:color="auto"/>
              <w:bottom w:val="nil"/>
              <w:right w:val="nil"/>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67.6</w:t>
            </w:r>
          </w:p>
        </w:tc>
        <w:tc>
          <w:tcPr>
            <w:tcW w:w="900" w:type="dxa"/>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5.3</w:t>
            </w:r>
          </w:p>
        </w:tc>
        <w:tc>
          <w:tcPr>
            <w:tcW w:w="900" w:type="dxa"/>
            <w:tcBorders>
              <w:top w:val="nil"/>
              <w:left w:val="nil"/>
              <w:bottom w:val="nil"/>
              <w:right w:val="single" w:sz="4" w:space="0" w:color="auto"/>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sidRPr="00FE212A">
              <w:rPr>
                <w:rFonts w:ascii="Times New Roman" w:hAnsi="Times New Roman" w:cs="Times New Roman"/>
                <w:lang w:val="en-GB"/>
              </w:rPr>
              <w:t>&lt;1</w:t>
            </w:r>
          </w:p>
        </w:tc>
        <w:tc>
          <w:tcPr>
            <w:tcW w:w="1080" w:type="dxa"/>
            <w:tcBorders>
              <w:top w:val="nil"/>
              <w:left w:val="single" w:sz="4" w:space="0" w:color="auto"/>
              <w:bottom w:val="nil"/>
              <w:right w:val="nil"/>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14.8</w:t>
            </w: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w:t>
            </w:r>
            <w:r w:rsidR="00FE212A">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nausea</w:t>
            </w:r>
          </w:p>
        </w:tc>
        <w:tc>
          <w:tcPr>
            <w:tcW w:w="1080" w:type="dxa"/>
            <w:tcBorders>
              <w:top w:val="nil"/>
              <w:left w:val="single" w:sz="4" w:space="0" w:color="auto"/>
              <w:bottom w:val="nil"/>
              <w:right w:val="nil"/>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20.8</w:t>
            </w:r>
          </w:p>
        </w:tc>
        <w:tc>
          <w:tcPr>
            <w:tcW w:w="900" w:type="dxa"/>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11.5</w:t>
            </w:r>
          </w:p>
        </w:tc>
        <w:tc>
          <w:tcPr>
            <w:tcW w:w="900" w:type="dxa"/>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0C5FDE" w:rsidRPr="000D5086" w:rsidTr="00CF3FA9">
        <w:trPr>
          <w:trHeight w:val="323"/>
        </w:trPr>
        <w:tc>
          <w:tcPr>
            <w:tcW w:w="3060" w:type="dxa"/>
            <w:tcBorders>
              <w:top w:val="nil"/>
              <w:left w:val="single" w:sz="2" w:space="0" w:color="auto"/>
              <w:bottom w:val="nil"/>
              <w:right w:val="single" w:sz="4" w:space="0" w:color="auto"/>
            </w:tcBorders>
            <w:shd w:val="clear" w:color="auto" w:fill="auto"/>
            <w:vAlign w:val="center"/>
          </w:tcPr>
          <w:p w:rsidR="000C5FDE" w:rsidRPr="00C861DA" w:rsidRDefault="000C5FDE" w:rsidP="00CF3FA9">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c</w:t>
            </w:r>
            <w:r w:rsidRPr="00C861DA">
              <w:rPr>
                <w:rFonts w:ascii="Times New Roman" w:hAnsi="Times New Roman" w:cs="Times New Roman"/>
                <w:lang w:val="en-GB"/>
              </w:rPr>
              <w:t>onstipation</w:t>
            </w:r>
          </w:p>
        </w:tc>
        <w:tc>
          <w:tcPr>
            <w:tcW w:w="1080" w:type="dxa"/>
            <w:tcBorders>
              <w:top w:val="nil"/>
              <w:left w:val="single" w:sz="4" w:space="0" w:color="auto"/>
              <w:bottom w:val="nil"/>
              <w:right w:val="nil"/>
            </w:tcBorders>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15.5</w:t>
            </w:r>
          </w:p>
        </w:tc>
        <w:tc>
          <w:tcPr>
            <w:tcW w:w="900" w:type="dxa"/>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7.7</w:t>
            </w:r>
          </w:p>
        </w:tc>
        <w:tc>
          <w:tcPr>
            <w:tcW w:w="900" w:type="dxa"/>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sidRPr="00FE212A">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vomiting</w:t>
            </w:r>
          </w:p>
        </w:tc>
        <w:tc>
          <w:tcPr>
            <w:tcW w:w="1080" w:type="dxa"/>
            <w:tcBorders>
              <w:top w:val="nil"/>
              <w:left w:val="single" w:sz="4" w:space="0" w:color="auto"/>
              <w:bottom w:val="nil"/>
              <w:right w:val="nil"/>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11.1</w:t>
            </w:r>
          </w:p>
        </w:tc>
        <w:tc>
          <w:tcPr>
            <w:tcW w:w="900" w:type="dxa"/>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sidRPr="00FE212A">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5.7</w:t>
            </w:r>
          </w:p>
        </w:tc>
        <w:tc>
          <w:tcPr>
            <w:tcW w:w="900" w:type="dxa"/>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0C5FDE" w:rsidTr="00CF3FA9">
        <w:trPr>
          <w:trHeight w:val="323"/>
        </w:trPr>
        <w:tc>
          <w:tcPr>
            <w:tcW w:w="3060" w:type="dxa"/>
            <w:tcBorders>
              <w:top w:val="nil"/>
              <w:left w:val="single" w:sz="2" w:space="0" w:color="auto"/>
              <w:bottom w:val="nil"/>
              <w:right w:val="single" w:sz="4" w:space="0" w:color="auto"/>
            </w:tcBorders>
            <w:shd w:val="clear" w:color="auto" w:fill="auto"/>
            <w:vAlign w:val="center"/>
          </w:tcPr>
          <w:p w:rsidR="000C5FDE" w:rsidRDefault="000C5FDE" w:rsidP="00CF3FA9">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stomatitis</w:t>
            </w:r>
          </w:p>
        </w:tc>
        <w:tc>
          <w:tcPr>
            <w:tcW w:w="1080" w:type="dxa"/>
            <w:tcBorders>
              <w:top w:val="nil"/>
              <w:left w:val="single" w:sz="4" w:space="0" w:color="auto"/>
              <w:bottom w:val="nil"/>
              <w:right w:val="nil"/>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11.1</w:t>
            </w:r>
          </w:p>
        </w:tc>
        <w:tc>
          <w:tcPr>
            <w:tcW w:w="900" w:type="dxa"/>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sidRPr="008875CD">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2.4</w:t>
            </w:r>
          </w:p>
        </w:tc>
        <w:tc>
          <w:tcPr>
            <w:tcW w:w="900" w:type="dxa"/>
            <w:shd w:val="clear" w:color="auto" w:fill="auto"/>
          </w:tcPr>
          <w:p w:rsidR="000C5FDE" w:rsidRDefault="000C5FDE" w:rsidP="00CF3FA9">
            <w:pPr>
              <w:pStyle w:val="BayerTableStyleCentered"/>
              <w:keepNext w:val="0"/>
              <w:keepLines/>
            </w:pPr>
            <w:r>
              <w:t>0</w:t>
            </w:r>
          </w:p>
        </w:tc>
        <w:tc>
          <w:tcPr>
            <w:tcW w:w="894" w:type="dxa"/>
            <w:tcBorders>
              <w:top w:val="nil"/>
              <w:left w:val="nil"/>
              <w:bottom w:val="nil"/>
              <w:right w:val="single" w:sz="4" w:space="0" w:color="auto"/>
            </w:tcBorders>
            <w:shd w:val="clear" w:color="auto" w:fill="auto"/>
          </w:tcPr>
          <w:p w:rsidR="000C5FDE" w:rsidRDefault="000C5FDE" w:rsidP="00CF3FA9">
            <w:pPr>
              <w:pStyle w:val="BayerTableStyleCentered"/>
              <w:keepNext w:val="0"/>
              <w:keepLines/>
            </w:pPr>
            <w:r>
              <w:t>0</w:t>
            </w:r>
          </w:p>
        </w:tc>
      </w:tr>
      <w:tr w:rsidR="00FE212A"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E212A"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w:t>
            </w:r>
            <w:r w:rsidR="00FE212A">
              <w:rPr>
                <w:rFonts w:ascii="Times New Roman" w:hAnsi="Times New Roman" w:cs="Times New Roman"/>
                <w:lang w:val="en-GB"/>
              </w:rPr>
              <w:t>bdominal pain</w:t>
            </w:r>
          </w:p>
        </w:tc>
        <w:tc>
          <w:tcPr>
            <w:tcW w:w="1080" w:type="dxa"/>
            <w:tcBorders>
              <w:top w:val="nil"/>
              <w:left w:val="single" w:sz="4" w:space="0" w:color="auto"/>
              <w:bottom w:val="nil"/>
              <w:right w:val="nil"/>
            </w:tcBorders>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10.6</w:t>
            </w:r>
          </w:p>
        </w:tc>
        <w:tc>
          <w:tcPr>
            <w:tcW w:w="900" w:type="dxa"/>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900" w:type="dxa"/>
            <w:tcBorders>
              <w:top w:val="nil"/>
              <w:left w:val="nil"/>
              <w:bottom w:val="nil"/>
              <w:right w:val="single" w:sz="4" w:space="0" w:color="auto"/>
            </w:tcBorders>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2.9</w:t>
            </w:r>
          </w:p>
        </w:tc>
        <w:tc>
          <w:tcPr>
            <w:tcW w:w="900" w:type="dxa"/>
            <w:shd w:val="clear" w:color="auto" w:fill="auto"/>
            <w:vAlign w:val="center"/>
          </w:tcPr>
          <w:p w:rsidR="00FE212A" w:rsidRPr="00FE212A" w:rsidRDefault="00FE212A" w:rsidP="00416DCA">
            <w:pPr>
              <w:pStyle w:val="BayerTableStyleCentered"/>
              <w:keepNext w:val="0"/>
              <w:keepLines/>
              <w:rPr>
                <w:rFonts w:ascii="Times New Roman" w:hAnsi="Times New Roman" w:cs="Times New Roman"/>
                <w:lang w:val="en-GB"/>
              </w:rPr>
            </w:pPr>
            <w:r w:rsidRPr="00FE212A">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E212A" w:rsidRPr="00EB44BE" w:rsidTr="008875CD">
        <w:trPr>
          <w:trHeight w:val="323"/>
        </w:trPr>
        <w:tc>
          <w:tcPr>
            <w:tcW w:w="3060" w:type="dxa"/>
            <w:tcBorders>
              <w:top w:val="nil"/>
              <w:left w:val="single" w:sz="2" w:space="0" w:color="auto"/>
              <w:bottom w:val="nil"/>
              <w:right w:val="single" w:sz="4" w:space="0" w:color="auto"/>
            </w:tcBorders>
            <w:shd w:val="clear" w:color="auto" w:fill="auto"/>
            <w:vAlign w:val="center"/>
          </w:tcPr>
          <w:p w:rsidR="00FE212A"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w:t>
            </w:r>
            <w:r w:rsidR="00FE212A">
              <w:rPr>
                <w:rFonts w:ascii="Times New Roman" w:hAnsi="Times New Roman" w:cs="Times New Roman"/>
                <w:lang w:val="en-GB"/>
              </w:rPr>
              <w:t>bdominal pain upper</w:t>
            </w:r>
          </w:p>
        </w:tc>
        <w:tc>
          <w:tcPr>
            <w:tcW w:w="1080" w:type="dxa"/>
            <w:tcBorders>
              <w:top w:val="nil"/>
              <w:left w:val="single" w:sz="4" w:space="0" w:color="auto"/>
              <w:bottom w:val="nil"/>
              <w:right w:val="nil"/>
            </w:tcBorders>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8.7</w:t>
            </w:r>
          </w:p>
        </w:tc>
        <w:tc>
          <w:tcPr>
            <w:tcW w:w="900" w:type="dxa"/>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sidRPr="00FE212A">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E212A" w:rsidRDefault="00FE212A"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3.8</w:t>
            </w:r>
          </w:p>
        </w:tc>
        <w:tc>
          <w:tcPr>
            <w:tcW w:w="900" w:type="dxa"/>
            <w:shd w:val="clear" w:color="auto" w:fill="auto"/>
          </w:tcPr>
          <w:p w:rsidR="00FE212A" w:rsidRPr="00FE212A" w:rsidRDefault="008875CD" w:rsidP="00416DCA">
            <w:pPr>
              <w:pStyle w:val="BayerTableStyleCentered"/>
              <w:keepNext w:val="0"/>
              <w:keepLines/>
              <w:rPr>
                <w:rFonts w:ascii="Times New Roman" w:hAnsi="Times New Roman" w:cs="Times New Roman"/>
                <w:lang w:val="en-GB"/>
              </w:rPr>
            </w:pPr>
            <w:r w:rsidRPr="008875CD">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tcPr>
          <w:p w:rsidR="00FE212A"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E212A"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E212A"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d</w:t>
            </w:r>
            <w:r w:rsidR="008875CD">
              <w:rPr>
                <w:rFonts w:ascii="Times New Roman" w:hAnsi="Times New Roman" w:cs="Times New Roman"/>
                <w:lang w:val="en-GB"/>
              </w:rPr>
              <w:t>ry mouth</w:t>
            </w:r>
          </w:p>
        </w:tc>
        <w:tc>
          <w:tcPr>
            <w:tcW w:w="1080" w:type="dxa"/>
            <w:tcBorders>
              <w:top w:val="nil"/>
              <w:left w:val="single" w:sz="4" w:space="0" w:color="auto"/>
              <w:bottom w:val="nil"/>
              <w:right w:val="nil"/>
            </w:tcBorders>
            <w:shd w:val="clear" w:color="auto" w:fill="auto"/>
            <w:vAlign w:val="center"/>
          </w:tcPr>
          <w:p w:rsidR="00FE212A"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7.7</w:t>
            </w:r>
          </w:p>
        </w:tc>
        <w:tc>
          <w:tcPr>
            <w:tcW w:w="900" w:type="dxa"/>
            <w:shd w:val="clear" w:color="auto" w:fill="auto"/>
            <w:vAlign w:val="center"/>
          </w:tcPr>
          <w:p w:rsidR="00FE212A" w:rsidRPr="00FE212A"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FE212A"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E212A"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3.8</w:t>
            </w:r>
          </w:p>
        </w:tc>
        <w:tc>
          <w:tcPr>
            <w:tcW w:w="900" w:type="dxa"/>
            <w:shd w:val="clear" w:color="auto" w:fill="auto"/>
          </w:tcPr>
          <w:p w:rsidR="00FE212A" w:rsidRPr="005714A7" w:rsidRDefault="008875CD" w:rsidP="00416DCA">
            <w:pPr>
              <w:pStyle w:val="BayerTableStyleCentered"/>
              <w:keepNext w:val="0"/>
              <w:keepLines/>
            </w:pPr>
            <w:r>
              <w:t>0</w:t>
            </w:r>
          </w:p>
        </w:tc>
        <w:tc>
          <w:tcPr>
            <w:tcW w:w="894" w:type="dxa"/>
            <w:tcBorders>
              <w:top w:val="nil"/>
              <w:left w:val="nil"/>
              <w:bottom w:val="nil"/>
              <w:right w:val="single" w:sz="4" w:space="0" w:color="auto"/>
            </w:tcBorders>
            <w:shd w:val="clear" w:color="auto" w:fill="auto"/>
          </w:tcPr>
          <w:p w:rsidR="00FE212A" w:rsidRPr="005714A7" w:rsidRDefault="008875CD" w:rsidP="00416DCA">
            <w:pPr>
              <w:pStyle w:val="BayerTableStyleCentered"/>
              <w:keepNext w:val="0"/>
              <w:keepLines/>
            </w:pPr>
            <w:r>
              <w:t>0</w:t>
            </w:r>
          </w:p>
        </w:tc>
      </w:tr>
      <w:tr w:rsidR="008875CD"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8875CD" w:rsidRDefault="008875CD"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dyspepsia</w:t>
            </w:r>
          </w:p>
        </w:tc>
        <w:tc>
          <w:tcPr>
            <w:tcW w:w="1080" w:type="dxa"/>
            <w:tcBorders>
              <w:top w:val="nil"/>
              <w:left w:val="single" w:sz="4" w:space="0" w:color="auto"/>
              <w:bottom w:val="nil"/>
              <w:right w:val="nil"/>
            </w:tcBorders>
            <w:shd w:val="clear" w:color="auto" w:fill="auto"/>
            <w:vAlign w:val="center"/>
          </w:tcPr>
          <w:p w:rsidR="008875CD"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5.3</w:t>
            </w:r>
          </w:p>
        </w:tc>
        <w:tc>
          <w:tcPr>
            <w:tcW w:w="900" w:type="dxa"/>
            <w:shd w:val="clear" w:color="auto" w:fill="auto"/>
            <w:vAlign w:val="center"/>
          </w:tcPr>
          <w:p w:rsidR="008875CD" w:rsidRPr="00FE212A"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8875CD"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8875CD"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4.3</w:t>
            </w:r>
          </w:p>
        </w:tc>
        <w:tc>
          <w:tcPr>
            <w:tcW w:w="900" w:type="dxa"/>
            <w:shd w:val="clear" w:color="auto" w:fill="auto"/>
          </w:tcPr>
          <w:p w:rsidR="008875CD" w:rsidRPr="005714A7" w:rsidRDefault="008875CD" w:rsidP="00416DCA">
            <w:pPr>
              <w:pStyle w:val="BayerTableStyleCentered"/>
              <w:keepNext w:val="0"/>
              <w:keepLines/>
            </w:pPr>
            <w:r>
              <w:t>0</w:t>
            </w:r>
          </w:p>
        </w:tc>
        <w:tc>
          <w:tcPr>
            <w:tcW w:w="894" w:type="dxa"/>
            <w:tcBorders>
              <w:top w:val="nil"/>
              <w:left w:val="nil"/>
              <w:bottom w:val="nil"/>
              <w:right w:val="single" w:sz="4" w:space="0" w:color="auto"/>
            </w:tcBorders>
            <w:shd w:val="clear" w:color="auto" w:fill="auto"/>
          </w:tcPr>
          <w:p w:rsidR="008875CD" w:rsidRPr="005714A7" w:rsidRDefault="008875CD" w:rsidP="00416DCA">
            <w:pPr>
              <w:pStyle w:val="BayerTableStyleCentered"/>
              <w:keepNext w:val="0"/>
              <w:keepLines/>
            </w:pPr>
            <w:r>
              <w:t>0</w:t>
            </w:r>
          </w:p>
        </w:tc>
      </w:tr>
      <w:tr w:rsidR="008875CD"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8875CD" w:rsidRDefault="008875CD"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dysphagia</w:t>
            </w:r>
          </w:p>
        </w:tc>
        <w:tc>
          <w:tcPr>
            <w:tcW w:w="1080" w:type="dxa"/>
            <w:tcBorders>
              <w:top w:val="nil"/>
              <w:left w:val="single" w:sz="4" w:space="0" w:color="auto"/>
              <w:bottom w:val="nil"/>
              <w:right w:val="nil"/>
            </w:tcBorders>
            <w:shd w:val="clear" w:color="auto" w:fill="auto"/>
            <w:vAlign w:val="center"/>
          </w:tcPr>
          <w:p w:rsidR="008875CD"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5.3</w:t>
            </w:r>
          </w:p>
        </w:tc>
        <w:tc>
          <w:tcPr>
            <w:tcW w:w="900" w:type="dxa"/>
            <w:shd w:val="clear" w:color="auto" w:fill="auto"/>
            <w:vAlign w:val="center"/>
          </w:tcPr>
          <w:p w:rsidR="008875CD"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1.4</w:t>
            </w:r>
          </w:p>
        </w:tc>
        <w:tc>
          <w:tcPr>
            <w:tcW w:w="900" w:type="dxa"/>
            <w:tcBorders>
              <w:top w:val="nil"/>
              <w:left w:val="nil"/>
              <w:bottom w:val="nil"/>
              <w:right w:val="single" w:sz="4" w:space="0" w:color="auto"/>
            </w:tcBorders>
            <w:shd w:val="clear" w:color="auto" w:fill="auto"/>
            <w:vAlign w:val="center"/>
          </w:tcPr>
          <w:p w:rsidR="008875CD"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8875CD"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2.9</w:t>
            </w:r>
          </w:p>
        </w:tc>
        <w:tc>
          <w:tcPr>
            <w:tcW w:w="900" w:type="dxa"/>
            <w:shd w:val="clear" w:color="auto" w:fill="auto"/>
          </w:tcPr>
          <w:p w:rsidR="008875CD" w:rsidRDefault="008875CD" w:rsidP="00416DCA">
            <w:pPr>
              <w:pStyle w:val="BayerTableStyleCentered"/>
              <w:keepNext w:val="0"/>
              <w:keepLines/>
            </w:pPr>
            <w:r>
              <w:t>1.0</w:t>
            </w:r>
          </w:p>
        </w:tc>
        <w:tc>
          <w:tcPr>
            <w:tcW w:w="894" w:type="dxa"/>
            <w:tcBorders>
              <w:top w:val="nil"/>
              <w:left w:val="nil"/>
              <w:bottom w:val="nil"/>
              <w:right w:val="single" w:sz="4" w:space="0" w:color="auto"/>
            </w:tcBorders>
            <w:shd w:val="clear" w:color="auto" w:fill="auto"/>
          </w:tcPr>
          <w:p w:rsidR="008875CD" w:rsidRDefault="008875CD" w:rsidP="00416DCA">
            <w:pPr>
              <w:pStyle w:val="BayerTableStyleCentered"/>
              <w:keepNext w:val="0"/>
              <w:keepLines/>
            </w:pPr>
            <w:r>
              <w:t>0</w:t>
            </w:r>
          </w:p>
        </w:tc>
      </w:tr>
      <w:tr w:rsidR="00F83BE3" w:rsidRPr="00EB44BE" w:rsidTr="00416DCA">
        <w:tc>
          <w:tcPr>
            <w:tcW w:w="3060" w:type="dxa"/>
            <w:tcBorders>
              <w:top w:val="nil"/>
              <w:left w:val="single" w:sz="2" w:space="0" w:color="auto"/>
              <w:bottom w:val="nil"/>
              <w:right w:val="single" w:sz="4" w:space="0" w:color="auto"/>
            </w:tcBorders>
            <w:shd w:val="clear" w:color="auto" w:fill="auto"/>
            <w:vAlign w:val="center"/>
          </w:tcPr>
          <w:p w:rsidR="00F83BE3" w:rsidRPr="00C861DA" w:rsidRDefault="00F83BE3" w:rsidP="00416DCA">
            <w:pPr>
              <w:pStyle w:val="BayerTableRowHeadings"/>
              <w:keepNext w:val="0"/>
              <w:keepLines/>
              <w:tabs>
                <w:tab w:val="left" w:pos="273"/>
              </w:tabs>
              <w:rPr>
                <w:rFonts w:ascii="Times New Roman" w:hAnsi="Times New Roman" w:cs="Times New Roman"/>
                <w:b/>
                <w:lang w:val="en-GB"/>
              </w:rPr>
            </w:pPr>
            <w:r w:rsidRPr="00C861DA">
              <w:rPr>
                <w:rFonts w:ascii="Times New Roman" w:hAnsi="Times New Roman" w:cs="Times New Roman"/>
                <w:b/>
                <w:lang w:val="en-GB"/>
              </w:rPr>
              <w:t xml:space="preserve">Skin and </w:t>
            </w:r>
            <w:r>
              <w:rPr>
                <w:rFonts w:ascii="Times New Roman" w:hAnsi="Times New Roman" w:cs="Times New Roman"/>
                <w:b/>
                <w:lang w:val="en-GB"/>
              </w:rPr>
              <w:t>S</w:t>
            </w:r>
            <w:r w:rsidRPr="00C861DA">
              <w:rPr>
                <w:rFonts w:ascii="Times New Roman" w:hAnsi="Times New Roman" w:cs="Times New Roman"/>
                <w:b/>
                <w:lang w:val="en-GB"/>
              </w:rPr>
              <w:t>ubcutaneous Tissue Disorders</w:t>
            </w: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900" w:type="dxa"/>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F83BE3" w:rsidRPr="000D5086" w:rsidRDefault="00F83BE3" w:rsidP="00416DCA">
            <w:pPr>
              <w:pStyle w:val="BayerTableStyleCentered"/>
              <w:keepNext w:val="0"/>
              <w:keepLines/>
              <w:rPr>
                <w:rFonts w:ascii="Times New Roman" w:hAnsi="Times New Roman" w:cs="Times New Roman"/>
                <w:lang w:val="en-GB"/>
              </w:rPr>
            </w:pPr>
          </w:p>
        </w:tc>
      </w:tr>
      <w:tr w:rsidR="0059128D" w:rsidRPr="00EB44BE" w:rsidTr="00CF3FA9">
        <w:trPr>
          <w:trHeight w:val="323"/>
        </w:trPr>
        <w:tc>
          <w:tcPr>
            <w:tcW w:w="3060" w:type="dxa"/>
            <w:tcBorders>
              <w:top w:val="nil"/>
              <w:left w:val="single" w:sz="2" w:space="0" w:color="auto"/>
              <w:bottom w:val="nil"/>
              <w:right w:val="single" w:sz="4" w:space="0" w:color="auto"/>
            </w:tcBorders>
            <w:shd w:val="clear" w:color="auto" w:fill="auto"/>
            <w:vAlign w:val="center"/>
          </w:tcPr>
          <w:p w:rsidR="0059128D" w:rsidRPr="000D5086" w:rsidRDefault="0059128D" w:rsidP="00CF3FA9">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 xml:space="preserve">hand foot </w:t>
            </w:r>
            <w:r w:rsidRPr="00046F8C">
              <w:rPr>
                <w:rFonts w:ascii="Times New Roman" w:hAnsi="Times New Roman" w:cs="Times New Roman"/>
                <w:lang w:val="en-GB"/>
              </w:rPr>
              <w:t xml:space="preserve">skin reaction </w:t>
            </w:r>
            <w:r>
              <w:rPr>
                <w:rFonts w:ascii="Times New Roman" w:hAnsi="Times New Roman" w:cs="Times New Roman"/>
                <w:lang w:val="en-GB"/>
              </w:rPr>
              <w:t>**</w:t>
            </w:r>
          </w:p>
        </w:tc>
        <w:tc>
          <w:tcPr>
            <w:tcW w:w="1080" w:type="dxa"/>
            <w:tcBorders>
              <w:top w:val="nil"/>
              <w:left w:val="single" w:sz="4" w:space="0" w:color="auto"/>
              <w:bottom w:val="nil"/>
              <w:right w:val="nil"/>
            </w:tcBorders>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69.1</w:t>
            </w:r>
          </w:p>
        </w:tc>
        <w:tc>
          <w:tcPr>
            <w:tcW w:w="900" w:type="dxa"/>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19.3</w:t>
            </w:r>
          </w:p>
        </w:tc>
        <w:tc>
          <w:tcPr>
            <w:tcW w:w="900" w:type="dxa"/>
            <w:tcBorders>
              <w:top w:val="nil"/>
              <w:left w:val="nil"/>
              <w:bottom w:val="nil"/>
              <w:right w:val="single" w:sz="4" w:space="0" w:color="auto"/>
            </w:tcBorders>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7.7</w:t>
            </w:r>
          </w:p>
        </w:tc>
        <w:tc>
          <w:tcPr>
            <w:tcW w:w="900" w:type="dxa"/>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59128D" w:rsidRPr="00EB44BE" w:rsidTr="00CF3FA9">
        <w:trPr>
          <w:trHeight w:val="323"/>
        </w:trPr>
        <w:tc>
          <w:tcPr>
            <w:tcW w:w="3060" w:type="dxa"/>
            <w:tcBorders>
              <w:top w:val="nil"/>
              <w:left w:val="single" w:sz="2" w:space="0" w:color="auto"/>
              <w:bottom w:val="nil"/>
              <w:right w:val="single" w:sz="4" w:space="0" w:color="auto"/>
            </w:tcBorders>
            <w:shd w:val="clear" w:color="auto" w:fill="auto"/>
            <w:vAlign w:val="center"/>
          </w:tcPr>
          <w:p w:rsidR="0059128D" w:rsidRPr="000D5086" w:rsidRDefault="0059128D" w:rsidP="00CF3FA9">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alopecia</w:t>
            </w:r>
          </w:p>
        </w:tc>
        <w:tc>
          <w:tcPr>
            <w:tcW w:w="1080" w:type="dxa"/>
            <w:tcBorders>
              <w:top w:val="nil"/>
              <w:left w:val="single" w:sz="4" w:space="0" w:color="auto"/>
              <w:bottom w:val="nil"/>
              <w:right w:val="nil"/>
            </w:tcBorders>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66.7</w:t>
            </w:r>
          </w:p>
        </w:tc>
        <w:tc>
          <w:tcPr>
            <w:tcW w:w="900" w:type="dxa"/>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7.7</w:t>
            </w:r>
          </w:p>
        </w:tc>
        <w:tc>
          <w:tcPr>
            <w:tcW w:w="900" w:type="dxa"/>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59128D" w:rsidRPr="000D5086" w:rsidRDefault="0059128D"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rash</w:t>
            </w:r>
          </w:p>
        </w:tc>
        <w:tc>
          <w:tcPr>
            <w:tcW w:w="1080" w:type="dxa"/>
            <w:tcBorders>
              <w:top w:val="nil"/>
              <w:left w:val="single" w:sz="4" w:space="0" w:color="auto"/>
              <w:bottom w:val="nil"/>
              <w:right w:val="nil"/>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35.3</w:t>
            </w:r>
          </w:p>
        </w:tc>
        <w:tc>
          <w:tcPr>
            <w:tcW w:w="900" w:type="dxa"/>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4.8</w:t>
            </w:r>
          </w:p>
        </w:tc>
        <w:tc>
          <w:tcPr>
            <w:tcW w:w="900" w:type="dxa"/>
            <w:tcBorders>
              <w:top w:val="nil"/>
              <w:left w:val="nil"/>
              <w:bottom w:val="nil"/>
              <w:right w:val="single" w:sz="4" w:space="0" w:color="auto"/>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7.2</w:t>
            </w:r>
          </w:p>
        </w:tc>
        <w:tc>
          <w:tcPr>
            <w:tcW w:w="900" w:type="dxa"/>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pruritis</w:t>
            </w:r>
          </w:p>
        </w:tc>
        <w:tc>
          <w:tcPr>
            <w:tcW w:w="1080" w:type="dxa"/>
            <w:tcBorders>
              <w:top w:val="nil"/>
              <w:left w:val="single" w:sz="4" w:space="0" w:color="auto"/>
              <w:bottom w:val="nil"/>
              <w:right w:val="nil"/>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20.3</w:t>
            </w:r>
          </w:p>
        </w:tc>
        <w:tc>
          <w:tcPr>
            <w:tcW w:w="900" w:type="dxa"/>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sidRPr="008875CD">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10.5</w:t>
            </w:r>
          </w:p>
        </w:tc>
        <w:tc>
          <w:tcPr>
            <w:tcW w:w="900" w:type="dxa"/>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0C5FDE" w:rsidRPr="000D5086" w:rsidTr="00CF3FA9">
        <w:trPr>
          <w:trHeight w:val="323"/>
        </w:trPr>
        <w:tc>
          <w:tcPr>
            <w:tcW w:w="3060" w:type="dxa"/>
            <w:tcBorders>
              <w:top w:val="nil"/>
              <w:left w:val="single" w:sz="2" w:space="0" w:color="auto"/>
              <w:bottom w:val="nil"/>
              <w:right w:val="single" w:sz="4" w:space="0" w:color="auto"/>
            </w:tcBorders>
            <w:shd w:val="clear" w:color="auto" w:fill="auto"/>
            <w:vAlign w:val="center"/>
          </w:tcPr>
          <w:p w:rsidR="000C5FDE" w:rsidRPr="00C861DA" w:rsidRDefault="000C5FDE" w:rsidP="00CF3FA9">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d</w:t>
            </w:r>
            <w:r w:rsidRPr="00C861DA">
              <w:rPr>
                <w:rFonts w:ascii="Times New Roman" w:hAnsi="Times New Roman" w:cs="Times New Roman"/>
                <w:lang w:val="en-GB"/>
              </w:rPr>
              <w:t>ry skin</w:t>
            </w:r>
          </w:p>
        </w:tc>
        <w:tc>
          <w:tcPr>
            <w:tcW w:w="1080" w:type="dxa"/>
            <w:tcBorders>
              <w:top w:val="nil"/>
              <w:left w:val="single" w:sz="4" w:space="0" w:color="auto"/>
              <w:bottom w:val="nil"/>
              <w:right w:val="nil"/>
            </w:tcBorders>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13.0</w:t>
            </w:r>
          </w:p>
        </w:tc>
        <w:tc>
          <w:tcPr>
            <w:tcW w:w="900" w:type="dxa"/>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sidRPr="009936AC">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4.8</w:t>
            </w:r>
          </w:p>
        </w:tc>
        <w:tc>
          <w:tcPr>
            <w:tcW w:w="900" w:type="dxa"/>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0C5FDE" w:rsidRPr="000D5086"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F83BE3" w:rsidP="00416DCA">
            <w:pPr>
              <w:pStyle w:val="BayerTableRowHeadings"/>
              <w:keepNext w:val="0"/>
              <w:keepLines/>
              <w:tabs>
                <w:tab w:val="left" w:pos="273"/>
              </w:tabs>
              <w:ind w:left="288" w:hanging="288"/>
              <w:rPr>
                <w:rFonts w:ascii="Times New Roman" w:hAnsi="Times New Roman" w:cs="Times New Roman"/>
                <w:lang w:val="en-GB"/>
              </w:rPr>
            </w:pPr>
            <w:r>
              <w:rPr>
                <w:rFonts w:ascii="Times New Roman" w:hAnsi="Times New Roman" w:cs="Times New Roman"/>
                <w:lang w:val="en-GB"/>
              </w:rPr>
              <w:t>erythema</w:t>
            </w:r>
          </w:p>
        </w:tc>
        <w:tc>
          <w:tcPr>
            <w:tcW w:w="1080" w:type="dxa"/>
            <w:tcBorders>
              <w:top w:val="nil"/>
              <w:left w:val="single" w:sz="4" w:space="0" w:color="auto"/>
              <w:bottom w:val="nil"/>
              <w:right w:val="nil"/>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10.1</w:t>
            </w:r>
          </w:p>
        </w:tc>
        <w:tc>
          <w:tcPr>
            <w:tcW w:w="900" w:type="dxa"/>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F83BE3" w:rsidRPr="000D5086" w:rsidRDefault="008875CD"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sidRPr="009936AC">
              <w:rPr>
                <w:rFonts w:ascii="Times New Roman" w:hAnsi="Times New Roman" w:cs="Times New Roman"/>
                <w:lang w:val="en-GB"/>
              </w:rPr>
              <w:t>&lt;1</w:t>
            </w:r>
          </w:p>
        </w:tc>
        <w:tc>
          <w:tcPr>
            <w:tcW w:w="900" w:type="dxa"/>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Pr="000D5086" w:rsidRDefault="009936AC"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hyperkeratosis</w:t>
            </w:r>
          </w:p>
        </w:tc>
        <w:tc>
          <w:tcPr>
            <w:tcW w:w="1080" w:type="dxa"/>
            <w:tcBorders>
              <w:top w:val="nil"/>
              <w:left w:val="single" w:sz="4" w:space="0" w:color="auto"/>
              <w:bottom w:val="nil"/>
              <w:right w:val="nil"/>
            </w:tcBorders>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7.2</w:t>
            </w:r>
          </w:p>
        </w:tc>
        <w:tc>
          <w:tcPr>
            <w:tcW w:w="900" w:type="dxa"/>
            <w:tcBorders>
              <w:top w:val="nil"/>
              <w:left w:val="nil"/>
              <w:bottom w:val="nil"/>
              <w:right w:val="nil"/>
            </w:tcBorders>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nil"/>
            </w:tcBorders>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Pr="000D5086" w:rsidRDefault="009936A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F716C" w:rsidRPr="00EB44BE" w:rsidTr="00416DCA">
        <w:tc>
          <w:tcPr>
            <w:tcW w:w="3060" w:type="dxa"/>
            <w:tcBorders>
              <w:top w:val="nil"/>
              <w:left w:val="single" w:sz="2" w:space="0" w:color="auto"/>
              <w:bottom w:val="nil"/>
              <w:right w:val="single" w:sz="4" w:space="0" w:color="auto"/>
            </w:tcBorders>
            <w:shd w:val="clear" w:color="auto" w:fill="auto"/>
            <w:vAlign w:val="center"/>
          </w:tcPr>
          <w:p w:rsidR="009F716C" w:rsidRPr="00C861DA" w:rsidRDefault="009F716C" w:rsidP="00416DCA">
            <w:pPr>
              <w:pStyle w:val="BayerTableRowHeadings"/>
              <w:keepNext w:val="0"/>
              <w:keepLines/>
              <w:tabs>
                <w:tab w:val="left" w:pos="273"/>
              </w:tabs>
              <w:rPr>
                <w:rFonts w:ascii="Times New Roman" w:hAnsi="Times New Roman" w:cs="Times New Roman"/>
                <w:b/>
                <w:lang w:val="en-GB"/>
              </w:rPr>
            </w:pPr>
            <w:r>
              <w:rPr>
                <w:rFonts w:ascii="Times New Roman" w:hAnsi="Times New Roman" w:cs="Times New Roman"/>
                <w:b/>
                <w:lang w:val="en-GB"/>
              </w:rPr>
              <w:t>Respiratory, thoracic and mediastinal dosorders</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p>
        </w:tc>
      </w:tr>
      <w:tr w:rsidR="009F716C" w:rsidRPr="00EB44BE" w:rsidTr="00416DCA">
        <w:tc>
          <w:tcPr>
            <w:tcW w:w="3060" w:type="dxa"/>
            <w:tcBorders>
              <w:top w:val="nil"/>
              <w:left w:val="single" w:sz="2" w:space="0" w:color="auto"/>
              <w:bottom w:val="nil"/>
              <w:right w:val="single" w:sz="4" w:space="0" w:color="auto"/>
            </w:tcBorders>
            <w:shd w:val="clear" w:color="auto" w:fill="auto"/>
            <w:vAlign w:val="center"/>
          </w:tcPr>
          <w:p w:rsidR="009F716C" w:rsidRPr="009F716C" w:rsidRDefault="009F716C"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cough</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15.0</w:t>
            </w: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13.9</w:t>
            </w: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F716C" w:rsidRPr="00EB44BE" w:rsidTr="00416DCA">
        <w:tc>
          <w:tcPr>
            <w:tcW w:w="3060" w:type="dxa"/>
            <w:tcBorders>
              <w:top w:val="nil"/>
              <w:left w:val="single" w:sz="2" w:space="0" w:color="auto"/>
              <w:bottom w:val="nil"/>
              <w:right w:val="single" w:sz="4" w:space="0" w:color="auto"/>
            </w:tcBorders>
            <w:shd w:val="clear" w:color="auto" w:fill="auto"/>
            <w:vAlign w:val="center"/>
          </w:tcPr>
          <w:p w:rsidR="009F716C" w:rsidRPr="009F716C" w:rsidRDefault="009F716C" w:rsidP="00416DCA">
            <w:pPr>
              <w:pStyle w:val="BayerTableRowHeadings"/>
              <w:keepNext w:val="0"/>
              <w:keepLines/>
              <w:tabs>
                <w:tab w:val="left" w:pos="273"/>
              </w:tabs>
              <w:rPr>
                <w:rFonts w:ascii="Times New Roman" w:hAnsi="Times New Roman" w:cs="Times New Roman"/>
                <w:lang w:val="en-GB"/>
              </w:rPr>
            </w:pPr>
            <w:r w:rsidRPr="009F716C">
              <w:rPr>
                <w:rFonts w:ascii="Times New Roman" w:hAnsi="Times New Roman" w:cs="Times New Roman"/>
                <w:lang w:val="en-GB"/>
              </w:rPr>
              <w:t>dysphonia</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12.6</w:t>
            </w: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sidRPr="009F716C">
              <w:rPr>
                <w:rFonts w:ascii="Times New Roman" w:hAnsi="Times New Roman" w:cs="Times New Roman"/>
                <w:lang w:val="en-GB"/>
              </w:rPr>
              <w:t>&lt;1</w:t>
            </w:r>
          </w:p>
        </w:tc>
        <w:tc>
          <w:tcPr>
            <w:tcW w:w="900"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3.3</w:t>
            </w: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F716C" w:rsidRPr="00EB44BE" w:rsidTr="00416DCA">
        <w:tc>
          <w:tcPr>
            <w:tcW w:w="3060" w:type="dxa"/>
            <w:tcBorders>
              <w:top w:val="nil"/>
              <w:left w:val="single" w:sz="2" w:space="0" w:color="auto"/>
              <w:bottom w:val="nil"/>
              <w:right w:val="single" w:sz="4" w:space="0" w:color="auto"/>
            </w:tcBorders>
            <w:shd w:val="clear" w:color="auto" w:fill="auto"/>
            <w:vAlign w:val="center"/>
          </w:tcPr>
          <w:p w:rsidR="009F716C" w:rsidRPr="009F716C" w:rsidRDefault="009F716C" w:rsidP="00416DCA">
            <w:pPr>
              <w:pStyle w:val="BayerTableRowHeadings"/>
              <w:keepNext w:val="0"/>
              <w:keepLines/>
              <w:tabs>
                <w:tab w:val="left" w:pos="273"/>
              </w:tabs>
              <w:rPr>
                <w:rFonts w:ascii="Times New Roman" w:hAnsi="Times New Roman" w:cs="Times New Roman"/>
                <w:lang w:val="en-GB"/>
              </w:rPr>
            </w:pPr>
            <w:r w:rsidRPr="009F716C">
              <w:rPr>
                <w:rFonts w:ascii="Times New Roman" w:hAnsi="Times New Roman" w:cs="Times New Roman"/>
                <w:lang w:val="en-GB"/>
              </w:rPr>
              <w:t>dyspnoea</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12.1</w:t>
            </w: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4.3</w:t>
            </w:r>
          </w:p>
        </w:tc>
        <w:tc>
          <w:tcPr>
            <w:tcW w:w="900"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10.5</w:t>
            </w: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2.4</w:t>
            </w:r>
          </w:p>
        </w:tc>
        <w:tc>
          <w:tcPr>
            <w:tcW w:w="894"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r>
      <w:tr w:rsidR="009F716C" w:rsidRPr="00EB44BE" w:rsidTr="00416DCA">
        <w:tc>
          <w:tcPr>
            <w:tcW w:w="3060" w:type="dxa"/>
            <w:tcBorders>
              <w:top w:val="nil"/>
              <w:left w:val="single" w:sz="2" w:space="0" w:color="auto"/>
              <w:bottom w:val="nil"/>
              <w:right w:val="single" w:sz="4" w:space="0" w:color="auto"/>
            </w:tcBorders>
            <w:shd w:val="clear" w:color="auto" w:fill="auto"/>
            <w:vAlign w:val="center"/>
          </w:tcPr>
          <w:p w:rsidR="009F716C" w:rsidRPr="009F716C"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o</w:t>
            </w:r>
            <w:r w:rsidR="009F716C" w:rsidRPr="009F716C">
              <w:rPr>
                <w:rFonts w:ascii="Times New Roman" w:hAnsi="Times New Roman" w:cs="Times New Roman"/>
                <w:lang w:val="en-GB"/>
              </w:rPr>
              <w:t>ropharyngeal pain</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9.2</w:t>
            </w: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2.9</w:t>
            </w:r>
          </w:p>
        </w:tc>
        <w:tc>
          <w:tcPr>
            <w:tcW w:w="900" w:type="dxa"/>
            <w:tcBorders>
              <w:top w:val="nil"/>
              <w:left w:val="nil"/>
              <w:bottom w:val="nil"/>
              <w:right w:val="nil"/>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9F716C" w:rsidRDefault="009F716C"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9F716C" w:rsidRPr="00EB44BE" w:rsidTr="009F716C">
        <w:tc>
          <w:tcPr>
            <w:tcW w:w="3060" w:type="dxa"/>
            <w:tcBorders>
              <w:top w:val="nil"/>
              <w:left w:val="single" w:sz="2" w:space="0" w:color="auto"/>
              <w:bottom w:val="nil"/>
              <w:right w:val="single" w:sz="4" w:space="0" w:color="auto"/>
            </w:tcBorders>
            <w:shd w:val="clear" w:color="auto" w:fill="auto"/>
            <w:vAlign w:val="center"/>
          </w:tcPr>
          <w:p w:rsidR="009F716C" w:rsidRPr="009F716C" w:rsidRDefault="009F716C" w:rsidP="00416DCA">
            <w:pPr>
              <w:pStyle w:val="BayerTableRowHeadings"/>
              <w:keepNext w:val="0"/>
              <w:keepLines/>
              <w:tabs>
                <w:tab w:val="left" w:pos="273"/>
              </w:tabs>
              <w:rPr>
                <w:rFonts w:ascii="Times New Roman" w:hAnsi="Times New Roman" w:cs="Times New Roman"/>
                <w:lang w:val="en-GB"/>
              </w:rPr>
            </w:pPr>
            <w:r w:rsidRPr="009F716C">
              <w:rPr>
                <w:rFonts w:ascii="Times New Roman" w:hAnsi="Times New Roman" w:cs="Times New Roman"/>
                <w:lang w:val="en-GB"/>
              </w:rPr>
              <w:t>epistaxis</w:t>
            </w:r>
          </w:p>
        </w:tc>
        <w:tc>
          <w:tcPr>
            <w:tcW w:w="1080" w:type="dxa"/>
            <w:tcBorders>
              <w:top w:val="nil"/>
              <w:left w:val="single" w:sz="4" w:space="0" w:color="auto"/>
              <w:bottom w:val="nil"/>
              <w:right w:val="nil"/>
            </w:tcBorders>
            <w:shd w:val="clear" w:color="auto" w:fill="auto"/>
          </w:tcPr>
          <w:p w:rsidR="009F716C" w:rsidRPr="009F716C" w:rsidRDefault="009F716C" w:rsidP="00416DCA">
            <w:pPr>
              <w:pStyle w:val="BayerTableStyleCentered"/>
              <w:keepNext w:val="0"/>
              <w:keepLines/>
              <w:rPr>
                <w:rFonts w:ascii="Times New Roman" w:hAnsi="Times New Roman" w:cs="Times New Roman"/>
                <w:lang w:val="en-GB"/>
              </w:rPr>
            </w:pPr>
            <w:r w:rsidRPr="009F716C">
              <w:rPr>
                <w:rFonts w:ascii="Times New Roman" w:hAnsi="Times New Roman" w:cs="Times New Roman"/>
              </w:rPr>
              <w:t>7.2</w:t>
            </w:r>
          </w:p>
        </w:tc>
        <w:tc>
          <w:tcPr>
            <w:tcW w:w="900" w:type="dxa"/>
            <w:tcBorders>
              <w:top w:val="nil"/>
              <w:left w:val="nil"/>
              <w:bottom w:val="nil"/>
              <w:right w:val="nil"/>
            </w:tcBorders>
            <w:shd w:val="clear" w:color="auto" w:fill="auto"/>
          </w:tcPr>
          <w:p w:rsidR="009F716C" w:rsidRPr="009F716C" w:rsidRDefault="009F716C" w:rsidP="00416DCA">
            <w:pPr>
              <w:pStyle w:val="BayerTableStyleCentered"/>
              <w:keepNext w:val="0"/>
              <w:keepLines/>
              <w:rPr>
                <w:rFonts w:ascii="Times New Roman" w:hAnsi="Times New Roman" w:cs="Times New Roman"/>
                <w:lang w:val="en-GB"/>
              </w:rPr>
            </w:pPr>
            <w:r w:rsidRPr="009F716C">
              <w:rPr>
                <w:rFonts w:ascii="Times New Roman" w:hAnsi="Times New Roman" w:cs="Times New Roman"/>
              </w:rPr>
              <w:t>0</w:t>
            </w:r>
          </w:p>
        </w:tc>
        <w:tc>
          <w:tcPr>
            <w:tcW w:w="900" w:type="dxa"/>
            <w:tcBorders>
              <w:top w:val="nil"/>
              <w:left w:val="nil"/>
              <w:bottom w:val="nil"/>
              <w:right w:val="single" w:sz="4" w:space="0" w:color="auto"/>
            </w:tcBorders>
            <w:shd w:val="clear" w:color="auto" w:fill="auto"/>
          </w:tcPr>
          <w:p w:rsidR="009F716C" w:rsidRPr="009F716C" w:rsidRDefault="009F716C" w:rsidP="00416DCA">
            <w:pPr>
              <w:pStyle w:val="BayerTableStyleCentered"/>
              <w:keepNext w:val="0"/>
              <w:keepLines/>
              <w:rPr>
                <w:rFonts w:ascii="Times New Roman" w:hAnsi="Times New Roman" w:cs="Times New Roman"/>
                <w:lang w:val="en-GB"/>
              </w:rPr>
            </w:pPr>
            <w:r w:rsidRPr="009F716C">
              <w:rPr>
                <w:rFonts w:ascii="Times New Roman" w:hAnsi="Times New Roman" w:cs="Times New Roman"/>
              </w:rPr>
              <w:t>0</w:t>
            </w:r>
          </w:p>
        </w:tc>
        <w:tc>
          <w:tcPr>
            <w:tcW w:w="1080" w:type="dxa"/>
            <w:tcBorders>
              <w:top w:val="nil"/>
              <w:left w:val="single" w:sz="4" w:space="0" w:color="auto"/>
              <w:bottom w:val="nil"/>
              <w:right w:val="nil"/>
            </w:tcBorders>
            <w:shd w:val="clear" w:color="auto" w:fill="auto"/>
          </w:tcPr>
          <w:p w:rsidR="009F716C" w:rsidRPr="009F716C" w:rsidRDefault="009F716C" w:rsidP="00416DCA">
            <w:pPr>
              <w:pStyle w:val="BayerTableStyleCentered"/>
              <w:keepNext w:val="0"/>
              <w:keepLines/>
              <w:rPr>
                <w:rFonts w:ascii="Times New Roman" w:hAnsi="Times New Roman" w:cs="Times New Roman"/>
                <w:lang w:val="en-GB"/>
              </w:rPr>
            </w:pPr>
            <w:r w:rsidRPr="009F716C">
              <w:rPr>
                <w:rFonts w:ascii="Times New Roman" w:hAnsi="Times New Roman" w:cs="Times New Roman"/>
              </w:rPr>
              <w:t>1.0</w:t>
            </w:r>
          </w:p>
        </w:tc>
        <w:tc>
          <w:tcPr>
            <w:tcW w:w="900" w:type="dxa"/>
            <w:tcBorders>
              <w:top w:val="nil"/>
              <w:left w:val="nil"/>
              <w:bottom w:val="nil"/>
              <w:right w:val="nil"/>
            </w:tcBorders>
            <w:shd w:val="clear" w:color="auto" w:fill="auto"/>
          </w:tcPr>
          <w:p w:rsidR="009F716C" w:rsidRPr="009F716C" w:rsidRDefault="009F716C" w:rsidP="00416DCA">
            <w:pPr>
              <w:pStyle w:val="BayerTableStyleCentered"/>
              <w:keepNext w:val="0"/>
              <w:keepLines/>
              <w:rPr>
                <w:rFonts w:ascii="Times New Roman" w:hAnsi="Times New Roman" w:cs="Times New Roman"/>
                <w:lang w:val="en-GB"/>
              </w:rPr>
            </w:pPr>
            <w:r w:rsidRPr="009F716C">
              <w:rPr>
                <w:rFonts w:ascii="Times New Roman" w:hAnsi="Times New Roman" w:cs="Times New Roman"/>
              </w:rPr>
              <w:t>0</w:t>
            </w:r>
          </w:p>
        </w:tc>
        <w:tc>
          <w:tcPr>
            <w:tcW w:w="894" w:type="dxa"/>
            <w:tcBorders>
              <w:top w:val="nil"/>
              <w:left w:val="nil"/>
              <w:bottom w:val="nil"/>
              <w:right w:val="single" w:sz="4" w:space="0" w:color="auto"/>
            </w:tcBorders>
            <w:shd w:val="clear" w:color="auto" w:fill="auto"/>
          </w:tcPr>
          <w:p w:rsidR="009F716C" w:rsidRPr="009F716C" w:rsidRDefault="009F716C" w:rsidP="00416DCA">
            <w:pPr>
              <w:pStyle w:val="BayerTableStyleCentered"/>
              <w:keepNext w:val="0"/>
              <w:keepLines/>
              <w:rPr>
                <w:rFonts w:ascii="Times New Roman" w:hAnsi="Times New Roman" w:cs="Times New Roman"/>
                <w:lang w:val="en-GB"/>
              </w:rPr>
            </w:pPr>
            <w:r w:rsidRPr="009F716C">
              <w:rPr>
                <w:rFonts w:ascii="Times New Roman" w:hAnsi="Times New Roman" w:cs="Times New Roman"/>
              </w:rPr>
              <w:t>0</w:t>
            </w:r>
          </w:p>
        </w:tc>
      </w:tr>
      <w:tr w:rsidR="00F83BE3" w:rsidRPr="00EB44BE" w:rsidTr="00416DCA">
        <w:tc>
          <w:tcPr>
            <w:tcW w:w="3060" w:type="dxa"/>
            <w:tcBorders>
              <w:top w:val="nil"/>
              <w:left w:val="single" w:sz="2" w:space="0" w:color="auto"/>
              <w:bottom w:val="nil"/>
              <w:right w:val="single" w:sz="4" w:space="0" w:color="auto"/>
            </w:tcBorders>
            <w:shd w:val="clear" w:color="auto" w:fill="auto"/>
            <w:vAlign w:val="center"/>
          </w:tcPr>
          <w:p w:rsidR="00F83BE3" w:rsidRPr="00C861DA" w:rsidRDefault="00F83BE3" w:rsidP="00416DCA">
            <w:pPr>
              <w:pStyle w:val="BayerTableRowHeadings"/>
              <w:keepNext w:val="0"/>
              <w:keepLines/>
              <w:tabs>
                <w:tab w:val="left" w:pos="273"/>
              </w:tabs>
              <w:rPr>
                <w:rFonts w:ascii="Times New Roman" w:hAnsi="Times New Roman" w:cs="Times New Roman"/>
                <w:b/>
                <w:lang w:val="en-GB"/>
              </w:rPr>
            </w:pPr>
            <w:r w:rsidRPr="00C861DA">
              <w:rPr>
                <w:rFonts w:ascii="Times New Roman" w:hAnsi="Times New Roman" w:cs="Times New Roman"/>
                <w:b/>
                <w:lang w:val="en-GB"/>
              </w:rPr>
              <w:t>Musculoskeletal, Connective Tissue and Bone Disorders</w:t>
            </w:r>
          </w:p>
        </w:tc>
        <w:tc>
          <w:tcPr>
            <w:tcW w:w="1080" w:type="dxa"/>
            <w:tcBorders>
              <w:top w:val="nil"/>
              <w:left w:val="single" w:sz="4" w:space="0" w:color="auto"/>
              <w:bottom w:val="nil"/>
              <w:right w:val="nil"/>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r>
      <w:tr w:rsidR="000C5FDE" w:rsidTr="00CF3FA9">
        <w:trPr>
          <w:trHeight w:val="323"/>
        </w:trPr>
        <w:tc>
          <w:tcPr>
            <w:tcW w:w="3060" w:type="dxa"/>
            <w:tcBorders>
              <w:top w:val="nil"/>
              <w:left w:val="single" w:sz="2" w:space="0" w:color="auto"/>
              <w:bottom w:val="nil"/>
              <w:right w:val="single" w:sz="4" w:space="0" w:color="auto"/>
            </w:tcBorders>
            <w:shd w:val="clear" w:color="auto" w:fill="auto"/>
            <w:vAlign w:val="center"/>
          </w:tcPr>
          <w:p w:rsidR="000C5FDE" w:rsidRDefault="000C5FDE" w:rsidP="00CF3FA9">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pain in extremity</w:t>
            </w:r>
          </w:p>
        </w:tc>
        <w:tc>
          <w:tcPr>
            <w:tcW w:w="1080" w:type="dxa"/>
            <w:tcBorders>
              <w:top w:val="nil"/>
              <w:left w:val="single" w:sz="4" w:space="0" w:color="auto"/>
              <w:bottom w:val="nil"/>
              <w:right w:val="nil"/>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14.5</w:t>
            </w:r>
          </w:p>
        </w:tc>
        <w:tc>
          <w:tcPr>
            <w:tcW w:w="900" w:type="dxa"/>
            <w:tcBorders>
              <w:top w:val="nil"/>
              <w:left w:val="nil"/>
              <w:bottom w:val="nil"/>
              <w:right w:val="nil"/>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900" w:type="dxa"/>
            <w:tcBorders>
              <w:top w:val="nil"/>
              <w:left w:val="nil"/>
              <w:bottom w:val="nil"/>
              <w:right w:val="single" w:sz="4" w:space="0" w:color="auto"/>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6.7</w:t>
            </w:r>
          </w:p>
        </w:tc>
        <w:tc>
          <w:tcPr>
            <w:tcW w:w="900" w:type="dxa"/>
            <w:tcBorders>
              <w:top w:val="nil"/>
              <w:left w:val="nil"/>
              <w:bottom w:val="nil"/>
              <w:right w:val="nil"/>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0C5FDE" w:rsidRDefault="000C5FDE" w:rsidP="00CF3FA9">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arthralgia</w:t>
            </w:r>
          </w:p>
        </w:tc>
        <w:tc>
          <w:tcPr>
            <w:tcW w:w="1080" w:type="dxa"/>
            <w:tcBorders>
              <w:top w:val="nil"/>
              <w:left w:val="single" w:sz="4" w:space="0" w:color="auto"/>
              <w:bottom w:val="nil"/>
              <w:right w:val="nil"/>
            </w:tcBorders>
            <w:shd w:val="clear" w:color="auto" w:fill="auto"/>
            <w:vAlign w:val="center"/>
          </w:tcPr>
          <w:p w:rsidR="00F83BE3" w:rsidRDefault="00DE76FF"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10.1</w:t>
            </w:r>
          </w:p>
        </w:tc>
        <w:tc>
          <w:tcPr>
            <w:tcW w:w="900" w:type="dxa"/>
            <w:tcBorders>
              <w:top w:val="nil"/>
              <w:left w:val="nil"/>
              <w:bottom w:val="nil"/>
              <w:right w:val="nil"/>
            </w:tcBorders>
            <w:shd w:val="clear" w:color="auto" w:fill="auto"/>
            <w:vAlign w:val="center"/>
          </w:tcPr>
          <w:p w:rsidR="00F83BE3" w:rsidRDefault="00DE76FF"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F83BE3" w:rsidRDefault="00DE76FF"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Default="00DE76FF"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7.7</w:t>
            </w:r>
          </w:p>
        </w:tc>
        <w:tc>
          <w:tcPr>
            <w:tcW w:w="900" w:type="dxa"/>
            <w:tcBorders>
              <w:top w:val="nil"/>
              <w:left w:val="nil"/>
              <w:bottom w:val="nil"/>
              <w:right w:val="nil"/>
            </w:tcBorders>
            <w:shd w:val="clear" w:color="auto" w:fill="auto"/>
            <w:vAlign w:val="center"/>
          </w:tcPr>
          <w:p w:rsidR="00F83BE3" w:rsidRDefault="00DE76FF"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1.4</w:t>
            </w:r>
          </w:p>
        </w:tc>
        <w:tc>
          <w:tcPr>
            <w:tcW w:w="894" w:type="dxa"/>
            <w:tcBorders>
              <w:top w:val="nil"/>
              <w:left w:val="nil"/>
              <w:bottom w:val="nil"/>
              <w:right w:val="single" w:sz="4" w:space="0" w:color="auto"/>
            </w:tcBorders>
            <w:shd w:val="clear" w:color="auto" w:fill="auto"/>
            <w:vAlign w:val="center"/>
          </w:tcPr>
          <w:p w:rsidR="00F83BE3" w:rsidRDefault="00DE76FF"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DE76FF"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DE76FF"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m</w:t>
            </w:r>
            <w:r w:rsidR="00FD1FB4">
              <w:rPr>
                <w:rFonts w:ascii="Times New Roman" w:hAnsi="Times New Roman" w:cs="Times New Roman"/>
                <w:lang w:val="en-GB"/>
              </w:rPr>
              <w:t>uscle spasms</w:t>
            </w:r>
          </w:p>
        </w:tc>
        <w:tc>
          <w:tcPr>
            <w:tcW w:w="1080" w:type="dxa"/>
            <w:tcBorders>
              <w:top w:val="nil"/>
              <w:left w:val="single" w:sz="4" w:space="0" w:color="auto"/>
              <w:bottom w:val="nil"/>
              <w:right w:val="nil"/>
            </w:tcBorders>
            <w:shd w:val="clear" w:color="auto" w:fill="auto"/>
            <w:vAlign w:val="center"/>
          </w:tcPr>
          <w:p w:rsidR="00DE76FF"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10.1</w:t>
            </w:r>
          </w:p>
        </w:tc>
        <w:tc>
          <w:tcPr>
            <w:tcW w:w="900" w:type="dxa"/>
            <w:tcBorders>
              <w:top w:val="nil"/>
              <w:left w:val="nil"/>
              <w:bottom w:val="nil"/>
              <w:right w:val="nil"/>
            </w:tcBorders>
            <w:shd w:val="clear" w:color="auto" w:fill="auto"/>
            <w:vAlign w:val="center"/>
          </w:tcPr>
          <w:p w:rsidR="00DE76FF"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DE76FF"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DE76FF"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2.9</w:t>
            </w:r>
          </w:p>
        </w:tc>
        <w:tc>
          <w:tcPr>
            <w:tcW w:w="900" w:type="dxa"/>
            <w:tcBorders>
              <w:top w:val="nil"/>
              <w:left w:val="nil"/>
              <w:bottom w:val="nil"/>
              <w:right w:val="nil"/>
            </w:tcBorders>
            <w:shd w:val="clear" w:color="auto" w:fill="auto"/>
            <w:vAlign w:val="center"/>
          </w:tcPr>
          <w:p w:rsidR="00DE76FF"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DE76FF"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D1FB4" w:rsidRPr="00EB44BE" w:rsidTr="00416DCA">
        <w:tc>
          <w:tcPr>
            <w:tcW w:w="3060" w:type="dxa"/>
            <w:tcBorders>
              <w:top w:val="nil"/>
              <w:left w:val="single" w:sz="2" w:space="0" w:color="auto"/>
              <w:bottom w:val="nil"/>
              <w:right w:val="single" w:sz="4" w:space="0" w:color="auto"/>
            </w:tcBorders>
            <w:shd w:val="clear" w:color="auto" w:fill="auto"/>
            <w:vAlign w:val="center"/>
          </w:tcPr>
          <w:p w:rsidR="00FD1FB4" w:rsidRPr="00C861DA" w:rsidRDefault="00FD1FB4" w:rsidP="00416DCA">
            <w:pPr>
              <w:pStyle w:val="BayerTableRowHeadings"/>
              <w:keepNext w:val="0"/>
              <w:keepLines/>
              <w:tabs>
                <w:tab w:val="left" w:pos="273"/>
              </w:tabs>
              <w:rPr>
                <w:rFonts w:ascii="Times New Roman" w:hAnsi="Times New Roman" w:cs="Times New Roman"/>
                <w:b/>
                <w:lang w:val="en-GB"/>
              </w:rPr>
            </w:pPr>
            <w:r>
              <w:rPr>
                <w:rFonts w:ascii="Times New Roman" w:hAnsi="Times New Roman" w:cs="Times New Roman"/>
                <w:b/>
                <w:lang w:val="en-GB"/>
              </w:rPr>
              <w:t>Blood and lymphatic system disorders</w:t>
            </w:r>
          </w:p>
        </w:tc>
        <w:tc>
          <w:tcPr>
            <w:tcW w:w="1080" w:type="dxa"/>
            <w:tcBorders>
              <w:top w:val="nil"/>
              <w:left w:val="single" w:sz="4" w:space="0" w:color="auto"/>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p>
        </w:tc>
      </w:tr>
      <w:tr w:rsidR="00FD1FB4" w:rsidRPr="00EB44BE" w:rsidTr="00416DCA">
        <w:tc>
          <w:tcPr>
            <w:tcW w:w="3060" w:type="dxa"/>
            <w:tcBorders>
              <w:top w:val="nil"/>
              <w:left w:val="single" w:sz="2" w:space="0" w:color="auto"/>
              <w:bottom w:val="nil"/>
              <w:right w:val="single" w:sz="4" w:space="0" w:color="auto"/>
            </w:tcBorders>
            <w:shd w:val="clear" w:color="auto" w:fill="auto"/>
            <w:vAlign w:val="center"/>
          </w:tcPr>
          <w:p w:rsidR="00FD1FB4" w:rsidRPr="00FD1FB4" w:rsidRDefault="00FD1FB4" w:rsidP="00416DCA">
            <w:pPr>
              <w:pStyle w:val="BayerTableRowHeadings"/>
              <w:keepNext w:val="0"/>
              <w:keepLines/>
              <w:tabs>
                <w:tab w:val="left" w:pos="273"/>
              </w:tabs>
              <w:rPr>
                <w:rFonts w:ascii="Times New Roman" w:hAnsi="Times New Roman" w:cs="Times New Roman"/>
                <w:lang w:val="en-GB"/>
              </w:rPr>
            </w:pPr>
            <w:r w:rsidRPr="00FD1FB4">
              <w:rPr>
                <w:rFonts w:ascii="Times New Roman" w:hAnsi="Times New Roman" w:cs="Times New Roman"/>
                <w:lang w:val="en-GB"/>
              </w:rPr>
              <w:t>anaemia</w:t>
            </w:r>
          </w:p>
        </w:tc>
        <w:tc>
          <w:tcPr>
            <w:tcW w:w="1080" w:type="dxa"/>
            <w:tcBorders>
              <w:top w:val="nil"/>
              <w:left w:val="single" w:sz="4" w:space="0" w:color="auto"/>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5.3</w:t>
            </w:r>
          </w:p>
        </w:tc>
        <w:tc>
          <w:tcPr>
            <w:tcW w:w="900" w:type="dxa"/>
            <w:tcBorders>
              <w:top w:val="nil"/>
              <w:left w:val="nil"/>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900" w:type="dxa"/>
            <w:tcBorders>
              <w:top w:val="nil"/>
              <w:left w:val="nil"/>
              <w:bottom w:val="nil"/>
              <w:right w:val="single" w:sz="4" w:space="0" w:color="auto"/>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3.8</w:t>
            </w:r>
          </w:p>
        </w:tc>
        <w:tc>
          <w:tcPr>
            <w:tcW w:w="900" w:type="dxa"/>
            <w:tcBorders>
              <w:top w:val="nil"/>
              <w:left w:val="nil"/>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sidRPr="00FD1FB4">
              <w:rPr>
                <w:rFonts w:ascii="Times New Roman" w:hAnsi="Times New Roman" w:cs="Times New Roman"/>
                <w:lang w:val="en-GB"/>
              </w:rPr>
              <w:t>&lt;1</w:t>
            </w:r>
          </w:p>
        </w:tc>
        <w:tc>
          <w:tcPr>
            <w:tcW w:w="894" w:type="dxa"/>
            <w:tcBorders>
              <w:top w:val="nil"/>
              <w:left w:val="nil"/>
              <w:bottom w:val="nil"/>
              <w:right w:val="single" w:sz="4" w:space="0" w:color="auto"/>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416DCA">
        <w:tc>
          <w:tcPr>
            <w:tcW w:w="3060" w:type="dxa"/>
            <w:tcBorders>
              <w:top w:val="nil"/>
              <w:left w:val="single" w:sz="2" w:space="0" w:color="auto"/>
              <w:bottom w:val="nil"/>
              <w:right w:val="single" w:sz="4" w:space="0" w:color="auto"/>
            </w:tcBorders>
            <w:shd w:val="clear" w:color="auto" w:fill="auto"/>
            <w:vAlign w:val="center"/>
          </w:tcPr>
          <w:p w:rsidR="00F83BE3" w:rsidRPr="00C861DA" w:rsidRDefault="00F83BE3" w:rsidP="00416DCA">
            <w:pPr>
              <w:pStyle w:val="BayerTableRowHeadings"/>
              <w:keepNext w:val="0"/>
              <w:keepLines/>
              <w:tabs>
                <w:tab w:val="left" w:pos="273"/>
              </w:tabs>
              <w:rPr>
                <w:rFonts w:ascii="Times New Roman" w:hAnsi="Times New Roman" w:cs="Times New Roman"/>
                <w:b/>
                <w:lang w:val="en-GB"/>
              </w:rPr>
            </w:pPr>
            <w:r w:rsidRPr="00C861DA">
              <w:rPr>
                <w:rFonts w:ascii="Times New Roman" w:hAnsi="Times New Roman" w:cs="Times New Roman"/>
                <w:b/>
                <w:lang w:val="en-GB"/>
              </w:rPr>
              <w:t>General Disorders and Administrati</w:t>
            </w:r>
            <w:r>
              <w:rPr>
                <w:rFonts w:ascii="Times New Roman" w:hAnsi="Times New Roman" w:cs="Times New Roman"/>
                <w:b/>
                <w:lang w:val="en-GB"/>
              </w:rPr>
              <w:t>on</w:t>
            </w:r>
            <w:r w:rsidRPr="00C861DA">
              <w:rPr>
                <w:rFonts w:ascii="Times New Roman" w:hAnsi="Times New Roman" w:cs="Times New Roman"/>
                <w:b/>
                <w:lang w:val="en-GB"/>
              </w:rPr>
              <w:t xml:space="preserve"> Site Conditions</w:t>
            </w:r>
          </w:p>
        </w:tc>
        <w:tc>
          <w:tcPr>
            <w:tcW w:w="1080" w:type="dxa"/>
            <w:tcBorders>
              <w:top w:val="nil"/>
              <w:left w:val="single" w:sz="4" w:space="0" w:color="auto"/>
              <w:bottom w:val="nil"/>
              <w:right w:val="nil"/>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F83BE3" w:rsidRDefault="00F83BE3" w:rsidP="00416DCA">
            <w:pPr>
              <w:pStyle w:val="BayerTableStyleCentered"/>
              <w:keepNext w:val="0"/>
              <w:keepLines/>
              <w:rPr>
                <w:rFonts w:ascii="Times New Roman" w:hAnsi="Times New Roman" w:cs="Times New Roman"/>
                <w:lang w:val="en-GB"/>
              </w:rPr>
            </w:pPr>
          </w:p>
        </w:tc>
      </w:tr>
      <w:tr w:rsidR="00F83BE3" w:rsidRPr="00EB44BE" w:rsidTr="00416DCA">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fatigue</w:t>
            </w:r>
          </w:p>
        </w:tc>
        <w:tc>
          <w:tcPr>
            <w:tcW w:w="1080" w:type="dxa"/>
            <w:tcBorders>
              <w:top w:val="nil"/>
              <w:left w:val="single" w:sz="4" w:space="0" w:color="auto"/>
              <w:bottom w:val="nil"/>
              <w:right w:val="nil"/>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41.1</w:t>
            </w:r>
          </w:p>
        </w:tc>
        <w:tc>
          <w:tcPr>
            <w:tcW w:w="900" w:type="dxa"/>
            <w:tcBorders>
              <w:top w:val="nil"/>
              <w:left w:val="nil"/>
              <w:bottom w:val="nil"/>
              <w:right w:val="nil"/>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4.8</w:t>
            </w:r>
          </w:p>
        </w:tc>
        <w:tc>
          <w:tcPr>
            <w:tcW w:w="900" w:type="dxa"/>
            <w:tcBorders>
              <w:top w:val="nil"/>
              <w:left w:val="nil"/>
              <w:bottom w:val="nil"/>
              <w:right w:val="single" w:sz="4" w:space="0" w:color="auto"/>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20.1</w:t>
            </w:r>
          </w:p>
        </w:tc>
        <w:tc>
          <w:tcPr>
            <w:tcW w:w="900" w:type="dxa"/>
            <w:tcBorders>
              <w:top w:val="nil"/>
              <w:left w:val="nil"/>
              <w:bottom w:val="nil"/>
              <w:right w:val="nil"/>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894" w:type="dxa"/>
            <w:tcBorders>
              <w:top w:val="nil"/>
              <w:left w:val="nil"/>
              <w:bottom w:val="nil"/>
              <w:right w:val="single" w:sz="4" w:space="0" w:color="auto"/>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83BE3" w:rsidRPr="00EB44BE" w:rsidTr="00FD1FB4">
        <w:trPr>
          <w:trHeight w:val="323"/>
        </w:trPr>
        <w:tc>
          <w:tcPr>
            <w:tcW w:w="3060" w:type="dxa"/>
            <w:tcBorders>
              <w:top w:val="nil"/>
              <w:left w:val="single" w:sz="2" w:space="0" w:color="auto"/>
              <w:bottom w:val="nil"/>
              <w:right w:val="single" w:sz="4" w:space="0" w:color="auto"/>
            </w:tcBorders>
            <w:shd w:val="clear" w:color="auto" w:fill="auto"/>
            <w:vAlign w:val="center"/>
          </w:tcPr>
          <w:p w:rsidR="00F83BE3" w:rsidRDefault="00F83BE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asthenia</w:t>
            </w:r>
          </w:p>
        </w:tc>
        <w:tc>
          <w:tcPr>
            <w:tcW w:w="1080" w:type="dxa"/>
            <w:tcBorders>
              <w:top w:val="nil"/>
              <w:left w:val="single" w:sz="4" w:space="0" w:color="auto"/>
              <w:bottom w:val="nil"/>
              <w:right w:val="nil"/>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12.1</w:t>
            </w:r>
          </w:p>
        </w:tc>
        <w:tc>
          <w:tcPr>
            <w:tcW w:w="900" w:type="dxa"/>
            <w:tcBorders>
              <w:top w:val="nil"/>
              <w:left w:val="nil"/>
              <w:bottom w:val="nil"/>
              <w:right w:val="nil"/>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6.7</w:t>
            </w:r>
          </w:p>
        </w:tc>
        <w:tc>
          <w:tcPr>
            <w:tcW w:w="900" w:type="dxa"/>
            <w:tcBorders>
              <w:top w:val="nil"/>
              <w:left w:val="nil"/>
              <w:bottom w:val="nil"/>
              <w:right w:val="nil"/>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83BE3"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D1FB4" w:rsidRPr="00EB44BE" w:rsidTr="00FD1FB4">
        <w:trPr>
          <w:trHeight w:val="323"/>
        </w:trPr>
        <w:tc>
          <w:tcPr>
            <w:tcW w:w="3060" w:type="dxa"/>
            <w:tcBorders>
              <w:top w:val="nil"/>
              <w:left w:val="single" w:sz="2" w:space="0" w:color="auto"/>
              <w:bottom w:val="nil"/>
              <w:right w:val="single" w:sz="4" w:space="0" w:color="auto"/>
            </w:tcBorders>
            <w:shd w:val="clear" w:color="auto" w:fill="auto"/>
            <w:vAlign w:val="center"/>
          </w:tcPr>
          <w:p w:rsidR="00FD1FB4"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p</w:t>
            </w:r>
            <w:r w:rsidR="0082659B">
              <w:rPr>
                <w:rFonts w:ascii="Times New Roman" w:hAnsi="Times New Roman" w:cs="Times New Roman"/>
                <w:lang w:val="en-GB"/>
              </w:rPr>
              <w:t>yrexia</w:t>
            </w:r>
          </w:p>
        </w:tc>
        <w:tc>
          <w:tcPr>
            <w:tcW w:w="1080" w:type="dxa"/>
            <w:tcBorders>
              <w:top w:val="nil"/>
              <w:left w:val="single" w:sz="4" w:space="0" w:color="auto"/>
              <w:bottom w:val="nil"/>
              <w:right w:val="nil"/>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10.6</w:t>
            </w:r>
          </w:p>
        </w:tc>
        <w:tc>
          <w:tcPr>
            <w:tcW w:w="900" w:type="dxa"/>
            <w:tcBorders>
              <w:top w:val="nil"/>
              <w:left w:val="nil"/>
              <w:bottom w:val="nil"/>
              <w:right w:val="nil"/>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900" w:type="dxa"/>
            <w:tcBorders>
              <w:top w:val="nil"/>
              <w:left w:val="nil"/>
              <w:bottom w:val="nil"/>
              <w:right w:val="single" w:sz="4" w:space="0" w:color="auto"/>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4.8</w:t>
            </w:r>
          </w:p>
        </w:tc>
        <w:tc>
          <w:tcPr>
            <w:tcW w:w="900" w:type="dxa"/>
            <w:tcBorders>
              <w:top w:val="nil"/>
              <w:left w:val="nil"/>
              <w:bottom w:val="nil"/>
              <w:right w:val="nil"/>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D1FB4" w:rsidRPr="00EB44BE" w:rsidTr="00FD1FB4">
        <w:trPr>
          <w:trHeight w:val="323"/>
        </w:trPr>
        <w:tc>
          <w:tcPr>
            <w:tcW w:w="3060" w:type="dxa"/>
            <w:tcBorders>
              <w:top w:val="nil"/>
              <w:left w:val="single" w:sz="2" w:space="0" w:color="auto"/>
              <w:bottom w:val="nil"/>
              <w:right w:val="single" w:sz="4" w:space="0" w:color="auto"/>
            </w:tcBorders>
            <w:shd w:val="clear" w:color="auto" w:fill="auto"/>
            <w:vAlign w:val="center"/>
          </w:tcPr>
          <w:p w:rsidR="00FD1FB4"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m</w:t>
            </w:r>
            <w:r w:rsidR="0082659B">
              <w:rPr>
                <w:rFonts w:ascii="Times New Roman" w:hAnsi="Times New Roman" w:cs="Times New Roman"/>
                <w:lang w:val="en-GB"/>
              </w:rPr>
              <w:t>ucosal inflammation</w:t>
            </w:r>
          </w:p>
        </w:tc>
        <w:tc>
          <w:tcPr>
            <w:tcW w:w="1080" w:type="dxa"/>
            <w:tcBorders>
              <w:top w:val="nil"/>
              <w:left w:val="single" w:sz="4" w:space="0" w:color="auto"/>
              <w:bottom w:val="nil"/>
              <w:right w:val="nil"/>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10.1</w:t>
            </w:r>
          </w:p>
        </w:tc>
        <w:tc>
          <w:tcPr>
            <w:tcW w:w="900" w:type="dxa"/>
            <w:tcBorders>
              <w:top w:val="nil"/>
              <w:left w:val="nil"/>
              <w:bottom w:val="nil"/>
              <w:right w:val="nil"/>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900" w:type="dxa"/>
            <w:tcBorders>
              <w:top w:val="nil"/>
              <w:left w:val="nil"/>
              <w:bottom w:val="nil"/>
              <w:right w:val="single" w:sz="4" w:space="0" w:color="auto"/>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sidRPr="0082659B">
              <w:rPr>
                <w:rFonts w:ascii="Times New Roman" w:hAnsi="Times New Roman" w:cs="Times New Roman"/>
                <w:lang w:val="en-GB"/>
              </w:rPr>
              <w:t>&lt;1</w:t>
            </w:r>
          </w:p>
        </w:tc>
        <w:tc>
          <w:tcPr>
            <w:tcW w:w="1080" w:type="dxa"/>
            <w:tcBorders>
              <w:top w:val="nil"/>
              <w:left w:val="single" w:sz="4" w:space="0" w:color="auto"/>
              <w:bottom w:val="nil"/>
              <w:right w:val="nil"/>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sidRPr="0082659B">
              <w:rPr>
                <w:rFonts w:ascii="Times New Roman" w:hAnsi="Times New Roman" w:cs="Times New Roman"/>
                <w:lang w:val="en-GB"/>
              </w:rPr>
              <w:t>&lt;1</w:t>
            </w:r>
          </w:p>
        </w:tc>
        <w:tc>
          <w:tcPr>
            <w:tcW w:w="900" w:type="dxa"/>
            <w:tcBorders>
              <w:top w:val="nil"/>
              <w:left w:val="nil"/>
              <w:bottom w:val="nil"/>
              <w:right w:val="nil"/>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D1FB4"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FD1FB4" w:rsidRPr="00EB44BE" w:rsidTr="0082659B">
        <w:trPr>
          <w:trHeight w:val="323"/>
        </w:trPr>
        <w:tc>
          <w:tcPr>
            <w:tcW w:w="3060" w:type="dxa"/>
            <w:tcBorders>
              <w:top w:val="nil"/>
              <w:left w:val="single" w:sz="2" w:space="0" w:color="auto"/>
              <w:bottom w:val="nil"/>
              <w:right w:val="single" w:sz="4" w:space="0" w:color="auto"/>
            </w:tcBorders>
            <w:shd w:val="clear" w:color="auto" w:fill="auto"/>
            <w:vAlign w:val="center"/>
          </w:tcPr>
          <w:p w:rsidR="00FD1FB4"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c</w:t>
            </w:r>
            <w:r w:rsidR="00FD1FB4">
              <w:rPr>
                <w:rFonts w:ascii="Times New Roman" w:hAnsi="Times New Roman" w:cs="Times New Roman"/>
                <w:lang w:val="en-GB"/>
              </w:rPr>
              <w:t>hest pain</w:t>
            </w:r>
          </w:p>
        </w:tc>
        <w:tc>
          <w:tcPr>
            <w:tcW w:w="1080" w:type="dxa"/>
            <w:tcBorders>
              <w:top w:val="nil"/>
              <w:left w:val="single" w:sz="4" w:space="0" w:color="auto"/>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8.2</w:t>
            </w:r>
          </w:p>
        </w:tc>
        <w:tc>
          <w:tcPr>
            <w:tcW w:w="900" w:type="dxa"/>
            <w:tcBorders>
              <w:top w:val="nil"/>
              <w:left w:val="nil"/>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2.9</w:t>
            </w:r>
          </w:p>
        </w:tc>
        <w:tc>
          <w:tcPr>
            <w:tcW w:w="900" w:type="dxa"/>
            <w:tcBorders>
              <w:top w:val="nil"/>
              <w:left w:val="nil"/>
              <w:bottom w:val="nil"/>
              <w:right w:val="nil"/>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FD1FB4" w:rsidRDefault="00FD1FB4"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82659B" w:rsidRPr="00EB44BE" w:rsidTr="0082659B">
        <w:trPr>
          <w:trHeight w:val="323"/>
        </w:trPr>
        <w:tc>
          <w:tcPr>
            <w:tcW w:w="3060" w:type="dxa"/>
            <w:tcBorders>
              <w:top w:val="nil"/>
              <w:left w:val="single" w:sz="2" w:space="0" w:color="auto"/>
              <w:bottom w:val="nil"/>
              <w:right w:val="single" w:sz="4" w:space="0" w:color="auto"/>
            </w:tcBorders>
            <w:shd w:val="clear" w:color="auto" w:fill="auto"/>
            <w:vAlign w:val="center"/>
          </w:tcPr>
          <w:p w:rsidR="0082659B" w:rsidRDefault="0082659B"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nasopharyngitis</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6.8</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5.3</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82659B" w:rsidRPr="00EB44BE" w:rsidTr="0082659B">
        <w:trPr>
          <w:trHeight w:val="323"/>
        </w:trPr>
        <w:tc>
          <w:tcPr>
            <w:tcW w:w="3060" w:type="dxa"/>
            <w:tcBorders>
              <w:top w:val="nil"/>
              <w:left w:val="single" w:sz="2" w:space="0" w:color="auto"/>
              <w:bottom w:val="nil"/>
              <w:right w:val="single" w:sz="4" w:space="0" w:color="auto"/>
            </w:tcBorders>
            <w:shd w:val="clear" w:color="auto" w:fill="auto"/>
            <w:vAlign w:val="center"/>
          </w:tcPr>
          <w:p w:rsidR="0082659B"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u</w:t>
            </w:r>
            <w:r w:rsidR="0082659B">
              <w:rPr>
                <w:rFonts w:ascii="Times New Roman" w:hAnsi="Times New Roman" w:cs="Times New Roman"/>
                <w:lang w:val="en-GB"/>
              </w:rPr>
              <w:t>rinary tract infection</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5.3</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2.4</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82659B" w:rsidRPr="00EB44BE" w:rsidTr="0082659B">
        <w:trPr>
          <w:trHeight w:val="323"/>
        </w:trPr>
        <w:tc>
          <w:tcPr>
            <w:tcW w:w="3060" w:type="dxa"/>
            <w:tcBorders>
              <w:top w:val="nil"/>
              <w:left w:val="single" w:sz="2" w:space="0" w:color="auto"/>
              <w:bottom w:val="nil"/>
              <w:right w:val="single" w:sz="4" w:space="0" w:color="auto"/>
            </w:tcBorders>
            <w:shd w:val="clear" w:color="auto" w:fill="auto"/>
            <w:vAlign w:val="center"/>
          </w:tcPr>
          <w:p w:rsidR="0082659B" w:rsidRPr="0082659B" w:rsidRDefault="0082659B" w:rsidP="00416DCA">
            <w:pPr>
              <w:pStyle w:val="BayerTableRowHeadings"/>
              <w:keepNext w:val="0"/>
              <w:keepLines/>
              <w:tabs>
                <w:tab w:val="left" w:pos="273"/>
              </w:tabs>
              <w:rPr>
                <w:rFonts w:ascii="Times New Roman" w:hAnsi="Times New Roman" w:cs="Times New Roman"/>
                <w:b/>
                <w:lang w:val="en-GB"/>
              </w:rPr>
            </w:pPr>
            <w:r w:rsidRPr="0082659B">
              <w:rPr>
                <w:rFonts w:ascii="Times New Roman" w:hAnsi="Times New Roman" w:cs="Times New Roman"/>
                <w:b/>
                <w:lang w:val="en-GB"/>
              </w:rPr>
              <w:lastRenderedPageBreak/>
              <w:t>Investigations</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p>
        </w:tc>
        <w:tc>
          <w:tcPr>
            <w:tcW w:w="894"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p>
        </w:tc>
      </w:tr>
      <w:tr w:rsidR="0082659B" w:rsidRPr="00EB44BE" w:rsidTr="0082659B">
        <w:trPr>
          <w:trHeight w:val="323"/>
        </w:trPr>
        <w:tc>
          <w:tcPr>
            <w:tcW w:w="3060" w:type="dxa"/>
            <w:tcBorders>
              <w:top w:val="nil"/>
              <w:left w:val="single" w:sz="2" w:space="0" w:color="auto"/>
              <w:bottom w:val="nil"/>
              <w:right w:val="single" w:sz="4" w:space="0" w:color="auto"/>
            </w:tcBorders>
            <w:shd w:val="clear" w:color="auto" w:fill="auto"/>
            <w:vAlign w:val="center"/>
          </w:tcPr>
          <w:p w:rsidR="0082659B"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w</w:t>
            </w:r>
            <w:r w:rsidR="0082659B">
              <w:rPr>
                <w:rFonts w:ascii="Times New Roman" w:hAnsi="Times New Roman" w:cs="Times New Roman"/>
                <w:lang w:val="en-GB"/>
              </w:rPr>
              <w:t>eight decreased</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48.8</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5.8</w:t>
            </w:r>
          </w:p>
        </w:tc>
        <w:tc>
          <w:tcPr>
            <w:tcW w:w="900"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13.9</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894"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82659B" w:rsidRPr="00EB44BE" w:rsidTr="0082659B">
        <w:trPr>
          <w:trHeight w:val="323"/>
        </w:trPr>
        <w:tc>
          <w:tcPr>
            <w:tcW w:w="3060" w:type="dxa"/>
            <w:tcBorders>
              <w:top w:val="nil"/>
              <w:left w:val="single" w:sz="2" w:space="0" w:color="auto"/>
              <w:bottom w:val="nil"/>
              <w:right w:val="single" w:sz="4" w:space="0" w:color="auto"/>
            </w:tcBorders>
            <w:shd w:val="clear" w:color="auto" w:fill="auto"/>
            <w:vAlign w:val="center"/>
          </w:tcPr>
          <w:p w:rsidR="0082659B" w:rsidRDefault="001E66D3"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b</w:t>
            </w:r>
            <w:r w:rsidR="0082659B">
              <w:rPr>
                <w:rFonts w:ascii="Times New Roman" w:hAnsi="Times New Roman" w:cs="Times New Roman"/>
                <w:lang w:val="en-GB"/>
              </w:rPr>
              <w:t>lood thyroid stimulating hormone increased</w:t>
            </w:r>
            <w:r>
              <w:rPr>
                <w:rFonts w:ascii="Times New Roman" w:hAnsi="Times New Roman" w:cs="Times New Roman"/>
                <w:lang w:val="en-GB"/>
              </w:rPr>
              <w:t>*</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33.3</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900" w:type="dxa"/>
            <w:tcBorders>
              <w:top w:val="nil"/>
              <w:left w:val="nil"/>
              <w:bottom w:val="nil"/>
              <w:right w:val="single" w:sz="4" w:space="0" w:color="auto"/>
            </w:tcBorders>
            <w:shd w:val="clear" w:color="auto" w:fill="auto"/>
            <w:vAlign w:val="center"/>
          </w:tcPr>
          <w:p w:rsidR="0082659B" w:rsidRP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13.4</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82659B" w:rsidRPr="00EB44BE" w:rsidTr="0082659B">
        <w:trPr>
          <w:trHeight w:val="323"/>
        </w:trPr>
        <w:tc>
          <w:tcPr>
            <w:tcW w:w="3060" w:type="dxa"/>
            <w:tcBorders>
              <w:top w:val="nil"/>
              <w:left w:val="single" w:sz="2" w:space="0" w:color="auto"/>
              <w:bottom w:val="nil"/>
              <w:right w:val="single" w:sz="4" w:space="0" w:color="auto"/>
            </w:tcBorders>
            <w:shd w:val="clear" w:color="auto" w:fill="auto"/>
            <w:vAlign w:val="center"/>
          </w:tcPr>
          <w:p w:rsidR="0082659B" w:rsidRDefault="005847D5" w:rsidP="00416DCA">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w:t>
            </w:r>
            <w:r w:rsidR="0082659B">
              <w:rPr>
                <w:rFonts w:ascii="Times New Roman" w:hAnsi="Times New Roman" w:cs="Times New Roman"/>
                <w:lang w:val="en-GB"/>
              </w:rPr>
              <w:t>lanine aminotransferase increased</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12.6</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2.4</w:t>
            </w:r>
          </w:p>
        </w:tc>
        <w:tc>
          <w:tcPr>
            <w:tcW w:w="900"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sidRPr="0082659B">
              <w:rPr>
                <w:rFonts w:ascii="Times New Roman" w:hAnsi="Times New Roman" w:cs="Times New Roman"/>
                <w:lang w:val="en-GB"/>
              </w:rPr>
              <w:t>&lt;1</w:t>
            </w:r>
          </w:p>
        </w:tc>
        <w:tc>
          <w:tcPr>
            <w:tcW w:w="1080" w:type="dxa"/>
            <w:tcBorders>
              <w:top w:val="nil"/>
              <w:left w:val="single" w:sz="4" w:space="0" w:color="auto"/>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4.3</w:t>
            </w:r>
          </w:p>
        </w:tc>
        <w:tc>
          <w:tcPr>
            <w:tcW w:w="900" w:type="dxa"/>
            <w:tcBorders>
              <w:top w:val="nil"/>
              <w:left w:val="nil"/>
              <w:bottom w:val="nil"/>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nil"/>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r w:rsidR="0082659B" w:rsidRPr="00EB44BE" w:rsidTr="00416DCA">
        <w:trPr>
          <w:trHeight w:val="323"/>
        </w:trPr>
        <w:tc>
          <w:tcPr>
            <w:tcW w:w="3060" w:type="dxa"/>
            <w:tcBorders>
              <w:top w:val="nil"/>
              <w:left w:val="single" w:sz="2" w:space="0" w:color="auto"/>
              <w:bottom w:val="single" w:sz="12" w:space="0" w:color="auto"/>
              <w:right w:val="single" w:sz="4" w:space="0" w:color="auto"/>
            </w:tcBorders>
            <w:shd w:val="clear" w:color="auto" w:fill="auto"/>
            <w:vAlign w:val="center"/>
          </w:tcPr>
          <w:p w:rsidR="0082659B" w:rsidRDefault="005847D5" w:rsidP="0082659B">
            <w:pPr>
              <w:pStyle w:val="BayerTableRowHeadings"/>
              <w:keepNext w:val="0"/>
              <w:keepLines/>
              <w:tabs>
                <w:tab w:val="left" w:pos="273"/>
              </w:tabs>
              <w:rPr>
                <w:rFonts w:ascii="Times New Roman" w:hAnsi="Times New Roman" w:cs="Times New Roman"/>
                <w:lang w:val="en-GB"/>
              </w:rPr>
            </w:pPr>
            <w:r>
              <w:rPr>
                <w:rFonts w:ascii="Times New Roman" w:hAnsi="Times New Roman" w:cs="Times New Roman"/>
                <w:lang w:val="en-GB"/>
              </w:rPr>
              <w:t>a</w:t>
            </w:r>
            <w:r w:rsidR="0082659B">
              <w:rPr>
                <w:rFonts w:ascii="Times New Roman" w:hAnsi="Times New Roman" w:cs="Times New Roman"/>
                <w:lang w:val="en-GB"/>
              </w:rPr>
              <w:t>spartate</w:t>
            </w:r>
            <w:r w:rsidR="0082659B" w:rsidRPr="0082659B">
              <w:rPr>
                <w:rFonts w:ascii="Times New Roman" w:hAnsi="Times New Roman" w:cs="Times New Roman"/>
                <w:lang w:val="en-GB"/>
              </w:rPr>
              <w:t xml:space="preserve"> aminotransferase increased</w:t>
            </w:r>
          </w:p>
        </w:tc>
        <w:tc>
          <w:tcPr>
            <w:tcW w:w="1080" w:type="dxa"/>
            <w:tcBorders>
              <w:top w:val="nil"/>
              <w:left w:val="single" w:sz="4" w:space="0" w:color="auto"/>
              <w:bottom w:val="single" w:sz="12" w:space="0" w:color="auto"/>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11.1</w:t>
            </w:r>
          </w:p>
        </w:tc>
        <w:tc>
          <w:tcPr>
            <w:tcW w:w="900" w:type="dxa"/>
            <w:tcBorders>
              <w:top w:val="nil"/>
              <w:left w:val="nil"/>
              <w:bottom w:val="single" w:sz="12" w:space="0" w:color="auto"/>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1.0</w:t>
            </w:r>
          </w:p>
        </w:tc>
        <w:tc>
          <w:tcPr>
            <w:tcW w:w="900" w:type="dxa"/>
            <w:tcBorders>
              <w:top w:val="nil"/>
              <w:left w:val="nil"/>
              <w:bottom w:val="single" w:sz="12" w:space="0" w:color="auto"/>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1080" w:type="dxa"/>
            <w:tcBorders>
              <w:top w:val="nil"/>
              <w:left w:val="single" w:sz="4" w:space="0" w:color="auto"/>
              <w:bottom w:val="single" w:sz="12" w:space="0" w:color="auto"/>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2.4</w:t>
            </w:r>
          </w:p>
        </w:tc>
        <w:tc>
          <w:tcPr>
            <w:tcW w:w="900" w:type="dxa"/>
            <w:tcBorders>
              <w:top w:val="nil"/>
              <w:left w:val="nil"/>
              <w:bottom w:val="single" w:sz="12" w:space="0" w:color="auto"/>
              <w:right w:val="nil"/>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c>
          <w:tcPr>
            <w:tcW w:w="894" w:type="dxa"/>
            <w:tcBorders>
              <w:top w:val="nil"/>
              <w:left w:val="nil"/>
              <w:bottom w:val="single" w:sz="12" w:space="0" w:color="auto"/>
              <w:right w:val="single" w:sz="4" w:space="0" w:color="auto"/>
            </w:tcBorders>
            <w:shd w:val="clear" w:color="auto" w:fill="auto"/>
            <w:vAlign w:val="center"/>
          </w:tcPr>
          <w:p w:rsidR="0082659B" w:rsidRDefault="0082659B" w:rsidP="00416DCA">
            <w:pPr>
              <w:pStyle w:val="BayerTableStyleCentered"/>
              <w:keepNext w:val="0"/>
              <w:keepLines/>
              <w:rPr>
                <w:rFonts w:ascii="Times New Roman" w:hAnsi="Times New Roman" w:cs="Times New Roman"/>
                <w:lang w:val="en-GB"/>
              </w:rPr>
            </w:pPr>
            <w:r>
              <w:rPr>
                <w:rFonts w:ascii="Times New Roman" w:hAnsi="Times New Roman" w:cs="Times New Roman"/>
                <w:lang w:val="en-GB"/>
              </w:rPr>
              <w:t>0</w:t>
            </w:r>
          </w:p>
        </w:tc>
      </w:tr>
    </w:tbl>
    <w:p w:rsidR="001E66D3" w:rsidRDefault="001E66D3" w:rsidP="004A4DA6">
      <w:pPr>
        <w:keepNext/>
        <w:spacing w:before="120" w:after="120"/>
        <w:rPr>
          <w:rFonts w:eastAsia="SimSun"/>
          <w:sz w:val="20"/>
          <w:szCs w:val="20"/>
          <w:lang w:val="en-US"/>
        </w:rPr>
      </w:pPr>
      <w:r w:rsidRPr="001E66D3">
        <w:rPr>
          <w:rFonts w:eastAsia="SimSun"/>
          <w:sz w:val="20"/>
          <w:szCs w:val="20"/>
          <w:lang w:val="en-US"/>
        </w:rPr>
        <w:t>* blood TSH increased was collected as an AE when TSH was &gt;0.5 mU, as this was the target for TSH suppression in this study</w:t>
      </w:r>
    </w:p>
    <w:p w:rsidR="00F83BE3" w:rsidRPr="008875CD" w:rsidRDefault="008875CD" w:rsidP="004A4DA6">
      <w:pPr>
        <w:keepNext/>
        <w:spacing w:before="120" w:after="120"/>
        <w:rPr>
          <w:rFonts w:eastAsia="SimSun"/>
          <w:sz w:val="20"/>
          <w:szCs w:val="20"/>
          <w:lang w:val="en-US"/>
        </w:rPr>
      </w:pPr>
      <w:r w:rsidRPr="008875CD">
        <w:rPr>
          <w:rFonts w:eastAsia="SimSun"/>
          <w:sz w:val="20"/>
          <w:szCs w:val="20"/>
          <w:lang w:val="en-US"/>
        </w:rPr>
        <w:t>** palmar plantar erythrodysaesthesia syndrome in MedDRA</w:t>
      </w:r>
    </w:p>
    <w:p w:rsidR="00A8247A" w:rsidRDefault="00A8247A" w:rsidP="00533310">
      <w:pPr>
        <w:pStyle w:val="Heading3"/>
        <w:rPr>
          <w:i w:val="0"/>
        </w:rPr>
      </w:pPr>
    </w:p>
    <w:p w:rsidR="00396E08" w:rsidRPr="00533310" w:rsidRDefault="00396E08" w:rsidP="00533310">
      <w:pPr>
        <w:pStyle w:val="Heading3"/>
        <w:rPr>
          <w:i w:val="0"/>
        </w:rPr>
      </w:pPr>
      <w:r w:rsidRPr="00533310">
        <w:rPr>
          <w:i w:val="0"/>
        </w:rPr>
        <w:t xml:space="preserve">Multiple Clinical Trials </w:t>
      </w:r>
    </w:p>
    <w:p w:rsidR="009825D9" w:rsidRPr="00396E08" w:rsidRDefault="0094418E" w:rsidP="009825D9">
      <w:pPr>
        <w:jc w:val="both"/>
      </w:pPr>
      <w:r>
        <w:t>A</w:t>
      </w:r>
      <w:r w:rsidR="009825D9" w:rsidRPr="00EB44BE">
        <w:t xml:space="preserve">dverse reactions reported in multiple clinical trials are listed below in Table </w:t>
      </w:r>
      <w:r w:rsidR="00750C75">
        <w:t>6</w:t>
      </w:r>
      <w:r w:rsidR="009825D9" w:rsidRPr="00EB44BE">
        <w:t>, by system organ class (in MedDRA) and frequency. Frequencies are defined as: very common (≥ 10%), common (≥ 1% to &lt; 10%), uncommon (≥ 0.1% to &lt; 1%)</w:t>
      </w:r>
      <w:r w:rsidR="00C51ECB">
        <w:t>, rare (</w:t>
      </w:r>
      <w:r w:rsidR="00C51ECB" w:rsidRPr="00EB44BE">
        <w:t>≥</w:t>
      </w:r>
      <w:r w:rsidR="00C51ECB">
        <w:t xml:space="preserve"> 0.01% to &lt; 0.1%)</w:t>
      </w:r>
      <w:r w:rsidR="009825D9" w:rsidRPr="00EB44BE">
        <w:t>.</w:t>
      </w:r>
      <w:r w:rsidR="00396E08">
        <w:t xml:space="preserve"> </w:t>
      </w:r>
      <w:r w:rsidR="00396E08" w:rsidRPr="00396E08">
        <w:t>Within each frequency grouping, undesirable effects are presented in order of decreasing seriousness.</w:t>
      </w:r>
      <w:r w:rsidR="00396E08">
        <w:t xml:space="preserve"> </w:t>
      </w:r>
    </w:p>
    <w:p w:rsidR="006B4636" w:rsidRDefault="006B4636" w:rsidP="009825D9">
      <w:pPr>
        <w:jc w:val="both"/>
        <w:rPr>
          <w:b/>
          <w:u w:val="single"/>
        </w:rPr>
      </w:pPr>
    </w:p>
    <w:p w:rsidR="009825D9" w:rsidRPr="00EB44BE" w:rsidRDefault="009825D9" w:rsidP="009825D9">
      <w:pPr>
        <w:jc w:val="both"/>
        <w:rPr>
          <w:b/>
          <w:u w:val="single"/>
        </w:rPr>
      </w:pPr>
      <w:r w:rsidRPr="00EB44BE">
        <w:rPr>
          <w:b/>
          <w:u w:val="single"/>
        </w:rPr>
        <w:t>Table</w:t>
      </w:r>
      <w:r w:rsidR="00B86D4C">
        <w:rPr>
          <w:b/>
          <w:u w:val="single"/>
        </w:rPr>
        <w:t xml:space="preserve"> </w:t>
      </w:r>
      <w:r w:rsidR="000A73DA">
        <w:rPr>
          <w:b/>
          <w:u w:val="single"/>
        </w:rPr>
        <w:t>6</w:t>
      </w:r>
      <w:r w:rsidRPr="00EB44BE">
        <w:rPr>
          <w:b/>
          <w:u w:val="single"/>
        </w:rPr>
        <w:t>:</w:t>
      </w:r>
      <w:r w:rsidR="00F344D2">
        <w:rPr>
          <w:b/>
          <w:u w:val="single"/>
        </w:rPr>
        <w:t xml:space="preserve"> </w:t>
      </w:r>
      <w:r w:rsidRPr="00EB44BE">
        <w:rPr>
          <w:b/>
          <w:u w:val="single"/>
        </w:rPr>
        <w:t>All Adverse Drug Reactions reported in patients in multiple clinical trials in MedDRA Coding</w:t>
      </w:r>
    </w:p>
    <w:p w:rsidR="004116FA" w:rsidRPr="00EB44BE" w:rsidRDefault="004116FA" w:rsidP="009825D9">
      <w:pPr>
        <w:jc w:val="both"/>
        <w:rPr>
          <w:u w:val="single"/>
        </w:rPr>
      </w:pPr>
    </w:p>
    <w:tbl>
      <w:tblPr>
        <w:tblW w:w="9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047"/>
        <w:gridCol w:w="1994"/>
        <w:gridCol w:w="2268"/>
        <w:gridCol w:w="1678"/>
      </w:tblGrid>
      <w:tr w:rsidR="00C51ECB" w:rsidRPr="00EB44BE" w:rsidTr="0040733F">
        <w:tblPrEx>
          <w:tblCellMar>
            <w:top w:w="0" w:type="dxa"/>
            <w:bottom w:w="0" w:type="dxa"/>
          </w:tblCellMar>
        </w:tblPrEx>
        <w:trPr>
          <w:tblHeader/>
        </w:trPr>
        <w:tc>
          <w:tcPr>
            <w:tcW w:w="1913" w:type="dxa"/>
            <w:tcBorders>
              <w:top w:val="single" w:sz="12" w:space="0" w:color="auto"/>
              <w:left w:val="single" w:sz="12" w:space="0" w:color="auto"/>
              <w:bottom w:val="single" w:sz="12" w:space="0" w:color="auto"/>
            </w:tcBorders>
            <w:shd w:val="pct15" w:color="auto" w:fill="FFFFFF"/>
          </w:tcPr>
          <w:p w:rsidR="00C51ECB" w:rsidRPr="00BB4094" w:rsidRDefault="00C51ECB" w:rsidP="00655FA2">
            <w:pPr>
              <w:pStyle w:val="BodyText2"/>
              <w:keepLines/>
              <w:widowControl w:val="0"/>
              <w:spacing w:before="60" w:after="60"/>
              <w:ind w:left="-70"/>
              <w:jc w:val="left"/>
              <w:rPr>
                <w:sz w:val="22"/>
                <w:szCs w:val="22"/>
                <w:lang w:val="en-GB"/>
              </w:rPr>
            </w:pPr>
            <w:r w:rsidRPr="00BB4094">
              <w:rPr>
                <w:sz w:val="22"/>
                <w:szCs w:val="22"/>
                <w:lang w:val="en-GB"/>
              </w:rPr>
              <w:t>System Organ Class</w:t>
            </w:r>
          </w:p>
        </w:tc>
        <w:tc>
          <w:tcPr>
            <w:tcW w:w="2047" w:type="dxa"/>
            <w:tcBorders>
              <w:top w:val="single" w:sz="12" w:space="0" w:color="auto"/>
              <w:bottom w:val="single" w:sz="12" w:space="0" w:color="auto"/>
            </w:tcBorders>
          </w:tcPr>
          <w:p w:rsidR="00C51ECB" w:rsidRPr="00BB4094" w:rsidRDefault="00C51ECB" w:rsidP="00655FA2">
            <w:pPr>
              <w:pStyle w:val="BodyText2"/>
              <w:keepLines/>
              <w:widowControl w:val="0"/>
              <w:spacing w:before="60" w:after="60"/>
              <w:ind w:left="38"/>
              <w:jc w:val="left"/>
              <w:rPr>
                <w:sz w:val="22"/>
                <w:szCs w:val="22"/>
                <w:lang w:val="en-GB"/>
              </w:rPr>
            </w:pPr>
            <w:r w:rsidRPr="00BB4094">
              <w:rPr>
                <w:sz w:val="22"/>
                <w:szCs w:val="22"/>
                <w:lang w:val="en-GB"/>
              </w:rPr>
              <w:t>Very Common</w:t>
            </w:r>
            <w:r w:rsidRPr="00BB4094">
              <w:rPr>
                <w:sz w:val="22"/>
                <w:szCs w:val="22"/>
                <w:lang w:val="en-GB"/>
              </w:rPr>
              <w:br/>
            </w:r>
            <w:r w:rsidRPr="00BB4094">
              <w:rPr>
                <w:rFonts w:cs="Arial"/>
                <w:sz w:val="22"/>
                <w:szCs w:val="22"/>
                <w:lang w:val="en-GB"/>
              </w:rPr>
              <w:t>≥</w:t>
            </w:r>
            <w:r w:rsidRPr="00BB4094">
              <w:rPr>
                <w:sz w:val="22"/>
                <w:szCs w:val="22"/>
                <w:lang w:val="en-GB"/>
              </w:rPr>
              <w:t>10%</w:t>
            </w:r>
          </w:p>
        </w:tc>
        <w:tc>
          <w:tcPr>
            <w:tcW w:w="1994" w:type="dxa"/>
            <w:tcBorders>
              <w:top w:val="single" w:sz="12" w:space="0" w:color="auto"/>
              <w:bottom w:val="single" w:sz="12" w:space="0" w:color="auto"/>
            </w:tcBorders>
          </w:tcPr>
          <w:p w:rsidR="00C51ECB" w:rsidRPr="00BB4094" w:rsidRDefault="00C51ECB" w:rsidP="00655FA2">
            <w:pPr>
              <w:pStyle w:val="BodyText2"/>
              <w:keepLines/>
              <w:widowControl w:val="0"/>
              <w:spacing w:before="60" w:after="60"/>
              <w:ind w:left="71"/>
              <w:jc w:val="left"/>
              <w:rPr>
                <w:sz w:val="22"/>
                <w:szCs w:val="22"/>
                <w:u w:val="single"/>
                <w:lang w:val="en-GB"/>
              </w:rPr>
            </w:pPr>
            <w:r w:rsidRPr="00BB4094">
              <w:rPr>
                <w:sz w:val="22"/>
                <w:szCs w:val="22"/>
                <w:lang w:val="en-GB"/>
              </w:rPr>
              <w:t>Common</w:t>
            </w:r>
            <w:r w:rsidRPr="00BB4094">
              <w:rPr>
                <w:sz w:val="22"/>
                <w:szCs w:val="22"/>
                <w:lang w:val="en-GB"/>
              </w:rPr>
              <w:br/>
            </w:r>
            <w:r w:rsidRPr="00BB4094">
              <w:rPr>
                <w:rFonts w:cs="Arial"/>
                <w:sz w:val="22"/>
                <w:szCs w:val="22"/>
                <w:lang w:val="en-GB"/>
              </w:rPr>
              <w:t>≥</w:t>
            </w:r>
            <w:r w:rsidRPr="00BB4094">
              <w:rPr>
                <w:sz w:val="22"/>
                <w:szCs w:val="22"/>
                <w:lang w:val="en-GB"/>
              </w:rPr>
              <w:t>1% to &lt;10%</w:t>
            </w:r>
          </w:p>
        </w:tc>
        <w:tc>
          <w:tcPr>
            <w:tcW w:w="2268" w:type="dxa"/>
            <w:tcBorders>
              <w:top w:val="single" w:sz="12" w:space="0" w:color="auto"/>
              <w:bottom w:val="single" w:sz="12" w:space="0" w:color="auto"/>
            </w:tcBorders>
          </w:tcPr>
          <w:p w:rsidR="00C51ECB" w:rsidRPr="00BB4094" w:rsidRDefault="00C51ECB" w:rsidP="00655FA2">
            <w:pPr>
              <w:pStyle w:val="BodyText2"/>
              <w:keepLines/>
              <w:widowControl w:val="0"/>
              <w:spacing w:before="60" w:after="60"/>
              <w:ind w:left="72"/>
              <w:jc w:val="left"/>
              <w:rPr>
                <w:sz w:val="22"/>
                <w:szCs w:val="22"/>
                <w:lang w:val="en-GB"/>
              </w:rPr>
            </w:pPr>
            <w:r w:rsidRPr="00BB4094">
              <w:rPr>
                <w:sz w:val="22"/>
                <w:szCs w:val="22"/>
                <w:lang w:val="en-GB"/>
              </w:rPr>
              <w:t>Uncommon</w:t>
            </w:r>
            <w:r w:rsidRPr="00BB4094">
              <w:rPr>
                <w:sz w:val="22"/>
                <w:szCs w:val="22"/>
                <w:lang w:val="en-GB"/>
              </w:rPr>
              <w:br/>
            </w:r>
            <w:r w:rsidRPr="00BB4094">
              <w:rPr>
                <w:rFonts w:cs="Arial"/>
                <w:sz w:val="22"/>
                <w:szCs w:val="22"/>
                <w:lang w:val="en-GB"/>
              </w:rPr>
              <w:t>≥</w:t>
            </w:r>
            <w:r w:rsidRPr="00BB4094">
              <w:rPr>
                <w:sz w:val="22"/>
                <w:szCs w:val="22"/>
                <w:lang w:val="en-GB"/>
              </w:rPr>
              <w:t>0.1% to &lt;1%</w:t>
            </w:r>
          </w:p>
        </w:tc>
        <w:tc>
          <w:tcPr>
            <w:tcW w:w="1678" w:type="dxa"/>
            <w:tcBorders>
              <w:top w:val="single" w:sz="12" w:space="0" w:color="auto"/>
              <w:bottom w:val="single" w:sz="12" w:space="0" w:color="auto"/>
            </w:tcBorders>
          </w:tcPr>
          <w:p w:rsidR="00C51ECB" w:rsidRPr="00BB4094" w:rsidRDefault="00C51ECB" w:rsidP="00655FA2">
            <w:pPr>
              <w:pStyle w:val="BodyText2"/>
              <w:keepLines/>
              <w:widowControl w:val="0"/>
              <w:spacing w:before="60" w:after="60"/>
              <w:ind w:left="72"/>
              <w:jc w:val="left"/>
              <w:rPr>
                <w:sz w:val="22"/>
                <w:szCs w:val="22"/>
                <w:lang w:val="en-GB"/>
              </w:rPr>
            </w:pPr>
            <w:r w:rsidRPr="00BB4094">
              <w:rPr>
                <w:sz w:val="22"/>
                <w:szCs w:val="22"/>
                <w:lang w:val="en-GB"/>
              </w:rPr>
              <w:t>Rare</w:t>
            </w:r>
            <w:r w:rsidRPr="00BB4094">
              <w:rPr>
                <w:sz w:val="22"/>
                <w:szCs w:val="22"/>
                <w:lang w:val="en-GB"/>
              </w:rPr>
              <w:br/>
              <w:t>≥0.01% to &lt;0.1%</w:t>
            </w:r>
          </w:p>
        </w:tc>
      </w:tr>
      <w:tr w:rsidR="00C51ECB" w:rsidRPr="00EB44BE" w:rsidTr="0040733F">
        <w:tblPrEx>
          <w:tblCellMar>
            <w:top w:w="0" w:type="dxa"/>
            <w:bottom w:w="0" w:type="dxa"/>
          </w:tblCellMar>
        </w:tblPrEx>
        <w:tc>
          <w:tcPr>
            <w:tcW w:w="1913" w:type="dxa"/>
            <w:tcBorders>
              <w:left w:val="single" w:sz="12" w:space="0" w:color="auto"/>
            </w:tcBorders>
            <w:shd w:val="pct15" w:color="auto" w:fill="FFFFFF"/>
          </w:tcPr>
          <w:p w:rsidR="00C51ECB" w:rsidRPr="00BB4094" w:rsidRDefault="00C51ECB" w:rsidP="00655FA2">
            <w:pPr>
              <w:pStyle w:val="BodyText2"/>
              <w:widowControl w:val="0"/>
              <w:spacing w:after="60"/>
              <w:ind w:left="72"/>
              <w:jc w:val="left"/>
              <w:rPr>
                <w:sz w:val="22"/>
                <w:szCs w:val="22"/>
                <w:lang w:val="en-GB"/>
              </w:rPr>
            </w:pPr>
            <w:r w:rsidRPr="00BB4094">
              <w:rPr>
                <w:rFonts w:cs="Arial"/>
                <w:sz w:val="22"/>
                <w:szCs w:val="22"/>
                <w:lang w:val="en-GB"/>
              </w:rPr>
              <w:t>Infections and Infestations</w:t>
            </w:r>
          </w:p>
        </w:tc>
        <w:tc>
          <w:tcPr>
            <w:tcW w:w="2047" w:type="dxa"/>
          </w:tcPr>
          <w:p w:rsidR="00C51ECB" w:rsidRPr="00BB4094" w:rsidRDefault="00CD4D8F" w:rsidP="00655FA2">
            <w:pPr>
              <w:pStyle w:val="BodyText2"/>
              <w:widowControl w:val="0"/>
              <w:spacing w:after="60"/>
              <w:ind w:left="38"/>
              <w:jc w:val="left"/>
              <w:rPr>
                <w:b w:val="0"/>
                <w:sz w:val="22"/>
                <w:szCs w:val="22"/>
                <w:u w:val="single"/>
                <w:lang w:val="en-GB"/>
              </w:rPr>
            </w:pPr>
            <w:r w:rsidRPr="00CD4D8F">
              <w:rPr>
                <w:b w:val="0"/>
                <w:sz w:val="22"/>
                <w:szCs w:val="22"/>
                <w:u w:val="single"/>
                <w:lang w:val="en-GB"/>
              </w:rPr>
              <w:t>infection</w:t>
            </w:r>
          </w:p>
        </w:tc>
        <w:tc>
          <w:tcPr>
            <w:tcW w:w="1994" w:type="dxa"/>
          </w:tcPr>
          <w:p w:rsidR="00C51ECB" w:rsidRPr="00BB4094" w:rsidRDefault="00CD4D8F" w:rsidP="00655FA2">
            <w:pPr>
              <w:pStyle w:val="BodyText2"/>
              <w:widowControl w:val="0"/>
              <w:spacing w:after="60"/>
              <w:ind w:left="71"/>
              <w:jc w:val="left"/>
              <w:rPr>
                <w:b w:val="0"/>
                <w:sz w:val="22"/>
                <w:szCs w:val="22"/>
                <w:lang w:val="en-GB"/>
              </w:rPr>
            </w:pPr>
            <w:r w:rsidRPr="00CD4D8F">
              <w:rPr>
                <w:b w:val="0"/>
                <w:sz w:val="22"/>
                <w:szCs w:val="22"/>
                <w:lang w:val="en-GB"/>
              </w:rPr>
              <w:t>folliculitis</w:t>
            </w:r>
          </w:p>
        </w:tc>
        <w:tc>
          <w:tcPr>
            <w:tcW w:w="2268" w:type="dxa"/>
          </w:tcPr>
          <w:p w:rsidR="00C51ECB" w:rsidRPr="00BB4094" w:rsidRDefault="00C51ECB" w:rsidP="00655FA2">
            <w:pPr>
              <w:pStyle w:val="BodyText2"/>
              <w:widowControl w:val="0"/>
              <w:spacing w:after="0"/>
              <w:ind w:left="72"/>
              <w:jc w:val="left"/>
              <w:rPr>
                <w:b w:val="0"/>
                <w:sz w:val="22"/>
                <w:szCs w:val="22"/>
                <w:lang w:val="en-GB"/>
              </w:rPr>
            </w:pPr>
          </w:p>
        </w:tc>
        <w:tc>
          <w:tcPr>
            <w:tcW w:w="1678" w:type="dxa"/>
          </w:tcPr>
          <w:p w:rsidR="00C51ECB" w:rsidRPr="00BB4094" w:rsidRDefault="00C51ECB" w:rsidP="00655FA2">
            <w:pPr>
              <w:pStyle w:val="BodyText2"/>
              <w:widowControl w:val="0"/>
              <w:spacing w:after="0"/>
              <w:ind w:left="72"/>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BB4094" w:rsidRDefault="00C51ECB" w:rsidP="00655FA2">
            <w:pPr>
              <w:pStyle w:val="BodyText2"/>
              <w:widowControl w:val="0"/>
              <w:spacing w:after="0"/>
              <w:ind w:left="72"/>
              <w:jc w:val="left"/>
              <w:rPr>
                <w:sz w:val="22"/>
                <w:szCs w:val="22"/>
                <w:lang w:val="en-GB"/>
              </w:rPr>
            </w:pPr>
            <w:r w:rsidRPr="00BB4094">
              <w:rPr>
                <w:rFonts w:cs="Arial"/>
                <w:sz w:val="22"/>
                <w:szCs w:val="22"/>
                <w:lang w:val="en-GB"/>
              </w:rPr>
              <w:t>Blood and Lymphatic System Disorders</w:t>
            </w:r>
          </w:p>
        </w:tc>
        <w:tc>
          <w:tcPr>
            <w:tcW w:w="2047" w:type="dxa"/>
            <w:tcBorders>
              <w:bottom w:val="single" w:sz="4" w:space="0" w:color="auto"/>
            </w:tcBorders>
          </w:tcPr>
          <w:p w:rsidR="00C51ECB" w:rsidRPr="00BB4094" w:rsidRDefault="00C51ECB" w:rsidP="00655FA2">
            <w:pPr>
              <w:pStyle w:val="BodyText2"/>
              <w:widowControl w:val="0"/>
              <w:spacing w:after="0"/>
              <w:ind w:left="38"/>
              <w:jc w:val="left"/>
              <w:rPr>
                <w:rFonts w:cs="Arial"/>
                <w:b w:val="0"/>
                <w:sz w:val="22"/>
                <w:szCs w:val="22"/>
                <w:lang w:val="en-GB"/>
              </w:rPr>
            </w:pPr>
            <w:r w:rsidRPr="00BB4094">
              <w:rPr>
                <w:rFonts w:cs="Arial"/>
                <w:b w:val="0"/>
                <w:sz w:val="22"/>
                <w:szCs w:val="22"/>
                <w:lang w:val="en-GB"/>
              </w:rPr>
              <w:t>lymphopenia</w:t>
            </w:r>
          </w:p>
        </w:tc>
        <w:tc>
          <w:tcPr>
            <w:tcW w:w="1994" w:type="dxa"/>
            <w:tcBorders>
              <w:bottom w:val="single" w:sz="4" w:space="0" w:color="auto"/>
            </w:tcBorders>
          </w:tcPr>
          <w:p w:rsidR="00C51ECB" w:rsidRPr="00BB4094" w:rsidRDefault="00C51ECB" w:rsidP="00193EFB">
            <w:pPr>
              <w:pStyle w:val="BodyText2"/>
              <w:widowControl w:val="0"/>
              <w:tabs>
                <w:tab w:val="left" w:pos="180"/>
              </w:tabs>
              <w:spacing w:after="0"/>
              <w:ind w:left="38"/>
              <w:jc w:val="left"/>
              <w:rPr>
                <w:rFonts w:cs="Arial"/>
                <w:b w:val="0"/>
                <w:sz w:val="22"/>
                <w:szCs w:val="22"/>
                <w:lang w:val="en-GB"/>
              </w:rPr>
            </w:pPr>
            <w:r w:rsidRPr="00BB4094">
              <w:rPr>
                <w:rFonts w:cs="Arial"/>
                <w:b w:val="0"/>
                <w:sz w:val="22"/>
                <w:szCs w:val="22"/>
                <w:lang w:val="en-GB"/>
              </w:rPr>
              <w:t>leucopoenia</w:t>
            </w:r>
          </w:p>
          <w:p w:rsidR="00C51ECB" w:rsidRPr="00BB4094" w:rsidRDefault="00C51ECB" w:rsidP="00193EFB">
            <w:pPr>
              <w:pStyle w:val="BodyText2"/>
              <w:widowControl w:val="0"/>
              <w:spacing w:after="0"/>
              <w:ind w:left="71"/>
              <w:jc w:val="left"/>
              <w:rPr>
                <w:rFonts w:cs="Arial"/>
                <w:b w:val="0"/>
                <w:sz w:val="22"/>
                <w:szCs w:val="22"/>
                <w:lang w:val="en-GB"/>
              </w:rPr>
            </w:pPr>
            <w:r w:rsidRPr="00BB4094">
              <w:rPr>
                <w:rFonts w:cs="Arial"/>
                <w:b w:val="0"/>
                <w:sz w:val="22"/>
                <w:szCs w:val="22"/>
                <w:lang w:val="en-GB"/>
              </w:rPr>
              <w:t xml:space="preserve">neutropenia </w:t>
            </w:r>
          </w:p>
          <w:p w:rsidR="00C51ECB" w:rsidRPr="00BB4094" w:rsidRDefault="00C51ECB" w:rsidP="00655FA2">
            <w:pPr>
              <w:pStyle w:val="BodyText2"/>
              <w:widowControl w:val="0"/>
              <w:spacing w:after="0"/>
              <w:ind w:left="71"/>
              <w:jc w:val="left"/>
              <w:rPr>
                <w:rFonts w:cs="Arial"/>
                <w:b w:val="0"/>
                <w:sz w:val="22"/>
                <w:szCs w:val="22"/>
                <w:lang w:val="en-GB"/>
              </w:rPr>
            </w:pPr>
            <w:r w:rsidRPr="00BB4094">
              <w:rPr>
                <w:rFonts w:cs="Arial"/>
                <w:b w:val="0"/>
                <w:sz w:val="22"/>
                <w:szCs w:val="22"/>
                <w:lang w:val="en-GB"/>
              </w:rPr>
              <w:t>anaemia</w:t>
            </w:r>
          </w:p>
          <w:p w:rsidR="00C51ECB" w:rsidRPr="00BB4094" w:rsidRDefault="00C51ECB" w:rsidP="00193EFB">
            <w:pPr>
              <w:pStyle w:val="BodyText2"/>
              <w:widowControl w:val="0"/>
              <w:tabs>
                <w:tab w:val="left" w:pos="180"/>
              </w:tabs>
              <w:spacing w:after="0"/>
              <w:ind w:left="38"/>
              <w:jc w:val="left"/>
              <w:rPr>
                <w:rFonts w:cs="Arial"/>
                <w:b w:val="0"/>
                <w:sz w:val="22"/>
                <w:szCs w:val="22"/>
                <w:lang w:val="en-GB"/>
              </w:rPr>
            </w:pPr>
            <w:r w:rsidRPr="00BB4094">
              <w:rPr>
                <w:rFonts w:cs="Arial"/>
                <w:b w:val="0"/>
                <w:sz w:val="22"/>
                <w:szCs w:val="22"/>
                <w:lang w:val="en-GB"/>
              </w:rPr>
              <w:t>thrombocytopenia</w:t>
            </w:r>
          </w:p>
        </w:tc>
        <w:tc>
          <w:tcPr>
            <w:tcW w:w="2268" w:type="dxa"/>
            <w:tcBorders>
              <w:bottom w:val="single" w:sz="4" w:space="0" w:color="auto"/>
            </w:tcBorders>
          </w:tcPr>
          <w:p w:rsidR="00C51ECB" w:rsidRPr="00BB4094" w:rsidRDefault="00C51ECB" w:rsidP="00655FA2">
            <w:pPr>
              <w:pStyle w:val="BodyText2"/>
              <w:widowControl w:val="0"/>
              <w:spacing w:before="60" w:after="60"/>
              <w:ind w:left="72"/>
              <w:jc w:val="left"/>
              <w:rPr>
                <w:b w:val="0"/>
                <w:sz w:val="22"/>
                <w:szCs w:val="22"/>
                <w:lang w:val="en-GB"/>
              </w:rPr>
            </w:pPr>
          </w:p>
        </w:tc>
        <w:tc>
          <w:tcPr>
            <w:tcW w:w="1678" w:type="dxa"/>
            <w:tcBorders>
              <w:bottom w:val="single" w:sz="4" w:space="0" w:color="auto"/>
            </w:tcBorders>
          </w:tcPr>
          <w:p w:rsidR="00C51ECB" w:rsidRPr="00BB4094" w:rsidRDefault="00C51ECB" w:rsidP="00655FA2">
            <w:pPr>
              <w:pStyle w:val="BodyText2"/>
              <w:widowControl w:val="0"/>
              <w:spacing w:before="60" w:after="60"/>
              <w:ind w:left="72"/>
              <w:jc w:val="left"/>
              <w:rPr>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BB4094"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Immune system Disorders</w:t>
            </w:r>
          </w:p>
        </w:tc>
        <w:tc>
          <w:tcPr>
            <w:tcW w:w="2047" w:type="dxa"/>
            <w:tcBorders>
              <w:bottom w:val="single" w:sz="4" w:space="0" w:color="auto"/>
            </w:tcBorders>
          </w:tcPr>
          <w:p w:rsidR="00C51ECB" w:rsidRPr="00BB4094" w:rsidRDefault="00C51ECB" w:rsidP="00655FA2">
            <w:pPr>
              <w:pStyle w:val="BodyText2"/>
              <w:widowControl w:val="0"/>
              <w:tabs>
                <w:tab w:val="left" w:pos="180"/>
              </w:tabs>
              <w:spacing w:before="60" w:after="60"/>
              <w:ind w:left="38"/>
              <w:jc w:val="left"/>
              <w:rPr>
                <w:b w:val="0"/>
                <w:sz w:val="22"/>
                <w:szCs w:val="22"/>
                <w:u w:val="single"/>
                <w:lang w:val="en-GB"/>
              </w:rPr>
            </w:pPr>
          </w:p>
        </w:tc>
        <w:tc>
          <w:tcPr>
            <w:tcW w:w="1994" w:type="dxa"/>
            <w:tcBorders>
              <w:bottom w:val="single" w:sz="4" w:space="0" w:color="auto"/>
            </w:tcBorders>
          </w:tcPr>
          <w:p w:rsidR="00C51ECB" w:rsidRPr="00BB4094" w:rsidRDefault="00C51ECB" w:rsidP="00655FA2">
            <w:pPr>
              <w:pStyle w:val="BodyText2"/>
              <w:widowControl w:val="0"/>
              <w:spacing w:before="60" w:after="60"/>
              <w:ind w:left="71"/>
              <w:jc w:val="left"/>
              <w:rPr>
                <w:b w:val="0"/>
                <w:sz w:val="22"/>
                <w:szCs w:val="22"/>
                <w:lang w:val="en-GB"/>
              </w:rPr>
            </w:pPr>
          </w:p>
        </w:tc>
        <w:tc>
          <w:tcPr>
            <w:tcW w:w="2268" w:type="dxa"/>
            <w:tcBorders>
              <w:bottom w:val="single" w:sz="4" w:space="0" w:color="auto"/>
            </w:tcBorders>
          </w:tcPr>
          <w:p w:rsidR="00C51ECB" w:rsidRPr="00BB4094" w:rsidRDefault="00CD4D8F" w:rsidP="00655FA2">
            <w:pPr>
              <w:pStyle w:val="BodyText2"/>
              <w:widowControl w:val="0"/>
              <w:spacing w:before="60" w:after="60"/>
              <w:ind w:left="72"/>
              <w:jc w:val="left"/>
              <w:rPr>
                <w:b w:val="0"/>
                <w:sz w:val="22"/>
                <w:szCs w:val="22"/>
                <w:lang w:val="en-GB"/>
              </w:rPr>
            </w:pPr>
            <w:r w:rsidRPr="00CD4D8F">
              <w:rPr>
                <w:rFonts w:cs="Arial"/>
                <w:b w:val="0"/>
                <w:sz w:val="22"/>
                <w:szCs w:val="22"/>
                <w:lang w:val="en-GB"/>
              </w:rPr>
              <w:t xml:space="preserve">anaphylactic reaction </w:t>
            </w:r>
            <w:r w:rsidR="00C51ECB" w:rsidRPr="00BB4094">
              <w:rPr>
                <w:rFonts w:cs="Arial"/>
                <w:b w:val="0"/>
                <w:sz w:val="22"/>
                <w:szCs w:val="22"/>
                <w:lang w:val="en-GB"/>
              </w:rPr>
              <w:t>hypersensitivity reactions (including skin reactions and urticaria)</w:t>
            </w:r>
          </w:p>
        </w:tc>
        <w:tc>
          <w:tcPr>
            <w:tcW w:w="1678" w:type="dxa"/>
            <w:tcBorders>
              <w:bottom w:val="single" w:sz="4" w:space="0" w:color="auto"/>
            </w:tcBorders>
          </w:tcPr>
          <w:p w:rsidR="00C51ECB" w:rsidRPr="00BB4094" w:rsidRDefault="00C51ECB" w:rsidP="00655FA2">
            <w:pPr>
              <w:pStyle w:val="BodyText2"/>
              <w:widowControl w:val="0"/>
              <w:spacing w:before="60" w:after="60"/>
              <w:ind w:left="72"/>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tcBorders>
            <w:shd w:val="pct15" w:color="auto" w:fill="FFFFFF"/>
          </w:tcPr>
          <w:p w:rsidR="00C51ECB" w:rsidRPr="00BB4094" w:rsidRDefault="00C51ECB" w:rsidP="00655FA2">
            <w:pPr>
              <w:pStyle w:val="BodyText2"/>
              <w:widowControl w:val="0"/>
              <w:spacing w:before="60" w:after="60"/>
              <w:ind w:left="72"/>
              <w:jc w:val="left"/>
              <w:rPr>
                <w:rFonts w:cs="Arial"/>
                <w:sz w:val="22"/>
                <w:szCs w:val="22"/>
                <w:lang w:val="en-GB"/>
              </w:rPr>
            </w:pPr>
            <w:r w:rsidRPr="00BB4094">
              <w:rPr>
                <w:rFonts w:cs="Arial"/>
                <w:sz w:val="22"/>
                <w:szCs w:val="22"/>
                <w:lang w:val="en-GB"/>
              </w:rPr>
              <w:t>Endocrine Disorders</w:t>
            </w:r>
          </w:p>
        </w:tc>
        <w:tc>
          <w:tcPr>
            <w:tcW w:w="2047" w:type="dxa"/>
          </w:tcPr>
          <w:p w:rsidR="00C51ECB" w:rsidRPr="00BB4094" w:rsidRDefault="00C51ECB" w:rsidP="00655FA2">
            <w:pPr>
              <w:pStyle w:val="BodyText2"/>
              <w:widowControl w:val="0"/>
              <w:tabs>
                <w:tab w:val="left" w:pos="180"/>
              </w:tabs>
              <w:spacing w:before="60" w:after="60"/>
              <w:ind w:left="38"/>
              <w:jc w:val="left"/>
              <w:rPr>
                <w:rFonts w:cs="Arial"/>
                <w:b w:val="0"/>
                <w:sz w:val="22"/>
                <w:szCs w:val="22"/>
                <w:lang w:val="en-GB"/>
              </w:rPr>
            </w:pPr>
          </w:p>
        </w:tc>
        <w:tc>
          <w:tcPr>
            <w:tcW w:w="1994" w:type="dxa"/>
          </w:tcPr>
          <w:p w:rsidR="00C51ECB" w:rsidRPr="00BB4094" w:rsidRDefault="00CD4D8F" w:rsidP="00655FA2">
            <w:pPr>
              <w:pStyle w:val="BodyText2"/>
              <w:widowControl w:val="0"/>
              <w:spacing w:before="60" w:after="60"/>
              <w:ind w:left="71"/>
              <w:jc w:val="left"/>
              <w:rPr>
                <w:b w:val="0"/>
                <w:sz w:val="22"/>
                <w:szCs w:val="22"/>
                <w:lang w:val="en-GB"/>
              </w:rPr>
            </w:pPr>
            <w:r w:rsidRPr="00CD4D8F">
              <w:rPr>
                <w:b w:val="0"/>
                <w:sz w:val="22"/>
                <w:szCs w:val="22"/>
                <w:lang w:val="en-GB"/>
              </w:rPr>
              <w:t>hypothyroidism</w:t>
            </w:r>
          </w:p>
        </w:tc>
        <w:tc>
          <w:tcPr>
            <w:tcW w:w="2268" w:type="dxa"/>
          </w:tcPr>
          <w:p w:rsidR="00C51ECB" w:rsidRPr="00BB4094" w:rsidRDefault="00C51ECB" w:rsidP="00655FA2">
            <w:pPr>
              <w:pStyle w:val="BodyText2"/>
              <w:widowControl w:val="0"/>
              <w:spacing w:after="0"/>
              <w:ind w:left="71"/>
              <w:jc w:val="left"/>
              <w:rPr>
                <w:rFonts w:cs="Arial"/>
                <w:b w:val="0"/>
                <w:sz w:val="22"/>
                <w:szCs w:val="22"/>
                <w:lang w:val="en-GB"/>
              </w:rPr>
            </w:pPr>
            <w:r w:rsidRPr="00BB4094">
              <w:rPr>
                <w:rFonts w:cs="Arial"/>
                <w:b w:val="0"/>
                <w:sz w:val="22"/>
                <w:szCs w:val="22"/>
                <w:lang w:val="en-GB"/>
              </w:rPr>
              <w:t>hyperthyroidism</w:t>
            </w:r>
          </w:p>
        </w:tc>
        <w:tc>
          <w:tcPr>
            <w:tcW w:w="1678" w:type="dxa"/>
          </w:tcPr>
          <w:p w:rsidR="00C51ECB" w:rsidRPr="00BB4094" w:rsidRDefault="00C51ECB" w:rsidP="00655FA2">
            <w:pPr>
              <w:pStyle w:val="BodyText2"/>
              <w:widowControl w:val="0"/>
              <w:spacing w:after="0"/>
              <w:ind w:left="71"/>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tcBorders>
            <w:shd w:val="pct15" w:color="auto" w:fill="FFFFFF"/>
          </w:tcPr>
          <w:p w:rsidR="00C51ECB" w:rsidRPr="00BB4094"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Metabolism and Nutrition Disorders</w:t>
            </w:r>
          </w:p>
        </w:tc>
        <w:tc>
          <w:tcPr>
            <w:tcW w:w="2047" w:type="dxa"/>
          </w:tcPr>
          <w:p w:rsidR="00CD4D8F" w:rsidRDefault="00CD4D8F" w:rsidP="00655FA2">
            <w:pPr>
              <w:pStyle w:val="BodyText2"/>
              <w:widowControl w:val="0"/>
              <w:tabs>
                <w:tab w:val="left" w:pos="180"/>
              </w:tabs>
              <w:spacing w:before="60" w:after="60"/>
              <w:ind w:left="38"/>
              <w:jc w:val="left"/>
              <w:rPr>
                <w:rFonts w:cs="Arial"/>
                <w:b w:val="0"/>
                <w:sz w:val="22"/>
                <w:szCs w:val="22"/>
                <w:lang w:val="en-GB"/>
              </w:rPr>
            </w:pPr>
            <w:r>
              <w:rPr>
                <w:rFonts w:cs="Arial"/>
                <w:b w:val="0"/>
                <w:sz w:val="22"/>
                <w:szCs w:val="22"/>
                <w:lang w:val="en-GB"/>
              </w:rPr>
              <w:t>a</w:t>
            </w:r>
            <w:r w:rsidRPr="00CD4D8F">
              <w:rPr>
                <w:rFonts w:cs="Arial"/>
                <w:b w:val="0"/>
                <w:sz w:val="22"/>
                <w:szCs w:val="22"/>
                <w:lang w:val="en-GB"/>
              </w:rPr>
              <w:t>norexia</w:t>
            </w:r>
          </w:p>
          <w:p w:rsidR="00C51ECB" w:rsidRPr="00BB4094" w:rsidRDefault="00C51ECB" w:rsidP="00655FA2">
            <w:pPr>
              <w:pStyle w:val="BodyText2"/>
              <w:widowControl w:val="0"/>
              <w:tabs>
                <w:tab w:val="left" w:pos="180"/>
              </w:tabs>
              <w:spacing w:before="60" w:after="60"/>
              <w:ind w:left="38"/>
              <w:jc w:val="left"/>
              <w:rPr>
                <w:b w:val="0"/>
                <w:sz w:val="22"/>
                <w:szCs w:val="22"/>
                <w:u w:val="single"/>
                <w:lang w:val="en-GB"/>
              </w:rPr>
            </w:pPr>
            <w:r w:rsidRPr="00BB4094">
              <w:rPr>
                <w:rFonts w:cs="Arial"/>
                <w:b w:val="0"/>
                <w:sz w:val="22"/>
                <w:szCs w:val="22"/>
                <w:lang w:val="en-GB"/>
              </w:rPr>
              <w:t>hypophosphataemia</w:t>
            </w:r>
          </w:p>
        </w:tc>
        <w:tc>
          <w:tcPr>
            <w:tcW w:w="1994" w:type="dxa"/>
          </w:tcPr>
          <w:p w:rsidR="00C51ECB" w:rsidRPr="00BB4094" w:rsidRDefault="00F91FB5" w:rsidP="00655FA2">
            <w:pPr>
              <w:pStyle w:val="BodyText2"/>
              <w:widowControl w:val="0"/>
              <w:spacing w:before="60" w:after="60"/>
              <w:ind w:left="71"/>
              <w:jc w:val="left"/>
              <w:rPr>
                <w:b w:val="0"/>
                <w:sz w:val="22"/>
                <w:szCs w:val="22"/>
                <w:lang w:val="en-GB"/>
              </w:rPr>
            </w:pPr>
            <w:r w:rsidRPr="00BB4094">
              <w:rPr>
                <w:b w:val="0"/>
                <w:sz w:val="22"/>
                <w:szCs w:val="22"/>
                <w:lang w:val="en-GB"/>
              </w:rPr>
              <w:br/>
              <w:t>hypocalcaemia</w:t>
            </w:r>
          </w:p>
          <w:p w:rsidR="0043566B" w:rsidRDefault="00A118BB" w:rsidP="00655FA2">
            <w:pPr>
              <w:pStyle w:val="BodyText2"/>
              <w:widowControl w:val="0"/>
              <w:spacing w:before="60" w:after="60"/>
              <w:ind w:left="71"/>
              <w:jc w:val="left"/>
              <w:rPr>
                <w:b w:val="0"/>
                <w:sz w:val="22"/>
                <w:szCs w:val="22"/>
                <w:lang w:val="en-GB"/>
              </w:rPr>
            </w:pPr>
            <w:r w:rsidRPr="00A118BB">
              <w:rPr>
                <w:b w:val="0"/>
                <w:sz w:val="22"/>
                <w:szCs w:val="22"/>
                <w:lang w:val="en-GB"/>
              </w:rPr>
              <w:t>hypokalemia</w:t>
            </w:r>
          </w:p>
          <w:p w:rsidR="00CD4D8F" w:rsidRPr="007A315E" w:rsidRDefault="00CD4D8F" w:rsidP="00655FA2">
            <w:pPr>
              <w:pStyle w:val="BodyText2"/>
              <w:widowControl w:val="0"/>
              <w:spacing w:before="60" w:after="60"/>
              <w:ind w:left="71"/>
              <w:jc w:val="left"/>
              <w:rPr>
                <w:b w:val="0"/>
                <w:sz w:val="22"/>
                <w:szCs w:val="22"/>
                <w:lang w:val="en-GB"/>
              </w:rPr>
            </w:pPr>
            <w:r w:rsidRPr="00CD4D8F">
              <w:rPr>
                <w:b w:val="0"/>
                <w:sz w:val="22"/>
                <w:szCs w:val="22"/>
                <w:lang w:val="en-GB"/>
              </w:rPr>
              <w:t>hyponatraemia</w:t>
            </w:r>
          </w:p>
        </w:tc>
        <w:tc>
          <w:tcPr>
            <w:tcW w:w="2268" w:type="dxa"/>
          </w:tcPr>
          <w:p w:rsidR="00C51ECB" w:rsidRPr="008D1F04" w:rsidRDefault="00C51ECB" w:rsidP="00655FA2">
            <w:pPr>
              <w:pStyle w:val="BodyText2"/>
              <w:widowControl w:val="0"/>
              <w:spacing w:after="0"/>
              <w:ind w:left="71"/>
              <w:jc w:val="left"/>
              <w:rPr>
                <w:b w:val="0"/>
                <w:sz w:val="22"/>
                <w:szCs w:val="22"/>
                <w:lang w:val="en-GB"/>
              </w:rPr>
            </w:pPr>
            <w:r w:rsidRPr="007A315E">
              <w:rPr>
                <w:rFonts w:cs="Arial"/>
                <w:b w:val="0"/>
                <w:sz w:val="22"/>
                <w:szCs w:val="22"/>
                <w:lang w:val="en-GB"/>
              </w:rPr>
              <w:t>dehydration</w:t>
            </w:r>
          </w:p>
        </w:tc>
        <w:tc>
          <w:tcPr>
            <w:tcW w:w="1678" w:type="dxa"/>
          </w:tcPr>
          <w:p w:rsidR="00C51ECB" w:rsidRPr="008D1F04" w:rsidRDefault="00C51ECB" w:rsidP="00655FA2">
            <w:pPr>
              <w:pStyle w:val="BodyText2"/>
              <w:widowControl w:val="0"/>
              <w:spacing w:after="0"/>
              <w:ind w:left="71"/>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Psychiatric Disorders</w:t>
            </w:r>
          </w:p>
        </w:tc>
        <w:tc>
          <w:tcPr>
            <w:tcW w:w="2047" w:type="dxa"/>
            <w:tcBorders>
              <w:bottom w:val="single" w:sz="4" w:space="0" w:color="auto"/>
            </w:tcBorders>
          </w:tcPr>
          <w:p w:rsidR="00C51ECB" w:rsidRPr="007A315E" w:rsidRDefault="00C51ECB" w:rsidP="00655FA2">
            <w:pPr>
              <w:pStyle w:val="BodyText2"/>
              <w:widowControl w:val="0"/>
              <w:tabs>
                <w:tab w:val="left" w:pos="180"/>
              </w:tabs>
              <w:spacing w:before="60" w:after="60"/>
              <w:ind w:left="38"/>
              <w:jc w:val="left"/>
              <w:rPr>
                <w:b w:val="0"/>
                <w:sz w:val="22"/>
                <w:szCs w:val="22"/>
                <w:u w:val="single"/>
                <w:lang w:val="en-GB"/>
              </w:rPr>
            </w:pPr>
          </w:p>
        </w:tc>
        <w:tc>
          <w:tcPr>
            <w:tcW w:w="1994" w:type="dxa"/>
            <w:tcBorders>
              <w:bottom w:val="single" w:sz="4" w:space="0" w:color="auto"/>
            </w:tcBorders>
          </w:tcPr>
          <w:p w:rsidR="00C51ECB" w:rsidRPr="007A315E" w:rsidRDefault="00C51ECB" w:rsidP="00655FA2">
            <w:pPr>
              <w:pStyle w:val="BodyText2"/>
              <w:widowControl w:val="0"/>
              <w:spacing w:before="60" w:after="60"/>
              <w:ind w:left="71"/>
              <w:jc w:val="left"/>
              <w:rPr>
                <w:b w:val="0"/>
                <w:sz w:val="22"/>
                <w:szCs w:val="22"/>
                <w:lang w:val="en-GB"/>
              </w:rPr>
            </w:pPr>
            <w:r w:rsidRPr="007A315E">
              <w:rPr>
                <w:rFonts w:cs="Arial"/>
                <w:b w:val="0"/>
                <w:sz w:val="22"/>
                <w:szCs w:val="22"/>
                <w:lang w:val="en-GB"/>
              </w:rPr>
              <w:t>depression</w:t>
            </w:r>
          </w:p>
        </w:tc>
        <w:tc>
          <w:tcPr>
            <w:tcW w:w="2268" w:type="dxa"/>
            <w:tcBorders>
              <w:bottom w:val="single" w:sz="4" w:space="0" w:color="auto"/>
            </w:tcBorders>
          </w:tcPr>
          <w:p w:rsidR="00C51ECB" w:rsidRPr="008D1F04" w:rsidRDefault="00C51ECB" w:rsidP="00655FA2">
            <w:pPr>
              <w:pStyle w:val="BodyText2"/>
              <w:widowControl w:val="0"/>
              <w:spacing w:before="60" w:after="60"/>
              <w:ind w:left="72"/>
              <w:jc w:val="left"/>
              <w:rPr>
                <w:b w:val="0"/>
                <w:sz w:val="22"/>
                <w:szCs w:val="22"/>
                <w:lang w:val="en-GB"/>
              </w:rPr>
            </w:pPr>
          </w:p>
        </w:tc>
        <w:tc>
          <w:tcPr>
            <w:tcW w:w="1678" w:type="dxa"/>
            <w:tcBorders>
              <w:bottom w:val="single" w:sz="4" w:space="0" w:color="auto"/>
            </w:tcBorders>
          </w:tcPr>
          <w:p w:rsidR="00C51ECB" w:rsidRPr="008D1F04" w:rsidRDefault="00C51ECB" w:rsidP="00655FA2">
            <w:pPr>
              <w:pStyle w:val="BodyText2"/>
              <w:widowControl w:val="0"/>
              <w:spacing w:before="60" w:after="60"/>
              <w:ind w:left="72"/>
              <w:jc w:val="left"/>
              <w:rPr>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lastRenderedPageBreak/>
              <w:t>Nervous System Disorders</w:t>
            </w:r>
          </w:p>
        </w:tc>
        <w:tc>
          <w:tcPr>
            <w:tcW w:w="2047" w:type="dxa"/>
            <w:tcBorders>
              <w:bottom w:val="single" w:sz="4" w:space="0" w:color="auto"/>
            </w:tcBorders>
          </w:tcPr>
          <w:p w:rsidR="00C51ECB" w:rsidRPr="007A315E" w:rsidRDefault="00C51ECB" w:rsidP="00655FA2">
            <w:pPr>
              <w:pStyle w:val="BodyText2"/>
              <w:widowControl w:val="0"/>
              <w:tabs>
                <w:tab w:val="left" w:pos="180"/>
              </w:tabs>
              <w:spacing w:before="60" w:after="60"/>
              <w:ind w:left="38"/>
              <w:jc w:val="left"/>
              <w:rPr>
                <w:b w:val="0"/>
                <w:sz w:val="22"/>
                <w:szCs w:val="22"/>
                <w:u w:val="single"/>
                <w:lang w:val="en-GB"/>
              </w:rPr>
            </w:pPr>
          </w:p>
        </w:tc>
        <w:tc>
          <w:tcPr>
            <w:tcW w:w="1994" w:type="dxa"/>
            <w:tcBorders>
              <w:bottom w:val="single" w:sz="4" w:space="0" w:color="auto"/>
            </w:tcBorders>
          </w:tcPr>
          <w:p w:rsidR="00C51ECB" w:rsidRDefault="00C51ECB" w:rsidP="00655FA2">
            <w:pPr>
              <w:pStyle w:val="BodyText2"/>
              <w:widowControl w:val="0"/>
              <w:spacing w:before="60" w:after="60"/>
              <w:ind w:left="71"/>
              <w:jc w:val="left"/>
              <w:rPr>
                <w:rFonts w:cs="Arial"/>
                <w:b w:val="0"/>
                <w:sz w:val="22"/>
                <w:szCs w:val="22"/>
                <w:lang w:val="en-GB"/>
              </w:rPr>
            </w:pPr>
            <w:r w:rsidRPr="007A315E">
              <w:rPr>
                <w:rFonts w:cs="Arial"/>
                <w:b w:val="0"/>
                <w:sz w:val="22"/>
                <w:szCs w:val="22"/>
                <w:lang w:val="en-GB"/>
              </w:rPr>
              <w:t xml:space="preserve">peripheral sensory neuropathy </w:t>
            </w:r>
          </w:p>
          <w:p w:rsidR="00CD694B" w:rsidRPr="007A315E" w:rsidRDefault="00CD694B" w:rsidP="00655FA2">
            <w:pPr>
              <w:pStyle w:val="BodyText2"/>
              <w:widowControl w:val="0"/>
              <w:spacing w:before="60" w:after="60"/>
              <w:ind w:left="71"/>
              <w:jc w:val="left"/>
              <w:rPr>
                <w:b w:val="0"/>
                <w:sz w:val="22"/>
                <w:szCs w:val="22"/>
                <w:lang w:val="en-GB"/>
              </w:rPr>
            </w:pPr>
            <w:r w:rsidRPr="00CD694B">
              <w:rPr>
                <w:b w:val="0"/>
                <w:sz w:val="22"/>
                <w:szCs w:val="22"/>
                <w:lang w:val="en-GB"/>
              </w:rPr>
              <w:t>dysgeusia</w:t>
            </w:r>
          </w:p>
        </w:tc>
        <w:tc>
          <w:tcPr>
            <w:tcW w:w="2268" w:type="dxa"/>
            <w:tcBorders>
              <w:bottom w:val="single" w:sz="4" w:space="0" w:color="auto"/>
            </w:tcBorders>
          </w:tcPr>
          <w:p w:rsidR="00C51ECB" w:rsidRPr="008D1F04" w:rsidRDefault="00C51ECB" w:rsidP="00DB18BC">
            <w:pPr>
              <w:pStyle w:val="BodyText2"/>
              <w:widowControl w:val="0"/>
              <w:spacing w:before="60" w:after="60"/>
              <w:ind w:left="72"/>
              <w:jc w:val="left"/>
              <w:rPr>
                <w:b w:val="0"/>
                <w:sz w:val="22"/>
                <w:szCs w:val="22"/>
                <w:lang w:val="en-GB"/>
              </w:rPr>
            </w:pPr>
            <w:r w:rsidRPr="008D1F04">
              <w:rPr>
                <w:b w:val="0"/>
                <w:sz w:val="22"/>
                <w:szCs w:val="22"/>
                <w:lang w:val="en-GB"/>
              </w:rPr>
              <w:t>reversible posterior leukoencep</w:t>
            </w:r>
            <w:r w:rsidR="00631DF6">
              <w:rPr>
                <w:b w:val="0"/>
                <w:sz w:val="22"/>
                <w:szCs w:val="22"/>
                <w:lang w:val="en-GB"/>
              </w:rPr>
              <w:t>h</w:t>
            </w:r>
            <w:r w:rsidRPr="008D1F04">
              <w:rPr>
                <w:b w:val="0"/>
                <w:sz w:val="22"/>
                <w:szCs w:val="22"/>
                <w:lang w:val="en-GB"/>
              </w:rPr>
              <w:t>alopathy*</w:t>
            </w:r>
          </w:p>
        </w:tc>
        <w:tc>
          <w:tcPr>
            <w:tcW w:w="1678" w:type="dxa"/>
            <w:tcBorders>
              <w:bottom w:val="single" w:sz="4" w:space="0" w:color="auto"/>
            </w:tcBorders>
          </w:tcPr>
          <w:p w:rsidR="00C51ECB" w:rsidRPr="008D1F04" w:rsidRDefault="00C51ECB" w:rsidP="00655FA2">
            <w:pPr>
              <w:pStyle w:val="BodyText2"/>
              <w:widowControl w:val="0"/>
              <w:spacing w:before="60" w:after="60"/>
              <w:ind w:left="72"/>
              <w:jc w:val="left"/>
              <w:rPr>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Ear and Labyrinth Disorders</w:t>
            </w:r>
          </w:p>
        </w:tc>
        <w:tc>
          <w:tcPr>
            <w:tcW w:w="2047" w:type="dxa"/>
            <w:tcBorders>
              <w:bottom w:val="single" w:sz="4" w:space="0" w:color="auto"/>
            </w:tcBorders>
          </w:tcPr>
          <w:p w:rsidR="00C51ECB" w:rsidRPr="007A315E" w:rsidRDefault="00C51ECB" w:rsidP="00655FA2">
            <w:pPr>
              <w:pStyle w:val="BodyText2"/>
              <w:widowControl w:val="0"/>
              <w:tabs>
                <w:tab w:val="left" w:pos="180"/>
              </w:tabs>
              <w:spacing w:before="60" w:after="60"/>
              <w:ind w:left="38"/>
              <w:jc w:val="left"/>
              <w:rPr>
                <w:b w:val="0"/>
                <w:sz w:val="22"/>
                <w:szCs w:val="22"/>
                <w:lang w:val="en-GB"/>
              </w:rPr>
            </w:pPr>
          </w:p>
        </w:tc>
        <w:tc>
          <w:tcPr>
            <w:tcW w:w="1994" w:type="dxa"/>
            <w:tcBorders>
              <w:bottom w:val="single" w:sz="4" w:space="0" w:color="auto"/>
            </w:tcBorders>
          </w:tcPr>
          <w:p w:rsidR="00C51ECB" w:rsidRPr="007A315E" w:rsidRDefault="00C51ECB" w:rsidP="00655FA2">
            <w:pPr>
              <w:pStyle w:val="BodyText2"/>
              <w:widowControl w:val="0"/>
              <w:spacing w:before="60" w:after="60"/>
              <w:ind w:left="71"/>
              <w:jc w:val="left"/>
              <w:rPr>
                <w:b w:val="0"/>
                <w:sz w:val="22"/>
                <w:szCs w:val="22"/>
                <w:lang w:val="en-GB"/>
              </w:rPr>
            </w:pPr>
            <w:r w:rsidRPr="007A315E">
              <w:rPr>
                <w:rFonts w:cs="Arial"/>
                <w:b w:val="0"/>
                <w:sz w:val="22"/>
                <w:szCs w:val="22"/>
                <w:lang w:val="en-GB"/>
              </w:rPr>
              <w:t>tinnitus</w:t>
            </w:r>
          </w:p>
        </w:tc>
        <w:tc>
          <w:tcPr>
            <w:tcW w:w="2268" w:type="dxa"/>
            <w:tcBorders>
              <w:bottom w:val="single" w:sz="4" w:space="0" w:color="auto"/>
            </w:tcBorders>
          </w:tcPr>
          <w:p w:rsidR="00C51ECB" w:rsidRPr="008D1F04" w:rsidRDefault="00C51ECB" w:rsidP="00655FA2">
            <w:pPr>
              <w:pStyle w:val="BodyText2"/>
              <w:widowControl w:val="0"/>
              <w:spacing w:before="60" w:after="60"/>
              <w:ind w:left="72"/>
              <w:jc w:val="left"/>
              <w:rPr>
                <w:b w:val="0"/>
                <w:sz w:val="22"/>
                <w:szCs w:val="22"/>
                <w:lang w:val="en-GB"/>
              </w:rPr>
            </w:pPr>
          </w:p>
        </w:tc>
        <w:tc>
          <w:tcPr>
            <w:tcW w:w="1678" w:type="dxa"/>
            <w:tcBorders>
              <w:bottom w:val="single" w:sz="4" w:space="0" w:color="auto"/>
            </w:tcBorders>
          </w:tcPr>
          <w:p w:rsidR="00C51ECB" w:rsidRPr="008D1F04" w:rsidRDefault="00C51ECB" w:rsidP="00655FA2">
            <w:pPr>
              <w:pStyle w:val="BodyText2"/>
              <w:widowControl w:val="0"/>
              <w:spacing w:before="60" w:after="60"/>
              <w:ind w:left="72"/>
              <w:jc w:val="left"/>
              <w:rPr>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tcBorders>
            <w:shd w:val="pct15" w:color="auto" w:fill="FFFFFF"/>
          </w:tcPr>
          <w:p w:rsidR="00C51ECB" w:rsidRPr="007A315E" w:rsidRDefault="00C51ECB" w:rsidP="00655FA2">
            <w:pPr>
              <w:pStyle w:val="BodyText2"/>
              <w:widowControl w:val="0"/>
              <w:spacing w:before="60" w:after="60"/>
              <w:ind w:left="72"/>
              <w:jc w:val="left"/>
              <w:rPr>
                <w:rFonts w:cs="Arial"/>
                <w:sz w:val="22"/>
                <w:szCs w:val="22"/>
                <w:lang w:val="en-GB"/>
              </w:rPr>
            </w:pPr>
            <w:r w:rsidRPr="00BB4094">
              <w:rPr>
                <w:rFonts w:cs="Arial"/>
                <w:sz w:val="22"/>
                <w:szCs w:val="22"/>
                <w:lang w:val="en-GB"/>
              </w:rPr>
              <w:t>Cardiac Disorders</w:t>
            </w:r>
          </w:p>
        </w:tc>
        <w:tc>
          <w:tcPr>
            <w:tcW w:w="2047" w:type="dxa"/>
          </w:tcPr>
          <w:p w:rsidR="00C51ECB" w:rsidRPr="007A315E" w:rsidRDefault="00C51ECB" w:rsidP="00655FA2">
            <w:pPr>
              <w:pStyle w:val="BodyText2"/>
              <w:widowControl w:val="0"/>
              <w:tabs>
                <w:tab w:val="left" w:pos="180"/>
              </w:tabs>
              <w:spacing w:before="60" w:after="60"/>
              <w:ind w:left="38"/>
              <w:jc w:val="left"/>
              <w:rPr>
                <w:rFonts w:cs="Arial"/>
                <w:b w:val="0"/>
                <w:sz w:val="22"/>
                <w:szCs w:val="22"/>
                <w:lang w:val="en-GB"/>
              </w:rPr>
            </w:pPr>
          </w:p>
        </w:tc>
        <w:tc>
          <w:tcPr>
            <w:tcW w:w="1994" w:type="dxa"/>
          </w:tcPr>
          <w:p w:rsidR="00C51ECB" w:rsidRPr="007A315E" w:rsidRDefault="00C51ECB" w:rsidP="00655FA2">
            <w:pPr>
              <w:pStyle w:val="BodyText2"/>
              <w:widowControl w:val="0"/>
              <w:spacing w:before="60" w:after="60"/>
              <w:ind w:left="71"/>
              <w:jc w:val="left"/>
              <w:rPr>
                <w:rFonts w:cs="Arial"/>
                <w:b w:val="0"/>
                <w:sz w:val="22"/>
                <w:szCs w:val="22"/>
                <w:lang w:val="en-GB"/>
              </w:rPr>
            </w:pPr>
            <w:r w:rsidRPr="007A315E">
              <w:rPr>
                <w:rFonts w:cs="Arial"/>
                <w:b w:val="0"/>
                <w:sz w:val="22"/>
                <w:szCs w:val="22"/>
                <w:lang w:val="en-GB"/>
              </w:rPr>
              <w:t>congestive heart failure*</w:t>
            </w:r>
          </w:p>
          <w:p w:rsidR="00313AF0" w:rsidRPr="008D1F04" w:rsidRDefault="00313AF0" w:rsidP="00655FA2">
            <w:pPr>
              <w:pStyle w:val="BodyText2"/>
              <w:widowControl w:val="0"/>
              <w:spacing w:before="60" w:after="60"/>
              <w:ind w:left="71"/>
              <w:jc w:val="left"/>
              <w:rPr>
                <w:rFonts w:cs="Arial"/>
                <w:b w:val="0"/>
                <w:sz w:val="22"/>
                <w:szCs w:val="22"/>
                <w:lang w:val="en-GB"/>
              </w:rPr>
            </w:pPr>
            <w:r w:rsidRPr="008D1F04">
              <w:rPr>
                <w:rFonts w:cs="Arial"/>
                <w:b w:val="0"/>
                <w:sz w:val="22"/>
                <w:szCs w:val="22"/>
                <w:lang w:val="en-GB"/>
              </w:rPr>
              <w:t>myocardial ischaemia and/or infarction*</w:t>
            </w:r>
          </w:p>
        </w:tc>
        <w:tc>
          <w:tcPr>
            <w:tcW w:w="2268" w:type="dxa"/>
          </w:tcPr>
          <w:p w:rsidR="00C51ECB" w:rsidRPr="00C66973" w:rsidRDefault="00C51ECB" w:rsidP="00DB18BC">
            <w:pPr>
              <w:pStyle w:val="BodyText2"/>
              <w:widowControl w:val="0"/>
              <w:spacing w:before="60" w:after="60"/>
              <w:ind w:left="72"/>
              <w:jc w:val="left"/>
              <w:rPr>
                <w:rFonts w:cs="Arial"/>
                <w:b w:val="0"/>
                <w:sz w:val="22"/>
                <w:szCs w:val="22"/>
                <w:lang w:val="en-GB"/>
              </w:rPr>
            </w:pPr>
          </w:p>
        </w:tc>
        <w:tc>
          <w:tcPr>
            <w:tcW w:w="1678" w:type="dxa"/>
          </w:tcPr>
          <w:p w:rsidR="00C51ECB" w:rsidRPr="00C66973" w:rsidRDefault="00C51ECB" w:rsidP="003D5315">
            <w:pPr>
              <w:pStyle w:val="BodyText2"/>
              <w:widowControl w:val="0"/>
              <w:spacing w:before="60" w:after="60"/>
              <w:ind w:left="72"/>
              <w:jc w:val="left"/>
              <w:rPr>
                <w:rFonts w:cs="Arial"/>
                <w:b w:val="0"/>
                <w:sz w:val="22"/>
                <w:szCs w:val="22"/>
                <w:lang w:val="en-GB"/>
              </w:rPr>
            </w:pPr>
            <w:r w:rsidRPr="00C66973">
              <w:rPr>
                <w:rFonts w:cs="Arial"/>
                <w:b w:val="0"/>
                <w:sz w:val="22"/>
                <w:szCs w:val="22"/>
                <w:lang w:val="en-GB"/>
              </w:rPr>
              <w:t>QT prolongation</w:t>
            </w:r>
          </w:p>
        </w:tc>
      </w:tr>
      <w:tr w:rsidR="00C51ECB" w:rsidRPr="00EB44BE" w:rsidTr="0040733F">
        <w:tblPrEx>
          <w:tblCellMar>
            <w:top w:w="0" w:type="dxa"/>
            <w:bottom w:w="0" w:type="dxa"/>
          </w:tblCellMar>
        </w:tblPrEx>
        <w:tc>
          <w:tcPr>
            <w:tcW w:w="1913" w:type="dxa"/>
            <w:tcBorders>
              <w:left w:val="single" w:sz="12"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Vascular Disorders</w:t>
            </w:r>
          </w:p>
        </w:tc>
        <w:tc>
          <w:tcPr>
            <w:tcW w:w="2047" w:type="dxa"/>
          </w:tcPr>
          <w:p w:rsidR="00C51ECB" w:rsidRPr="00C66973" w:rsidRDefault="00C51ECB" w:rsidP="00655FA2">
            <w:pPr>
              <w:pStyle w:val="BodyText2"/>
              <w:widowControl w:val="0"/>
              <w:tabs>
                <w:tab w:val="left" w:pos="180"/>
              </w:tabs>
              <w:spacing w:before="60" w:after="60"/>
              <w:ind w:left="38"/>
              <w:jc w:val="left"/>
              <w:rPr>
                <w:rFonts w:cs="Arial"/>
                <w:b w:val="0"/>
                <w:sz w:val="22"/>
                <w:szCs w:val="22"/>
                <w:lang w:val="en-GB"/>
              </w:rPr>
            </w:pPr>
            <w:r w:rsidRPr="007A315E">
              <w:rPr>
                <w:rFonts w:cs="Arial"/>
                <w:b w:val="0"/>
                <w:sz w:val="22"/>
                <w:szCs w:val="22"/>
                <w:lang w:val="en-GB"/>
              </w:rPr>
              <w:t xml:space="preserve">haemorrhage </w:t>
            </w:r>
            <w:r w:rsidRPr="008D1F04">
              <w:rPr>
                <w:rFonts w:cs="Arial"/>
                <w:b w:val="0"/>
                <w:sz w:val="22"/>
                <w:szCs w:val="22"/>
                <w:lang w:val="en-GB"/>
              </w:rPr>
              <w:t>(inc. gastrointestinal*, respiratory tract* and cerebral haemorrhage*)</w:t>
            </w:r>
          </w:p>
          <w:p w:rsidR="00C51ECB" w:rsidRPr="00C66973" w:rsidRDefault="00C51ECB" w:rsidP="00DB18BC">
            <w:pPr>
              <w:pStyle w:val="BodyText2"/>
              <w:widowControl w:val="0"/>
              <w:tabs>
                <w:tab w:val="left" w:pos="180"/>
              </w:tabs>
              <w:spacing w:before="60" w:after="60"/>
              <w:ind w:left="38"/>
              <w:jc w:val="left"/>
              <w:rPr>
                <w:rFonts w:cs="Arial"/>
                <w:b w:val="0"/>
                <w:sz w:val="22"/>
                <w:szCs w:val="22"/>
                <w:lang w:val="en-GB"/>
              </w:rPr>
            </w:pPr>
            <w:r w:rsidRPr="00C66973">
              <w:rPr>
                <w:rFonts w:cs="Arial"/>
                <w:b w:val="0"/>
                <w:sz w:val="22"/>
                <w:szCs w:val="22"/>
                <w:lang w:val="en-GB"/>
              </w:rPr>
              <w:t>hypertension</w:t>
            </w:r>
          </w:p>
        </w:tc>
        <w:tc>
          <w:tcPr>
            <w:tcW w:w="1994" w:type="dxa"/>
          </w:tcPr>
          <w:p w:rsidR="00C51ECB" w:rsidRPr="00C66973" w:rsidRDefault="00CD694B" w:rsidP="00655FA2">
            <w:pPr>
              <w:pStyle w:val="BodyText2"/>
              <w:widowControl w:val="0"/>
              <w:spacing w:before="60" w:after="60"/>
              <w:ind w:left="71"/>
              <w:jc w:val="left"/>
              <w:rPr>
                <w:b w:val="0"/>
                <w:sz w:val="22"/>
                <w:szCs w:val="22"/>
                <w:lang w:val="en-GB"/>
              </w:rPr>
            </w:pPr>
            <w:r w:rsidRPr="00CD694B">
              <w:rPr>
                <w:b w:val="0"/>
                <w:sz w:val="22"/>
                <w:szCs w:val="22"/>
                <w:lang w:val="en-GB"/>
              </w:rPr>
              <w:t>flushing</w:t>
            </w:r>
          </w:p>
        </w:tc>
        <w:tc>
          <w:tcPr>
            <w:tcW w:w="2268" w:type="dxa"/>
          </w:tcPr>
          <w:p w:rsidR="00C51ECB" w:rsidRPr="00C66973" w:rsidRDefault="00C51ECB" w:rsidP="00655FA2">
            <w:pPr>
              <w:pStyle w:val="BodyText2"/>
              <w:widowControl w:val="0"/>
              <w:spacing w:before="60" w:after="60"/>
              <w:ind w:left="72"/>
              <w:jc w:val="left"/>
              <w:rPr>
                <w:b w:val="0"/>
                <w:sz w:val="22"/>
                <w:szCs w:val="22"/>
                <w:lang w:val="en-GB"/>
              </w:rPr>
            </w:pPr>
            <w:r w:rsidRPr="00C66973">
              <w:rPr>
                <w:rFonts w:cs="Arial"/>
                <w:b w:val="0"/>
                <w:sz w:val="22"/>
                <w:szCs w:val="22"/>
                <w:lang w:val="en-GB"/>
              </w:rPr>
              <w:t>hypertensive crisis*</w:t>
            </w:r>
          </w:p>
        </w:tc>
        <w:tc>
          <w:tcPr>
            <w:tcW w:w="1678" w:type="dxa"/>
          </w:tcPr>
          <w:p w:rsidR="00C51ECB" w:rsidRPr="00C66973" w:rsidRDefault="00C51ECB" w:rsidP="00655FA2">
            <w:pPr>
              <w:pStyle w:val="BodyText2"/>
              <w:widowControl w:val="0"/>
              <w:spacing w:before="60" w:after="60"/>
              <w:ind w:left="72"/>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7A315E" w:rsidRDefault="00C51ECB" w:rsidP="00655FA2">
            <w:pPr>
              <w:pStyle w:val="BodyText2"/>
              <w:widowControl w:val="0"/>
              <w:spacing w:before="60" w:after="60"/>
              <w:ind w:left="72"/>
              <w:jc w:val="left"/>
              <w:rPr>
                <w:rFonts w:cs="Arial"/>
                <w:sz w:val="22"/>
                <w:szCs w:val="22"/>
                <w:lang w:val="en-GB"/>
              </w:rPr>
            </w:pPr>
            <w:r w:rsidRPr="00BB4094">
              <w:rPr>
                <w:rFonts w:cs="Arial"/>
                <w:sz w:val="22"/>
                <w:szCs w:val="22"/>
                <w:lang w:val="en-GB"/>
              </w:rPr>
              <w:t>Respiratory, Thoracic and Mediastinal Dis</w:t>
            </w:r>
            <w:r w:rsidRPr="007A315E">
              <w:rPr>
                <w:rFonts w:cs="Arial"/>
                <w:sz w:val="22"/>
                <w:szCs w:val="22"/>
                <w:lang w:val="en-GB"/>
              </w:rPr>
              <w:t>orders</w:t>
            </w:r>
          </w:p>
          <w:p w:rsidR="00C51ECB" w:rsidRPr="007A315E" w:rsidRDefault="00C51ECB" w:rsidP="00655FA2">
            <w:pPr>
              <w:pStyle w:val="BodyText2"/>
              <w:widowControl w:val="0"/>
              <w:spacing w:before="60" w:after="60"/>
              <w:ind w:left="72"/>
              <w:jc w:val="left"/>
              <w:rPr>
                <w:sz w:val="22"/>
                <w:szCs w:val="22"/>
                <w:lang w:val="en-GB"/>
              </w:rPr>
            </w:pPr>
          </w:p>
        </w:tc>
        <w:tc>
          <w:tcPr>
            <w:tcW w:w="2047" w:type="dxa"/>
            <w:tcBorders>
              <w:bottom w:val="single" w:sz="4" w:space="0" w:color="auto"/>
            </w:tcBorders>
          </w:tcPr>
          <w:p w:rsidR="00C51ECB" w:rsidRPr="007A315E" w:rsidRDefault="00C51ECB" w:rsidP="00655FA2">
            <w:pPr>
              <w:pStyle w:val="BodyText2"/>
              <w:widowControl w:val="0"/>
              <w:tabs>
                <w:tab w:val="left" w:pos="180"/>
              </w:tabs>
              <w:spacing w:before="60" w:after="60"/>
              <w:ind w:left="38"/>
              <w:jc w:val="left"/>
              <w:rPr>
                <w:b w:val="0"/>
                <w:sz w:val="22"/>
                <w:szCs w:val="22"/>
                <w:u w:val="single"/>
                <w:lang w:val="en-GB"/>
              </w:rPr>
            </w:pPr>
          </w:p>
        </w:tc>
        <w:tc>
          <w:tcPr>
            <w:tcW w:w="1994" w:type="dxa"/>
            <w:tcBorders>
              <w:bottom w:val="single" w:sz="4" w:space="0" w:color="auto"/>
            </w:tcBorders>
          </w:tcPr>
          <w:p w:rsidR="00CD694B" w:rsidRDefault="00CD694B" w:rsidP="00655FA2">
            <w:pPr>
              <w:pStyle w:val="BodyText2"/>
              <w:widowControl w:val="0"/>
              <w:spacing w:before="60" w:after="60"/>
              <w:ind w:left="71"/>
              <w:jc w:val="left"/>
              <w:rPr>
                <w:rFonts w:cs="Arial"/>
                <w:b w:val="0"/>
                <w:sz w:val="22"/>
                <w:szCs w:val="22"/>
                <w:lang w:val="en-GB"/>
              </w:rPr>
            </w:pPr>
            <w:r>
              <w:rPr>
                <w:rFonts w:cs="Arial"/>
                <w:b w:val="0"/>
                <w:sz w:val="22"/>
                <w:szCs w:val="22"/>
                <w:lang w:val="en-GB"/>
              </w:rPr>
              <w:t>r</w:t>
            </w:r>
            <w:r w:rsidRPr="00CD694B">
              <w:rPr>
                <w:rFonts w:cs="Arial"/>
                <w:b w:val="0"/>
                <w:sz w:val="22"/>
                <w:szCs w:val="22"/>
                <w:lang w:val="en-GB"/>
              </w:rPr>
              <w:t>hinorrhoea</w:t>
            </w:r>
          </w:p>
          <w:p w:rsidR="00CD694B" w:rsidRDefault="00CD694B" w:rsidP="00655FA2">
            <w:pPr>
              <w:pStyle w:val="BodyText2"/>
              <w:widowControl w:val="0"/>
              <w:spacing w:before="60" w:after="60"/>
              <w:ind w:left="71"/>
              <w:jc w:val="left"/>
              <w:rPr>
                <w:rFonts w:cs="Arial"/>
                <w:b w:val="0"/>
                <w:sz w:val="22"/>
                <w:szCs w:val="22"/>
                <w:lang w:val="en-GB"/>
              </w:rPr>
            </w:pPr>
          </w:p>
          <w:p w:rsidR="00CD694B" w:rsidRPr="008D1F04" w:rsidRDefault="00CD694B" w:rsidP="00655FA2">
            <w:pPr>
              <w:pStyle w:val="BodyText2"/>
              <w:widowControl w:val="0"/>
              <w:spacing w:before="60" w:after="60"/>
              <w:ind w:left="71"/>
              <w:jc w:val="left"/>
              <w:rPr>
                <w:b w:val="0"/>
                <w:sz w:val="22"/>
                <w:szCs w:val="22"/>
                <w:lang w:val="en-GB"/>
              </w:rPr>
            </w:pPr>
            <w:r w:rsidRPr="00CD694B">
              <w:rPr>
                <w:b w:val="0"/>
                <w:sz w:val="22"/>
                <w:szCs w:val="22"/>
                <w:lang w:val="en-GB"/>
              </w:rPr>
              <w:t>dysphonia</w:t>
            </w:r>
          </w:p>
        </w:tc>
        <w:tc>
          <w:tcPr>
            <w:tcW w:w="2268" w:type="dxa"/>
            <w:tcBorders>
              <w:bottom w:val="single" w:sz="4" w:space="0" w:color="auto"/>
            </w:tcBorders>
          </w:tcPr>
          <w:p w:rsidR="00C51ECB" w:rsidRPr="00C66973" w:rsidRDefault="00C51ECB" w:rsidP="00A118BB">
            <w:pPr>
              <w:pStyle w:val="BodyText2"/>
              <w:widowControl w:val="0"/>
              <w:spacing w:before="60" w:after="60"/>
              <w:ind w:left="72"/>
              <w:jc w:val="left"/>
              <w:rPr>
                <w:b w:val="0"/>
                <w:sz w:val="22"/>
                <w:szCs w:val="22"/>
                <w:lang w:val="en-GB"/>
              </w:rPr>
            </w:pPr>
            <w:r w:rsidRPr="00C66973">
              <w:rPr>
                <w:b w:val="0"/>
                <w:sz w:val="22"/>
                <w:szCs w:val="22"/>
                <w:lang w:val="en-GB"/>
              </w:rPr>
              <w:t>interstitial lung disease-like events</w:t>
            </w:r>
            <w:r w:rsidR="00A118BB" w:rsidRPr="00A118BB">
              <w:rPr>
                <w:b w:val="0"/>
                <w:sz w:val="22"/>
                <w:szCs w:val="22"/>
                <w:lang w:val="en-GB"/>
              </w:rPr>
              <w:t>*</w:t>
            </w:r>
            <w:r w:rsidRPr="00C66973">
              <w:rPr>
                <w:b w:val="0"/>
                <w:sz w:val="22"/>
                <w:szCs w:val="22"/>
                <w:lang w:val="en-GB"/>
              </w:rPr>
              <w:t xml:space="preserve"> (includes reports of pneumonitis, radiation pneumonitis, acute respiratory distress, interstitial pneumonia, pulmonitis and lung inflammation)</w:t>
            </w:r>
          </w:p>
        </w:tc>
        <w:tc>
          <w:tcPr>
            <w:tcW w:w="1678" w:type="dxa"/>
            <w:tcBorders>
              <w:bottom w:val="single" w:sz="4" w:space="0" w:color="auto"/>
            </w:tcBorders>
          </w:tcPr>
          <w:p w:rsidR="00C51ECB" w:rsidRPr="009E3EA7" w:rsidRDefault="00C51ECB" w:rsidP="00655FA2">
            <w:pPr>
              <w:pStyle w:val="BodyText2"/>
              <w:widowControl w:val="0"/>
              <w:spacing w:before="60" w:after="60"/>
              <w:ind w:left="72"/>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Gastrointestinal Disorders</w:t>
            </w:r>
          </w:p>
        </w:tc>
        <w:tc>
          <w:tcPr>
            <w:tcW w:w="2047" w:type="dxa"/>
            <w:tcBorders>
              <w:bottom w:val="single" w:sz="4" w:space="0" w:color="auto"/>
            </w:tcBorders>
          </w:tcPr>
          <w:p w:rsidR="00C51ECB" w:rsidRPr="007A315E" w:rsidRDefault="00C51ECB" w:rsidP="00655FA2">
            <w:pPr>
              <w:pStyle w:val="BodyText2"/>
              <w:widowControl w:val="0"/>
              <w:tabs>
                <w:tab w:val="left" w:pos="180"/>
              </w:tabs>
              <w:spacing w:after="0"/>
              <w:ind w:left="38"/>
              <w:jc w:val="left"/>
              <w:rPr>
                <w:rFonts w:cs="Arial"/>
                <w:b w:val="0"/>
                <w:sz w:val="22"/>
                <w:szCs w:val="22"/>
                <w:lang w:val="en-GB"/>
              </w:rPr>
            </w:pPr>
            <w:r w:rsidRPr="007A315E">
              <w:rPr>
                <w:rFonts w:cs="Arial"/>
                <w:b w:val="0"/>
                <w:sz w:val="22"/>
                <w:szCs w:val="22"/>
                <w:lang w:val="en-GB"/>
              </w:rPr>
              <w:t>diarrhoea</w:t>
            </w:r>
          </w:p>
          <w:p w:rsidR="00C51ECB" w:rsidRPr="008D1F04" w:rsidRDefault="00C51ECB" w:rsidP="00655FA2">
            <w:pPr>
              <w:pStyle w:val="BodyText2"/>
              <w:widowControl w:val="0"/>
              <w:tabs>
                <w:tab w:val="left" w:pos="180"/>
              </w:tabs>
              <w:spacing w:after="0"/>
              <w:ind w:left="38"/>
              <w:jc w:val="left"/>
              <w:rPr>
                <w:rFonts w:cs="Arial"/>
                <w:b w:val="0"/>
                <w:sz w:val="22"/>
                <w:szCs w:val="22"/>
                <w:lang w:val="en-GB"/>
              </w:rPr>
            </w:pPr>
            <w:r w:rsidRPr="007A315E">
              <w:rPr>
                <w:rFonts w:cs="Arial"/>
                <w:b w:val="0"/>
                <w:sz w:val="22"/>
                <w:szCs w:val="22"/>
                <w:lang w:val="en-GB"/>
              </w:rPr>
              <w:t>nausea</w:t>
            </w:r>
          </w:p>
          <w:p w:rsidR="00C51ECB" w:rsidRDefault="00C51ECB" w:rsidP="00655FA2">
            <w:pPr>
              <w:pStyle w:val="BodyText2"/>
              <w:widowControl w:val="0"/>
              <w:tabs>
                <w:tab w:val="left" w:pos="180"/>
              </w:tabs>
              <w:spacing w:after="0"/>
              <w:ind w:left="38"/>
              <w:jc w:val="left"/>
              <w:rPr>
                <w:rFonts w:cs="Arial"/>
                <w:b w:val="0"/>
                <w:sz w:val="22"/>
                <w:szCs w:val="22"/>
                <w:lang w:val="en-GB"/>
              </w:rPr>
            </w:pPr>
            <w:r w:rsidRPr="008D1F04">
              <w:rPr>
                <w:rFonts w:cs="Arial"/>
                <w:b w:val="0"/>
                <w:sz w:val="22"/>
                <w:szCs w:val="22"/>
                <w:lang w:val="en-GB"/>
              </w:rPr>
              <w:t>vomiting</w:t>
            </w:r>
          </w:p>
          <w:p w:rsidR="00CD694B" w:rsidRPr="008D1F04" w:rsidRDefault="00CD694B" w:rsidP="00655FA2">
            <w:pPr>
              <w:pStyle w:val="BodyText2"/>
              <w:widowControl w:val="0"/>
              <w:tabs>
                <w:tab w:val="left" w:pos="180"/>
              </w:tabs>
              <w:spacing w:after="0"/>
              <w:ind w:left="38"/>
              <w:jc w:val="left"/>
              <w:rPr>
                <w:b w:val="0"/>
                <w:sz w:val="22"/>
                <w:szCs w:val="22"/>
                <w:lang w:val="en-GB"/>
              </w:rPr>
            </w:pPr>
            <w:r w:rsidRPr="00CD694B">
              <w:rPr>
                <w:b w:val="0"/>
                <w:sz w:val="22"/>
                <w:szCs w:val="22"/>
                <w:lang w:val="en-GB"/>
              </w:rPr>
              <w:t>constipation</w:t>
            </w:r>
          </w:p>
        </w:tc>
        <w:tc>
          <w:tcPr>
            <w:tcW w:w="1994" w:type="dxa"/>
            <w:tcBorders>
              <w:bottom w:val="single" w:sz="4" w:space="0" w:color="auto"/>
            </w:tcBorders>
          </w:tcPr>
          <w:p w:rsidR="00C51ECB" w:rsidRPr="00C66973" w:rsidRDefault="00C51ECB" w:rsidP="00655FA2">
            <w:pPr>
              <w:pStyle w:val="BodyText2"/>
              <w:widowControl w:val="0"/>
              <w:spacing w:after="0"/>
              <w:ind w:left="71"/>
              <w:jc w:val="left"/>
              <w:rPr>
                <w:rFonts w:cs="Arial"/>
                <w:b w:val="0"/>
                <w:sz w:val="22"/>
                <w:szCs w:val="22"/>
                <w:lang w:val="en-GB"/>
              </w:rPr>
            </w:pPr>
          </w:p>
          <w:p w:rsidR="00C51ECB" w:rsidRPr="00C66973" w:rsidRDefault="00C51ECB" w:rsidP="00193EFB">
            <w:pPr>
              <w:pStyle w:val="BodyText2"/>
              <w:widowControl w:val="0"/>
              <w:spacing w:after="0"/>
              <w:ind w:left="71"/>
              <w:jc w:val="left"/>
              <w:rPr>
                <w:rFonts w:cs="Arial"/>
                <w:b w:val="0"/>
                <w:sz w:val="22"/>
                <w:szCs w:val="22"/>
                <w:lang w:val="en-GB"/>
              </w:rPr>
            </w:pPr>
            <w:r w:rsidRPr="00C66973">
              <w:rPr>
                <w:rFonts w:cs="Arial"/>
                <w:b w:val="0"/>
                <w:sz w:val="22"/>
                <w:szCs w:val="22"/>
                <w:lang w:val="en-GB"/>
              </w:rPr>
              <w:t>stomatitis (including dry mouth and glossodynia)</w:t>
            </w:r>
          </w:p>
          <w:p w:rsidR="00C51ECB" w:rsidRPr="00C66973" w:rsidRDefault="00C51ECB" w:rsidP="00193EFB">
            <w:pPr>
              <w:pStyle w:val="BodyText2"/>
              <w:widowControl w:val="0"/>
              <w:spacing w:after="0"/>
              <w:ind w:left="71"/>
              <w:jc w:val="left"/>
              <w:rPr>
                <w:rFonts w:cs="Arial"/>
                <w:b w:val="0"/>
                <w:sz w:val="22"/>
                <w:szCs w:val="22"/>
                <w:lang w:val="en-GB"/>
              </w:rPr>
            </w:pPr>
            <w:r w:rsidRPr="00C66973">
              <w:rPr>
                <w:rFonts w:cs="Arial"/>
                <w:b w:val="0"/>
                <w:sz w:val="22"/>
                <w:szCs w:val="22"/>
                <w:lang w:val="en-GB"/>
              </w:rPr>
              <w:t>dyspepsia</w:t>
            </w:r>
          </w:p>
          <w:p w:rsidR="00C51ECB" w:rsidRDefault="00C51ECB" w:rsidP="00DB18BC">
            <w:pPr>
              <w:pStyle w:val="BodyText2"/>
              <w:widowControl w:val="0"/>
              <w:spacing w:after="0"/>
              <w:ind w:left="71"/>
              <w:jc w:val="left"/>
              <w:rPr>
                <w:rFonts w:cs="Arial"/>
                <w:b w:val="0"/>
                <w:sz w:val="22"/>
                <w:szCs w:val="22"/>
                <w:lang w:val="en-GB"/>
              </w:rPr>
            </w:pPr>
            <w:r w:rsidRPr="00C66973">
              <w:rPr>
                <w:rFonts w:cs="Arial"/>
                <w:b w:val="0"/>
                <w:sz w:val="22"/>
                <w:szCs w:val="22"/>
                <w:lang w:val="en-GB"/>
              </w:rPr>
              <w:t>dysphagia</w:t>
            </w:r>
          </w:p>
          <w:p w:rsidR="00CD694B" w:rsidRPr="00C66973" w:rsidRDefault="00CD694B" w:rsidP="00DB18BC">
            <w:pPr>
              <w:pStyle w:val="BodyText2"/>
              <w:widowControl w:val="0"/>
              <w:spacing w:after="0"/>
              <w:ind w:left="71"/>
              <w:jc w:val="left"/>
              <w:rPr>
                <w:rFonts w:cs="Arial"/>
                <w:b w:val="0"/>
                <w:sz w:val="22"/>
                <w:szCs w:val="22"/>
                <w:lang w:val="en-GB"/>
              </w:rPr>
            </w:pPr>
            <w:r w:rsidRPr="00CD694B">
              <w:rPr>
                <w:rFonts w:cs="Arial"/>
                <w:b w:val="0"/>
                <w:sz w:val="22"/>
                <w:szCs w:val="22"/>
                <w:lang w:val="en-GB"/>
              </w:rPr>
              <w:t>gastrooesophageal reflux disease</w:t>
            </w:r>
          </w:p>
        </w:tc>
        <w:tc>
          <w:tcPr>
            <w:tcW w:w="2268" w:type="dxa"/>
            <w:tcBorders>
              <w:bottom w:val="single" w:sz="4" w:space="0" w:color="auto"/>
            </w:tcBorders>
          </w:tcPr>
          <w:p w:rsidR="00C51ECB" w:rsidRPr="00C66973" w:rsidRDefault="00C51ECB" w:rsidP="00193EFB">
            <w:pPr>
              <w:pStyle w:val="BodyText2"/>
              <w:widowControl w:val="0"/>
              <w:spacing w:after="0"/>
              <w:ind w:left="72"/>
              <w:jc w:val="left"/>
              <w:rPr>
                <w:rFonts w:cs="Arial"/>
                <w:b w:val="0"/>
                <w:sz w:val="22"/>
                <w:szCs w:val="22"/>
                <w:lang w:val="en-GB"/>
              </w:rPr>
            </w:pPr>
            <w:r w:rsidRPr="00C66973">
              <w:rPr>
                <w:rFonts w:cs="Arial"/>
                <w:b w:val="0"/>
                <w:sz w:val="22"/>
                <w:szCs w:val="22"/>
                <w:lang w:val="en-GB"/>
              </w:rPr>
              <w:t>pancreatitis</w:t>
            </w:r>
          </w:p>
          <w:p w:rsidR="00C51ECB" w:rsidRPr="00C66973" w:rsidRDefault="00C51ECB" w:rsidP="00655FA2">
            <w:pPr>
              <w:pStyle w:val="BodyText2"/>
              <w:widowControl w:val="0"/>
              <w:spacing w:after="0"/>
              <w:ind w:left="72"/>
              <w:jc w:val="left"/>
              <w:rPr>
                <w:rFonts w:cs="Arial"/>
                <w:b w:val="0"/>
                <w:sz w:val="22"/>
                <w:szCs w:val="22"/>
                <w:lang w:val="en-GB"/>
              </w:rPr>
            </w:pPr>
            <w:r w:rsidRPr="00C66973">
              <w:rPr>
                <w:rFonts w:cs="Arial"/>
                <w:b w:val="0"/>
                <w:sz w:val="22"/>
                <w:szCs w:val="22"/>
                <w:lang w:val="en-GB"/>
              </w:rPr>
              <w:t>gastritis</w:t>
            </w:r>
          </w:p>
          <w:p w:rsidR="00C51ECB" w:rsidRPr="00C66973" w:rsidRDefault="00C51ECB" w:rsidP="00C02C60">
            <w:pPr>
              <w:pStyle w:val="BodyText2"/>
              <w:widowControl w:val="0"/>
              <w:spacing w:after="0"/>
              <w:ind w:left="72"/>
              <w:jc w:val="left"/>
              <w:rPr>
                <w:b w:val="0"/>
                <w:sz w:val="22"/>
                <w:szCs w:val="22"/>
                <w:lang w:val="en-GB"/>
              </w:rPr>
            </w:pPr>
            <w:r w:rsidRPr="00C66973">
              <w:rPr>
                <w:rFonts w:cs="Arial"/>
                <w:b w:val="0"/>
                <w:sz w:val="22"/>
                <w:szCs w:val="22"/>
                <w:lang w:val="en-GB"/>
              </w:rPr>
              <w:t>gastrointestinal perforations*</w:t>
            </w:r>
          </w:p>
        </w:tc>
        <w:tc>
          <w:tcPr>
            <w:tcW w:w="1678" w:type="dxa"/>
            <w:tcBorders>
              <w:bottom w:val="single" w:sz="4" w:space="0" w:color="auto"/>
            </w:tcBorders>
          </w:tcPr>
          <w:p w:rsidR="00C51ECB" w:rsidRPr="00C66973" w:rsidRDefault="00C51ECB" w:rsidP="00193EFB">
            <w:pPr>
              <w:pStyle w:val="BodyText2"/>
              <w:widowControl w:val="0"/>
              <w:spacing w:after="0"/>
              <w:ind w:left="72"/>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Hepato-biliary Disorders</w:t>
            </w:r>
          </w:p>
        </w:tc>
        <w:tc>
          <w:tcPr>
            <w:tcW w:w="2047" w:type="dxa"/>
            <w:tcBorders>
              <w:bottom w:val="single" w:sz="4" w:space="0" w:color="auto"/>
            </w:tcBorders>
          </w:tcPr>
          <w:p w:rsidR="00C51ECB" w:rsidRPr="007A315E" w:rsidRDefault="00C51ECB" w:rsidP="00655FA2">
            <w:pPr>
              <w:pStyle w:val="BodyText2"/>
              <w:widowControl w:val="0"/>
              <w:tabs>
                <w:tab w:val="left" w:pos="180"/>
              </w:tabs>
              <w:spacing w:before="60" w:after="60"/>
              <w:ind w:left="38"/>
              <w:jc w:val="left"/>
              <w:rPr>
                <w:b w:val="0"/>
                <w:sz w:val="22"/>
                <w:szCs w:val="22"/>
                <w:lang w:val="en-GB"/>
              </w:rPr>
            </w:pPr>
          </w:p>
        </w:tc>
        <w:tc>
          <w:tcPr>
            <w:tcW w:w="1994" w:type="dxa"/>
            <w:tcBorders>
              <w:bottom w:val="single" w:sz="4" w:space="0" w:color="auto"/>
            </w:tcBorders>
          </w:tcPr>
          <w:p w:rsidR="00C51ECB" w:rsidRPr="007A315E" w:rsidRDefault="00C51ECB" w:rsidP="00655FA2">
            <w:pPr>
              <w:pStyle w:val="BodyText2"/>
              <w:widowControl w:val="0"/>
              <w:spacing w:before="60" w:after="60"/>
              <w:ind w:left="71"/>
              <w:jc w:val="left"/>
              <w:rPr>
                <w:b w:val="0"/>
                <w:sz w:val="22"/>
                <w:szCs w:val="22"/>
                <w:lang w:val="en-GB"/>
              </w:rPr>
            </w:pPr>
          </w:p>
        </w:tc>
        <w:tc>
          <w:tcPr>
            <w:tcW w:w="2268" w:type="dxa"/>
            <w:tcBorders>
              <w:bottom w:val="single" w:sz="4" w:space="0" w:color="auto"/>
            </w:tcBorders>
          </w:tcPr>
          <w:p w:rsidR="00C51ECB" w:rsidRPr="008D1F04" w:rsidRDefault="00C51ECB" w:rsidP="00655FA2">
            <w:pPr>
              <w:pStyle w:val="BodyText2"/>
              <w:widowControl w:val="0"/>
              <w:spacing w:before="60" w:after="60"/>
              <w:ind w:left="72"/>
              <w:jc w:val="left"/>
              <w:rPr>
                <w:b w:val="0"/>
                <w:sz w:val="22"/>
                <w:szCs w:val="22"/>
                <w:lang w:val="en-GB"/>
              </w:rPr>
            </w:pPr>
            <w:r w:rsidRPr="007A315E">
              <w:rPr>
                <w:rFonts w:cs="Arial"/>
                <w:b w:val="0"/>
                <w:sz w:val="22"/>
                <w:szCs w:val="22"/>
                <w:lang w:val="en-GB"/>
              </w:rPr>
              <w:t>increase in bilirubin and jaundice, cholecys</w:t>
            </w:r>
            <w:r w:rsidRPr="008D1F04">
              <w:rPr>
                <w:rFonts w:cs="Arial"/>
                <w:b w:val="0"/>
                <w:sz w:val="22"/>
                <w:szCs w:val="22"/>
                <w:lang w:val="en-GB"/>
              </w:rPr>
              <w:t>titis, cholangitis</w:t>
            </w:r>
          </w:p>
        </w:tc>
        <w:tc>
          <w:tcPr>
            <w:tcW w:w="1678" w:type="dxa"/>
            <w:tcBorders>
              <w:bottom w:val="single" w:sz="4" w:space="0" w:color="auto"/>
            </w:tcBorders>
          </w:tcPr>
          <w:p w:rsidR="00C51ECB" w:rsidRPr="008D1F04" w:rsidRDefault="00CD694B" w:rsidP="00655FA2">
            <w:pPr>
              <w:pStyle w:val="BodyText2"/>
              <w:widowControl w:val="0"/>
              <w:spacing w:before="60" w:after="60"/>
              <w:ind w:left="72"/>
              <w:jc w:val="left"/>
              <w:rPr>
                <w:rFonts w:cs="Arial"/>
                <w:b w:val="0"/>
                <w:sz w:val="22"/>
                <w:szCs w:val="22"/>
                <w:lang w:val="en-GB"/>
              </w:rPr>
            </w:pPr>
            <w:r w:rsidRPr="00CD694B">
              <w:rPr>
                <w:rFonts w:cs="Arial"/>
                <w:b w:val="0"/>
                <w:sz w:val="22"/>
                <w:szCs w:val="22"/>
                <w:lang w:val="en-GB"/>
              </w:rPr>
              <w:t>drug induced hepatitis</w:t>
            </w:r>
            <w:r w:rsidR="007063D1">
              <w:rPr>
                <w:rFonts w:cs="Arial"/>
                <w:b w:val="0"/>
                <w:sz w:val="22"/>
                <w:szCs w:val="22"/>
                <w:lang w:val="en-GB"/>
              </w:rPr>
              <w:t>*</w:t>
            </w: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Skin and Subcutaneous Tissue Disorders</w:t>
            </w:r>
          </w:p>
        </w:tc>
        <w:tc>
          <w:tcPr>
            <w:tcW w:w="2047" w:type="dxa"/>
            <w:tcBorders>
              <w:bottom w:val="single" w:sz="4" w:space="0" w:color="auto"/>
            </w:tcBorders>
          </w:tcPr>
          <w:p w:rsidR="00CD694B" w:rsidRDefault="00CD694B" w:rsidP="00655FA2">
            <w:pPr>
              <w:widowControl w:val="0"/>
              <w:tabs>
                <w:tab w:val="left" w:pos="180"/>
              </w:tabs>
              <w:ind w:left="38"/>
              <w:rPr>
                <w:sz w:val="22"/>
                <w:szCs w:val="22"/>
              </w:rPr>
            </w:pPr>
            <w:r w:rsidRPr="00CD694B">
              <w:rPr>
                <w:sz w:val="22"/>
                <w:szCs w:val="22"/>
              </w:rPr>
              <w:t>dry skin</w:t>
            </w:r>
          </w:p>
          <w:p w:rsidR="00C51ECB" w:rsidRPr="007A315E" w:rsidRDefault="00C51ECB" w:rsidP="00655FA2">
            <w:pPr>
              <w:widowControl w:val="0"/>
              <w:tabs>
                <w:tab w:val="left" w:pos="180"/>
              </w:tabs>
              <w:ind w:left="38"/>
              <w:rPr>
                <w:sz w:val="22"/>
                <w:szCs w:val="22"/>
              </w:rPr>
            </w:pPr>
            <w:r w:rsidRPr="007A315E">
              <w:rPr>
                <w:sz w:val="22"/>
                <w:szCs w:val="22"/>
              </w:rPr>
              <w:t>rash</w:t>
            </w:r>
          </w:p>
          <w:p w:rsidR="00C51ECB" w:rsidRPr="007A315E" w:rsidRDefault="00C51ECB" w:rsidP="00655FA2">
            <w:pPr>
              <w:widowControl w:val="0"/>
              <w:tabs>
                <w:tab w:val="left" w:pos="180"/>
              </w:tabs>
              <w:ind w:left="38"/>
              <w:rPr>
                <w:sz w:val="22"/>
                <w:szCs w:val="22"/>
              </w:rPr>
            </w:pPr>
            <w:r w:rsidRPr="007A315E">
              <w:rPr>
                <w:sz w:val="22"/>
                <w:szCs w:val="22"/>
              </w:rPr>
              <w:t>alopecia</w:t>
            </w:r>
          </w:p>
          <w:p w:rsidR="00C51ECB" w:rsidRPr="008D1F04" w:rsidRDefault="00C51ECB" w:rsidP="00655FA2">
            <w:pPr>
              <w:widowControl w:val="0"/>
              <w:tabs>
                <w:tab w:val="left" w:pos="180"/>
              </w:tabs>
              <w:ind w:left="38"/>
              <w:rPr>
                <w:sz w:val="22"/>
                <w:szCs w:val="22"/>
              </w:rPr>
            </w:pPr>
            <w:r w:rsidRPr="007A315E">
              <w:rPr>
                <w:sz w:val="22"/>
                <w:szCs w:val="22"/>
              </w:rPr>
              <w:t xml:space="preserve">hand foot </w:t>
            </w:r>
            <w:r w:rsidR="00CD694B" w:rsidRPr="00CD694B">
              <w:rPr>
                <w:sz w:val="22"/>
                <w:szCs w:val="22"/>
              </w:rPr>
              <w:t>skin reaction</w:t>
            </w:r>
            <w:r w:rsidRPr="007A315E">
              <w:rPr>
                <w:sz w:val="22"/>
                <w:szCs w:val="22"/>
              </w:rPr>
              <w:t>*</w:t>
            </w:r>
            <w:r w:rsidRPr="008D1F04">
              <w:rPr>
                <w:sz w:val="22"/>
                <w:szCs w:val="22"/>
              </w:rPr>
              <w:t>*</w:t>
            </w:r>
          </w:p>
          <w:p w:rsidR="00C51ECB" w:rsidRPr="008D1F04" w:rsidRDefault="00C51ECB" w:rsidP="00396E08">
            <w:pPr>
              <w:widowControl w:val="0"/>
              <w:tabs>
                <w:tab w:val="left" w:pos="180"/>
              </w:tabs>
              <w:ind w:left="38"/>
              <w:rPr>
                <w:sz w:val="22"/>
                <w:szCs w:val="22"/>
              </w:rPr>
            </w:pPr>
            <w:r w:rsidRPr="008D1F04">
              <w:rPr>
                <w:sz w:val="22"/>
                <w:szCs w:val="22"/>
              </w:rPr>
              <w:t>erythema</w:t>
            </w:r>
          </w:p>
          <w:p w:rsidR="00C51ECB" w:rsidRPr="00C66973" w:rsidRDefault="00C51ECB" w:rsidP="00655FA2">
            <w:pPr>
              <w:pStyle w:val="BodyText2"/>
              <w:widowControl w:val="0"/>
              <w:tabs>
                <w:tab w:val="left" w:pos="180"/>
              </w:tabs>
              <w:spacing w:after="0"/>
              <w:ind w:left="38"/>
              <w:jc w:val="left"/>
              <w:rPr>
                <w:b w:val="0"/>
                <w:sz w:val="22"/>
                <w:szCs w:val="22"/>
                <w:lang w:val="en-GB"/>
              </w:rPr>
            </w:pPr>
            <w:r w:rsidRPr="00C66973">
              <w:rPr>
                <w:b w:val="0"/>
                <w:sz w:val="22"/>
                <w:szCs w:val="22"/>
                <w:lang w:val="en-GB"/>
              </w:rPr>
              <w:lastRenderedPageBreak/>
              <w:t>pruritus</w:t>
            </w:r>
          </w:p>
          <w:p w:rsidR="00C51ECB" w:rsidRPr="00C66973" w:rsidRDefault="00C51ECB" w:rsidP="00396E08">
            <w:pPr>
              <w:widowControl w:val="0"/>
              <w:tabs>
                <w:tab w:val="left" w:pos="180"/>
              </w:tabs>
              <w:ind w:left="38"/>
              <w:rPr>
                <w:b/>
                <w:sz w:val="22"/>
                <w:szCs w:val="22"/>
                <w:u w:val="single"/>
              </w:rPr>
            </w:pPr>
          </w:p>
        </w:tc>
        <w:tc>
          <w:tcPr>
            <w:tcW w:w="1994" w:type="dxa"/>
            <w:tcBorders>
              <w:bottom w:val="single" w:sz="4" w:space="0" w:color="auto"/>
            </w:tcBorders>
          </w:tcPr>
          <w:p w:rsidR="00CD694B" w:rsidRDefault="00CD694B" w:rsidP="00193EFB">
            <w:pPr>
              <w:pStyle w:val="BodyText2"/>
              <w:widowControl w:val="0"/>
              <w:spacing w:after="0"/>
              <w:ind w:left="71"/>
              <w:jc w:val="left"/>
              <w:rPr>
                <w:rFonts w:cs="Arial"/>
                <w:b w:val="0"/>
                <w:sz w:val="22"/>
                <w:szCs w:val="22"/>
                <w:lang w:val="fr-FR"/>
              </w:rPr>
            </w:pPr>
            <w:r w:rsidRPr="00CD694B">
              <w:rPr>
                <w:rFonts w:cs="Arial"/>
                <w:b w:val="0"/>
                <w:sz w:val="22"/>
                <w:szCs w:val="22"/>
                <w:lang w:val="fr-FR"/>
              </w:rPr>
              <w:lastRenderedPageBreak/>
              <w:t>keratoacanthoma/</w:t>
            </w:r>
          </w:p>
          <w:p w:rsidR="00CD694B" w:rsidRDefault="00CD694B" w:rsidP="00193EFB">
            <w:pPr>
              <w:pStyle w:val="BodyText2"/>
              <w:widowControl w:val="0"/>
              <w:spacing w:after="0"/>
              <w:ind w:left="71"/>
              <w:jc w:val="left"/>
              <w:rPr>
                <w:rFonts w:cs="Arial"/>
                <w:b w:val="0"/>
                <w:sz w:val="22"/>
                <w:szCs w:val="22"/>
                <w:lang w:val="fr-FR"/>
              </w:rPr>
            </w:pPr>
            <w:r w:rsidRPr="00CD694B">
              <w:rPr>
                <w:rFonts w:cs="Arial"/>
                <w:b w:val="0"/>
                <w:sz w:val="22"/>
                <w:szCs w:val="22"/>
                <w:lang w:val="fr-FR"/>
              </w:rPr>
              <w:t>squamous cell cancer of skin</w:t>
            </w:r>
          </w:p>
          <w:p w:rsidR="00C51ECB" w:rsidRPr="00C66973" w:rsidRDefault="00C51ECB" w:rsidP="00193EFB">
            <w:pPr>
              <w:pStyle w:val="BodyText2"/>
              <w:widowControl w:val="0"/>
              <w:spacing w:after="0"/>
              <w:ind w:left="71"/>
              <w:jc w:val="left"/>
              <w:rPr>
                <w:rFonts w:cs="Arial"/>
                <w:b w:val="0"/>
                <w:sz w:val="22"/>
                <w:szCs w:val="22"/>
                <w:lang w:val="fr-FR"/>
              </w:rPr>
            </w:pPr>
            <w:r w:rsidRPr="00C66973">
              <w:rPr>
                <w:rFonts w:cs="Arial"/>
                <w:b w:val="0"/>
                <w:sz w:val="22"/>
                <w:szCs w:val="22"/>
                <w:lang w:val="fr-FR"/>
              </w:rPr>
              <w:t>dermatitis exfoliative</w:t>
            </w:r>
          </w:p>
          <w:p w:rsidR="00C51ECB" w:rsidRPr="00C66973" w:rsidRDefault="00C51ECB" w:rsidP="00655FA2">
            <w:pPr>
              <w:pStyle w:val="BodyText2"/>
              <w:widowControl w:val="0"/>
              <w:spacing w:after="0"/>
              <w:ind w:left="71"/>
              <w:jc w:val="left"/>
              <w:rPr>
                <w:rFonts w:cs="Arial"/>
                <w:b w:val="0"/>
                <w:sz w:val="22"/>
                <w:szCs w:val="22"/>
                <w:lang w:val="fr-FR"/>
              </w:rPr>
            </w:pPr>
            <w:r w:rsidRPr="00C66973">
              <w:rPr>
                <w:rFonts w:cs="Arial"/>
                <w:b w:val="0"/>
                <w:sz w:val="22"/>
                <w:szCs w:val="22"/>
                <w:lang w:val="fr-FR"/>
              </w:rPr>
              <w:t>acne</w:t>
            </w:r>
          </w:p>
          <w:p w:rsidR="00C51ECB" w:rsidRDefault="00C51ECB" w:rsidP="00655FA2">
            <w:pPr>
              <w:pStyle w:val="BodyText2"/>
              <w:widowControl w:val="0"/>
              <w:spacing w:after="0"/>
              <w:ind w:left="71"/>
              <w:jc w:val="left"/>
              <w:rPr>
                <w:rFonts w:cs="Arial"/>
                <w:b w:val="0"/>
                <w:sz w:val="22"/>
                <w:szCs w:val="22"/>
                <w:lang w:val="fr-FR"/>
              </w:rPr>
            </w:pPr>
            <w:r w:rsidRPr="00C66973">
              <w:rPr>
                <w:rFonts w:cs="Arial"/>
                <w:b w:val="0"/>
                <w:sz w:val="22"/>
                <w:szCs w:val="22"/>
                <w:lang w:val="fr-FR"/>
              </w:rPr>
              <w:lastRenderedPageBreak/>
              <w:t>skin desquamation</w:t>
            </w:r>
          </w:p>
          <w:p w:rsidR="00CD694B" w:rsidRPr="00C66973" w:rsidRDefault="00CD694B" w:rsidP="00655FA2">
            <w:pPr>
              <w:pStyle w:val="BodyText2"/>
              <w:widowControl w:val="0"/>
              <w:spacing w:after="0"/>
              <w:ind w:left="71"/>
              <w:jc w:val="left"/>
              <w:rPr>
                <w:b w:val="0"/>
                <w:sz w:val="22"/>
                <w:szCs w:val="22"/>
                <w:lang w:val="fr-FR"/>
              </w:rPr>
            </w:pPr>
            <w:r w:rsidRPr="00CD694B">
              <w:rPr>
                <w:b w:val="0"/>
                <w:sz w:val="22"/>
                <w:szCs w:val="22"/>
                <w:lang w:val="fr-FR"/>
              </w:rPr>
              <w:t>hyperkeratosis</w:t>
            </w:r>
          </w:p>
        </w:tc>
        <w:tc>
          <w:tcPr>
            <w:tcW w:w="2268" w:type="dxa"/>
            <w:tcBorders>
              <w:bottom w:val="single" w:sz="4" w:space="0" w:color="auto"/>
            </w:tcBorders>
          </w:tcPr>
          <w:p w:rsidR="00C51ECB" w:rsidRPr="00C66973" w:rsidRDefault="00C51ECB" w:rsidP="00655FA2">
            <w:pPr>
              <w:pStyle w:val="BodyText2"/>
              <w:widowControl w:val="0"/>
              <w:spacing w:after="0"/>
              <w:ind w:left="72"/>
              <w:jc w:val="left"/>
              <w:rPr>
                <w:rFonts w:cs="Arial"/>
                <w:b w:val="0"/>
                <w:sz w:val="22"/>
                <w:szCs w:val="22"/>
                <w:lang w:val="en-GB"/>
              </w:rPr>
            </w:pPr>
            <w:r w:rsidRPr="00C66973">
              <w:rPr>
                <w:rFonts w:cs="Arial"/>
                <w:b w:val="0"/>
                <w:sz w:val="22"/>
                <w:szCs w:val="22"/>
                <w:lang w:val="en-GB"/>
              </w:rPr>
              <w:lastRenderedPageBreak/>
              <w:t>eczema</w:t>
            </w:r>
          </w:p>
          <w:p w:rsidR="00C51ECB" w:rsidRPr="00C66973" w:rsidRDefault="00C51ECB" w:rsidP="00655FA2">
            <w:pPr>
              <w:pStyle w:val="BodyText2"/>
              <w:widowControl w:val="0"/>
              <w:spacing w:after="0"/>
              <w:ind w:left="72"/>
              <w:jc w:val="left"/>
              <w:rPr>
                <w:rFonts w:cs="Arial"/>
                <w:b w:val="0"/>
                <w:sz w:val="22"/>
                <w:szCs w:val="22"/>
                <w:lang w:val="en-GB"/>
              </w:rPr>
            </w:pPr>
            <w:r w:rsidRPr="00C66973">
              <w:rPr>
                <w:rFonts w:cs="Arial"/>
                <w:b w:val="0"/>
                <w:sz w:val="22"/>
                <w:szCs w:val="22"/>
                <w:lang w:val="en-GB"/>
              </w:rPr>
              <w:t xml:space="preserve">erythema multiforme </w:t>
            </w:r>
          </w:p>
          <w:p w:rsidR="00C51ECB" w:rsidRPr="00C66973" w:rsidRDefault="00C51ECB" w:rsidP="00CD694B">
            <w:pPr>
              <w:pStyle w:val="BodyText2"/>
              <w:widowControl w:val="0"/>
              <w:spacing w:after="0"/>
              <w:ind w:left="72"/>
              <w:jc w:val="left"/>
              <w:rPr>
                <w:b w:val="0"/>
                <w:sz w:val="22"/>
                <w:szCs w:val="22"/>
                <w:lang w:val="en-GB"/>
              </w:rPr>
            </w:pPr>
          </w:p>
        </w:tc>
        <w:tc>
          <w:tcPr>
            <w:tcW w:w="1678" w:type="dxa"/>
            <w:tcBorders>
              <w:bottom w:val="single" w:sz="4" w:space="0" w:color="auto"/>
            </w:tcBorders>
          </w:tcPr>
          <w:p w:rsidR="00C51ECB" w:rsidRPr="00C66973" w:rsidRDefault="00C51ECB" w:rsidP="00655FA2">
            <w:pPr>
              <w:pStyle w:val="BodyText2"/>
              <w:widowControl w:val="0"/>
              <w:spacing w:after="0"/>
              <w:ind w:left="72"/>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8D1F04" w:rsidRDefault="00C51ECB" w:rsidP="00655FA2">
            <w:pPr>
              <w:pStyle w:val="BodyText2"/>
              <w:widowControl w:val="0"/>
              <w:spacing w:after="0"/>
              <w:ind w:left="72"/>
              <w:jc w:val="left"/>
              <w:rPr>
                <w:sz w:val="22"/>
                <w:szCs w:val="22"/>
                <w:lang w:val="en-GB"/>
              </w:rPr>
            </w:pPr>
            <w:r w:rsidRPr="00BB4094">
              <w:rPr>
                <w:rFonts w:cs="Arial"/>
                <w:sz w:val="22"/>
                <w:szCs w:val="22"/>
                <w:lang w:val="en-GB"/>
              </w:rPr>
              <w:lastRenderedPageBreak/>
              <w:t xml:space="preserve">Musculoskeletal, Connective </w:t>
            </w:r>
            <w:r w:rsidRPr="007A315E">
              <w:rPr>
                <w:rFonts w:cs="Arial"/>
                <w:sz w:val="22"/>
                <w:szCs w:val="22"/>
                <w:lang w:val="en-GB"/>
              </w:rPr>
              <w:t xml:space="preserve"> Tissue and Bone Disorders</w:t>
            </w:r>
          </w:p>
        </w:tc>
        <w:tc>
          <w:tcPr>
            <w:tcW w:w="2047" w:type="dxa"/>
            <w:tcBorders>
              <w:bottom w:val="single" w:sz="4" w:space="0" w:color="auto"/>
            </w:tcBorders>
          </w:tcPr>
          <w:p w:rsidR="00C51ECB" w:rsidRPr="008D1F04" w:rsidRDefault="00CD694B" w:rsidP="00655FA2">
            <w:pPr>
              <w:pStyle w:val="BodyText2"/>
              <w:widowControl w:val="0"/>
              <w:tabs>
                <w:tab w:val="left" w:pos="180"/>
              </w:tabs>
              <w:spacing w:after="0"/>
              <w:ind w:left="38"/>
              <w:jc w:val="left"/>
              <w:rPr>
                <w:b w:val="0"/>
                <w:sz w:val="22"/>
                <w:szCs w:val="22"/>
                <w:u w:val="single"/>
                <w:lang w:val="en-GB"/>
              </w:rPr>
            </w:pPr>
            <w:r w:rsidRPr="00CD694B">
              <w:rPr>
                <w:b w:val="0"/>
                <w:sz w:val="22"/>
                <w:szCs w:val="22"/>
                <w:u w:val="single"/>
                <w:lang w:val="en-GB"/>
              </w:rPr>
              <w:t>arthralgia</w:t>
            </w:r>
          </w:p>
        </w:tc>
        <w:tc>
          <w:tcPr>
            <w:tcW w:w="1994" w:type="dxa"/>
            <w:tcBorders>
              <w:bottom w:val="single" w:sz="4" w:space="0" w:color="auto"/>
            </w:tcBorders>
          </w:tcPr>
          <w:p w:rsidR="00C51ECB" w:rsidRDefault="00C51ECB" w:rsidP="00655FA2">
            <w:pPr>
              <w:pStyle w:val="BodyText2"/>
              <w:widowControl w:val="0"/>
              <w:spacing w:after="0"/>
              <w:ind w:left="71"/>
              <w:jc w:val="left"/>
              <w:rPr>
                <w:rFonts w:cs="Arial"/>
                <w:b w:val="0"/>
                <w:sz w:val="22"/>
                <w:szCs w:val="22"/>
                <w:lang w:val="en-GB"/>
              </w:rPr>
            </w:pPr>
            <w:r w:rsidRPr="00C66973">
              <w:rPr>
                <w:rFonts w:cs="Arial"/>
                <w:b w:val="0"/>
                <w:sz w:val="22"/>
                <w:szCs w:val="22"/>
                <w:lang w:val="en-GB"/>
              </w:rPr>
              <w:t>myalgia</w:t>
            </w:r>
          </w:p>
          <w:p w:rsidR="00CD694B" w:rsidRPr="00C66973" w:rsidRDefault="00CD694B" w:rsidP="00655FA2">
            <w:pPr>
              <w:pStyle w:val="BodyText2"/>
              <w:widowControl w:val="0"/>
              <w:spacing w:after="0"/>
              <w:ind w:left="71"/>
              <w:jc w:val="left"/>
              <w:rPr>
                <w:b w:val="0"/>
                <w:sz w:val="22"/>
                <w:szCs w:val="22"/>
                <w:lang w:val="en-GB"/>
              </w:rPr>
            </w:pPr>
            <w:r w:rsidRPr="00CD694B">
              <w:rPr>
                <w:b w:val="0"/>
                <w:sz w:val="22"/>
                <w:szCs w:val="22"/>
                <w:lang w:val="en-GB"/>
              </w:rPr>
              <w:t>muscle spasms</w:t>
            </w:r>
          </w:p>
        </w:tc>
        <w:tc>
          <w:tcPr>
            <w:tcW w:w="2268" w:type="dxa"/>
            <w:tcBorders>
              <w:bottom w:val="single" w:sz="4" w:space="0" w:color="auto"/>
            </w:tcBorders>
          </w:tcPr>
          <w:p w:rsidR="00C51ECB" w:rsidRPr="00C66973" w:rsidRDefault="00C51ECB" w:rsidP="00655FA2">
            <w:pPr>
              <w:pStyle w:val="BodyText2"/>
              <w:widowControl w:val="0"/>
              <w:spacing w:after="0"/>
              <w:ind w:left="72"/>
              <w:jc w:val="left"/>
              <w:rPr>
                <w:b w:val="0"/>
                <w:sz w:val="22"/>
                <w:szCs w:val="22"/>
                <w:lang w:val="en-GB"/>
              </w:rPr>
            </w:pPr>
          </w:p>
        </w:tc>
        <w:tc>
          <w:tcPr>
            <w:tcW w:w="1678" w:type="dxa"/>
            <w:tcBorders>
              <w:bottom w:val="single" w:sz="4" w:space="0" w:color="auto"/>
            </w:tcBorders>
          </w:tcPr>
          <w:p w:rsidR="00C51ECB" w:rsidRPr="00C66973" w:rsidRDefault="00C51ECB" w:rsidP="00655FA2">
            <w:pPr>
              <w:pStyle w:val="BodyText2"/>
              <w:widowControl w:val="0"/>
              <w:spacing w:after="0"/>
              <w:ind w:left="72"/>
              <w:jc w:val="left"/>
              <w:rPr>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bottom w:val="single" w:sz="4" w:space="0" w:color="auto"/>
            </w:tcBorders>
            <w:shd w:val="pct15" w:color="auto" w:fill="FFFFFF"/>
          </w:tcPr>
          <w:p w:rsidR="00C51ECB" w:rsidRPr="007A315E" w:rsidRDefault="00C51ECB" w:rsidP="00655FA2">
            <w:pPr>
              <w:pStyle w:val="BodyText2"/>
              <w:widowControl w:val="0"/>
              <w:spacing w:after="0"/>
              <w:ind w:left="72"/>
              <w:jc w:val="left"/>
              <w:rPr>
                <w:rFonts w:cs="Arial"/>
                <w:sz w:val="22"/>
                <w:szCs w:val="22"/>
                <w:lang w:val="en-GB"/>
              </w:rPr>
            </w:pPr>
            <w:r w:rsidRPr="00BB4094">
              <w:rPr>
                <w:rFonts w:cs="Arial"/>
                <w:sz w:val="22"/>
                <w:szCs w:val="22"/>
                <w:lang w:val="en-GB"/>
              </w:rPr>
              <w:t>Renal and Genitourinary Disorders</w:t>
            </w:r>
          </w:p>
        </w:tc>
        <w:tc>
          <w:tcPr>
            <w:tcW w:w="2047" w:type="dxa"/>
            <w:tcBorders>
              <w:bottom w:val="single" w:sz="4" w:space="0" w:color="auto"/>
            </w:tcBorders>
          </w:tcPr>
          <w:p w:rsidR="00C51ECB" w:rsidRPr="007A315E" w:rsidRDefault="00C51ECB" w:rsidP="00655FA2">
            <w:pPr>
              <w:pStyle w:val="BodyText2"/>
              <w:widowControl w:val="0"/>
              <w:tabs>
                <w:tab w:val="left" w:pos="180"/>
              </w:tabs>
              <w:spacing w:after="0"/>
              <w:ind w:left="38"/>
              <w:jc w:val="left"/>
              <w:rPr>
                <w:b w:val="0"/>
                <w:sz w:val="22"/>
                <w:szCs w:val="22"/>
                <w:u w:val="single"/>
                <w:lang w:val="en-GB"/>
              </w:rPr>
            </w:pPr>
          </w:p>
        </w:tc>
        <w:tc>
          <w:tcPr>
            <w:tcW w:w="1994" w:type="dxa"/>
            <w:tcBorders>
              <w:bottom w:val="single" w:sz="4" w:space="0" w:color="auto"/>
            </w:tcBorders>
          </w:tcPr>
          <w:p w:rsidR="00C51ECB" w:rsidRPr="007A315E" w:rsidRDefault="00C51ECB" w:rsidP="00655FA2">
            <w:pPr>
              <w:pStyle w:val="BodyText2"/>
              <w:widowControl w:val="0"/>
              <w:spacing w:after="0"/>
              <w:ind w:left="71"/>
              <w:jc w:val="left"/>
              <w:rPr>
                <w:rFonts w:cs="Arial"/>
                <w:b w:val="0"/>
                <w:sz w:val="22"/>
                <w:szCs w:val="22"/>
                <w:lang w:val="en-GB"/>
              </w:rPr>
            </w:pPr>
            <w:r w:rsidRPr="007A315E">
              <w:rPr>
                <w:rFonts w:cs="Arial"/>
                <w:b w:val="0"/>
                <w:sz w:val="22"/>
                <w:szCs w:val="22"/>
                <w:lang w:val="en-GB"/>
              </w:rPr>
              <w:t>renal failure</w:t>
            </w:r>
          </w:p>
          <w:p w:rsidR="0043566B" w:rsidRPr="008D1F04" w:rsidRDefault="00A118BB" w:rsidP="00655FA2">
            <w:pPr>
              <w:pStyle w:val="BodyText2"/>
              <w:widowControl w:val="0"/>
              <w:spacing w:after="0"/>
              <w:ind w:left="71"/>
              <w:jc w:val="left"/>
              <w:rPr>
                <w:rFonts w:cs="Arial"/>
                <w:b w:val="0"/>
                <w:sz w:val="22"/>
                <w:szCs w:val="22"/>
                <w:lang w:val="en-GB"/>
              </w:rPr>
            </w:pPr>
            <w:r w:rsidRPr="00A118BB">
              <w:rPr>
                <w:rFonts w:cs="Arial"/>
                <w:b w:val="0"/>
                <w:sz w:val="22"/>
                <w:szCs w:val="22"/>
                <w:lang w:val="en-GB"/>
              </w:rPr>
              <w:t>proteinuria</w:t>
            </w:r>
          </w:p>
        </w:tc>
        <w:tc>
          <w:tcPr>
            <w:tcW w:w="2268" w:type="dxa"/>
            <w:tcBorders>
              <w:bottom w:val="single" w:sz="4" w:space="0" w:color="auto"/>
            </w:tcBorders>
          </w:tcPr>
          <w:p w:rsidR="00C51ECB" w:rsidRPr="00C66973" w:rsidRDefault="00C51ECB" w:rsidP="00655FA2">
            <w:pPr>
              <w:pStyle w:val="BodyText2"/>
              <w:widowControl w:val="0"/>
              <w:spacing w:after="0"/>
              <w:ind w:left="72"/>
              <w:jc w:val="left"/>
              <w:rPr>
                <w:b w:val="0"/>
                <w:sz w:val="22"/>
                <w:szCs w:val="22"/>
                <w:lang w:val="en-GB"/>
              </w:rPr>
            </w:pPr>
          </w:p>
        </w:tc>
        <w:tc>
          <w:tcPr>
            <w:tcW w:w="1678" w:type="dxa"/>
            <w:tcBorders>
              <w:bottom w:val="single" w:sz="4" w:space="0" w:color="auto"/>
            </w:tcBorders>
          </w:tcPr>
          <w:p w:rsidR="00C51ECB" w:rsidRPr="009E3EA7" w:rsidRDefault="00A118BB" w:rsidP="0043566B">
            <w:pPr>
              <w:pStyle w:val="BodyText2"/>
              <w:widowControl w:val="0"/>
              <w:ind w:left="72"/>
              <w:rPr>
                <w:b w:val="0"/>
                <w:sz w:val="22"/>
                <w:szCs w:val="22"/>
                <w:lang w:val="en-GB"/>
              </w:rPr>
            </w:pPr>
            <w:r w:rsidRPr="00A118BB">
              <w:rPr>
                <w:b w:val="0"/>
                <w:sz w:val="22"/>
                <w:szCs w:val="22"/>
                <w:lang w:val="en-GB"/>
              </w:rPr>
              <w:t>nephrotic syndrome</w:t>
            </w:r>
            <w:r w:rsidRPr="00A118BB" w:rsidDel="00A118BB">
              <w:rPr>
                <w:b w:val="0"/>
                <w:sz w:val="22"/>
                <w:szCs w:val="22"/>
                <w:lang w:val="en-GB"/>
              </w:rPr>
              <w:t xml:space="preserve"> </w:t>
            </w:r>
          </w:p>
        </w:tc>
      </w:tr>
      <w:tr w:rsidR="00C51ECB" w:rsidRPr="00EB44BE" w:rsidTr="0040733F">
        <w:tblPrEx>
          <w:tblCellMar>
            <w:top w:w="0" w:type="dxa"/>
            <w:bottom w:w="0" w:type="dxa"/>
          </w:tblCellMar>
        </w:tblPrEx>
        <w:tc>
          <w:tcPr>
            <w:tcW w:w="1913" w:type="dxa"/>
            <w:tcBorders>
              <w:left w:val="single" w:sz="12"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Reproductive System and Breast Disorders</w:t>
            </w:r>
          </w:p>
        </w:tc>
        <w:tc>
          <w:tcPr>
            <w:tcW w:w="2047" w:type="dxa"/>
          </w:tcPr>
          <w:p w:rsidR="00C51ECB" w:rsidRPr="007A315E" w:rsidRDefault="00C51ECB" w:rsidP="00655FA2">
            <w:pPr>
              <w:pStyle w:val="BodyText2"/>
              <w:widowControl w:val="0"/>
              <w:tabs>
                <w:tab w:val="left" w:pos="180"/>
              </w:tabs>
              <w:spacing w:before="60" w:after="60"/>
              <w:ind w:left="38"/>
              <w:jc w:val="left"/>
              <w:rPr>
                <w:b w:val="0"/>
                <w:sz w:val="22"/>
                <w:szCs w:val="22"/>
                <w:u w:val="single"/>
                <w:lang w:val="en-GB"/>
              </w:rPr>
            </w:pPr>
          </w:p>
        </w:tc>
        <w:tc>
          <w:tcPr>
            <w:tcW w:w="1994" w:type="dxa"/>
          </w:tcPr>
          <w:p w:rsidR="00C51ECB" w:rsidRPr="007A315E" w:rsidRDefault="00C51ECB" w:rsidP="00655FA2">
            <w:pPr>
              <w:pStyle w:val="BodyText2"/>
              <w:widowControl w:val="0"/>
              <w:spacing w:before="60" w:after="60"/>
              <w:ind w:left="71"/>
              <w:jc w:val="left"/>
              <w:rPr>
                <w:b w:val="0"/>
                <w:sz w:val="22"/>
                <w:szCs w:val="22"/>
                <w:lang w:val="en-GB"/>
              </w:rPr>
            </w:pPr>
            <w:r w:rsidRPr="007A315E">
              <w:rPr>
                <w:rFonts w:cs="Arial"/>
                <w:b w:val="0"/>
                <w:sz w:val="22"/>
                <w:szCs w:val="22"/>
                <w:lang w:val="en-GB"/>
              </w:rPr>
              <w:t>erectile dysfunction</w:t>
            </w:r>
          </w:p>
        </w:tc>
        <w:tc>
          <w:tcPr>
            <w:tcW w:w="2268" w:type="dxa"/>
          </w:tcPr>
          <w:p w:rsidR="00C51ECB" w:rsidRPr="008D1F04" w:rsidRDefault="00C51ECB" w:rsidP="00655FA2">
            <w:pPr>
              <w:pStyle w:val="BodyText2"/>
              <w:widowControl w:val="0"/>
              <w:spacing w:before="60" w:after="60"/>
              <w:ind w:left="72"/>
              <w:jc w:val="left"/>
              <w:rPr>
                <w:b w:val="0"/>
                <w:sz w:val="22"/>
                <w:szCs w:val="22"/>
                <w:lang w:val="en-GB"/>
              </w:rPr>
            </w:pPr>
            <w:r w:rsidRPr="008D1F04">
              <w:rPr>
                <w:rFonts w:cs="Arial"/>
                <w:b w:val="0"/>
                <w:sz w:val="22"/>
                <w:szCs w:val="22"/>
                <w:lang w:val="en-GB"/>
              </w:rPr>
              <w:t>gynaecomastia</w:t>
            </w:r>
          </w:p>
        </w:tc>
        <w:tc>
          <w:tcPr>
            <w:tcW w:w="1678" w:type="dxa"/>
          </w:tcPr>
          <w:p w:rsidR="00C51ECB" w:rsidRPr="008D1F04" w:rsidRDefault="00C51ECB" w:rsidP="00655FA2">
            <w:pPr>
              <w:pStyle w:val="BodyText2"/>
              <w:widowControl w:val="0"/>
              <w:spacing w:before="60" w:after="60"/>
              <w:ind w:left="72"/>
              <w:jc w:val="left"/>
              <w:rPr>
                <w:rFonts w:cs="Arial"/>
                <w:b w:val="0"/>
                <w:sz w:val="22"/>
                <w:szCs w:val="22"/>
                <w:lang w:val="en-GB"/>
              </w:rPr>
            </w:pPr>
          </w:p>
        </w:tc>
      </w:tr>
      <w:tr w:rsidR="00C51ECB" w:rsidRPr="00EB44BE" w:rsidTr="0040733F">
        <w:tblPrEx>
          <w:tblCellMar>
            <w:top w:w="0" w:type="dxa"/>
            <w:bottom w:w="0" w:type="dxa"/>
          </w:tblCellMar>
        </w:tblPrEx>
        <w:tc>
          <w:tcPr>
            <w:tcW w:w="1913" w:type="dxa"/>
            <w:tcBorders>
              <w:left w:val="single" w:sz="12" w:space="0" w:color="auto"/>
            </w:tcBorders>
            <w:shd w:val="pct15" w:color="auto" w:fill="FFFFFF"/>
          </w:tcPr>
          <w:p w:rsidR="00C51ECB" w:rsidRPr="007A315E"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 xml:space="preserve">General Disorders and </w:t>
            </w:r>
            <w:r w:rsidRPr="007A315E">
              <w:rPr>
                <w:rFonts w:cs="Arial"/>
                <w:sz w:val="22"/>
                <w:szCs w:val="22"/>
                <w:lang w:val="en-GB"/>
              </w:rPr>
              <w:t>Administration Site Conditions</w:t>
            </w:r>
          </w:p>
        </w:tc>
        <w:tc>
          <w:tcPr>
            <w:tcW w:w="2047" w:type="dxa"/>
          </w:tcPr>
          <w:p w:rsidR="00C51ECB" w:rsidRPr="007A315E" w:rsidRDefault="00C51ECB" w:rsidP="00655FA2">
            <w:pPr>
              <w:pStyle w:val="BodyText2"/>
              <w:widowControl w:val="0"/>
              <w:tabs>
                <w:tab w:val="left" w:pos="180"/>
              </w:tabs>
              <w:spacing w:after="0"/>
              <w:ind w:left="38"/>
              <w:jc w:val="left"/>
              <w:rPr>
                <w:rFonts w:cs="Arial"/>
                <w:b w:val="0"/>
                <w:sz w:val="22"/>
                <w:szCs w:val="22"/>
                <w:lang w:val="en-GB"/>
              </w:rPr>
            </w:pPr>
            <w:r w:rsidRPr="007A315E">
              <w:rPr>
                <w:rFonts w:cs="Arial"/>
                <w:b w:val="0"/>
                <w:sz w:val="22"/>
                <w:szCs w:val="22"/>
                <w:lang w:val="en-GB"/>
              </w:rPr>
              <w:t>fatigue</w:t>
            </w:r>
          </w:p>
          <w:p w:rsidR="00C51ECB" w:rsidRDefault="00C51ECB" w:rsidP="00655FA2">
            <w:pPr>
              <w:pStyle w:val="BodyText2"/>
              <w:widowControl w:val="0"/>
              <w:tabs>
                <w:tab w:val="left" w:pos="180"/>
              </w:tabs>
              <w:spacing w:after="0"/>
              <w:ind w:left="38"/>
              <w:jc w:val="left"/>
              <w:rPr>
                <w:rFonts w:cs="Arial"/>
                <w:b w:val="0"/>
                <w:sz w:val="22"/>
                <w:szCs w:val="22"/>
                <w:lang w:val="en-GB"/>
              </w:rPr>
            </w:pPr>
            <w:r w:rsidRPr="007A315E">
              <w:rPr>
                <w:rFonts w:cs="Arial"/>
                <w:b w:val="0"/>
                <w:sz w:val="22"/>
                <w:szCs w:val="22"/>
                <w:lang w:val="en-GB"/>
              </w:rPr>
              <w:t>pain (including mouth, abdominal, bone</w:t>
            </w:r>
            <w:r w:rsidRPr="008D1F04">
              <w:rPr>
                <w:rFonts w:cs="Arial"/>
                <w:b w:val="0"/>
                <w:sz w:val="22"/>
                <w:szCs w:val="22"/>
                <w:lang w:val="en-GB"/>
              </w:rPr>
              <w:t xml:space="preserve">, tumour pain and </w:t>
            </w:r>
            <w:r w:rsidRPr="00C66973">
              <w:rPr>
                <w:rFonts w:cs="Arial"/>
                <w:b w:val="0"/>
                <w:sz w:val="22"/>
                <w:szCs w:val="22"/>
                <w:lang w:val="en-GB"/>
              </w:rPr>
              <w:t xml:space="preserve"> headache)</w:t>
            </w:r>
          </w:p>
          <w:p w:rsidR="00CD694B" w:rsidRPr="00C66973" w:rsidRDefault="00CD694B" w:rsidP="00655FA2">
            <w:pPr>
              <w:pStyle w:val="BodyText2"/>
              <w:widowControl w:val="0"/>
              <w:tabs>
                <w:tab w:val="left" w:pos="180"/>
              </w:tabs>
              <w:spacing w:after="0"/>
              <w:ind w:left="38"/>
              <w:jc w:val="left"/>
              <w:rPr>
                <w:b w:val="0"/>
                <w:sz w:val="22"/>
                <w:szCs w:val="22"/>
                <w:lang w:val="en-GB"/>
              </w:rPr>
            </w:pPr>
            <w:r w:rsidRPr="00CD694B">
              <w:rPr>
                <w:b w:val="0"/>
                <w:sz w:val="22"/>
                <w:szCs w:val="22"/>
                <w:lang w:val="en-GB"/>
              </w:rPr>
              <w:t>fever</w:t>
            </w:r>
          </w:p>
        </w:tc>
        <w:tc>
          <w:tcPr>
            <w:tcW w:w="1994" w:type="dxa"/>
          </w:tcPr>
          <w:p w:rsidR="00C51ECB" w:rsidRPr="00C66973" w:rsidRDefault="00C51ECB" w:rsidP="000D5086">
            <w:pPr>
              <w:pStyle w:val="BodyText2"/>
              <w:widowControl w:val="0"/>
              <w:tabs>
                <w:tab w:val="left" w:pos="180"/>
              </w:tabs>
              <w:spacing w:after="0"/>
              <w:ind w:left="38"/>
              <w:jc w:val="left"/>
              <w:rPr>
                <w:rFonts w:cs="Arial"/>
                <w:b w:val="0"/>
                <w:sz w:val="22"/>
                <w:szCs w:val="22"/>
                <w:lang w:val="en-GB"/>
              </w:rPr>
            </w:pPr>
            <w:r w:rsidRPr="00C66973">
              <w:rPr>
                <w:rFonts w:cs="Arial"/>
                <w:b w:val="0"/>
                <w:sz w:val="22"/>
                <w:szCs w:val="22"/>
                <w:lang w:val="en-GB"/>
              </w:rPr>
              <w:t>asthenia</w:t>
            </w:r>
          </w:p>
          <w:p w:rsidR="00C51ECB" w:rsidRPr="00C66973" w:rsidRDefault="00C51ECB" w:rsidP="00655FA2">
            <w:pPr>
              <w:pStyle w:val="BodyText2"/>
              <w:widowControl w:val="0"/>
              <w:spacing w:after="0"/>
              <w:ind w:left="71"/>
              <w:jc w:val="left"/>
              <w:rPr>
                <w:rFonts w:cs="Arial"/>
                <w:b w:val="0"/>
                <w:sz w:val="22"/>
                <w:szCs w:val="22"/>
                <w:lang w:val="en-GB"/>
              </w:rPr>
            </w:pPr>
            <w:r w:rsidRPr="00C66973">
              <w:rPr>
                <w:rFonts w:cs="Arial"/>
                <w:b w:val="0"/>
                <w:sz w:val="22"/>
                <w:szCs w:val="22"/>
                <w:lang w:val="en-GB"/>
              </w:rPr>
              <w:t>influenza like illness</w:t>
            </w:r>
          </w:p>
          <w:p w:rsidR="00C51ECB" w:rsidRPr="00C66973" w:rsidRDefault="00CD694B" w:rsidP="00655FA2">
            <w:pPr>
              <w:pStyle w:val="BodyText2"/>
              <w:widowControl w:val="0"/>
              <w:spacing w:after="0"/>
              <w:ind w:left="71"/>
              <w:jc w:val="left"/>
              <w:rPr>
                <w:b w:val="0"/>
                <w:sz w:val="22"/>
                <w:szCs w:val="22"/>
                <w:lang w:val="en-GB"/>
              </w:rPr>
            </w:pPr>
            <w:r>
              <w:t xml:space="preserve"> </w:t>
            </w:r>
            <w:r w:rsidRPr="00CD694B">
              <w:rPr>
                <w:rFonts w:cs="Arial"/>
                <w:b w:val="0"/>
                <w:sz w:val="22"/>
                <w:szCs w:val="22"/>
                <w:lang w:val="en-GB"/>
              </w:rPr>
              <w:t>mucosal inflammation</w:t>
            </w:r>
          </w:p>
        </w:tc>
        <w:tc>
          <w:tcPr>
            <w:tcW w:w="2268" w:type="dxa"/>
          </w:tcPr>
          <w:p w:rsidR="00C51ECB" w:rsidRPr="00C66973" w:rsidRDefault="00C51ECB" w:rsidP="00655FA2">
            <w:pPr>
              <w:pStyle w:val="BodyText2"/>
              <w:widowControl w:val="0"/>
              <w:spacing w:before="60" w:after="60"/>
              <w:ind w:left="72"/>
              <w:jc w:val="left"/>
              <w:rPr>
                <w:b w:val="0"/>
                <w:sz w:val="22"/>
                <w:szCs w:val="22"/>
                <w:lang w:val="en-GB"/>
              </w:rPr>
            </w:pPr>
          </w:p>
        </w:tc>
        <w:tc>
          <w:tcPr>
            <w:tcW w:w="1678" w:type="dxa"/>
          </w:tcPr>
          <w:p w:rsidR="00C51ECB" w:rsidRPr="00C66973" w:rsidRDefault="00C51ECB" w:rsidP="00655FA2">
            <w:pPr>
              <w:pStyle w:val="BodyText2"/>
              <w:widowControl w:val="0"/>
              <w:spacing w:before="60" w:after="60"/>
              <w:ind w:left="72"/>
              <w:jc w:val="left"/>
              <w:rPr>
                <w:b w:val="0"/>
                <w:sz w:val="22"/>
                <w:szCs w:val="22"/>
                <w:lang w:val="en-GB"/>
              </w:rPr>
            </w:pPr>
          </w:p>
        </w:tc>
      </w:tr>
      <w:tr w:rsidR="00C51ECB" w:rsidRPr="00EB44BE" w:rsidTr="0040733F">
        <w:tblPrEx>
          <w:tblCellMar>
            <w:top w:w="0" w:type="dxa"/>
            <w:bottom w:w="0" w:type="dxa"/>
          </w:tblCellMar>
        </w:tblPrEx>
        <w:trPr>
          <w:trHeight w:val="1939"/>
        </w:trPr>
        <w:tc>
          <w:tcPr>
            <w:tcW w:w="1913" w:type="dxa"/>
            <w:tcBorders>
              <w:left w:val="single" w:sz="12" w:space="0" w:color="auto"/>
            </w:tcBorders>
            <w:shd w:val="pct15" w:color="auto" w:fill="FFFFFF"/>
          </w:tcPr>
          <w:p w:rsidR="00C51ECB" w:rsidRPr="00BB4094" w:rsidRDefault="00C51ECB" w:rsidP="00655FA2">
            <w:pPr>
              <w:pStyle w:val="BodyText2"/>
              <w:widowControl w:val="0"/>
              <w:spacing w:before="60" w:after="60"/>
              <w:ind w:left="72"/>
              <w:jc w:val="left"/>
              <w:rPr>
                <w:sz w:val="22"/>
                <w:szCs w:val="22"/>
                <w:lang w:val="en-GB"/>
              </w:rPr>
            </w:pPr>
            <w:r w:rsidRPr="00BB4094">
              <w:rPr>
                <w:rFonts w:cs="Arial"/>
                <w:sz w:val="22"/>
                <w:szCs w:val="22"/>
                <w:lang w:val="en-GB"/>
              </w:rPr>
              <w:t>Investigations</w:t>
            </w:r>
          </w:p>
        </w:tc>
        <w:tc>
          <w:tcPr>
            <w:tcW w:w="2047" w:type="dxa"/>
          </w:tcPr>
          <w:p w:rsidR="00CD694B" w:rsidRDefault="00CD694B" w:rsidP="00655FA2">
            <w:pPr>
              <w:pStyle w:val="BodyText2"/>
              <w:widowControl w:val="0"/>
              <w:tabs>
                <w:tab w:val="left" w:pos="180"/>
              </w:tabs>
              <w:spacing w:after="0"/>
              <w:ind w:left="38"/>
              <w:jc w:val="left"/>
              <w:rPr>
                <w:rFonts w:cs="Arial"/>
                <w:b w:val="0"/>
                <w:sz w:val="22"/>
                <w:szCs w:val="22"/>
                <w:lang w:val="en-GB"/>
              </w:rPr>
            </w:pPr>
            <w:r w:rsidRPr="00CD694B">
              <w:rPr>
                <w:rFonts w:cs="Arial"/>
                <w:b w:val="0"/>
                <w:sz w:val="22"/>
                <w:szCs w:val="22"/>
                <w:lang w:val="en-GB"/>
              </w:rPr>
              <w:t>weight decreased</w:t>
            </w:r>
          </w:p>
          <w:p w:rsidR="00C51ECB" w:rsidRPr="00BB4094" w:rsidRDefault="00C51ECB" w:rsidP="00655FA2">
            <w:pPr>
              <w:pStyle w:val="BodyText2"/>
              <w:widowControl w:val="0"/>
              <w:tabs>
                <w:tab w:val="left" w:pos="180"/>
              </w:tabs>
              <w:spacing w:after="0"/>
              <w:ind w:left="38"/>
              <w:jc w:val="left"/>
              <w:rPr>
                <w:b w:val="0"/>
                <w:sz w:val="22"/>
                <w:szCs w:val="22"/>
                <w:u w:val="single"/>
                <w:lang w:val="en-GB"/>
              </w:rPr>
            </w:pPr>
            <w:r w:rsidRPr="00BB4094">
              <w:rPr>
                <w:rFonts w:cs="Arial"/>
                <w:b w:val="0"/>
                <w:sz w:val="22"/>
                <w:szCs w:val="22"/>
                <w:lang w:val="en-GB"/>
              </w:rPr>
              <w:t xml:space="preserve">increased amylase increased lipase </w:t>
            </w:r>
          </w:p>
        </w:tc>
        <w:tc>
          <w:tcPr>
            <w:tcW w:w="1994" w:type="dxa"/>
          </w:tcPr>
          <w:p w:rsidR="00C51ECB" w:rsidRPr="00BB4094" w:rsidRDefault="00C51ECB" w:rsidP="00655FA2">
            <w:pPr>
              <w:pStyle w:val="BodyText2"/>
              <w:widowControl w:val="0"/>
              <w:spacing w:after="0"/>
              <w:ind w:left="71"/>
              <w:jc w:val="left"/>
              <w:rPr>
                <w:rFonts w:cs="Arial"/>
                <w:b w:val="0"/>
                <w:sz w:val="22"/>
                <w:szCs w:val="22"/>
                <w:lang w:val="en-GB"/>
              </w:rPr>
            </w:pPr>
            <w:r w:rsidRPr="00BB4094">
              <w:rPr>
                <w:rFonts w:cs="Arial"/>
                <w:b w:val="0"/>
                <w:sz w:val="22"/>
                <w:szCs w:val="22"/>
                <w:lang w:val="en-GB"/>
              </w:rPr>
              <w:t xml:space="preserve">transient increase in transaminases </w:t>
            </w:r>
          </w:p>
        </w:tc>
        <w:tc>
          <w:tcPr>
            <w:tcW w:w="2268" w:type="dxa"/>
          </w:tcPr>
          <w:p w:rsidR="00C51ECB" w:rsidRPr="00BB4094" w:rsidRDefault="00C51ECB" w:rsidP="005E1A4C">
            <w:pPr>
              <w:pStyle w:val="BodyText2"/>
              <w:widowControl w:val="0"/>
              <w:ind w:left="72"/>
              <w:jc w:val="left"/>
              <w:rPr>
                <w:rFonts w:cs="Arial"/>
                <w:b w:val="0"/>
                <w:sz w:val="22"/>
                <w:szCs w:val="22"/>
                <w:lang w:val="en-GB"/>
              </w:rPr>
            </w:pPr>
            <w:r w:rsidRPr="00BB4094">
              <w:rPr>
                <w:rFonts w:cs="Arial"/>
                <w:b w:val="0"/>
                <w:sz w:val="22"/>
                <w:szCs w:val="22"/>
                <w:lang w:val="en-GB"/>
              </w:rPr>
              <w:t xml:space="preserve">transient increase in blood alkaline phosphatase </w:t>
            </w:r>
          </w:p>
          <w:p w:rsidR="00C51ECB" w:rsidRPr="00BB4094" w:rsidRDefault="00C51ECB" w:rsidP="005E1A4C">
            <w:pPr>
              <w:pStyle w:val="BodyText2"/>
              <w:widowControl w:val="0"/>
              <w:ind w:left="72"/>
              <w:jc w:val="left"/>
              <w:rPr>
                <w:rFonts w:cs="Arial"/>
                <w:b w:val="0"/>
                <w:sz w:val="22"/>
                <w:szCs w:val="22"/>
                <w:lang w:val="en-GB"/>
              </w:rPr>
            </w:pPr>
            <w:r w:rsidRPr="00BB4094">
              <w:rPr>
                <w:rFonts w:cs="Arial"/>
                <w:b w:val="0"/>
                <w:sz w:val="22"/>
                <w:szCs w:val="22"/>
                <w:lang w:val="en-GB"/>
              </w:rPr>
              <w:t>INR abnormal, prothrombin level abnormal</w:t>
            </w:r>
          </w:p>
        </w:tc>
        <w:tc>
          <w:tcPr>
            <w:tcW w:w="1678" w:type="dxa"/>
          </w:tcPr>
          <w:p w:rsidR="00C51ECB" w:rsidRPr="00BB4094" w:rsidRDefault="00C51ECB" w:rsidP="005E1A4C">
            <w:pPr>
              <w:pStyle w:val="BodyText2"/>
              <w:widowControl w:val="0"/>
              <w:ind w:left="72"/>
              <w:jc w:val="left"/>
              <w:rPr>
                <w:rFonts w:cs="Arial"/>
                <w:b w:val="0"/>
                <w:sz w:val="22"/>
                <w:szCs w:val="22"/>
                <w:lang w:val="en-GB"/>
              </w:rPr>
            </w:pPr>
          </w:p>
        </w:tc>
      </w:tr>
    </w:tbl>
    <w:p w:rsidR="005E1A4C" w:rsidRPr="00B4188D" w:rsidRDefault="005E1A4C" w:rsidP="00B4188D">
      <w:pPr>
        <w:rPr>
          <w:sz w:val="20"/>
        </w:rPr>
      </w:pPr>
      <w:r w:rsidRPr="00B4188D">
        <w:rPr>
          <w:sz w:val="20"/>
        </w:rPr>
        <w:t xml:space="preserve">*  </w:t>
      </w:r>
      <w:r w:rsidR="00C84872" w:rsidRPr="00B4188D">
        <w:rPr>
          <w:sz w:val="20"/>
        </w:rPr>
        <w:t xml:space="preserve">The adverse reactions  </w:t>
      </w:r>
      <w:r w:rsidRPr="00B4188D">
        <w:rPr>
          <w:sz w:val="20"/>
        </w:rPr>
        <w:t xml:space="preserve">may have a life-threatening or fatal outcome. </w:t>
      </w:r>
    </w:p>
    <w:p w:rsidR="009825D9" w:rsidRPr="00B4188D" w:rsidRDefault="005E1A4C" w:rsidP="00B4188D">
      <w:pPr>
        <w:rPr>
          <w:sz w:val="20"/>
        </w:rPr>
      </w:pPr>
      <w:r w:rsidRPr="00B4188D">
        <w:rPr>
          <w:sz w:val="20"/>
        </w:rPr>
        <w:t>*</w:t>
      </w:r>
      <w:r w:rsidR="00193EFB" w:rsidRPr="00B4188D">
        <w:rPr>
          <w:sz w:val="20"/>
        </w:rPr>
        <w:t xml:space="preserve">* </w:t>
      </w:r>
      <w:r w:rsidR="004116FA" w:rsidRPr="00B4188D">
        <w:rPr>
          <w:sz w:val="20"/>
        </w:rPr>
        <w:t>palmar plantar erythrodysae</w:t>
      </w:r>
      <w:r w:rsidR="00C84872" w:rsidRPr="00B4188D">
        <w:rPr>
          <w:sz w:val="20"/>
        </w:rPr>
        <w:t>s</w:t>
      </w:r>
      <w:r w:rsidR="004116FA" w:rsidRPr="00B4188D">
        <w:rPr>
          <w:sz w:val="20"/>
        </w:rPr>
        <w:t>thesia syndrome in MedDRA</w:t>
      </w:r>
    </w:p>
    <w:p w:rsidR="00BB4094" w:rsidRDefault="00BB4094" w:rsidP="004E77E6">
      <w:pPr>
        <w:rPr>
          <w:b/>
        </w:rPr>
      </w:pPr>
      <w:bookmarkStart w:id="9" w:name="_GoBack"/>
    </w:p>
    <w:bookmarkEnd w:id="9"/>
    <w:p w:rsidR="006C78DA" w:rsidRPr="00533310" w:rsidRDefault="006C78DA" w:rsidP="00533310">
      <w:pPr>
        <w:pStyle w:val="Heading3"/>
        <w:rPr>
          <w:i w:val="0"/>
        </w:rPr>
      </w:pPr>
      <w:r w:rsidRPr="00533310">
        <w:rPr>
          <w:i w:val="0"/>
        </w:rPr>
        <w:t xml:space="preserve">Post-marketing experience </w:t>
      </w:r>
    </w:p>
    <w:p w:rsidR="006C78DA" w:rsidRDefault="006C78DA" w:rsidP="006C78DA">
      <w:pPr>
        <w:jc w:val="both"/>
      </w:pPr>
    </w:p>
    <w:p w:rsidR="006C78DA" w:rsidRDefault="006C78DA" w:rsidP="006C78DA">
      <w:pPr>
        <w:jc w:val="both"/>
      </w:pPr>
      <w:r>
        <w:t>The following adverse drug reactions have been identified during post-approval use of NEXAVAR</w:t>
      </w:r>
      <w:r w:rsidRPr="006C78DA">
        <w:rPr>
          <w:vertAlign w:val="superscript"/>
        </w:rPr>
        <w:t>®</w:t>
      </w:r>
      <w:r>
        <w:t xml:space="preserve">. Because these reactions are reported voluntarily from a population of uncertain size, it is not always possible to reliably estimate their frequency or establish a causal relationship to drug exposure. </w:t>
      </w:r>
    </w:p>
    <w:p w:rsidR="006C78DA" w:rsidRDefault="006C78DA" w:rsidP="006C78DA">
      <w:pPr>
        <w:jc w:val="both"/>
      </w:pPr>
    </w:p>
    <w:p w:rsidR="006C78DA" w:rsidRDefault="009627FC" w:rsidP="006C78DA">
      <w:pPr>
        <w:jc w:val="both"/>
      </w:pPr>
      <w:r w:rsidRPr="009627FC">
        <w:rPr>
          <w:b/>
          <w:i/>
        </w:rPr>
        <w:t xml:space="preserve">Skin and </w:t>
      </w:r>
      <w:r>
        <w:rPr>
          <w:b/>
          <w:i/>
        </w:rPr>
        <w:t>subcutaneous t</w:t>
      </w:r>
      <w:r w:rsidRPr="009627FC">
        <w:rPr>
          <w:b/>
          <w:i/>
        </w:rPr>
        <w:t xml:space="preserve">issue </w:t>
      </w:r>
      <w:r>
        <w:rPr>
          <w:b/>
          <w:i/>
        </w:rPr>
        <w:t>d</w:t>
      </w:r>
      <w:r w:rsidRPr="009627FC">
        <w:rPr>
          <w:b/>
          <w:i/>
        </w:rPr>
        <w:t>isorders</w:t>
      </w:r>
      <w:r w:rsidR="006C78DA">
        <w:t>: radiation recall dermatitis</w:t>
      </w:r>
      <w:r w:rsidR="001E7AF5">
        <w:t>, Stevens-Johnson syndrome</w:t>
      </w:r>
      <w:r w:rsidR="003E4E28">
        <w:t xml:space="preserve">, </w:t>
      </w:r>
      <w:r w:rsidR="003E4E28" w:rsidRPr="003E4E28">
        <w:t>leukocytoclastic vasculitis</w:t>
      </w:r>
      <w:r w:rsidR="00F91FB5">
        <w:t>, toxic epidermal necrolysis</w:t>
      </w:r>
    </w:p>
    <w:p w:rsidR="009627FC" w:rsidRDefault="009627FC" w:rsidP="006C78DA">
      <w:pPr>
        <w:jc w:val="both"/>
      </w:pPr>
      <w:r>
        <w:rPr>
          <w:b/>
          <w:i/>
        </w:rPr>
        <w:t>Immune system disorders</w:t>
      </w:r>
      <w:r>
        <w:t>: angioedema</w:t>
      </w:r>
    </w:p>
    <w:p w:rsidR="003E4E28" w:rsidRDefault="003E4E28" w:rsidP="003E4E28">
      <w:pPr>
        <w:jc w:val="both"/>
      </w:pPr>
      <w:r>
        <w:rPr>
          <w:b/>
          <w:i/>
        </w:rPr>
        <w:t>Musculoskeletal, Connective Tissue and Bone Disorders</w:t>
      </w:r>
      <w:r>
        <w:rPr>
          <w:i/>
        </w:rPr>
        <w:t>:</w:t>
      </w:r>
      <w:r>
        <w:t xml:space="preserve"> rhabdomyolysis </w:t>
      </w:r>
    </w:p>
    <w:p w:rsidR="006C78DA" w:rsidRDefault="006C78DA" w:rsidP="004E77E6"/>
    <w:p w:rsidR="00DB053F" w:rsidRPr="00DB053F" w:rsidRDefault="00DB053F" w:rsidP="00DB053F">
      <w:pPr>
        <w:jc w:val="both"/>
        <w:rPr>
          <w:b/>
        </w:rPr>
      </w:pPr>
      <w:r w:rsidRPr="00DB053F">
        <w:rPr>
          <w:b/>
        </w:rPr>
        <w:t>Further information on selected adverse drug reactions</w:t>
      </w:r>
    </w:p>
    <w:p w:rsidR="00DB053F" w:rsidRDefault="00DB053F" w:rsidP="00DB053F">
      <w:pPr>
        <w:jc w:val="both"/>
      </w:pPr>
    </w:p>
    <w:p w:rsidR="00DB053F" w:rsidRDefault="00DB053F" w:rsidP="00DB053F">
      <w:pPr>
        <w:jc w:val="both"/>
      </w:pPr>
      <w:r>
        <w:t>Congestive Heart Failure: In company sponsored clinical trials</w:t>
      </w:r>
      <w:r w:rsidR="00470B1B">
        <w:t>,</w:t>
      </w:r>
      <w:r>
        <w:t xml:space="preserve"> congestive heart failure was reported as an adverse event in 1.9% of patients treated with sorafenib (N</w:t>
      </w:r>
      <w:r w:rsidR="00127346">
        <w:t xml:space="preserve"> </w:t>
      </w:r>
      <w:r>
        <w:t>=</w:t>
      </w:r>
      <w:r w:rsidR="00127346">
        <w:t xml:space="preserve"> </w:t>
      </w:r>
      <w:r>
        <w:t>2276). In study 11213 (RCC) adverse events consistent with congest</w:t>
      </w:r>
      <w:r w:rsidR="00470B1B">
        <w:t xml:space="preserve">ive heart failure were reported in </w:t>
      </w:r>
      <w:r>
        <w:t>1.7% of those treated with sorafenib and 0.7% receiving placebo. In study 100554 (HCC), 0.99% of those treated with sorafenib and 1.1% receiving placebo were reported with these events</w:t>
      </w:r>
      <w:r w:rsidR="005663FB" w:rsidRPr="005663FB">
        <w:t xml:space="preserve"> consistent with congestive heart failure.</w:t>
      </w:r>
    </w:p>
    <w:p w:rsidR="00AF4E07" w:rsidRDefault="00AF4E07" w:rsidP="00DB053F">
      <w:pPr>
        <w:jc w:val="both"/>
      </w:pPr>
    </w:p>
    <w:p w:rsidR="00AF4E07" w:rsidRDefault="00AF4E07" w:rsidP="00DB053F">
      <w:pPr>
        <w:jc w:val="both"/>
      </w:pPr>
      <w:r w:rsidRPr="00AF4E07">
        <w:t>Additional information on special populations</w:t>
      </w:r>
      <w:r>
        <w:t xml:space="preserve">: </w:t>
      </w:r>
      <w:r w:rsidRPr="00AF4E07">
        <w:t>In clinical trials, certain adverse drug reactions such as hand foot skin reaction, diarrh</w:t>
      </w:r>
      <w:r w:rsidR="001B2BB6">
        <w:t>o</w:t>
      </w:r>
      <w:r w:rsidRPr="00AF4E07">
        <w:t>ea, alopecia, weight decrease, hypertension, hypocalcaemia, and keratoacanthoma/squamous cell carcinoma of skin occurred at a substantially higher frequency in patients with differentiated thyroid cancer compared to patients in the renal cell or hepatocellular carcinoma studies</w:t>
      </w:r>
      <w:r w:rsidR="002A59D8">
        <w:t>.</w:t>
      </w:r>
    </w:p>
    <w:p w:rsidR="00655FA2" w:rsidRPr="00EB44BE" w:rsidRDefault="00655FA2" w:rsidP="00217FB0">
      <w:pPr>
        <w:pStyle w:val="Heading1"/>
        <w:rPr>
          <w:lang w:val="en-GB"/>
        </w:rPr>
      </w:pPr>
      <w:r w:rsidRPr="00EB44BE">
        <w:rPr>
          <w:lang w:val="en-GB"/>
        </w:rPr>
        <w:t>DOSAGE AND ADMINISTRATION</w:t>
      </w:r>
    </w:p>
    <w:p w:rsidR="00655FA2" w:rsidRPr="00EB44BE" w:rsidRDefault="00B660BE" w:rsidP="00217FB0">
      <w:pPr>
        <w:pStyle w:val="Heading2"/>
        <w:rPr>
          <w:lang w:val="en-GB"/>
        </w:rPr>
      </w:pPr>
      <w:r>
        <w:rPr>
          <w:lang w:val="en-GB"/>
        </w:rPr>
        <w:t>Use in a</w:t>
      </w:r>
      <w:r w:rsidR="00655FA2" w:rsidRPr="00EB44BE">
        <w:rPr>
          <w:lang w:val="en-GB"/>
        </w:rPr>
        <w:t>dults</w:t>
      </w:r>
    </w:p>
    <w:p w:rsidR="000747D0" w:rsidRPr="000747D0" w:rsidRDefault="000747D0" w:rsidP="00533310">
      <w:pPr>
        <w:pStyle w:val="Heading2"/>
      </w:pPr>
      <w:r w:rsidRPr="000747D0">
        <w:t xml:space="preserve">Recommended dose </w:t>
      </w:r>
    </w:p>
    <w:p w:rsidR="000747D0" w:rsidRPr="00EB44BE" w:rsidRDefault="0092335E" w:rsidP="0092335E">
      <w:pPr>
        <w:jc w:val="both"/>
      </w:pPr>
      <w:r w:rsidRPr="00EB44BE">
        <w:t xml:space="preserve">The recommended daily dose of </w:t>
      </w:r>
      <w:r w:rsidR="004112DD">
        <w:t>NEXAVAR</w:t>
      </w:r>
      <w:r w:rsidRPr="00EB44BE">
        <w:t xml:space="preserve"> is 400 mg (2 x 200 mg tablets) taken twice a day, either without food or together with a moderate fat meal.</w:t>
      </w:r>
    </w:p>
    <w:p w:rsidR="0092335E" w:rsidRPr="000747D0" w:rsidRDefault="000747D0" w:rsidP="00533310">
      <w:pPr>
        <w:pStyle w:val="Heading2"/>
      </w:pPr>
      <w:r w:rsidRPr="000747D0">
        <w:t>Duration of treatment</w:t>
      </w:r>
    </w:p>
    <w:p w:rsidR="00DC7385" w:rsidRPr="00EB44BE" w:rsidRDefault="0092335E" w:rsidP="0092335E">
      <w:pPr>
        <w:jc w:val="both"/>
      </w:pPr>
      <w:r w:rsidRPr="00EB44BE">
        <w:t>Treatment should be continued until the patient is no longer clinically benefiting from therapy or until unacceptable toxicity occurs.</w:t>
      </w:r>
    </w:p>
    <w:p w:rsidR="000747D0" w:rsidRDefault="000747D0" w:rsidP="00533310">
      <w:pPr>
        <w:pStyle w:val="Heading2"/>
      </w:pPr>
      <w:r w:rsidRPr="000747D0">
        <w:t>Dose titration, dose adjustment, special monitoring advice</w:t>
      </w:r>
    </w:p>
    <w:p w:rsidR="00070E12" w:rsidRDefault="0092335E" w:rsidP="0092335E">
      <w:pPr>
        <w:jc w:val="both"/>
      </w:pPr>
      <w:r w:rsidRPr="00EB44BE">
        <w:t xml:space="preserve">Management of suspected adverse drug reactions may require temporary interruption and/or dose reduction of </w:t>
      </w:r>
      <w:r w:rsidR="004112DD">
        <w:t>NEXAVAR</w:t>
      </w:r>
      <w:r w:rsidRPr="00EB44BE">
        <w:t xml:space="preserve"> therapy. </w:t>
      </w:r>
    </w:p>
    <w:p w:rsidR="00070E12" w:rsidRDefault="00070E12" w:rsidP="0092335E">
      <w:pPr>
        <w:jc w:val="both"/>
      </w:pPr>
    </w:p>
    <w:p w:rsidR="0092335E" w:rsidRDefault="0092335E" w:rsidP="0092335E">
      <w:pPr>
        <w:jc w:val="both"/>
      </w:pPr>
      <w:r w:rsidRPr="00EB44BE">
        <w:t>When dose reduction is necessary</w:t>
      </w:r>
      <w:r w:rsidR="00070E12">
        <w:t xml:space="preserve"> </w:t>
      </w:r>
      <w:r w:rsidR="00070E12" w:rsidRPr="00070E12">
        <w:t>during the treatment of hepatocellular carcinoma (HCC) and advanced renal cell carcinoma (RCC)</w:t>
      </w:r>
      <w:r w:rsidRPr="00EB44BE">
        <w:t xml:space="preserve">, the </w:t>
      </w:r>
      <w:r w:rsidR="004112DD">
        <w:t>NEXAVAR</w:t>
      </w:r>
      <w:r w:rsidRPr="00EB44BE">
        <w:t xml:space="preserve"> dose should be reduced to </w:t>
      </w:r>
      <w:r w:rsidR="001E29E3">
        <w:t>two tablets of 200 mg once</w:t>
      </w:r>
      <w:r w:rsidRPr="00EB44BE">
        <w:t xml:space="preserve"> daily</w:t>
      </w:r>
      <w:r w:rsidR="00070E12">
        <w:t xml:space="preserve"> </w:t>
      </w:r>
      <w:r w:rsidRPr="00EB44BE">
        <w:t xml:space="preserve">(see </w:t>
      </w:r>
      <w:r w:rsidRPr="004112DD">
        <w:rPr>
          <w:b/>
        </w:rPr>
        <w:t>PRECAUTIONS</w:t>
      </w:r>
      <w:r w:rsidRPr="00EB44BE">
        <w:t>).</w:t>
      </w:r>
    </w:p>
    <w:p w:rsidR="00B86D4C" w:rsidRDefault="00B86D4C" w:rsidP="0092335E">
      <w:pPr>
        <w:jc w:val="both"/>
      </w:pPr>
    </w:p>
    <w:p w:rsidR="00070E12" w:rsidRDefault="00070E12" w:rsidP="0092335E">
      <w:pPr>
        <w:jc w:val="both"/>
      </w:pPr>
      <w:r w:rsidRPr="00070E12">
        <w:t>When dose</w:t>
      </w:r>
      <w:r>
        <w:t xml:space="preserve"> reduction is necessary during </w:t>
      </w:r>
      <w:r w:rsidRPr="00070E12">
        <w:t xml:space="preserve">the treatment of differentiated thyroid carcinoma, the </w:t>
      </w:r>
      <w:r>
        <w:t>NEXAVAR</w:t>
      </w:r>
      <w:r w:rsidRPr="00070E12">
        <w:t xml:space="preserve"> dose should be reduced to 600</w:t>
      </w:r>
      <w:r>
        <w:t xml:space="preserve"> </w:t>
      </w:r>
      <w:r w:rsidRPr="00070E12">
        <w:t>mg daily in divided doses (two tablets of 200</w:t>
      </w:r>
      <w:r>
        <w:t xml:space="preserve"> </w:t>
      </w:r>
      <w:r w:rsidRPr="00070E12">
        <w:t>mg and one tablet of 200</w:t>
      </w:r>
      <w:r>
        <w:t xml:space="preserve"> </w:t>
      </w:r>
      <w:r w:rsidRPr="00070E12">
        <w:t>mg twelve hours apart).</w:t>
      </w:r>
    </w:p>
    <w:p w:rsidR="007762E7" w:rsidRDefault="007762E7" w:rsidP="0092335E">
      <w:pPr>
        <w:jc w:val="both"/>
      </w:pPr>
    </w:p>
    <w:p w:rsidR="00D21233" w:rsidRDefault="00D21233" w:rsidP="0092335E">
      <w:pPr>
        <w:jc w:val="both"/>
      </w:pPr>
      <w:r w:rsidRPr="00D21233">
        <w:t xml:space="preserve">If additional dose reduction is necessary, </w:t>
      </w:r>
      <w:r w:rsidR="0055183D">
        <w:t>NEXAVAR</w:t>
      </w:r>
      <w:r w:rsidRPr="00D21233">
        <w:t xml:space="preserve"> may be reduced to one tablet of 200 mg twice daily, </w:t>
      </w:r>
      <w:r w:rsidR="00070E12">
        <w:t>followed by</w:t>
      </w:r>
      <w:r w:rsidRPr="00D21233">
        <w:t xml:space="preserve"> one tablet of 200 mg once daily. After improvement of non-h</w:t>
      </w:r>
      <w:r w:rsidR="000573C9">
        <w:t>a</w:t>
      </w:r>
      <w:r w:rsidRPr="00D21233">
        <w:t xml:space="preserve">ematological adverse reactions, the dose of </w:t>
      </w:r>
      <w:r w:rsidR="00070E12">
        <w:t>NEXAVAR</w:t>
      </w:r>
      <w:r w:rsidRPr="00D21233">
        <w:t xml:space="preserve"> may be increased</w:t>
      </w:r>
      <w:r>
        <w:t>.</w:t>
      </w:r>
    </w:p>
    <w:p w:rsidR="001E66D3" w:rsidRDefault="001E66D3" w:rsidP="0092335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970"/>
        <w:gridCol w:w="4230"/>
      </w:tblGrid>
      <w:tr w:rsidR="007762E7" w:rsidRPr="006A18D4" w:rsidTr="00510894">
        <w:tc>
          <w:tcPr>
            <w:tcW w:w="8658" w:type="dxa"/>
            <w:gridSpan w:val="3"/>
            <w:shd w:val="clear" w:color="auto" w:fill="auto"/>
          </w:tcPr>
          <w:p w:rsidR="007762E7" w:rsidRPr="00510894" w:rsidRDefault="007762E7" w:rsidP="00FC7959">
            <w:pPr>
              <w:rPr>
                <w:b/>
                <w:sz w:val="22"/>
                <w:szCs w:val="22"/>
              </w:rPr>
            </w:pPr>
            <w:r w:rsidRPr="00510894">
              <w:rPr>
                <w:b/>
                <w:sz w:val="22"/>
                <w:szCs w:val="22"/>
              </w:rPr>
              <w:t xml:space="preserve">Table </w:t>
            </w:r>
            <w:r w:rsidR="00FC7959">
              <w:rPr>
                <w:b/>
                <w:sz w:val="22"/>
                <w:szCs w:val="22"/>
              </w:rPr>
              <w:t>7</w:t>
            </w:r>
            <w:r w:rsidRPr="00510894">
              <w:rPr>
                <w:b/>
                <w:sz w:val="22"/>
                <w:szCs w:val="22"/>
              </w:rPr>
              <w:t xml:space="preserve"> : Suggested Dose Reduction Levels for Patients with Differentiated Thyroid Carcinoma </w:t>
            </w:r>
          </w:p>
        </w:tc>
      </w:tr>
      <w:tr w:rsidR="007762E7" w:rsidRPr="008D1090" w:rsidTr="00510894">
        <w:tc>
          <w:tcPr>
            <w:tcW w:w="1458" w:type="dxa"/>
            <w:shd w:val="clear" w:color="auto" w:fill="auto"/>
          </w:tcPr>
          <w:p w:rsidR="007762E7" w:rsidRPr="00510894" w:rsidRDefault="007762E7" w:rsidP="00510894">
            <w:pPr>
              <w:rPr>
                <w:b/>
              </w:rPr>
            </w:pPr>
            <w:r w:rsidRPr="00510894">
              <w:rPr>
                <w:b/>
              </w:rPr>
              <w:t>Dose Level</w:t>
            </w:r>
          </w:p>
        </w:tc>
        <w:tc>
          <w:tcPr>
            <w:tcW w:w="2970" w:type="dxa"/>
            <w:shd w:val="clear" w:color="auto" w:fill="auto"/>
          </w:tcPr>
          <w:p w:rsidR="007762E7" w:rsidRPr="00510894" w:rsidRDefault="000573C9" w:rsidP="000573C9">
            <w:pPr>
              <w:rPr>
                <w:b/>
                <w:sz w:val="22"/>
                <w:szCs w:val="22"/>
              </w:rPr>
            </w:pPr>
            <w:r>
              <w:rPr>
                <w:b/>
                <w:sz w:val="22"/>
                <w:szCs w:val="22"/>
              </w:rPr>
              <w:t>Total daily d</w:t>
            </w:r>
            <w:r w:rsidR="007762E7" w:rsidRPr="00510894">
              <w:rPr>
                <w:b/>
                <w:sz w:val="22"/>
                <w:szCs w:val="22"/>
              </w:rPr>
              <w:t>ose</w:t>
            </w:r>
          </w:p>
        </w:tc>
        <w:tc>
          <w:tcPr>
            <w:tcW w:w="4230" w:type="dxa"/>
            <w:shd w:val="clear" w:color="auto" w:fill="auto"/>
          </w:tcPr>
          <w:p w:rsidR="007762E7" w:rsidRPr="007762E7" w:rsidRDefault="000573C9" w:rsidP="00510894">
            <w:r>
              <w:t>Dosage</w:t>
            </w:r>
          </w:p>
        </w:tc>
      </w:tr>
      <w:tr w:rsidR="007762E7" w:rsidRPr="008D1090" w:rsidTr="00510894">
        <w:tc>
          <w:tcPr>
            <w:tcW w:w="1458" w:type="dxa"/>
            <w:shd w:val="clear" w:color="auto" w:fill="auto"/>
          </w:tcPr>
          <w:p w:rsidR="007762E7" w:rsidRPr="007762E7" w:rsidRDefault="007762E7" w:rsidP="00510894">
            <w:r w:rsidRPr="007762E7">
              <w:t>0</w:t>
            </w:r>
          </w:p>
        </w:tc>
        <w:tc>
          <w:tcPr>
            <w:tcW w:w="2970" w:type="dxa"/>
            <w:shd w:val="clear" w:color="auto" w:fill="auto"/>
          </w:tcPr>
          <w:p w:rsidR="007762E7" w:rsidRPr="007762E7" w:rsidRDefault="007762E7" w:rsidP="00510894">
            <w:r w:rsidRPr="007762E7">
              <w:t>800</w:t>
            </w:r>
            <w:r w:rsidR="006274C5">
              <w:t xml:space="preserve"> </w:t>
            </w:r>
            <w:r w:rsidRPr="007762E7">
              <w:t>mg daily dose</w:t>
            </w:r>
          </w:p>
        </w:tc>
        <w:tc>
          <w:tcPr>
            <w:tcW w:w="4230" w:type="dxa"/>
            <w:shd w:val="clear" w:color="auto" w:fill="auto"/>
          </w:tcPr>
          <w:p w:rsidR="007762E7" w:rsidRPr="007762E7" w:rsidRDefault="007762E7" w:rsidP="00510894">
            <w:r w:rsidRPr="007762E7">
              <w:t>(400</w:t>
            </w:r>
            <w:r w:rsidR="006274C5">
              <w:t xml:space="preserve"> </w:t>
            </w:r>
            <w:r w:rsidRPr="007762E7">
              <w:t>mg twice daily, 2 tablets twice daily)</w:t>
            </w:r>
          </w:p>
        </w:tc>
      </w:tr>
      <w:tr w:rsidR="007762E7" w:rsidRPr="008D1090" w:rsidTr="00510894">
        <w:tc>
          <w:tcPr>
            <w:tcW w:w="1458" w:type="dxa"/>
            <w:shd w:val="clear" w:color="auto" w:fill="auto"/>
          </w:tcPr>
          <w:p w:rsidR="007762E7" w:rsidRPr="007762E7" w:rsidRDefault="007762E7" w:rsidP="00510894">
            <w:r w:rsidRPr="007762E7">
              <w:t>-1</w:t>
            </w:r>
          </w:p>
        </w:tc>
        <w:tc>
          <w:tcPr>
            <w:tcW w:w="2970" w:type="dxa"/>
            <w:shd w:val="clear" w:color="auto" w:fill="auto"/>
          </w:tcPr>
          <w:p w:rsidR="007762E7" w:rsidRPr="007762E7" w:rsidRDefault="007762E7" w:rsidP="00510894">
            <w:r w:rsidRPr="007762E7">
              <w:t>600</w:t>
            </w:r>
            <w:r w:rsidR="006274C5">
              <w:t xml:space="preserve"> </w:t>
            </w:r>
            <w:r w:rsidRPr="007762E7">
              <w:t>mg daily dose</w:t>
            </w:r>
          </w:p>
        </w:tc>
        <w:tc>
          <w:tcPr>
            <w:tcW w:w="4230" w:type="dxa"/>
            <w:shd w:val="clear" w:color="auto" w:fill="auto"/>
          </w:tcPr>
          <w:p w:rsidR="007762E7" w:rsidRPr="007762E7" w:rsidRDefault="007762E7" w:rsidP="00510894">
            <w:r w:rsidRPr="007762E7">
              <w:t>(400</w:t>
            </w:r>
            <w:r w:rsidR="006274C5">
              <w:t xml:space="preserve"> </w:t>
            </w:r>
            <w:r w:rsidRPr="007762E7">
              <w:t>mg and 200</w:t>
            </w:r>
            <w:r w:rsidR="006274C5">
              <w:t xml:space="preserve"> </w:t>
            </w:r>
            <w:r w:rsidRPr="007762E7">
              <w:t>mg 12 hours apart, 2 tablets and 1 tablet 12 hours apart – either dose can come first)</w:t>
            </w:r>
          </w:p>
        </w:tc>
      </w:tr>
      <w:tr w:rsidR="007762E7" w:rsidRPr="008D1090" w:rsidTr="00510894">
        <w:tc>
          <w:tcPr>
            <w:tcW w:w="1458" w:type="dxa"/>
            <w:shd w:val="clear" w:color="auto" w:fill="auto"/>
          </w:tcPr>
          <w:p w:rsidR="007762E7" w:rsidRPr="007762E7" w:rsidRDefault="007762E7" w:rsidP="00510894">
            <w:r w:rsidRPr="007762E7">
              <w:t>-2</w:t>
            </w:r>
          </w:p>
        </w:tc>
        <w:tc>
          <w:tcPr>
            <w:tcW w:w="2970" w:type="dxa"/>
            <w:shd w:val="clear" w:color="auto" w:fill="auto"/>
          </w:tcPr>
          <w:p w:rsidR="007762E7" w:rsidRPr="007762E7" w:rsidRDefault="007762E7" w:rsidP="00510894">
            <w:r w:rsidRPr="007762E7">
              <w:t>400</w:t>
            </w:r>
            <w:r w:rsidR="006274C5">
              <w:t xml:space="preserve"> </w:t>
            </w:r>
            <w:r w:rsidRPr="007762E7">
              <w:t>mg daily dose</w:t>
            </w:r>
          </w:p>
        </w:tc>
        <w:tc>
          <w:tcPr>
            <w:tcW w:w="4230" w:type="dxa"/>
            <w:shd w:val="clear" w:color="auto" w:fill="auto"/>
          </w:tcPr>
          <w:p w:rsidR="007762E7" w:rsidRPr="007762E7" w:rsidRDefault="007762E7" w:rsidP="00510894">
            <w:r w:rsidRPr="007762E7">
              <w:t>(200</w:t>
            </w:r>
            <w:r w:rsidR="006274C5">
              <w:t xml:space="preserve"> </w:t>
            </w:r>
            <w:r w:rsidRPr="007762E7">
              <w:t>mg twice daily, 1 tablet twice daily)</w:t>
            </w:r>
          </w:p>
        </w:tc>
      </w:tr>
      <w:tr w:rsidR="007762E7" w:rsidRPr="008D1090" w:rsidTr="00510894">
        <w:tc>
          <w:tcPr>
            <w:tcW w:w="1458" w:type="dxa"/>
            <w:shd w:val="clear" w:color="auto" w:fill="auto"/>
          </w:tcPr>
          <w:p w:rsidR="007762E7" w:rsidRPr="007762E7" w:rsidRDefault="007762E7" w:rsidP="00510894">
            <w:r w:rsidRPr="007762E7">
              <w:t>-3</w:t>
            </w:r>
          </w:p>
        </w:tc>
        <w:tc>
          <w:tcPr>
            <w:tcW w:w="2970" w:type="dxa"/>
            <w:shd w:val="clear" w:color="auto" w:fill="auto"/>
          </w:tcPr>
          <w:p w:rsidR="007762E7" w:rsidRPr="007762E7" w:rsidRDefault="007762E7" w:rsidP="00510894">
            <w:r w:rsidRPr="007762E7">
              <w:t>200</w:t>
            </w:r>
            <w:r w:rsidR="006274C5">
              <w:t xml:space="preserve"> </w:t>
            </w:r>
            <w:r w:rsidRPr="007762E7">
              <w:t>mg daily dose</w:t>
            </w:r>
          </w:p>
        </w:tc>
        <w:tc>
          <w:tcPr>
            <w:tcW w:w="4230" w:type="dxa"/>
            <w:shd w:val="clear" w:color="auto" w:fill="auto"/>
          </w:tcPr>
          <w:p w:rsidR="007762E7" w:rsidRPr="007762E7" w:rsidRDefault="007762E7" w:rsidP="00510894">
            <w:r w:rsidRPr="007762E7">
              <w:t>(200</w:t>
            </w:r>
            <w:r w:rsidR="006274C5">
              <w:t xml:space="preserve"> </w:t>
            </w:r>
            <w:r w:rsidRPr="007762E7">
              <w:t>mg once daily, one tablet once daily)</w:t>
            </w:r>
          </w:p>
        </w:tc>
      </w:tr>
    </w:tbl>
    <w:p w:rsidR="001E66D3" w:rsidRPr="007762E7" w:rsidRDefault="001E66D3" w:rsidP="0092335E">
      <w:pPr>
        <w:jc w:val="both"/>
      </w:pPr>
    </w:p>
    <w:tbl>
      <w:tblPr>
        <w:tblW w:w="8647" w:type="dxa"/>
        <w:tblInd w:w="-112" w:type="dxa"/>
        <w:tblLayout w:type="fixed"/>
        <w:tblCellMar>
          <w:left w:w="30" w:type="dxa"/>
          <w:right w:w="30" w:type="dxa"/>
        </w:tblCellMar>
        <w:tblLook w:val="0000" w:firstRow="0" w:lastRow="0" w:firstColumn="0" w:lastColumn="0" w:noHBand="0" w:noVBand="0"/>
      </w:tblPr>
      <w:tblGrid>
        <w:gridCol w:w="993"/>
        <w:gridCol w:w="1843"/>
        <w:gridCol w:w="5811"/>
      </w:tblGrid>
      <w:tr w:rsidR="001E66D3" w:rsidRPr="00B86D4C" w:rsidTr="00510894">
        <w:trPr>
          <w:cantSplit/>
          <w:trHeight w:val="509"/>
        </w:trPr>
        <w:tc>
          <w:tcPr>
            <w:tcW w:w="8647" w:type="dxa"/>
            <w:gridSpan w:val="3"/>
            <w:tcBorders>
              <w:top w:val="single" w:sz="4" w:space="0" w:color="auto"/>
              <w:left w:val="single" w:sz="4" w:space="0" w:color="auto"/>
              <w:bottom w:val="single" w:sz="4" w:space="0" w:color="auto"/>
              <w:right w:val="single" w:sz="4" w:space="0" w:color="auto"/>
            </w:tcBorders>
          </w:tcPr>
          <w:p w:rsidR="001E66D3" w:rsidRPr="009179CA" w:rsidRDefault="001E66D3" w:rsidP="00FC7959">
            <w:pPr>
              <w:tabs>
                <w:tab w:val="left" w:pos="11174"/>
                <w:tab w:val="left" w:pos="15142"/>
              </w:tabs>
              <w:suppressAutoHyphens/>
              <w:spacing w:after="120"/>
              <w:rPr>
                <w:rFonts w:eastAsia="SimSun"/>
                <w:b/>
                <w:sz w:val="22"/>
                <w:szCs w:val="22"/>
                <w:lang w:val="en-US" w:eastAsia="de-DE"/>
              </w:rPr>
            </w:pPr>
            <w:r w:rsidRPr="00234CE6">
              <w:rPr>
                <w:rFonts w:eastAsia="SimSun"/>
                <w:b/>
                <w:sz w:val="22"/>
                <w:szCs w:val="22"/>
                <w:lang w:val="en-US" w:eastAsia="de-DE"/>
              </w:rPr>
              <w:lastRenderedPageBreak/>
              <w:t xml:space="preserve">Table </w:t>
            </w:r>
            <w:r w:rsidR="00FC7959" w:rsidRPr="00234CE6">
              <w:rPr>
                <w:rFonts w:eastAsia="SimSun"/>
                <w:b/>
                <w:sz w:val="22"/>
                <w:szCs w:val="22"/>
                <w:lang w:val="en-US" w:eastAsia="de-DE"/>
              </w:rPr>
              <w:t>8</w:t>
            </w:r>
            <w:r w:rsidRPr="00234CE6">
              <w:rPr>
                <w:rFonts w:eastAsia="SimSun"/>
                <w:b/>
                <w:sz w:val="22"/>
                <w:szCs w:val="22"/>
                <w:lang w:val="en-US" w:eastAsia="de-DE"/>
              </w:rPr>
              <w:t>: Suggested Dose Modifications for Skin Toxicity in Patients with Differentiated Thyroid Carcinoma</w:t>
            </w:r>
          </w:p>
        </w:tc>
      </w:tr>
      <w:tr w:rsidR="001E66D3" w:rsidRPr="00B86D4C" w:rsidTr="00510894">
        <w:trPr>
          <w:cantSplit/>
          <w:trHeight w:val="509"/>
        </w:trPr>
        <w:tc>
          <w:tcPr>
            <w:tcW w:w="993" w:type="dxa"/>
            <w:tcBorders>
              <w:top w:val="single" w:sz="4" w:space="0" w:color="auto"/>
              <w:left w:val="single" w:sz="4" w:space="0" w:color="auto"/>
              <w:bottom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Grade</w:t>
            </w:r>
          </w:p>
        </w:tc>
        <w:tc>
          <w:tcPr>
            <w:tcW w:w="1843" w:type="dxa"/>
            <w:tcBorders>
              <w:top w:val="single" w:sz="4" w:space="0" w:color="auto"/>
              <w:bottom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Occurrence</w:t>
            </w:r>
          </w:p>
        </w:tc>
        <w:tc>
          <w:tcPr>
            <w:tcW w:w="5811" w:type="dxa"/>
            <w:tcBorders>
              <w:top w:val="single" w:sz="4" w:space="0" w:color="auto"/>
              <w:bottom w:val="single" w:sz="4" w:space="0" w:color="auto"/>
              <w:right w:val="single" w:sz="4" w:space="0" w:color="auto"/>
            </w:tcBorders>
          </w:tcPr>
          <w:p w:rsidR="001E66D3" w:rsidRPr="001E66D3" w:rsidRDefault="007762E7" w:rsidP="001E66D3">
            <w:pPr>
              <w:tabs>
                <w:tab w:val="left" w:pos="11174"/>
                <w:tab w:val="left" w:pos="15142"/>
              </w:tabs>
              <w:suppressAutoHyphens/>
              <w:spacing w:after="120"/>
              <w:rPr>
                <w:rFonts w:eastAsia="SimSun"/>
                <w:sz w:val="22"/>
                <w:szCs w:val="22"/>
                <w:lang w:val="en-US" w:eastAsia="de-DE"/>
              </w:rPr>
            </w:pPr>
            <w:r>
              <w:rPr>
                <w:rFonts w:eastAsia="SimSun"/>
                <w:sz w:val="22"/>
                <w:szCs w:val="22"/>
                <w:lang w:val="en-US" w:eastAsia="de-DE"/>
              </w:rPr>
              <w:t>NEXAVAR</w:t>
            </w:r>
            <w:r w:rsidR="001E66D3" w:rsidRPr="001E66D3">
              <w:rPr>
                <w:rFonts w:eastAsia="SimSun"/>
                <w:sz w:val="22"/>
                <w:szCs w:val="22"/>
                <w:lang w:val="en-US" w:eastAsia="de-DE"/>
              </w:rPr>
              <w:t xml:space="preserve"> dose modification* </w:t>
            </w:r>
          </w:p>
        </w:tc>
      </w:tr>
      <w:tr w:rsidR="001E66D3" w:rsidRPr="00B86D4C" w:rsidTr="00510894">
        <w:trPr>
          <w:cantSplit/>
          <w:trHeight w:val="509"/>
        </w:trPr>
        <w:tc>
          <w:tcPr>
            <w:tcW w:w="993" w:type="dxa"/>
            <w:tcBorders>
              <w:top w:val="single" w:sz="4" w:space="0" w:color="auto"/>
              <w:left w:val="single" w:sz="4" w:space="0" w:color="auto"/>
              <w:bottom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Grade 1</w:t>
            </w:r>
          </w:p>
        </w:tc>
        <w:tc>
          <w:tcPr>
            <w:tcW w:w="1843" w:type="dxa"/>
            <w:tcBorders>
              <w:top w:val="single" w:sz="4" w:space="0" w:color="auto"/>
              <w:bottom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Any </w:t>
            </w:r>
          </w:p>
        </w:tc>
        <w:tc>
          <w:tcPr>
            <w:tcW w:w="5811" w:type="dxa"/>
            <w:tcBorders>
              <w:top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Institute supportive measures immediately and continue </w:t>
            </w:r>
            <w:r w:rsidR="007762E7">
              <w:rPr>
                <w:rFonts w:eastAsia="SimSun"/>
                <w:sz w:val="22"/>
                <w:szCs w:val="22"/>
                <w:lang w:val="en-US" w:eastAsia="de-DE"/>
              </w:rPr>
              <w:t>NEXAVAR</w:t>
            </w:r>
            <w:r w:rsidRPr="001E66D3">
              <w:rPr>
                <w:rFonts w:eastAsia="SimSun"/>
                <w:sz w:val="22"/>
                <w:szCs w:val="22"/>
                <w:lang w:val="en-US" w:eastAsia="de-DE"/>
              </w:rPr>
              <w:t xml:space="preserve"> treatment </w:t>
            </w:r>
          </w:p>
        </w:tc>
      </w:tr>
      <w:tr w:rsidR="001E66D3" w:rsidRPr="00B86D4C" w:rsidTr="00510894">
        <w:trPr>
          <w:cantSplit/>
          <w:trHeight w:val="509"/>
        </w:trPr>
        <w:tc>
          <w:tcPr>
            <w:tcW w:w="99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Grade 2</w:t>
            </w:r>
          </w:p>
        </w:tc>
        <w:tc>
          <w:tcPr>
            <w:tcW w:w="184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First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Institute supportive measures immediately and consider a decrease </w:t>
            </w:r>
            <w:r w:rsidR="007762E7">
              <w:rPr>
                <w:rFonts w:eastAsia="SimSun"/>
                <w:sz w:val="22"/>
                <w:szCs w:val="22"/>
                <w:lang w:val="en-US" w:eastAsia="de-DE"/>
              </w:rPr>
              <w:t>NEXAVAR</w:t>
            </w:r>
            <w:r w:rsidRPr="001E66D3">
              <w:rPr>
                <w:rFonts w:eastAsia="SimSun"/>
                <w:sz w:val="22"/>
                <w:szCs w:val="22"/>
                <w:lang w:val="en-US" w:eastAsia="de-DE"/>
              </w:rPr>
              <w:t xml:space="preserve"> dose to 600</w:t>
            </w:r>
            <w:r w:rsidR="006274C5">
              <w:rPr>
                <w:rFonts w:eastAsia="SimSun"/>
                <w:sz w:val="22"/>
                <w:szCs w:val="22"/>
                <w:lang w:val="en-US" w:eastAsia="de-DE"/>
              </w:rPr>
              <w:t xml:space="preserve"> </w:t>
            </w:r>
            <w:r w:rsidRPr="001E66D3">
              <w:rPr>
                <w:rFonts w:eastAsia="SimSun"/>
                <w:sz w:val="22"/>
                <w:szCs w:val="22"/>
                <w:lang w:val="en-US" w:eastAsia="de-DE"/>
              </w:rPr>
              <w:t>mg daily (400</w:t>
            </w:r>
            <w:r w:rsidR="006274C5">
              <w:rPr>
                <w:rFonts w:eastAsia="SimSun"/>
                <w:sz w:val="22"/>
                <w:szCs w:val="22"/>
                <w:lang w:val="en-US" w:eastAsia="de-DE"/>
              </w:rPr>
              <w:t xml:space="preserve"> </w:t>
            </w:r>
            <w:r w:rsidRPr="001E66D3">
              <w:rPr>
                <w:rFonts w:eastAsia="SimSun"/>
                <w:sz w:val="22"/>
                <w:szCs w:val="22"/>
                <w:lang w:val="en-US" w:eastAsia="de-DE"/>
              </w:rPr>
              <w:t>mg and 200</w:t>
            </w:r>
            <w:r w:rsidR="006274C5">
              <w:rPr>
                <w:rFonts w:eastAsia="SimSun"/>
                <w:sz w:val="22"/>
                <w:szCs w:val="22"/>
                <w:lang w:val="en-US" w:eastAsia="de-DE"/>
              </w:rPr>
              <w:t xml:space="preserve"> </w:t>
            </w:r>
            <w:r w:rsidRPr="001E66D3">
              <w:rPr>
                <w:rFonts w:eastAsia="SimSun"/>
                <w:sz w:val="22"/>
                <w:szCs w:val="22"/>
                <w:lang w:val="en-US" w:eastAsia="de-DE"/>
              </w:rPr>
              <w:t>mg 12 hours apart)</w:t>
            </w:r>
          </w:p>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If  no improvement within 7 days, see below</w:t>
            </w:r>
          </w:p>
        </w:tc>
      </w:tr>
      <w:tr w:rsidR="001E66D3" w:rsidRPr="00B86D4C" w:rsidTr="00510894">
        <w:trPr>
          <w:cantSplit/>
          <w:trHeight w:val="509"/>
        </w:trPr>
        <w:tc>
          <w:tcPr>
            <w:tcW w:w="99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p>
        </w:tc>
        <w:tc>
          <w:tcPr>
            <w:tcW w:w="184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No improvement within 7 days or second occurrence</w:t>
            </w:r>
          </w:p>
        </w:tc>
        <w:tc>
          <w:tcPr>
            <w:tcW w:w="5811"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Interrupt </w:t>
            </w:r>
            <w:r w:rsidR="007762E7">
              <w:rPr>
                <w:rFonts w:eastAsia="SimSun"/>
                <w:sz w:val="22"/>
                <w:szCs w:val="22"/>
                <w:lang w:val="en-US" w:eastAsia="de-DE"/>
              </w:rPr>
              <w:t>NEXAVAR</w:t>
            </w:r>
            <w:r w:rsidRPr="001E66D3">
              <w:rPr>
                <w:rFonts w:eastAsia="SimSun"/>
                <w:sz w:val="22"/>
                <w:szCs w:val="22"/>
                <w:lang w:val="en-US" w:eastAsia="de-DE"/>
              </w:rPr>
              <w:t xml:space="preserve"> until resolved to grade 0-1. When </w:t>
            </w:r>
            <w:r w:rsidR="007762E7">
              <w:rPr>
                <w:rFonts w:eastAsia="SimSun"/>
                <w:sz w:val="22"/>
                <w:szCs w:val="22"/>
                <w:lang w:val="en-US" w:eastAsia="de-DE"/>
              </w:rPr>
              <w:t>NEXAVAR</w:t>
            </w:r>
            <w:r w:rsidRPr="001E66D3">
              <w:rPr>
                <w:rFonts w:eastAsia="SimSun"/>
                <w:sz w:val="22"/>
                <w:szCs w:val="22"/>
                <w:lang w:val="en-US" w:eastAsia="de-DE"/>
              </w:rPr>
              <w:t xml:space="preserve"> is resumed, decrease dose by one dose level</w:t>
            </w:r>
          </w:p>
        </w:tc>
      </w:tr>
      <w:tr w:rsidR="001E66D3" w:rsidRPr="00B86D4C" w:rsidTr="00510894">
        <w:trPr>
          <w:cantSplit/>
          <w:trHeight w:val="509"/>
        </w:trPr>
        <w:tc>
          <w:tcPr>
            <w:tcW w:w="99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p>
        </w:tc>
        <w:tc>
          <w:tcPr>
            <w:tcW w:w="184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Third</w:t>
            </w:r>
          </w:p>
        </w:tc>
        <w:tc>
          <w:tcPr>
            <w:tcW w:w="5811"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Interrupt </w:t>
            </w:r>
            <w:r w:rsidR="007762E7">
              <w:rPr>
                <w:rFonts w:eastAsia="SimSun"/>
                <w:sz w:val="22"/>
                <w:szCs w:val="22"/>
                <w:lang w:val="en-US" w:eastAsia="de-DE"/>
              </w:rPr>
              <w:t>NEXAVAR</w:t>
            </w:r>
            <w:r w:rsidRPr="001E66D3">
              <w:rPr>
                <w:rFonts w:eastAsia="SimSun"/>
                <w:sz w:val="22"/>
                <w:szCs w:val="22"/>
                <w:lang w:val="en-US" w:eastAsia="de-DE"/>
              </w:rPr>
              <w:t xml:space="preserve"> until resolved to grade 0-1. When </w:t>
            </w:r>
            <w:r w:rsidR="007762E7">
              <w:rPr>
                <w:rFonts w:eastAsia="SimSun"/>
                <w:sz w:val="22"/>
                <w:szCs w:val="22"/>
                <w:lang w:val="en-US" w:eastAsia="de-DE"/>
              </w:rPr>
              <w:t>NEXAVAR</w:t>
            </w:r>
            <w:r w:rsidRPr="001E66D3">
              <w:rPr>
                <w:rFonts w:eastAsia="SimSun"/>
                <w:sz w:val="22"/>
                <w:szCs w:val="22"/>
                <w:lang w:val="en-US" w:eastAsia="de-DE"/>
              </w:rPr>
              <w:t xml:space="preserve"> is resumed, decrease dose by two dose levels</w:t>
            </w:r>
          </w:p>
        </w:tc>
      </w:tr>
      <w:tr w:rsidR="001E66D3" w:rsidRPr="00B86D4C" w:rsidTr="00510894">
        <w:trPr>
          <w:cantSplit/>
          <w:trHeight w:val="509"/>
        </w:trPr>
        <w:tc>
          <w:tcPr>
            <w:tcW w:w="99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p>
        </w:tc>
        <w:tc>
          <w:tcPr>
            <w:tcW w:w="184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Fourth </w:t>
            </w:r>
          </w:p>
        </w:tc>
        <w:tc>
          <w:tcPr>
            <w:tcW w:w="5811"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Discontinue </w:t>
            </w:r>
            <w:r w:rsidR="007762E7">
              <w:rPr>
                <w:rFonts w:eastAsia="SimSun"/>
                <w:sz w:val="22"/>
                <w:szCs w:val="22"/>
                <w:lang w:val="en-US" w:eastAsia="de-DE"/>
              </w:rPr>
              <w:t>NEXAVAR</w:t>
            </w:r>
            <w:r w:rsidRPr="001E66D3">
              <w:rPr>
                <w:rFonts w:eastAsia="SimSun"/>
                <w:sz w:val="22"/>
                <w:szCs w:val="22"/>
                <w:lang w:val="en-US" w:eastAsia="de-DE"/>
              </w:rPr>
              <w:t xml:space="preserve"> permanently</w:t>
            </w:r>
          </w:p>
        </w:tc>
      </w:tr>
      <w:tr w:rsidR="001E66D3" w:rsidRPr="00B86D4C" w:rsidTr="00510894">
        <w:trPr>
          <w:cantSplit/>
          <w:trHeight w:val="509"/>
        </w:trPr>
        <w:tc>
          <w:tcPr>
            <w:tcW w:w="99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Grade 3</w:t>
            </w:r>
          </w:p>
        </w:tc>
        <w:tc>
          <w:tcPr>
            <w:tcW w:w="184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First </w:t>
            </w:r>
          </w:p>
        </w:tc>
        <w:tc>
          <w:tcPr>
            <w:tcW w:w="5811"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Interrupt </w:t>
            </w:r>
            <w:r w:rsidR="007762E7">
              <w:rPr>
                <w:rFonts w:eastAsia="SimSun"/>
                <w:sz w:val="22"/>
                <w:szCs w:val="22"/>
                <w:lang w:val="en-US" w:eastAsia="de-DE"/>
              </w:rPr>
              <w:t>NEXAVAR</w:t>
            </w:r>
            <w:r w:rsidRPr="001E66D3">
              <w:rPr>
                <w:rFonts w:eastAsia="SimSun"/>
                <w:sz w:val="22"/>
                <w:szCs w:val="22"/>
                <w:lang w:val="en-US" w:eastAsia="de-DE"/>
              </w:rPr>
              <w:t xml:space="preserve"> until resolved to grade 0-1. When </w:t>
            </w:r>
            <w:r w:rsidR="007762E7">
              <w:rPr>
                <w:rFonts w:eastAsia="SimSun"/>
                <w:sz w:val="22"/>
                <w:szCs w:val="22"/>
                <w:lang w:val="en-US" w:eastAsia="de-DE"/>
              </w:rPr>
              <w:t>NEXAVAR</w:t>
            </w:r>
            <w:r w:rsidRPr="001E66D3">
              <w:rPr>
                <w:rFonts w:eastAsia="SimSun"/>
                <w:sz w:val="22"/>
                <w:szCs w:val="22"/>
                <w:lang w:val="en-US" w:eastAsia="de-DE"/>
              </w:rPr>
              <w:t xml:space="preserve"> is resumed, decrease dose by one dose level </w:t>
            </w:r>
          </w:p>
        </w:tc>
      </w:tr>
      <w:tr w:rsidR="001E66D3" w:rsidRPr="00B86D4C" w:rsidTr="00510894">
        <w:trPr>
          <w:cantSplit/>
          <w:trHeight w:val="509"/>
        </w:trPr>
        <w:tc>
          <w:tcPr>
            <w:tcW w:w="99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p>
        </w:tc>
        <w:tc>
          <w:tcPr>
            <w:tcW w:w="184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Second </w:t>
            </w:r>
          </w:p>
        </w:tc>
        <w:tc>
          <w:tcPr>
            <w:tcW w:w="5811"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Interrupt </w:t>
            </w:r>
            <w:r w:rsidR="007762E7">
              <w:rPr>
                <w:rFonts w:eastAsia="SimSun"/>
                <w:sz w:val="22"/>
                <w:szCs w:val="22"/>
                <w:lang w:val="en-US" w:eastAsia="de-DE"/>
              </w:rPr>
              <w:t>NEXAVAR</w:t>
            </w:r>
            <w:r w:rsidRPr="001E66D3">
              <w:rPr>
                <w:rFonts w:eastAsia="SimSun"/>
                <w:sz w:val="22"/>
                <w:szCs w:val="22"/>
                <w:lang w:val="en-US" w:eastAsia="de-DE"/>
              </w:rPr>
              <w:t xml:space="preserve"> until resolved to grade 0-1. When </w:t>
            </w:r>
            <w:r w:rsidR="007762E7">
              <w:rPr>
                <w:rFonts w:eastAsia="SimSun"/>
                <w:sz w:val="22"/>
                <w:szCs w:val="22"/>
                <w:lang w:val="en-US" w:eastAsia="de-DE"/>
              </w:rPr>
              <w:t>NEXAVAR</w:t>
            </w:r>
            <w:r w:rsidRPr="001E66D3">
              <w:rPr>
                <w:rFonts w:eastAsia="SimSun"/>
                <w:sz w:val="22"/>
                <w:szCs w:val="22"/>
                <w:lang w:val="en-US" w:eastAsia="de-DE"/>
              </w:rPr>
              <w:t xml:space="preserve"> is resumed, decrease dose by two dose levels</w:t>
            </w:r>
          </w:p>
        </w:tc>
      </w:tr>
      <w:tr w:rsidR="001E66D3" w:rsidRPr="00B86D4C" w:rsidTr="00510894">
        <w:trPr>
          <w:cantSplit/>
          <w:trHeight w:val="585"/>
        </w:trPr>
        <w:tc>
          <w:tcPr>
            <w:tcW w:w="99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rPr>
                <w:rFonts w:eastAsia="SimSun"/>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Third </w:t>
            </w:r>
          </w:p>
        </w:tc>
        <w:tc>
          <w:tcPr>
            <w:tcW w:w="5811" w:type="dxa"/>
            <w:tcBorders>
              <w:top w:val="single" w:sz="4" w:space="0" w:color="auto"/>
              <w:left w:val="single" w:sz="4" w:space="0" w:color="auto"/>
              <w:bottom w:val="single" w:sz="4" w:space="0" w:color="auto"/>
              <w:right w:val="single" w:sz="4" w:space="0" w:color="auto"/>
            </w:tcBorders>
          </w:tcPr>
          <w:p w:rsidR="001E66D3" w:rsidRPr="001E66D3" w:rsidRDefault="001E66D3" w:rsidP="001E66D3">
            <w:pPr>
              <w:tabs>
                <w:tab w:val="left" w:pos="11174"/>
                <w:tab w:val="left" w:pos="15142"/>
              </w:tabs>
              <w:suppressAutoHyphens/>
              <w:spacing w:after="120"/>
              <w:rPr>
                <w:rFonts w:eastAsia="SimSun"/>
                <w:sz w:val="22"/>
                <w:szCs w:val="22"/>
                <w:lang w:val="en-US" w:eastAsia="de-DE"/>
              </w:rPr>
            </w:pPr>
            <w:r w:rsidRPr="001E66D3">
              <w:rPr>
                <w:rFonts w:eastAsia="SimSun"/>
                <w:sz w:val="22"/>
                <w:szCs w:val="22"/>
                <w:lang w:val="en-US" w:eastAsia="de-DE"/>
              </w:rPr>
              <w:t xml:space="preserve">Discontinue </w:t>
            </w:r>
            <w:r w:rsidR="007762E7">
              <w:rPr>
                <w:rFonts w:eastAsia="SimSun"/>
                <w:sz w:val="22"/>
                <w:szCs w:val="22"/>
                <w:lang w:val="en-US" w:eastAsia="de-DE"/>
              </w:rPr>
              <w:t>NEXAVAR</w:t>
            </w:r>
            <w:r w:rsidRPr="001E66D3">
              <w:rPr>
                <w:rFonts w:eastAsia="SimSun"/>
                <w:sz w:val="22"/>
                <w:szCs w:val="22"/>
                <w:lang w:val="en-US" w:eastAsia="de-DE"/>
              </w:rPr>
              <w:t xml:space="preserve"> permanently</w:t>
            </w:r>
          </w:p>
        </w:tc>
      </w:tr>
    </w:tbl>
    <w:p w:rsidR="001E66D3" w:rsidRPr="001E66D3" w:rsidRDefault="001E66D3" w:rsidP="001E66D3">
      <w:pPr>
        <w:autoSpaceDE w:val="0"/>
        <w:autoSpaceDN w:val="0"/>
        <w:adjustRightInd w:val="0"/>
        <w:rPr>
          <w:rFonts w:eastAsia="TimesNewRoman"/>
          <w:sz w:val="20"/>
          <w:szCs w:val="20"/>
          <w:lang w:val="en-US"/>
        </w:rPr>
      </w:pPr>
      <w:r w:rsidRPr="001E66D3">
        <w:rPr>
          <w:rFonts w:eastAsia="TimesNewRoman"/>
          <w:sz w:val="20"/>
          <w:szCs w:val="20"/>
          <w:lang w:val="en-US"/>
        </w:rPr>
        <w:t xml:space="preserve">*For patients who require a dose reduction for Grade 2 or 3 skin toxicity, the dose of </w:t>
      </w:r>
      <w:r w:rsidR="007762E7">
        <w:rPr>
          <w:rFonts w:eastAsia="TimesNewRoman"/>
          <w:sz w:val="20"/>
          <w:szCs w:val="20"/>
          <w:lang w:val="en-US"/>
        </w:rPr>
        <w:t>NEXAVAR</w:t>
      </w:r>
      <w:r w:rsidRPr="001E66D3">
        <w:rPr>
          <w:rFonts w:eastAsia="TimesNewRoman"/>
          <w:sz w:val="20"/>
          <w:szCs w:val="20"/>
          <w:lang w:val="en-US"/>
        </w:rPr>
        <w:t xml:space="preserve"> may be</w:t>
      </w:r>
    </w:p>
    <w:p w:rsidR="001E66D3" w:rsidRPr="001E66D3" w:rsidRDefault="001E66D3" w:rsidP="001E66D3">
      <w:pPr>
        <w:autoSpaceDE w:val="0"/>
        <w:autoSpaceDN w:val="0"/>
        <w:adjustRightInd w:val="0"/>
        <w:rPr>
          <w:rFonts w:eastAsia="TimesNewRoman"/>
          <w:sz w:val="20"/>
          <w:szCs w:val="20"/>
          <w:lang w:val="en-US"/>
        </w:rPr>
      </w:pPr>
      <w:r w:rsidRPr="001E66D3">
        <w:rPr>
          <w:rFonts w:eastAsia="TimesNewRoman"/>
          <w:sz w:val="20"/>
          <w:szCs w:val="20"/>
          <w:lang w:val="en-US"/>
        </w:rPr>
        <w:t xml:space="preserve"> increased if skin toxicity improved to Grade 0-1 after at least 28 days treatment on the reduced dose of </w:t>
      </w:r>
      <w:r w:rsidR="007762E7">
        <w:rPr>
          <w:rFonts w:eastAsia="TimesNewRoman"/>
          <w:sz w:val="20"/>
          <w:szCs w:val="20"/>
          <w:lang w:val="en-US"/>
        </w:rPr>
        <w:t>NEXAVAR</w:t>
      </w:r>
    </w:p>
    <w:p w:rsidR="0092335E" w:rsidRPr="00EB44BE" w:rsidRDefault="0092335E" w:rsidP="0092335E">
      <w:pPr>
        <w:pStyle w:val="Heading2"/>
        <w:rPr>
          <w:lang w:val="en-GB"/>
        </w:rPr>
      </w:pPr>
      <w:r w:rsidRPr="00EB44BE">
        <w:rPr>
          <w:lang w:val="en-GB"/>
        </w:rPr>
        <w:t>Elderly (above 65 years), Gender and Body Weight</w:t>
      </w:r>
    </w:p>
    <w:p w:rsidR="00655FA2" w:rsidRPr="00EB44BE" w:rsidRDefault="0092335E" w:rsidP="0092335E">
      <w:pPr>
        <w:jc w:val="both"/>
      </w:pPr>
      <w:r w:rsidRPr="00EB44BE">
        <w:t>No dose adjustment is required on the basis of patient age (above 65 years), gender, or body weight.</w:t>
      </w:r>
      <w:r w:rsidR="00976390" w:rsidRPr="00EB44BE">
        <w:t xml:space="preserve"> </w:t>
      </w:r>
    </w:p>
    <w:p w:rsidR="00976390" w:rsidRPr="00EB44BE" w:rsidRDefault="00976390" w:rsidP="00976390">
      <w:pPr>
        <w:pStyle w:val="Heading2"/>
        <w:rPr>
          <w:lang w:val="en-GB"/>
        </w:rPr>
      </w:pPr>
      <w:r w:rsidRPr="00EB44BE">
        <w:rPr>
          <w:lang w:val="en-GB"/>
        </w:rPr>
        <w:t>Use in patients with renal impairment</w:t>
      </w:r>
    </w:p>
    <w:p w:rsidR="00F3357F" w:rsidRDefault="00976390" w:rsidP="00976390">
      <w:pPr>
        <w:jc w:val="both"/>
      </w:pPr>
      <w:r w:rsidRPr="00EB44BE">
        <w:t xml:space="preserve">No dose adjustment is required in patients with </w:t>
      </w:r>
      <w:r w:rsidR="00C355F2">
        <w:t xml:space="preserve">mild to moderate </w:t>
      </w:r>
      <w:r w:rsidRPr="00EB44BE">
        <w:t xml:space="preserve">renal impairment. </w:t>
      </w:r>
      <w:r w:rsidR="004112DD">
        <w:t>NEXAVAR</w:t>
      </w:r>
      <w:r w:rsidRPr="00EB44BE">
        <w:t xml:space="preserve"> has not been studied in patients with severe renal impairment or patients undergoing dialysis (see </w:t>
      </w:r>
      <w:r w:rsidRPr="004112DD">
        <w:rPr>
          <w:b/>
        </w:rPr>
        <w:t>PHARMACOLOGY</w:t>
      </w:r>
      <w:r w:rsidR="00127346">
        <w:rPr>
          <w:b/>
        </w:rPr>
        <w:t>-</w:t>
      </w:r>
      <w:r w:rsidRPr="004112DD">
        <w:rPr>
          <w:b/>
        </w:rPr>
        <w:t>Pharmacokinetics-Renal Impairment</w:t>
      </w:r>
      <w:r w:rsidRPr="00EB44BE">
        <w:t>)</w:t>
      </w:r>
      <w:r w:rsidR="00F3357F">
        <w:t>.</w:t>
      </w:r>
    </w:p>
    <w:p w:rsidR="001967E6" w:rsidRPr="00EB44BE" w:rsidRDefault="001967E6" w:rsidP="00976390">
      <w:pPr>
        <w:jc w:val="both"/>
      </w:pPr>
      <w:r>
        <w:t xml:space="preserve">Monitoring of fluid balance and electrolytes in patients at risk of renal dysfunction is advised. </w:t>
      </w:r>
    </w:p>
    <w:p w:rsidR="00655FA2" w:rsidRPr="001967E6" w:rsidRDefault="00655FA2" w:rsidP="001967E6">
      <w:pPr>
        <w:pStyle w:val="Heading2"/>
      </w:pPr>
      <w:r w:rsidRPr="001967E6">
        <w:t>Use in patients with hepatic impairment</w:t>
      </w:r>
    </w:p>
    <w:p w:rsidR="0092335E" w:rsidRPr="00456BB8" w:rsidRDefault="0092335E" w:rsidP="00456BB8">
      <w:r w:rsidRPr="00456BB8">
        <w:t>No dose adjustment is required in patients with Child-Pugh A</w:t>
      </w:r>
      <w:r w:rsidR="00313AF0" w:rsidRPr="00456BB8">
        <w:t xml:space="preserve"> or</w:t>
      </w:r>
      <w:r w:rsidRPr="00456BB8">
        <w:t xml:space="preserve"> B hepatic impairment. </w:t>
      </w:r>
      <w:r w:rsidR="004112DD" w:rsidRPr="00456BB8">
        <w:t>NEXAVAR</w:t>
      </w:r>
      <w:r w:rsidRPr="00456BB8">
        <w:t xml:space="preserve"> has not been studied in patients with Child-Pugh C hepatic impairment (see </w:t>
      </w:r>
      <w:r w:rsidR="00976390" w:rsidRPr="00456BB8">
        <w:rPr>
          <w:b/>
        </w:rPr>
        <w:t>PHARMACOLOGY-Pharmacokinetics-Hepatic Impairment</w:t>
      </w:r>
      <w:r w:rsidRPr="00456BB8">
        <w:t>).</w:t>
      </w:r>
    </w:p>
    <w:p w:rsidR="00655FA2" w:rsidRPr="00EB44BE" w:rsidRDefault="00655FA2" w:rsidP="00217FB0">
      <w:pPr>
        <w:pStyle w:val="Heading2"/>
        <w:rPr>
          <w:lang w:val="en-GB"/>
        </w:rPr>
      </w:pPr>
      <w:r w:rsidRPr="00EB44BE">
        <w:rPr>
          <w:lang w:val="en-GB"/>
        </w:rPr>
        <w:t>Use in children</w:t>
      </w:r>
    </w:p>
    <w:p w:rsidR="00655FA2" w:rsidRPr="00EB44BE" w:rsidRDefault="0029201B" w:rsidP="00217FB0">
      <w:pPr>
        <w:jc w:val="both"/>
      </w:pPr>
      <w:r w:rsidRPr="00EB44BE">
        <w:t xml:space="preserve">The safety and effectiveness of </w:t>
      </w:r>
      <w:r w:rsidR="004112DD">
        <w:t>NEXAVAR</w:t>
      </w:r>
      <w:r w:rsidRPr="00EB44BE">
        <w:t xml:space="preserve"> in </w:t>
      </w:r>
      <w:r w:rsidR="003D27ED" w:rsidRPr="00EB44BE">
        <w:t>paediatric</w:t>
      </w:r>
      <w:r w:rsidRPr="00EB44BE">
        <w:t xml:space="preserve"> patients has not been established</w:t>
      </w:r>
      <w:r w:rsidR="00655FA2" w:rsidRPr="00EB44BE">
        <w:t>.</w:t>
      </w:r>
      <w:r w:rsidR="00644388">
        <w:t xml:space="preserve"> </w:t>
      </w:r>
    </w:p>
    <w:p w:rsidR="00655FA2" w:rsidRPr="00EB44BE" w:rsidRDefault="00655FA2" w:rsidP="004E44DE">
      <w:pPr>
        <w:pStyle w:val="Heading1"/>
        <w:rPr>
          <w:lang w:val="en-GB"/>
        </w:rPr>
      </w:pPr>
      <w:r w:rsidRPr="00EB44BE">
        <w:rPr>
          <w:lang w:val="en-GB"/>
        </w:rPr>
        <w:lastRenderedPageBreak/>
        <w:t>OVERDOSAGE</w:t>
      </w:r>
    </w:p>
    <w:p w:rsidR="0029201B" w:rsidRPr="00EB44BE" w:rsidRDefault="0029201B" w:rsidP="00456BB8">
      <w:pPr>
        <w:pStyle w:val="BodyText3"/>
      </w:pPr>
      <w:r w:rsidRPr="00EB44BE">
        <w:t xml:space="preserve">There is no specific treatment for </w:t>
      </w:r>
      <w:r w:rsidR="004112DD">
        <w:t>NEXAVAR</w:t>
      </w:r>
      <w:r w:rsidRPr="00EB44BE">
        <w:t xml:space="preserve"> overdose.</w:t>
      </w:r>
    </w:p>
    <w:p w:rsidR="0029201B" w:rsidRPr="00EB44BE" w:rsidRDefault="0029201B" w:rsidP="00456BB8">
      <w:pPr>
        <w:pStyle w:val="BodyText3"/>
      </w:pPr>
      <w:r w:rsidRPr="00EB44BE">
        <w:t xml:space="preserve">The highest dose of </w:t>
      </w:r>
      <w:r w:rsidR="004112DD">
        <w:t>NEXAVAR</w:t>
      </w:r>
      <w:r w:rsidRPr="00EB44BE">
        <w:t xml:space="preserve"> studied clinically is 800 mg twice daily. The adverse reactions observed at this dose were primarily </w:t>
      </w:r>
      <w:r w:rsidR="003D27ED" w:rsidRPr="00EB44BE">
        <w:t>diarrhoea</w:t>
      </w:r>
      <w:r w:rsidRPr="00EB44BE">
        <w:t xml:space="preserve"> and dermatologic events.</w:t>
      </w:r>
    </w:p>
    <w:p w:rsidR="0029201B" w:rsidRDefault="0029201B" w:rsidP="00456BB8">
      <w:pPr>
        <w:pStyle w:val="BodyText3"/>
      </w:pPr>
      <w:r w:rsidRPr="00EB44BE">
        <w:t xml:space="preserve">In the event of suspected overdose, </w:t>
      </w:r>
      <w:r w:rsidR="004112DD">
        <w:t>NEXAVAR</w:t>
      </w:r>
      <w:r w:rsidRPr="00EB44BE">
        <w:t xml:space="preserve"> should be withheld and supportive care instituted.</w:t>
      </w:r>
    </w:p>
    <w:p w:rsidR="00645EE0" w:rsidRPr="00645EE0" w:rsidRDefault="00645EE0" w:rsidP="00645EE0">
      <w:r w:rsidRPr="00645EE0">
        <w:t>For information on the management of overdose, contact the Poison Information Centre on 131126 (Australia).</w:t>
      </w:r>
    </w:p>
    <w:p w:rsidR="00655FA2" w:rsidRPr="00EB44BE" w:rsidRDefault="00655FA2" w:rsidP="0029201B">
      <w:pPr>
        <w:pStyle w:val="Heading1"/>
        <w:rPr>
          <w:lang w:val="en-GB"/>
        </w:rPr>
      </w:pPr>
      <w:r w:rsidRPr="00EB44BE">
        <w:rPr>
          <w:lang w:val="en-GB"/>
        </w:rPr>
        <w:t>PRESENTATION AND STORAGE CONDITIONS</w:t>
      </w:r>
    </w:p>
    <w:p w:rsidR="00DF3C74" w:rsidRPr="00EB44BE" w:rsidRDefault="004112DD" w:rsidP="00217FB0">
      <w:pPr>
        <w:jc w:val="both"/>
      </w:pPr>
      <w:r>
        <w:t>NEXAVAR</w:t>
      </w:r>
      <w:r w:rsidR="00DF3C74" w:rsidRPr="00EB44BE">
        <w:t xml:space="preserve"> tablets contain 200 mg of sorafenib (274 mg sorafenib tosylate). The tablets are film coated red round, biconvex marked with a Bayer cross on one side and “200” on the other and supplied in packs of </w:t>
      </w:r>
      <w:r w:rsidR="0092012D">
        <w:t xml:space="preserve">120, 112, and </w:t>
      </w:r>
      <w:r w:rsidR="0064045C">
        <w:t xml:space="preserve">60 </w:t>
      </w:r>
      <w:r w:rsidR="00F344D2">
        <w:t>tablets</w:t>
      </w:r>
      <w:r w:rsidR="0092012D">
        <w:t xml:space="preserve"> (</w:t>
      </w:r>
      <w:r w:rsidR="0028098D">
        <w:t>120 and 112 tablet pack sizes</w:t>
      </w:r>
      <w:r w:rsidR="0092012D">
        <w:t xml:space="preserve"> </w:t>
      </w:r>
      <w:r w:rsidR="0028098D">
        <w:t>are not</w:t>
      </w:r>
      <w:r w:rsidR="0092012D">
        <w:t xml:space="preserve"> marketed</w:t>
      </w:r>
      <w:r w:rsidR="0028098D">
        <w:t xml:space="preserve"> in </w:t>
      </w:r>
      <w:smartTag w:uri="urn:schemas-microsoft-com:office:smarttags" w:element="address">
        <w:smartTag w:uri="urn:schemas-microsoft-com:office:smarttags" w:element="Street">
          <w:r w:rsidR="0028098D">
            <w:t>Australia</w:t>
          </w:r>
        </w:smartTag>
      </w:smartTag>
      <w:r w:rsidR="0092012D">
        <w:t>)</w:t>
      </w:r>
      <w:r w:rsidR="00F344D2">
        <w:t>.</w:t>
      </w:r>
    </w:p>
    <w:p w:rsidR="00DF3C74" w:rsidRPr="00EB44BE" w:rsidRDefault="00DF3C74" w:rsidP="00217FB0">
      <w:pPr>
        <w:jc w:val="both"/>
      </w:pPr>
    </w:p>
    <w:p w:rsidR="00655FA2" w:rsidRPr="00EB44BE" w:rsidRDefault="00655FA2" w:rsidP="00217FB0">
      <w:pPr>
        <w:jc w:val="both"/>
      </w:pPr>
      <w:r w:rsidRPr="00EB44BE">
        <w:t xml:space="preserve">Shelf life is </w:t>
      </w:r>
      <w:r w:rsidR="00DF3C74" w:rsidRPr="00EB44BE">
        <w:t>3</w:t>
      </w:r>
      <w:r w:rsidRPr="00EB44BE">
        <w:t xml:space="preserve"> years when stored below </w:t>
      </w:r>
      <w:r w:rsidR="00DF3C74" w:rsidRPr="00EB44BE">
        <w:t>25</w:t>
      </w:r>
      <w:r w:rsidRPr="00EB44BE">
        <w:t>°C.</w:t>
      </w:r>
    </w:p>
    <w:p w:rsidR="00655FA2" w:rsidRPr="00EB44BE" w:rsidRDefault="00655FA2" w:rsidP="00217FB0">
      <w:pPr>
        <w:pStyle w:val="Heading1"/>
        <w:rPr>
          <w:lang w:val="en-GB"/>
        </w:rPr>
      </w:pPr>
      <w:r w:rsidRPr="00EB44BE">
        <w:rPr>
          <w:lang w:val="en-GB"/>
        </w:rPr>
        <w:t>NAME AND ADDRESS OF THE SPONSOR</w:t>
      </w:r>
    </w:p>
    <w:p w:rsidR="00383D04" w:rsidRPr="00EB44BE" w:rsidRDefault="00383D04" w:rsidP="008037F5">
      <w:pPr>
        <w:jc w:val="both"/>
      </w:pPr>
      <w:r w:rsidRPr="00EB44BE">
        <w:t>B</w:t>
      </w:r>
      <w:r w:rsidR="008037F5">
        <w:t>ayer Australia L</w:t>
      </w:r>
      <w:r w:rsidR="00BB4094">
        <w:t>td</w:t>
      </w:r>
    </w:p>
    <w:p w:rsidR="00383D04" w:rsidRPr="00EB44BE" w:rsidRDefault="00383D04" w:rsidP="008037F5">
      <w:pPr>
        <w:jc w:val="both"/>
      </w:pPr>
      <w:r w:rsidRPr="00EB44BE">
        <w:t>ABN 22 000 138 714</w:t>
      </w:r>
    </w:p>
    <w:p w:rsidR="00383D04" w:rsidRPr="00EB44BE" w:rsidRDefault="00383D04" w:rsidP="008037F5">
      <w:pPr>
        <w:jc w:val="both"/>
      </w:pPr>
      <w:smartTag w:uri="urn:schemas-microsoft-com:office:smarttags" w:element="PlaceType">
        <w:smartTag w:uri="urn:schemas-microsoft-com:office:smarttags" w:element="PlaceName">
          <w:r w:rsidRPr="00EB44BE">
            <w:t>875 Pacific Highway</w:t>
          </w:r>
        </w:smartTag>
      </w:smartTag>
    </w:p>
    <w:p w:rsidR="00DF3C74" w:rsidRPr="00EB44BE" w:rsidRDefault="00383D04" w:rsidP="008037F5">
      <w:pPr>
        <w:jc w:val="both"/>
      </w:pPr>
      <w:r w:rsidRPr="00EB44BE">
        <w:t>P</w:t>
      </w:r>
      <w:r w:rsidR="008037F5">
        <w:t>ymble</w:t>
      </w:r>
      <w:r w:rsidR="00127346">
        <w:t>,</w:t>
      </w:r>
      <w:r w:rsidRPr="00EB44BE">
        <w:t xml:space="preserve"> NSW 2073</w:t>
      </w:r>
    </w:p>
    <w:p w:rsidR="00655FA2" w:rsidRPr="00EB44BE" w:rsidRDefault="00655FA2" w:rsidP="00217FB0">
      <w:pPr>
        <w:pStyle w:val="Heading1"/>
        <w:rPr>
          <w:lang w:val="en-GB"/>
        </w:rPr>
      </w:pPr>
      <w:r w:rsidRPr="00EB44BE">
        <w:rPr>
          <w:lang w:val="en-GB"/>
        </w:rPr>
        <w:t>POISON SCHEDULE</w:t>
      </w:r>
      <w:r w:rsidR="00BE0E14">
        <w:rPr>
          <w:lang w:val="en-GB"/>
        </w:rPr>
        <w:t xml:space="preserve"> of the medicine</w:t>
      </w:r>
    </w:p>
    <w:p w:rsidR="00655FA2" w:rsidRPr="00EB44BE" w:rsidRDefault="00655FA2" w:rsidP="00217FB0">
      <w:pPr>
        <w:jc w:val="both"/>
      </w:pPr>
      <w:r w:rsidRPr="00EB44BE">
        <w:t>PRESCRIPTION ONLY MEDICINE</w:t>
      </w:r>
    </w:p>
    <w:p w:rsidR="00591506" w:rsidRDefault="00655FA2" w:rsidP="00217FB0">
      <w:pPr>
        <w:pStyle w:val="Heading1"/>
        <w:rPr>
          <w:lang w:val="en-GB"/>
        </w:rPr>
      </w:pPr>
      <w:r w:rsidRPr="00EB44BE">
        <w:rPr>
          <w:lang w:val="en-GB"/>
        </w:rPr>
        <w:t>DATE OF</w:t>
      </w:r>
      <w:r w:rsidR="003E4E28">
        <w:rPr>
          <w:lang w:val="en-GB"/>
        </w:rPr>
        <w:t xml:space="preserve"> first inclusion in the artg</w:t>
      </w:r>
    </w:p>
    <w:p w:rsidR="00655FA2" w:rsidRPr="00BE0E14" w:rsidRDefault="00BE0E14" w:rsidP="00BE0E14">
      <w:r w:rsidRPr="00BE0E14">
        <w:t>27 September 2006</w:t>
      </w:r>
    </w:p>
    <w:p w:rsidR="00B86D4C" w:rsidRDefault="00BE0E14" w:rsidP="0040733F">
      <w:pPr>
        <w:pStyle w:val="Heading1"/>
      </w:pPr>
      <w:r w:rsidRPr="00BE0E14">
        <w:t>Date of most recent amendment:</w:t>
      </w:r>
      <w:r w:rsidR="007D7D90">
        <w:t xml:space="preserve"> </w:t>
      </w:r>
    </w:p>
    <w:p w:rsidR="0040733F" w:rsidRDefault="009A2766" w:rsidP="0040733F">
      <w:pPr>
        <w:rPr>
          <w:lang w:val="en-AU"/>
        </w:rPr>
      </w:pPr>
      <w:r>
        <w:rPr>
          <w:lang w:val="en-AU"/>
        </w:rPr>
        <w:t>22 April 2014</w:t>
      </w:r>
    </w:p>
    <w:p w:rsidR="0040733F" w:rsidRPr="0040733F" w:rsidRDefault="0040733F" w:rsidP="0040733F">
      <w:pPr>
        <w:rPr>
          <w:lang w:val="en-AU"/>
        </w:rPr>
      </w:pPr>
    </w:p>
    <w:p w:rsidR="00A64A93" w:rsidRPr="00B04E45" w:rsidRDefault="00F344D2" w:rsidP="00B86D4C">
      <w:r w:rsidRPr="00127346">
        <w:rPr>
          <w:vertAlign w:val="superscript"/>
        </w:rPr>
        <w:t>®</w:t>
      </w:r>
      <w:r w:rsidRPr="00B04E45">
        <w:t xml:space="preserve"> Registered </w:t>
      </w:r>
      <w:r w:rsidR="00946806">
        <w:t>T</w:t>
      </w:r>
      <w:r w:rsidRPr="00B04E45">
        <w:t xml:space="preserve">rademark of Bayer </w:t>
      </w:r>
      <w:r w:rsidR="00946806">
        <w:t>AG</w:t>
      </w:r>
      <w:r w:rsidR="00C54710" w:rsidRPr="00B04E45">
        <w:t>, Germany</w:t>
      </w:r>
    </w:p>
    <w:sectPr w:rsidR="00A64A93" w:rsidRPr="00B04E45" w:rsidSect="0040733F">
      <w:headerReference w:type="default" r:id="rId21"/>
      <w:footerReference w:type="default" r:id="rId22"/>
      <w:pgSz w:w="11906" w:h="16838" w:code="9"/>
      <w:pgMar w:top="1588" w:right="851" w:bottom="1588" w:left="851" w:header="709" w:footer="59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09" w:rsidRDefault="00A56109">
      <w:r>
        <w:separator/>
      </w:r>
    </w:p>
  </w:endnote>
  <w:endnote w:type="continuationSeparator" w:id="0">
    <w:p w:rsidR="00A56109" w:rsidRDefault="00A5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B6" w:rsidRDefault="009A2766" w:rsidP="00146938">
    <w:pPr>
      <w:pBdr>
        <w:top w:val="single" w:sz="4" w:space="1" w:color="auto"/>
      </w:pBdr>
      <w:tabs>
        <w:tab w:val="right" w:pos="8931"/>
      </w:tabs>
      <w:ind w:right="-45"/>
      <w:rPr>
        <w:rFonts w:ascii="Arial" w:hAnsi="Arial" w:cs="Arial"/>
        <w:sz w:val="18"/>
      </w:rPr>
    </w:pPr>
    <w:r>
      <w:rPr>
        <w:color w:val="000000"/>
        <w:sz w:val="20"/>
        <w:szCs w:val="20"/>
        <w:lang w:val="fr-FR"/>
      </w:rPr>
      <w:t>140422</w:t>
    </w:r>
    <w:r w:rsidR="003D38E8">
      <w:rPr>
        <w:color w:val="000000"/>
        <w:sz w:val="20"/>
        <w:szCs w:val="20"/>
        <w:lang w:val="fr-FR"/>
      </w:rPr>
      <w:t xml:space="preserve"> </w:t>
    </w:r>
    <w:r w:rsidR="00E008B6">
      <w:rPr>
        <w:color w:val="000000"/>
        <w:sz w:val="20"/>
        <w:szCs w:val="20"/>
        <w:lang w:val="fr-FR"/>
      </w:rPr>
      <w:t xml:space="preserve"> </w:t>
    </w:r>
    <w:r w:rsidR="00E008B6" w:rsidRPr="009662C9">
      <w:rPr>
        <w:color w:val="000000"/>
        <w:sz w:val="20"/>
        <w:szCs w:val="20"/>
        <w:lang w:val="fr-FR"/>
      </w:rPr>
      <w:t>N</w:t>
    </w:r>
    <w:r w:rsidR="00E008B6">
      <w:rPr>
        <w:color w:val="000000"/>
        <w:sz w:val="20"/>
        <w:szCs w:val="20"/>
        <w:lang w:val="fr-FR"/>
      </w:rPr>
      <w:t>exavar</w:t>
    </w:r>
    <w:r w:rsidR="00E008B6" w:rsidRPr="009662C9">
      <w:rPr>
        <w:color w:val="000000"/>
        <w:sz w:val="20"/>
        <w:szCs w:val="20"/>
        <w:lang w:val="fr-FR"/>
      </w:rPr>
      <w:t xml:space="preserve"> PI</w:t>
    </w:r>
    <w:r w:rsidR="00E008B6">
      <w:rPr>
        <w:color w:val="000000"/>
        <w:sz w:val="20"/>
        <w:szCs w:val="20"/>
        <w:lang w:val="fr-FR"/>
      </w:rPr>
      <w:tab/>
      <w:t xml:space="preserve">                               </w:t>
    </w:r>
    <w:r w:rsidR="00E008B6" w:rsidRPr="00146938">
      <w:rPr>
        <w:rStyle w:val="PageNumber"/>
        <w:sz w:val="20"/>
        <w:szCs w:val="20"/>
      </w:rPr>
      <w:t xml:space="preserve">Page </w:t>
    </w:r>
    <w:r w:rsidR="00E008B6" w:rsidRPr="00146938">
      <w:rPr>
        <w:rStyle w:val="PageNumber"/>
        <w:sz w:val="20"/>
        <w:szCs w:val="20"/>
      </w:rPr>
      <w:fldChar w:fldCharType="begin"/>
    </w:r>
    <w:r w:rsidR="00E008B6" w:rsidRPr="00146938">
      <w:rPr>
        <w:rStyle w:val="PageNumber"/>
        <w:sz w:val="20"/>
        <w:szCs w:val="20"/>
      </w:rPr>
      <w:instrText xml:space="preserve"> PAGE </w:instrText>
    </w:r>
    <w:r w:rsidR="00E008B6">
      <w:rPr>
        <w:rStyle w:val="PageNumber"/>
        <w:sz w:val="20"/>
        <w:szCs w:val="20"/>
      </w:rPr>
      <w:fldChar w:fldCharType="separate"/>
    </w:r>
    <w:r w:rsidR="00A8247A">
      <w:rPr>
        <w:rStyle w:val="PageNumber"/>
        <w:noProof/>
        <w:sz w:val="20"/>
        <w:szCs w:val="20"/>
      </w:rPr>
      <w:t>26</w:t>
    </w:r>
    <w:r w:rsidR="00E008B6" w:rsidRPr="00146938">
      <w:rPr>
        <w:rStyle w:val="PageNumber"/>
        <w:sz w:val="20"/>
        <w:szCs w:val="20"/>
      </w:rPr>
      <w:fldChar w:fldCharType="end"/>
    </w:r>
    <w:r w:rsidR="00E008B6" w:rsidRPr="00146938">
      <w:rPr>
        <w:rStyle w:val="PageNumber"/>
        <w:sz w:val="20"/>
        <w:szCs w:val="20"/>
      </w:rPr>
      <w:t xml:space="preserve"> of </w:t>
    </w:r>
    <w:r w:rsidR="00E008B6" w:rsidRPr="00146938">
      <w:rPr>
        <w:rStyle w:val="PageNumber"/>
        <w:sz w:val="20"/>
        <w:szCs w:val="20"/>
      </w:rPr>
      <w:fldChar w:fldCharType="begin"/>
    </w:r>
    <w:r w:rsidR="00E008B6" w:rsidRPr="00146938">
      <w:rPr>
        <w:rStyle w:val="PageNumber"/>
        <w:sz w:val="20"/>
        <w:szCs w:val="20"/>
      </w:rPr>
      <w:instrText xml:space="preserve"> NUMPAGES </w:instrText>
    </w:r>
    <w:r w:rsidR="00E008B6">
      <w:rPr>
        <w:rStyle w:val="PageNumber"/>
        <w:sz w:val="20"/>
        <w:szCs w:val="20"/>
      </w:rPr>
      <w:fldChar w:fldCharType="separate"/>
    </w:r>
    <w:r w:rsidR="00A8247A">
      <w:rPr>
        <w:rStyle w:val="PageNumber"/>
        <w:noProof/>
        <w:sz w:val="20"/>
        <w:szCs w:val="20"/>
      </w:rPr>
      <w:t>26</w:t>
    </w:r>
    <w:r w:rsidR="00E008B6" w:rsidRPr="00146938">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09" w:rsidRDefault="00A56109">
      <w:r>
        <w:separator/>
      </w:r>
    </w:p>
  </w:footnote>
  <w:footnote w:type="continuationSeparator" w:id="0">
    <w:p w:rsidR="00A56109" w:rsidRDefault="00A56109">
      <w:r>
        <w:continuationSeparator/>
      </w:r>
    </w:p>
  </w:footnote>
  <w:footnote w:id="1">
    <w:p w:rsidR="00E008B6" w:rsidRPr="001C4503" w:rsidRDefault="00E008B6" w:rsidP="001C4503">
      <w:pPr>
        <w:numPr>
          <w:ilvl w:val="0"/>
          <w:numId w:val="2"/>
        </w:numPr>
        <w:tabs>
          <w:tab w:val="clear" w:pos="720"/>
        </w:tabs>
        <w:ind w:left="360" w:hanging="360"/>
        <w:jc w:val="both"/>
        <w:rPr>
          <w:sz w:val="20"/>
          <w:szCs w:val="20"/>
        </w:rPr>
      </w:pPr>
      <w:r w:rsidRPr="00C51556">
        <w:rPr>
          <w:sz w:val="20"/>
          <w:szCs w:val="20"/>
          <w:lang w:val="de-DE"/>
        </w:rPr>
        <w:t xml:space="preserve">Motzer RJ, Bacik J, Schwartz LH, Reuter V, Russo P, Marion S </w:t>
      </w:r>
      <w:r w:rsidRPr="00C51556">
        <w:rPr>
          <w:i/>
          <w:sz w:val="20"/>
          <w:szCs w:val="20"/>
          <w:lang w:val="de-DE"/>
        </w:rPr>
        <w:t>et al</w:t>
      </w:r>
      <w:r w:rsidRPr="00C51556">
        <w:rPr>
          <w:sz w:val="20"/>
          <w:szCs w:val="20"/>
          <w:lang w:val="de-DE"/>
        </w:rPr>
        <w:t xml:space="preserve">. </w:t>
      </w:r>
      <w:r>
        <w:rPr>
          <w:sz w:val="20"/>
          <w:szCs w:val="20"/>
        </w:rPr>
        <w:t>P</w:t>
      </w:r>
      <w:r w:rsidRPr="001C4503">
        <w:rPr>
          <w:sz w:val="20"/>
          <w:szCs w:val="20"/>
        </w:rPr>
        <w:t>rognostic factors for survival in previously treated patients with metastatic renal cell carcinoma</w:t>
      </w:r>
      <w:r w:rsidRPr="001C4503">
        <w:rPr>
          <w:i/>
          <w:sz w:val="20"/>
          <w:szCs w:val="20"/>
        </w:rPr>
        <w:t>. J Clin Oncol</w:t>
      </w:r>
      <w:r w:rsidRPr="001C4503">
        <w:rPr>
          <w:sz w:val="20"/>
          <w:szCs w:val="20"/>
        </w:rPr>
        <w:t xml:space="preserve"> 2004;223:454-63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10031"/>
    </w:tblGrid>
    <w:tr w:rsidR="00A8247A" w:rsidTr="00A8247A">
      <w:tc>
        <w:tcPr>
          <w:tcW w:w="10031" w:type="dxa"/>
          <w:shd w:val="clear" w:color="auto" w:fill="E4F2E0"/>
        </w:tcPr>
        <w:p w:rsidR="00A8247A" w:rsidRPr="00A8247A" w:rsidRDefault="00A8247A" w:rsidP="00A8247A">
          <w:pPr>
            <w:spacing w:after="40"/>
            <w:jc w:val="left"/>
            <w:rPr>
              <w:rFonts w:ascii="Cambria" w:hAnsi="Cambria"/>
              <w:b/>
              <w:sz w:val="20"/>
              <w:szCs w:val="20"/>
            </w:rPr>
          </w:pPr>
          <w:r w:rsidRPr="00A8247A">
            <w:rPr>
              <w:rFonts w:ascii="Cambria" w:hAnsi="Cambria"/>
              <w:b/>
              <w:sz w:val="20"/>
              <w:szCs w:val="20"/>
            </w:rPr>
            <w:t xml:space="preserve">Attachment 1: Product information for </w:t>
          </w:r>
          <w:r w:rsidRPr="00A8247A">
            <w:rPr>
              <w:rFonts w:ascii="Cambria" w:hAnsi="Cambria"/>
              <w:b/>
              <w:sz w:val="20"/>
              <w:szCs w:val="20"/>
            </w:rPr>
            <w:t>AusPAR Nexavar Sorafenib Bayer Australia Ltd PM-2013-02057-1-4 Final 6 August 2014</w:t>
          </w:r>
          <w:r w:rsidRPr="00A8247A">
            <w:rPr>
              <w:rFonts w:ascii="Cambria" w:hAnsi="Cambria"/>
              <w:b/>
              <w:sz w:val="20"/>
              <w:szCs w:val="20"/>
            </w:rPr>
            <w:t>. This Product Information was approved at the time this AusPAR was published.</w:t>
          </w:r>
        </w:p>
      </w:tc>
    </w:tr>
  </w:tbl>
  <w:p w:rsidR="00A8247A" w:rsidRPr="00A8247A" w:rsidRDefault="00A8247A" w:rsidP="00A824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4ECD"/>
    <w:multiLevelType w:val="hybridMultilevel"/>
    <w:tmpl w:val="C3FC1C76"/>
    <w:lvl w:ilvl="0" w:tplc="8FC2817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AB291E"/>
    <w:multiLevelType w:val="hybridMultilevel"/>
    <w:tmpl w:val="82BA8F36"/>
    <w:lvl w:ilvl="0" w:tplc="87E27010">
      <w:numFmt w:val="bullet"/>
      <w:lvlText w:val=""/>
      <w:lvlJc w:val="left"/>
      <w:pPr>
        <w:tabs>
          <w:tab w:val="num" w:pos="1080"/>
        </w:tabs>
        <w:ind w:left="1080" w:hanging="72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75B03FA"/>
    <w:multiLevelType w:val="hybridMultilevel"/>
    <w:tmpl w:val="475C0B30"/>
    <w:lvl w:ilvl="0" w:tplc="8FC2817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725DC2"/>
    <w:multiLevelType w:val="hybridMultilevel"/>
    <w:tmpl w:val="425295E0"/>
    <w:lvl w:ilvl="0" w:tplc="B278175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BE835D7"/>
    <w:multiLevelType w:val="hybridMultilevel"/>
    <w:tmpl w:val="FD5AF72A"/>
    <w:lvl w:ilvl="0" w:tplc="94D07904">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83"/>
    <w:rsid w:val="0000219D"/>
    <w:rsid w:val="00002B1D"/>
    <w:rsid w:val="00003139"/>
    <w:rsid w:val="0000491D"/>
    <w:rsid w:val="0000656E"/>
    <w:rsid w:val="000076D7"/>
    <w:rsid w:val="00021A2E"/>
    <w:rsid w:val="000229AA"/>
    <w:rsid w:val="000237CD"/>
    <w:rsid w:val="00031C52"/>
    <w:rsid w:val="000344D4"/>
    <w:rsid w:val="00035C35"/>
    <w:rsid w:val="00040E3F"/>
    <w:rsid w:val="00046F8C"/>
    <w:rsid w:val="00052221"/>
    <w:rsid w:val="00054D58"/>
    <w:rsid w:val="00055B9A"/>
    <w:rsid w:val="000573C9"/>
    <w:rsid w:val="00061A6E"/>
    <w:rsid w:val="00064A62"/>
    <w:rsid w:val="00065ADE"/>
    <w:rsid w:val="0007047E"/>
    <w:rsid w:val="00070E12"/>
    <w:rsid w:val="000747D0"/>
    <w:rsid w:val="000755B9"/>
    <w:rsid w:val="000820FF"/>
    <w:rsid w:val="00086BAB"/>
    <w:rsid w:val="000965EC"/>
    <w:rsid w:val="00096C6A"/>
    <w:rsid w:val="000A58D8"/>
    <w:rsid w:val="000A73DA"/>
    <w:rsid w:val="000B36F2"/>
    <w:rsid w:val="000B4192"/>
    <w:rsid w:val="000B5B27"/>
    <w:rsid w:val="000C4AE9"/>
    <w:rsid w:val="000C4CE7"/>
    <w:rsid w:val="000C5FDE"/>
    <w:rsid w:val="000D003C"/>
    <w:rsid w:val="000D5086"/>
    <w:rsid w:val="000E482D"/>
    <w:rsid w:val="000E6FE9"/>
    <w:rsid w:val="000F0FDB"/>
    <w:rsid w:val="000F3FF4"/>
    <w:rsid w:val="000F5370"/>
    <w:rsid w:val="001024F2"/>
    <w:rsid w:val="00104774"/>
    <w:rsid w:val="00105A54"/>
    <w:rsid w:val="0010752E"/>
    <w:rsid w:val="001117D0"/>
    <w:rsid w:val="00120D5B"/>
    <w:rsid w:val="00125E87"/>
    <w:rsid w:val="00127346"/>
    <w:rsid w:val="0013363C"/>
    <w:rsid w:val="001347C5"/>
    <w:rsid w:val="00136809"/>
    <w:rsid w:val="00141876"/>
    <w:rsid w:val="00141C90"/>
    <w:rsid w:val="00143429"/>
    <w:rsid w:val="0014600C"/>
    <w:rsid w:val="00146440"/>
    <w:rsid w:val="00146938"/>
    <w:rsid w:val="001500D6"/>
    <w:rsid w:val="001577E2"/>
    <w:rsid w:val="001641B3"/>
    <w:rsid w:val="00175795"/>
    <w:rsid w:val="00182548"/>
    <w:rsid w:val="00186E90"/>
    <w:rsid w:val="00193EFB"/>
    <w:rsid w:val="001967E6"/>
    <w:rsid w:val="001A2993"/>
    <w:rsid w:val="001B027E"/>
    <w:rsid w:val="001B2BB6"/>
    <w:rsid w:val="001B5A2B"/>
    <w:rsid w:val="001C3829"/>
    <w:rsid w:val="001C4503"/>
    <w:rsid w:val="001C7DBB"/>
    <w:rsid w:val="001D1DBB"/>
    <w:rsid w:val="001D2D41"/>
    <w:rsid w:val="001E24A4"/>
    <w:rsid w:val="001E29E3"/>
    <w:rsid w:val="001E66D3"/>
    <w:rsid w:val="001E7AF5"/>
    <w:rsid w:val="001F30AB"/>
    <w:rsid w:val="001F77DB"/>
    <w:rsid w:val="00200E1E"/>
    <w:rsid w:val="0020139C"/>
    <w:rsid w:val="002020C7"/>
    <w:rsid w:val="002046DA"/>
    <w:rsid w:val="00204DAD"/>
    <w:rsid w:val="002064D9"/>
    <w:rsid w:val="00213A71"/>
    <w:rsid w:val="00214B29"/>
    <w:rsid w:val="00217EE5"/>
    <w:rsid w:val="00217FB0"/>
    <w:rsid w:val="002237EB"/>
    <w:rsid w:val="0022786C"/>
    <w:rsid w:val="00231C9C"/>
    <w:rsid w:val="00234CE6"/>
    <w:rsid w:val="00235262"/>
    <w:rsid w:val="0024023A"/>
    <w:rsid w:val="00242E08"/>
    <w:rsid w:val="00261FD4"/>
    <w:rsid w:val="00265A34"/>
    <w:rsid w:val="0026673A"/>
    <w:rsid w:val="002703B3"/>
    <w:rsid w:val="00270780"/>
    <w:rsid w:val="002725B3"/>
    <w:rsid w:val="00275506"/>
    <w:rsid w:val="0028098D"/>
    <w:rsid w:val="00282F12"/>
    <w:rsid w:val="0029201B"/>
    <w:rsid w:val="00295AF5"/>
    <w:rsid w:val="0029763C"/>
    <w:rsid w:val="002A1E09"/>
    <w:rsid w:val="002A3D10"/>
    <w:rsid w:val="002A48B4"/>
    <w:rsid w:val="002A4A67"/>
    <w:rsid w:val="002A59D8"/>
    <w:rsid w:val="002A638D"/>
    <w:rsid w:val="002B2E7A"/>
    <w:rsid w:val="002B441F"/>
    <w:rsid w:val="002B70FA"/>
    <w:rsid w:val="002C1601"/>
    <w:rsid w:val="002C45D0"/>
    <w:rsid w:val="002D30AB"/>
    <w:rsid w:val="002D60BC"/>
    <w:rsid w:val="002F1C96"/>
    <w:rsid w:val="002F39F9"/>
    <w:rsid w:val="002F4503"/>
    <w:rsid w:val="002F48C4"/>
    <w:rsid w:val="002F4A73"/>
    <w:rsid w:val="003029EA"/>
    <w:rsid w:val="003032FC"/>
    <w:rsid w:val="00307649"/>
    <w:rsid w:val="00313AF0"/>
    <w:rsid w:val="00323129"/>
    <w:rsid w:val="00330949"/>
    <w:rsid w:val="0033324A"/>
    <w:rsid w:val="003363D0"/>
    <w:rsid w:val="00352090"/>
    <w:rsid w:val="00354AD4"/>
    <w:rsid w:val="00356BEB"/>
    <w:rsid w:val="0036058A"/>
    <w:rsid w:val="003652B8"/>
    <w:rsid w:val="003820AD"/>
    <w:rsid w:val="00382878"/>
    <w:rsid w:val="00383D04"/>
    <w:rsid w:val="00386234"/>
    <w:rsid w:val="00392484"/>
    <w:rsid w:val="003928FE"/>
    <w:rsid w:val="00395063"/>
    <w:rsid w:val="00395567"/>
    <w:rsid w:val="00395BFD"/>
    <w:rsid w:val="00396903"/>
    <w:rsid w:val="00396E08"/>
    <w:rsid w:val="00397E50"/>
    <w:rsid w:val="003A00A1"/>
    <w:rsid w:val="003A4AED"/>
    <w:rsid w:val="003B7F6A"/>
    <w:rsid w:val="003C2D4A"/>
    <w:rsid w:val="003D27ED"/>
    <w:rsid w:val="003D38E8"/>
    <w:rsid w:val="003D4578"/>
    <w:rsid w:val="003D5315"/>
    <w:rsid w:val="003E18F9"/>
    <w:rsid w:val="003E1CBA"/>
    <w:rsid w:val="003E4E28"/>
    <w:rsid w:val="003E5754"/>
    <w:rsid w:val="003E69B1"/>
    <w:rsid w:val="003F6395"/>
    <w:rsid w:val="003F7EAD"/>
    <w:rsid w:val="00403A40"/>
    <w:rsid w:val="00405FA3"/>
    <w:rsid w:val="0040733F"/>
    <w:rsid w:val="004112DD"/>
    <w:rsid w:val="004116FA"/>
    <w:rsid w:val="00412582"/>
    <w:rsid w:val="00412D43"/>
    <w:rsid w:val="004131C4"/>
    <w:rsid w:val="00416DCA"/>
    <w:rsid w:val="00424A98"/>
    <w:rsid w:val="00426CBC"/>
    <w:rsid w:val="00430415"/>
    <w:rsid w:val="00433C7A"/>
    <w:rsid w:val="0043566B"/>
    <w:rsid w:val="00437613"/>
    <w:rsid w:val="00440022"/>
    <w:rsid w:val="004536E5"/>
    <w:rsid w:val="0045678D"/>
    <w:rsid w:val="00456BB8"/>
    <w:rsid w:val="0045708B"/>
    <w:rsid w:val="00460146"/>
    <w:rsid w:val="00462066"/>
    <w:rsid w:val="00465DE8"/>
    <w:rsid w:val="00465E74"/>
    <w:rsid w:val="00466CB7"/>
    <w:rsid w:val="004675C2"/>
    <w:rsid w:val="00470B1B"/>
    <w:rsid w:val="0047187D"/>
    <w:rsid w:val="004775BC"/>
    <w:rsid w:val="00480516"/>
    <w:rsid w:val="00490D2D"/>
    <w:rsid w:val="004927F2"/>
    <w:rsid w:val="00493047"/>
    <w:rsid w:val="00493649"/>
    <w:rsid w:val="004A142D"/>
    <w:rsid w:val="004A2FED"/>
    <w:rsid w:val="004A4DA6"/>
    <w:rsid w:val="004A5067"/>
    <w:rsid w:val="004B15D0"/>
    <w:rsid w:val="004B441A"/>
    <w:rsid w:val="004B47EE"/>
    <w:rsid w:val="004C36CA"/>
    <w:rsid w:val="004C47A8"/>
    <w:rsid w:val="004C48CF"/>
    <w:rsid w:val="004D0908"/>
    <w:rsid w:val="004D144C"/>
    <w:rsid w:val="004D2819"/>
    <w:rsid w:val="004D3068"/>
    <w:rsid w:val="004D6652"/>
    <w:rsid w:val="004E0212"/>
    <w:rsid w:val="004E31E4"/>
    <w:rsid w:val="004E44DE"/>
    <w:rsid w:val="004E77E6"/>
    <w:rsid w:val="004F1E0B"/>
    <w:rsid w:val="004F7A5C"/>
    <w:rsid w:val="005057D7"/>
    <w:rsid w:val="00505CD4"/>
    <w:rsid w:val="00506564"/>
    <w:rsid w:val="005067F6"/>
    <w:rsid w:val="00510894"/>
    <w:rsid w:val="00515DFA"/>
    <w:rsid w:val="00523AEC"/>
    <w:rsid w:val="0052531B"/>
    <w:rsid w:val="005323CD"/>
    <w:rsid w:val="00533310"/>
    <w:rsid w:val="00535EED"/>
    <w:rsid w:val="0053773D"/>
    <w:rsid w:val="00542A40"/>
    <w:rsid w:val="00544D1B"/>
    <w:rsid w:val="0055183D"/>
    <w:rsid w:val="00554486"/>
    <w:rsid w:val="00562AC8"/>
    <w:rsid w:val="00562B57"/>
    <w:rsid w:val="00562F45"/>
    <w:rsid w:val="005663FB"/>
    <w:rsid w:val="005667C8"/>
    <w:rsid w:val="00566E05"/>
    <w:rsid w:val="00567489"/>
    <w:rsid w:val="00571A81"/>
    <w:rsid w:val="005739CC"/>
    <w:rsid w:val="00577938"/>
    <w:rsid w:val="0057799A"/>
    <w:rsid w:val="00580E9A"/>
    <w:rsid w:val="00582D8A"/>
    <w:rsid w:val="005847D5"/>
    <w:rsid w:val="005860C0"/>
    <w:rsid w:val="00590B7A"/>
    <w:rsid w:val="0059128D"/>
    <w:rsid w:val="00591506"/>
    <w:rsid w:val="00593E23"/>
    <w:rsid w:val="00594282"/>
    <w:rsid w:val="00595B86"/>
    <w:rsid w:val="0059615F"/>
    <w:rsid w:val="005973F0"/>
    <w:rsid w:val="005A0593"/>
    <w:rsid w:val="005A140C"/>
    <w:rsid w:val="005B2D2F"/>
    <w:rsid w:val="005C1EF0"/>
    <w:rsid w:val="005C33CF"/>
    <w:rsid w:val="005D5471"/>
    <w:rsid w:val="005E1A4C"/>
    <w:rsid w:val="005E2618"/>
    <w:rsid w:val="005E5556"/>
    <w:rsid w:val="005F0C47"/>
    <w:rsid w:val="005F1BCB"/>
    <w:rsid w:val="00601A66"/>
    <w:rsid w:val="00601FCB"/>
    <w:rsid w:val="00605B12"/>
    <w:rsid w:val="00607B33"/>
    <w:rsid w:val="00610051"/>
    <w:rsid w:val="00611AFE"/>
    <w:rsid w:val="00620E15"/>
    <w:rsid w:val="00623F54"/>
    <w:rsid w:val="006258F7"/>
    <w:rsid w:val="006274C5"/>
    <w:rsid w:val="00631DF6"/>
    <w:rsid w:val="0063313C"/>
    <w:rsid w:val="0063585E"/>
    <w:rsid w:val="006376A0"/>
    <w:rsid w:val="0064045C"/>
    <w:rsid w:val="006437E3"/>
    <w:rsid w:val="00644388"/>
    <w:rsid w:val="006445CA"/>
    <w:rsid w:val="00645EE0"/>
    <w:rsid w:val="00651D1A"/>
    <w:rsid w:val="00653C82"/>
    <w:rsid w:val="0065436A"/>
    <w:rsid w:val="00655455"/>
    <w:rsid w:val="00655FA2"/>
    <w:rsid w:val="006569D3"/>
    <w:rsid w:val="00657E99"/>
    <w:rsid w:val="00670EC4"/>
    <w:rsid w:val="0067696F"/>
    <w:rsid w:val="00683516"/>
    <w:rsid w:val="00695985"/>
    <w:rsid w:val="006961E2"/>
    <w:rsid w:val="0069658F"/>
    <w:rsid w:val="006A2749"/>
    <w:rsid w:val="006A62D9"/>
    <w:rsid w:val="006A7AD3"/>
    <w:rsid w:val="006A7F41"/>
    <w:rsid w:val="006B0BEE"/>
    <w:rsid w:val="006B14B8"/>
    <w:rsid w:val="006B35F8"/>
    <w:rsid w:val="006B4636"/>
    <w:rsid w:val="006B69B3"/>
    <w:rsid w:val="006B74B5"/>
    <w:rsid w:val="006C1E13"/>
    <w:rsid w:val="006C2129"/>
    <w:rsid w:val="006C4AF5"/>
    <w:rsid w:val="006C78DA"/>
    <w:rsid w:val="006F2571"/>
    <w:rsid w:val="006F4468"/>
    <w:rsid w:val="006F478C"/>
    <w:rsid w:val="006F7C03"/>
    <w:rsid w:val="007007D1"/>
    <w:rsid w:val="00704942"/>
    <w:rsid w:val="007063D1"/>
    <w:rsid w:val="007150C2"/>
    <w:rsid w:val="00724283"/>
    <w:rsid w:val="007249AF"/>
    <w:rsid w:val="00725515"/>
    <w:rsid w:val="00726AE3"/>
    <w:rsid w:val="00737D6B"/>
    <w:rsid w:val="00741AE1"/>
    <w:rsid w:val="00742AFF"/>
    <w:rsid w:val="00750248"/>
    <w:rsid w:val="00750C75"/>
    <w:rsid w:val="007528FE"/>
    <w:rsid w:val="00753055"/>
    <w:rsid w:val="007625DF"/>
    <w:rsid w:val="0076260F"/>
    <w:rsid w:val="00762A37"/>
    <w:rsid w:val="00767048"/>
    <w:rsid w:val="00770B2D"/>
    <w:rsid w:val="007762E7"/>
    <w:rsid w:val="00782C5E"/>
    <w:rsid w:val="007963E1"/>
    <w:rsid w:val="00797149"/>
    <w:rsid w:val="007A315E"/>
    <w:rsid w:val="007A5331"/>
    <w:rsid w:val="007A54A1"/>
    <w:rsid w:val="007A6124"/>
    <w:rsid w:val="007B04F7"/>
    <w:rsid w:val="007B0EF9"/>
    <w:rsid w:val="007B1590"/>
    <w:rsid w:val="007B209A"/>
    <w:rsid w:val="007B453D"/>
    <w:rsid w:val="007B6362"/>
    <w:rsid w:val="007C1276"/>
    <w:rsid w:val="007C268E"/>
    <w:rsid w:val="007D2F4E"/>
    <w:rsid w:val="007D474F"/>
    <w:rsid w:val="007D48B0"/>
    <w:rsid w:val="007D7D90"/>
    <w:rsid w:val="007E0668"/>
    <w:rsid w:val="007E6045"/>
    <w:rsid w:val="007F16B8"/>
    <w:rsid w:val="007F6165"/>
    <w:rsid w:val="00801635"/>
    <w:rsid w:val="008037F5"/>
    <w:rsid w:val="008045CD"/>
    <w:rsid w:val="0080599A"/>
    <w:rsid w:val="0080625D"/>
    <w:rsid w:val="00807DDD"/>
    <w:rsid w:val="00810EBC"/>
    <w:rsid w:val="00816E9D"/>
    <w:rsid w:val="00821160"/>
    <w:rsid w:val="00824670"/>
    <w:rsid w:val="0082659B"/>
    <w:rsid w:val="00830490"/>
    <w:rsid w:val="00830C9E"/>
    <w:rsid w:val="00830CAD"/>
    <w:rsid w:val="00833710"/>
    <w:rsid w:val="00834EE5"/>
    <w:rsid w:val="00836B3D"/>
    <w:rsid w:val="00837FF9"/>
    <w:rsid w:val="00842383"/>
    <w:rsid w:val="008429AF"/>
    <w:rsid w:val="00843599"/>
    <w:rsid w:val="00853C00"/>
    <w:rsid w:val="00854B19"/>
    <w:rsid w:val="00865BEB"/>
    <w:rsid w:val="008800B7"/>
    <w:rsid w:val="008875CD"/>
    <w:rsid w:val="00891535"/>
    <w:rsid w:val="00892E17"/>
    <w:rsid w:val="00897604"/>
    <w:rsid w:val="008A039A"/>
    <w:rsid w:val="008A5E9C"/>
    <w:rsid w:val="008A639F"/>
    <w:rsid w:val="008B1986"/>
    <w:rsid w:val="008B2688"/>
    <w:rsid w:val="008B2F10"/>
    <w:rsid w:val="008B5BE5"/>
    <w:rsid w:val="008B6795"/>
    <w:rsid w:val="008C228C"/>
    <w:rsid w:val="008D1F04"/>
    <w:rsid w:val="008D37B9"/>
    <w:rsid w:val="008D7C80"/>
    <w:rsid w:val="008E1364"/>
    <w:rsid w:val="008E2834"/>
    <w:rsid w:val="008E2976"/>
    <w:rsid w:val="008E6641"/>
    <w:rsid w:val="008E74E0"/>
    <w:rsid w:val="008F0589"/>
    <w:rsid w:val="008F1319"/>
    <w:rsid w:val="008F202B"/>
    <w:rsid w:val="008F26C0"/>
    <w:rsid w:val="008F2812"/>
    <w:rsid w:val="008F4FF6"/>
    <w:rsid w:val="009002ED"/>
    <w:rsid w:val="00900BCF"/>
    <w:rsid w:val="0090197C"/>
    <w:rsid w:val="00901DF4"/>
    <w:rsid w:val="00901FDE"/>
    <w:rsid w:val="009028A0"/>
    <w:rsid w:val="00904ACE"/>
    <w:rsid w:val="00905DFC"/>
    <w:rsid w:val="009067E1"/>
    <w:rsid w:val="00910192"/>
    <w:rsid w:val="009103A0"/>
    <w:rsid w:val="0091141F"/>
    <w:rsid w:val="00911A58"/>
    <w:rsid w:val="00913E50"/>
    <w:rsid w:val="00915DFA"/>
    <w:rsid w:val="009179CA"/>
    <w:rsid w:val="0092012D"/>
    <w:rsid w:val="0092324E"/>
    <w:rsid w:val="0092335E"/>
    <w:rsid w:val="00930896"/>
    <w:rsid w:val="009318C7"/>
    <w:rsid w:val="00943A13"/>
    <w:rsid w:val="0094418E"/>
    <w:rsid w:val="00946806"/>
    <w:rsid w:val="0094779B"/>
    <w:rsid w:val="00953412"/>
    <w:rsid w:val="009617F0"/>
    <w:rsid w:val="009627FC"/>
    <w:rsid w:val="009630D7"/>
    <w:rsid w:val="009662C9"/>
    <w:rsid w:val="009704E0"/>
    <w:rsid w:val="0097063E"/>
    <w:rsid w:val="00974C3A"/>
    <w:rsid w:val="009753C0"/>
    <w:rsid w:val="00976390"/>
    <w:rsid w:val="009825D9"/>
    <w:rsid w:val="00983C4E"/>
    <w:rsid w:val="00983F06"/>
    <w:rsid w:val="00984B09"/>
    <w:rsid w:val="0099016F"/>
    <w:rsid w:val="009936AC"/>
    <w:rsid w:val="009A085F"/>
    <w:rsid w:val="009A1BCA"/>
    <w:rsid w:val="009A2766"/>
    <w:rsid w:val="009A6BB6"/>
    <w:rsid w:val="009A7616"/>
    <w:rsid w:val="009B0AB8"/>
    <w:rsid w:val="009B68ED"/>
    <w:rsid w:val="009D1DF4"/>
    <w:rsid w:val="009D205F"/>
    <w:rsid w:val="009D4D15"/>
    <w:rsid w:val="009D75D5"/>
    <w:rsid w:val="009E28DF"/>
    <w:rsid w:val="009E3EA7"/>
    <w:rsid w:val="009E4576"/>
    <w:rsid w:val="009F4BCC"/>
    <w:rsid w:val="009F716C"/>
    <w:rsid w:val="009F7835"/>
    <w:rsid w:val="00A0442D"/>
    <w:rsid w:val="00A04933"/>
    <w:rsid w:val="00A118BB"/>
    <w:rsid w:val="00A13058"/>
    <w:rsid w:val="00A203AF"/>
    <w:rsid w:val="00A211E6"/>
    <w:rsid w:val="00A23F33"/>
    <w:rsid w:val="00A27A48"/>
    <w:rsid w:val="00A3285B"/>
    <w:rsid w:val="00A41126"/>
    <w:rsid w:val="00A44454"/>
    <w:rsid w:val="00A51AF8"/>
    <w:rsid w:val="00A5284D"/>
    <w:rsid w:val="00A54E85"/>
    <w:rsid w:val="00A56109"/>
    <w:rsid w:val="00A5704C"/>
    <w:rsid w:val="00A61B5D"/>
    <w:rsid w:val="00A6284C"/>
    <w:rsid w:val="00A64A93"/>
    <w:rsid w:val="00A65CF4"/>
    <w:rsid w:val="00A705CF"/>
    <w:rsid w:val="00A72534"/>
    <w:rsid w:val="00A8247A"/>
    <w:rsid w:val="00A94CEE"/>
    <w:rsid w:val="00A97B9D"/>
    <w:rsid w:val="00AA01E6"/>
    <w:rsid w:val="00AA22F2"/>
    <w:rsid w:val="00AA3A7C"/>
    <w:rsid w:val="00AB1978"/>
    <w:rsid w:val="00AB4948"/>
    <w:rsid w:val="00AB64F3"/>
    <w:rsid w:val="00AC4AD4"/>
    <w:rsid w:val="00AD00A7"/>
    <w:rsid w:val="00AD3506"/>
    <w:rsid w:val="00AD359F"/>
    <w:rsid w:val="00AE0E81"/>
    <w:rsid w:val="00AF4E07"/>
    <w:rsid w:val="00B01FA5"/>
    <w:rsid w:val="00B03272"/>
    <w:rsid w:val="00B04E45"/>
    <w:rsid w:val="00B051EA"/>
    <w:rsid w:val="00B1340B"/>
    <w:rsid w:val="00B21170"/>
    <w:rsid w:val="00B21638"/>
    <w:rsid w:val="00B23FC6"/>
    <w:rsid w:val="00B252B7"/>
    <w:rsid w:val="00B274A4"/>
    <w:rsid w:val="00B359CA"/>
    <w:rsid w:val="00B4188D"/>
    <w:rsid w:val="00B41FED"/>
    <w:rsid w:val="00B511ED"/>
    <w:rsid w:val="00B5120A"/>
    <w:rsid w:val="00B55178"/>
    <w:rsid w:val="00B57141"/>
    <w:rsid w:val="00B660BE"/>
    <w:rsid w:val="00B72758"/>
    <w:rsid w:val="00B806D3"/>
    <w:rsid w:val="00B81B6B"/>
    <w:rsid w:val="00B86D30"/>
    <w:rsid w:val="00B86D4C"/>
    <w:rsid w:val="00B874FE"/>
    <w:rsid w:val="00B915ED"/>
    <w:rsid w:val="00B97DB6"/>
    <w:rsid w:val="00BA0DBC"/>
    <w:rsid w:val="00BA4CA6"/>
    <w:rsid w:val="00BA53AF"/>
    <w:rsid w:val="00BA7393"/>
    <w:rsid w:val="00BA777B"/>
    <w:rsid w:val="00BB262C"/>
    <w:rsid w:val="00BB4094"/>
    <w:rsid w:val="00BB7495"/>
    <w:rsid w:val="00BC3460"/>
    <w:rsid w:val="00BC55EB"/>
    <w:rsid w:val="00BC61D6"/>
    <w:rsid w:val="00BC7342"/>
    <w:rsid w:val="00BE0E14"/>
    <w:rsid w:val="00BF0395"/>
    <w:rsid w:val="00BF0C52"/>
    <w:rsid w:val="00BF0D0F"/>
    <w:rsid w:val="00BF5A73"/>
    <w:rsid w:val="00BF77BD"/>
    <w:rsid w:val="00C02C60"/>
    <w:rsid w:val="00C03919"/>
    <w:rsid w:val="00C05893"/>
    <w:rsid w:val="00C26D24"/>
    <w:rsid w:val="00C30F0E"/>
    <w:rsid w:val="00C355F2"/>
    <w:rsid w:val="00C360DD"/>
    <w:rsid w:val="00C41CC9"/>
    <w:rsid w:val="00C425BC"/>
    <w:rsid w:val="00C4468A"/>
    <w:rsid w:val="00C46C6D"/>
    <w:rsid w:val="00C47447"/>
    <w:rsid w:val="00C51556"/>
    <w:rsid w:val="00C51ECB"/>
    <w:rsid w:val="00C54710"/>
    <w:rsid w:val="00C57387"/>
    <w:rsid w:val="00C641DB"/>
    <w:rsid w:val="00C66973"/>
    <w:rsid w:val="00C73158"/>
    <w:rsid w:val="00C77A47"/>
    <w:rsid w:val="00C77F20"/>
    <w:rsid w:val="00C843EA"/>
    <w:rsid w:val="00C84872"/>
    <w:rsid w:val="00C861DA"/>
    <w:rsid w:val="00C86A83"/>
    <w:rsid w:val="00C86D87"/>
    <w:rsid w:val="00C94F7F"/>
    <w:rsid w:val="00CA0C4D"/>
    <w:rsid w:val="00CA300A"/>
    <w:rsid w:val="00CA7821"/>
    <w:rsid w:val="00CB026D"/>
    <w:rsid w:val="00CB169B"/>
    <w:rsid w:val="00CB45B4"/>
    <w:rsid w:val="00CB6860"/>
    <w:rsid w:val="00CC0194"/>
    <w:rsid w:val="00CC0817"/>
    <w:rsid w:val="00CC195B"/>
    <w:rsid w:val="00CC4292"/>
    <w:rsid w:val="00CC54B4"/>
    <w:rsid w:val="00CD3890"/>
    <w:rsid w:val="00CD4D8F"/>
    <w:rsid w:val="00CD694B"/>
    <w:rsid w:val="00CE0432"/>
    <w:rsid w:val="00CE1BCA"/>
    <w:rsid w:val="00CE46F0"/>
    <w:rsid w:val="00CE6A18"/>
    <w:rsid w:val="00CF0DFF"/>
    <w:rsid w:val="00CF3FA9"/>
    <w:rsid w:val="00CF4DBA"/>
    <w:rsid w:val="00CF5A5C"/>
    <w:rsid w:val="00CF701B"/>
    <w:rsid w:val="00D0668B"/>
    <w:rsid w:val="00D105BE"/>
    <w:rsid w:val="00D1231A"/>
    <w:rsid w:val="00D12747"/>
    <w:rsid w:val="00D15A64"/>
    <w:rsid w:val="00D171AA"/>
    <w:rsid w:val="00D17FE3"/>
    <w:rsid w:val="00D21233"/>
    <w:rsid w:val="00D23198"/>
    <w:rsid w:val="00D27F3A"/>
    <w:rsid w:val="00D30D81"/>
    <w:rsid w:val="00D3511F"/>
    <w:rsid w:val="00D37532"/>
    <w:rsid w:val="00D401CE"/>
    <w:rsid w:val="00D40252"/>
    <w:rsid w:val="00D45B5B"/>
    <w:rsid w:val="00D6234D"/>
    <w:rsid w:val="00D657F7"/>
    <w:rsid w:val="00D670AD"/>
    <w:rsid w:val="00D71908"/>
    <w:rsid w:val="00D7586E"/>
    <w:rsid w:val="00D77565"/>
    <w:rsid w:val="00D80323"/>
    <w:rsid w:val="00D84545"/>
    <w:rsid w:val="00D9162C"/>
    <w:rsid w:val="00D91BE0"/>
    <w:rsid w:val="00DA0F92"/>
    <w:rsid w:val="00DA2655"/>
    <w:rsid w:val="00DA26D3"/>
    <w:rsid w:val="00DA2A0D"/>
    <w:rsid w:val="00DA2C9D"/>
    <w:rsid w:val="00DA2FBD"/>
    <w:rsid w:val="00DB053F"/>
    <w:rsid w:val="00DB18BC"/>
    <w:rsid w:val="00DB2AAB"/>
    <w:rsid w:val="00DB2E1F"/>
    <w:rsid w:val="00DB7327"/>
    <w:rsid w:val="00DB7FF8"/>
    <w:rsid w:val="00DC7385"/>
    <w:rsid w:val="00DC7EE9"/>
    <w:rsid w:val="00DD0BBC"/>
    <w:rsid w:val="00DD313D"/>
    <w:rsid w:val="00DD642C"/>
    <w:rsid w:val="00DE0E81"/>
    <w:rsid w:val="00DE2F9E"/>
    <w:rsid w:val="00DE76FF"/>
    <w:rsid w:val="00DF11AE"/>
    <w:rsid w:val="00DF2193"/>
    <w:rsid w:val="00DF3C74"/>
    <w:rsid w:val="00E008B6"/>
    <w:rsid w:val="00E01D38"/>
    <w:rsid w:val="00E0366D"/>
    <w:rsid w:val="00E04168"/>
    <w:rsid w:val="00E04403"/>
    <w:rsid w:val="00E06A47"/>
    <w:rsid w:val="00E10D65"/>
    <w:rsid w:val="00E1240A"/>
    <w:rsid w:val="00E157B8"/>
    <w:rsid w:val="00E20FA7"/>
    <w:rsid w:val="00E3183B"/>
    <w:rsid w:val="00E326EE"/>
    <w:rsid w:val="00E32E71"/>
    <w:rsid w:val="00E35FC9"/>
    <w:rsid w:val="00E36623"/>
    <w:rsid w:val="00E47C58"/>
    <w:rsid w:val="00E55B18"/>
    <w:rsid w:val="00E55CF4"/>
    <w:rsid w:val="00E658EA"/>
    <w:rsid w:val="00E65E5F"/>
    <w:rsid w:val="00E66BAF"/>
    <w:rsid w:val="00E80E62"/>
    <w:rsid w:val="00E81ACF"/>
    <w:rsid w:val="00E83310"/>
    <w:rsid w:val="00E8538A"/>
    <w:rsid w:val="00E90089"/>
    <w:rsid w:val="00E92E16"/>
    <w:rsid w:val="00E942CC"/>
    <w:rsid w:val="00E94AF6"/>
    <w:rsid w:val="00EB3190"/>
    <w:rsid w:val="00EB44BE"/>
    <w:rsid w:val="00EB73F3"/>
    <w:rsid w:val="00EB7524"/>
    <w:rsid w:val="00EC2DA8"/>
    <w:rsid w:val="00EC3770"/>
    <w:rsid w:val="00EE2A40"/>
    <w:rsid w:val="00EF1BA0"/>
    <w:rsid w:val="00EF1C47"/>
    <w:rsid w:val="00EF2135"/>
    <w:rsid w:val="00EF641B"/>
    <w:rsid w:val="00EF6A6F"/>
    <w:rsid w:val="00EF77CA"/>
    <w:rsid w:val="00F009B5"/>
    <w:rsid w:val="00F04359"/>
    <w:rsid w:val="00F06A71"/>
    <w:rsid w:val="00F1546E"/>
    <w:rsid w:val="00F2570E"/>
    <w:rsid w:val="00F2619B"/>
    <w:rsid w:val="00F268DE"/>
    <w:rsid w:val="00F3357F"/>
    <w:rsid w:val="00F33A0F"/>
    <w:rsid w:val="00F344D2"/>
    <w:rsid w:val="00F4405F"/>
    <w:rsid w:val="00F507BE"/>
    <w:rsid w:val="00F579F0"/>
    <w:rsid w:val="00F61FBA"/>
    <w:rsid w:val="00F70318"/>
    <w:rsid w:val="00F71EB1"/>
    <w:rsid w:val="00F73AA0"/>
    <w:rsid w:val="00F83BE3"/>
    <w:rsid w:val="00F85B46"/>
    <w:rsid w:val="00F900D6"/>
    <w:rsid w:val="00F91FB5"/>
    <w:rsid w:val="00F94267"/>
    <w:rsid w:val="00F959B8"/>
    <w:rsid w:val="00F96CBB"/>
    <w:rsid w:val="00FA1865"/>
    <w:rsid w:val="00FA21F2"/>
    <w:rsid w:val="00FA2BDE"/>
    <w:rsid w:val="00FA49FB"/>
    <w:rsid w:val="00FA7E3E"/>
    <w:rsid w:val="00FB58CA"/>
    <w:rsid w:val="00FC28B1"/>
    <w:rsid w:val="00FC4D4F"/>
    <w:rsid w:val="00FC7959"/>
    <w:rsid w:val="00FD17F9"/>
    <w:rsid w:val="00FD1910"/>
    <w:rsid w:val="00FD1FB4"/>
    <w:rsid w:val="00FD358C"/>
    <w:rsid w:val="00FD40D1"/>
    <w:rsid w:val="00FD68B1"/>
    <w:rsid w:val="00FD6B2B"/>
    <w:rsid w:val="00FE1930"/>
    <w:rsid w:val="00FE212A"/>
    <w:rsid w:val="00FE2A20"/>
    <w:rsid w:val="00FE4F49"/>
    <w:rsid w:val="00FE6C49"/>
    <w:rsid w:val="00FF3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47A"/>
    <w:rPr>
      <w:sz w:val="24"/>
      <w:szCs w:val="24"/>
      <w:lang w:val="en-GB" w:eastAsia="en-US"/>
    </w:rPr>
  </w:style>
  <w:style w:type="paragraph" w:styleId="Heading1">
    <w:name w:val="heading 1"/>
    <w:basedOn w:val="Normal"/>
    <w:next w:val="Normal"/>
    <w:qFormat/>
    <w:pPr>
      <w:keepNext/>
      <w:spacing w:before="360" w:after="240" w:line="280" w:lineRule="exact"/>
      <w:jc w:val="both"/>
      <w:outlineLvl w:val="0"/>
    </w:pPr>
    <w:rPr>
      <w:b/>
      <w:caps/>
      <w:kern w:val="28"/>
      <w:sz w:val="28"/>
      <w:szCs w:val="20"/>
      <w:lang w:val="en-AU"/>
    </w:rPr>
  </w:style>
  <w:style w:type="paragraph" w:styleId="Heading2">
    <w:name w:val="heading 2"/>
    <w:basedOn w:val="Normal"/>
    <w:next w:val="Normal"/>
    <w:link w:val="Heading2Char"/>
    <w:qFormat/>
    <w:pPr>
      <w:keepNext/>
      <w:spacing w:before="240" w:after="120" w:line="280" w:lineRule="exact"/>
      <w:jc w:val="both"/>
      <w:outlineLvl w:val="1"/>
    </w:pPr>
    <w:rPr>
      <w:b/>
      <w:szCs w:val="20"/>
      <w:lang w:val="en-AU"/>
    </w:rPr>
  </w:style>
  <w:style w:type="paragraph" w:styleId="Heading3">
    <w:name w:val="heading 3"/>
    <w:basedOn w:val="Normal"/>
    <w:next w:val="Normal"/>
    <w:qFormat/>
    <w:pPr>
      <w:keepNext/>
      <w:jc w:val="both"/>
      <w:outlineLvl w:val="2"/>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pPr>
      <w:spacing w:after="240"/>
      <w:jc w:val="both"/>
    </w:pPr>
    <w:rPr>
      <w:b/>
      <w:bCs/>
      <w:szCs w:val="20"/>
      <w:lang w:val="en-AU"/>
    </w:rPr>
  </w:style>
  <w:style w:type="paragraph" w:styleId="BodyText">
    <w:name w:val="Body Text"/>
    <w:basedOn w:val="Normal"/>
    <w:pPr>
      <w:jc w:val="both"/>
    </w:pPr>
    <w:rPr>
      <w:b/>
      <w:bCs/>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Heading2Char">
    <w:name w:val="Heading 2 Char"/>
    <w:link w:val="Heading2"/>
    <w:rsid w:val="009D1DF4"/>
    <w:rPr>
      <w:b/>
      <w:sz w:val="24"/>
      <w:lang w:val="en-AU" w:eastAsia="en-US" w:bidi="ar-SA"/>
    </w:rPr>
  </w:style>
  <w:style w:type="paragraph" w:customStyle="1" w:styleId="BayerTableStyleCentered">
    <w:name w:val="Bayer TableStyle Centered"/>
    <w:basedOn w:val="Normal"/>
    <w:rsid w:val="009825D9"/>
    <w:pPr>
      <w:keepNext/>
      <w:widowControl w:val="0"/>
      <w:jc w:val="center"/>
    </w:pPr>
    <w:rPr>
      <w:rFonts w:ascii="Arial" w:hAnsi="Arial" w:cs="Arial"/>
      <w:sz w:val="20"/>
      <w:szCs w:val="20"/>
      <w:lang w:val="en-US"/>
    </w:rPr>
  </w:style>
  <w:style w:type="paragraph" w:customStyle="1" w:styleId="BayerTableRowHeadings">
    <w:name w:val="Bayer Table Row Headings"/>
    <w:basedOn w:val="Normal"/>
    <w:rsid w:val="009825D9"/>
    <w:pPr>
      <w:keepNext/>
      <w:widowControl w:val="0"/>
    </w:pPr>
    <w:rPr>
      <w:rFonts w:ascii="Arial" w:hAnsi="Arial" w:cs="Arial"/>
      <w:sz w:val="20"/>
      <w:szCs w:val="20"/>
      <w:lang w:val="en-US"/>
    </w:rPr>
  </w:style>
  <w:style w:type="paragraph" w:customStyle="1" w:styleId="BayerTableColumnHeadings">
    <w:name w:val="Bayer Table Column Headings"/>
    <w:basedOn w:val="BayerTableStyleCentered"/>
    <w:rsid w:val="009825D9"/>
    <w:rPr>
      <w:b/>
      <w:bCs/>
    </w:rPr>
  </w:style>
  <w:style w:type="paragraph" w:styleId="CommentSubject">
    <w:name w:val="annotation subject"/>
    <w:basedOn w:val="CommentText"/>
    <w:next w:val="CommentText"/>
    <w:semiHidden/>
    <w:rsid w:val="00A65CF4"/>
    <w:rPr>
      <w:b/>
      <w:bCs/>
    </w:rPr>
  </w:style>
  <w:style w:type="paragraph" w:styleId="BalloonText">
    <w:name w:val="Balloon Text"/>
    <w:basedOn w:val="Normal"/>
    <w:semiHidden/>
    <w:rsid w:val="00A65CF4"/>
    <w:rPr>
      <w:rFonts w:ascii="Tahoma" w:hAnsi="Tahoma" w:cs="Tahoma"/>
      <w:sz w:val="16"/>
      <w:szCs w:val="16"/>
    </w:rPr>
  </w:style>
  <w:style w:type="paragraph" w:customStyle="1" w:styleId="StyleCaption12ptJustified">
    <w:name w:val="Style Caption + 12 pt Justified"/>
    <w:basedOn w:val="Caption"/>
    <w:next w:val="Normal"/>
    <w:rsid w:val="007A5331"/>
    <w:pPr>
      <w:keepNext/>
    </w:pPr>
    <w:rPr>
      <w:sz w:val="24"/>
      <w:lang w:val="en-US"/>
    </w:rPr>
  </w:style>
  <w:style w:type="paragraph" w:styleId="Caption">
    <w:name w:val="caption"/>
    <w:aliases w:val="Bayer Caption,IB Caption,Medical Caption"/>
    <w:basedOn w:val="Normal"/>
    <w:next w:val="Normal"/>
    <w:qFormat/>
    <w:rsid w:val="007A5331"/>
    <w:pPr>
      <w:spacing w:before="120" w:after="120"/>
    </w:pPr>
    <w:rPr>
      <w:b/>
      <w:bCs/>
      <w:sz w:val="20"/>
      <w:szCs w:val="20"/>
    </w:rPr>
  </w:style>
  <w:style w:type="paragraph" w:customStyle="1" w:styleId="BayerBodytext">
    <w:name w:val="Bayer Body text"/>
    <w:basedOn w:val="Normal"/>
    <w:rsid w:val="00125E87"/>
    <w:pPr>
      <w:spacing w:after="240" w:line="360" w:lineRule="auto"/>
      <w:ind w:left="907"/>
    </w:pPr>
    <w:rPr>
      <w:szCs w:val="20"/>
      <w:lang w:val="en-US"/>
    </w:rPr>
  </w:style>
  <w:style w:type="character" w:styleId="FollowedHyperlink">
    <w:name w:val="FollowedHyperlink"/>
    <w:rsid w:val="00DA26D3"/>
    <w:rPr>
      <w:color w:val="800080"/>
      <w:u w:val="single"/>
    </w:rPr>
  </w:style>
  <w:style w:type="table" w:styleId="TableGrid">
    <w:name w:val="Table Grid"/>
    <w:basedOn w:val="TableNormal"/>
    <w:uiPriority w:val="59"/>
    <w:rsid w:val="00052221"/>
    <w:pPr>
      <w:widowControl w:val="0"/>
      <w:adjustRightInd w:val="0"/>
      <w:spacing w:line="360" w:lineRule="atLeast"/>
      <w:jc w:val="both"/>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lobalBayerBodyText">
    <w:name w:val="Global Bayer Body Text"/>
    <w:basedOn w:val="BayerBodytext"/>
    <w:link w:val="GlobalBayerBodyTextChar"/>
    <w:rsid w:val="00A13058"/>
    <w:pPr>
      <w:tabs>
        <w:tab w:val="left" w:pos="11174"/>
        <w:tab w:val="left" w:pos="15142"/>
      </w:tabs>
      <w:suppressAutoHyphens/>
      <w:spacing w:before="120" w:line="240" w:lineRule="auto"/>
      <w:ind w:left="0"/>
    </w:pPr>
    <w:rPr>
      <w:rFonts w:ascii="Arial" w:hAnsi="Arial"/>
      <w:sz w:val="20"/>
      <w:lang w:eastAsia="de-DE"/>
    </w:rPr>
  </w:style>
  <w:style w:type="character" w:customStyle="1" w:styleId="GlobalBayerBodyTextChar">
    <w:name w:val="Global Bayer Body Text Char"/>
    <w:link w:val="GlobalBayerBodyText"/>
    <w:rsid w:val="00A13058"/>
    <w:rPr>
      <w:rFonts w:ascii="Arial" w:hAnsi="Arial"/>
      <w:lang w:val="en-US" w:eastAsia="de-DE" w:bidi="ar-SA"/>
    </w:rPr>
  </w:style>
  <w:style w:type="paragraph" w:styleId="FootnoteText">
    <w:name w:val="footnote text"/>
    <w:basedOn w:val="Normal"/>
    <w:semiHidden/>
    <w:rsid w:val="005A140C"/>
    <w:rPr>
      <w:sz w:val="20"/>
      <w:szCs w:val="20"/>
    </w:rPr>
  </w:style>
  <w:style w:type="character" w:styleId="FootnoteReference">
    <w:name w:val="footnote reference"/>
    <w:semiHidden/>
    <w:rsid w:val="005A140C"/>
    <w:rPr>
      <w:vertAlign w:val="superscript"/>
    </w:rPr>
  </w:style>
  <w:style w:type="paragraph" w:styleId="EndnoteText">
    <w:name w:val="endnote text"/>
    <w:basedOn w:val="Normal"/>
    <w:link w:val="EndnoteTextChar"/>
    <w:rsid w:val="004A4DA6"/>
    <w:rPr>
      <w:rFonts w:eastAsia="SimSun"/>
      <w:sz w:val="20"/>
      <w:szCs w:val="20"/>
      <w:lang w:val="en-US"/>
    </w:rPr>
  </w:style>
  <w:style w:type="character" w:customStyle="1" w:styleId="EndnoteTextChar">
    <w:name w:val="Endnote Text Char"/>
    <w:link w:val="EndnoteText"/>
    <w:rsid w:val="004A4DA6"/>
    <w:rPr>
      <w:rFonts w:eastAsia="SimSun"/>
      <w:lang w:val="en-US" w:eastAsia="en-US"/>
    </w:rPr>
  </w:style>
  <w:style w:type="character" w:styleId="EndnoteReference">
    <w:name w:val="endnote reference"/>
    <w:rsid w:val="004A4DA6"/>
    <w:rPr>
      <w:bdr w:val="none" w:sz="0" w:space="0" w:color="auto"/>
      <w:shd w:val="clear" w:color="auto" w:fill="C0C0C0"/>
      <w:vertAlign w:val="superscript"/>
    </w:rPr>
  </w:style>
  <w:style w:type="paragraph" w:customStyle="1" w:styleId="BayerBodyTextFull">
    <w:name w:val="Bayer Body Text Full"/>
    <w:basedOn w:val="Normal"/>
    <w:link w:val="BayerBodyTextFullChar"/>
    <w:rsid w:val="009A085F"/>
    <w:pPr>
      <w:spacing w:before="120" w:after="120"/>
    </w:pPr>
    <w:rPr>
      <w:rFonts w:eastAsia="SimSun"/>
      <w:szCs w:val="20"/>
      <w:lang w:val="en-US"/>
    </w:rPr>
  </w:style>
  <w:style w:type="character" w:customStyle="1" w:styleId="BayerBodyTextFullChar">
    <w:name w:val="Bayer Body Text Full Char"/>
    <w:link w:val="BayerBodyTextFull"/>
    <w:rsid w:val="009A085F"/>
    <w:rPr>
      <w:rFonts w:eastAsia="SimSun"/>
      <w:sz w:val="24"/>
      <w:lang w:val="en-US" w:eastAsia="en-US"/>
    </w:rPr>
  </w:style>
  <w:style w:type="table" w:customStyle="1" w:styleId="TableGrid1">
    <w:name w:val="Table Grid1"/>
    <w:basedOn w:val="TableNormal"/>
    <w:next w:val="TableGrid"/>
    <w:rsid w:val="001E66D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762E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47A"/>
    <w:rPr>
      <w:sz w:val="24"/>
      <w:szCs w:val="24"/>
      <w:lang w:val="en-GB" w:eastAsia="en-US"/>
    </w:rPr>
  </w:style>
  <w:style w:type="paragraph" w:styleId="Heading1">
    <w:name w:val="heading 1"/>
    <w:basedOn w:val="Normal"/>
    <w:next w:val="Normal"/>
    <w:qFormat/>
    <w:pPr>
      <w:keepNext/>
      <w:spacing w:before="360" w:after="240" w:line="280" w:lineRule="exact"/>
      <w:jc w:val="both"/>
      <w:outlineLvl w:val="0"/>
    </w:pPr>
    <w:rPr>
      <w:b/>
      <w:caps/>
      <w:kern w:val="28"/>
      <w:sz w:val="28"/>
      <w:szCs w:val="20"/>
      <w:lang w:val="en-AU"/>
    </w:rPr>
  </w:style>
  <w:style w:type="paragraph" w:styleId="Heading2">
    <w:name w:val="heading 2"/>
    <w:basedOn w:val="Normal"/>
    <w:next w:val="Normal"/>
    <w:link w:val="Heading2Char"/>
    <w:qFormat/>
    <w:pPr>
      <w:keepNext/>
      <w:spacing w:before="240" w:after="120" w:line="280" w:lineRule="exact"/>
      <w:jc w:val="both"/>
      <w:outlineLvl w:val="1"/>
    </w:pPr>
    <w:rPr>
      <w:b/>
      <w:szCs w:val="20"/>
      <w:lang w:val="en-AU"/>
    </w:rPr>
  </w:style>
  <w:style w:type="paragraph" w:styleId="Heading3">
    <w:name w:val="heading 3"/>
    <w:basedOn w:val="Normal"/>
    <w:next w:val="Normal"/>
    <w:qFormat/>
    <w:pPr>
      <w:keepNext/>
      <w:jc w:val="both"/>
      <w:outlineLvl w:val="2"/>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pPr>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pPr>
      <w:spacing w:after="240"/>
      <w:jc w:val="both"/>
    </w:pPr>
    <w:rPr>
      <w:b/>
      <w:bCs/>
      <w:szCs w:val="20"/>
      <w:lang w:val="en-AU"/>
    </w:rPr>
  </w:style>
  <w:style w:type="paragraph" w:styleId="BodyText">
    <w:name w:val="Body Text"/>
    <w:basedOn w:val="Normal"/>
    <w:pPr>
      <w:jc w:val="both"/>
    </w:pPr>
    <w:rPr>
      <w:b/>
      <w:bCs/>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Heading2Char">
    <w:name w:val="Heading 2 Char"/>
    <w:link w:val="Heading2"/>
    <w:rsid w:val="009D1DF4"/>
    <w:rPr>
      <w:b/>
      <w:sz w:val="24"/>
      <w:lang w:val="en-AU" w:eastAsia="en-US" w:bidi="ar-SA"/>
    </w:rPr>
  </w:style>
  <w:style w:type="paragraph" w:customStyle="1" w:styleId="BayerTableStyleCentered">
    <w:name w:val="Bayer TableStyle Centered"/>
    <w:basedOn w:val="Normal"/>
    <w:rsid w:val="009825D9"/>
    <w:pPr>
      <w:keepNext/>
      <w:widowControl w:val="0"/>
      <w:jc w:val="center"/>
    </w:pPr>
    <w:rPr>
      <w:rFonts w:ascii="Arial" w:hAnsi="Arial" w:cs="Arial"/>
      <w:sz w:val="20"/>
      <w:szCs w:val="20"/>
      <w:lang w:val="en-US"/>
    </w:rPr>
  </w:style>
  <w:style w:type="paragraph" w:customStyle="1" w:styleId="BayerTableRowHeadings">
    <w:name w:val="Bayer Table Row Headings"/>
    <w:basedOn w:val="Normal"/>
    <w:rsid w:val="009825D9"/>
    <w:pPr>
      <w:keepNext/>
      <w:widowControl w:val="0"/>
    </w:pPr>
    <w:rPr>
      <w:rFonts w:ascii="Arial" w:hAnsi="Arial" w:cs="Arial"/>
      <w:sz w:val="20"/>
      <w:szCs w:val="20"/>
      <w:lang w:val="en-US"/>
    </w:rPr>
  </w:style>
  <w:style w:type="paragraph" w:customStyle="1" w:styleId="BayerTableColumnHeadings">
    <w:name w:val="Bayer Table Column Headings"/>
    <w:basedOn w:val="BayerTableStyleCentered"/>
    <w:rsid w:val="009825D9"/>
    <w:rPr>
      <w:b/>
      <w:bCs/>
    </w:rPr>
  </w:style>
  <w:style w:type="paragraph" w:styleId="CommentSubject">
    <w:name w:val="annotation subject"/>
    <w:basedOn w:val="CommentText"/>
    <w:next w:val="CommentText"/>
    <w:semiHidden/>
    <w:rsid w:val="00A65CF4"/>
    <w:rPr>
      <w:b/>
      <w:bCs/>
    </w:rPr>
  </w:style>
  <w:style w:type="paragraph" w:styleId="BalloonText">
    <w:name w:val="Balloon Text"/>
    <w:basedOn w:val="Normal"/>
    <w:semiHidden/>
    <w:rsid w:val="00A65CF4"/>
    <w:rPr>
      <w:rFonts w:ascii="Tahoma" w:hAnsi="Tahoma" w:cs="Tahoma"/>
      <w:sz w:val="16"/>
      <w:szCs w:val="16"/>
    </w:rPr>
  </w:style>
  <w:style w:type="paragraph" w:customStyle="1" w:styleId="StyleCaption12ptJustified">
    <w:name w:val="Style Caption + 12 pt Justified"/>
    <w:basedOn w:val="Caption"/>
    <w:next w:val="Normal"/>
    <w:rsid w:val="007A5331"/>
    <w:pPr>
      <w:keepNext/>
    </w:pPr>
    <w:rPr>
      <w:sz w:val="24"/>
      <w:lang w:val="en-US"/>
    </w:rPr>
  </w:style>
  <w:style w:type="paragraph" w:styleId="Caption">
    <w:name w:val="caption"/>
    <w:aliases w:val="Bayer Caption,IB Caption,Medical Caption"/>
    <w:basedOn w:val="Normal"/>
    <w:next w:val="Normal"/>
    <w:qFormat/>
    <w:rsid w:val="007A5331"/>
    <w:pPr>
      <w:spacing w:before="120" w:after="120"/>
    </w:pPr>
    <w:rPr>
      <w:b/>
      <w:bCs/>
      <w:sz w:val="20"/>
      <w:szCs w:val="20"/>
    </w:rPr>
  </w:style>
  <w:style w:type="paragraph" w:customStyle="1" w:styleId="BayerBodytext">
    <w:name w:val="Bayer Body text"/>
    <w:basedOn w:val="Normal"/>
    <w:rsid w:val="00125E87"/>
    <w:pPr>
      <w:spacing w:after="240" w:line="360" w:lineRule="auto"/>
      <w:ind w:left="907"/>
    </w:pPr>
    <w:rPr>
      <w:szCs w:val="20"/>
      <w:lang w:val="en-US"/>
    </w:rPr>
  </w:style>
  <w:style w:type="character" w:styleId="FollowedHyperlink">
    <w:name w:val="FollowedHyperlink"/>
    <w:rsid w:val="00DA26D3"/>
    <w:rPr>
      <w:color w:val="800080"/>
      <w:u w:val="single"/>
    </w:rPr>
  </w:style>
  <w:style w:type="table" w:styleId="TableGrid">
    <w:name w:val="Table Grid"/>
    <w:basedOn w:val="TableNormal"/>
    <w:uiPriority w:val="59"/>
    <w:rsid w:val="00052221"/>
    <w:pPr>
      <w:widowControl w:val="0"/>
      <w:adjustRightInd w:val="0"/>
      <w:spacing w:line="360" w:lineRule="atLeast"/>
      <w:jc w:val="both"/>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lobalBayerBodyText">
    <w:name w:val="Global Bayer Body Text"/>
    <w:basedOn w:val="BayerBodytext"/>
    <w:link w:val="GlobalBayerBodyTextChar"/>
    <w:rsid w:val="00A13058"/>
    <w:pPr>
      <w:tabs>
        <w:tab w:val="left" w:pos="11174"/>
        <w:tab w:val="left" w:pos="15142"/>
      </w:tabs>
      <w:suppressAutoHyphens/>
      <w:spacing w:before="120" w:line="240" w:lineRule="auto"/>
      <w:ind w:left="0"/>
    </w:pPr>
    <w:rPr>
      <w:rFonts w:ascii="Arial" w:hAnsi="Arial"/>
      <w:sz w:val="20"/>
      <w:lang w:eastAsia="de-DE"/>
    </w:rPr>
  </w:style>
  <w:style w:type="character" w:customStyle="1" w:styleId="GlobalBayerBodyTextChar">
    <w:name w:val="Global Bayer Body Text Char"/>
    <w:link w:val="GlobalBayerBodyText"/>
    <w:rsid w:val="00A13058"/>
    <w:rPr>
      <w:rFonts w:ascii="Arial" w:hAnsi="Arial"/>
      <w:lang w:val="en-US" w:eastAsia="de-DE" w:bidi="ar-SA"/>
    </w:rPr>
  </w:style>
  <w:style w:type="paragraph" w:styleId="FootnoteText">
    <w:name w:val="footnote text"/>
    <w:basedOn w:val="Normal"/>
    <w:semiHidden/>
    <w:rsid w:val="005A140C"/>
    <w:rPr>
      <w:sz w:val="20"/>
      <w:szCs w:val="20"/>
    </w:rPr>
  </w:style>
  <w:style w:type="character" w:styleId="FootnoteReference">
    <w:name w:val="footnote reference"/>
    <w:semiHidden/>
    <w:rsid w:val="005A140C"/>
    <w:rPr>
      <w:vertAlign w:val="superscript"/>
    </w:rPr>
  </w:style>
  <w:style w:type="paragraph" w:styleId="EndnoteText">
    <w:name w:val="endnote text"/>
    <w:basedOn w:val="Normal"/>
    <w:link w:val="EndnoteTextChar"/>
    <w:rsid w:val="004A4DA6"/>
    <w:rPr>
      <w:rFonts w:eastAsia="SimSun"/>
      <w:sz w:val="20"/>
      <w:szCs w:val="20"/>
      <w:lang w:val="en-US"/>
    </w:rPr>
  </w:style>
  <w:style w:type="character" w:customStyle="1" w:styleId="EndnoteTextChar">
    <w:name w:val="Endnote Text Char"/>
    <w:link w:val="EndnoteText"/>
    <w:rsid w:val="004A4DA6"/>
    <w:rPr>
      <w:rFonts w:eastAsia="SimSun"/>
      <w:lang w:val="en-US" w:eastAsia="en-US"/>
    </w:rPr>
  </w:style>
  <w:style w:type="character" w:styleId="EndnoteReference">
    <w:name w:val="endnote reference"/>
    <w:rsid w:val="004A4DA6"/>
    <w:rPr>
      <w:bdr w:val="none" w:sz="0" w:space="0" w:color="auto"/>
      <w:shd w:val="clear" w:color="auto" w:fill="C0C0C0"/>
      <w:vertAlign w:val="superscript"/>
    </w:rPr>
  </w:style>
  <w:style w:type="paragraph" w:customStyle="1" w:styleId="BayerBodyTextFull">
    <w:name w:val="Bayer Body Text Full"/>
    <w:basedOn w:val="Normal"/>
    <w:link w:val="BayerBodyTextFullChar"/>
    <w:rsid w:val="009A085F"/>
    <w:pPr>
      <w:spacing w:before="120" w:after="120"/>
    </w:pPr>
    <w:rPr>
      <w:rFonts w:eastAsia="SimSun"/>
      <w:szCs w:val="20"/>
      <w:lang w:val="en-US"/>
    </w:rPr>
  </w:style>
  <w:style w:type="character" w:customStyle="1" w:styleId="BayerBodyTextFullChar">
    <w:name w:val="Bayer Body Text Full Char"/>
    <w:link w:val="BayerBodyTextFull"/>
    <w:rsid w:val="009A085F"/>
    <w:rPr>
      <w:rFonts w:eastAsia="SimSun"/>
      <w:sz w:val="24"/>
      <w:lang w:val="en-US" w:eastAsia="en-US"/>
    </w:rPr>
  </w:style>
  <w:style w:type="table" w:customStyle="1" w:styleId="TableGrid1">
    <w:name w:val="Table Grid1"/>
    <w:basedOn w:val="TableNormal"/>
    <w:next w:val="TableGrid"/>
    <w:rsid w:val="001E66D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762E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SharedContentType xmlns="Microsoft.SharePoint.Taxonomy.ContentTypeSync" SourceId="7c593367-9bb5-4764-945e-f6a26d2260c4"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19A45FAC46DE54492EBF1ABC57927F1" ma:contentTypeVersion="1" ma:contentTypeDescription="Create a new document." ma:contentTypeScope="" ma:versionID="6c539a6df5a1863ef1316a8f0d0eaa5e">
  <xsd:schema xmlns:xsd="http://www.w3.org/2001/XMLSchema" xmlns:xs="http://www.w3.org/2001/XMLSchema" xmlns:p="http://schemas.microsoft.com/office/2006/metadata/properties" xmlns:ns1="http://schemas.microsoft.com/sharepoint/v3" xmlns:ns2="e941b624-166c-4987-9ed6-d539972f16a8" xmlns:ns3="64aedb47-4599-418b-bef2-2a9d6f30f9a4" targetNamespace="http://schemas.microsoft.com/office/2006/metadata/properties" ma:root="true" ma:fieldsID="aef5524e240030823ed78c8554bd65b0" ns1:_="" ns2:_="" ns3:_="">
    <xsd:import namespace="http://schemas.microsoft.com/sharepoint/v3"/>
    <xsd:import namespace="e941b624-166c-4987-9ed6-d539972f16a8"/>
    <xsd:import namespace="64aedb47-4599-418b-bef2-2a9d6f30f9a4"/>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Description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9b36b4f-26ab-4e3e-a976-9d786c30e454}" ma:internalName="TaxCatchAll" ma:showField="CatchAllData"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9b36b4f-26ab-4e3e-a976-9d786c30e454}" ma:internalName="TaxCatchAllLabel" ma:readOnly="true" ma:showField="CatchAllDataLabel" ma:web="b5647cf4-06b1-43f0-b1e3-8226c5e31ab4">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nillable="true" ma:taxonomy="true" ma:internalName="gbbd9102adcd43839cd73b51972a464c" ma:taxonomyFieldName="DataClassBayerRetention" ma:displayName="Data Class" ma:default="2;#Long-Term|450f2ec9-198b-4bf0-b08c-74a80f1899d3"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aedb47-4599-418b-bef2-2a9d6f30f9a4" elementFormDefault="qualified">
    <xsd:import namespace="http://schemas.microsoft.com/office/2006/documentManagement/types"/>
    <xsd:import namespace="http://schemas.microsoft.com/office/infopath/2007/PartnerControls"/>
    <xsd:element name="Description0" ma:index="15"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e941b624-166c-4987-9ed6-d539972f16a8">
      <Value>2</Value>
    </TaxCatchAll>
    <Description0 xmlns="64aedb47-4599-418b-bef2-2a9d6f30f9a4">Nexavar PI for review</Description0>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Long-Term</TermName>
          <TermId xmlns="http://schemas.microsoft.com/office/infopath/2007/PartnerControls">450f2ec9-198b-4bf0-b08c-74a80f1899d3</TermId>
        </TermInfo>
      </Terms>
    </gbbd9102adcd43839cd73b51972a464c>
  </documentManagement>
</p:properties>
</file>

<file path=customXml/itemProps1.xml><?xml version="1.0" encoding="utf-8"?>
<ds:datastoreItem xmlns:ds="http://schemas.openxmlformats.org/officeDocument/2006/customXml" ds:itemID="{A7BAD12B-AD7A-476D-B0D8-DA52803BBB37}">
  <ds:schemaRefs>
    <ds:schemaRef ds:uri="http://schemas.microsoft.com/sharepoint/v3/contenttype/forms"/>
  </ds:schemaRefs>
</ds:datastoreItem>
</file>

<file path=customXml/itemProps2.xml><?xml version="1.0" encoding="utf-8"?>
<ds:datastoreItem xmlns:ds="http://schemas.openxmlformats.org/officeDocument/2006/customXml" ds:itemID="{F497AE35-42CE-4398-9D9D-0C14ED6B3A81}">
  <ds:schemaRefs>
    <ds:schemaRef ds:uri="office.server.policy"/>
  </ds:schemaRefs>
</ds:datastoreItem>
</file>

<file path=customXml/itemProps3.xml><?xml version="1.0" encoding="utf-8"?>
<ds:datastoreItem xmlns:ds="http://schemas.openxmlformats.org/officeDocument/2006/customXml" ds:itemID="{AD887245-7F7A-4172-AC12-CE31248F4034}">
  <ds:schemaRefs>
    <ds:schemaRef ds:uri="http://schemas.microsoft.com/office/2006/metadata/longProperties"/>
  </ds:schemaRefs>
</ds:datastoreItem>
</file>

<file path=customXml/itemProps4.xml><?xml version="1.0" encoding="utf-8"?>
<ds:datastoreItem xmlns:ds="http://schemas.openxmlformats.org/officeDocument/2006/customXml" ds:itemID="{49183D87-3DB3-423C-A639-785781249E84}">
  <ds:schemaRefs>
    <ds:schemaRef ds:uri="http://schemas.microsoft.com/sharepoint/events"/>
  </ds:schemaRefs>
</ds:datastoreItem>
</file>

<file path=customXml/itemProps5.xml><?xml version="1.0" encoding="utf-8"?>
<ds:datastoreItem xmlns:ds="http://schemas.openxmlformats.org/officeDocument/2006/customXml" ds:itemID="{B4DFECE0-2D97-4CF1-8A3F-4F6BEA4E5EE9}">
  <ds:schemaRefs>
    <ds:schemaRef ds:uri="Microsoft.SharePoint.Taxonomy.ContentTypeSync"/>
  </ds:schemaRefs>
</ds:datastoreItem>
</file>

<file path=customXml/itemProps6.xml><?xml version="1.0" encoding="utf-8"?>
<ds:datastoreItem xmlns:ds="http://schemas.openxmlformats.org/officeDocument/2006/customXml" ds:itemID="{5DDB83F6-500B-49FC-AA03-17DA827B1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64aedb47-4599-418b-bef2-2a9d6f30f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2662FF-51CF-4F6D-8C60-435E98D2B5E5}">
  <ds:schemaRefs>
    <ds:schemaRef ds:uri="64aedb47-4599-418b-bef2-2a9d6f30f9a4"/>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e941b624-166c-4987-9ed6-d539972f16a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8005</Words>
  <Characters>45631</Characters>
  <Application>Microsoft Office Word</Application>
  <DocSecurity>0</DocSecurity>
  <Lines>380</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AusPAR Attachment 1: Product information for Nexavar</vt:lpstr>
      <vt:lpstr>Draft PRODUCT INFORMATION</vt:lpstr>
    </vt:vector>
  </TitlesOfParts>
  <Company>Bayer Australia Ltd</Company>
  <LinksUpToDate>false</LinksUpToDate>
  <CharactersWithSpaces>53529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Nexavar</dc:title>
  <dc:subject>prescription medicine regulation</dc:subject>
  <dc:creator>Bayer Australia Ltd</dc:creator>
  <cp:keywords>product, information, nexavar, prescription, medicine, regulation, sorafenib, bayer</cp:keywords>
  <cp:lastModifiedBy>Searson, Lisa</cp:lastModifiedBy>
  <cp:revision>2</cp:revision>
  <cp:lastPrinted>2014-04-29T02:47:00Z</cp:lastPrinted>
  <dcterms:created xsi:type="dcterms:W3CDTF">2014-08-25T02:31:00Z</dcterms:created>
  <dcterms:modified xsi:type="dcterms:W3CDTF">2014-08-25T02:31:00Z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2025-06-20T20:47:56Z</vt:lpwstr>
  </property>
  <property fmtid="{D5CDD505-2E9C-101B-9397-08002B2CF9AE}" pid="3" name="ItemRetentionFormula">
    <vt:lpwstr>&lt;formula id="Bayer SharePoint Retention Policy 2.1" /&gt;</vt:lpwstr>
  </property>
  <property fmtid="{D5CDD505-2E9C-101B-9397-08002B2CF9AE}" pid="4" name="_dlc_policyId">
    <vt:lpwstr>0x0101|-2126682137</vt:lpwstr>
  </property>
  <property fmtid="{D5CDD505-2E9C-101B-9397-08002B2CF9AE}" pid="5" name="DataClassBayerRetention">
    <vt:lpwstr>2;#Long-Term|450f2ec9-198b-4bf0-b08c-74a80f1899d3</vt:lpwstr>
  </property>
</Properties>
</file>