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4"/>
      </w:tblGrid>
      <w:tr w:rsidR="008E7846" w:rsidRPr="00487162" w14:paraId="0AA839FC" w14:textId="77777777" w:rsidTr="008A1A1C">
        <w:trPr>
          <w:trHeight w:val="1969"/>
        </w:trPr>
        <w:tc>
          <w:tcPr>
            <w:tcW w:w="7544" w:type="dxa"/>
            <w:tcBorders>
              <w:top w:val="nil"/>
              <w:left w:val="nil"/>
              <w:bottom w:val="nil"/>
              <w:right w:val="nil"/>
            </w:tcBorders>
          </w:tcPr>
          <w:p w14:paraId="2AA58F0E" w14:textId="77777777" w:rsidR="008A1A1C" w:rsidRDefault="008A1A1C" w:rsidP="008A1A1C">
            <w:pPr>
              <w:rPr>
                <w:rFonts w:ascii="Arial" w:hAnsi="Arial" w:cs="Arial"/>
                <w:b/>
                <w:color w:val="002C47"/>
                <w:sz w:val="28"/>
                <w:szCs w:val="28"/>
              </w:rPr>
            </w:pPr>
            <w:r>
              <w:rPr>
                <w:rFonts w:ascii="Arial" w:hAnsi="Arial" w:cs="Arial"/>
                <w:b/>
                <w:color w:val="002C47"/>
                <w:sz w:val="28"/>
                <w:szCs w:val="28"/>
              </w:rPr>
              <w:t>Date of first round report: 15 January 2018</w:t>
            </w:r>
          </w:p>
          <w:p w14:paraId="2C6DC841" w14:textId="77777777" w:rsidR="008E7846" w:rsidRPr="0017078F" w:rsidRDefault="008A1A1C" w:rsidP="008A1A1C">
            <w:pPr>
              <w:rPr>
                <w:rFonts w:ascii="Arial" w:hAnsi="Arial" w:cs="Arial"/>
                <w:b/>
                <w:color w:val="002C47"/>
                <w:sz w:val="36"/>
                <w:szCs w:val="36"/>
              </w:rPr>
            </w:pPr>
            <w:r>
              <w:rPr>
                <w:rFonts w:ascii="Arial" w:hAnsi="Arial" w:cs="Arial"/>
                <w:b/>
                <w:color w:val="002C47"/>
                <w:sz w:val="28"/>
                <w:szCs w:val="28"/>
              </w:rPr>
              <w:t>Date of second round report: 13 March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43ED0F0" w14:textId="77777777" w:rsidTr="00E07F15">
        <w:trPr>
          <w:trHeight w:val="1548"/>
        </w:trPr>
        <w:tc>
          <w:tcPr>
            <w:tcW w:w="9079" w:type="dxa"/>
          </w:tcPr>
          <w:p w14:paraId="72C54040"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9DA5E77" w14:textId="77777777" w:rsidTr="00E07F15">
        <w:trPr>
          <w:trHeight w:val="868"/>
        </w:trPr>
        <w:tc>
          <w:tcPr>
            <w:tcW w:w="9079" w:type="dxa"/>
          </w:tcPr>
          <w:p w14:paraId="48E23A10" w14:textId="4724811D" w:rsidR="00E07F15" w:rsidRPr="00A964D1" w:rsidRDefault="00E07F15" w:rsidP="00DA373D">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Pr="008A1A1C">
              <w:rPr>
                <w:color w:val="FFFFFF" w:themeColor="background1"/>
              </w:rPr>
              <w:t xml:space="preserve">for </w:t>
            </w:r>
            <w:r w:rsidR="008A1A1C" w:rsidRPr="008A1A1C">
              <w:rPr>
                <w:color w:val="FFFFFF" w:themeColor="background1"/>
              </w:rPr>
              <w:t>Tafenoquine</w:t>
            </w:r>
            <w:r w:rsidR="00DA373D">
              <w:rPr>
                <w:color w:val="FFFFFF" w:themeColor="background1"/>
              </w:rPr>
              <w:t xml:space="preserve"> </w:t>
            </w:r>
            <w:r w:rsidR="00DA373D" w:rsidRPr="00DA373D">
              <w:rPr>
                <w:color w:val="FFFFFF" w:themeColor="background1"/>
              </w:rPr>
              <w:t>succinate</w:t>
            </w:r>
          </w:p>
        </w:tc>
      </w:tr>
      <w:tr w:rsidR="00E07F15" w:rsidRPr="00B64760" w14:paraId="3828AF4D" w14:textId="77777777" w:rsidTr="00E07F15">
        <w:tc>
          <w:tcPr>
            <w:tcW w:w="9079" w:type="dxa"/>
          </w:tcPr>
          <w:p w14:paraId="3966CF3A" w14:textId="77777777" w:rsidR="00E07F15" w:rsidRPr="008E7846" w:rsidRDefault="00E07F15" w:rsidP="008A1A1C">
            <w:pPr>
              <w:pStyle w:val="Subtitle"/>
              <w:rPr>
                <w:color w:val="FFFFFF" w:themeColor="background1"/>
              </w:rPr>
            </w:pPr>
            <w:r w:rsidRPr="008E7846">
              <w:rPr>
                <w:color w:val="FFFFFF" w:themeColor="background1"/>
              </w:rPr>
              <w:t xml:space="preserve">Proprietary Product Name: </w:t>
            </w:r>
            <w:r w:rsidR="008A1A1C">
              <w:rPr>
                <w:color w:val="FFFFFF" w:themeColor="background1"/>
              </w:rPr>
              <w:t>Kodatef</w:t>
            </w:r>
          </w:p>
        </w:tc>
      </w:tr>
      <w:tr w:rsidR="00E07F15" w:rsidRPr="00B64760" w14:paraId="403B0523" w14:textId="77777777" w:rsidTr="00E07F15">
        <w:trPr>
          <w:trHeight w:val="486"/>
        </w:trPr>
        <w:tc>
          <w:tcPr>
            <w:tcW w:w="9079" w:type="dxa"/>
          </w:tcPr>
          <w:p w14:paraId="0BD9DE8A" w14:textId="77777777" w:rsidR="00E07F15" w:rsidRPr="008E7846" w:rsidRDefault="00E07F15" w:rsidP="008A1A1C">
            <w:pPr>
              <w:pStyle w:val="Subtitle"/>
              <w:rPr>
                <w:color w:val="FFFFFF" w:themeColor="background1"/>
              </w:rPr>
            </w:pPr>
            <w:r w:rsidRPr="008E7846">
              <w:rPr>
                <w:color w:val="FFFFFF" w:themeColor="background1"/>
              </w:rPr>
              <w:t xml:space="preserve">Sponsor: </w:t>
            </w:r>
            <w:r w:rsidR="008A1A1C">
              <w:rPr>
                <w:color w:val="FFFFFF" w:themeColor="background1"/>
                <w:sz w:val="36"/>
                <w:szCs w:val="36"/>
              </w:rPr>
              <w:t>B</w:t>
            </w:r>
            <w:r w:rsidR="008A1A1C" w:rsidRPr="00FA4BB1">
              <w:rPr>
                <w:color w:val="FFFFFF" w:themeColor="background1"/>
                <w:sz w:val="36"/>
                <w:szCs w:val="36"/>
              </w:rPr>
              <w:t xml:space="preserve">iocelect </w:t>
            </w:r>
            <w:r w:rsidR="008A1A1C">
              <w:rPr>
                <w:color w:val="FFFFFF" w:themeColor="background1"/>
                <w:sz w:val="36"/>
                <w:szCs w:val="36"/>
              </w:rPr>
              <w:t>Pty Ltd</w:t>
            </w:r>
          </w:p>
        </w:tc>
      </w:tr>
    </w:tbl>
    <w:p w14:paraId="3340E19D" w14:textId="77777777" w:rsidR="008E7846" w:rsidRDefault="008E7846" w:rsidP="008E7846">
      <w:pPr>
        <w:pStyle w:val="NonTOCHeading2"/>
      </w:pPr>
      <w:r>
        <w:br w:type="page"/>
      </w:r>
    </w:p>
    <w:p w14:paraId="5B1C0BF7" w14:textId="77777777" w:rsidR="008E7846" w:rsidRPr="001F6CBA" w:rsidRDefault="008E7846" w:rsidP="008E7846">
      <w:pPr>
        <w:pStyle w:val="NonTOCHeading2"/>
      </w:pPr>
      <w:r w:rsidRPr="001F6CBA">
        <w:lastRenderedPageBreak/>
        <w:t>About the Therapeutic Goods Administration (TGA)</w:t>
      </w:r>
    </w:p>
    <w:p w14:paraId="5E03EAF4" w14:textId="77777777" w:rsidR="008E7846" w:rsidRDefault="008E7846" w:rsidP="00E730B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75985E1" w14:textId="77777777" w:rsidR="008E7846" w:rsidRDefault="00C811C0" w:rsidP="00E730B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071F084" w14:textId="77777777" w:rsidR="008E7846" w:rsidRDefault="008E7846" w:rsidP="00E730B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E24C162" w14:textId="77777777" w:rsidR="008E7846" w:rsidRDefault="008E7846" w:rsidP="00E730B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31BA6BD" w14:textId="77777777" w:rsidR="008E7846" w:rsidRDefault="008E7846" w:rsidP="00E730B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06D88E36"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3CD4504F"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819C45C" w14:textId="77777777" w:rsidR="003D0A3B" w:rsidRDefault="003D0A3B" w:rsidP="003D0A3B">
      <w:pPr>
        <w:pStyle w:val="ListBullet"/>
      </w:pPr>
      <w:r w:rsidRPr="003D0A3B">
        <w:t>The words [Information redacted], where they appear in this document, indicate that confidential information has been deleted.</w:t>
      </w:r>
    </w:p>
    <w:p w14:paraId="4F8ED935"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362FB3A6" w14:textId="77777777" w:rsidR="00924482" w:rsidRPr="00DF1D7F" w:rsidRDefault="00924482" w:rsidP="0017078F">
      <w:pPr>
        <w:pStyle w:val="LegalSubheading"/>
        <w:spacing w:before="4320"/>
      </w:pPr>
      <w:r w:rsidRPr="00DF1D7F">
        <w:t>Copyright</w:t>
      </w:r>
    </w:p>
    <w:p w14:paraId="5F0BC8A3" w14:textId="6A2F0E8D" w:rsidR="00924482" w:rsidRDefault="00924482" w:rsidP="00924482">
      <w:pPr>
        <w:pStyle w:val="LegalCopy"/>
      </w:pPr>
      <w:r w:rsidRPr="00191B3B">
        <w:rPr>
          <w:rFonts w:cs="Arial"/>
          <w:lang w:val="en-GB"/>
        </w:rPr>
        <w:t>© Comm</w:t>
      </w:r>
      <w:r>
        <w:rPr>
          <w:rFonts w:cs="Arial"/>
          <w:lang w:val="en-GB"/>
        </w:rPr>
        <w:t>onwealth of Australia 201</w:t>
      </w:r>
      <w:r w:rsidR="00B319AC">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21CED2E"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14:paraId="0AC3E0FF" w14:textId="77777777" w:rsidR="0089635C" w:rsidRPr="0089635C" w:rsidRDefault="0089635C" w:rsidP="00943D71">
          <w:pPr>
            <w:pStyle w:val="Contents"/>
          </w:pPr>
          <w:r w:rsidRPr="0010788A">
            <w:t>Contents</w:t>
          </w:r>
        </w:p>
        <w:p w14:paraId="01C5649B" w14:textId="77777777" w:rsidR="000E280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2520256" w:history="1">
            <w:r w:rsidR="000E2807" w:rsidRPr="009C26FC">
              <w:rPr>
                <w:rStyle w:val="Hyperlink"/>
                <w:noProof/>
              </w:rPr>
              <w:t>List of abbreviations</w:t>
            </w:r>
            <w:r w:rsidR="000E2807">
              <w:rPr>
                <w:noProof/>
                <w:webHidden/>
              </w:rPr>
              <w:tab/>
            </w:r>
            <w:r w:rsidR="000E2807">
              <w:rPr>
                <w:noProof/>
                <w:webHidden/>
              </w:rPr>
              <w:fldChar w:fldCharType="begin"/>
            </w:r>
            <w:r w:rsidR="000E2807">
              <w:rPr>
                <w:noProof/>
                <w:webHidden/>
              </w:rPr>
              <w:instrText xml:space="preserve"> PAGEREF _Toc12520256 \h </w:instrText>
            </w:r>
            <w:r w:rsidR="000E2807">
              <w:rPr>
                <w:noProof/>
                <w:webHidden/>
              </w:rPr>
            </w:r>
            <w:r w:rsidR="000E2807">
              <w:rPr>
                <w:noProof/>
                <w:webHidden/>
              </w:rPr>
              <w:fldChar w:fldCharType="separate"/>
            </w:r>
            <w:r w:rsidR="000E2807">
              <w:rPr>
                <w:noProof/>
                <w:webHidden/>
              </w:rPr>
              <w:t>5</w:t>
            </w:r>
            <w:r w:rsidR="000E2807">
              <w:rPr>
                <w:noProof/>
                <w:webHidden/>
              </w:rPr>
              <w:fldChar w:fldCharType="end"/>
            </w:r>
          </w:hyperlink>
        </w:p>
        <w:p w14:paraId="0CB146A8"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57" w:history="1">
            <w:r w:rsidRPr="009C26FC">
              <w:rPr>
                <w:rStyle w:val="Hyperlink"/>
                <w:noProof/>
                <w:lang w:eastAsia="en-AU"/>
              </w:rPr>
              <w:t>1.</w:t>
            </w:r>
            <w:r>
              <w:rPr>
                <w:rFonts w:asciiTheme="minorHAnsi" w:eastAsiaTheme="minorEastAsia" w:hAnsiTheme="minorHAnsi" w:cstheme="minorBidi"/>
                <w:b w:val="0"/>
                <w:noProof/>
                <w:sz w:val="22"/>
                <w:lang w:eastAsia="en-AU"/>
              </w:rPr>
              <w:tab/>
            </w:r>
            <w:r w:rsidRPr="009C26FC">
              <w:rPr>
                <w:rStyle w:val="Hyperlink"/>
                <w:noProof/>
                <w:lang w:eastAsia="en-AU"/>
              </w:rPr>
              <w:t>Introduction</w:t>
            </w:r>
            <w:r>
              <w:rPr>
                <w:noProof/>
                <w:webHidden/>
              </w:rPr>
              <w:tab/>
            </w:r>
            <w:r>
              <w:rPr>
                <w:noProof/>
                <w:webHidden/>
              </w:rPr>
              <w:fldChar w:fldCharType="begin"/>
            </w:r>
            <w:r>
              <w:rPr>
                <w:noProof/>
                <w:webHidden/>
              </w:rPr>
              <w:instrText xml:space="preserve"> PAGEREF _Toc12520257 \h </w:instrText>
            </w:r>
            <w:r>
              <w:rPr>
                <w:noProof/>
                <w:webHidden/>
              </w:rPr>
            </w:r>
            <w:r>
              <w:rPr>
                <w:noProof/>
                <w:webHidden/>
              </w:rPr>
              <w:fldChar w:fldCharType="separate"/>
            </w:r>
            <w:r>
              <w:rPr>
                <w:noProof/>
                <w:webHidden/>
              </w:rPr>
              <w:t>7</w:t>
            </w:r>
            <w:r>
              <w:rPr>
                <w:noProof/>
                <w:webHidden/>
              </w:rPr>
              <w:fldChar w:fldCharType="end"/>
            </w:r>
          </w:hyperlink>
        </w:p>
        <w:p w14:paraId="07F0654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58" w:history="1">
            <w:r w:rsidRPr="009C26FC">
              <w:rPr>
                <w:rStyle w:val="Hyperlink"/>
                <w:noProof/>
              </w:rPr>
              <w:t>1.1.</w:t>
            </w:r>
            <w:r>
              <w:rPr>
                <w:rFonts w:asciiTheme="minorHAnsi" w:eastAsiaTheme="minorEastAsia" w:hAnsiTheme="minorHAnsi" w:cstheme="minorBidi"/>
                <w:noProof/>
                <w:lang w:eastAsia="en-AU"/>
              </w:rPr>
              <w:tab/>
            </w:r>
            <w:r w:rsidRPr="009C26FC">
              <w:rPr>
                <w:rStyle w:val="Hyperlink"/>
                <w:noProof/>
              </w:rPr>
              <w:t>Submission identifying information</w:t>
            </w:r>
            <w:r>
              <w:rPr>
                <w:noProof/>
                <w:webHidden/>
              </w:rPr>
              <w:tab/>
            </w:r>
            <w:r>
              <w:rPr>
                <w:noProof/>
                <w:webHidden/>
              </w:rPr>
              <w:fldChar w:fldCharType="begin"/>
            </w:r>
            <w:r>
              <w:rPr>
                <w:noProof/>
                <w:webHidden/>
              </w:rPr>
              <w:instrText xml:space="preserve"> PAGEREF _Toc12520258 \h </w:instrText>
            </w:r>
            <w:r>
              <w:rPr>
                <w:noProof/>
                <w:webHidden/>
              </w:rPr>
            </w:r>
            <w:r>
              <w:rPr>
                <w:noProof/>
                <w:webHidden/>
              </w:rPr>
              <w:fldChar w:fldCharType="separate"/>
            </w:r>
            <w:r>
              <w:rPr>
                <w:noProof/>
                <w:webHidden/>
              </w:rPr>
              <w:t>7</w:t>
            </w:r>
            <w:r>
              <w:rPr>
                <w:noProof/>
                <w:webHidden/>
              </w:rPr>
              <w:fldChar w:fldCharType="end"/>
            </w:r>
          </w:hyperlink>
        </w:p>
        <w:p w14:paraId="2C6A9294"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59" w:history="1">
            <w:r w:rsidRPr="009C26FC">
              <w:rPr>
                <w:rStyle w:val="Hyperlink"/>
                <w:noProof/>
              </w:rPr>
              <w:t>1.2.</w:t>
            </w:r>
            <w:r>
              <w:rPr>
                <w:rFonts w:asciiTheme="minorHAnsi" w:eastAsiaTheme="minorEastAsia" w:hAnsiTheme="minorHAnsi" w:cstheme="minorBidi"/>
                <w:noProof/>
                <w:lang w:eastAsia="en-AU"/>
              </w:rPr>
              <w:tab/>
            </w:r>
            <w:r w:rsidRPr="009C26FC">
              <w:rPr>
                <w:rStyle w:val="Hyperlink"/>
                <w:noProof/>
              </w:rPr>
              <w:t>Drug class and therapeutic indication</w:t>
            </w:r>
            <w:r>
              <w:rPr>
                <w:noProof/>
                <w:webHidden/>
              </w:rPr>
              <w:tab/>
            </w:r>
            <w:r>
              <w:rPr>
                <w:noProof/>
                <w:webHidden/>
              </w:rPr>
              <w:fldChar w:fldCharType="begin"/>
            </w:r>
            <w:r>
              <w:rPr>
                <w:noProof/>
                <w:webHidden/>
              </w:rPr>
              <w:instrText xml:space="preserve"> PAGEREF _Toc12520259 \h </w:instrText>
            </w:r>
            <w:r>
              <w:rPr>
                <w:noProof/>
                <w:webHidden/>
              </w:rPr>
            </w:r>
            <w:r>
              <w:rPr>
                <w:noProof/>
                <w:webHidden/>
              </w:rPr>
              <w:fldChar w:fldCharType="separate"/>
            </w:r>
            <w:r>
              <w:rPr>
                <w:noProof/>
                <w:webHidden/>
              </w:rPr>
              <w:t>7</w:t>
            </w:r>
            <w:r>
              <w:rPr>
                <w:noProof/>
                <w:webHidden/>
              </w:rPr>
              <w:fldChar w:fldCharType="end"/>
            </w:r>
          </w:hyperlink>
        </w:p>
        <w:p w14:paraId="0F860606"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0" w:history="1">
            <w:r w:rsidRPr="009C26FC">
              <w:rPr>
                <w:rStyle w:val="Hyperlink"/>
                <w:noProof/>
              </w:rPr>
              <w:t>1.3.</w:t>
            </w:r>
            <w:r>
              <w:rPr>
                <w:rFonts w:asciiTheme="minorHAnsi" w:eastAsiaTheme="minorEastAsia" w:hAnsiTheme="minorHAnsi" w:cstheme="minorBidi"/>
                <w:noProof/>
                <w:lang w:eastAsia="en-AU"/>
              </w:rPr>
              <w:tab/>
            </w:r>
            <w:r w:rsidRPr="009C26FC">
              <w:rPr>
                <w:rStyle w:val="Hyperlink"/>
                <w:noProof/>
              </w:rPr>
              <w:t>Dosage forms and strengths</w:t>
            </w:r>
            <w:r>
              <w:rPr>
                <w:noProof/>
                <w:webHidden/>
              </w:rPr>
              <w:tab/>
            </w:r>
            <w:r>
              <w:rPr>
                <w:noProof/>
                <w:webHidden/>
              </w:rPr>
              <w:fldChar w:fldCharType="begin"/>
            </w:r>
            <w:r>
              <w:rPr>
                <w:noProof/>
                <w:webHidden/>
              </w:rPr>
              <w:instrText xml:space="preserve"> PAGEREF _Toc12520260 \h </w:instrText>
            </w:r>
            <w:r>
              <w:rPr>
                <w:noProof/>
                <w:webHidden/>
              </w:rPr>
            </w:r>
            <w:r>
              <w:rPr>
                <w:noProof/>
                <w:webHidden/>
              </w:rPr>
              <w:fldChar w:fldCharType="separate"/>
            </w:r>
            <w:r>
              <w:rPr>
                <w:noProof/>
                <w:webHidden/>
              </w:rPr>
              <w:t>7</w:t>
            </w:r>
            <w:r>
              <w:rPr>
                <w:noProof/>
                <w:webHidden/>
              </w:rPr>
              <w:fldChar w:fldCharType="end"/>
            </w:r>
          </w:hyperlink>
        </w:p>
        <w:p w14:paraId="23A1C0FD"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1" w:history="1">
            <w:r w:rsidRPr="009C26FC">
              <w:rPr>
                <w:rStyle w:val="Hyperlink"/>
                <w:noProof/>
              </w:rPr>
              <w:t>1.4.</w:t>
            </w:r>
            <w:r>
              <w:rPr>
                <w:rFonts w:asciiTheme="minorHAnsi" w:eastAsiaTheme="minorEastAsia" w:hAnsiTheme="minorHAnsi" w:cstheme="minorBidi"/>
                <w:noProof/>
                <w:lang w:eastAsia="en-AU"/>
              </w:rPr>
              <w:tab/>
            </w:r>
            <w:r w:rsidRPr="009C26FC">
              <w:rPr>
                <w:rStyle w:val="Hyperlink"/>
                <w:noProof/>
              </w:rPr>
              <w:t>Dosage and administration</w:t>
            </w:r>
            <w:r>
              <w:rPr>
                <w:noProof/>
                <w:webHidden/>
              </w:rPr>
              <w:tab/>
            </w:r>
            <w:r>
              <w:rPr>
                <w:noProof/>
                <w:webHidden/>
              </w:rPr>
              <w:fldChar w:fldCharType="begin"/>
            </w:r>
            <w:r>
              <w:rPr>
                <w:noProof/>
                <w:webHidden/>
              </w:rPr>
              <w:instrText xml:space="preserve"> PAGEREF _Toc12520261 \h </w:instrText>
            </w:r>
            <w:r>
              <w:rPr>
                <w:noProof/>
                <w:webHidden/>
              </w:rPr>
            </w:r>
            <w:r>
              <w:rPr>
                <w:noProof/>
                <w:webHidden/>
              </w:rPr>
              <w:fldChar w:fldCharType="separate"/>
            </w:r>
            <w:r>
              <w:rPr>
                <w:noProof/>
                <w:webHidden/>
              </w:rPr>
              <w:t>7</w:t>
            </w:r>
            <w:r>
              <w:rPr>
                <w:noProof/>
                <w:webHidden/>
              </w:rPr>
              <w:fldChar w:fldCharType="end"/>
            </w:r>
          </w:hyperlink>
        </w:p>
        <w:p w14:paraId="0F757537"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2" w:history="1">
            <w:r w:rsidRPr="009C26FC">
              <w:rPr>
                <w:rStyle w:val="Hyperlink"/>
                <w:noProof/>
              </w:rPr>
              <w:t>1.5.</w:t>
            </w:r>
            <w:r>
              <w:rPr>
                <w:rFonts w:asciiTheme="minorHAnsi" w:eastAsiaTheme="minorEastAsia" w:hAnsiTheme="minorHAnsi" w:cstheme="minorBidi"/>
                <w:noProof/>
                <w:lang w:eastAsia="en-AU"/>
              </w:rPr>
              <w:tab/>
            </w:r>
            <w:r w:rsidRPr="009C26FC">
              <w:rPr>
                <w:rStyle w:val="Hyperlink"/>
                <w:noProof/>
              </w:rPr>
              <w:t>Proposed changes to the product documentation</w:t>
            </w:r>
            <w:r>
              <w:rPr>
                <w:noProof/>
                <w:webHidden/>
              </w:rPr>
              <w:tab/>
            </w:r>
            <w:r>
              <w:rPr>
                <w:noProof/>
                <w:webHidden/>
              </w:rPr>
              <w:fldChar w:fldCharType="begin"/>
            </w:r>
            <w:r>
              <w:rPr>
                <w:noProof/>
                <w:webHidden/>
              </w:rPr>
              <w:instrText xml:space="preserve"> PAGEREF _Toc12520262 \h </w:instrText>
            </w:r>
            <w:r>
              <w:rPr>
                <w:noProof/>
                <w:webHidden/>
              </w:rPr>
            </w:r>
            <w:r>
              <w:rPr>
                <w:noProof/>
                <w:webHidden/>
              </w:rPr>
              <w:fldChar w:fldCharType="separate"/>
            </w:r>
            <w:r>
              <w:rPr>
                <w:noProof/>
                <w:webHidden/>
              </w:rPr>
              <w:t>7</w:t>
            </w:r>
            <w:r>
              <w:rPr>
                <w:noProof/>
                <w:webHidden/>
              </w:rPr>
              <w:fldChar w:fldCharType="end"/>
            </w:r>
          </w:hyperlink>
        </w:p>
        <w:p w14:paraId="281E8783"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63" w:history="1">
            <w:r w:rsidRPr="009C26FC">
              <w:rPr>
                <w:rStyle w:val="Hyperlink"/>
                <w:noProof/>
              </w:rPr>
              <w:t>1.</w:t>
            </w:r>
            <w:r>
              <w:rPr>
                <w:rFonts w:asciiTheme="minorHAnsi" w:eastAsiaTheme="minorEastAsia" w:hAnsiTheme="minorHAnsi" w:cstheme="minorBidi"/>
                <w:b w:val="0"/>
                <w:noProof/>
                <w:sz w:val="22"/>
                <w:lang w:eastAsia="en-AU"/>
              </w:rPr>
              <w:tab/>
            </w:r>
            <w:r w:rsidRPr="009C26FC">
              <w:rPr>
                <w:rStyle w:val="Hyperlink"/>
                <w:noProof/>
              </w:rPr>
              <w:t>Background</w:t>
            </w:r>
            <w:r>
              <w:rPr>
                <w:noProof/>
                <w:webHidden/>
              </w:rPr>
              <w:tab/>
            </w:r>
            <w:r>
              <w:rPr>
                <w:noProof/>
                <w:webHidden/>
              </w:rPr>
              <w:fldChar w:fldCharType="begin"/>
            </w:r>
            <w:r>
              <w:rPr>
                <w:noProof/>
                <w:webHidden/>
              </w:rPr>
              <w:instrText xml:space="preserve"> PAGEREF _Toc12520263 \h </w:instrText>
            </w:r>
            <w:r>
              <w:rPr>
                <w:noProof/>
                <w:webHidden/>
              </w:rPr>
            </w:r>
            <w:r>
              <w:rPr>
                <w:noProof/>
                <w:webHidden/>
              </w:rPr>
              <w:fldChar w:fldCharType="separate"/>
            </w:r>
            <w:r>
              <w:rPr>
                <w:noProof/>
                <w:webHidden/>
              </w:rPr>
              <w:t>7</w:t>
            </w:r>
            <w:r>
              <w:rPr>
                <w:noProof/>
                <w:webHidden/>
              </w:rPr>
              <w:fldChar w:fldCharType="end"/>
            </w:r>
          </w:hyperlink>
        </w:p>
        <w:p w14:paraId="36417FD6"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4" w:history="1">
            <w:r w:rsidRPr="009C26FC">
              <w:rPr>
                <w:rStyle w:val="Hyperlink"/>
                <w:noProof/>
              </w:rPr>
              <w:t>1.1.</w:t>
            </w:r>
            <w:r>
              <w:rPr>
                <w:rFonts w:asciiTheme="minorHAnsi" w:eastAsiaTheme="minorEastAsia" w:hAnsiTheme="minorHAnsi" w:cstheme="minorBidi"/>
                <w:noProof/>
                <w:lang w:eastAsia="en-AU"/>
              </w:rPr>
              <w:tab/>
            </w:r>
            <w:r w:rsidRPr="009C26FC">
              <w:rPr>
                <w:rStyle w:val="Hyperlink"/>
                <w:noProof/>
              </w:rPr>
              <w:t>Information on the condition being treated</w:t>
            </w:r>
            <w:r>
              <w:rPr>
                <w:noProof/>
                <w:webHidden/>
              </w:rPr>
              <w:tab/>
            </w:r>
            <w:r>
              <w:rPr>
                <w:noProof/>
                <w:webHidden/>
              </w:rPr>
              <w:fldChar w:fldCharType="begin"/>
            </w:r>
            <w:r>
              <w:rPr>
                <w:noProof/>
                <w:webHidden/>
              </w:rPr>
              <w:instrText xml:space="preserve"> PAGEREF _Toc12520264 \h </w:instrText>
            </w:r>
            <w:r>
              <w:rPr>
                <w:noProof/>
                <w:webHidden/>
              </w:rPr>
            </w:r>
            <w:r>
              <w:rPr>
                <w:noProof/>
                <w:webHidden/>
              </w:rPr>
              <w:fldChar w:fldCharType="separate"/>
            </w:r>
            <w:r>
              <w:rPr>
                <w:noProof/>
                <w:webHidden/>
              </w:rPr>
              <w:t>7</w:t>
            </w:r>
            <w:r>
              <w:rPr>
                <w:noProof/>
                <w:webHidden/>
              </w:rPr>
              <w:fldChar w:fldCharType="end"/>
            </w:r>
          </w:hyperlink>
        </w:p>
        <w:bookmarkStart w:id="2" w:name="_GoBack"/>
        <w:p w14:paraId="09D20704" w14:textId="77777777" w:rsidR="000E2807" w:rsidRDefault="000E2807">
          <w:pPr>
            <w:pStyle w:val="TOC3"/>
            <w:tabs>
              <w:tab w:val="left" w:pos="1760"/>
            </w:tabs>
            <w:rPr>
              <w:rFonts w:asciiTheme="minorHAnsi" w:eastAsiaTheme="minorEastAsia" w:hAnsiTheme="minorHAnsi" w:cstheme="minorBidi"/>
              <w:noProof/>
              <w:lang w:eastAsia="en-AU"/>
            </w:rPr>
          </w:pPr>
          <w:r w:rsidRPr="009C26FC">
            <w:rPr>
              <w:rStyle w:val="Hyperlink"/>
              <w:noProof/>
            </w:rPr>
            <w:fldChar w:fldCharType="begin"/>
          </w:r>
          <w:r w:rsidRPr="009C26FC">
            <w:rPr>
              <w:rStyle w:val="Hyperlink"/>
              <w:noProof/>
            </w:rPr>
            <w:instrText xml:space="preserve"> </w:instrText>
          </w:r>
          <w:r>
            <w:rPr>
              <w:noProof/>
            </w:rPr>
            <w:instrText>HYPERLINK \l "_Toc12520265"</w:instrText>
          </w:r>
          <w:r w:rsidRPr="009C26FC">
            <w:rPr>
              <w:rStyle w:val="Hyperlink"/>
              <w:noProof/>
            </w:rPr>
            <w:instrText xml:space="preserve"> </w:instrText>
          </w:r>
          <w:r w:rsidRPr="009C26FC">
            <w:rPr>
              <w:rStyle w:val="Hyperlink"/>
              <w:noProof/>
            </w:rPr>
          </w:r>
          <w:r w:rsidRPr="009C26FC">
            <w:rPr>
              <w:rStyle w:val="Hyperlink"/>
              <w:noProof/>
            </w:rPr>
            <w:fldChar w:fldCharType="separate"/>
          </w:r>
          <w:r w:rsidRPr="009C26FC">
            <w:rPr>
              <w:rStyle w:val="Hyperlink"/>
              <w:noProof/>
            </w:rPr>
            <w:t>1.2.</w:t>
          </w:r>
          <w:r>
            <w:rPr>
              <w:rFonts w:asciiTheme="minorHAnsi" w:eastAsiaTheme="minorEastAsia" w:hAnsiTheme="minorHAnsi" w:cstheme="minorBidi"/>
              <w:noProof/>
              <w:lang w:eastAsia="en-AU"/>
            </w:rPr>
            <w:tab/>
          </w:r>
          <w:r w:rsidRPr="009C26FC">
            <w:rPr>
              <w:rStyle w:val="Hyperlink"/>
              <w:noProof/>
            </w:rPr>
            <w:t>Current treatment options</w:t>
          </w:r>
          <w:r>
            <w:rPr>
              <w:noProof/>
              <w:webHidden/>
            </w:rPr>
            <w:tab/>
          </w:r>
          <w:r>
            <w:rPr>
              <w:noProof/>
              <w:webHidden/>
            </w:rPr>
            <w:fldChar w:fldCharType="begin"/>
          </w:r>
          <w:r>
            <w:rPr>
              <w:noProof/>
              <w:webHidden/>
            </w:rPr>
            <w:instrText xml:space="preserve"> PAGEREF _Toc12520265 \h </w:instrText>
          </w:r>
          <w:r>
            <w:rPr>
              <w:noProof/>
              <w:webHidden/>
            </w:rPr>
          </w:r>
          <w:r>
            <w:rPr>
              <w:noProof/>
              <w:webHidden/>
            </w:rPr>
            <w:fldChar w:fldCharType="separate"/>
          </w:r>
          <w:r>
            <w:rPr>
              <w:noProof/>
              <w:webHidden/>
            </w:rPr>
            <w:t>8</w:t>
          </w:r>
          <w:r>
            <w:rPr>
              <w:noProof/>
              <w:webHidden/>
            </w:rPr>
            <w:fldChar w:fldCharType="end"/>
          </w:r>
          <w:r w:rsidRPr="009C26FC">
            <w:rPr>
              <w:rStyle w:val="Hyperlink"/>
              <w:noProof/>
            </w:rPr>
            <w:fldChar w:fldCharType="end"/>
          </w:r>
        </w:p>
        <w:bookmarkEnd w:id="2"/>
        <w:p w14:paraId="5963E8DD" w14:textId="77777777" w:rsidR="000E2807" w:rsidRDefault="000E2807">
          <w:pPr>
            <w:pStyle w:val="TOC3"/>
            <w:tabs>
              <w:tab w:val="left" w:pos="1760"/>
            </w:tabs>
            <w:rPr>
              <w:rFonts w:asciiTheme="minorHAnsi" w:eastAsiaTheme="minorEastAsia" w:hAnsiTheme="minorHAnsi" w:cstheme="minorBidi"/>
              <w:noProof/>
              <w:lang w:eastAsia="en-AU"/>
            </w:rPr>
          </w:pPr>
          <w:r w:rsidRPr="009C26FC">
            <w:rPr>
              <w:rStyle w:val="Hyperlink"/>
              <w:noProof/>
            </w:rPr>
            <w:fldChar w:fldCharType="begin"/>
          </w:r>
          <w:r w:rsidRPr="009C26FC">
            <w:rPr>
              <w:rStyle w:val="Hyperlink"/>
              <w:noProof/>
            </w:rPr>
            <w:instrText xml:space="preserve"> </w:instrText>
          </w:r>
          <w:r>
            <w:rPr>
              <w:noProof/>
            </w:rPr>
            <w:instrText>HYPERLINK \l "_Toc12520266"</w:instrText>
          </w:r>
          <w:r w:rsidRPr="009C26FC">
            <w:rPr>
              <w:rStyle w:val="Hyperlink"/>
              <w:noProof/>
            </w:rPr>
            <w:instrText xml:space="preserve"> </w:instrText>
          </w:r>
          <w:r w:rsidRPr="009C26FC">
            <w:rPr>
              <w:rStyle w:val="Hyperlink"/>
              <w:noProof/>
            </w:rPr>
          </w:r>
          <w:r w:rsidRPr="009C26FC">
            <w:rPr>
              <w:rStyle w:val="Hyperlink"/>
              <w:noProof/>
            </w:rPr>
            <w:fldChar w:fldCharType="separate"/>
          </w:r>
          <w:r w:rsidRPr="009C26FC">
            <w:rPr>
              <w:rStyle w:val="Hyperlink"/>
              <w:noProof/>
            </w:rPr>
            <w:t>1.3.</w:t>
          </w:r>
          <w:r>
            <w:rPr>
              <w:rFonts w:asciiTheme="minorHAnsi" w:eastAsiaTheme="minorEastAsia" w:hAnsiTheme="minorHAnsi" w:cstheme="minorBidi"/>
              <w:noProof/>
              <w:lang w:eastAsia="en-AU"/>
            </w:rPr>
            <w:tab/>
          </w:r>
          <w:r w:rsidRPr="009C26FC">
            <w:rPr>
              <w:rStyle w:val="Hyperlink"/>
              <w:noProof/>
            </w:rPr>
            <w:t>Clinical rationale</w:t>
          </w:r>
          <w:r>
            <w:rPr>
              <w:noProof/>
              <w:webHidden/>
            </w:rPr>
            <w:tab/>
          </w:r>
          <w:r>
            <w:rPr>
              <w:noProof/>
              <w:webHidden/>
            </w:rPr>
            <w:fldChar w:fldCharType="begin"/>
          </w:r>
          <w:r>
            <w:rPr>
              <w:noProof/>
              <w:webHidden/>
            </w:rPr>
            <w:instrText xml:space="preserve"> PAGEREF _Toc12520266 \h </w:instrText>
          </w:r>
          <w:r>
            <w:rPr>
              <w:noProof/>
              <w:webHidden/>
            </w:rPr>
          </w:r>
          <w:r>
            <w:rPr>
              <w:noProof/>
              <w:webHidden/>
            </w:rPr>
            <w:fldChar w:fldCharType="separate"/>
          </w:r>
          <w:r>
            <w:rPr>
              <w:noProof/>
              <w:webHidden/>
            </w:rPr>
            <w:t>9</w:t>
          </w:r>
          <w:r>
            <w:rPr>
              <w:noProof/>
              <w:webHidden/>
            </w:rPr>
            <w:fldChar w:fldCharType="end"/>
          </w:r>
          <w:r w:rsidRPr="009C26FC">
            <w:rPr>
              <w:rStyle w:val="Hyperlink"/>
              <w:noProof/>
            </w:rPr>
            <w:fldChar w:fldCharType="end"/>
          </w:r>
        </w:p>
        <w:p w14:paraId="68E939E7"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7" w:history="1">
            <w:r w:rsidRPr="009C26FC">
              <w:rPr>
                <w:rStyle w:val="Hyperlink"/>
                <w:noProof/>
              </w:rPr>
              <w:t>1.4.</w:t>
            </w:r>
            <w:r>
              <w:rPr>
                <w:rFonts w:asciiTheme="minorHAnsi" w:eastAsiaTheme="minorEastAsia" w:hAnsiTheme="minorHAnsi" w:cstheme="minorBidi"/>
                <w:noProof/>
                <w:lang w:eastAsia="en-AU"/>
              </w:rPr>
              <w:tab/>
            </w:r>
            <w:r w:rsidRPr="009C26FC">
              <w:rPr>
                <w:rStyle w:val="Hyperlink"/>
                <w:noProof/>
              </w:rPr>
              <w:t>Guidance</w:t>
            </w:r>
            <w:r>
              <w:rPr>
                <w:noProof/>
                <w:webHidden/>
              </w:rPr>
              <w:tab/>
            </w:r>
            <w:r>
              <w:rPr>
                <w:noProof/>
                <w:webHidden/>
              </w:rPr>
              <w:fldChar w:fldCharType="begin"/>
            </w:r>
            <w:r>
              <w:rPr>
                <w:noProof/>
                <w:webHidden/>
              </w:rPr>
              <w:instrText xml:space="preserve"> PAGEREF _Toc12520267 \h </w:instrText>
            </w:r>
            <w:r>
              <w:rPr>
                <w:noProof/>
                <w:webHidden/>
              </w:rPr>
            </w:r>
            <w:r>
              <w:rPr>
                <w:noProof/>
                <w:webHidden/>
              </w:rPr>
              <w:fldChar w:fldCharType="separate"/>
            </w:r>
            <w:r>
              <w:rPr>
                <w:noProof/>
                <w:webHidden/>
              </w:rPr>
              <w:t>9</w:t>
            </w:r>
            <w:r>
              <w:rPr>
                <w:noProof/>
                <w:webHidden/>
              </w:rPr>
              <w:fldChar w:fldCharType="end"/>
            </w:r>
          </w:hyperlink>
        </w:p>
        <w:p w14:paraId="565F4808"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68" w:history="1">
            <w:r w:rsidRPr="009C26FC">
              <w:rPr>
                <w:rStyle w:val="Hyperlink"/>
                <w:noProof/>
              </w:rPr>
              <w:t>1.5.</w:t>
            </w:r>
            <w:r>
              <w:rPr>
                <w:rFonts w:asciiTheme="minorHAnsi" w:eastAsiaTheme="minorEastAsia" w:hAnsiTheme="minorHAnsi" w:cstheme="minorBidi"/>
                <w:noProof/>
                <w:lang w:eastAsia="en-AU"/>
              </w:rPr>
              <w:tab/>
            </w:r>
            <w:r w:rsidRPr="009C26FC">
              <w:rPr>
                <w:rStyle w:val="Hyperlink"/>
                <w:noProof/>
              </w:rPr>
              <w:t>Evaluator’s commentary on the background information</w:t>
            </w:r>
            <w:r>
              <w:rPr>
                <w:noProof/>
                <w:webHidden/>
              </w:rPr>
              <w:tab/>
            </w:r>
            <w:r>
              <w:rPr>
                <w:noProof/>
                <w:webHidden/>
              </w:rPr>
              <w:fldChar w:fldCharType="begin"/>
            </w:r>
            <w:r>
              <w:rPr>
                <w:noProof/>
                <w:webHidden/>
              </w:rPr>
              <w:instrText xml:space="preserve"> PAGEREF _Toc12520268 \h </w:instrText>
            </w:r>
            <w:r>
              <w:rPr>
                <w:noProof/>
                <w:webHidden/>
              </w:rPr>
            </w:r>
            <w:r>
              <w:rPr>
                <w:noProof/>
                <w:webHidden/>
              </w:rPr>
              <w:fldChar w:fldCharType="separate"/>
            </w:r>
            <w:r>
              <w:rPr>
                <w:noProof/>
                <w:webHidden/>
              </w:rPr>
              <w:t>10</w:t>
            </w:r>
            <w:r>
              <w:rPr>
                <w:noProof/>
                <w:webHidden/>
              </w:rPr>
              <w:fldChar w:fldCharType="end"/>
            </w:r>
          </w:hyperlink>
        </w:p>
        <w:p w14:paraId="205B3113"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69" w:history="1">
            <w:r w:rsidRPr="009C26FC">
              <w:rPr>
                <w:rStyle w:val="Hyperlink"/>
                <w:noProof/>
                <w:lang w:eastAsia="en-AU"/>
              </w:rPr>
              <w:t>2.</w:t>
            </w:r>
            <w:r>
              <w:rPr>
                <w:rFonts w:asciiTheme="minorHAnsi" w:eastAsiaTheme="minorEastAsia" w:hAnsiTheme="minorHAnsi" w:cstheme="minorBidi"/>
                <w:b w:val="0"/>
                <w:noProof/>
                <w:sz w:val="22"/>
                <w:lang w:eastAsia="en-AU"/>
              </w:rPr>
              <w:tab/>
            </w:r>
            <w:r w:rsidRPr="009C26F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_Toc12520269 \h </w:instrText>
            </w:r>
            <w:r>
              <w:rPr>
                <w:noProof/>
                <w:webHidden/>
              </w:rPr>
            </w:r>
            <w:r>
              <w:rPr>
                <w:noProof/>
                <w:webHidden/>
              </w:rPr>
              <w:fldChar w:fldCharType="separate"/>
            </w:r>
            <w:r>
              <w:rPr>
                <w:noProof/>
                <w:webHidden/>
              </w:rPr>
              <w:t>10</w:t>
            </w:r>
            <w:r>
              <w:rPr>
                <w:noProof/>
                <w:webHidden/>
              </w:rPr>
              <w:fldChar w:fldCharType="end"/>
            </w:r>
          </w:hyperlink>
        </w:p>
        <w:p w14:paraId="65767B65"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0" w:history="1">
            <w:r w:rsidRPr="009C26FC">
              <w:rPr>
                <w:rStyle w:val="Hyperlink"/>
                <w:noProof/>
              </w:rPr>
              <w:t>2.1.</w:t>
            </w:r>
            <w:r>
              <w:rPr>
                <w:rFonts w:asciiTheme="minorHAnsi" w:eastAsiaTheme="minorEastAsia" w:hAnsiTheme="minorHAnsi" w:cstheme="minorBidi"/>
                <w:noProof/>
                <w:lang w:eastAsia="en-AU"/>
              </w:rPr>
              <w:tab/>
            </w:r>
            <w:r w:rsidRPr="009C26FC">
              <w:rPr>
                <w:rStyle w:val="Hyperlink"/>
                <w:noProof/>
              </w:rPr>
              <w:t>Scope of the clinical dossier</w:t>
            </w:r>
            <w:r>
              <w:rPr>
                <w:noProof/>
                <w:webHidden/>
              </w:rPr>
              <w:tab/>
            </w:r>
            <w:r>
              <w:rPr>
                <w:noProof/>
                <w:webHidden/>
              </w:rPr>
              <w:fldChar w:fldCharType="begin"/>
            </w:r>
            <w:r>
              <w:rPr>
                <w:noProof/>
                <w:webHidden/>
              </w:rPr>
              <w:instrText xml:space="preserve"> PAGEREF _Toc12520270 \h </w:instrText>
            </w:r>
            <w:r>
              <w:rPr>
                <w:noProof/>
                <w:webHidden/>
              </w:rPr>
            </w:r>
            <w:r>
              <w:rPr>
                <w:noProof/>
                <w:webHidden/>
              </w:rPr>
              <w:fldChar w:fldCharType="separate"/>
            </w:r>
            <w:r>
              <w:rPr>
                <w:noProof/>
                <w:webHidden/>
              </w:rPr>
              <w:t>10</w:t>
            </w:r>
            <w:r>
              <w:rPr>
                <w:noProof/>
                <w:webHidden/>
              </w:rPr>
              <w:fldChar w:fldCharType="end"/>
            </w:r>
          </w:hyperlink>
        </w:p>
        <w:p w14:paraId="0D68B533"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1" w:history="1">
            <w:r w:rsidRPr="009C26FC">
              <w:rPr>
                <w:rStyle w:val="Hyperlink"/>
                <w:noProof/>
              </w:rPr>
              <w:t>2.2.</w:t>
            </w:r>
            <w:r>
              <w:rPr>
                <w:rFonts w:asciiTheme="minorHAnsi" w:eastAsiaTheme="minorEastAsia" w:hAnsiTheme="minorHAnsi" w:cstheme="minorBidi"/>
                <w:noProof/>
                <w:lang w:eastAsia="en-AU"/>
              </w:rPr>
              <w:tab/>
            </w:r>
            <w:r w:rsidRPr="009C26FC">
              <w:rPr>
                <w:rStyle w:val="Hyperlink"/>
                <w:noProof/>
              </w:rPr>
              <w:t>Paediatric data</w:t>
            </w:r>
            <w:r>
              <w:rPr>
                <w:noProof/>
                <w:webHidden/>
              </w:rPr>
              <w:tab/>
            </w:r>
            <w:r>
              <w:rPr>
                <w:noProof/>
                <w:webHidden/>
              </w:rPr>
              <w:fldChar w:fldCharType="begin"/>
            </w:r>
            <w:r>
              <w:rPr>
                <w:noProof/>
                <w:webHidden/>
              </w:rPr>
              <w:instrText xml:space="preserve"> PAGEREF _Toc12520271 \h </w:instrText>
            </w:r>
            <w:r>
              <w:rPr>
                <w:noProof/>
                <w:webHidden/>
              </w:rPr>
            </w:r>
            <w:r>
              <w:rPr>
                <w:noProof/>
                <w:webHidden/>
              </w:rPr>
              <w:fldChar w:fldCharType="separate"/>
            </w:r>
            <w:r>
              <w:rPr>
                <w:noProof/>
                <w:webHidden/>
              </w:rPr>
              <w:t>20</w:t>
            </w:r>
            <w:r>
              <w:rPr>
                <w:noProof/>
                <w:webHidden/>
              </w:rPr>
              <w:fldChar w:fldCharType="end"/>
            </w:r>
          </w:hyperlink>
        </w:p>
        <w:p w14:paraId="04FC2166"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2" w:history="1">
            <w:r w:rsidRPr="009C26FC">
              <w:rPr>
                <w:rStyle w:val="Hyperlink"/>
                <w:noProof/>
              </w:rPr>
              <w:t>2.3.</w:t>
            </w:r>
            <w:r>
              <w:rPr>
                <w:rFonts w:asciiTheme="minorHAnsi" w:eastAsiaTheme="minorEastAsia" w:hAnsiTheme="minorHAnsi" w:cstheme="minorBidi"/>
                <w:noProof/>
                <w:lang w:eastAsia="en-AU"/>
              </w:rPr>
              <w:tab/>
            </w:r>
            <w:r w:rsidRPr="009C26FC">
              <w:rPr>
                <w:rStyle w:val="Hyperlink"/>
                <w:noProof/>
              </w:rPr>
              <w:t>Good clinical practice</w:t>
            </w:r>
            <w:r>
              <w:rPr>
                <w:noProof/>
                <w:webHidden/>
              </w:rPr>
              <w:tab/>
            </w:r>
            <w:r>
              <w:rPr>
                <w:noProof/>
                <w:webHidden/>
              </w:rPr>
              <w:fldChar w:fldCharType="begin"/>
            </w:r>
            <w:r>
              <w:rPr>
                <w:noProof/>
                <w:webHidden/>
              </w:rPr>
              <w:instrText xml:space="preserve"> PAGEREF _Toc12520272 \h </w:instrText>
            </w:r>
            <w:r>
              <w:rPr>
                <w:noProof/>
                <w:webHidden/>
              </w:rPr>
            </w:r>
            <w:r>
              <w:rPr>
                <w:noProof/>
                <w:webHidden/>
              </w:rPr>
              <w:fldChar w:fldCharType="separate"/>
            </w:r>
            <w:r>
              <w:rPr>
                <w:noProof/>
                <w:webHidden/>
              </w:rPr>
              <w:t>20</w:t>
            </w:r>
            <w:r>
              <w:rPr>
                <w:noProof/>
                <w:webHidden/>
              </w:rPr>
              <w:fldChar w:fldCharType="end"/>
            </w:r>
          </w:hyperlink>
        </w:p>
        <w:p w14:paraId="5799FE8D"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73" w:history="1">
            <w:r w:rsidRPr="009C26FC">
              <w:rPr>
                <w:rStyle w:val="Hyperlink"/>
                <w:noProof/>
              </w:rPr>
              <w:t>3.</w:t>
            </w:r>
            <w:r>
              <w:rPr>
                <w:rFonts w:asciiTheme="minorHAnsi" w:eastAsiaTheme="minorEastAsia" w:hAnsiTheme="minorHAnsi" w:cstheme="minorBidi"/>
                <w:b w:val="0"/>
                <w:noProof/>
                <w:sz w:val="22"/>
                <w:lang w:eastAsia="en-AU"/>
              </w:rPr>
              <w:tab/>
            </w:r>
            <w:r w:rsidRPr="009C26FC">
              <w:rPr>
                <w:rStyle w:val="Hyperlink"/>
                <w:noProof/>
              </w:rPr>
              <w:t>Pharmacokinetics</w:t>
            </w:r>
            <w:r>
              <w:rPr>
                <w:noProof/>
                <w:webHidden/>
              </w:rPr>
              <w:tab/>
            </w:r>
            <w:r>
              <w:rPr>
                <w:noProof/>
                <w:webHidden/>
              </w:rPr>
              <w:fldChar w:fldCharType="begin"/>
            </w:r>
            <w:r>
              <w:rPr>
                <w:noProof/>
                <w:webHidden/>
              </w:rPr>
              <w:instrText xml:space="preserve"> PAGEREF _Toc12520273 \h </w:instrText>
            </w:r>
            <w:r>
              <w:rPr>
                <w:noProof/>
                <w:webHidden/>
              </w:rPr>
            </w:r>
            <w:r>
              <w:rPr>
                <w:noProof/>
                <w:webHidden/>
              </w:rPr>
              <w:fldChar w:fldCharType="separate"/>
            </w:r>
            <w:r>
              <w:rPr>
                <w:noProof/>
                <w:webHidden/>
              </w:rPr>
              <w:t>20</w:t>
            </w:r>
            <w:r>
              <w:rPr>
                <w:noProof/>
                <w:webHidden/>
              </w:rPr>
              <w:fldChar w:fldCharType="end"/>
            </w:r>
          </w:hyperlink>
        </w:p>
        <w:p w14:paraId="49C73F6A"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4" w:history="1">
            <w:r w:rsidRPr="009C26FC">
              <w:rPr>
                <w:rStyle w:val="Hyperlink"/>
                <w:noProof/>
              </w:rPr>
              <w:t>3.1.</w:t>
            </w:r>
            <w:r>
              <w:rPr>
                <w:rFonts w:asciiTheme="minorHAnsi" w:eastAsiaTheme="minorEastAsia" w:hAnsiTheme="minorHAnsi" w:cstheme="minorBidi"/>
                <w:noProof/>
                <w:lang w:eastAsia="en-AU"/>
              </w:rPr>
              <w:tab/>
            </w:r>
            <w:r w:rsidRPr="009C26FC">
              <w:rPr>
                <w:rStyle w:val="Hyperlink"/>
                <w:noProof/>
              </w:rPr>
              <w:t>Studies providing pharmacokinetic information</w:t>
            </w:r>
            <w:r>
              <w:rPr>
                <w:noProof/>
                <w:webHidden/>
              </w:rPr>
              <w:tab/>
            </w:r>
            <w:r>
              <w:rPr>
                <w:noProof/>
                <w:webHidden/>
              </w:rPr>
              <w:fldChar w:fldCharType="begin"/>
            </w:r>
            <w:r>
              <w:rPr>
                <w:noProof/>
                <w:webHidden/>
              </w:rPr>
              <w:instrText xml:space="preserve"> PAGEREF _Toc12520274 \h </w:instrText>
            </w:r>
            <w:r>
              <w:rPr>
                <w:noProof/>
                <w:webHidden/>
              </w:rPr>
            </w:r>
            <w:r>
              <w:rPr>
                <w:noProof/>
                <w:webHidden/>
              </w:rPr>
              <w:fldChar w:fldCharType="separate"/>
            </w:r>
            <w:r>
              <w:rPr>
                <w:noProof/>
                <w:webHidden/>
              </w:rPr>
              <w:t>20</w:t>
            </w:r>
            <w:r>
              <w:rPr>
                <w:noProof/>
                <w:webHidden/>
              </w:rPr>
              <w:fldChar w:fldCharType="end"/>
            </w:r>
          </w:hyperlink>
        </w:p>
        <w:p w14:paraId="7BD89754"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5" w:history="1">
            <w:r w:rsidRPr="009C26FC">
              <w:rPr>
                <w:rStyle w:val="Hyperlink"/>
                <w:noProof/>
              </w:rPr>
              <w:t>3.2.</w:t>
            </w:r>
            <w:r>
              <w:rPr>
                <w:rFonts w:asciiTheme="minorHAnsi" w:eastAsiaTheme="minorEastAsia" w:hAnsiTheme="minorHAnsi" w:cstheme="minorBidi"/>
                <w:noProof/>
                <w:lang w:eastAsia="en-AU"/>
              </w:rPr>
              <w:tab/>
            </w:r>
            <w:r w:rsidRPr="009C26FC">
              <w:rPr>
                <w:rStyle w:val="Hyperlink"/>
                <w:noProof/>
              </w:rPr>
              <w:t>Summary of pharmacokinetics</w:t>
            </w:r>
            <w:r>
              <w:rPr>
                <w:noProof/>
                <w:webHidden/>
              </w:rPr>
              <w:tab/>
            </w:r>
            <w:r>
              <w:rPr>
                <w:noProof/>
                <w:webHidden/>
              </w:rPr>
              <w:fldChar w:fldCharType="begin"/>
            </w:r>
            <w:r>
              <w:rPr>
                <w:noProof/>
                <w:webHidden/>
              </w:rPr>
              <w:instrText xml:space="preserve"> PAGEREF _Toc12520275 \h </w:instrText>
            </w:r>
            <w:r>
              <w:rPr>
                <w:noProof/>
                <w:webHidden/>
              </w:rPr>
            </w:r>
            <w:r>
              <w:rPr>
                <w:noProof/>
                <w:webHidden/>
              </w:rPr>
              <w:fldChar w:fldCharType="separate"/>
            </w:r>
            <w:r>
              <w:rPr>
                <w:noProof/>
                <w:webHidden/>
              </w:rPr>
              <w:t>21</w:t>
            </w:r>
            <w:r>
              <w:rPr>
                <w:noProof/>
                <w:webHidden/>
              </w:rPr>
              <w:fldChar w:fldCharType="end"/>
            </w:r>
          </w:hyperlink>
        </w:p>
        <w:p w14:paraId="3F3258D8"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6" w:history="1">
            <w:r w:rsidRPr="009C26FC">
              <w:rPr>
                <w:rStyle w:val="Hyperlink"/>
                <w:noProof/>
              </w:rPr>
              <w:t>3.3.</w:t>
            </w:r>
            <w:r>
              <w:rPr>
                <w:rFonts w:asciiTheme="minorHAnsi" w:eastAsiaTheme="minorEastAsia" w:hAnsiTheme="minorHAnsi" w:cstheme="minorBidi"/>
                <w:noProof/>
                <w:lang w:eastAsia="en-AU"/>
              </w:rPr>
              <w:tab/>
            </w:r>
            <w:r w:rsidRPr="009C26FC">
              <w:rPr>
                <w:rStyle w:val="Hyperlink"/>
                <w:noProof/>
              </w:rPr>
              <w:t>Evaluator’s overall conclusions on pharmacokinetics</w:t>
            </w:r>
            <w:r>
              <w:rPr>
                <w:noProof/>
                <w:webHidden/>
              </w:rPr>
              <w:tab/>
            </w:r>
            <w:r>
              <w:rPr>
                <w:noProof/>
                <w:webHidden/>
              </w:rPr>
              <w:fldChar w:fldCharType="begin"/>
            </w:r>
            <w:r>
              <w:rPr>
                <w:noProof/>
                <w:webHidden/>
              </w:rPr>
              <w:instrText xml:space="preserve"> PAGEREF _Toc12520276 \h </w:instrText>
            </w:r>
            <w:r>
              <w:rPr>
                <w:noProof/>
                <w:webHidden/>
              </w:rPr>
            </w:r>
            <w:r>
              <w:rPr>
                <w:noProof/>
                <w:webHidden/>
              </w:rPr>
              <w:fldChar w:fldCharType="separate"/>
            </w:r>
            <w:r>
              <w:rPr>
                <w:noProof/>
                <w:webHidden/>
              </w:rPr>
              <w:t>30</w:t>
            </w:r>
            <w:r>
              <w:rPr>
                <w:noProof/>
                <w:webHidden/>
              </w:rPr>
              <w:fldChar w:fldCharType="end"/>
            </w:r>
          </w:hyperlink>
        </w:p>
        <w:p w14:paraId="09871C88"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77" w:history="1">
            <w:r w:rsidRPr="009C26FC">
              <w:rPr>
                <w:rStyle w:val="Hyperlink"/>
                <w:noProof/>
              </w:rPr>
              <w:t>4.</w:t>
            </w:r>
            <w:r>
              <w:rPr>
                <w:rFonts w:asciiTheme="minorHAnsi" w:eastAsiaTheme="minorEastAsia" w:hAnsiTheme="minorHAnsi" w:cstheme="minorBidi"/>
                <w:b w:val="0"/>
                <w:noProof/>
                <w:sz w:val="22"/>
                <w:lang w:eastAsia="en-AU"/>
              </w:rPr>
              <w:tab/>
            </w:r>
            <w:r w:rsidRPr="009C26FC">
              <w:rPr>
                <w:rStyle w:val="Hyperlink"/>
                <w:noProof/>
              </w:rPr>
              <w:t>Pharmacodynamics</w:t>
            </w:r>
            <w:r>
              <w:rPr>
                <w:noProof/>
                <w:webHidden/>
              </w:rPr>
              <w:tab/>
            </w:r>
            <w:r>
              <w:rPr>
                <w:noProof/>
                <w:webHidden/>
              </w:rPr>
              <w:fldChar w:fldCharType="begin"/>
            </w:r>
            <w:r>
              <w:rPr>
                <w:noProof/>
                <w:webHidden/>
              </w:rPr>
              <w:instrText xml:space="preserve"> PAGEREF _Toc12520277 \h </w:instrText>
            </w:r>
            <w:r>
              <w:rPr>
                <w:noProof/>
                <w:webHidden/>
              </w:rPr>
            </w:r>
            <w:r>
              <w:rPr>
                <w:noProof/>
                <w:webHidden/>
              </w:rPr>
              <w:fldChar w:fldCharType="separate"/>
            </w:r>
            <w:r>
              <w:rPr>
                <w:noProof/>
                <w:webHidden/>
              </w:rPr>
              <w:t>30</w:t>
            </w:r>
            <w:r>
              <w:rPr>
                <w:noProof/>
                <w:webHidden/>
              </w:rPr>
              <w:fldChar w:fldCharType="end"/>
            </w:r>
          </w:hyperlink>
        </w:p>
        <w:p w14:paraId="1F5E3A84"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8" w:history="1">
            <w:r w:rsidRPr="009C26FC">
              <w:rPr>
                <w:rStyle w:val="Hyperlink"/>
                <w:noProof/>
              </w:rPr>
              <w:t>4.1.</w:t>
            </w:r>
            <w:r>
              <w:rPr>
                <w:rFonts w:asciiTheme="minorHAnsi" w:eastAsiaTheme="minorEastAsia" w:hAnsiTheme="minorHAnsi" w:cstheme="minorBidi"/>
                <w:noProof/>
                <w:lang w:eastAsia="en-AU"/>
              </w:rPr>
              <w:tab/>
            </w:r>
            <w:r w:rsidRPr="009C26FC">
              <w:rPr>
                <w:rStyle w:val="Hyperlink"/>
                <w:noProof/>
              </w:rPr>
              <w:t>Studies providing pharmacodynamic information</w:t>
            </w:r>
            <w:r>
              <w:rPr>
                <w:noProof/>
                <w:webHidden/>
              </w:rPr>
              <w:tab/>
            </w:r>
            <w:r>
              <w:rPr>
                <w:noProof/>
                <w:webHidden/>
              </w:rPr>
              <w:fldChar w:fldCharType="begin"/>
            </w:r>
            <w:r>
              <w:rPr>
                <w:noProof/>
                <w:webHidden/>
              </w:rPr>
              <w:instrText xml:space="preserve"> PAGEREF _Toc12520278 \h </w:instrText>
            </w:r>
            <w:r>
              <w:rPr>
                <w:noProof/>
                <w:webHidden/>
              </w:rPr>
            </w:r>
            <w:r>
              <w:rPr>
                <w:noProof/>
                <w:webHidden/>
              </w:rPr>
              <w:fldChar w:fldCharType="separate"/>
            </w:r>
            <w:r>
              <w:rPr>
                <w:noProof/>
                <w:webHidden/>
              </w:rPr>
              <w:t>30</w:t>
            </w:r>
            <w:r>
              <w:rPr>
                <w:noProof/>
                <w:webHidden/>
              </w:rPr>
              <w:fldChar w:fldCharType="end"/>
            </w:r>
          </w:hyperlink>
        </w:p>
        <w:p w14:paraId="7CF79AC3"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79" w:history="1">
            <w:r w:rsidRPr="009C26FC">
              <w:rPr>
                <w:rStyle w:val="Hyperlink"/>
                <w:noProof/>
              </w:rPr>
              <w:t>4.2.</w:t>
            </w:r>
            <w:r>
              <w:rPr>
                <w:rFonts w:asciiTheme="minorHAnsi" w:eastAsiaTheme="minorEastAsia" w:hAnsiTheme="minorHAnsi" w:cstheme="minorBidi"/>
                <w:noProof/>
                <w:lang w:eastAsia="en-AU"/>
              </w:rPr>
              <w:tab/>
            </w:r>
            <w:r w:rsidRPr="009C26FC">
              <w:rPr>
                <w:rStyle w:val="Hyperlink"/>
                <w:noProof/>
              </w:rPr>
              <w:t>Summary of pharmacodynamics</w:t>
            </w:r>
            <w:r>
              <w:rPr>
                <w:noProof/>
                <w:webHidden/>
              </w:rPr>
              <w:tab/>
            </w:r>
            <w:r>
              <w:rPr>
                <w:noProof/>
                <w:webHidden/>
              </w:rPr>
              <w:fldChar w:fldCharType="begin"/>
            </w:r>
            <w:r>
              <w:rPr>
                <w:noProof/>
                <w:webHidden/>
              </w:rPr>
              <w:instrText xml:space="preserve"> PAGEREF _Toc12520279 \h </w:instrText>
            </w:r>
            <w:r>
              <w:rPr>
                <w:noProof/>
                <w:webHidden/>
              </w:rPr>
            </w:r>
            <w:r>
              <w:rPr>
                <w:noProof/>
                <w:webHidden/>
              </w:rPr>
              <w:fldChar w:fldCharType="separate"/>
            </w:r>
            <w:r>
              <w:rPr>
                <w:noProof/>
                <w:webHidden/>
              </w:rPr>
              <w:t>31</w:t>
            </w:r>
            <w:r>
              <w:rPr>
                <w:noProof/>
                <w:webHidden/>
              </w:rPr>
              <w:fldChar w:fldCharType="end"/>
            </w:r>
          </w:hyperlink>
        </w:p>
        <w:p w14:paraId="41F92F9D"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0" w:history="1">
            <w:r w:rsidRPr="009C26FC">
              <w:rPr>
                <w:rStyle w:val="Hyperlink"/>
                <w:noProof/>
              </w:rPr>
              <w:t>4.3.</w:t>
            </w:r>
            <w:r>
              <w:rPr>
                <w:rFonts w:asciiTheme="minorHAnsi" w:eastAsiaTheme="minorEastAsia" w:hAnsiTheme="minorHAnsi" w:cstheme="minorBidi"/>
                <w:noProof/>
                <w:lang w:eastAsia="en-AU"/>
              </w:rPr>
              <w:tab/>
            </w:r>
            <w:r w:rsidRPr="009C26FC">
              <w:rPr>
                <w:rStyle w:val="Hyperlink"/>
                <w:noProof/>
              </w:rPr>
              <w:t>Evaluator’s overall conclusions on pharmacodynamics</w:t>
            </w:r>
            <w:r>
              <w:rPr>
                <w:noProof/>
                <w:webHidden/>
              </w:rPr>
              <w:tab/>
            </w:r>
            <w:r>
              <w:rPr>
                <w:noProof/>
                <w:webHidden/>
              </w:rPr>
              <w:fldChar w:fldCharType="begin"/>
            </w:r>
            <w:r>
              <w:rPr>
                <w:noProof/>
                <w:webHidden/>
              </w:rPr>
              <w:instrText xml:space="preserve"> PAGEREF _Toc12520280 \h </w:instrText>
            </w:r>
            <w:r>
              <w:rPr>
                <w:noProof/>
                <w:webHidden/>
              </w:rPr>
            </w:r>
            <w:r>
              <w:rPr>
                <w:noProof/>
                <w:webHidden/>
              </w:rPr>
              <w:fldChar w:fldCharType="separate"/>
            </w:r>
            <w:r>
              <w:rPr>
                <w:noProof/>
                <w:webHidden/>
              </w:rPr>
              <w:t>33</w:t>
            </w:r>
            <w:r>
              <w:rPr>
                <w:noProof/>
                <w:webHidden/>
              </w:rPr>
              <w:fldChar w:fldCharType="end"/>
            </w:r>
          </w:hyperlink>
        </w:p>
        <w:p w14:paraId="0FA46EC8"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81" w:history="1">
            <w:r w:rsidRPr="009C26FC">
              <w:rPr>
                <w:rStyle w:val="Hyperlink"/>
                <w:noProof/>
              </w:rPr>
              <w:t>5.</w:t>
            </w:r>
            <w:r>
              <w:rPr>
                <w:rFonts w:asciiTheme="minorHAnsi" w:eastAsiaTheme="minorEastAsia" w:hAnsiTheme="minorHAnsi" w:cstheme="minorBidi"/>
                <w:b w:val="0"/>
                <w:noProof/>
                <w:sz w:val="22"/>
                <w:lang w:eastAsia="en-AU"/>
              </w:rPr>
              <w:tab/>
            </w:r>
            <w:r w:rsidRPr="009C26FC">
              <w:rPr>
                <w:rStyle w:val="Hyperlink"/>
                <w:noProof/>
              </w:rPr>
              <w:t>Dosage selection for the pivotal studies</w:t>
            </w:r>
            <w:r>
              <w:rPr>
                <w:noProof/>
                <w:webHidden/>
              </w:rPr>
              <w:tab/>
            </w:r>
            <w:r>
              <w:rPr>
                <w:noProof/>
                <w:webHidden/>
              </w:rPr>
              <w:fldChar w:fldCharType="begin"/>
            </w:r>
            <w:r>
              <w:rPr>
                <w:noProof/>
                <w:webHidden/>
              </w:rPr>
              <w:instrText xml:space="preserve"> PAGEREF _Toc12520281 \h </w:instrText>
            </w:r>
            <w:r>
              <w:rPr>
                <w:noProof/>
                <w:webHidden/>
              </w:rPr>
            </w:r>
            <w:r>
              <w:rPr>
                <w:noProof/>
                <w:webHidden/>
              </w:rPr>
              <w:fldChar w:fldCharType="separate"/>
            </w:r>
            <w:r>
              <w:rPr>
                <w:noProof/>
                <w:webHidden/>
              </w:rPr>
              <w:t>33</w:t>
            </w:r>
            <w:r>
              <w:rPr>
                <w:noProof/>
                <w:webHidden/>
              </w:rPr>
              <w:fldChar w:fldCharType="end"/>
            </w:r>
          </w:hyperlink>
        </w:p>
        <w:p w14:paraId="323AB2D8"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2" w:history="1">
            <w:r w:rsidRPr="009C26FC">
              <w:rPr>
                <w:rStyle w:val="Hyperlink"/>
                <w:noProof/>
              </w:rPr>
              <w:t>5.1.</w:t>
            </w:r>
            <w:r>
              <w:rPr>
                <w:rFonts w:asciiTheme="minorHAnsi" w:eastAsiaTheme="minorEastAsia" w:hAnsiTheme="minorHAnsi" w:cstheme="minorBidi"/>
                <w:noProof/>
                <w:lang w:eastAsia="en-AU"/>
              </w:rPr>
              <w:tab/>
            </w:r>
            <w:r w:rsidRPr="009C26FC">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_Toc12520282 \h </w:instrText>
            </w:r>
            <w:r>
              <w:rPr>
                <w:noProof/>
                <w:webHidden/>
              </w:rPr>
            </w:r>
            <w:r>
              <w:rPr>
                <w:noProof/>
                <w:webHidden/>
              </w:rPr>
              <w:fldChar w:fldCharType="separate"/>
            </w:r>
            <w:r>
              <w:rPr>
                <w:noProof/>
                <w:webHidden/>
              </w:rPr>
              <w:t>33</w:t>
            </w:r>
            <w:r>
              <w:rPr>
                <w:noProof/>
                <w:webHidden/>
              </w:rPr>
              <w:fldChar w:fldCharType="end"/>
            </w:r>
          </w:hyperlink>
        </w:p>
        <w:p w14:paraId="10EBC730"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3" w:history="1">
            <w:r w:rsidRPr="009C26FC">
              <w:rPr>
                <w:rStyle w:val="Hyperlink"/>
                <w:noProof/>
              </w:rPr>
              <w:t>5.2.</w:t>
            </w:r>
            <w:r>
              <w:rPr>
                <w:rFonts w:asciiTheme="minorHAnsi" w:eastAsiaTheme="minorEastAsia" w:hAnsiTheme="minorHAnsi" w:cstheme="minorBidi"/>
                <w:noProof/>
                <w:lang w:eastAsia="en-AU"/>
              </w:rPr>
              <w:tab/>
            </w:r>
            <w:r w:rsidRPr="009C26FC">
              <w:rPr>
                <w:rStyle w:val="Hyperlink"/>
                <w:noProof/>
              </w:rPr>
              <w:t>Phase II dose finding studies</w:t>
            </w:r>
            <w:r>
              <w:rPr>
                <w:noProof/>
                <w:webHidden/>
              </w:rPr>
              <w:tab/>
            </w:r>
            <w:r>
              <w:rPr>
                <w:noProof/>
                <w:webHidden/>
              </w:rPr>
              <w:fldChar w:fldCharType="begin"/>
            </w:r>
            <w:r>
              <w:rPr>
                <w:noProof/>
                <w:webHidden/>
              </w:rPr>
              <w:instrText xml:space="preserve"> PAGEREF _Toc12520283 \h </w:instrText>
            </w:r>
            <w:r>
              <w:rPr>
                <w:noProof/>
                <w:webHidden/>
              </w:rPr>
            </w:r>
            <w:r>
              <w:rPr>
                <w:noProof/>
                <w:webHidden/>
              </w:rPr>
              <w:fldChar w:fldCharType="separate"/>
            </w:r>
            <w:r>
              <w:rPr>
                <w:noProof/>
                <w:webHidden/>
              </w:rPr>
              <w:t>34</w:t>
            </w:r>
            <w:r>
              <w:rPr>
                <w:noProof/>
                <w:webHidden/>
              </w:rPr>
              <w:fldChar w:fldCharType="end"/>
            </w:r>
          </w:hyperlink>
        </w:p>
        <w:p w14:paraId="40453130"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4" w:history="1">
            <w:r w:rsidRPr="009C26FC">
              <w:rPr>
                <w:rStyle w:val="Hyperlink"/>
                <w:noProof/>
              </w:rPr>
              <w:t>5.3.</w:t>
            </w:r>
            <w:r>
              <w:rPr>
                <w:rFonts w:asciiTheme="minorHAnsi" w:eastAsiaTheme="minorEastAsia" w:hAnsiTheme="minorHAnsi" w:cstheme="minorBidi"/>
                <w:noProof/>
                <w:lang w:eastAsia="en-AU"/>
              </w:rPr>
              <w:tab/>
            </w:r>
            <w:r w:rsidRPr="009C26FC">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_Toc12520284 \h </w:instrText>
            </w:r>
            <w:r>
              <w:rPr>
                <w:noProof/>
                <w:webHidden/>
              </w:rPr>
            </w:r>
            <w:r>
              <w:rPr>
                <w:noProof/>
                <w:webHidden/>
              </w:rPr>
              <w:fldChar w:fldCharType="separate"/>
            </w:r>
            <w:r>
              <w:rPr>
                <w:noProof/>
                <w:webHidden/>
              </w:rPr>
              <w:t>34</w:t>
            </w:r>
            <w:r>
              <w:rPr>
                <w:noProof/>
                <w:webHidden/>
              </w:rPr>
              <w:fldChar w:fldCharType="end"/>
            </w:r>
          </w:hyperlink>
        </w:p>
        <w:p w14:paraId="397CD37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5" w:history="1">
            <w:r w:rsidRPr="009C26FC">
              <w:rPr>
                <w:rStyle w:val="Hyperlink"/>
                <w:noProof/>
              </w:rPr>
              <w:t>5.4.</w:t>
            </w:r>
            <w:r>
              <w:rPr>
                <w:rFonts w:asciiTheme="minorHAnsi" w:eastAsiaTheme="minorEastAsia" w:hAnsiTheme="minorHAnsi" w:cstheme="minorBidi"/>
                <w:noProof/>
                <w:lang w:eastAsia="en-AU"/>
              </w:rPr>
              <w:tab/>
            </w:r>
            <w:r w:rsidRPr="009C26FC">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_Toc12520285 \h </w:instrText>
            </w:r>
            <w:r>
              <w:rPr>
                <w:noProof/>
                <w:webHidden/>
              </w:rPr>
            </w:r>
            <w:r>
              <w:rPr>
                <w:noProof/>
                <w:webHidden/>
              </w:rPr>
              <w:fldChar w:fldCharType="separate"/>
            </w:r>
            <w:r>
              <w:rPr>
                <w:noProof/>
                <w:webHidden/>
              </w:rPr>
              <w:t>34</w:t>
            </w:r>
            <w:r>
              <w:rPr>
                <w:noProof/>
                <w:webHidden/>
              </w:rPr>
              <w:fldChar w:fldCharType="end"/>
            </w:r>
          </w:hyperlink>
        </w:p>
        <w:p w14:paraId="04C9F5BF"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86" w:history="1">
            <w:r w:rsidRPr="009C26FC">
              <w:rPr>
                <w:rStyle w:val="Hyperlink"/>
                <w:noProof/>
              </w:rPr>
              <w:t>6.</w:t>
            </w:r>
            <w:r>
              <w:rPr>
                <w:rFonts w:asciiTheme="minorHAnsi" w:eastAsiaTheme="minorEastAsia" w:hAnsiTheme="minorHAnsi" w:cstheme="minorBidi"/>
                <w:b w:val="0"/>
                <w:noProof/>
                <w:sz w:val="22"/>
                <w:lang w:eastAsia="en-AU"/>
              </w:rPr>
              <w:tab/>
            </w:r>
            <w:r w:rsidRPr="009C26FC">
              <w:rPr>
                <w:rStyle w:val="Hyperlink"/>
                <w:noProof/>
              </w:rPr>
              <w:t>Clinical efficacy</w:t>
            </w:r>
            <w:r>
              <w:rPr>
                <w:noProof/>
                <w:webHidden/>
              </w:rPr>
              <w:tab/>
            </w:r>
            <w:r>
              <w:rPr>
                <w:noProof/>
                <w:webHidden/>
              </w:rPr>
              <w:fldChar w:fldCharType="begin"/>
            </w:r>
            <w:r>
              <w:rPr>
                <w:noProof/>
                <w:webHidden/>
              </w:rPr>
              <w:instrText xml:space="preserve"> PAGEREF _Toc12520286 \h </w:instrText>
            </w:r>
            <w:r>
              <w:rPr>
                <w:noProof/>
                <w:webHidden/>
              </w:rPr>
            </w:r>
            <w:r>
              <w:rPr>
                <w:noProof/>
                <w:webHidden/>
              </w:rPr>
              <w:fldChar w:fldCharType="separate"/>
            </w:r>
            <w:r>
              <w:rPr>
                <w:noProof/>
                <w:webHidden/>
              </w:rPr>
              <w:t>34</w:t>
            </w:r>
            <w:r>
              <w:rPr>
                <w:noProof/>
                <w:webHidden/>
              </w:rPr>
              <w:fldChar w:fldCharType="end"/>
            </w:r>
          </w:hyperlink>
        </w:p>
        <w:p w14:paraId="52E54E9E"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7" w:history="1">
            <w:r w:rsidRPr="009C26FC">
              <w:rPr>
                <w:rStyle w:val="Hyperlink"/>
                <w:noProof/>
              </w:rPr>
              <w:t>6.1.</w:t>
            </w:r>
            <w:r>
              <w:rPr>
                <w:rFonts w:asciiTheme="minorHAnsi" w:eastAsiaTheme="minorEastAsia" w:hAnsiTheme="minorHAnsi" w:cstheme="minorBidi"/>
                <w:noProof/>
                <w:lang w:eastAsia="en-AU"/>
              </w:rPr>
              <w:tab/>
            </w:r>
            <w:r w:rsidRPr="009C26FC">
              <w:rPr>
                <w:rStyle w:val="Hyperlink"/>
                <w:noProof/>
              </w:rPr>
              <w:t>Studies providing evaluable efficacy data</w:t>
            </w:r>
            <w:r>
              <w:rPr>
                <w:noProof/>
                <w:webHidden/>
              </w:rPr>
              <w:tab/>
            </w:r>
            <w:r>
              <w:rPr>
                <w:noProof/>
                <w:webHidden/>
              </w:rPr>
              <w:fldChar w:fldCharType="begin"/>
            </w:r>
            <w:r>
              <w:rPr>
                <w:noProof/>
                <w:webHidden/>
              </w:rPr>
              <w:instrText xml:space="preserve"> PAGEREF _Toc12520287 \h </w:instrText>
            </w:r>
            <w:r>
              <w:rPr>
                <w:noProof/>
                <w:webHidden/>
              </w:rPr>
            </w:r>
            <w:r>
              <w:rPr>
                <w:noProof/>
                <w:webHidden/>
              </w:rPr>
              <w:fldChar w:fldCharType="separate"/>
            </w:r>
            <w:r>
              <w:rPr>
                <w:noProof/>
                <w:webHidden/>
              </w:rPr>
              <w:t>34</w:t>
            </w:r>
            <w:r>
              <w:rPr>
                <w:noProof/>
                <w:webHidden/>
              </w:rPr>
              <w:fldChar w:fldCharType="end"/>
            </w:r>
          </w:hyperlink>
        </w:p>
        <w:p w14:paraId="4205E003"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8" w:history="1">
            <w:r w:rsidRPr="009C26FC">
              <w:rPr>
                <w:rStyle w:val="Hyperlink"/>
                <w:noProof/>
              </w:rPr>
              <w:t>6.2.</w:t>
            </w:r>
            <w:r>
              <w:rPr>
                <w:rFonts w:asciiTheme="minorHAnsi" w:eastAsiaTheme="minorEastAsia" w:hAnsiTheme="minorHAnsi" w:cstheme="minorBidi"/>
                <w:noProof/>
                <w:lang w:eastAsia="en-AU"/>
              </w:rPr>
              <w:tab/>
            </w:r>
            <w:r w:rsidRPr="009C26FC">
              <w:rPr>
                <w:rStyle w:val="Hyperlink"/>
                <w:noProof/>
              </w:rPr>
              <w:t>Pivotal or main efficacy studies</w:t>
            </w:r>
            <w:r>
              <w:rPr>
                <w:noProof/>
                <w:webHidden/>
              </w:rPr>
              <w:tab/>
            </w:r>
            <w:r>
              <w:rPr>
                <w:noProof/>
                <w:webHidden/>
              </w:rPr>
              <w:fldChar w:fldCharType="begin"/>
            </w:r>
            <w:r>
              <w:rPr>
                <w:noProof/>
                <w:webHidden/>
              </w:rPr>
              <w:instrText xml:space="preserve"> PAGEREF _Toc12520288 \h </w:instrText>
            </w:r>
            <w:r>
              <w:rPr>
                <w:noProof/>
                <w:webHidden/>
              </w:rPr>
            </w:r>
            <w:r>
              <w:rPr>
                <w:noProof/>
                <w:webHidden/>
              </w:rPr>
              <w:fldChar w:fldCharType="separate"/>
            </w:r>
            <w:r>
              <w:rPr>
                <w:noProof/>
                <w:webHidden/>
              </w:rPr>
              <w:t>36</w:t>
            </w:r>
            <w:r>
              <w:rPr>
                <w:noProof/>
                <w:webHidden/>
              </w:rPr>
              <w:fldChar w:fldCharType="end"/>
            </w:r>
          </w:hyperlink>
        </w:p>
        <w:p w14:paraId="766F9A0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89" w:history="1">
            <w:r w:rsidRPr="009C26FC">
              <w:rPr>
                <w:rStyle w:val="Hyperlink"/>
                <w:noProof/>
              </w:rPr>
              <w:t>6.3.</w:t>
            </w:r>
            <w:r>
              <w:rPr>
                <w:rFonts w:asciiTheme="minorHAnsi" w:eastAsiaTheme="minorEastAsia" w:hAnsiTheme="minorHAnsi" w:cstheme="minorBidi"/>
                <w:noProof/>
                <w:lang w:eastAsia="en-AU"/>
              </w:rPr>
              <w:tab/>
            </w:r>
            <w:r w:rsidRPr="009C26FC">
              <w:rPr>
                <w:rStyle w:val="Hyperlink"/>
                <w:noProof/>
              </w:rPr>
              <w:t>Other efficacy studies</w:t>
            </w:r>
            <w:r>
              <w:rPr>
                <w:noProof/>
                <w:webHidden/>
              </w:rPr>
              <w:tab/>
            </w:r>
            <w:r>
              <w:rPr>
                <w:noProof/>
                <w:webHidden/>
              </w:rPr>
              <w:fldChar w:fldCharType="begin"/>
            </w:r>
            <w:r>
              <w:rPr>
                <w:noProof/>
                <w:webHidden/>
              </w:rPr>
              <w:instrText xml:space="preserve"> PAGEREF _Toc12520289 \h </w:instrText>
            </w:r>
            <w:r>
              <w:rPr>
                <w:noProof/>
                <w:webHidden/>
              </w:rPr>
            </w:r>
            <w:r>
              <w:rPr>
                <w:noProof/>
                <w:webHidden/>
              </w:rPr>
              <w:fldChar w:fldCharType="separate"/>
            </w:r>
            <w:r>
              <w:rPr>
                <w:noProof/>
                <w:webHidden/>
              </w:rPr>
              <w:t>49</w:t>
            </w:r>
            <w:r>
              <w:rPr>
                <w:noProof/>
                <w:webHidden/>
              </w:rPr>
              <w:fldChar w:fldCharType="end"/>
            </w:r>
          </w:hyperlink>
        </w:p>
        <w:p w14:paraId="327598B9"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0" w:history="1">
            <w:r w:rsidRPr="009C26FC">
              <w:rPr>
                <w:rStyle w:val="Hyperlink"/>
                <w:noProof/>
              </w:rPr>
              <w:t>6.4.</w:t>
            </w:r>
            <w:r>
              <w:rPr>
                <w:rFonts w:asciiTheme="minorHAnsi" w:eastAsiaTheme="minorEastAsia" w:hAnsiTheme="minorHAnsi" w:cstheme="minorBidi"/>
                <w:noProof/>
                <w:lang w:eastAsia="en-AU"/>
              </w:rPr>
              <w:tab/>
            </w:r>
            <w:r w:rsidRPr="009C26FC">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_Toc12520290 \h </w:instrText>
            </w:r>
            <w:r>
              <w:rPr>
                <w:noProof/>
                <w:webHidden/>
              </w:rPr>
            </w:r>
            <w:r>
              <w:rPr>
                <w:noProof/>
                <w:webHidden/>
              </w:rPr>
              <w:fldChar w:fldCharType="separate"/>
            </w:r>
            <w:r>
              <w:rPr>
                <w:noProof/>
                <w:webHidden/>
              </w:rPr>
              <w:t>63</w:t>
            </w:r>
            <w:r>
              <w:rPr>
                <w:noProof/>
                <w:webHidden/>
              </w:rPr>
              <w:fldChar w:fldCharType="end"/>
            </w:r>
          </w:hyperlink>
        </w:p>
        <w:p w14:paraId="6470CD4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1" w:history="1">
            <w:r w:rsidRPr="009C26FC">
              <w:rPr>
                <w:rStyle w:val="Hyperlink"/>
                <w:noProof/>
              </w:rPr>
              <w:t>6.5.</w:t>
            </w:r>
            <w:r>
              <w:rPr>
                <w:rFonts w:asciiTheme="minorHAnsi" w:eastAsiaTheme="minorEastAsia" w:hAnsiTheme="minorHAnsi" w:cstheme="minorBidi"/>
                <w:noProof/>
                <w:lang w:eastAsia="en-AU"/>
              </w:rPr>
              <w:tab/>
            </w:r>
            <w:r w:rsidRPr="009C26FC">
              <w:rPr>
                <w:rStyle w:val="Hyperlink"/>
                <w:noProof/>
              </w:rPr>
              <w:t>Evaluator’s conclusions on clinical efficacy</w:t>
            </w:r>
            <w:r>
              <w:rPr>
                <w:noProof/>
                <w:webHidden/>
              </w:rPr>
              <w:tab/>
            </w:r>
            <w:r>
              <w:rPr>
                <w:noProof/>
                <w:webHidden/>
              </w:rPr>
              <w:fldChar w:fldCharType="begin"/>
            </w:r>
            <w:r>
              <w:rPr>
                <w:noProof/>
                <w:webHidden/>
              </w:rPr>
              <w:instrText xml:space="preserve"> PAGEREF _Toc12520291 \h </w:instrText>
            </w:r>
            <w:r>
              <w:rPr>
                <w:noProof/>
                <w:webHidden/>
              </w:rPr>
            </w:r>
            <w:r>
              <w:rPr>
                <w:noProof/>
                <w:webHidden/>
              </w:rPr>
              <w:fldChar w:fldCharType="separate"/>
            </w:r>
            <w:r>
              <w:rPr>
                <w:noProof/>
                <w:webHidden/>
              </w:rPr>
              <w:t>66</w:t>
            </w:r>
            <w:r>
              <w:rPr>
                <w:noProof/>
                <w:webHidden/>
              </w:rPr>
              <w:fldChar w:fldCharType="end"/>
            </w:r>
          </w:hyperlink>
        </w:p>
        <w:p w14:paraId="56809926"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292" w:history="1">
            <w:r w:rsidRPr="009C26FC">
              <w:rPr>
                <w:rStyle w:val="Hyperlink"/>
                <w:noProof/>
              </w:rPr>
              <w:t>7.</w:t>
            </w:r>
            <w:r>
              <w:rPr>
                <w:rFonts w:asciiTheme="minorHAnsi" w:eastAsiaTheme="minorEastAsia" w:hAnsiTheme="minorHAnsi" w:cstheme="minorBidi"/>
                <w:b w:val="0"/>
                <w:noProof/>
                <w:sz w:val="22"/>
                <w:lang w:eastAsia="en-AU"/>
              </w:rPr>
              <w:tab/>
            </w:r>
            <w:r w:rsidRPr="009C26FC">
              <w:rPr>
                <w:rStyle w:val="Hyperlink"/>
                <w:noProof/>
              </w:rPr>
              <w:t>Clinical safety</w:t>
            </w:r>
            <w:r>
              <w:rPr>
                <w:noProof/>
                <w:webHidden/>
              </w:rPr>
              <w:tab/>
            </w:r>
            <w:r>
              <w:rPr>
                <w:noProof/>
                <w:webHidden/>
              </w:rPr>
              <w:fldChar w:fldCharType="begin"/>
            </w:r>
            <w:r>
              <w:rPr>
                <w:noProof/>
                <w:webHidden/>
              </w:rPr>
              <w:instrText xml:space="preserve"> PAGEREF _Toc12520292 \h </w:instrText>
            </w:r>
            <w:r>
              <w:rPr>
                <w:noProof/>
                <w:webHidden/>
              </w:rPr>
            </w:r>
            <w:r>
              <w:rPr>
                <w:noProof/>
                <w:webHidden/>
              </w:rPr>
              <w:fldChar w:fldCharType="separate"/>
            </w:r>
            <w:r>
              <w:rPr>
                <w:noProof/>
                <w:webHidden/>
              </w:rPr>
              <w:t>66</w:t>
            </w:r>
            <w:r>
              <w:rPr>
                <w:noProof/>
                <w:webHidden/>
              </w:rPr>
              <w:fldChar w:fldCharType="end"/>
            </w:r>
          </w:hyperlink>
        </w:p>
        <w:p w14:paraId="1E803E05"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3" w:history="1">
            <w:r w:rsidRPr="009C26FC">
              <w:rPr>
                <w:rStyle w:val="Hyperlink"/>
                <w:noProof/>
              </w:rPr>
              <w:t>7.1.</w:t>
            </w:r>
            <w:r>
              <w:rPr>
                <w:rFonts w:asciiTheme="minorHAnsi" w:eastAsiaTheme="minorEastAsia" w:hAnsiTheme="minorHAnsi" w:cstheme="minorBidi"/>
                <w:noProof/>
                <w:lang w:eastAsia="en-AU"/>
              </w:rPr>
              <w:tab/>
            </w:r>
            <w:r w:rsidRPr="009C26FC">
              <w:rPr>
                <w:rStyle w:val="Hyperlink"/>
                <w:noProof/>
              </w:rPr>
              <w:t>Studies providing evaluable safety data</w:t>
            </w:r>
            <w:r>
              <w:rPr>
                <w:noProof/>
                <w:webHidden/>
              </w:rPr>
              <w:tab/>
            </w:r>
            <w:r>
              <w:rPr>
                <w:noProof/>
                <w:webHidden/>
              </w:rPr>
              <w:fldChar w:fldCharType="begin"/>
            </w:r>
            <w:r>
              <w:rPr>
                <w:noProof/>
                <w:webHidden/>
              </w:rPr>
              <w:instrText xml:space="preserve"> PAGEREF _Toc12520293 \h </w:instrText>
            </w:r>
            <w:r>
              <w:rPr>
                <w:noProof/>
                <w:webHidden/>
              </w:rPr>
            </w:r>
            <w:r>
              <w:rPr>
                <w:noProof/>
                <w:webHidden/>
              </w:rPr>
              <w:fldChar w:fldCharType="separate"/>
            </w:r>
            <w:r>
              <w:rPr>
                <w:noProof/>
                <w:webHidden/>
              </w:rPr>
              <w:t>66</w:t>
            </w:r>
            <w:r>
              <w:rPr>
                <w:noProof/>
                <w:webHidden/>
              </w:rPr>
              <w:fldChar w:fldCharType="end"/>
            </w:r>
          </w:hyperlink>
        </w:p>
        <w:p w14:paraId="38D7F8E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4" w:history="1">
            <w:r w:rsidRPr="009C26FC">
              <w:rPr>
                <w:rStyle w:val="Hyperlink"/>
                <w:noProof/>
              </w:rPr>
              <w:t>7.2.</w:t>
            </w:r>
            <w:r>
              <w:rPr>
                <w:rFonts w:asciiTheme="minorHAnsi" w:eastAsiaTheme="minorEastAsia" w:hAnsiTheme="minorHAnsi" w:cstheme="minorBidi"/>
                <w:noProof/>
                <w:lang w:eastAsia="en-AU"/>
              </w:rPr>
              <w:tab/>
            </w:r>
            <w:r w:rsidRPr="009C26FC">
              <w:rPr>
                <w:rStyle w:val="Hyperlink"/>
                <w:noProof/>
              </w:rPr>
              <w:t>Studies with safety as the sole primary outcome</w:t>
            </w:r>
            <w:r>
              <w:rPr>
                <w:noProof/>
                <w:webHidden/>
              </w:rPr>
              <w:tab/>
            </w:r>
            <w:r>
              <w:rPr>
                <w:noProof/>
                <w:webHidden/>
              </w:rPr>
              <w:fldChar w:fldCharType="begin"/>
            </w:r>
            <w:r>
              <w:rPr>
                <w:noProof/>
                <w:webHidden/>
              </w:rPr>
              <w:instrText xml:space="preserve"> PAGEREF _Toc12520294 \h </w:instrText>
            </w:r>
            <w:r>
              <w:rPr>
                <w:noProof/>
                <w:webHidden/>
              </w:rPr>
            </w:r>
            <w:r>
              <w:rPr>
                <w:noProof/>
                <w:webHidden/>
              </w:rPr>
              <w:fldChar w:fldCharType="separate"/>
            </w:r>
            <w:r>
              <w:rPr>
                <w:noProof/>
                <w:webHidden/>
              </w:rPr>
              <w:t>68</w:t>
            </w:r>
            <w:r>
              <w:rPr>
                <w:noProof/>
                <w:webHidden/>
              </w:rPr>
              <w:fldChar w:fldCharType="end"/>
            </w:r>
          </w:hyperlink>
        </w:p>
        <w:p w14:paraId="50752490"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5" w:history="1">
            <w:r w:rsidRPr="009C26FC">
              <w:rPr>
                <w:rStyle w:val="Hyperlink"/>
                <w:noProof/>
              </w:rPr>
              <w:t>7.3.</w:t>
            </w:r>
            <w:r>
              <w:rPr>
                <w:rFonts w:asciiTheme="minorHAnsi" w:eastAsiaTheme="minorEastAsia" w:hAnsiTheme="minorHAnsi" w:cstheme="minorBidi"/>
                <w:noProof/>
                <w:lang w:eastAsia="en-AU"/>
              </w:rPr>
              <w:tab/>
            </w:r>
            <w:r w:rsidRPr="009C26FC">
              <w:rPr>
                <w:rStyle w:val="Hyperlink"/>
                <w:noProof/>
              </w:rPr>
              <w:t>Patient exposure</w:t>
            </w:r>
            <w:r>
              <w:rPr>
                <w:noProof/>
                <w:webHidden/>
              </w:rPr>
              <w:tab/>
            </w:r>
            <w:r>
              <w:rPr>
                <w:noProof/>
                <w:webHidden/>
              </w:rPr>
              <w:fldChar w:fldCharType="begin"/>
            </w:r>
            <w:r>
              <w:rPr>
                <w:noProof/>
                <w:webHidden/>
              </w:rPr>
              <w:instrText xml:space="preserve"> PAGEREF _Toc12520295 \h </w:instrText>
            </w:r>
            <w:r>
              <w:rPr>
                <w:noProof/>
                <w:webHidden/>
              </w:rPr>
            </w:r>
            <w:r>
              <w:rPr>
                <w:noProof/>
                <w:webHidden/>
              </w:rPr>
              <w:fldChar w:fldCharType="separate"/>
            </w:r>
            <w:r>
              <w:rPr>
                <w:noProof/>
                <w:webHidden/>
              </w:rPr>
              <w:t>69</w:t>
            </w:r>
            <w:r>
              <w:rPr>
                <w:noProof/>
                <w:webHidden/>
              </w:rPr>
              <w:fldChar w:fldCharType="end"/>
            </w:r>
          </w:hyperlink>
        </w:p>
        <w:p w14:paraId="3908964F"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6" w:history="1">
            <w:r w:rsidRPr="009C26FC">
              <w:rPr>
                <w:rStyle w:val="Hyperlink"/>
                <w:noProof/>
              </w:rPr>
              <w:t>7.4.</w:t>
            </w:r>
            <w:r>
              <w:rPr>
                <w:rFonts w:asciiTheme="minorHAnsi" w:eastAsiaTheme="minorEastAsia" w:hAnsiTheme="minorHAnsi" w:cstheme="minorBidi"/>
                <w:noProof/>
                <w:lang w:eastAsia="en-AU"/>
              </w:rPr>
              <w:tab/>
            </w:r>
            <w:r w:rsidRPr="009C26FC">
              <w:rPr>
                <w:rStyle w:val="Hyperlink"/>
                <w:noProof/>
              </w:rPr>
              <w:t>Adverse events</w:t>
            </w:r>
            <w:r>
              <w:rPr>
                <w:noProof/>
                <w:webHidden/>
              </w:rPr>
              <w:tab/>
            </w:r>
            <w:r>
              <w:rPr>
                <w:noProof/>
                <w:webHidden/>
              </w:rPr>
              <w:fldChar w:fldCharType="begin"/>
            </w:r>
            <w:r>
              <w:rPr>
                <w:noProof/>
                <w:webHidden/>
              </w:rPr>
              <w:instrText xml:space="preserve"> PAGEREF _Toc12520296 \h </w:instrText>
            </w:r>
            <w:r>
              <w:rPr>
                <w:noProof/>
                <w:webHidden/>
              </w:rPr>
            </w:r>
            <w:r>
              <w:rPr>
                <w:noProof/>
                <w:webHidden/>
              </w:rPr>
              <w:fldChar w:fldCharType="separate"/>
            </w:r>
            <w:r>
              <w:rPr>
                <w:noProof/>
                <w:webHidden/>
              </w:rPr>
              <w:t>74</w:t>
            </w:r>
            <w:r>
              <w:rPr>
                <w:noProof/>
                <w:webHidden/>
              </w:rPr>
              <w:fldChar w:fldCharType="end"/>
            </w:r>
          </w:hyperlink>
        </w:p>
        <w:p w14:paraId="197B210E"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7" w:history="1">
            <w:r w:rsidRPr="009C26FC">
              <w:rPr>
                <w:rStyle w:val="Hyperlink"/>
                <w:noProof/>
              </w:rPr>
              <w:t>7.5.</w:t>
            </w:r>
            <w:r>
              <w:rPr>
                <w:rFonts w:asciiTheme="minorHAnsi" w:eastAsiaTheme="minorEastAsia" w:hAnsiTheme="minorHAnsi" w:cstheme="minorBidi"/>
                <w:noProof/>
                <w:lang w:eastAsia="en-AU"/>
              </w:rPr>
              <w:tab/>
            </w:r>
            <w:r w:rsidRPr="009C26FC">
              <w:rPr>
                <w:rStyle w:val="Hyperlink"/>
                <w:noProof/>
              </w:rPr>
              <w:t>Evaluation of issues with possible regulatory impact</w:t>
            </w:r>
            <w:r>
              <w:rPr>
                <w:noProof/>
                <w:webHidden/>
              </w:rPr>
              <w:tab/>
            </w:r>
            <w:r>
              <w:rPr>
                <w:noProof/>
                <w:webHidden/>
              </w:rPr>
              <w:fldChar w:fldCharType="begin"/>
            </w:r>
            <w:r>
              <w:rPr>
                <w:noProof/>
                <w:webHidden/>
              </w:rPr>
              <w:instrText xml:space="preserve"> PAGEREF _Toc12520297 \h </w:instrText>
            </w:r>
            <w:r>
              <w:rPr>
                <w:noProof/>
                <w:webHidden/>
              </w:rPr>
            </w:r>
            <w:r>
              <w:rPr>
                <w:noProof/>
                <w:webHidden/>
              </w:rPr>
              <w:fldChar w:fldCharType="separate"/>
            </w:r>
            <w:r>
              <w:rPr>
                <w:noProof/>
                <w:webHidden/>
              </w:rPr>
              <w:t>79</w:t>
            </w:r>
            <w:r>
              <w:rPr>
                <w:noProof/>
                <w:webHidden/>
              </w:rPr>
              <w:fldChar w:fldCharType="end"/>
            </w:r>
          </w:hyperlink>
        </w:p>
        <w:p w14:paraId="23AFCD16"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8" w:history="1">
            <w:r w:rsidRPr="009C26FC">
              <w:rPr>
                <w:rStyle w:val="Hyperlink"/>
                <w:noProof/>
              </w:rPr>
              <w:t>7.6.</w:t>
            </w:r>
            <w:r>
              <w:rPr>
                <w:rFonts w:asciiTheme="minorHAnsi" w:eastAsiaTheme="minorEastAsia" w:hAnsiTheme="minorHAnsi" w:cstheme="minorBidi"/>
                <w:noProof/>
                <w:lang w:eastAsia="en-AU"/>
              </w:rPr>
              <w:tab/>
            </w:r>
            <w:r w:rsidRPr="009C26FC">
              <w:rPr>
                <w:rStyle w:val="Hyperlink"/>
                <w:noProof/>
              </w:rPr>
              <w:t>Other safety issues</w:t>
            </w:r>
            <w:r>
              <w:rPr>
                <w:noProof/>
                <w:webHidden/>
              </w:rPr>
              <w:tab/>
            </w:r>
            <w:r>
              <w:rPr>
                <w:noProof/>
                <w:webHidden/>
              </w:rPr>
              <w:fldChar w:fldCharType="begin"/>
            </w:r>
            <w:r>
              <w:rPr>
                <w:noProof/>
                <w:webHidden/>
              </w:rPr>
              <w:instrText xml:space="preserve"> PAGEREF _Toc12520298 \h </w:instrText>
            </w:r>
            <w:r>
              <w:rPr>
                <w:noProof/>
                <w:webHidden/>
              </w:rPr>
            </w:r>
            <w:r>
              <w:rPr>
                <w:noProof/>
                <w:webHidden/>
              </w:rPr>
              <w:fldChar w:fldCharType="separate"/>
            </w:r>
            <w:r>
              <w:rPr>
                <w:noProof/>
                <w:webHidden/>
              </w:rPr>
              <w:t>82</w:t>
            </w:r>
            <w:r>
              <w:rPr>
                <w:noProof/>
                <w:webHidden/>
              </w:rPr>
              <w:fldChar w:fldCharType="end"/>
            </w:r>
          </w:hyperlink>
        </w:p>
        <w:p w14:paraId="2A5B84E8"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299" w:history="1">
            <w:r w:rsidRPr="009C26FC">
              <w:rPr>
                <w:rStyle w:val="Hyperlink"/>
                <w:noProof/>
              </w:rPr>
              <w:t>7.7.</w:t>
            </w:r>
            <w:r>
              <w:rPr>
                <w:rFonts w:asciiTheme="minorHAnsi" w:eastAsiaTheme="minorEastAsia" w:hAnsiTheme="minorHAnsi" w:cstheme="minorBidi"/>
                <w:noProof/>
                <w:lang w:eastAsia="en-AU"/>
              </w:rPr>
              <w:tab/>
            </w:r>
            <w:r w:rsidRPr="009C26FC">
              <w:rPr>
                <w:rStyle w:val="Hyperlink"/>
                <w:noProof/>
              </w:rPr>
              <w:t>Post marketing experience</w:t>
            </w:r>
            <w:r>
              <w:rPr>
                <w:noProof/>
                <w:webHidden/>
              </w:rPr>
              <w:tab/>
            </w:r>
            <w:r>
              <w:rPr>
                <w:noProof/>
                <w:webHidden/>
              </w:rPr>
              <w:fldChar w:fldCharType="begin"/>
            </w:r>
            <w:r>
              <w:rPr>
                <w:noProof/>
                <w:webHidden/>
              </w:rPr>
              <w:instrText xml:space="preserve"> PAGEREF _Toc12520299 \h </w:instrText>
            </w:r>
            <w:r>
              <w:rPr>
                <w:noProof/>
                <w:webHidden/>
              </w:rPr>
            </w:r>
            <w:r>
              <w:rPr>
                <w:noProof/>
                <w:webHidden/>
              </w:rPr>
              <w:fldChar w:fldCharType="separate"/>
            </w:r>
            <w:r>
              <w:rPr>
                <w:noProof/>
                <w:webHidden/>
              </w:rPr>
              <w:t>84</w:t>
            </w:r>
            <w:r>
              <w:rPr>
                <w:noProof/>
                <w:webHidden/>
              </w:rPr>
              <w:fldChar w:fldCharType="end"/>
            </w:r>
          </w:hyperlink>
        </w:p>
        <w:p w14:paraId="14068FCD"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0" w:history="1">
            <w:r w:rsidRPr="009C26FC">
              <w:rPr>
                <w:rStyle w:val="Hyperlink"/>
                <w:noProof/>
              </w:rPr>
              <w:t>7.8.</w:t>
            </w:r>
            <w:r>
              <w:rPr>
                <w:rFonts w:asciiTheme="minorHAnsi" w:eastAsiaTheme="minorEastAsia" w:hAnsiTheme="minorHAnsi" w:cstheme="minorBidi"/>
                <w:noProof/>
                <w:lang w:eastAsia="en-AU"/>
              </w:rPr>
              <w:tab/>
            </w:r>
            <w:r w:rsidRPr="009C26FC">
              <w:rPr>
                <w:rStyle w:val="Hyperlink"/>
                <w:noProof/>
              </w:rPr>
              <w:t>Evaluator’s overall conclusions on clinical safety</w:t>
            </w:r>
            <w:r>
              <w:rPr>
                <w:noProof/>
                <w:webHidden/>
              </w:rPr>
              <w:tab/>
            </w:r>
            <w:r>
              <w:rPr>
                <w:noProof/>
                <w:webHidden/>
              </w:rPr>
              <w:fldChar w:fldCharType="begin"/>
            </w:r>
            <w:r>
              <w:rPr>
                <w:noProof/>
                <w:webHidden/>
              </w:rPr>
              <w:instrText xml:space="preserve"> PAGEREF _Toc12520300 \h </w:instrText>
            </w:r>
            <w:r>
              <w:rPr>
                <w:noProof/>
                <w:webHidden/>
              </w:rPr>
            </w:r>
            <w:r>
              <w:rPr>
                <w:noProof/>
                <w:webHidden/>
              </w:rPr>
              <w:fldChar w:fldCharType="separate"/>
            </w:r>
            <w:r>
              <w:rPr>
                <w:noProof/>
                <w:webHidden/>
              </w:rPr>
              <w:t>84</w:t>
            </w:r>
            <w:r>
              <w:rPr>
                <w:noProof/>
                <w:webHidden/>
              </w:rPr>
              <w:fldChar w:fldCharType="end"/>
            </w:r>
          </w:hyperlink>
        </w:p>
        <w:p w14:paraId="5AC764F1"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301" w:history="1">
            <w:r w:rsidRPr="009C26FC">
              <w:rPr>
                <w:rStyle w:val="Hyperlink"/>
                <w:noProof/>
              </w:rPr>
              <w:t>8.</w:t>
            </w:r>
            <w:r>
              <w:rPr>
                <w:rFonts w:asciiTheme="minorHAnsi" w:eastAsiaTheme="minorEastAsia" w:hAnsiTheme="minorHAnsi" w:cstheme="minorBidi"/>
                <w:b w:val="0"/>
                <w:noProof/>
                <w:sz w:val="22"/>
                <w:lang w:eastAsia="en-AU"/>
              </w:rPr>
              <w:tab/>
            </w:r>
            <w:r w:rsidRPr="009C26FC">
              <w:rPr>
                <w:rStyle w:val="Hyperlink"/>
                <w:noProof/>
              </w:rPr>
              <w:t>First round benefit-risk assessment</w:t>
            </w:r>
            <w:r>
              <w:rPr>
                <w:noProof/>
                <w:webHidden/>
              </w:rPr>
              <w:tab/>
            </w:r>
            <w:r>
              <w:rPr>
                <w:noProof/>
                <w:webHidden/>
              </w:rPr>
              <w:fldChar w:fldCharType="begin"/>
            </w:r>
            <w:r>
              <w:rPr>
                <w:noProof/>
                <w:webHidden/>
              </w:rPr>
              <w:instrText xml:space="preserve"> PAGEREF _Toc12520301 \h </w:instrText>
            </w:r>
            <w:r>
              <w:rPr>
                <w:noProof/>
                <w:webHidden/>
              </w:rPr>
            </w:r>
            <w:r>
              <w:rPr>
                <w:noProof/>
                <w:webHidden/>
              </w:rPr>
              <w:fldChar w:fldCharType="separate"/>
            </w:r>
            <w:r>
              <w:rPr>
                <w:noProof/>
                <w:webHidden/>
              </w:rPr>
              <w:t>84</w:t>
            </w:r>
            <w:r>
              <w:rPr>
                <w:noProof/>
                <w:webHidden/>
              </w:rPr>
              <w:fldChar w:fldCharType="end"/>
            </w:r>
          </w:hyperlink>
        </w:p>
        <w:p w14:paraId="2E78579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2" w:history="1">
            <w:r w:rsidRPr="009C26FC">
              <w:rPr>
                <w:rStyle w:val="Hyperlink"/>
                <w:noProof/>
              </w:rPr>
              <w:t>8.1.</w:t>
            </w:r>
            <w:r>
              <w:rPr>
                <w:rFonts w:asciiTheme="minorHAnsi" w:eastAsiaTheme="minorEastAsia" w:hAnsiTheme="minorHAnsi" w:cstheme="minorBidi"/>
                <w:noProof/>
                <w:lang w:eastAsia="en-AU"/>
              </w:rPr>
              <w:tab/>
            </w:r>
            <w:r w:rsidRPr="009C26FC">
              <w:rPr>
                <w:rStyle w:val="Hyperlink"/>
                <w:noProof/>
              </w:rPr>
              <w:t>First round assessment of benefits</w:t>
            </w:r>
            <w:r>
              <w:rPr>
                <w:noProof/>
                <w:webHidden/>
              </w:rPr>
              <w:tab/>
            </w:r>
            <w:r>
              <w:rPr>
                <w:noProof/>
                <w:webHidden/>
              </w:rPr>
              <w:fldChar w:fldCharType="begin"/>
            </w:r>
            <w:r>
              <w:rPr>
                <w:noProof/>
                <w:webHidden/>
              </w:rPr>
              <w:instrText xml:space="preserve"> PAGEREF _Toc12520302 \h </w:instrText>
            </w:r>
            <w:r>
              <w:rPr>
                <w:noProof/>
                <w:webHidden/>
              </w:rPr>
            </w:r>
            <w:r>
              <w:rPr>
                <w:noProof/>
                <w:webHidden/>
              </w:rPr>
              <w:fldChar w:fldCharType="separate"/>
            </w:r>
            <w:r>
              <w:rPr>
                <w:noProof/>
                <w:webHidden/>
              </w:rPr>
              <w:t>84</w:t>
            </w:r>
            <w:r>
              <w:rPr>
                <w:noProof/>
                <w:webHidden/>
              </w:rPr>
              <w:fldChar w:fldCharType="end"/>
            </w:r>
          </w:hyperlink>
        </w:p>
        <w:p w14:paraId="59C597EB"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3" w:history="1">
            <w:r w:rsidRPr="009C26FC">
              <w:rPr>
                <w:rStyle w:val="Hyperlink"/>
                <w:noProof/>
              </w:rPr>
              <w:t>8.2.</w:t>
            </w:r>
            <w:r>
              <w:rPr>
                <w:rFonts w:asciiTheme="minorHAnsi" w:eastAsiaTheme="minorEastAsia" w:hAnsiTheme="minorHAnsi" w:cstheme="minorBidi"/>
                <w:noProof/>
                <w:lang w:eastAsia="en-AU"/>
              </w:rPr>
              <w:tab/>
            </w:r>
            <w:r w:rsidRPr="009C26FC">
              <w:rPr>
                <w:rStyle w:val="Hyperlink"/>
                <w:noProof/>
              </w:rPr>
              <w:t>First round assessment of risks</w:t>
            </w:r>
            <w:r>
              <w:rPr>
                <w:noProof/>
                <w:webHidden/>
              </w:rPr>
              <w:tab/>
            </w:r>
            <w:r>
              <w:rPr>
                <w:noProof/>
                <w:webHidden/>
              </w:rPr>
              <w:fldChar w:fldCharType="begin"/>
            </w:r>
            <w:r>
              <w:rPr>
                <w:noProof/>
                <w:webHidden/>
              </w:rPr>
              <w:instrText xml:space="preserve"> PAGEREF _Toc12520303 \h </w:instrText>
            </w:r>
            <w:r>
              <w:rPr>
                <w:noProof/>
                <w:webHidden/>
              </w:rPr>
            </w:r>
            <w:r>
              <w:rPr>
                <w:noProof/>
                <w:webHidden/>
              </w:rPr>
              <w:fldChar w:fldCharType="separate"/>
            </w:r>
            <w:r>
              <w:rPr>
                <w:noProof/>
                <w:webHidden/>
              </w:rPr>
              <w:t>85</w:t>
            </w:r>
            <w:r>
              <w:rPr>
                <w:noProof/>
                <w:webHidden/>
              </w:rPr>
              <w:fldChar w:fldCharType="end"/>
            </w:r>
          </w:hyperlink>
        </w:p>
        <w:p w14:paraId="0C61FE92"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4" w:history="1">
            <w:r w:rsidRPr="009C26FC">
              <w:rPr>
                <w:rStyle w:val="Hyperlink"/>
                <w:noProof/>
              </w:rPr>
              <w:t>8.3.</w:t>
            </w:r>
            <w:r>
              <w:rPr>
                <w:rFonts w:asciiTheme="minorHAnsi" w:eastAsiaTheme="minorEastAsia" w:hAnsiTheme="minorHAnsi" w:cstheme="minorBidi"/>
                <w:noProof/>
                <w:lang w:eastAsia="en-AU"/>
              </w:rPr>
              <w:tab/>
            </w:r>
            <w:r w:rsidRPr="009C26FC">
              <w:rPr>
                <w:rStyle w:val="Hyperlink"/>
                <w:noProof/>
              </w:rPr>
              <w:t>First round assessment of benefit-risk balance</w:t>
            </w:r>
            <w:r>
              <w:rPr>
                <w:noProof/>
                <w:webHidden/>
              </w:rPr>
              <w:tab/>
            </w:r>
            <w:r>
              <w:rPr>
                <w:noProof/>
                <w:webHidden/>
              </w:rPr>
              <w:fldChar w:fldCharType="begin"/>
            </w:r>
            <w:r>
              <w:rPr>
                <w:noProof/>
                <w:webHidden/>
              </w:rPr>
              <w:instrText xml:space="preserve"> PAGEREF _Toc12520304 \h </w:instrText>
            </w:r>
            <w:r>
              <w:rPr>
                <w:noProof/>
                <w:webHidden/>
              </w:rPr>
            </w:r>
            <w:r>
              <w:rPr>
                <w:noProof/>
                <w:webHidden/>
              </w:rPr>
              <w:fldChar w:fldCharType="separate"/>
            </w:r>
            <w:r>
              <w:rPr>
                <w:noProof/>
                <w:webHidden/>
              </w:rPr>
              <w:t>86</w:t>
            </w:r>
            <w:r>
              <w:rPr>
                <w:noProof/>
                <w:webHidden/>
              </w:rPr>
              <w:fldChar w:fldCharType="end"/>
            </w:r>
          </w:hyperlink>
        </w:p>
        <w:p w14:paraId="266FE59B" w14:textId="77777777" w:rsidR="000E2807" w:rsidRDefault="000E2807">
          <w:pPr>
            <w:pStyle w:val="TOC2"/>
            <w:tabs>
              <w:tab w:val="left" w:pos="1100"/>
            </w:tabs>
            <w:rPr>
              <w:rFonts w:asciiTheme="minorHAnsi" w:eastAsiaTheme="minorEastAsia" w:hAnsiTheme="minorHAnsi" w:cstheme="minorBidi"/>
              <w:b w:val="0"/>
              <w:noProof/>
              <w:sz w:val="22"/>
              <w:lang w:eastAsia="en-AU"/>
            </w:rPr>
          </w:pPr>
          <w:hyperlink w:anchor="_Toc12520305" w:history="1">
            <w:r w:rsidRPr="009C26FC">
              <w:rPr>
                <w:rStyle w:val="Hyperlink"/>
                <w:noProof/>
              </w:rPr>
              <w:t>9.</w:t>
            </w:r>
            <w:r>
              <w:rPr>
                <w:rFonts w:asciiTheme="minorHAnsi" w:eastAsiaTheme="minorEastAsia" w:hAnsiTheme="minorHAnsi" w:cstheme="minorBidi"/>
                <w:b w:val="0"/>
                <w:noProof/>
                <w:sz w:val="22"/>
                <w:lang w:eastAsia="en-AU"/>
              </w:rPr>
              <w:tab/>
            </w:r>
            <w:r w:rsidRPr="009C26FC">
              <w:rPr>
                <w:rStyle w:val="Hyperlink"/>
                <w:noProof/>
              </w:rPr>
              <w:t>First round recommendation regarding authorisation</w:t>
            </w:r>
            <w:r>
              <w:rPr>
                <w:noProof/>
                <w:webHidden/>
              </w:rPr>
              <w:tab/>
            </w:r>
            <w:r>
              <w:rPr>
                <w:noProof/>
                <w:webHidden/>
              </w:rPr>
              <w:fldChar w:fldCharType="begin"/>
            </w:r>
            <w:r>
              <w:rPr>
                <w:noProof/>
                <w:webHidden/>
              </w:rPr>
              <w:instrText xml:space="preserve"> PAGEREF _Toc12520305 \h </w:instrText>
            </w:r>
            <w:r>
              <w:rPr>
                <w:noProof/>
                <w:webHidden/>
              </w:rPr>
            </w:r>
            <w:r>
              <w:rPr>
                <w:noProof/>
                <w:webHidden/>
              </w:rPr>
              <w:fldChar w:fldCharType="separate"/>
            </w:r>
            <w:r>
              <w:rPr>
                <w:noProof/>
                <w:webHidden/>
              </w:rPr>
              <w:t>86</w:t>
            </w:r>
            <w:r>
              <w:rPr>
                <w:noProof/>
                <w:webHidden/>
              </w:rPr>
              <w:fldChar w:fldCharType="end"/>
            </w:r>
          </w:hyperlink>
        </w:p>
        <w:p w14:paraId="2DC8387C" w14:textId="77777777" w:rsidR="000E2807" w:rsidRDefault="000E2807">
          <w:pPr>
            <w:pStyle w:val="TOC2"/>
            <w:tabs>
              <w:tab w:val="left" w:pos="1320"/>
            </w:tabs>
            <w:rPr>
              <w:rFonts w:asciiTheme="minorHAnsi" w:eastAsiaTheme="minorEastAsia" w:hAnsiTheme="minorHAnsi" w:cstheme="minorBidi"/>
              <w:b w:val="0"/>
              <w:noProof/>
              <w:sz w:val="22"/>
              <w:lang w:eastAsia="en-AU"/>
            </w:rPr>
          </w:pPr>
          <w:hyperlink w:anchor="_Toc12520306" w:history="1">
            <w:r w:rsidRPr="009C26FC">
              <w:rPr>
                <w:rStyle w:val="Hyperlink"/>
                <w:noProof/>
              </w:rPr>
              <w:t>10.</w:t>
            </w:r>
            <w:r>
              <w:rPr>
                <w:rFonts w:asciiTheme="minorHAnsi" w:eastAsiaTheme="minorEastAsia" w:hAnsiTheme="minorHAnsi" w:cstheme="minorBidi"/>
                <w:b w:val="0"/>
                <w:noProof/>
                <w:sz w:val="22"/>
                <w:lang w:eastAsia="en-AU"/>
              </w:rPr>
              <w:tab/>
            </w:r>
            <w:r w:rsidRPr="009C26FC">
              <w:rPr>
                <w:rStyle w:val="Hyperlink"/>
                <w:noProof/>
              </w:rPr>
              <w:t>Clinical questions</w:t>
            </w:r>
            <w:r>
              <w:rPr>
                <w:noProof/>
                <w:webHidden/>
              </w:rPr>
              <w:tab/>
            </w:r>
            <w:r>
              <w:rPr>
                <w:noProof/>
                <w:webHidden/>
              </w:rPr>
              <w:fldChar w:fldCharType="begin"/>
            </w:r>
            <w:r>
              <w:rPr>
                <w:noProof/>
                <w:webHidden/>
              </w:rPr>
              <w:instrText xml:space="preserve"> PAGEREF _Toc12520306 \h </w:instrText>
            </w:r>
            <w:r>
              <w:rPr>
                <w:noProof/>
                <w:webHidden/>
              </w:rPr>
            </w:r>
            <w:r>
              <w:rPr>
                <w:noProof/>
                <w:webHidden/>
              </w:rPr>
              <w:fldChar w:fldCharType="separate"/>
            </w:r>
            <w:r>
              <w:rPr>
                <w:noProof/>
                <w:webHidden/>
              </w:rPr>
              <w:t>86</w:t>
            </w:r>
            <w:r>
              <w:rPr>
                <w:noProof/>
                <w:webHidden/>
              </w:rPr>
              <w:fldChar w:fldCharType="end"/>
            </w:r>
          </w:hyperlink>
        </w:p>
        <w:p w14:paraId="752BCA54"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7" w:history="1">
            <w:r w:rsidRPr="009C26FC">
              <w:rPr>
                <w:rStyle w:val="Hyperlink"/>
                <w:noProof/>
              </w:rPr>
              <w:t>10.1.</w:t>
            </w:r>
            <w:r>
              <w:rPr>
                <w:rFonts w:asciiTheme="minorHAnsi" w:eastAsiaTheme="minorEastAsia" w:hAnsiTheme="minorHAnsi" w:cstheme="minorBidi"/>
                <w:noProof/>
                <w:lang w:eastAsia="en-AU"/>
              </w:rPr>
              <w:tab/>
            </w:r>
            <w:r w:rsidRPr="009C26FC">
              <w:rPr>
                <w:rStyle w:val="Hyperlink"/>
                <w:noProof/>
              </w:rPr>
              <w:t>General</w:t>
            </w:r>
            <w:r>
              <w:rPr>
                <w:noProof/>
                <w:webHidden/>
              </w:rPr>
              <w:tab/>
            </w:r>
            <w:r>
              <w:rPr>
                <w:noProof/>
                <w:webHidden/>
              </w:rPr>
              <w:fldChar w:fldCharType="begin"/>
            </w:r>
            <w:r>
              <w:rPr>
                <w:noProof/>
                <w:webHidden/>
              </w:rPr>
              <w:instrText xml:space="preserve"> PAGEREF _Toc12520307 \h </w:instrText>
            </w:r>
            <w:r>
              <w:rPr>
                <w:noProof/>
                <w:webHidden/>
              </w:rPr>
            </w:r>
            <w:r>
              <w:rPr>
                <w:noProof/>
                <w:webHidden/>
              </w:rPr>
              <w:fldChar w:fldCharType="separate"/>
            </w:r>
            <w:r>
              <w:rPr>
                <w:noProof/>
                <w:webHidden/>
              </w:rPr>
              <w:t>86</w:t>
            </w:r>
            <w:r>
              <w:rPr>
                <w:noProof/>
                <w:webHidden/>
              </w:rPr>
              <w:fldChar w:fldCharType="end"/>
            </w:r>
          </w:hyperlink>
        </w:p>
        <w:p w14:paraId="2BFDFE30"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8" w:history="1">
            <w:r w:rsidRPr="009C26FC">
              <w:rPr>
                <w:rStyle w:val="Hyperlink"/>
                <w:noProof/>
              </w:rPr>
              <w:t>10.2.</w:t>
            </w:r>
            <w:r>
              <w:rPr>
                <w:rFonts w:asciiTheme="minorHAnsi" w:eastAsiaTheme="minorEastAsia" w:hAnsiTheme="minorHAnsi" w:cstheme="minorBidi"/>
                <w:noProof/>
                <w:lang w:eastAsia="en-AU"/>
              </w:rPr>
              <w:tab/>
            </w:r>
            <w:r w:rsidRPr="009C26FC">
              <w:rPr>
                <w:rStyle w:val="Hyperlink"/>
                <w:noProof/>
              </w:rPr>
              <w:t>Pharmacokinetics and pharmacodynamics</w:t>
            </w:r>
            <w:r>
              <w:rPr>
                <w:noProof/>
                <w:webHidden/>
              </w:rPr>
              <w:tab/>
            </w:r>
            <w:r>
              <w:rPr>
                <w:noProof/>
                <w:webHidden/>
              </w:rPr>
              <w:fldChar w:fldCharType="begin"/>
            </w:r>
            <w:r>
              <w:rPr>
                <w:noProof/>
                <w:webHidden/>
              </w:rPr>
              <w:instrText xml:space="preserve"> PAGEREF _Toc12520308 \h </w:instrText>
            </w:r>
            <w:r>
              <w:rPr>
                <w:noProof/>
                <w:webHidden/>
              </w:rPr>
            </w:r>
            <w:r>
              <w:rPr>
                <w:noProof/>
                <w:webHidden/>
              </w:rPr>
              <w:fldChar w:fldCharType="separate"/>
            </w:r>
            <w:r>
              <w:rPr>
                <w:noProof/>
                <w:webHidden/>
              </w:rPr>
              <w:t>86</w:t>
            </w:r>
            <w:r>
              <w:rPr>
                <w:noProof/>
                <w:webHidden/>
              </w:rPr>
              <w:fldChar w:fldCharType="end"/>
            </w:r>
          </w:hyperlink>
        </w:p>
        <w:p w14:paraId="4A0D5313"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09" w:history="1">
            <w:r w:rsidRPr="009C26FC">
              <w:rPr>
                <w:rStyle w:val="Hyperlink"/>
                <w:noProof/>
              </w:rPr>
              <w:t>10.3.</w:t>
            </w:r>
            <w:r>
              <w:rPr>
                <w:rFonts w:asciiTheme="minorHAnsi" w:eastAsiaTheme="minorEastAsia" w:hAnsiTheme="minorHAnsi" w:cstheme="minorBidi"/>
                <w:noProof/>
                <w:lang w:eastAsia="en-AU"/>
              </w:rPr>
              <w:tab/>
            </w:r>
            <w:r w:rsidRPr="009C26FC">
              <w:rPr>
                <w:rStyle w:val="Hyperlink"/>
                <w:noProof/>
              </w:rPr>
              <w:t>Efficacy</w:t>
            </w:r>
            <w:r>
              <w:rPr>
                <w:noProof/>
                <w:webHidden/>
              </w:rPr>
              <w:tab/>
            </w:r>
            <w:r>
              <w:rPr>
                <w:noProof/>
                <w:webHidden/>
              </w:rPr>
              <w:fldChar w:fldCharType="begin"/>
            </w:r>
            <w:r>
              <w:rPr>
                <w:noProof/>
                <w:webHidden/>
              </w:rPr>
              <w:instrText xml:space="preserve"> PAGEREF _Toc12520309 \h </w:instrText>
            </w:r>
            <w:r>
              <w:rPr>
                <w:noProof/>
                <w:webHidden/>
              </w:rPr>
            </w:r>
            <w:r>
              <w:rPr>
                <w:noProof/>
                <w:webHidden/>
              </w:rPr>
              <w:fldChar w:fldCharType="separate"/>
            </w:r>
            <w:r>
              <w:rPr>
                <w:noProof/>
                <w:webHidden/>
              </w:rPr>
              <w:t>86</w:t>
            </w:r>
            <w:r>
              <w:rPr>
                <w:noProof/>
                <w:webHidden/>
              </w:rPr>
              <w:fldChar w:fldCharType="end"/>
            </w:r>
          </w:hyperlink>
        </w:p>
        <w:p w14:paraId="7C38DF5C" w14:textId="77777777" w:rsidR="000E2807" w:rsidRDefault="000E2807">
          <w:pPr>
            <w:pStyle w:val="TOC2"/>
            <w:tabs>
              <w:tab w:val="left" w:pos="1320"/>
            </w:tabs>
            <w:rPr>
              <w:rFonts w:asciiTheme="minorHAnsi" w:eastAsiaTheme="minorEastAsia" w:hAnsiTheme="minorHAnsi" w:cstheme="minorBidi"/>
              <w:b w:val="0"/>
              <w:noProof/>
              <w:sz w:val="22"/>
              <w:lang w:eastAsia="en-AU"/>
            </w:rPr>
          </w:pPr>
          <w:hyperlink w:anchor="_Toc12520310" w:history="1">
            <w:r w:rsidRPr="009C26FC">
              <w:rPr>
                <w:rStyle w:val="Hyperlink"/>
                <w:noProof/>
              </w:rPr>
              <w:t>11.</w:t>
            </w:r>
            <w:r>
              <w:rPr>
                <w:rFonts w:asciiTheme="minorHAnsi" w:eastAsiaTheme="minorEastAsia" w:hAnsiTheme="minorHAnsi" w:cstheme="minorBidi"/>
                <w:b w:val="0"/>
                <w:noProof/>
                <w:sz w:val="22"/>
                <w:lang w:eastAsia="en-AU"/>
              </w:rPr>
              <w:tab/>
            </w:r>
            <w:r w:rsidRPr="009C26FC">
              <w:rPr>
                <w:rStyle w:val="Hyperlink"/>
                <w:noProof/>
              </w:rPr>
              <w:t>Second round evaluation</w:t>
            </w:r>
            <w:r>
              <w:rPr>
                <w:noProof/>
                <w:webHidden/>
              </w:rPr>
              <w:tab/>
            </w:r>
            <w:r>
              <w:rPr>
                <w:noProof/>
                <w:webHidden/>
              </w:rPr>
              <w:fldChar w:fldCharType="begin"/>
            </w:r>
            <w:r>
              <w:rPr>
                <w:noProof/>
                <w:webHidden/>
              </w:rPr>
              <w:instrText xml:space="preserve"> PAGEREF _Toc12520310 \h </w:instrText>
            </w:r>
            <w:r>
              <w:rPr>
                <w:noProof/>
                <w:webHidden/>
              </w:rPr>
            </w:r>
            <w:r>
              <w:rPr>
                <w:noProof/>
                <w:webHidden/>
              </w:rPr>
              <w:fldChar w:fldCharType="separate"/>
            </w:r>
            <w:r>
              <w:rPr>
                <w:noProof/>
                <w:webHidden/>
              </w:rPr>
              <w:t>87</w:t>
            </w:r>
            <w:r>
              <w:rPr>
                <w:noProof/>
                <w:webHidden/>
              </w:rPr>
              <w:fldChar w:fldCharType="end"/>
            </w:r>
          </w:hyperlink>
        </w:p>
        <w:p w14:paraId="2CDDB5FF"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1" w:history="1">
            <w:r w:rsidRPr="009C26FC">
              <w:rPr>
                <w:rStyle w:val="Hyperlink"/>
                <w:noProof/>
              </w:rPr>
              <w:t>11.1.</w:t>
            </w:r>
            <w:r>
              <w:rPr>
                <w:rFonts w:asciiTheme="minorHAnsi" w:eastAsiaTheme="minorEastAsia" w:hAnsiTheme="minorHAnsi" w:cstheme="minorBidi"/>
                <w:noProof/>
                <w:lang w:eastAsia="en-AU"/>
              </w:rPr>
              <w:tab/>
            </w:r>
            <w:r w:rsidRPr="009C26FC">
              <w:rPr>
                <w:rStyle w:val="Hyperlink"/>
                <w:noProof/>
              </w:rPr>
              <w:t>General</w:t>
            </w:r>
            <w:r>
              <w:rPr>
                <w:noProof/>
                <w:webHidden/>
              </w:rPr>
              <w:tab/>
            </w:r>
            <w:r>
              <w:rPr>
                <w:noProof/>
                <w:webHidden/>
              </w:rPr>
              <w:fldChar w:fldCharType="begin"/>
            </w:r>
            <w:r>
              <w:rPr>
                <w:noProof/>
                <w:webHidden/>
              </w:rPr>
              <w:instrText xml:space="preserve"> PAGEREF _Toc12520311 \h </w:instrText>
            </w:r>
            <w:r>
              <w:rPr>
                <w:noProof/>
                <w:webHidden/>
              </w:rPr>
            </w:r>
            <w:r>
              <w:rPr>
                <w:noProof/>
                <w:webHidden/>
              </w:rPr>
              <w:fldChar w:fldCharType="separate"/>
            </w:r>
            <w:r>
              <w:rPr>
                <w:noProof/>
                <w:webHidden/>
              </w:rPr>
              <w:t>87</w:t>
            </w:r>
            <w:r>
              <w:rPr>
                <w:noProof/>
                <w:webHidden/>
              </w:rPr>
              <w:fldChar w:fldCharType="end"/>
            </w:r>
          </w:hyperlink>
        </w:p>
        <w:p w14:paraId="509BCEED"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2" w:history="1">
            <w:r w:rsidRPr="009C26FC">
              <w:rPr>
                <w:rStyle w:val="Hyperlink"/>
                <w:noProof/>
              </w:rPr>
              <w:t>11.2.</w:t>
            </w:r>
            <w:r>
              <w:rPr>
                <w:rFonts w:asciiTheme="minorHAnsi" w:eastAsiaTheme="minorEastAsia" w:hAnsiTheme="minorHAnsi" w:cstheme="minorBidi"/>
                <w:noProof/>
                <w:lang w:eastAsia="en-AU"/>
              </w:rPr>
              <w:tab/>
            </w:r>
            <w:r w:rsidRPr="009C26FC">
              <w:rPr>
                <w:rStyle w:val="Hyperlink"/>
                <w:noProof/>
              </w:rPr>
              <w:t>Pharmacokinetics and pharmacodynamics</w:t>
            </w:r>
            <w:r>
              <w:rPr>
                <w:noProof/>
                <w:webHidden/>
              </w:rPr>
              <w:tab/>
            </w:r>
            <w:r>
              <w:rPr>
                <w:noProof/>
                <w:webHidden/>
              </w:rPr>
              <w:fldChar w:fldCharType="begin"/>
            </w:r>
            <w:r>
              <w:rPr>
                <w:noProof/>
                <w:webHidden/>
              </w:rPr>
              <w:instrText xml:space="preserve"> PAGEREF _Toc12520312 \h </w:instrText>
            </w:r>
            <w:r>
              <w:rPr>
                <w:noProof/>
                <w:webHidden/>
              </w:rPr>
            </w:r>
            <w:r>
              <w:rPr>
                <w:noProof/>
                <w:webHidden/>
              </w:rPr>
              <w:fldChar w:fldCharType="separate"/>
            </w:r>
            <w:r>
              <w:rPr>
                <w:noProof/>
                <w:webHidden/>
              </w:rPr>
              <w:t>87</w:t>
            </w:r>
            <w:r>
              <w:rPr>
                <w:noProof/>
                <w:webHidden/>
              </w:rPr>
              <w:fldChar w:fldCharType="end"/>
            </w:r>
          </w:hyperlink>
        </w:p>
        <w:p w14:paraId="045E4B65" w14:textId="77777777" w:rsidR="000E2807" w:rsidRDefault="000E2807">
          <w:pPr>
            <w:pStyle w:val="TOC2"/>
            <w:tabs>
              <w:tab w:val="left" w:pos="1320"/>
            </w:tabs>
            <w:rPr>
              <w:rFonts w:asciiTheme="minorHAnsi" w:eastAsiaTheme="minorEastAsia" w:hAnsiTheme="minorHAnsi" w:cstheme="minorBidi"/>
              <w:b w:val="0"/>
              <w:noProof/>
              <w:sz w:val="22"/>
              <w:lang w:eastAsia="en-AU"/>
            </w:rPr>
          </w:pPr>
          <w:hyperlink w:anchor="_Toc12520313" w:history="1">
            <w:r w:rsidRPr="009C26FC">
              <w:rPr>
                <w:rStyle w:val="Hyperlink"/>
                <w:noProof/>
              </w:rPr>
              <w:t>12.</w:t>
            </w:r>
            <w:r>
              <w:rPr>
                <w:rFonts w:asciiTheme="minorHAnsi" w:eastAsiaTheme="minorEastAsia" w:hAnsiTheme="minorHAnsi" w:cstheme="minorBidi"/>
                <w:b w:val="0"/>
                <w:noProof/>
                <w:sz w:val="22"/>
                <w:lang w:eastAsia="en-AU"/>
              </w:rPr>
              <w:tab/>
            </w:r>
            <w:r w:rsidRPr="009C26FC">
              <w:rPr>
                <w:rStyle w:val="Hyperlink"/>
                <w:noProof/>
              </w:rPr>
              <w:t>Second round benefit-risk assessment</w:t>
            </w:r>
            <w:r>
              <w:rPr>
                <w:noProof/>
                <w:webHidden/>
              </w:rPr>
              <w:tab/>
            </w:r>
            <w:r>
              <w:rPr>
                <w:noProof/>
                <w:webHidden/>
              </w:rPr>
              <w:fldChar w:fldCharType="begin"/>
            </w:r>
            <w:r>
              <w:rPr>
                <w:noProof/>
                <w:webHidden/>
              </w:rPr>
              <w:instrText xml:space="preserve"> PAGEREF _Toc12520313 \h </w:instrText>
            </w:r>
            <w:r>
              <w:rPr>
                <w:noProof/>
                <w:webHidden/>
              </w:rPr>
            </w:r>
            <w:r>
              <w:rPr>
                <w:noProof/>
                <w:webHidden/>
              </w:rPr>
              <w:fldChar w:fldCharType="separate"/>
            </w:r>
            <w:r>
              <w:rPr>
                <w:noProof/>
                <w:webHidden/>
              </w:rPr>
              <w:t>89</w:t>
            </w:r>
            <w:r>
              <w:rPr>
                <w:noProof/>
                <w:webHidden/>
              </w:rPr>
              <w:fldChar w:fldCharType="end"/>
            </w:r>
          </w:hyperlink>
        </w:p>
        <w:p w14:paraId="307F0762"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4" w:history="1">
            <w:r w:rsidRPr="009C26FC">
              <w:rPr>
                <w:rStyle w:val="Hyperlink"/>
                <w:noProof/>
              </w:rPr>
              <w:t>12.1.</w:t>
            </w:r>
            <w:r>
              <w:rPr>
                <w:rFonts w:asciiTheme="minorHAnsi" w:eastAsiaTheme="minorEastAsia" w:hAnsiTheme="minorHAnsi" w:cstheme="minorBidi"/>
                <w:noProof/>
                <w:lang w:eastAsia="en-AU"/>
              </w:rPr>
              <w:tab/>
            </w:r>
            <w:r w:rsidRPr="009C26FC">
              <w:rPr>
                <w:rStyle w:val="Hyperlink"/>
                <w:noProof/>
              </w:rPr>
              <w:t>Second round assessment of benefits</w:t>
            </w:r>
            <w:r>
              <w:rPr>
                <w:noProof/>
                <w:webHidden/>
              </w:rPr>
              <w:tab/>
            </w:r>
            <w:r>
              <w:rPr>
                <w:noProof/>
                <w:webHidden/>
              </w:rPr>
              <w:fldChar w:fldCharType="begin"/>
            </w:r>
            <w:r>
              <w:rPr>
                <w:noProof/>
                <w:webHidden/>
              </w:rPr>
              <w:instrText xml:space="preserve"> PAGEREF _Toc12520314 \h </w:instrText>
            </w:r>
            <w:r>
              <w:rPr>
                <w:noProof/>
                <w:webHidden/>
              </w:rPr>
            </w:r>
            <w:r>
              <w:rPr>
                <w:noProof/>
                <w:webHidden/>
              </w:rPr>
              <w:fldChar w:fldCharType="separate"/>
            </w:r>
            <w:r>
              <w:rPr>
                <w:noProof/>
                <w:webHidden/>
              </w:rPr>
              <w:t>89</w:t>
            </w:r>
            <w:r>
              <w:rPr>
                <w:noProof/>
                <w:webHidden/>
              </w:rPr>
              <w:fldChar w:fldCharType="end"/>
            </w:r>
          </w:hyperlink>
        </w:p>
        <w:p w14:paraId="144AFC18"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5" w:history="1">
            <w:r w:rsidRPr="009C26FC">
              <w:rPr>
                <w:rStyle w:val="Hyperlink"/>
                <w:noProof/>
              </w:rPr>
              <w:t>12.2.</w:t>
            </w:r>
            <w:r>
              <w:rPr>
                <w:rFonts w:asciiTheme="minorHAnsi" w:eastAsiaTheme="minorEastAsia" w:hAnsiTheme="minorHAnsi" w:cstheme="minorBidi"/>
                <w:noProof/>
                <w:lang w:eastAsia="en-AU"/>
              </w:rPr>
              <w:tab/>
            </w:r>
            <w:r w:rsidRPr="009C26FC">
              <w:rPr>
                <w:rStyle w:val="Hyperlink"/>
                <w:noProof/>
              </w:rPr>
              <w:t>Second round assessment of risks</w:t>
            </w:r>
            <w:r>
              <w:rPr>
                <w:noProof/>
                <w:webHidden/>
              </w:rPr>
              <w:tab/>
            </w:r>
            <w:r>
              <w:rPr>
                <w:noProof/>
                <w:webHidden/>
              </w:rPr>
              <w:fldChar w:fldCharType="begin"/>
            </w:r>
            <w:r>
              <w:rPr>
                <w:noProof/>
                <w:webHidden/>
              </w:rPr>
              <w:instrText xml:space="preserve"> PAGEREF _Toc12520315 \h </w:instrText>
            </w:r>
            <w:r>
              <w:rPr>
                <w:noProof/>
                <w:webHidden/>
              </w:rPr>
            </w:r>
            <w:r>
              <w:rPr>
                <w:noProof/>
                <w:webHidden/>
              </w:rPr>
              <w:fldChar w:fldCharType="separate"/>
            </w:r>
            <w:r>
              <w:rPr>
                <w:noProof/>
                <w:webHidden/>
              </w:rPr>
              <w:t>89</w:t>
            </w:r>
            <w:r>
              <w:rPr>
                <w:noProof/>
                <w:webHidden/>
              </w:rPr>
              <w:fldChar w:fldCharType="end"/>
            </w:r>
          </w:hyperlink>
        </w:p>
        <w:p w14:paraId="1BB5CEC2"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6" w:history="1">
            <w:r w:rsidRPr="009C26FC">
              <w:rPr>
                <w:rStyle w:val="Hyperlink"/>
                <w:noProof/>
              </w:rPr>
              <w:t>12.3.</w:t>
            </w:r>
            <w:r>
              <w:rPr>
                <w:rFonts w:asciiTheme="minorHAnsi" w:eastAsiaTheme="minorEastAsia" w:hAnsiTheme="minorHAnsi" w:cstheme="minorBidi"/>
                <w:noProof/>
                <w:lang w:eastAsia="en-AU"/>
              </w:rPr>
              <w:tab/>
            </w:r>
            <w:r w:rsidRPr="009C26FC">
              <w:rPr>
                <w:rStyle w:val="Hyperlink"/>
                <w:noProof/>
              </w:rPr>
              <w:t>Second round assessment of benefit-risk balance</w:t>
            </w:r>
            <w:r>
              <w:rPr>
                <w:noProof/>
                <w:webHidden/>
              </w:rPr>
              <w:tab/>
            </w:r>
            <w:r>
              <w:rPr>
                <w:noProof/>
                <w:webHidden/>
              </w:rPr>
              <w:fldChar w:fldCharType="begin"/>
            </w:r>
            <w:r>
              <w:rPr>
                <w:noProof/>
                <w:webHidden/>
              </w:rPr>
              <w:instrText xml:space="preserve"> PAGEREF _Toc12520316 \h </w:instrText>
            </w:r>
            <w:r>
              <w:rPr>
                <w:noProof/>
                <w:webHidden/>
              </w:rPr>
            </w:r>
            <w:r>
              <w:rPr>
                <w:noProof/>
                <w:webHidden/>
              </w:rPr>
              <w:fldChar w:fldCharType="separate"/>
            </w:r>
            <w:r>
              <w:rPr>
                <w:noProof/>
                <w:webHidden/>
              </w:rPr>
              <w:t>89</w:t>
            </w:r>
            <w:r>
              <w:rPr>
                <w:noProof/>
                <w:webHidden/>
              </w:rPr>
              <w:fldChar w:fldCharType="end"/>
            </w:r>
          </w:hyperlink>
        </w:p>
        <w:p w14:paraId="28C99822" w14:textId="77777777" w:rsidR="000E2807" w:rsidRDefault="000E2807">
          <w:pPr>
            <w:pStyle w:val="TOC3"/>
            <w:tabs>
              <w:tab w:val="left" w:pos="1760"/>
            </w:tabs>
            <w:rPr>
              <w:rFonts w:asciiTheme="minorHAnsi" w:eastAsiaTheme="minorEastAsia" w:hAnsiTheme="minorHAnsi" w:cstheme="minorBidi"/>
              <w:noProof/>
              <w:lang w:eastAsia="en-AU"/>
            </w:rPr>
          </w:pPr>
          <w:hyperlink w:anchor="_Toc12520317" w:history="1">
            <w:r w:rsidRPr="009C26FC">
              <w:rPr>
                <w:rStyle w:val="Hyperlink"/>
                <w:noProof/>
              </w:rPr>
              <w:t>12.4.</w:t>
            </w:r>
            <w:r>
              <w:rPr>
                <w:rFonts w:asciiTheme="minorHAnsi" w:eastAsiaTheme="minorEastAsia" w:hAnsiTheme="minorHAnsi" w:cstheme="minorBidi"/>
                <w:noProof/>
                <w:lang w:eastAsia="en-AU"/>
              </w:rPr>
              <w:tab/>
            </w:r>
            <w:r w:rsidRPr="009C26FC">
              <w:rPr>
                <w:rStyle w:val="Hyperlink"/>
                <w:noProof/>
              </w:rPr>
              <w:t>Second round recommendation regarding authorisation</w:t>
            </w:r>
            <w:r>
              <w:rPr>
                <w:noProof/>
                <w:webHidden/>
              </w:rPr>
              <w:tab/>
            </w:r>
            <w:r>
              <w:rPr>
                <w:noProof/>
                <w:webHidden/>
              </w:rPr>
              <w:fldChar w:fldCharType="begin"/>
            </w:r>
            <w:r>
              <w:rPr>
                <w:noProof/>
                <w:webHidden/>
              </w:rPr>
              <w:instrText xml:space="preserve"> PAGEREF _Toc12520317 \h </w:instrText>
            </w:r>
            <w:r>
              <w:rPr>
                <w:noProof/>
                <w:webHidden/>
              </w:rPr>
            </w:r>
            <w:r>
              <w:rPr>
                <w:noProof/>
                <w:webHidden/>
              </w:rPr>
              <w:fldChar w:fldCharType="separate"/>
            </w:r>
            <w:r>
              <w:rPr>
                <w:noProof/>
                <w:webHidden/>
              </w:rPr>
              <w:t>90</w:t>
            </w:r>
            <w:r>
              <w:rPr>
                <w:noProof/>
                <w:webHidden/>
              </w:rPr>
              <w:fldChar w:fldCharType="end"/>
            </w:r>
          </w:hyperlink>
        </w:p>
        <w:p w14:paraId="58DE17E8" w14:textId="77777777" w:rsidR="000E2807" w:rsidRDefault="000E2807">
          <w:pPr>
            <w:pStyle w:val="TOC2"/>
            <w:tabs>
              <w:tab w:val="left" w:pos="1320"/>
            </w:tabs>
            <w:rPr>
              <w:rFonts w:asciiTheme="minorHAnsi" w:eastAsiaTheme="minorEastAsia" w:hAnsiTheme="minorHAnsi" w:cstheme="minorBidi"/>
              <w:b w:val="0"/>
              <w:noProof/>
              <w:sz w:val="22"/>
              <w:lang w:eastAsia="en-AU"/>
            </w:rPr>
          </w:pPr>
          <w:hyperlink w:anchor="_Toc12520318" w:history="1">
            <w:r w:rsidRPr="009C26FC">
              <w:rPr>
                <w:rStyle w:val="Hyperlink"/>
                <w:noProof/>
              </w:rPr>
              <w:t>13.</w:t>
            </w:r>
            <w:r>
              <w:rPr>
                <w:rFonts w:asciiTheme="minorHAnsi" w:eastAsiaTheme="minorEastAsia" w:hAnsiTheme="minorHAnsi" w:cstheme="minorBidi"/>
                <w:b w:val="0"/>
                <w:noProof/>
                <w:sz w:val="22"/>
                <w:lang w:eastAsia="en-AU"/>
              </w:rPr>
              <w:tab/>
            </w:r>
            <w:r w:rsidRPr="009C26FC">
              <w:rPr>
                <w:rStyle w:val="Hyperlink"/>
                <w:noProof/>
              </w:rPr>
              <w:t>References</w:t>
            </w:r>
            <w:r>
              <w:rPr>
                <w:noProof/>
                <w:webHidden/>
              </w:rPr>
              <w:tab/>
            </w:r>
            <w:r>
              <w:rPr>
                <w:noProof/>
                <w:webHidden/>
              </w:rPr>
              <w:fldChar w:fldCharType="begin"/>
            </w:r>
            <w:r>
              <w:rPr>
                <w:noProof/>
                <w:webHidden/>
              </w:rPr>
              <w:instrText xml:space="preserve"> PAGEREF _Toc12520318 \h </w:instrText>
            </w:r>
            <w:r>
              <w:rPr>
                <w:noProof/>
                <w:webHidden/>
              </w:rPr>
            </w:r>
            <w:r>
              <w:rPr>
                <w:noProof/>
                <w:webHidden/>
              </w:rPr>
              <w:fldChar w:fldCharType="separate"/>
            </w:r>
            <w:r>
              <w:rPr>
                <w:noProof/>
                <w:webHidden/>
              </w:rPr>
              <w:t>90</w:t>
            </w:r>
            <w:r>
              <w:rPr>
                <w:noProof/>
                <w:webHidden/>
              </w:rPr>
              <w:fldChar w:fldCharType="end"/>
            </w:r>
          </w:hyperlink>
        </w:p>
        <w:p w14:paraId="1A1DDE3A" w14:textId="77777777" w:rsidR="003A7F6C" w:rsidRPr="00B811C6" w:rsidRDefault="004F4AF5" w:rsidP="00B811C6">
          <w:pPr>
            <w:pStyle w:val="TOC2"/>
          </w:pPr>
          <w:r>
            <w:fldChar w:fldCharType="end"/>
          </w:r>
        </w:p>
      </w:sdtContent>
    </w:sdt>
    <w:bookmarkStart w:id="3" w:name="_Toc314842482" w:displacedByCustomXml="prev"/>
    <w:p w14:paraId="06E31CC2" w14:textId="77777777" w:rsidR="001E2726" w:rsidRDefault="001E2726">
      <w:pPr>
        <w:spacing w:before="0" w:after="200" w:line="0" w:lineRule="auto"/>
        <w:rPr>
          <w:rFonts w:ascii="Arial" w:eastAsia="Times New Roman" w:hAnsi="Arial"/>
          <w:b/>
          <w:bCs/>
          <w:sz w:val="32"/>
          <w:szCs w:val="26"/>
          <w:lang w:eastAsia="ja-JP"/>
        </w:rPr>
      </w:pPr>
      <w:bookmarkStart w:id="4" w:name="_Toc501809112"/>
      <w:r>
        <w:br w:type="page"/>
      </w:r>
    </w:p>
    <w:p w14:paraId="51D2EF1B" w14:textId="77777777" w:rsidR="008A1A1C" w:rsidRDefault="008A1A1C" w:rsidP="008A1A1C">
      <w:pPr>
        <w:pStyle w:val="Heading2"/>
        <w:numPr>
          <w:ilvl w:val="0"/>
          <w:numId w:val="0"/>
        </w:numPr>
        <w:tabs>
          <w:tab w:val="left" w:pos="720"/>
        </w:tabs>
      </w:pPr>
      <w:bookmarkStart w:id="5" w:name="_Toc12520256"/>
      <w:r>
        <w:lastRenderedPageBreak/>
        <w:t>List of abbreviations</w:t>
      </w:r>
      <w:bookmarkEnd w:id="4"/>
      <w:bookmarkEnd w:id="5"/>
    </w:p>
    <w:tbl>
      <w:tblPr>
        <w:tblStyle w:val="TableTGAblue"/>
        <w:tblW w:w="0" w:type="auto"/>
        <w:tblLook w:val="04A0" w:firstRow="1" w:lastRow="0" w:firstColumn="1" w:lastColumn="0" w:noHBand="0" w:noVBand="1"/>
      </w:tblPr>
      <w:tblGrid>
        <w:gridCol w:w="2376"/>
        <w:gridCol w:w="6425"/>
      </w:tblGrid>
      <w:tr w:rsidR="008A1A1C" w14:paraId="1B1AADAA" w14:textId="77777777" w:rsidTr="001105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hideMark/>
          </w:tcPr>
          <w:p w14:paraId="242BB43B" w14:textId="77777777" w:rsidR="008A1A1C" w:rsidRDefault="008A1A1C">
            <w:r>
              <w:t>Abbreviation</w:t>
            </w:r>
          </w:p>
        </w:tc>
        <w:tc>
          <w:tcPr>
            <w:tcW w:w="6425" w:type="dxa"/>
            <w:hideMark/>
          </w:tcPr>
          <w:p w14:paraId="3BADF19B" w14:textId="77777777" w:rsidR="008A1A1C" w:rsidRDefault="008A1A1C">
            <w:pPr>
              <w:cnfStyle w:val="100000000000" w:firstRow="1" w:lastRow="0" w:firstColumn="0" w:lastColumn="0" w:oddVBand="0" w:evenVBand="0" w:oddHBand="0" w:evenHBand="0" w:firstRowFirstColumn="0" w:firstRowLastColumn="0" w:lastRowFirstColumn="0" w:lastRowLastColumn="0"/>
            </w:pPr>
            <w:r>
              <w:t>Meaning</w:t>
            </w:r>
          </w:p>
        </w:tc>
      </w:tr>
      <w:tr w:rsidR="00C70F0A" w14:paraId="722F16FB"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96C697" w14:textId="15CBF98A" w:rsidR="00C70F0A" w:rsidRDefault="00C70F0A">
            <w:pPr>
              <w:spacing w:line="240" w:lineRule="auto"/>
            </w:pPr>
            <w:r w:rsidRPr="007A237F">
              <w:t>ACR</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7A8438" w14:textId="3C6ABBF1"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Adequate Clinical Response</w:t>
            </w:r>
          </w:p>
        </w:tc>
      </w:tr>
      <w:tr w:rsidR="00C70F0A" w14:paraId="5328808A"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92F18" w14:textId="4D30CFF1" w:rsidR="00C70F0A" w:rsidRDefault="00C70F0A">
            <w:pPr>
              <w:spacing w:line="240" w:lineRule="auto"/>
            </w:pPr>
            <w:r w:rsidRPr="007A237F">
              <w:t>ADF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195B2" w14:textId="65B8EE68"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Australian defence force</w:t>
            </w:r>
          </w:p>
        </w:tc>
      </w:tr>
      <w:tr w:rsidR="00C70F0A" w14:paraId="23A23704"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58A2A" w14:textId="64A61BDA" w:rsidR="00C70F0A" w:rsidRDefault="00C70F0A">
            <w:pPr>
              <w:spacing w:line="240" w:lineRule="auto"/>
            </w:pPr>
            <w:r w:rsidRPr="007A237F">
              <w:t>AE</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814C9" w14:textId="029EEE2B"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Adverse event</w:t>
            </w:r>
          </w:p>
        </w:tc>
      </w:tr>
      <w:tr w:rsidR="00C70F0A" w14:paraId="31D47E23"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03634" w14:textId="53876917" w:rsidR="00C70F0A" w:rsidRDefault="00C70F0A">
            <w:pPr>
              <w:spacing w:line="240" w:lineRule="auto"/>
            </w:pPr>
            <w:r w:rsidRPr="007A237F">
              <w:t>BID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55FAF" w14:textId="262387B1"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Twice a day</w:t>
            </w:r>
          </w:p>
        </w:tc>
      </w:tr>
      <w:tr w:rsidR="00C70F0A" w14:paraId="22C2E387"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6A929" w14:textId="0CD76A9B" w:rsidR="00C70F0A" w:rsidRDefault="00C70F0A">
            <w:pPr>
              <w:spacing w:line="240" w:lineRule="auto"/>
            </w:pPr>
            <w:r w:rsidRPr="007A237F">
              <w:t>CI</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7DC15" w14:textId="3C196141"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Confidence intervals</w:t>
            </w:r>
          </w:p>
        </w:tc>
      </w:tr>
      <w:tr w:rsidR="00C70F0A" w14:paraId="66172DAE"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85C75" w14:textId="3F216838" w:rsidR="00C70F0A" w:rsidRDefault="00C70F0A">
            <w:pPr>
              <w:spacing w:line="240" w:lineRule="auto"/>
            </w:pPr>
            <w:r w:rsidRPr="007A237F">
              <w:t>CL/F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F79FA" w14:textId="34B4BDD3"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rPr>
                <w:rFonts w:ascii="Times New Roman" w:eastAsia="Times New Roman" w:hAnsi="Times New Roman"/>
              </w:rPr>
              <w:t>Total clearance of the drug from plasma after oral administration</w:t>
            </w:r>
          </w:p>
        </w:tc>
      </w:tr>
      <w:tr w:rsidR="00C70F0A" w14:paraId="1A9AA68E"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20E49" w14:textId="7FA7F0C0" w:rsidR="00C70F0A" w:rsidRDefault="00C70F0A">
            <w:pPr>
              <w:spacing w:line="240" w:lineRule="auto"/>
            </w:pPr>
            <w:r w:rsidRPr="007A237F">
              <w:t>CRU</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405F74" w14:textId="14E31EDF"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Clinical research unit</w:t>
            </w:r>
          </w:p>
        </w:tc>
      </w:tr>
      <w:tr w:rsidR="00C70F0A" w14:paraId="6EEDF697"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B0C0E" w14:textId="68CBEFBB" w:rsidR="00C70F0A" w:rsidRDefault="00C70F0A">
            <w:pPr>
              <w:spacing w:line="240" w:lineRule="auto"/>
            </w:pPr>
            <w:r w:rsidRPr="007A237F">
              <w:t>EOS</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45F04" w14:textId="682414F8"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End of study</w:t>
            </w:r>
          </w:p>
        </w:tc>
      </w:tr>
      <w:tr w:rsidR="00C70F0A" w14:paraId="0F8EF454"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D28A2" w14:textId="72B8CE0B" w:rsidR="00C70F0A" w:rsidRDefault="00C70F0A">
            <w:pPr>
              <w:spacing w:line="240" w:lineRule="auto"/>
            </w:pPr>
            <w:r w:rsidRPr="007A237F">
              <w:t>ETF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19EC67" w14:textId="4B4564A1"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End of therapy failure</w:t>
            </w:r>
          </w:p>
        </w:tc>
      </w:tr>
      <w:tr w:rsidR="00C70F0A" w14:paraId="0015EC69"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82CB7" w14:textId="36C57887" w:rsidR="00C70F0A" w:rsidRDefault="00C70F0A">
            <w:pPr>
              <w:spacing w:line="240" w:lineRule="auto"/>
            </w:pPr>
            <w:r w:rsidRPr="007A237F">
              <w:t>FCT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FE3DF" w14:textId="40325BF7"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Fever Clearance Time</w:t>
            </w:r>
          </w:p>
        </w:tc>
      </w:tr>
      <w:tr w:rsidR="00C70F0A" w14:paraId="7E79E60E"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31C8D1" w14:textId="50ADA889" w:rsidR="00C70F0A" w:rsidRDefault="00C70F0A">
            <w:pPr>
              <w:spacing w:line="240" w:lineRule="auto"/>
            </w:pPr>
            <w:r w:rsidRPr="007A237F">
              <w:t>G6PDD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B1823" w14:textId="66FEE6A6"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Glucose-6-phosphate dehydrogenase deficiency</w:t>
            </w:r>
          </w:p>
        </w:tc>
      </w:tr>
      <w:tr w:rsidR="00C70F0A" w14:paraId="15600187"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9A885" w14:textId="31277347" w:rsidR="00C70F0A" w:rsidRDefault="00C70F0A">
            <w:pPr>
              <w:spacing w:line="240" w:lineRule="auto"/>
            </w:pPr>
            <w:r w:rsidRPr="007A237F">
              <w:t>GCT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BB1C8" w14:textId="5BE358ED"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Gametocyte clearance time</w:t>
            </w:r>
          </w:p>
        </w:tc>
      </w:tr>
      <w:tr w:rsidR="00C70F0A" w14:paraId="42499653"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3508D" w14:textId="517E26A9" w:rsidR="00C70F0A" w:rsidRDefault="00C70F0A">
            <w:pPr>
              <w:spacing w:line="240" w:lineRule="auto"/>
            </w:pPr>
            <w:r w:rsidRPr="007A237F">
              <w:t>GORD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7508B" w14:textId="3BD76825"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Gastro-oesophageal reflux disorder</w:t>
            </w:r>
          </w:p>
        </w:tc>
      </w:tr>
      <w:tr w:rsidR="00C70F0A" w14:paraId="7C899AC8"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64D3D" w14:textId="6F9E0040" w:rsidR="00C70F0A" w:rsidRDefault="00C70F0A">
            <w:pPr>
              <w:spacing w:line="240" w:lineRule="auto"/>
            </w:pPr>
            <w:r w:rsidRPr="007A237F">
              <w:t>Hb</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8BFFA" w14:textId="51C32A6F"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Haemoglobin</w:t>
            </w:r>
          </w:p>
        </w:tc>
      </w:tr>
      <w:tr w:rsidR="00C70F0A" w14:paraId="1C5C0DDE"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42D3B" w14:textId="1B7C95CE" w:rsidR="00C70F0A" w:rsidRDefault="00C70F0A">
            <w:pPr>
              <w:spacing w:line="240" w:lineRule="auto"/>
            </w:pPr>
            <w:r w:rsidRPr="007A237F">
              <w:t>HPLC</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03D701" w14:textId="473FB9BE"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High performance liquid chromatography</w:t>
            </w:r>
          </w:p>
        </w:tc>
      </w:tr>
      <w:tr w:rsidR="00C70F0A" w14:paraId="3D11AC2A"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761D6" w14:textId="158BD1BC" w:rsidR="00C70F0A" w:rsidRDefault="00C70F0A">
            <w:pPr>
              <w:spacing w:line="240" w:lineRule="auto"/>
            </w:pPr>
            <w:r w:rsidRPr="007A237F">
              <w:t>IBSM</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CC296" w14:textId="72C58A8F"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rPr>
                <w:rStyle w:val="st"/>
              </w:rPr>
              <w:t xml:space="preserve">induced blood stage </w:t>
            </w:r>
            <w:r w:rsidRPr="009D4936">
              <w:rPr>
                <w:rStyle w:val="Emphasis"/>
              </w:rPr>
              <w:t>malaria</w:t>
            </w:r>
          </w:p>
        </w:tc>
      </w:tr>
      <w:tr w:rsidR="00C70F0A" w14:paraId="1B22B079"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CCFA2" w14:textId="2FF9E13B" w:rsidR="00C70F0A" w:rsidRDefault="00C70F0A">
            <w:pPr>
              <w:spacing w:line="240" w:lineRule="auto"/>
            </w:pPr>
            <w:r w:rsidRPr="007A237F">
              <w:t>IDMC</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069F85" w14:textId="1F61764E"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Independent Data Monitoring Committee</w:t>
            </w:r>
          </w:p>
        </w:tc>
      </w:tr>
      <w:tr w:rsidR="00C70F0A" w14:paraId="448254D5"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E05C80" w14:textId="2042564C" w:rsidR="00C70F0A" w:rsidRDefault="00C70F0A">
            <w:pPr>
              <w:spacing w:line="240" w:lineRule="auto"/>
            </w:pPr>
            <w:r w:rsidRPr="007A237F">
              <w:t>ITT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8CECD" w14:textId="79044674"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Intention to treat</w:t>
            </w:r>
          </w:p>
        </w:tc>
      </w:tr>
      <w:tr w:rsidR="00C70F0A" w14:paraId="4B67F81D"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912619" w14:textId="2BF56E7D" w:rsidR="00C70F0A" w:rsidRDefault="00C70F0A">
            <w:pPr>
              <w:spacing w:line="240" w:lineRule="auto"/>
            </w:pPr>
            <w:r w:rsidRPr="007A237F">
              <w:t>MHb</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D385C" w14:textId="340FD238"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Methaemoglobinaemia</w:t>
            </w:r>
          </w:p>
        </w:tc>
      </w:tr>
      <w:tr w:rsidR="00C70F0A" w14:paraId="7D68EC11"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E7CC4" w14:textId="019C72D4" w:rsidR="00C70F0A" w:rsidRDefault="00C70F0A">
            <w:pPr>
              <w:spacing w:line="240" w:lineRule="auto"/>
            </w:pPr>
            <w:r w:rsidRPr="007A237F">
              <w:t>N/A</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65071" w14:textId="5E006E68"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Not applicable</w:t>
            </w:r>
          </w:p>
        </w:tc>
      </w:tr>
      <w:tr w:rsidR="00C70F0A" w14:paraId="41CFEFD8"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FBEF9" w14:textId="69EDD214" w:rsidR="00C70F0A" w:rsidRDefault="00C70F0A">
            <w:pPr>
              <w:spacing w:line="240" w:lineRule="auto"/>
            </w:pPr>
            <w:r w:rsidRPr="007A237F">
              <w:t>NAMRU-2</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55378" w14:textId="5198713C"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Naval Medical Research Unit-2</w:t>
            </w:r>
          </w:p>
        </w:tc>
      </w:tr>
      <w:tr w:rsidR="00C70F0A" w14:paraId="331B3565"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65144" w14:textId="63A149C4" w:rsidR="00C70F0A" w:rsidRDefault="00C70F0A">
            <w:pPr>
              <w:spacing w:line="240" w:lineRule="auto"/>
            </w:pPr>
            <w:r w:rsidRPr="007A237F">
              <w:t>OD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3115B9" w14:textId="603CE263"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Once a day</w:t>
            </w:r>
          </w:p>
        </w:tc>
      </w:tr>
      <w:tr w:rsidR="00C70F0A" w14:paraId="5D84B853"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D0EB5" w14:textId="3D97DD36" w:rsidR="00C70F0A" w:rsidRDefault="00C70F0A">
            <w:pPr>
              <w:spacing w:line="240" w:lineRule="auto"/>
            </w:pPr>
            <w:r w:rsidRPr="007A237F">
              <w:t>Pf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C3FB4" w14:textId="1AC5D6C5"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Plasmodium falciparum</w:t>
            </w:r>
          </w:p>
        </w:tc>
      </w:tr>
      <w:tr w:rsidR="00C70F0A" w14:paraId="6A49C522"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EBADCA" w14:textId="060E47DF" w:rsidR="00C70F0A" w:rsidRDefault="00C70F0A">
            <w:pPr>
              <w:spacing w:line="240" w:lineRule="auto"/>
            </w:pPr>
            <w:r w:rsidRPr="007A237F">
              <w:t>Pk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A0437C" w14:textId="32CCFF23"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Plasmodium knowlesi</w:t>
            </w:r>
          </w:p>
        </w:tc>
      </w:tr>
      <w:tr w:rsidR="00C70F0A" w14:paraId="05766034"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EB5E3" w14:textId="6CE7F506" w:rsidR="00C70F0A" w:rsidRDefault="00C70F0A">
            <w:pPr>
              <w:spacing w:line="240" w:lineRule="auto"/>
            </w:pPr>
            <w:r w:rsidRPr="007A237F">
              <w:lastRenderedPageBreak/>
              <w:t>Pm</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CA86E" w14:textId="7D64A4B3"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Plasmodium malariae</w:t>
            </w:r>
          </w:p>
        </w:tc>
      </w:tr>
      <w:tr w:rsidR="00C70F0A" w14:paraId="48C4C855"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3D049" w14:textId="19AFDE2B" w:rsidR="00C70F0A" w:rsidRDefault="00C70F0A">
            <w:pPr>
              <w:spacing w:line="240" w:lineRule="auto"/>
            </w:pPr>
            <w:r w:rsidRPr="007A237F">
              <w:t>Po</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54F02" w14:textId="190F4FB4"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Plasmodium ovale</w:t>
            </w:r>
          </w:p>
        </w:tc>
      </w:tr>
      <w:tr w:rsidR="00C70F0A" w14:paraId="61EF49DE"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E47F4" w14:textId="0AEADC2F" w:rsidR="00C70F0A" w:rsidRDefault="00C70F0A">
            <w:pPr>
              <w:spacing w:line="240" w:lineRule="auto"/>
            </w:pPr>
            <w:r w:rsidRPr="007A237F">
              <w:t>Pv</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63F18" w14:textId="7B717CC9"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Plasmodium vivax</w:t>
            </w:r>
          </w:p>
        </w:tc>
      </w:tr>
      <w:tr w:rsidR="00C70F0A" w14:paraId="5AB1C635"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47E8D" w14:textId="6F0DB244" w:rsidR="00C70F0A" w:rsidRDefault="00C70F0A">
            <w:pPr>
              <w:spacing w:line="240" w:lineRule="auto"/>
            </w:pPr>
            <w:r w:rsidRPr="007A237F">
              <w:t>PCT</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1B4CC" w14:textId="4BCD2766"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Parasite clearance time</w:t>
            </w:r>
          </w:p>
        </w:tc>
      </w:tr>
      <w:tr w:rsidR="00C70F0A" w14:paraId="378273E2"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3E214" w14:textId="7B7CC792" w:rsidR="00C70F0A" w:rsidRDefault="00C70F0A">
            <w:pPr>
              <w:spacing w:line="240" w:lineRule="auto"/>
            </w:pPr>
            <w:r w:rsidRPr="007A237F">
              <w:t>PK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DBFC2" w14:textId="186D61FA"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Pharmacokinetics</w:t>
            </w:r>
          </w:p>
        </w:tc>
      </w:tr>
      <w:tr w:rsidR="00C70F0A" w14:paraId="185F5AFD"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EBFCB" w14:textId="7D012964" w:rsidR="00C70F0A" w:rsidRDefault="00C70F0A">
            <w:pPr>
              <w:spacing w:line="240" w:lineRule="auto"/>
            </w:pPr>
            <w:r w:rsidRPr="007A237F">
              <w:t>PD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46910" w14:textId="37547934"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Pharmacodynamics</w:t>
            </w:r>
          </w:p>
        </w:tc>
      </w:tr>
      <w:tr w:rsidR="00C70F0A" w14:paraId="3027831A"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03FC4" w14:textId="309DDD30" w:rsidR="00C70F0A" w:rsidRDefault="00C70F0A">
            <w:pPr>
              <w:spacing w:line="240" w:lineRule="auto"/>
            </w:pPr>
            <w:r w:rsidRPr="007A237F">
              <w:t>PE</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325D06" w14:textId="3EBAA15F"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Primary efficacy</w:t>
            </w:r>
          </w:p>
        </w:tc>
      </w:tr>
      <w:tr w:rsidR="00C70F0A" w14:paraId="21082570"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C7717" w14:textId="333B37A8" w:rsidR="00C70F0A" w:rsidRDefault="00C70F0A">
            <w:pPr>
              <w:spacing w:line="240" w:lineRule="auto"/>
            </w:pPr>
            <w:r w:rsidRPr="007A237F">
              <w:t>PP</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D40B4" w14:textId="18CD9F6B"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Per protocol</w:t>
            </w:r>
          </w:p>
        </w:tc>
      </w:tr>
      <w:tr w:rsidR="00C70F0A" w14:paraId="6839B8A1"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8F8769" w14:textId="01D2EADF" w:rsidR="00C70F0A" w:rsidRDefault="00C70F0A">
            <w:pPr>
              <w:spacing w:line="240" w:lineRule="auto"/>
            </w:pPr>
            <w:r w:rsidRPr="007A237F">
              <w:t>qPCR</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110AE" w14:textId="2369808C"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Quantitative Polymerase Chain Reaction</w:t>
            </w:r>
          </w:p>
        </w:tc>
      </w:tr>
      <w:tr w:rsidR="00C70F0A" w14:paraId="2F352D88"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31DF5" w14:textId="13892164" w:rsidR="00C70F0A" w:rsidRDefault="00C70F0A">
            <w:pPr>
              <w:spacing w:line="240" w:lineRule="auto"/>
            </w:pPr>
            <w:r w:rsidRPr="007A237F">
              <w:t>SD</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CD507" w14:textId="4944B684"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Standard deviation</w:t>
            </w:r>
          </w:p>
        </w:tc>
      </w:tr>
      <w:tr w:rsidR="00C70F0A" w14:paraId="4B963E8A"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D2620" w14:textId="0ED2AB89" w:rsidR="00C70F0A" w:rsidRDefault="00C70F0A">
            <w:pPr>
              <w:spacing w:line="240" w:lineRule="auto"/>
            </w:pPr>
            <w:r w:rsidRPr="007A237F">
              <w:rPr>
                <w:lang w:eastAsia="ja-JP"/>
              </w:rPr>
              <w:t>USAMRU-K</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098E5" w14:textId="2B7BDD01"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USA Medical Research Unit Kenya</w:t>
            </w:r>
          </w:p>
        </w:tc>
      </w:tr>
      <w:tr w:rsidR="00C70F0A" w14:paraId="7909C566"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EF4AEC" w14:textId="430B65B6" w:rsidR="00C70F0A" w:rsidRDefault="00C70F0A">
            <w:pPr>
              <w:spacing w:line="240" w:lineRule="auto"/>
            </w:pPr>
            <w:r w:rsidRPr="007A237F">
              <w:t>V/F</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A1A8F" w14:textId="49DA4395"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Volume of distribution</w:t>
            </w:r>
          </w:p>
        </w:tc>
      </w:tr>
      <w:tr w:rsidR="00C70F0A" w14:paraId="60F9AB9A" w14:textId="77777777" w:rsidTr="0011058F">
        <w:trPr>
          <w:trHeight w:val="198"/>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CF075" w14:textId="60DA717D" w:rsidR="00C70F0A" w:rsidRDefault="00C70F0A">
            <w:pPr>
              <w:spacing w:line="240" w:lineRule="auto"/>
            </w:pPr>
            <w:r w:rsidRPr="007A237F">
              <w:t>%CV</w:t>
            </w:r>
          </w:p>
        </w:tc>
        <w:tc>
          <w:tcPr>
            <w:tcW w:w="6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6D803" w14:textId="555F8B43" w:rsidR="00C70F0A" w:rsidRDefault="00C70F0A">
            <w:pPr>
              <w:spacing w:line="240" w:lineRule="auto"/>
              <w:cnfStyle w:val="000000000000" w:firstRow="0" w:lastRow="0" w:firstColumn="0" w:lastColumn="0" w:oddVBand="0" w:evenVBand="0" w:oddHBand="0" w:evenHBand="0" w:firstRowFirstColumn="0" w:firstRowLastColumn="0" w:lastRowFirstColumn="0" w:lastRowLastColumn="0"/>
            </w:pPr>
            <w:r w:rsidRPr="009D4936">
              <w:t>Coefficient of variation</w:t>
            </w:r>
          </w:p>
        </w:tc>
      </w:tr>
    </w:tbl>
    <w:p w14:paraId="4BA5C040" w14:textId="77777777" w:rsidR="00FB2482" w:rsidRDefault="00FB2482">
      <w:pPr>
        <w:spacing w:before="0" w:after="200" w:line="0" w:lineRule="auto"/>
        <w:rPr>
          <w:rFonts w:ascii="Arial" w:eastAsia="Times New Roman" w:hAnsi="Arial"/>
          <w:b/>
          <w:bCs/>
          <w:sz w:val="32"/>
          <w:szCs w:val="26"/>
          <w:lang w:eastAsia="en-AU"/>
        </w:rPr>
      </w:pPr>
      <w:bookmarkStart w:id="6" w:name="_Toc351718900"/>
      <w:bookmarkStart w:id="7" w:name="_Toc355338635"/>
      <w:r>
        <w:rPr>
          <w:lang w:eastAsia="en-AU"/>
        </w:rPr>
        <w:br w:type="page"/>
      </w:r>
    </w:p>
    <w:p w14:paraId="30CD3835" w14:textId="77777777" w:rsidR="0094614A" w:rsidRDefault="0094614A" w:rsidP="008A1A1C">
      <w:pPr>
        <w:pStyle w:val="Heading2"/>
        <w:rPr>
          <w:lang w:eastAsia="en-AU"/>
        </w:rPr>
      </w:pPr>
      <w:bookmarkStart w:id="8" w:name="_Toc12520257"/>
      <w:r>
        <w:rPr>
          <w:lang w:eastAsia="en-AU"/>
        </w:rPr>
        <w:lastRenderedPageBreak/>
        <w:t>Introduction</w:t>
      </w:r>
      <w:bookmarkEnd w:id="8"/>
    </w:p>
    <w:p w14:paraId="4BF224BE" w14:textId="77777777" w:rsidR="008A1A1C" w:rsidRDefault="008A1A1C" w:rsidP="00FB2482">
      <w:pPr>
        <w:pStyle w:val="Heading3"/>
      </w:pPr>
      <w:bookmarkStart w:id="9" w:name="_Toc501809116"/>
      <w:bookmarkStart w:id="10" w:name="_Toc504229343"/>
      <w:bookmarkStart w:id="11" w:name="_Toc12520258"/>
      <w:r>
        <w:t>Submission identifying information</w:t>
      </w:r>
      <w:bookmarkEnd w:id="9"/>
      <w:bookmarkEnd w:id="10"/>
      <w:bookmarkEnd w:id="11"/>
    </w:p>
    <w:tbl>
      <w:tblPr>
        <w:tblStyle w:val="TableGrid"/>
        <w:tblW w:w="0" w:type="auto"/>
        <w:tblLook w:val="04A0" w:firstRow="1" w:lastRow="0" w:firstColumn="1" w:lastColumn="0" w:noHBand="0" w:noVBand="1"/>
      </w:tblPr>
      <w:tblGrid>
        <w:gridCol w:w="2802"/>
        <w:gridCol w:w="5244"/>
      </w:tblGrid>
      <w:tr w:rsidR="008A1A1C" w14:paraId="52A98F87" w14:textId="77777777" w:rsidTr="008A1A1C">
        <w:tc>
          <w:tcPr>
            <w:tcW w:w="2802" w:type="dxa"/>
            <w:tcBorders>
              <w:top w:val="single" w:sz="4" w:space="0" w:color="auto"/>
              <w:left w:val="single" w:sz="4" w:space="0" w:color="auto"/>
              <w:bottom w:val="single" w:sz="4" w:space="0" w:color="auto"/>
              <w:right w:val="single" w:sz="4" w:space="0" w:color="auto"/>
            </w:tcBorders>
            <w:shd w:val="clear" w:color="auto" w:fill="0070C0"/>
            <w:hideMark/>
          </w:tcPr>
          <w:p w14:paraId="23785E8C" w14:textId="77777777" w:rsidR="008A1A1C" w:rsidRPr="008A1A1C" w:rsidRDefault="008A1A1C">
            <w:pPr>
              <w:rPr>
                <w:b/>
                <w:color w:val="FFFFFF" w:themeColor="background1"/>
              </w:rPr>
            </w:pPr>
            <w:r w:rsidRPr="008A1A1C">
              <w:rPr>
                <w:b/>
                <w:color w:val="FFFFFF" w:themeColor="background1"/>
              </w:rPr>
              <w:t>Submission number</w:t>
            </w:r>
          </w:p>
        </w:tc>
        <w:tc>
          <w:tcPr>
            <w:tcW w:w="5244" w:type="dxa"/>
            <w:tcBorders>
              <w:top w:val="single" w:sz="4" w:space="0" w:color="auto"/>
              <w:left w:val="single" w:sz="4" w:space="0" w:color="auto"/>
              <w:bottom w:val="single" w:sz="4" w:space="0" w:color="auto"/>
              <w:right w:val="single" w:sz="4" w:space="0" w:color="auto"/>
            </w:tcBorders>
            <w:hideMark/>
          </w:tcPr>
          <w:p w14:paraId="5BCFEC50" w14:textId="77777777" w:rsidR="008A1A1C" w:rsidRDefault="008A1A1C">
            <w:r>
              <w:t>PM-2017-02418-1-2</w:t>
            </w:r>
          </w:p>
        </w:tc>
      </w:tr>
      <w:tr w:rsidR="008A1A1C" w14:paraId="423C78FD" w14:textId="77777777" w:rsidTr="008A1A1C">
        <w:tc>
          <w:tcPr>
            <w:tcW w:w="2802" w:type="dxa"/>
            <w:tcBorders>
              <w:top w:val="single" w:sz="4" w:space="0" w:color="auto"/>
              <w:left w:val="single" w:sz="4" w:space="0" w:color="auto"/>
              <w:bottom w:val="single" w:sz="4" w:space="0" w:color="auto"/>
              <w:right w:val="single" w:sz="4" w:space="0" w:color="auto"/>
            </w:tcBorders>
            <w:shd w:val="clear" w:color="auto" w:fill="0070C0"/>
            <w:hideMark/>
          </w:tcPr>
          <w:p w14:paraId="4DF41F69" w14:textId="77777777" w:rsidR="008A1A1C" w:rsidRPr="008A1A1C" w:rsidRDefault="008A1A1C">
            <w:pPr>
              <w:rPr>
                <w:b/>
                <w:color w:val="FFFFFF" w:themeColor="background1"/>
              </w:rPr>
            </w:pPr>
            <w:r w:rsidRPr="008A1A1C">
              <w:rPr>
                <w:b/>
                <w:color w:val="FFFFFF" w:themeColor="background1"/>
              </w:rPr>
              <w:t>Sponsor</w:t>
            </w:r>
          </w:p>
        </w:tc>
        <w:tc>
          <w:tcPr>
            <w:tcW w:w="5244" w:type="dxa"/>
            <w:tcBorders>
              <w:top w:val="single" w:sz="4" w:space="0" w:color="auto"/>
              <w:left w:val="single" w:sz="4" w:space="0" w:color="auto"/>
              <w:bottom w:val="single" w:sz="4" w:space="0" w:color="auto"/>
              <w:right w:val="single" w:sz="4" w:space="0" w:color="auto"/>
            </w:tcBorders>
            <w:hideMark/>
          </w:tcPr>
          <w:p w14:paraId="2965D22B" w14:textId="77777777" w:rsidR="008A1A1C" w:rsidRDefault="008A1A1C" w:rsidP="008A1A1C">
            <w:r>
              <w:t>Biocelect Pty Ltd</w:t>
            </w:r>
          </w:p>
        </w:tc>
      </w:tr>
      <w:tr w:rsidR="008A1A1C" w14:paraId="491B49DA" w14:textId="77777777" w:rsidTr="008A1A1C">
        <w:tc>
          <w:tcPr>
            <w:tcW w:w="2802" w:type="dxa"/>
            <w:tcBorders>
              <w:top w:val="single" w:sz="4" w:space="0" w:color="auto"/>
              <w:left w:val="single" w:sz="4" w:space="0" w:color="auto"/>
              <w:bottom w:val="single" w:sz="4" w:space="0" w:color="auto"/>
              <w:right w:val="single" w:sz="4" w:space="0" w:color="auto"/>
            </w:tcBorders>
            <w:shd w:val="clear" w:color="auto" w:fill="0070C0"/>
            <w:hideMark/>
          </w:tcPr>
          <w:p w14:paraId="24FA52AF" w14:textId="77777777" w:rsidR="008A1A1C" w:rsidRPr="008A1A1C" w:rsidRDefault="008A1A1C">
            <w:pPr>
              <w:rPr>
                <w:b/>
                <w:color w:val="FFFFFF" w:themeColor="background1"/>
              </w:rPr>
            </w:pPr>
            <w:r w:rsidRPr="008A1A1C">
              <w:rPr>
                <w:b/>
                <w:color w:val="FFFFFF" w:themeColor="background1"/>
              </w:rPr>
              <w:t>Trade name</w:t>
            </w:r>
          </w:p>
        </w:tc>
        <w:tc>
          <w:tcPr>
            <w:tcW w:w="5244" w:type="dxa"/>
            <w:tcBorders>
              <w:top w:val="single" w:sz="4" w:space="0" w:color="auto"/>
              <w:left w:val="single" w:sz="4" w:space="0" w:color="auto"/>
              <w:bottom w:val="single" w:sz="4" w:space="0" w:color="auto"/>
              <w:right w:val="single" w:sz="4" w:space="0" w:color="auto"/>
            </w:tcBorders>
            <w:hideMark/>
          </w:tcPr>
          <w:p w14:paraId="3242D612" w14:textId="77777777" w:rsidR="008A1A1C" w:rsidRDefault="008A1A1C">
            <w:r>
              <w:t>Kodatef</w:t>
            </w:r>
          </w:p>
        </w:tc>
      </w:tr>
      <w:tr w:rsidR="008A1A1C" w14:paraId="58AE4613" w14:textId="77777777" w:rsidTr="008A1A1C">
        <w:tc>
          <w:tcPr>
            <w:tcW w:w="2802" w:type="dxa"/>
            <w:tcBorders>
              <w:top w:val="single" w:sz="4" w:space="0" w:color="auto"/>
              <w:left w:val="single" w:sz="4" w:space="0" w:color="auto"/>
              <w:bottom w:val="single" w:sz="4" w:space="0" w:color="auto"/>
              <w:right w:val="single" w:sz="4" w:space="0" w:color="auto"/>
            </w:tcBorders>
            <w:shd w:val="clear" w:color="auto" w:fill="0070C0"/>
            <w:hideMark/>
          </w:tcPr>
          <w:p w14:paraId="36ED1DD1" w14:textId="77777777" w:rsidR="008A1A1C" w:rsidRPr="008A1A1C" w:rsidRDefault="008A1A1C">
            <w:pPr>
              <w:rPr>
                <w:b/>
                <w:color w:val="FFFFFF" w:themeColor="background1"/>
              </w:rPr>
            </w:pPr>
            <w:r w:rsidRPr="008A1A1C">
              <w:rPr>
                <w:b/>
                <w:color w:val="FFFFFF" w:themeColor="background1"/>
              </w:rPr>
              <w:t>Active substance</w:t>
            </w:r>
          </w:p>
        </w:tc>
        <w:tc>
          <w:tcPr>
            <w:tcW w:w="5244" w:type="dxa"/>
            <w:tcBorders>
              <w:top w:val="single" w:sz="4" w:space="0" w:color="auto"/>
              <w:left w:val="single" w:sz="4" w:space="0" w:color="auto"/>
              <w:bottom w:val="single" w:sz="4" w:space="0" w:color="auto"/>
              <w:right w:val="single" w:sz="4" w:space="0" w:color="auto"/>
            </w:tcBorders>
            <w:hideMark/>
          </w:tcPr>
          <w:p w14:paraId="419DAACD" w14:textId="77777777" w:rsidR="008A1A1C" w:rsidRDefault="008A1A1C">
            <w:r>
              <w:t>Tafenoquine succinate</w:t>
            </w:r>
          </w:p>
        </w:tc>
      </w:tr>
    </w:tbl>
    <w:p w14:paraId="30C32B4F" w14:textId="77777777" w:rsidR="008A1A1C" w:rsidRDefault="008A1A1C" w:rsidP="003931DB">
      <w:bookmarkStart w:id="12" w:name="_Toc504229345"/>
      <w:bookmarkStart w:id="13" w:name="_Toc501809118"/>
      <w:r>
        <w:t xml:space="preserve">This is a Type </w:t>
      </w:r>
      <w:proofErr w:type="gramStart"/>
      <w:r>
        <w:t>A</w:t>
      </w:r>
      <w:proofErr w:type="gramEnd"/>
      <w:r>
        <w:t xml:space="preserve"> application to register a new chemical entity</w:t>
      </w:r>
      <w:bookmarkEnd w:id="12"/>
      <w:bookmarkEnd w:id="13"/>
      <w:r>
        <w:t>.</w:t>
      </w:r>
    </w:p>
    <w:p w14:paraId="4A613876" w14:textId="77777777" w:rsidR="008A1A1C" w:rsidRDefault="008A1A1C" w:rsidP="00FB2482">
      <w:pPr>
        <w:pStyle w:val="Heading3"/>
      </w:pPr>
      <w:bookmarkStart w:id="14" w:name="_Toc501809119"/>
      <w:bookmarkStart w:id="15" w:name="_Toc504229346"/>
      <w:bookmarkStart w:id="16" w:name="_Toc12520259"/>
      <w:r>
        <w:t>Drug class and therapeutic indication</w:t>
      </w:r>
      <w:bookmarkEnd w:id="14"/>
      <w:bookmarkEnd w:id="15"/>
      <w:bookmarkEnd w:id="16"/>
    </w:p>
    <w:p w14:paraId="0EBFDAA4" w14:textId="1E5FAAB3" w:rsidR="008A1A1C" w:rsidRDefault="008A1A1C" w:rsidP="008A1A1C">
      <w:pPr>
        <w:rPr>
          <w:lang w:eastAsia="ja-JP"/>
        </w:rPr>
      </w:pPr>
      <w:r>
        <w:rPr>
          <w:lang w:eastAsia="ja-JP"/>
        </w:rPr>
        <w:t xml:space="preserve">Tafenoquine is a primaquine congener </w:t>
      </w:r>
      <w:r w:rsidR="00C70F0A">
        <w:rPr>
          <w:lang w:eastAsia="ja-JP"/>
        </w:rPr>
        <w:t xml:space="preserve">synthesised </w:t>
      </w:r>
      <w:r>
        <w:rPr>
          <w:lang w:eastAsia="ja-JP"/>
        </w:rPr>
        <w:t>by adding a methoxy group at the 2 position, a methyl group at the 4 position, and a 3-trifluoromethylphenoxy substitution at the 5 position of the quinoline ring.</w:t>
      </w:r>
    </w:p>
    <w:p w14:paraId="71337BE6" w14:textId="3F1BC897" w:rsidR="008A1A1C" w:rsidRDefault="008A1A1C" w:rsidP="008A1A1C">
      <w:pPr>
        <w:rPr>
          <w:lang w:eastAsia="ja-JP"/>
        </w:rPr>
      </w:pPr>
      <w:r>
        <w:rPr>
          <w:lang w:eastAsia="ja-JP"/>
        </w:rPr>
        <w:t xml:space="preserve">Tafenoquine succinate 125 mg tablet (containing 100 mg of free base) is </w:t>
      </w:r>
      <w:r w:rsidR="00B53C7C">
        <w:rPr>
          <w:lang w:eastAsia="ja-JP"/>
        </w:rPr>
        <w:t xml:space="preserve">indicated </w:t>
      </w:r>
      <w:r>
        <w:rPr>
          <w:lang w:eastAsia="ja-JP"/>
        </w:rPr>
        <w:t>for a prophylaxis indication: ‘</w:t>
      </w:r>
      <w:r w:rsidRPr="008A1A1C">
        <w:rPr>
          <w:i/>
          <w:lang w:eastAsia="ja-JP"/>
        </w:rPr>
        <w:t>Prevention of malaria in adults for up to 6 months of continuous dosing</w:t>
      </w:r>
      <w:r>
        <w:rPr>
          <w:lang w:eastAsia="ja-JP"/>
        </w:rPr>
        <w:t xml:space="preserve">’. The indication includes all species of Plasmodia and includes prophylaxis both in the endemic region and post-exposure (‘post-exposure </w:t>
      </w:r>
      <w:proofErr w:type="gramStart"/>
      <w:r>
        <w:rPr>
          <w:lang w:eastAsia="ja-JP"/>
        </w:rPr>
        <w:t>prophylaxis’</w:t>
      </w:r>
      <w:proofErr w:type="gramEnd"/>
      <w:r>
        <w:rPr>
          <w:lang w:eastAsia="ja-JP"/>
        </w:rPr>
        <w:t>).</w:t>
      </w:r>
    </w:p>
    <w:p w14:paraId="2D83A6B6" w14:textId="77777777" w:rsidR="008A1A1C" w:rsidRDefault="008A1A1C" w:rsidP="00FB2482">
      <w:pPr>
        <w:pStyle w:val="Heading3"/>
      </w:pPr>
      <w:bookmarkStart w:id="17" w:name="_Toc501809120"/>
      <w:bookmarkStart w:id="18" w:name="_Toc504229347"/>
      <w:bookmarkStart w:id="19" w:name="_Toc12520260"/>
      <w:r>
        <w:t>Dosage forms and strengths</w:t>
      </w:r>
      <w:bookmarkEnd w:id="17"/>
      <w:bookmarkEnd w:id="18"/>
      <w:bookmarkEnd w:id="19"/>
    </w:p>
    <w:p w14:paraId="2E9F7095" w14:textId="79843778" w:rsidR="00F1528F" w:rsidRDefault="008A1A1C" w:rsidP="00F1528F">
      <w:pPr>
        <w:rPr>
          <w:lang w:eastAsia="ja-JP"/>
        </w:rPr>
      </w:pPr>
      <w:r>
        <w:rPr>
          <w:lang w:eastAsia="ja-JP"/>
        </w:rPr>
        <w:t>Tafenoquine is presented as a dark pink, capsule shaped, film coated tablet containing 125.5 mg of tafenoquine succinate equivalent to 100 mg of free base.</w:t>
      </w:r>
    </w:p>
    <w:p w14:paraId="35AEBD26" w14:textId="77777777" w:rsidR="008A1A1C" w:rsidRDefault="008A1A1C" w:rsidP="00FB2482">
      <w:pPr>
        <w:pStyle w:val="Heading3"/>
      </w:pPr>
      <w:bookmarkStart w:id="20" w:name="_Toc501809121"/>
      <w:bookmarkStart w:id="21" w:name="_Toc504229348"/>
      <w:bookmarkStart w:id="22" w:name="_Toc12520261"/>
      <w:r>
        <w:t>Dosage and administration</w:t>
      </w:r>
      <w:bookmarkEnd w:id="20"/>
      <w:bookmarkEnd w:id="21"/>
      <w:bookmarkEnd w:id="22"/>
    </w:p>
    <w:p w14:paraId="0B9B3D6A" w14:textId="387A99C2" w:rsidR="008A1A1C" w:rsidRDefault="008A1A1C" w:rsidP="008A1A1C">
      <w:pPr>
        <w:rPr>
          <w:lang w:eastAsia="ja-JP"/>
        </w:rPr>
      </w:pPr>
      <w:r>
        <w:rPr>
          <w:lang w:eastAsia="ja-JP"/>
        </w:rPr>
        <w:t>The recommended preventative regimen for tafenoquine oral tablet is a loading dose of 2</w:t>
      </w:r>
      <w:r w:rsidR="00C70F0A">
        <w:rPr>
          <w:lang w:eastAsia="ja-JP"/>
        </w:rPr>
        <w:t> </w:t>
      </w:r>
      <w:r>
        <w:rPr>
          <w:lang w:eastAsia="ja-JP"/>
        </w:rPr>
        <w:t>x</w:t>
      </w:r>
      <w:r w:rsidR="00C70F0A">
        <w:rPr>
          <w:lang w:eastAsia="ja-JP"/>
        </w:rPr>
        <w:t> </w:t>
      </w:r>
      <w:r>
        <w:rPr>
          <w:lang w:eastAsia="ja-JP"/>
        </w:rPr>
        <w:t>100</w:t>
      </w:r>
      <w:r w:rsidR="00C70F0A">
        <w:rPr>
          <w:lang w:eastAsia="ja-JP"/>
        </w:rPr>
        <w:t> </w:t>
      </w:r>
      <w:r>
        <w:rPr>
          <w:lang w:eastAsia="ja-JP"/>
        </w:rPr>
        <w:t>mg tablets once daily for 3 days prior to travel to a malarious area, followed by weekly 2 x 100 mg maintenance doses while in the malarious area, followed by one dose of 2x100 mg in the week following exit from the malarious area.</w:t>
      </w:r>
    </w:p>
    <w:p w14:paraId="5D8FC07B" w14:textId="6DC137C9" w:rsidR="008A1A1C" w:rsidRDefault="008A1A1C" w:rsidP="008A1A1C">
      <w:pPr>
        <w:rPr>
          <w:lang w:eastAsia="ja-JP"/>
        </w:rPr>
      </w:pPr>
      <w:r>
        <w:rPr>
          <w:lang w:eastAsia="ja-JP"/>
        </w:rPr>
        <w:t>Tafenoquine oral 100 mg tablets can be taken with or without food although tafenoquine taken with food may be associated with better gastrointestinal tolerance</w:t>
      </w:r>
      <w:r w:rsidR="006E22B8">
        <w:rPr>
          <w:lang w:eastAsia="ja-JP"/>
        </w:rPr>
        <w:t>.</w:t>
      </w:r>
    </w:p>
    <w:p w14:paraId="6ED818A1" w14:textId="77777777" w:rsidR="008A1A1C" w:rsidRDefault="008A1A1C" w:rsidP="00FB2482">
      <w:pPr>
        <w:pStyle w:val="Heading3"/>
      </w:pPr>
      <w:bookmarkStart w:id="23" w:name="_Toc501809122"/>
      <w:bookmarkStart w:id="24" w:name="_Toc504229349"/>
      <w:bookmarkStart w:id="25" w:name="_Toc12520262"/>
      <w:r>
        <w:t>Proposed changes to the product documentation</w:t>
      </w:r>
      <w:bookmarkEnd w:id="23"/>
      <w:bookmarkEnd w:id="24"/>
      <w:bookmarkEnd w:id="25"/>
    </w:p>
    <w:p w14:paraId="7335D28B" w14:textId="77777777" w:rsidR="008A1A1C" w:rsidRDefault="008A1A1C" w:rsidP="008A1A1C">
      <w:pPr>
        <w:rPr>
          <w:lang w:eastAsia="ja-JP"/>
        </w:rPr>
      </w:pPr>
      <w:r>
        <w:rPr>
          <w:lang w:eastAsia="ja-JP"/>
        </w:rPr>
        <w:t>This is a new PI for first time registration of a new clinical entity.</w:t>
      </w:r>
    </w:p>
    <w:p w14:paraId="72DB1AA6" w14:textId="77777777" w:rsidR="008A1A1C" w:rsidRDefault="008A1A1C" w:rsidP="00E730B4">
      <w:pPr>
        <w:pStyle w:val="Heading2"/>
        <w:numPr>
          <w:ilvl w:val="0"/>
          <w:numId w:val="7"/>
        </w:numPr>
      </w:pPr>
      <w:bookmarkStart w:id="26" w:name="_Toc501809123"/>
      <w:bookmarkStart w:id="27" w:name="_Toc504229350"/>
      <w:bookmarkStart w:id="28" w:name="_Toc12520263"/>
      <w:r>
        <w:t>Background</w:t>
      </w:r>
      <w:bookmarkEnd w:id="26"/>
      <w:bookmarkEnd w:id="27"/>
      <w:bookmarkEnd w:id="28"/>
    </w:p>
    <w:p w14:paraId="5A9A51C2" w14:textId="77777777" w:rsidR="008A1A1C" w:rsidRDefault="008A1A1C" w:rsidP="00FB2482">
      <w:pPr>
        <w:pStyle w:val="Heading3"/>
      </w:pPr>
      <w:bookmarkStart w:id="29" w:name="_Toc501809124"/>
      <w:bookmarkStart w:id="30" w:name="_Toc504229351"/>
      <w:bookmarkStart w:id="31" w:name="_Toc12520264"/>
      <w:r>
        <w:t xml:space="preserve">Information </w:t>
      </w:r>
      <w:r w:rsidRPr="00FB2482">
        <w:t>on</w:t>
      </w:r>
      <w:r>
        <w:t xml:space="preserve"> the condition being treated</w:t>
      </w:r>
      <w:bookmarkEnd w:id="29"/>
      <w:bookmarkEnd w:id="30"/>
      <w:bookmarkEnd w:id="31"/>
    </w:p>
    <w:p w14:paraId="6D3F5844" w14:textId="27EB1C2E" w:rsidR="008A1A1C" w:rsidRDefault="008A1A1C" w:rsidP="0011058F">
      <w:r>
        <w:t xml:space="preserve">Malaria is a potentially fatal illness caused by protozoal infection of red blood cells (RBC) with parasites belonging to the genus </w:t>
      </w:r>
      <w:r w:rsidRPr="0011058F">
        <w:rPr>
          <w:i/>
        </w:rPr>
        <w:t>Plasmodium</w:t>
      </w:r>
      <w:r>
        <w:t xml:space="preserve">, transmitted to humans by the bite of a </w:t>
      </w:r>
      <w:r w:rsidRPr="0011058F">
        <w:rPr>
          <w:i/>
        </w:rPr>
        <w:t>Plasmodium</w:t>
      </w:r>
      <w:r w:rsidR="00C70F0A">
        <w:t xml:space="preserve"> </w:t>
      </w:r>
      <w:r>
        <w:t xml:space="preserve">infected female </w:t>
      </w:r>
      <w:r w:rsidRPr="0011058F">
        <w:rPr>
          <w:i/>
        </w:rPr>
        <w:t>Anopheline</w:t>
      </w:r>
      <w:r>
        <w:t xml:space="preserve"> mosquito, usually between dusk and dawn. Five species </w:t>
      </w:r>
      <w:r>
        <w:lastRenderedPageBreak/>
        <w:t xml:space="preserve">of </w:t>
      </w:r>
      <w:r w:rsidRPr="0011058F">
        <w:rPr>
          <w:i/>
        </w:rPr>
        <w:t>Plasmodium</w:t>
      </w:r>
      <w:r>
        <w:t xml:space="preserve"> </w:t>
      </w:r>
      <w:r w:rsidR="00F1528F">
        <w:t xml:space="preserve">(P) </w:t>
      </w:r>
      <w:r>
        <w:t xml:space="preserve">infect humans, namely, </w:t>
      </w:r>
      <w:r w:rsidRPr="0011058F">
        <w:rPr>
          <w:i/>
        </w:rPr>
        <w:t>P</w:t>
      </w:r>
      <w:r w:rsidR="00C70F0A" w:rsidRPr="0011058F">
        <w:rPr>
          <w:i/>
        </w:rPr>
        <w:t>.</w:t>
      </w:r>
      <w:r w:rsidRPr="0011058F">
        <w:rPr>
          <w:i/>
        </w:rPr>
        <w:t xml:space="preserve"> falciparum</w:t>
      </w:r>
      <w:r>
        <w:t xml:space="preserve"> (Pf), </w:t>
      </w:r>
      <w:r w:rsidRPr="0011058F">
        <w:rPr>
          <w:i/>
        </w:rPr>
        <w:t>P</w:t>
      </w:r>
      <w:r w:rsidR="00C70F0A" w:rsidRPr="0011058F">
        <w:rPr>
          <w:i/>
        </w:rPr>
        <w:t>.</w:t>
      </w:r>
      <w:r w:rsidRPr="0011058F">
        <w:rPr>
          <w:i/>
        </w:rPr>
        <w:t xml:space="preserve"> vivax</w:t>
      </w:r>
      <w:r>
        <w:t xml:space="preserve"> (</w:t>
      </w:r>
      <w:proofErr w:type="gramStart"/>
      <w:r>
        <w:t>Pv</w:t>
      </w:r>
      <w:proofErr w:type="gramEnd"/>
      <w:r>
        <w:t xml:space="preserve">), </w:t>
      </w:r>
      <w:r w:rsidRPr="0011058F">
        <w:rPr>
          <w:i/>
        </w:rPr>
        <w:t>P</w:t>
      </w:r>
      <w:r w:rsidR="00C70F0A" w:rsidRPr="0011058F">
        <w:rPr>
          <w:i/>
        </w:rPr>
        <w:t>.</w:t>
      </w:r>
      <w:r w:rsidRPr="0011058F">
        <w:rPr>
          <w:i/>
        </w:rPr>
        <w:t xml:space="preserve"> ovale</w:t>
      </w:r>
      <w:r>
        <w:t xml:space="preserve"> (Po), </w:t>
      </w:r>
      <w:r w:rsidRPr="0011058F">
        <w:rPr>
          <w:i/>
        </w:rPr>
        <w:t>P</w:t>
      </w:r>
      <w:r w:rsidR="00C70F0A" w:rsidRPr="0011058F">
        <w:rPr>
          <w:i/>
        </w:rPr>
        <w:t>.</w:t>
      </w:r>
      <w:r w:rsidRPr="0011058F">
        <w:rPr>
          <w:i/>
        </w:rPr>
        <w:t xml:space="preserve"> malariae</w:t>
      </w:r>
      <w:r>
        <w:t xml:space="preserve"> (Pm), and </w:t>
      </w:r>
      <w:r w:rsidRPr="0011058F">
        <w:rPr>
          <w:i/>
        </w:rPr>
        <w:t>P</w:t>
      </w:r>
      <w:r w:rsidR="00C70F0A" w:rsidRPr="0011058F">
        <w:rPr>
          <w:i/>
        </w:rPr>
        <w:t>.</w:t>
      </w:r>
      <w:r w:rsidRPr="0011058F">
        <w:rPr>
          <w:i/>
        </w:rPr>
        <w:t xml:space="preserve"> knowlesi</w:t>
      </w:r>
      <w:r>
        <w:t xml:space="preserve"> (Pk).</w:t>
      </w:r>
    </w:p>
    <w:p w14:paraId="1217B001" w14:textId="77777777" w:rsidR="008A1A1C" w:rsidRDefault="008A1A1C" w:rsidP="008A1A1C">
      <w:pPr>
        <w:rPr>
          <w:lang w:eastAsia="ja-JP"/>
        </w:rPr>
      </w:pPr>
      <w:r>
        <w:rPr>
          <w:lang w:eastAsia="ja-JP"/>
        </w:rPr>
        <w:t xml:space="preserve">In 2015, an estimated 212 million cases of malaria occurred worldwide. 90% of the cases were due to infection with Pf in the WHO African Region; 7% were in the South-East Asia Region and 2% were in the Eastern Mediterranean Region. The huge number of Pf cases in sub Saharan Africa means that only about 4% of cases globally are caused by </w:t>
      </w:r>
      <w:proofErr w:type="gramStart"/>
      <w:r>
        <w:rPr>
          <w:lang w:eastAsia="ja-JP"/>
        </w:rPr>
        <w:t>Pv</w:t>
      </w:r>
      <w:proofErr w:type="gramEnd"/>
      <w:r>
        <w:rPr>
          <w:lang w:eastAsia="ja-JP"/>
        </w:rPr>
        <w:t xml:space="preserve">, but outside the African continent the proportion of Pv increases to 41%. Of the total of 14,400,000 cases in the South-East Asia Region, 4,900,000 were due to </w:t>
      </w:r>
      <w:proofErr w:type="gramStart"/>
      <w:r>
        <w:rPr>
          <w:lang w:eastAsia="ja-JP"/>
        </w:rPr>
        <w:t>Pv</w:t>
      </w:r>
      <w:proofErr w:type="gramEnd"/>
      <w:r>
        <w:rPr>
          <w:lang w:eastAsia="ja-JP"/>
        </w:rPr>
        <w:t xml:space="preserve">. For the Eastern Mediterranean Region, total cases were 3,800,000 and </w:t>
      </w:r>
      <w:proofErr w:type="gramStart"/>
      <w:r>
        <w:rPr>
          <w:lang w:eastAsia="ja-JP"/>
        </w:rPr>
        <w:t>Pv</w:t>
      </w:r>
      <w:proofErr w:type="gramEnd"/>
      <w:r>
        <w:rPr>
          <w:lang w:eastAsia="ja-JP"/>
        </w:rPr>
        <w:t xml:space="preserve"> cases were 1,400,000. For the Americas, total cases were 800,000 with </w:t>
      </w:r>
      <w:proofErr w:type="gramStart"/>
      <w:r>
        <w:rPr>
          <w:lang w:eastAsia="ja-JP"/>
        </w:rPr>
        <w:t>Pv</w:t>
      </w:r>
      <w:proofErr w:type="gramEnd"/>
      <w:r>
        <w:rPr>
          <w:lang w:eastAsia="ja-JP"/>
        </w:rPr>
        <w:t xml:space="preserve"> comprising a majority (500,000).</w:t>
      </w:r>
    </w:p>
    <w:p w14:paraId="31C7DF58" w14:textId="01A4DA98" w:rsidR="008A1A1C" w:rsidRDefault="008A1A1C" w:rsidP="008A1A1C">
      <w:pPr>
        <w:rPr>
          <w:lang w:eastAsia="ja-JP"/>
        </w:rPr>
      </w:pPr>
      <w:r>
        <w:rPr>
          <w:lang w:eastAsia="ja-JP"/>
        </w:rPr>
        <w:t xml:space="preserve">In 2015, an estimated 429,000 deaths from malaria occurred. Most deaths were estimated to have occurred in the African Region (92%), followed by the South-East Asia Region (6%) and the Eastern Mediterranean Region (2%). Although almost all deaths (99%) resulted from Pf malaria in Africa, </w:t>
      </w:r>
      <w:proofErr w:type="gramStart"/>
      <w:r>
        <w:rPr>
          <w:lang w:eastAsia="ja-JP"/>
        </w:rPr>
        <w:t>Pv</w:t>
      </w:r>
      <w:proofErr w:type="gramEnd"/>
      <w:r>
        <w:rPr>
          <w:lang w:eastAsia="ja-JP"/>
        </w:rPr>
        <w:t xml:space="preserve"> is estimated to have been responsible for 3100 deaths with most (86%) occurring outside Africa</w:t>
      </w:r>
      <w:r w:rsidR="00C70F0A">
        <w:rPr>
          <w:lang w:eastAsia="ja-JP"/>
        </w:rPr>
        <w:t>.</w:t>
      </w:r>
      <w:r>
        <w:rPr>
          <w:vertAlign w:val="superscript"/>
          <w:lang w:eastAsia="ja-JP"/>
        </w:rPr>
        <w:t>1</w:t>
      </w:r>
    </w:p>
    <w:p w14:paraId="5BD009A9" w14:textId="77777777" w:rsidR="008A1A1C" w:rsidRDefault="008A1A1C" w:rsidP="00FB2482">
      <w:pPr>
        <w:pStyle w:val="Heading3"/>
      </w:pPr>
      <w:bookmarkStart w:id="32" w:name="_Toc501809125"/>
      <w:bookmarkStart w:id="33" w:name="_Toc504229352"/>
      <w:bookmarkStart w:id="34" w:name="_Toc12520265"/>
      <w:r>
        <w:t>Current treatment options</w:t>
      </w:r>
      <w:bookmarkEnd w:id="32"/>
      <w:bookmarkEnd w:id="33"/>
      <w:bookmarkEnd w:id="34"/>
    </w:p>
    <w:p w14:paraId="570F784D" w14:textId="77777777" w:rsidR="008A1A1C" w:rsidRDefault="008A1A1C" w:rsidP="008A1A1C">
      <w:pPr>
        <w:rPr>
          <w:lang w:eastAsia="ja-JP"/>
        </w:rPr>
      </w:pPr>
      <w:r>
        <w:rPr>
          <w:lang w:eastAsia="ja-JP"/>
        </w:rPr>
        <w:t>Malaria chemoprophylactic recommendations for regions where chloroquine-resistant Pf exists are atovaquone-proguanil, doxycycline and mefloquine. The duration of dosing after leaving the endemic region is based on whether the agent kills the initial liver stage of the parasite (a causal agent) in which case the duration is 7 days, or kills the subsequent blood stage of the parasite (a blood schizonticidal agent) in which case the duration is 28 days.</w:t>
      </w:r>
    </w:p>
    <w:p w14:paraId="07870EFF" w14:textId="2C62B071" w:rsidR="008A1A1C" w:rsidRDefault="008A1A1C" w:rsidP="008A1A1C">
      <w:pPr>
        <w:rPr>
          <w:lang w:eastAsia="ja-JP"/>
        </w:rPr>
      </w:pPr>
      <w:r>
        <w:rPr>
          <w:lang w:eastAsia="ja-JP"/>
        </w:rPr>
        <w:t>Atovaquone/proguanil (Malarone) prophylaxis should begin 1</w:t>
      </w:r>
      <w:r w:rsidR="00C70F0A">
        <w:rPr>
          <w:lang w:eastAsia="ja-JP"/>
        </w:rPr>
        <w:t xml:space="preserve"> to </w:t>
      </w:r>
      <w:r>
        <w:rPr>
          <w:lang w:eastAsia="ja-JP"/>
        </w:rPr>
        <w:t>2 days before travel to malarious areas and should be taken daily, at the same time each day, while in the malarious areas and, since this agent is causally-active, daily for 7 days after leaving the area</w:t>
      </w:r>
      <w:r w:rsidR="00122529">
        <w:rPr>
          <w:lang w:eastAsia="ja-JP"/>
        </w:rPr>
        <w:t>.</w:t>
      </w:r>
      <w:r>
        <w:rPr>
          <w:vertAlign w:val="superscript"/>
          <w:lang w:eastAsia="ja-JP"/>
        </w:rPr>
        <w:t>2</w:t>
      </w:r>
      <w:r>
        <w:rPr>
          <w:lang w:eastAsia="ja-JP"/>
        </w:rPr>
        <w:t xml:space="preserve"> Malarone prophylactic efficacy is approximately 98%. Adverse effects reported in persons using atovaquone/proguanil for prophylaxis or treatment </w:t>
      </w:r>
      <w:r w:rsidR="00F1528F">
        <w:rPr>
          <w:lang w:eastAsia="ja-JP"/>
        </w:rPr>
        <w:t>includes</w:t>
      </w:r>
      <w:r>
        <w:rPr>
          <w:lang w:eastAsia="ja-JP"/>
        </w:rPr>
        <w:t xml:space="preserve"> abdominal pain, nausea, vomiting, and headache.</w:t>
      </w:r>
    </w:p>
    <w:p w14:paraId="63570B20" w14:textId="205C9167" w:rsidR="008A1A1C" w:rsidRDefault="008A1A1C" w:rsidP="008A1A1C">
      <w:pPr>
        <w:rPr>
          <w:lang w:eastAsia="ja-JP"/>
        </w:rPr>
      </w:pPr>
      <w:r>
        <w:rPr>
          <w:lang w:eastAsia="ja-JP"/>
        </w:rPr>
        <w:t>Doxycycline prophylaxis should begin 1</w:t>
      </w:r>
      <w:r w:rsidR="00C70F0A">
        <w:rPr>
          <w:lang w:eastAsia="ja-JP"/>
        </w:rPr>
        <w:t xml:space="preserve"> to </w:t>
      </w:r>
      <w:r>
        <w:rPr>
          <w:lang w:eastAsia="ja-JP"/>
        </w:rPr>
        <w:t>2 days before travel to malarious areas. It should be continued once a day, at the same time each day, during travel in malarious areas and daily for 4</w:t>
      </w:r>
      <w:r w:rsidR="00C70F0A">
        <w:rPr>
          <w:lang w:eastAsia="ja-JP"/>
        </w:rPr>
        <w:t> </w:t>
      </w:r>
      <w:r>
        <w:rPr>
          <w:lang w:eastAsia="ja-JP"/>
        </w:rPr>
        <w:t>weeks after the traveller leaves such areas. Efficacy is thought to be between 92</w:t>
      </w:r>
      <w:r w:rsidR="00C70F0A">
        <w:rPr>
          <w:lang w:eastAsia="ja-JP"/>
        </w:rPr>
        <w:t xml:space="preserve"> to </w:t>
      </w:r>
      <w:r w:rsidRPr="008D769C">
        <w:rPr>
          <w:lang w:eastAsia="ja-JP"/>
        </w:rPr>
        <w:t>96%</w:t>
      </w:r>
      <w:proofErr w:type="gramStart"/>
      <w:r w:rsidR="00122529">
        <w:rPr>
          <w:lang w:eastAsia="ja-JP"/>
        </w:rPr>
        <w:t>.</w:t>
      </w:r>
      <w:r w:rsidRPr="008D769C">
        <w:rPr>
          <w:vertAlign w:val="superscript"/>
          <w:lang w:eastAsia="ja-JP"/>
        </w:rPr>
        <w:t>3</w:t>
      </w:r>
      <w:r>
        <w:rPr>
          <w:lang w:eastAsia="ja-JP"/>
        </w:rPr>
        <w:t xml:space="preserve"> Doxycycline</w:t>
      </w:r>
      <w:proofErr w:type="gramEnd"/>
      <w:r>
        <w:rPr>
          <w:lang w:eastAsia="ja-JP"/>
        </w:rPr>
        <w:t xml:space="preserve"> frequently causes mild-moderate nausea, vomiting, abdominal pain, photosensitivity, and vaginitis; and uncommonly can cause the severe reactions of esophagitis and oesophageal ulceration.</w:t>
      </w:r>
    </w:p>
    <w:p w14:paraId="1D52B733" w14:textId="13E2EB30" w:rsidR="00F1528F" w:rsidRDefault="008A1A1C" w:rsidP="008A1A1C">
      <w:pPr>
        <w:rPr>
          <w:lang w:eastAsia="ja-JP"/>
        </w:rPr>
      </w:pPr>
      <w:r>
        <w:rPr>
          <w:lang w:eastAsia="ja-JP"/>
        </w:rPr>
        <w:t>Mefloquine prophylaxis should begin 1</w:t>
      </w:r>
      <w:r w:rsidR="00C70F0A">
        <w:rPr>
          <w:lang w:eastAsia="ja-JP"/>
        </w:rPr>
        <w:t xml:space="preserve"> to </w:t>
      </w:r>
      <w:r>
        <w:rPr>
          <w:lang w:eastAsia="ja-JP"/>
        </w:rPr>
        <w:t>2 weeks before travel to malarious areas. It should be continued once a week, on the same day of the week, during travel in malarious areas and for 4</w:t>
      </w:r>
      <w:r w:rsidR="00C70F0A">
        <w:rPr>
          <w:lang w:eastAsia="ja-JP"/>
        </w:rPr>
        <w:t> </w:t>
      </w:r>
      <w:r>
        <w:rPr>
          <w:lang w:eastAsia="ja-JP"/>
        </w:rPr>
        <w:t>weeks after a traveller leaves such areas. Mefloquine prophylactic efficacy is approximately the same as that of Malarone. Mefloquine resistance, where present, will diminish that efficacy rate. Mefloquine has been associated with rare serious adverse reactions (</w:t>
      </w:r>
      <w:r w:rsidR="00F1528F">
        <w:rPr>
          <w:lang w:eastAsia="ja-JP"/>
        </w:rPr>
        <w:t>for example,</w:t>
      </w:r>
      <w:r>
        <w:rPr>
          <w:lang w:eastAsia="ja-JP"/>
        </w:rPr>
        <w:t xml:space="preserve"> psychoses or seizures) at prophylactic doses; these reactions are more frequent with the higher doses used for treatment. Other side effects that have occurred in chemoprophylaxis studies include gastrointestinal disturbance, headache, insomnia, abnormal dreams, visual disturbances, depression, anxiety disorder, and dizziness. Other more severe neuropsychiatric disorders occasionally reported during post marketing surveillance include sensory and motor neuropathies (including paraesthesia, tremor, and ataxia), agitation or restlessness, mood changes, panic attacks, forgetfulness, confusion, hallucinations, aggression, paranoia, and encephalopathy. Psychiatric symptoms have been reported to continue long after mefloquine has been stopped. Mefloquine is contraindicated for use by travellers with a known hypersensitivity to mefloquine or related compounds (</w:t>
      </w:r>
      <w:r w:rsidR="00F1528F">
        <w:rPr>
          <w:lang w:eastAsia="ja-JP"/>
        </w:rPr>
        <w:t xml:space="preserve">for example, </w:t>
      </w:r>
      <w:r>
        <w:rPr>
          <w:lang w:eastAsia="ja-JP"/>
        </w:rPr>
        <w:t xml:space="preserve">quinine and quinidine) and in persons with active or a history of major psychiatric disorders, or seizures. It should be used </w:t>
      </w:r>
      <w:r>
        <w:rPr>
          <w:lang w:eastAsia="ja-JP"/>
        </w:rPr>
        <w:lastRenderedPageBreak/>
        <w:t>with caution in persons with psychiatric disturbances or a previous history of depression. Mefloquine is not recommended for persons with cardiac conduction abnormalities.</w:t>
      </w:r>
    </w:p>
    <w:p w14:paraId="094ADA93" w14:textId="71871D2F" w:rsidR="008A1A1C" w:rsidRDefault="008A1A1C" w:rsidP="008A1A1C">
      <w:pPr>
        <w:rPr>
          <w:lang w:eastAsia="ja-JP"/>
        </w:rPr>
      </w:pPr>
      <w:r>
        <w:rPr>
          <w:lang w:eastAsia="ja-JP"/>
        </w:rPr>
        <w:t>These drugs are all registered and available in Australia for malaria prophylaxis.</w:t>
      </w:r>
    </w:p>
    <w:p w14:paraId="17AFF1FA" w14:textId="77777777" w:rsidR="008A1A1C" w:rsidRDefault="008A1A1C" w:rsidP="00FB2482">
      <w:pPr>
        <w:pStyle w:val="Heading3"/>
      </w:pPr>
      <w:bookmarkStart w:id="35" w:name="_Toc501809126"/>
      <w:bookmarkStart w:id="36" w:name="_Toc504229353"/>
      <w:bookmarkStart w:id="37" w:name="_Toc12520266"/>
      <w:r>
        <w:t>Clinical rationale</w:t>
      </w:r>
      <w:bookmarkEnd w:id="35"/>
      <w:bookmarkEnd w:id="36"/>
      <w:bookmarkEnd w:id="37"/>
    </w:p>
    <w:p w14:paraId="53E2BC9D" w14:textId="77777777" w:rsidR="008A1A1C" w:rsidRDefault="008A1A1C" w:rsidP="008A1A1C">
      <w:pPr>
        <w:rPr>
          <w:lang w:eastAsia="ja-JP"/>
        </w:rPr>
      </w:pPr>
      <w:r>
        <w:rPr>
          <w:lang w:eastAsia="ja-JP"/>
        </w:rPr>
        <w:t>The wide range of side effects with both doxycycline and mefloquine, as well adherence to dosing regimens and prescribed chemoprophylaxis after leaving the country of exposure, are the major issues with these drugs being used effectively. Daily administration of drugs is a problem in relation to compliance (doxycycline and malarone). There is better adherence with weekly regimens (such as mefloquine), but the neuropsychiatric adverse effects of mefloquine have drastically curtained its use as a chemoprophylactic agent.</w:t>
      </w:r>
    </w:p>
    <w:p w14:paraId="3C6AC71A" w14:textId="77777777" w:rsidR="00F1528F" w:rsidRDefault="008A1A1C" w:rsidP="008A1A1C">
      <w:pPr>
        <w:rPr>
          <w:lang w:eastAsia="ja-JP"/>
        </w:rPr>
      </w:pPr>
      <w:r>
        <w:rPr>
          <w:lang w:eastAsia="ja-JP"/>
        </w:rPr>
        <w:t>The unmet medical need for malaria chemoprophylaxis while in endemic regions is an effective, weekly drug without the neuropsychiatric adverse reactions of mefloquine.</w:t>
      </w:r>
    </w:p>
    <w:p w14:paraId="6764F1C8" w14:textId="206B50AB" w:rsidR="008A1A1C" w:rsidRDefault="008A1A1C" w:rsidP="008A1A1C">
      <w:pPr>
        <w:rPr>
          <w:lang w:eastAsia="ja-JP"/>
        </w:rPr>
      </w:pPr>
      <w:r>
        <w:rPr>
          <w:lang w:eastAsia="ja-JP"/>
        </w:rPr>
        <w:t>In relation to post-exposure prophylaxis to kill Pv dormant forms (thus preventing relapse) the unmet medical need is a 1</w:t>
      </w:r>
      <w:r w:rsidR="00F1528F">
        <w:rPr>
          <w:lang w:eastAsia="ja-JP"/>
        </w:rPr>
        <w:t xml:space="preserve"> </w:t>
      </w:r>
      <w:r>
        <w:rPr>
          <w:lang w:eastAsia="ja-JP"/>
        </w:rPr>
        <w:t xml:space="preserve">dose regimen that will be inherently superior to 7 daily doses of Malarone, 4 weekly doses of Mefloquine, and either of those regimens combined with 14 daily doses of </w:t>
      </w:r>
      <w:r w:rsidR="00122529">
        <w:rPr>
          <w:lang w:eastAsia="ja-JP"/>
        </w:rPr>
        <w:t>p</w:t>
      </w:r>
      <w:r>
        <w:rPr>
          <w:lang w:eastAsia="ja-JP"/>
        </w:rPr>
        <w:t>rimaquine. Po malaria can also relapse, but is rarely seen in Australia.</w:t>
      </w:r>
    </w:p>
    <w:p w14:paraId="269C6E7C" w14:textId="77777777" w:rsidR="008A1A1C" w:rsidRDefault="008A1A1C" w:rsidP="00FB2482">
      <w:pPr>
        <w:pStyle w:val="Heading3"/>
      </w:pPr>
      <w:bookmarkStart w:id="38" w:name="_Toc501809129"/>
      <w:bookmarkStart w:id="39" w:name="_Toc504229356"/>
      <w:bookmarkStart w:id="40" w:name="_Toc12520267"/>
      <w:r>
        <w:t>Guidance</w:t>
      </w:r>
      <w:bookmarkEnd w:id="38"/>
      <w:bookmarkEnd w:id="39"/>
      <w:bookmarkEnd w:id="40"/>
    </w:p>
    <w:p w14:paraId="5A4742F1" w14:textId="77777777" w:rsidR="008A1A1C" w:rsidRDefault="008A1A1C" w:rsidP="008A1A1C">
      <w:pPr>
        <w:rPr>
          <w:lang w:eastAsia="ja-JP"/>
        </w:rPr>
      </w:pPr>
      <w:r>
        <w:rPr>
          <w:lang w:eastAsia="ja-JP"/>
        </w:rPr>
        <w:t>The major guidance comes from the FDA draft guidance on development of prophylactic antimalarial drugs</w:t>
      </w:r>
      <w:r>
        <w:rPr>
          <w:vertAlign w:val="superscript"/>
          <w:lang w:eastAsia="ja-JP"/>
        </w:rPr>
        <w:t>4</w:t>
      </w:r>
      <w:r>
        <w:rPr>
          <w:lang w:eastAsia="ja-JP"/>
        </w:rPr>
        <w:t xml:space="preserve"> lists all of the following possible study designs. There are 3 alternatives for a pivotal trial, each with advantages and disadvantages:</w:t>
      </w:r>
    </w:p>
    <w:p w14:paraId="7AE004B8" w14:textId="77777777" w:rsidR="00F1528F" w:rsidRDefault="008A1A1C" w:rsidP="00F1528F">
      <w:pPr>
        <w:pStyle w:val="Numberbullet0"/>
        <w:rPr>
          <w:lang w:eastAsia="ja-JP"/>
        </w:rPr>
      </w:pPr>
      <w:r>
        <w:rPr>
          <w:lang w:eastAsia="ja-JP"/>
        </w:rPr>
        <w:t>A comparator</w:t>
      </w:r>
      <w:r w:rsidR="00F1528F">
        <w:rPr>
          <w:lang w:eastAsia="ja-JP"/>
        </w:rPr>
        <w:t xml:space="preserve"> controlled</w:t>
      </w:r>
      <w:r>
        <w:rPr>
          <w:lang w:eastAsia="ja-JP"/>
        </w:rPr>
        <w:t xml:space="preserve"> study can be performed in non-immunes. Historic placebo infection rates can be used to address this difficulty, and are required for a non-inferiority analysis of the study.</w:t>
      </w:r>
    </w:p>
    <w:p w14:paraId="7F21F9A1" w14:textId="77777777" w:rsidR="00F1528F" w:rsidRDefault="008A1A1C" w:rsidP="00F1528F">
      <w:pPr>
        <w:pStyle w:val="Numberbullet0"/>
        <w:rPr>
          <w:lang w:eastAsia="ja-JP"/>
        </w:rPr>
      </w:pPr>
      <w:r>
        <w:rPr>
          <w:lang w:eastAsia="ja-JP"/>
        </w:rPr>
        <w:t>A placebo</w:t>
      </w:r>
      <w:r w:rsidR="00F1528F">
        <w:rPr>
          <w:lang w:eastAsia="ja-JP"/>
        </w:rPr>
        <w:t xml:space="preserve"> controlled</w:t>
      </w:r>
      <w:r>
        <w:rPr>
          <w:lang w:eastAsia="ja-JP"/>
        </w:rPr>
        <w:t xml:space="preserve"> study can be performed in a semi-immune population who, through repeated prior exposure to parasites, will tolerate infection well during the study. However, interpretation of the study data is difficult because of the unknown contribution of immunity to drug effect.</w:t>
      </w:r>
    </w:p>
    <w:p w14:paraId="5572A02E" w14:textId="77777777" w:rsidR="008A1A1C" w:rsidRDefault="008A1A1C" w:rsidP="00F1528F">
      <w:pPr>
        <w:pStyle w:val="Numberbullet0"/>
        <w:rPr>
          <w:lang w:eastAsia="ja-JP"/>
        </w:rPr>
      </w:pPr>
      <w:r>
        <w:rPr>
          <w:lang w:eastAsia="ja-JP"/>
        </w:rPr>
        <w:t>A placebo</w:t>
      </w:r>
      <w:r w:rsidR="00F1528F">
        <w:rPr>
          <w:lang w:eastAsia="ja-JP"/>
        </w:rPr>
        <w:t xml:space="preserve"> controlled</w:t>
      </w:r>
      <w:r>
        <w:rPr>
          <w:lang w:eastAsia="ja-JP"/>
        </w:rPr>
        <w:t xml:space="preserve"> study in non-immunes can be performed in the malaria challenge model in a clinical laboratory where subject safety is tightly monitored but the precise relevance of this model to parasite challenge in the real world is uncertain but protective efficacy can be shown.</w:t>
      </w:r>
    </w:p>
    <w:p w14:paraId="2977E6F2" w14:textId="77777777" w:rsidR="00F1528F" w:rsidRDefault="008A1A1C" w:rsidP="008A1A1C">
      <w:pPr>
        <w:rPr>
          <w:lang w:eastAsia="ja-JP"/>
        </w:rPr>
      </w:pPr>
      <w:r>
        <w:rPr>
          <w:lang w:eastAsia="ja-JP"/>
        </w:rPr>
        <w:t>It further states that prophylaxis applications can be significantly strengthened by studies involving trea</w:t>
      </w:r>
      <w:r w:rsidR="00F1528F">
        <w:rPr>
          <w:lang w:eastAsia="ja-JP"/>
        </w:rPr>
        <w:t>tment of established infection.</w:t>
      </w:r>
    </w:p>
    <w:p w14:paraId="77E38A68" w14:textId="77777777" w:rsidR="008A1A1C" w:rsidRDefault="00F1528F" w:rsidP="008A1A1C">
      <w:pPr>
        <w:rPr>
          <w:vertAlign w:val="superscript"/>
        </w:rPr>
      </w:pPr>
      <w:r>
        <w:rPr>
          <w:lang w:eastAsia="ja-JP"/>
        </w:rPr>
        <w:t>T</w:t>
      </w:r>
      <w:r w:rsidR="008A1A1C">
        <w:rPr>
          <w:lang w:eastAsia="ja-JP"/>
        </w:rPr>
        <w:t>he submission includes the comparator</w:t>
      </w:r>
      <w:r>
        <w:rPr>
          <w:lang w:eastAsia="ja-JP"/>
        </w:rPr>
        <w:t xml:space="preserve"> </w:t>
      </w:r>
      <w:r w:rsidR="008A1A1C">
        <w:rPr>
          <w:lang w:eastAsia="ja-JP"/>
        </w:rPr>
        <w:t>controlled pivotal Study 033 (on military personnel stationed in</w:t>
      </w:r>
      <w:r>
        <w:rPr>
          <w:lang w:eastAsia="ja-JP"/>
        </w:rPr>
        <w:t xml:space="preserve"> Timor), supported by a placebo </w:t>
      </w:r>
      <w:r w:rsidR="008A1A1C">
        <w:rPr>
          <w:lang w:eastAsia="ja-JP"/>
        </w:rPr>
        <w:t>controlled prophylaxis study in semi-immunes in East Africa Study 045), and by a placebo</w:t>
      </w:r>
      <w:r>
        <w:rPr>
          <w:lang w:eastAsia="ja-JP"/>
        </w:rPr>
        <w:t xml:space="preserve"> controlled</w:t>
      </w:r>
      <w:r w:rsidR="008A1A1C">
        <w:rPr>
          <w:lang w:eastAsia="ja-JP"/>
        </w:rPr>
        <w:t xml:space="preserve"> prophylactic study in non-immunes in a human challenge model (</w:t>
      </w:r>
      <w:r>
        <w:rPr>
          <w:lang w:eastAsia="ja-JP"/>
        </w:rPr>
        <w:t xml:space="preserve">Study </w:t>
      </w:r>
      <w:r w:rsidR="008A1A1C">
        <w:rPr>
          <w:lang w:eastAsia="ja-JP"/>
        </w:rPr>
        <w:t>TQ-2016-02).</w:t>
      </w:r>
    </w:p>
    <w:p w14:paraId="6F41B655" w14:textId="2B3FEF28" w:rsidR="00F1528F" w:rsidRDefault="008A1A1C" w:rsidP="008A1A1C">
      <w:pPr>
        <w:pStyle w:val="C-BodyText"/>
        <w:rPr>
          <w:rFonts w:asciiTheme="minorHAnsi" w:hAnsiTheme="minorHAnsi"/>
        </w:rPr>
      </w:pPr>
      <w:r>
        <w:rPr>
          <w:rFonts w:asciiTheme="minorHAnsi" w:hAnsiTheme="minorHAnsi"/>
        </w:rPr>
        <w:t>The primary efficacy endpoints and primary efficacy analytic endpoints are based the cumulative incidence of parasitemia, with incidence density (parasitology per unit time) being used for secondary analyses, in conformity with the FDA Guidance document.</w:t>
      </w:r>
    </w:p>
    <w:p w14:paraId="46FCD324" w14:textId="77777777" w:rsidR="008A1A1C" w:rsidRDefault="008A1A1C" w:rsidP="00FB2482">
      <w:pPr>
        <w:pStyle w:val="Heading3"/>
      </w:pPr>
      <w:bookmarkStart w:id="41" w:name="_Toc444102334"/>
      <w:bookmarkStart w:id="42" w:name="_Toc12520268"/>
      <w:r>
        <w:lastRenderedPageBreak/>
        <w:t xml:space="preserve">Evaluator’s </w:t>
      </w:r>
      <w:r w:rsidRPr="00F1528F">
        <w:t>commentary</w:t>
      </w:r>
      <w:r>
        <w:t xml:space="preserve"> on the background information</w:t>
      </w:r>
      <w:bookmarkEnd w:id="41"/>
      <w:bookmarkEnd w:id="42"/>
    </w:p>
    <w:p w14:paraId="6C3CD415" w14:textId="77777777" w:rsidR="008A1A1C" w:rsidRDefault="008A1A1C" w:rsidP="00774249">
      <w:r>
        <w:t xml:space="preserve">The background information is adequate. The rationale for needing a prophylaxis medication that can be taken weekly and is free of neuropsychiatric side effects is good. The information about the global impact of malaria and the available prophylaxis in Australia is accurate. It would be relevant for </w:t>
      </w:r>
      <w:r w:rsidR="00774249">
        <w:t>the sponsor</w:t>
      </w:r>
      <w:r>
        <w:t xml:space="preserve"> to provide information about the annual incidence of malaria in Austra</w:t>
      </w:r>
      <w:r w:rsidR="00774249">
        <w:t>lia</w:t>
      </w:r>
      <w:r>
        <w:t>.</w:t>
      </w:r>
    </w:p>
    <w:p w14:paraId="74A118D2" w14:textId="77777777" w:rsidR="008A1A1C" w:rsidRDefault="008A1A1C" w:rsidP="00E730B4">
      <w:pPr>
        <w:pStyle w:val="Heading2"/>
        <w:numPr>
          <w:ilvl w:val="0"/>
          <w:numId w:val="7"/>
        </w:numPr>
        <w:rPr>
          <w:lang w:eastAsia="en-AU"/>
        </w:rPr>
      </w:pPr>
      <w:bookmarkStart w:id="43" w:name="_Toc501809130"/>
      <w:bookmarkStart w:id="44" w:name="_Toc504229357"/>
      <w:bookmarkStart w:id="45" w:name="_Toc12520269"/>
      <w:r>
        <w:rPr>
          <w:lang w:eastAsia="en-AU"/>
        </w:rPr>
        <w:t>Contents of the clinical dossier</w:t>
      </w:r>
      <w:bookmarkEnd w:id="43"/>
      <w:bookmarkEnd w:id="44"/>
      <w:bookmarkEnd w:id="45"/>
    </w:p>
    <w:p w14:paraId="63421F68" w14:textId="77777777" w:rsidR="008A1A1C" w:rsidRDefault="008A1A1C" w:rsidP="00FB2482">
      <w:pPr>
        <w:pStyle w:val="Heading3"/>
      </w:pPr>
      <w:bookmarkStart w:id="46" w:name="_Toc501809131"/>
      <w:bookmarkStart w:id="47" w:name="_Toc504229358"/>
      <w:bookmarkStart w:id="48" w:name="_Toc12520270"/>
      <w:r>
        <w:t>Scope of the clinical dossier</w:t>
      </w:r>
      <w:bookmarkEnd w:id="46"/>
      <w:bookmarkEnd w:id="47"/>
      <w:bookmarkEnd w:id="48"/>
    </w:p>
    <w:p w14:paraId="7ABBC101" w14:textId="77777777" w:rsidR="00F1528F" w:rsidRDefault="008A1A1C" w:rsidP="008A1A1C">
      <w:r>
        <w:t>The dossier documented a development program of pharmacology, dose</w:t>
      </w:r>
      <w:r w:rsidR="00F1528F">
        <w:t xml:space="preserve"> </w:t>
      </w:r>
      <w:r>
        <w:t>finding, pivotal and other clinical trials.</w:t>
      </w:r>
    </w:p>
    <w:p w14:paraId="0FE8369B" w14:textId="0147CED2" w:rsidR="008A1A1C" w:rsidRPr="00B75BFB" w:rsidRDefault="008A1A1C" w:rsidP="008A1A1C">
      <w:pPr>
        <w:rPr>
          <w:lang w:eastAsia="ja-JP"/>
        </w:rPr>
      </w:pPr>
      <w:r>
        <w:rPr>
          <w:lang w:eastAsia="ja-JP"/>
        </w:rPr>
        <w:t xml:space="preserve">Included in this dossier is data from 22 clinical trials, including eight </w:t>
      </w:r>
      <w:r w:rsidR="00F1528F">
        <w:rPr>
          <w:lang w:eastAsia="ja-JP"/>
        </w:rPr>
        <w:t>Phase I</w:t>
      </w:r>
      <w:r>
        <w:rPr>
          <w:lang w:eastAsia="ja-JP"/>
        </w:rPr>
        <w:t xml:space="preserve"> pharmacokinetics (PK) and safety studies in healthy volunteers; 2 </w:t>
      </w:r>
      <w:r w:rsidR="00F1528F">
        <w:rPr>
          <w:lang w:eastAsia="ja-JP"/>
        </w:rPr>
        <w:t>Phase I</w:t>
      </w:r>
      <w:r>
        <w:rPr>
          <w:lang w:eastAsia="ja-JP"/>
        </w:rPr>
        <w:t xml:space="preserve"> drug-drug interaction studies in healthy volunteers; 3 </w:t>
      </w:r>
      <w:r w:rsidR="00F1528F">
        <w:rPr>
          <w:lang w:eastAsia="ja-JP"/>
        </w:rPr>
        <w:t>Phase I</w:t>
      </w:r>
      <w:r>
        <w:rPr>
          <w:lang w:eastAsia="ja-JP"/>
        </w:rPr>
        <w:t xml:space="preserve"> malaria challenge studies; 7 </w:t>
      </w:r>
      <w:r w:rsidR="00F1528F">
        <w:rPr>
          <w:lang w:eastAsia="ja-JP"/>
        </w:rPr>
        <w:t>Phase II</w:t>
      </w:r>
      <w:r w:rsidR="00574F13">
        <w:rPr>
          <w:lang w:eastAsia="ja-JP"/>
        </w:rPr>
        <w:t>/</w:t>
      </w:r>
      <w:r w:rsidR="00F1528F">
        <w:rPr>
          <w:lang w:eastAsia="ja-JP"/>
        </w:rPr>
        <w:t>III</w:t>
      </w:r>
      <w:r>
        <w:rPr>
          <w:lang w:eastAsia="ja-JP"/>
        </w:rPr>
        <w:t xml:space="preserve"> studies for malaria prophylaxis and 2 </w:t>
      </w:r>
      <w:r w:rsidR="00F1528F">
        <w:rPr>
          <w:lang w:eastAsia="ja-JP"/>
        </w:rPr>
        <w:t>Phase II</w:t>
      </w:r>
      <w:r>
        <w:rPr>
          <w:lang w:eastAsia="ja-JP"/>
        </w:rPr>
        <w:t xml:space="preserve"> studies for the treatment of Pv malaria</w:t>
      </w:r>
      <w:r w:rsidRPr="00B75BFB">
        <w:rPr>
          <w:lang w:eastAsia="ja-JP"/>
        </w:rPr>
        <w:t>. These are summarised by phase in Tables</w:t>
      </w:r>
      <w:r w:rsidR="00574F13">
        <w:rPr>
          <w:lang w:eastAsia="ja-JP"/>
        </w:rPr>
        <w:t> </w:t>
      </w:r>
      <w:r w:rsidR="008D769C" w:rsidRPr="00B75BFB">
        <w:rPr>
          <w:lang w:eastAsia="ja-JP"/>
        </w:rPr>
        <w:t>1</w:t>
      </w:r>
      <w:r w:rsidR="00574F13">
        <w:rPr>
          <w:lang w:eastAsia="ja-JP"/>
        </w:rPr>
        <w:t xml:space="preserve"> </w:t>
      </w:r>
      <w:proofErr w:type="gramStart"/>
      <w:r w:rsidR="00574F13">
        <w:rPr>
          <w:lang w:eastAsia="ja-JP"/>
        </w:rPr>
        <w:t>to  </w:t>
      </w:r>
      <w:r w:rsidR="008D769C" w:rsidRPr="00B75BFB">
        <w:rPr>
          <w:lang w:eastAsia="ja-JP"/>
        </w:rPr>
        <w:t>3</w:t>
      </w:r>
      <w:proofErr w:type="gramEnd"/>
      <w:r w:rsidRPr="00B75BFB">
        <w:rPr>
          <w:lang w:eastAsia="ja-JP"/>
        </w:rPr>
        <w:t xml:space="preserve"> (</w:t>
      </w:r>
      <w:r w:rsidR="00F1528F" w:rsidRPr="00B75BFB">
        <w:rPr>
          <w:lang w:eastAsia="ja-JP"/>
        </w:rPr>
        <w:t>Phase I</w:t>
      </w:r>
      <w:r w:rsidRPr="00B75BFB">
        <w:rPr>
          <w:lang w:eastAsia="ja-JP"/>
        </w:rPr>
        <w:t xml:space="preserve">) and </w:t>
      </w:r>
      <w:r w:rsidR="00F1528F" w:rsidRPr="00B75BFB">
        <w:rPr>
          <w:lang w:eastAsia="ja-JP"/>
        </w:rPr>
        <w:t>Phase II</w:t>
      </w:r>
      <w:r w:rsidR="00574F13">
        <w:rPr>
          <w:lang w:eastAsia="ja-JP"/>
        </w:rPr>
        <w:t>/III</w:t>
      </w:r>
      <w:r w:rsidRPr="00B75BFB">
        <w:rPr>
          <w:lang w:eastAsia="ja-JP"/>
        </w:rPr>
        <w:t xml:space="preserve"> (Table </w:t>
      </w:r>
      <w:r w:rsidR="008D769C" w:rsidRPr="00B75BFB">
        <w:rPr>
          <w:lang w:eastAsia="ja-JP"/>
        </w:rPr>
        <w:t>4</w:t>
      </w:r>
      <w:r w:rsidR="00574F13">
        <w:rPr>
          <w:lang w:eastAsia="ja-JP"/>
        </w:rPr>
        <w:t xml:space="preserve"> and </w:t>
      </w:r>
      <w:r w:rsidR="008D769C" w:rsidRPr="00B75BFB">
        <w:rPr>
          <w:lang w:eastAsia="ja-JP"/>
        </w:rPr>
        <w:t>5</w:t>
      </w:r>
      <w:r w:rsidRPr="00B75BFB">
        <w:rPr>
          <w:lang w:eastAsia="ja-JP"/>
        </w:rPr>
        <w:t xml:space="preserve">) along with the publications references. </w:t>
      </w:r>
      <w:r w:rsidR="00A22DF6" w:rsidRPr="00B75BFB">
        <w:rPr>
          <w:lang w:eastAsia="ja-JP"/>
        </w:rPr>
        <w:t xml:space="preserve">Table </w:t>
      </w:r>
      <w:r w:rsidR="008D769C" w:rsidRPr="00B75BFB">
        <w:rPr>
          <w:lang w:eastAsia="ja-JP"/>
        </w:rPr>
        <w:t>6</w:t>
      </w:r>
      <w:r w:rsidR="00A22DF6" w:rsidRPr="00B75BFB">
        <w:rPr>
          <w:lang w:eastAsia="ja-JP"/>
        </w:rPr>
        <w:t xml:space="preserve"> </w:t>
      </w:r>
      <w:r w:rsidRPr="00B75BFB">
        <w:rPr>
          <w:lang w:eastAsia="ja-JP"/>
        </w:rPr>
        <w:t>summarises the submitted studies and designs, specifies the numbers in the cohorts and contains PK summary data.</w:t>
      </w:r>
    </w:p>
    <w:p w14:paraId="5A8399DF" w14:textId="77777777" w:rsidR="00F1528F" w:rsidRDefault="008A1A1C" w:rsidP="008A1A1C">
      <w:pPr>
        <w:rPr>
          <w:lang w:eastAsia="ja-JP"/>
        </w:rPr>
      </w:pPr>
      <w:r w:rsidRPr="00B75BFB">
        <w:rPr>
          <w:lang w:eastAsia="ja-JP"/>
        </w:rPr>
        <w:t xml:space="preserve">The </w:t>
      </w:r>
      <w:r w:rsidR="00F1528F" w:rsidRPr="00B75BFB">
        <w:rPr>
          <w:lang w:eastAsia="ja-JP"/>
        </w:rPr>
        <w:t>P</w:t>
      </w:r>
      <w:r w:rsidRPr="00B75BFB">
        <w:rPr>
          <w:lang w:eastAsia="ja-JP"/>
        </w:rPr>
        <w:t xml:space="preserve">hase </w:t>
      </w:r>
      <w:r w:rsidR="00F1528F" w:rsidRPr="00B75BFB">
        <w:rPr>
          <w:lang w:eastAsia="ja-JP"/>
        </w:rPr>
        <w:t>II</w:t>
      </w:r>
      <w:r w:rsidRPr="00B75BFB">
        <w:rPr>
          <w:lang w:eastAsia="ja-JP"/>
        </w:rPr>
        <w:t xml:space="preserve"> studies that support the key trials listed above</w:t>
      </w:r>
      <w:r>
        <w:rPr>
          <w:lang w:eastAsia="ja-JP"/>
        </w:rPr>
        <w:t xml:space="preserve"> consist of the following:</w:t>
      </w:r>
    </w:p>
    <w:p w14:paraId="05B2D762" w14:textId="77777777" w:rsidR="008A1A1C" w:rsidRDefault="008A1A1C" w:rsidP="00AC517F">
      <w:pPr>
        <w:pStyle w:val="ListBullet"/>
        <w:rPr>
          <w:lang w:eastAsia="ja-JP"/>
        </w:rPr>
      </w:pPr>
      <w:r>
        <w:rPr>
          <w:lang w:eastAsia="ja-JP"/>
        </w:rPr>
        <w:t>Studies 053 and 054: Prophylactic efficacy of single</w:t>
      </w:r>
      <w:r w:rsidR="009720A8">
        <w:rPr>
          <w:lang w:eastAsia="ja-JP"/>
        </w:rPr>
        <w:t xml:space="preserve"> dose</w:t>
      </w:r>
      <w:r>
        <w:rPr>
          <w:lang w:eastAsia="ja-JP"/>
        </w:rPr>
        <w:t xml:space="preserve"> (Study 053) and early multiple</w:t>
      </w:r>
      <w:r w:rsidR="009720A8">
        <w:rPr>
          <w:lang w:eastAsia="ja-JP"/>
        </w:rPr>
        <w:t xml:space="preserve"> dose</w:t>
      </w:r>
      <w:r>
        <w:rPr>
          <w:lang w:eastAsia="ja-JP"/>
        </w:rPr>
        <w:t xml:space="preserve"> (Study 054) tafenoquine regimens in the human Pf challenge model.</w:t>
      </w:r>
    </w:p>
    <w:p w14:paraId="38FD7623" w14:textId="77777777" w:rsidR="008A1A1C" w:rsidRDefault="008A1A1C" w:rsidP="00AC517F">
      <w:pPr>
        <w:pStyle w:val="ListBullet"/>
        <w:rPr>
          <w:lang w:eastAsia="ja-JP"/>
        </w:rPr>
      </w:pPr>
      <w:r>
        <w:rPr>
          <w:lang w:eastAsia="ja-JP"/>
        </w:rPr>
        <w:t>Study 006: Different loading doses for semi-immunes in Africa.</w:t>
      </w:r>
    </w:p>
    <w:p w14:paraId="6EA9E4A5" w14:textId="77777777" w:rsidR="008A1A1C" w:rsidRDefault="008A1A1C" w:rsidP="00AC517F">
      <w:pPr>
        <w:pStyle w:val="ListBullet"/>
        <w:rPr>
          <w:lang w:eastAsia="ja-JP"/>
        </w:rPr>
      </w:pPr>
      <w:r>
        <w:rPr>
          <w:lang w:eastAsia="ja-JP"/>
        </w:rPr>
        <w:t>Study 043: Different loading doses and ‘full prophylactic regimens’ (loading dose followed by weekly or monthly dosing) for semi-immunes in Africa.</w:t>
      </w:r>
    </w:p>
    <w:p w14:paraId="06B5762C" w14:textId="77777777" w:rsidR="008A1A1C" w:rsidRDefault="008A1A1C" w:rsidP="00AC517F">
      <w:pPr>
        <w:pStyle w:val="ListBullet"/>
        <w:rPr>
          <w:lang w:eastAsia="ja-JP"/>
        </w:rPr>
      </w:pPr>
      <w:r>
        <w:rPr>
          <w:lang w:eastAsia="ja-JP"/>
        </w:rPr>
        <w:t xml:space="preserve">Study 044: ‘Full prophylactic regimen’ with a higher dose than the final clinical dose for non-immunes in </w:t>
      </w:r>
      <w:r w:rsidR="00D540EE">
        <w:rPr>
          <w:lang w:eastAsia="ja-JP"/>
        </w:rPr>
        <w:t>South East</w:t>
      </w:r>
      <w:r>
        <w:rPr>
          <w:lang w:eastAsia="ja-JP"/>
        </w:rPr>
        <w:t xml:space="preserve"> Asia (Thailand)</w:t>
      </w:r>
    </w:p>
    <w:p w14:paraId="7A831C92" w14:textId="77777777" w:rsidR="008A1A1C" w:rsidRDefault="008A1A1C" w:rsidP="00AC517F">
      <w:pPr>
        <w:pStyle w:val="ListBullet"/>
        <w:rPr>
          <w:lang w:eastAsia="ja-JP"/>
        </w:rPr>
      </w:pPr>
      <w:r>
        <w:rPr>
          <w:lang w:eastAsia="ja-JP"/>
        </w:rPr>
        <w:t>Study 030: The anticipated clinical regimen (200 mg per day x 3 days followed by200 mg weekly) compared to placebo and positive control (mefloquine).</w:t>
      </w:r>
    </w:p>
    <w:p w14:paraId="12EBFBC9" w14:textId="77777777" w:rsidR="00F1528F" w:rsidRDefault="008A1A1C" w:rsidP="00AC517F">
      <w:pPr>
        <w:pStyle w:val="ListBullet"/>
        <w:rPr>
          <w:lang w:eastAsia="ja-JP"/>
        </w:rPr>
      </w:pPr>
      <w:r>
        <w:rPr>
          <w:lang w:eastAsia="ja-JP"/>
        </w:rPr>
        <w:t>Study 049 compares tafenoquine to primaquine in non-immunes.</w:t>
      </w:r>
    </w:p>
    <w:p w14:paraId="0227137B" w14:textId="3AD5F4BA" w:rsidR="00F1528F" w:rsidRDefault="008A1A1C" w:rsidP="00AC517F">
      <w:pPr>
        <w:pStyle w:val="ListBullet"/>
        <w:rPr>
          <w:lang w:eastAsia="ja-JP"/>
        </w:rPr>
      </w:pPr>
      <w:r>
        <w:rPr>
          <w:lang w:eastAsia="ja-JP"/>
        </w:rPr>
        <w:t>Studies 047 and 058 compare tafenoquine to primaquine in Thai</w:t>
      </w:r>
      <w:r w:rsidR="00574F13">
        <w:rPr>
          <w:lang w:eastAsia="ja-JP"/>
        </w:rPr>
        <w:t xml:space="preserve"> people</w:t>
      </w:r>
      <w:r>
        <w:rPr>
          <w:lang w:eastAsia="ja-JP"/>
        </w:rPr>
        <w:t xml:space="preserve"> with variable immunity.</w:t>
      </w:r>
    </w:p>
    <w:p w14:paraId="302317C6" w14:textId="77777777" w:rsidR="00F1528F" w:rsidRDefault="008A1A1C" w:rsidP="00AC517F">
      <w:pPr>
        <w:pStyle w:val="ListBullet"/>
        <w:rPr>
          <w:lang w:eastAsia="ja-JP"/>
        </w:rPr>
      </w:pPr>
      <w:r>
        <w:rPr>
          <w:lang w:eastAsia="ja-JP"/>
        </w:rPr>
        <w:t>Study 046 enrolled only 1 subject and is not considered further.</w:t>
      </w:r>
    </w:p>
    <w:p w14:paraId="4D53C25A" w14:textId="77777777" w:rsidR="008A1A1C" w:rsidRDefault="008A1A1C" w:rsidP="008A1A1C">
      <w:pPr>
        <w:rPr>
          <w:lang w:eastAsia="ja-JP"/>
        </w:rPr>
      </w:pPr>
      <w:r>
        <w:rPr>
          <w:lang w:eastAsia="ja-JP"/>
        </w:rPr>
        <w:t>For ‘Prophylaxis of malaria after leaving the endemic region,’ 5 relevant studies provide data.</w:t>
      </w:r>
    </w:p>
    <w:p w14:paraId="2153C2C0" w14:textId="77777777" w:rsidR="008A1A1C" w:rsidRDefault="008A1A1C" w:rsidP="00AC517F">
      <w:pPr>
        <w:pStyle w:val="ListBullet"/>
        <w:rPr>
          <w:lang w:eastAsia="ja-JP"/>
        </w:rPr>
      </w:pPr>
      <w:r>
        <w:rPr>
          <w:lang w:eastAsia="ja-JP"/>
        </w:rPr>
        <w:t>Study 033: Upon exit of non-immunes from the endemic region, mefloquine subjects received primaquine while tafenoquine subjects were not further treated (</w:t>
      </w:r>
      <w:r w:rsidR="00F1528F">
        <w:rPr>
          <w:lang w:eastAsia="ja-JP"/>
        </w:rPr>
        <w:t>d</w:t>
      </w:r>
      <w:r>
        <w:rPr>
          <w:lang w:eastAsia="ja-JP"/>
        </w:rPr>
        <w:t>id not receive a post-exposure dose of tafenoquine, they received 14 days of placebo).</w:t>
      </w:r>
    </w:p>
    <w:p w14:paraId="2563013D" w14:textId="77777777" w:rsidR="008A1A1C" w:rsidRDefault="008A1A1C" w:rsidP="00AC517F">
      <w:pPr>
        <w:pStyle w:val="ListBullet"/>
        <w:rPr>
          <w:lang w:eastAsia="ja-JP"/>
        </w:rPr>
      </w:pPr>
      <w:r>
        <w:rPr>
          <w:lang w:eastAsia="ja-JP"/>
        </w:rPr>
        <w:t>Study 045: Prophylaxis in semi-immunes in East Africa.</w:t>
      </w:r>
    </w:p>
    <w:p w14:paraId="6233518E" w14:textId="3D1A6461" w:rsidR="008A1A1C" w:rsidRDefault="008A1A1C" w:rsidP="00AC517F">
      <w:pPr>
        <w:pStyle w:val="ListBullet"/>
        <w:rPr>
          <w:lang w:eastAsia="ja-JP"/>
        </w:rPr>
      </w:pPr>
      <w:r>
        <w:rPr>
          <w:lang w:eastAsia="ja-JP"/>
        </w:rPr>
        <w:t>Study 047: Wide range of short tafenoquine regimens for Thai</w:t>
      </w:r>
      <w:r w:rsidR="00574F13">
        <w:rPr>
          <w:lang w:eastAsia="ja-JP"/>
        </w:rPr>
        <w:t xml:space="preserve"> people</w:t>
      </w:r>
      <w:r>
        <w:rPr>
          <w:lang w:eastAsia="ja-JP"/>
        </w:rPr>
        <w:t xml:space="preserve"> in </w:t>
      </w:r>
      <w:r w:rsidR="00D540EE">
        <w:rPr>
          <w:lang w:eastAsia="ja-JP"/>
        </w:rPr>
        <w:t>South East</w:t>
      </w:r>
      <w:r>
        <w:rPr>
          <w:lang w:eastAsia="ja-JP"/>
        </w:rPr>
        <w:t xml:space="preserve"> Asia</w:t>
      </w:r>
    </w:p>
    <w:p w14:paraId="65CCB0F7" w14:textId="77777777" w:rsidR="008A1A1C" w:rsidRDefault="008A1A1C" w:rsidP="00AC517F">
      <w:pPr>
        <w:pStyle w:val="ListBullet"/>
        <w:rPr>
          <w:lang w:eastAsia="ja-JP"/>
        </w:rPr>
      </w:pPr>
      <w:r>
        <w:rPr>
          <w:lang w:eastAsia="ja-JP"/>
        </w:rPr>
        <w:t>Study 049: Several short tafenoquine regimens for Australian non-immunes</w:t>
      </w:r>
    </w:p>
    <w:p w14:paraId="78ADE1A6" w14:textId="3889B641" w:rsidR="008A1A1C" w:rsidRDefault="008A1A1C" w:rsidP="00AC517F">
      <w:pPr>
        <w:pStyle w:val="ListBullet"/>
        <w:rPr>
          <w:lang w:eastAsia="ja-JP"/>
        </w:rPr>
      </w:pPr>
      <w:r>
        <w:rPr>
          <w:lang w:eastAsia="ja-JP"/>
        </w:rPr>
        <w:t xml:space="preserve">Study 058: In addition to evaluating the treatment effect of tafenoquine against </w:t>
      </w:r>
      <w:proofErr w:type="gramStart"/>
      <w:r>
        <w:rPr>
          <w:lang w:eastAsia="ja-JP"/>
        </w:rPr>
        <w:t>Pv</w:t>
      </w:r>
      <w:proofErr w:type="gramEnd"/>
      <w:r>
        <w:rPr>
          <w:lang w:eastAsia="ja-JP"/>
        </w:rPr>
        <w:t xml:space="preserve"> already present in the blood of semi-immune </w:t>
      </w:r>
      <w:r w:rsidR="00574F13">
        <w:rPr>
          <w:lang w:eastAsia="ja-JP"/>
        </w:rPr>
        <w:t>Thai people</w:t>
      </w:r>
      <w:r>
        <w:rPr>
          <w:lang w:eastAsia="ja-JP"/>
        </w:rPr>
        <w:t>, follow-up was extended to 120 days to assess relapse up to that time.</w:t>
      </w:r>
    </w:p>
    <w:p w14:paraId="41B6890D" w14:textId="77777777" w:rsidR="008A1A1C" w:rsidRDefault="008A1A1C" w:rsidP="008A1A1C">
      <w:pPr>
        <w:rPr>
          <w:lang w:eastAsia="ja-JP"/>
        </w:rPr>
      </w:pPr>
      <w:r>
        <w:rPr>
          <w:lang w:eastAsia="ja-JP"/>
        </w:rPr>
        <w:lastRenderedPageBreak/>
        <w:t>These can be summarised as:</w:t>
      </w:r>
    </w:p>
    <w:p w14:paraId="12B4995B" w14:textId="77777777" w:rsidR="008A1A1C" w:rsidRDefault="008A1A1C" w:rsidP="00E730B4">
      <w:pPr>
        <w:pStyle w:val="ListBullet"/>
        <w:numPr>
          <w:ilvl w:val="0"/>
          <w:numId w:val="8"/>
        </w:numPr>
      </w:pPr>
      <w:r>
        <w:t>14 studies providing PK, PD and safety pharmacology data.</w:t>
      </w:r>
    </w:p>
    <w:p w14:paraId="356C0589" w14:textId="77777777" w:rsidR="008A1A1C" w:rsidRDefault="008A1A1C" w:rsidP="00E730B4">
      <w:pPr>
        <w:pStyle w:val="ListBullet"/>
        <w:numPr>
          <w:ilvl w:val="0"/>
          <w:numId w:val="8"/>
        </w:numPr>
      </w:pPr>
      <w:r>
        <w:t>1 one population PK data study</w:t>
      </w:r>
    </w:p>
    <w:p w14:paraId="0C1D2B92" w14:textId="77777777" w:rsidR="008A1A1C" w:rsidRDefault="008A1A1C" w:rsidP="00E730B4">
      <w:pPr>
        <w:pStyle w:val="ListBullet"/>
        <w:numPr>
          <w:ilvl w:val="0"/>
          <w:numId w:val="8"/>
        </w:numPr>
      </w:pPr>
      <w:r>
        <w:t>6 studies that use varying doses.</w:t>
      </w:r>
    </w:p>
    <w:p w14:paraId="561D2880" w14:textId="77777777" w:rsidR="008A1A1C" w:rsidRDefault="008A1A1C" w:rsidP="00E730B4">
      <w:pPr>
        <w:pStyle w:val="ListBullet"/>
        <w:numPr>
          <w:ilvl w:val="0"/>
          <w:numId w:val="8"/>
        </w:numPr>
      </w:pPr>
      <w:r>
        <w:t>1 Population PK (popPK) analyses.</w:t>
      </w:r>
    </w:p>
    <w:p w14:paraId="37A793A3" w14:textId="77777777" w:rsidR="008A1A1C" w:rsidRDefault="008A1A1C" w:rsidP="00E730B4">
      <w:pPr>
        <w:pStyle w:val="ListBullet"/>
        <w:numPr>
          <w:ilvl w:val="0"/>
          <w:numId w:val="8"/>
        </w:numPr>
      </w:pPr>
      <w:r>
        <w:t>2 Pivotal efficacy/safety studies.</w:t>
      </w:r>
    </w:p>
    <w:p w14:paraId="32D7A597" w14:textId="77777777" w:rsidR="008A1A1C" w:rsidRDefault="008A1A1C" w:rsidP="00E730B4">
      <w:pPr>
        <w:pStyle w:val="ListBullet"/>
        <w:numPr>
          <w:ilvl w:val="0"/>
          <w:numId w:val="8"/>
        </w:numPr>
      </w:pPr>
      <w:r>
        <w:t>10 Other efficacy/safety studies.</w:t>
      </w:r>
    </w:p>
    <w:p w14:paraId="15F84F60" w14:textId="77777777" w:rsidR="008A1A1C" w:rsidRDefault="00A22DF6" w:rsidP="00A22DF6">
      <w:r>
        <w:t>A</w:t>
      </w:r>
      <w:r w:rsidR="008A1A1C">
        <w:t xml:space="preserve"> number of studies performed more than one function (</w:t>
      </w:r>
      <w:r w:rsidR="00774249">
        <w:t xml:space="preserve">having </w:t>
      </w:r>
      <w:r w:rsidR="008A1A1C">
        <w:t>dose finding, efficacy and safety data)</w:t>
      </w:r>
      <w:r>
        <w:t>.</w:t>
      </w:r>
    </w:p>
    <w:p w14:paraId="7209CE38" w14:textId="10A382E7" w:rsidR="00A22DF6" w:rsidRPr="004B4CC5" w:rsidRDefault="00A22DF6" w:rsidP="00A22DF6">
      <w:pPr>
        <w:pStyle w:val="Tabletitle"/>
        <w:rPr>
          <w:lang w:val="en-US" w:eastAsia="ja-JP"/>
        </w:rPr>
      </w:pPr>
      <w:bookmarkStart w:id="49" w:name="_Toc452381791"/>
      <w:bookmarkStart w:id="50" w:name="_Toc472947949"/>
      <w:bookmarkStart w:id="51" w:name="_Toc476549699"/>
      <w:bookmarkStart w:id="52" w:name="_Toc504229426"/>
      <w:bookmarkStart w:id="53" w:name="_Toc501293676"/>
      <w:r>
        <w:t xml:space="preserve">Table </w:t>
      </w:r>
      <w:r w:rsidR="008D769C">
        <w:t>1:</w:t>
      </w:r>
      <w:r>
        <w:t xml:space="preserve"> </w:t>
      </w:r>
      <w:r w:rsidRPr="004B4CC5">
        <w:rPr>
          <w:lang w:val="en-US" w:eastAsia="ja-JP"/>
        </w:rPr>
        <w:t xml:space="preserve">Phase </w:t>
      </w:r>
      <w:r w:rsidR="008D769C">
        <w:rPr>
          <w:lang w:val="en-US" w:eastAsia="ja-JP"/>
        </w:rPr>
        <w:t>I</w:t>
      </w:r>
      <w:r w:rsidRPr="004B4CC5">
        <w:rPr>
          <w:lang w:val="en-US" w:eastAsia="ja-JP"/>
        </w:rPr>
        <w:t xml:space="preserve"> Studies in </w:t>
      </w:r>
      <w:r w:rsidR="00574F13">
        <w:rPr>
          <w:lang w:val="en-US" w:eastAsia="ja-JP"/>
        </w:rPr>
        <w:t>h</w:t>
      </w:r>
      <w:r w:rsidRPr="004B4CC5">
        <w:rPr>
          <w:lang w:val="en-US" w:eastAsia="ja-JP"/>
        </w:rPr>
        <w:t xml:space="preserve">ealthy </w:t>
      </w:r>
      <w:bookmarkEnd w:id="49"/>
      <w:bookmarkEnd w:id="50"/>
      <w:bookmarkEnd w:id="51"/>
      <w:bookmarkEnd w:id="52"/>
      <w:bookmarkEnd w:id="53"/>
      <w:r w:rsidR="00574F13">
        <w:rPr>
          <w:lang w:val="en-US" w:eastAsia="ja-JP"/>
        </w:rPr>
        <w:t>v</w:t>
      </w:r>
      <w:r w:rsidR="00574F13" w:rsidRPr="004B4CC5">
        <w:rPr>
          <w:lang w:val="en-US" w:eastAsia="ja-JP"/>
        </w:rPr>
        <w:t>olunteers</w:t>
      </w:r>
      <w:r w:rsidR="00574F13">
        <w:rPr>
          <w:lang w:val="en-US" w:eastAsia="ja-JP"/>
        </w:rPr>
        <w:t xml:space="preserve"> </w:t>
      </w:r>
    </w:p>
    <w:tbl>
      <w:tblPr>
        <w:tblStyle w:val="TableTGAblue"/>
        <w:tblW w:w="5000" w:type="pct"/>
        <w:tblLook w:val="00A0" w:firstRow="1" w:lastRow="0" w:firstColumn="1" w:lastColumn="0" w:noHBand="0" w:noVBand="0"/>
      </w:tblPr>
      <w:tblGrid>
        <w:gridCol w:w="1787"/>
        <w:gridCol w:w="31"/>
        <w:gridCol w:w="1268"/>
        <w:gridCol w:w="222"/>
        <w:gridCol w:w="61"/>
        <w:gridCol w:w="2055"/>
        <w:gridCol w:w="78"/>
        <w:gridCol w:w="1850"/>
        <w:gridCol w:w="61"/>
        <w:gridCol w:w="1829"/>
      </w:tblGrid>
      <w:tr w:rsidR="00A22DF6" w:rsidRPr="004B4CC5" w14:paraId="6054C3A5" w14:textId="77777777" w:rsidTr="008D76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7" w:type="pct"/>
          </w:tcPr>
          <w:p w14:paraId="7D392AF5" w14:textId="77777777" w:rsidR="00A22DF6" w:rsidRPr="00A22DF6" w:rsidRDefault="00A22DF6" w:rsidP="00A22DF6">
            <w:pPr>
              <w:rPr>
                <w:sz w:val="20"/>
                <w:szCs w:val="20"/>
                <w:lang w:val="en-US" w:eastAsia="ja-JP"/>
              </w:rPr>
            </w:pPr>
            <w:r w:rsidRPr="00A22DF6">
              <w:rPr>
                <w:sz w:val="20"/>
                <w:szCs w:val="20"/>
                <w:lang w:val="en-US" w:eastAsia="ja-JP"/>
              </w:rPr>
              <w:t xml:space="preserve">Study No. </w:t>
            </w:r>
          </w:p>
        </w:tc>
        <w:tc>
          <w:tcPr>
            <w:tcW w:w="703" w:type="pct"/>
            <w:gridSpan w:val="2"/>
          </w:tcPr>
          <w:p w14:paraId="1531F982"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Design</w:t>
            </w:r>
            <w:bookmarkStart w:id="54" w:name="_TNCF0EB61497D79422694054A15F4673A94"/>
            <w:r w:rsidRPr="00A22DF6">
              <w:rPr>
                <w:sz w:val="20"/>
                <w:szCs w:val="20"/>
                <w:vertAlign w:val="superscript"/>
                <w:lang w:val="en-US" w:eastAsia="ja-JP"/>
              </w:rPr>
              <w:fldChar w:fldCharType="begin"/>
            </w:r>
            <w:r w:rsidRPr="00A22DF6">
              <w:rPr>
                <w:sz w:val="20"/>
                <w:szCs w:val="20"/>
                <w:vertAlign w:val="superscript"/>
                <w:lang w:val="en-US" w:eastAsia="ja-JP"/>
              </w:rPr>
              <w:instrText xml:space="preserve"> LISTNUM TableNoteAlpha \* MERGEFORMAT \s1</w:instrText>
            </w:r>
            <w:r w:rsidRPr="00A22DF6">
              <w:rPr>
                <w:sz w:val="20"/>
                <w:szCs w:val="20"/>
                <w:lang w:eastAsia="ja-JP"/>
              </w:rPr>
              <w:fldChar w:fldCharType="end">
                <w:numberingChange w:id="55" w:author="HART, Anna" w:date="2019-02-21T11:34:00Z" w:original="(i)"/>
              </w:fldChar>
            </w:r>
            <w:bookmarkEnd w:id="54"/>
          </w:p>
        </w:tc>
        <w:tc>
          <w:tcPr>
            <w:tcW w:w="1307" w:type="pct"/>
            <w:gridSpan w:val="4"/>
          </w:tcPr>
          <w:p w14:paraId="393DB77C"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Objectives</w:t>
            </w:r>
          </w:p>
        </w:tc>
        <w:tc>
          <w:tcPr>
            <w:tcW w:w="1001" w:type="pct"/>
          </w:tcPr>
          <w:p w14:paraId="0FB4DFEC"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Doses Administered</w:t>
            </w:r>
          </w:p>
        </w:tc>
        <w:tc>
          <w:tcPr>
            <w:tcW w:w="1022" w:type="pct"/>
            <w:gridSpan w:val="2"/>
          </w:tcPr>
          <w:p w14:paraId="28FF2C57"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Population</w:t>
            </w:r>
          </w:p>
        </w:tc>
      </w:tr>
      <w:tr w:rsidR="00A22DF6" w:rsidRPr="004B4CC5" w14:paraId="4171B1F2" w14:textId="77777777" w:rsidTr="00A22DF6">
        <w:tc>
          <w:tcPr>
            <w:cnfStyle w:val="001000000000" w:firstRow="0" w:lastRow="0" w:firstColumn="1" w:lastColumn="0" w:oddVBand="0" w:evenVBand="0" w:oddHBand="0" w:evenHBand="0" w:firstRowFirstColumn="0" w:firstRowLastColumn="0" w:lastRowFirstColumn="0" w:lastRowLastColumn="0"/>
            <w:tcW w:w="5000" w:type="pct"/>
            <w:gridSpan w:val="10"/>
          </w:tcPr>
          <w:p w14:paraId="2EE27A11" w14:textId="3CED7D3E" w:rsidR="00A22DF6" w:rsidRPr="00A22DF6" w:rsidRDefault="00A22DF6" w:rsidP="00AC517F">
            <w:pPr>
              <w:rPr>
                <w:sz w:val="20"/>
                <w:szCs w:val="20"/>
                <w:lang w:val="en-US" w:eastAsia="ja-JP"/>
              </w:rPr>
            </w:pPr>
            <w:r w:rsidRPr="00A22DF6">
              <w:rPr>
                <w:b/>
                <w:sz w:val="20"/>
                <w:szCs w:val="20"/>
                <w:lang w:val="en-US" w:eastAsia="ja-JP"/>
              </w:rPr>
              <w:t>Single</w:t>
            </w:r>
            <w:r w:rsidR="00AC517F">
              <w:rPr>
                <w:b/>
                <w:sz w:val="20"/>
                <w:szCs w:val="20"/>
                <w:lang w:val="en-US" w:eastAsia="ja-JP"/>
              </w:rPr>
              <w:t xml:space="preserve"> </w:t>
            </w:r>
            <w:r w:rsidRPr="00A22DF6">
              <w:rPr>
                <w:b/>
                <w:sz w:val="20"/>
                <w:szCs w:val="20"/>
                <w:lang w:val="en-US" w:eastAsia="ja-JP"/>
              </w:rPr>
              <w:t>Dose Studies</w:t>
            </w:r>
          </w:p>
        </w:tc>
      </w:tr>
      <w:tr w:rsidR="00A22DF6" w:rsidRPr="004B4CC5" w14:paraId="4DF47420" w14:textId="77777777" w:rsidTr="008D769C">
        <w:tc>
          <w:tcPr>
            <w:cnfStyle w:val="001000000000" w:firstRow="0" w:lastRow="0" w:firstColumn="1" w:lastColumn="0" w:oddVBand="0" w:evenVBand="0" w:oddHBand="0" w:evenHBand="0" w:firstRowFirstColumn="0" w:firstRowLastColumn="0" w:lastRowFirstColumn="0" w:lastRowLastColumn="0"/>
            <w:tcW w:w="967" w:type="pct"/>
          </w:tcPr>
          <w:p w14:paraId="41C46D9A" w14:textId="77777777" w:rsidR="00A22DF6" w:rsidRPr="00A22DF6" w:rsidRDefault="00A22DF6" w:rsidP="008D769C">
            <w:pPr>
              <w:rPr>
                <w:sz w:val="20"/>
                <w:szCs w:val="20"/>
                <w:lang w:val="en-US" w:eastAsia="ja-JP"/>
              </w:rPr>
            </w:pPr>
            <w:r w:rsidRPr="00A22DF6">
              <w:rPr>
                <w:sz w:val="20"/>
                <w:szCs w:val="20"/>
                <w:lang w:val="en-US" w:eastAsia="ja-JP"/>
              </w:rPr>
              <w:t>050</w:t>
            </w:r>
          </w:p>
        </w:tc>
        <w:tc>
          <w:tcPr>
            <w:tcW w:w="856" w:type="pct"/>
            <w:gridSpan w:val="4"/>
          </w:tcPr>
          <w:p w14:paraId="27AD7ADF"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154" w:type="pct"/>
            <w:gridSpan w:val="2"/>
          </w:tcPr>
          <w:p w14:paraId="454F934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PK and Safety in fasted state</w:t>
            </w:r>
          </w:p>
        </w:tc>
        <w:tc>
          <w:tcPr>
            <w:tcW w:w="1001" w:type="pct"/>
          </w:tcPr>
          <w:p w14:paraId="18D10114"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4 -600mg</w:t>
            </w:r>
          </w:p>
        </w:tc>
        <w:tc>
          <w:tcPr>
            <w:tcW w:w="1022" w:type="pct"/>
            <w:gridSpan w:val="2"/>
          </w:tcPr>
          <w:p w14:paraId="2523154A"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N=75; 75M/0F</w:t>
            </w:r>
          </w:p>
        </w:tc>
      </w:tr>
      <w:tr w:rsidR="00A22DF6" w:rsidRPr="004B4CC5" w14:paraId="3734164D" w14:textId="77777777" w:rsidTr="008D769C">
        <w:tc>
          <w:tcPr>
            <w:cnfStyle w:val="001000000000" w:firstRow="0" w:lastRow="0" w:firstColumn="1" w:lastColumn="0" w:oddVBand="0" w:evenVBand="0" w:oddHBand="0" w:evenHBand="0" w:firstRowFirstColumn="0" w:firstRowLastColumn="0" w:lastRowFirstColumn="0" w:lastRowLastColumn="0"/>
            <w:tcW w:w="967" w:type="pct"/>
          </w:tcPr>
          <w:p w14:paraId="3617CAF7" w14:textId="77777777" w:rsidR="00A22DF6" w:rsidRPr="00A22DF6" w:rsidRDefault="00A22DF6" w:rsidP="00A22DF6">
            <w:pPr>
              <w:rPr>
                <w:sz w:val="20"/>
                <w:szCs w:val="20"/>
                <w:lang w:val="en-US" w:eastAsia="ja-JP"/>
              </w:rPr>
            </w:pPr>
            <w:r w:rsidRPr="00A22DF6">
              <w:rPr>
                <w:sz w:val="20"/>
                <w:szCs w:val="20"/>
                <w:lang w:val="en-US" w:eastAsia="ja-JP"/>
              </w:rPr>
              <w:t>052</w:t>
            </w:r>
          </w:p>
        </w:tc>
        <w:tc>
          <w:tcPr>
            <w:tcW w:w="856" w:type="pct"/>
            <w:gridSpan w:val="4"/>
          </w:tcPr>
          <w:p w14:paraId="49D2295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PG</w:t>
            </w:r>
          </w:p>
        </w:tc>
        <w:tc>
          <w:tcPr>
            <w:tcW w:w="1154" w:type="pct"/>
            <w:gridSpan w:val="2"/>
          </w:tcPr>
          <w:p w14:paraId="1E87DC2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PK and Safety in fasted state</w:t>
            </w:r>
          </w:p>
        </w:tc>
        <w:tc>
          <w:tcPr>
            <w:tcW w:w="1001" w:type="pct"/>
          </w:tcPr>
          <w:p w14:paraId="5D1466FA"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100, 200, or 400 mg</w:t>
            </w:r>
          </w:p>
        </w:tc>
        <w:tc>
          <w:tcPr>
            <w:tcW w:w="1022" w:type="pct"/>
            <w:gridSpan w:val="2"/>
          </w:tcPr>
          <w:p w14:paraId="72BF7D3A"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N=18; 18M/0F</w:t>
            </w:r>
          </w:p>
        </w:tc>
      </w:tr>
      <w:tr w:rsidR="00A22DF6" w:rsidRPr="004B4CC5" w14:paraId="692136B5" w14:textId="77777777" w:rsidTr="008D769C">
        <w:tc>
          <w:tcPr>
            <w:cnfStyle w:val="001000000000" w:firstRow="0" w:lastRow="0" w:firstColumn="1" w:lastColumn="0" w:oddVBand="0" w:evenVBand="0" w:oddHBand="0" w:evenHBand="0" w:firstRowFirstColumn="0" w:firstRowLastColumn="0" w:lastRowFirstColumn="0" w:lastRowLastColumn="0"/>
            <w:tcW w:w="967" w:type="pct"/>
          </w:tcPr>
          <w:p w14:paraId="6448681B" w14:textId="77777777" w:rsidR="00A22DF6" w:rsidRPr="00A22DF6" w:rsidRDefault="00A22DF6" w:rsidP="00A22DF6">
            <w:pPr>
              <w:rPr>
                <w:sz w:val="20"/>
                <w:szCs w:val="20"/>
                <w:lang w:val="en-US" w:eastAsia="ja-JP"/>
              </w:rPr>
            </w:pPr>
            <w:r w:rsidRPr="00A22DF6">
              <w:rPr>
                <w:sz w:val="20"/>
                <w:szCs w:val="20"/>
                <w:lang w:val="en-US" w:eastAsia="ja-JP"/>
              </w:rPr>
              <w:t>003</w:t>
            </w:r>
          </w:p>
        </w:tc>
        <w:tc>
          <w:tcPr>
            <w:tcW w:w="856" w:type="pct"/>
            <w:gridSpan w:val="4"/>
          </w:tcPr>
          <w:p w14:paraId="48CEAF5F"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O, PG</w:t>
            </w:r>
          </w:p>
        </w:tc>
        <w:tc>
          <w:tcPr>
            <w:tcW w:w="1154" w:type="pct"/>
            <w:gridSpan w:val="2"/>
          </w:tcPr>
          <w:p w14:paraId="3C2AA80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PK and Safety in fed vs fasted state. Gender effects.</w:t>
            </w:r>
          </w:p>
        </w:tc>
        <w:tc>
          <w:tcPr>
            <w:tcW w:w="1001" w:type="pct"/>
          </w:tcPr>
          <w:p w14:paraId="4B7BF5B2"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w:t>
            </w:r>
          </w:p>
        </w:tc>
        <w:tc>
          <w:tcPr>
            <w:tcW w:w="1022" w:type="pct"/>
            <w:gridSpan w:val="2"/>
          </w:tcPr>
          <w:p w14:paraId="6D8D848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N=32;16M/16F</w:t>
            </w:r>
          </w:p>
        </w:tc>
      </w:tr>
      <w:tr w:rsidR="00A22DF6" w:rsidRPr="004B4CC5" w14:paraId="43369AE0" w14:textId="77777777" w:rsidTr="008D769C">
        <w:tc>
          <w:tcPr>
            <w:cnfStyle w:val="001000000000" w:firstRow="0" w:lastRow="0" w:firstColumn="1" w:lastColumn="0" w:oddVBand="0" w:evenVBand="0" w:oddHBand="0" w:evenHBand="0" w:firstRowFirstColumn="0" w:firstRowLastColumn="0" w:lastRowFirstColumn="0" w:lastRowLastColumn="0"/>
            <w:tcW w:w="967" w:type="pct"/>
          </w:tcPr>
          <w:p w14:paraId="3A3CA2AF" w14:textId="77777777" w:rsidR="00A22DF6" w:rsidRPr="00A22DF6" w:rsidRDefault="00A22DF6" w:rsidP="00A22DF6">
            <w:pPr>
              <w:rPr>
                <w:sz w:val="20"/>
                <w:szCs w:val="20"/>
                <w:lang w:val="en-US" w:eastAsia="ja-JP"/>
              </w:rPr>
            </w:pPr>
            <w:r w:rsidRPr="00A22DF6">
              <w:rPr>
                <w:sz w:val="20"/>
                <w:szCs w:val="20"/>
                <w:lang w:val="en-US" w:eastAsia="ja-JP"/>
              </w:rPr>
              <w:t>022</w:t>
            </w:r>
          </w:p>
        </w:tc>
        <w:tc>
          <w:tcPr>
            <w:tcW w:w="856" w:type="pct"/>
            <w:gridSpan w:val="4"/>
          </w:tcPr>
          <w:p w14:paraId="4339E0C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PG</w:t>
            </w:r>
          </w:p>
        </w:tc>
        <w:tc>
          <w:tcPr>
            <w:tcW w:w="1154" w:type="pct"/>
            <w:gridSpan w:val="2"/>
          </w:tcPr>
          <w:p w14:paraId="1E70030A"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PK and Safety in fed vs fasted state. Gender effects.</w:t>
            </w:r>
          </w:p>
        </w:tc>
        <w:tc>
          <w:tcPr>
            <w:tcW w:w="1001" w:type="pct"/>
          </w:tcPr>
          <w:p w14:paraId="4A314F94"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 mg</w:t>
            </w:r>
          </w:p>
        </w:tc>
        <w:tc>
          <w:tcPr>
            <w:tcW w:w="1022" w:type="pct"/>
            <w:gridSpan w:val="2"/>
          </w:tcPr>
          <w:p w14:paraId="60C6BC67"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N=40; 20M/20F</w:t>
            </w:r>
          </w:p>
        </w:tc>
      </w:tr>
      <w:tr w:rsidR="00A22DF6" w:rsidRPr="004B4CC5" w14:paraId="47CB8746" w14:textId="77777777" w:rsidTr="008D769C">
        <w:tc>
          <w:tcPr>
            <w:cnfStyle w:val="001000000000" w:firstRow="0" w:lastRow="0" w:firstColumn="1" w:lastColumn="0" w:oddVBand="0" w:evenVBand="0" w:oddHBand="0" w:evenHBand="0" w:firstRowFirstColumn="0" w:firstRowLastColumn="0" w:lastRowFirstColumn="0" w:lastRowLastColumn="0"/>
            <w:tcW w:w="967" w:type="pct"/>
          </w:tcPr>
          <w:p w14:paraId="20E06CF4" w14:textId="77777777" w:rsidR="00A22DF6" w:rsidRPr="00A22DF6" w:rsidRDefault="00A22DF6" w:rsidP="00A22DF6">
            <w:pPr>
              <w:rPr>
                <w:sz w:val="20"/>
                <w:szCs w:val="20"/>
                <w:lang w:val="en-US" w:eastAsia="ja-JP"/>
              </w:rPr>
            </w:pPr>
            <w:r w:rsidRPr="00A22DF6">
              <w:rPr>
                <w:sz w:val="20"/>
                <w:szCs w:val="20"/>
                <w:lang w:val="en-US" w:eastAsia="ja-JP"/>
              </w:rPr>
              <w:t>TQ-2016-01</w:t>
            </w:r>
          </w:p>
        </w:tc>
        <w:tc>
          <w:tcPr>
            <w:tcW w:w="856" w:type="pct"/>
            <w:gridSpan w:val="4"/>
          </w:tcPr>
          <w:p w14:paraId="5CC07D7E"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O</w:t>
            </w:r>
          </w:p>
        </w:tc>
        <w:tc>
          <w:tcPr>
            <w:tcW w:w="1154" w:type="pct"/>
            <w:gridSpan w:val="2"/>
          </w:tcPr>
          <w:p w14:paraId="5F9B3518"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Compare PK parameters of the new tafenoquine clinical formulation (100 mg tablets) to PK of the 200 mg capsule used in previous tafenoquine trials (specifically Study 022). Also, compare AEs, vital signs and hematology parameters.</w:t>
            </w:r>
          </w:p>
        </w:tc>
        <w:tc>
          <w:tcPr>
            <w:tcW w:w="1001" w:type="pct"/>
          </w:tcPr>
          <w:p w14:paraId="6050D04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200mg (dosed as two 100 mg tablets)</w:t>
            </w:r>
          </w:p>
        </w:tc>
        <w:tc>
          <w:tcPr>
            <w:tcW w:w="1022" w:type="pct"/>
            <w:gridSpan w:val="2"/>
          </w:tcPr>
          <w:p w14:paraId="17523518"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N=70 </w:t>
            </w:r>
          </w:p>
        </w:tc>
      </w:tr>
      <w:tr w:rsidR="00A22DF6" w:rsidRPr="004B4CC5" w14:paraId="4677A5C5" w14:textId="77777777" w:rsidTr="00A22DF6">
        <w:tc>
          <w:tcPr>
            <w:cnfStyle w:val="001000000000" w:firstRow="0" w:lastRow="0" w:firstColumn="1" w:lastColumn="0" w:oddVBand="0" w:evenVBand="0" w:oddHBand="0" w:evenHBand="0" w:firstRowFirstColumn="0" w:firstRowLastColumn="0" w:lastRowFirstColumn="0" w:lastRowLastColumn="0"/>
            <w:tcW w:w="5000" w:type="pct"/>
            <w:gridSpan w:val="10"/>
          </w:tcPr>
          <w:p w14:paraId="6611730D" w14:textId="77777777" w:rsidR="00A22DF6" w:rsidRPr="00A22DF6" w:rsidRDefault="00A22DF6" w:rsidP="00A22DF6">
            <w:pPr>
              <w:rPr>
                <w:sz w:val="20"/>
                <w:szCs w:val="20"/>
                <w:lang w:val="en-US" w:eastAsia="ja-JP"/>
              </w:rPr>
            </w:pPr>
            <w:r w:rsidRPr="00A22DF6">
              <w:rPr>
                <w:b/>
                <w:sz w:val="20"/>
                <w:szCs w:val="20"/>
                <w:lang w:val="en-US" w:eastAsia="ja-JP"/>
              </w:rPr>
              <w:t>Multiple-Dose Studies</w:t>
            </w:r>
          </w:p>
        </w:tc>
      </w:tr>
      <w:tr w:rsidR="00A22DF6" w:rsidRPr="004B4CC5" w14:paraId="73E7D6D7" w14:textId="77777777" w:rsidTr="008D769C">
        <w:tc>
          <w:tcPr>
            <w:cnfStyle w:val="001000000000" w:firstRow="0" w:lastRow="0" w:firstColumn="1" w:lastColumn="0" w:oddVBand="0" w:evenVBand="0" w:oddHBand="0" w:evenHBand="0" w:firstRowFirstColumn="0" w:firstRowLastColumn="0" w:lastRowFirstColumn="0" w:lastRowLastColumn="0"/>
            <w:tcW w:w="984" w:type="pct"/>
            <w:gridSpan w:val="2"/>
          </w:tcPr>
          <w:p w14:paraId="771F4D8E" w14:textId="77777777" w:rsidR="00A22DF6" w:rsidRPr="00A22DF6" w:rsidRDefault="00A22DF6" w:rsidP="00A22DF6">
            <w:pPr>
              <w:rPr>
                <w:sz w:val="20"/>
                <w:szCs w:val="20"/>
                <w:lang w:val="en-US" w:eastAsia="ja-JP"/>
              </w:rPr>
            </w:pPr>
            <w:r w:rsidRPr="00A22DF6">
              <w:rPr>
                <w:sz w:val="20"/>
                <w:szCs w:val="20"/>
                <w:lang w:val="en-US" w:eastAsia="ja-JP"/>
              </w:rPr>
              <w:t>051</w:t>
            </w:r>
          </w:p>
        </w:tc>
        <w:tc>
          <w:tcPr>
            <w:tcW w:w="806" w:type="pct"/>
            <w:gridSpan w:val="2"/>
          </w:tcPr>
          <w:p w14:paraId="06EF3C5F"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145" w:type="pct"/>
            <w:gridSpan w:val="2"/>
          </w:tcPr>
          <w:p w14:paraId="22EBBEB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PK and Safety in </w:t>
            </w:r>
            <w:r w:rsidRPr="00A22DF6">
              <w:rPr>
                <w:sz w:val="20"/>
                <w:szCs w:val="20"/>
                <w:lang w:val="en-US" w:eastAsia="ja-JP"/>
              </w:rPr>
              <w:lastRenderedPageBreak/>
              <w:t>fasted state</w:t>
            </w:r>
          </w:p>
        </w:tc>
        <w:tc>
          <w:tcPr>
            <w:tcW w:w="1076" w:type="pct"/>
            <w:gridSpan w:val="3"/>
          </w:tcPr>
          <w:p w14:paraId="48FF25ED"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lastRenderedPageBreak/>
              <w:t xml:space="preserve">200, 400, or 600 </w:t>
            </w:r>
            <w:r w:rsidRPr="00A22DF6">
              <w:rPr>
                <w:sz w:val="20"/>
                <w:szCs w:val="20"/>
                <w:lang w:val="en-US" w:eastAsia="ja-JP"/>
              </w:rPr>
              <w:lastRenderedPageBreak/>
              <w:t>mg weekly x 10 weeks</w:t>
            </w:r>
          </w:p>
        </w:tc>
        <w:tc>
          <w:tcPr>
            <w:tcW w:w="990" w:type="pct"/>
          </w:tcPr>
          <w:p w14:paraId="7F5ED394"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lastRenderedPageBreak/>
              <w:t>N=36; 30M/6F</w:t>
            </w:r>
          </w:p>
        </w:tc>
      </w:tr>
      <w:tr w:rsidR="00A22DF6" w:rsidRPr="004B4CC5" w14:paraId="2CB92BE2" w14:textId="77777777" w:rsidTr="008D769C">
        <w:tc>
          <w:tcPr>
            <w:cnfStyle w:val="001000000000" w:firstRow="0" w:lastRow="0" w:firstColumn="1" w:lastColumn="0" w:oddVBand="0" w:evenVBand="0" w:oddHBand="0" w:evenHBand="0" w:firstRowFirstColumn="0" w:firstRowLastColumn="0" w:lastRowFirstColumn="0" w:lastRowLastColumn="0"/>
            <w:tcW w:w="984" w:type="pct"/>
            <w:gridSpan w:val="2"/>
          </w:tcPr>
          <w:p w14:paraId="2029DC89" w14:textId="77777777" w:rsidR="00A22DF6" w:rsidRPr="00A22DF6" w:rsidRDefault="00A22DF6" w:rsidP="00A22DF6">
            <w:pPr>
              <w:rPr>
                <w:sz w:val="20"/>
                <w:szCs w:val="20"/>
                <w:lang w:val="en-US" w:eastAsia="ja-JP"/>
              </w:rPr>
            </w:pPr>
            <w:r w:rsidRPr="00A22DF6">
              <w:rPr>
                <w:sz w:val="20"/>
                <w:szCs w:val="20"/>
                <w:lang w:val="en-US" w:eastAsia="ja-JP"/>
              </w:rPr>
              <w:lastRenderedPageBreak/>
              <w:t>014</w:t>
            </w:r>
          </w:p>
        </w:tc>
        <w:tc>
          <w:tcPr>
            <w:tcW w:w="806" w:type="pct"/>
            <w:gridSpan w:val="2"/>
          </w:tcPr>
          <w:p w14:paraId="00FE32F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O, PG</w:t>
            </w:r>
          </w:p>
        </w:tc>
        <w:tc>
          <w:tcPr>
            <w:tcW w:w="1145" w:type="pct"/>
            <w:gridSpan w:val="2"/>
          </w:tcPr>
          <w:p w14:paraId="32F4D963"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Relative bioavailability of 3 different oral formulations.</w:t>
            </w:r>
          </w:p>
        </w:tc>
        <w:tc>
          <w:tcPr>
            <w:tcW w:w="1076" w:type="pct"/>
            <w:gridSpan w:val="3"/>
          </w:tcPr>
          <w:p w14:paraId="76446748"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 days</w:t>
            </w:r>
          </w:p>
        </w:tc>
        <w:tc>
          <w:tcPr>
            <w:tcW w:w="990" w:type="pct"/>
          </w:tcPr>
          <w:p w14:paraId="393B22F7"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N=58; 43M/15F</w:t>
            </w:r>
          </w:p>
        </w:tc>
      </w:tr>
      <w:tr w:rsidR="00A22DF6" w:rsidRPr="004B4CC5" w14:paraId="3D44FD69" w14:textId="77777777" w:rsidTr="008D769C">
        <w:tc>
          <w:tcPr>
            <w:cnfStyle w:val="001000000000" w:firstRow="0" w:lastRow="0" w:firstColumn="1" w:lastColumn="0" w:oddVBand="0" w:evenVBand="0" w:oddHBand="0" w:evenHBand="0" w:firstRowFirstColumn="0" w:firstRowLastColumn="0" w:lastRowFirstColumn="0" w:lastRowLastColumn="0"/>
            <w:tcW w:w="984" w:type="pct"/>
            <w:gridSpan w:val="2"/>
          </w:tcPr>
          <w:p w14:paraId="56D541E2" w14:textId="77777777" w:rsidR="00A22DF6" w:rsidRPr="00A22DF6" w:rsidRDefault="00A22DF6" w:rsidP="00A22DF6">
            <w:pPr>
              <w:rPr>
                <w:sz w:val="20"/>
                <w:szCs w:val="20"/>
                <w:lang w:val="en-US" w:eastAsia="ja-JP"/>
              </w:rPr>
            </w:pPr>
            <w:r w:rsidRPr="00A22DF6">
              <w:rPr>
                <w:sz w:val="20"/>
                <w:szCs w:val="20"/>
                <w:lang w:val="en-US" w:eastAsia="ja-JP"/>
              </w:rPr>
              <w:t>057</w:t>
            </w:r>
            <w:r w:rsidRPr="00A22DF6">
              <w:rPr>
                <w:sz w:val="20"/>
                <w:szCs w:val="20"/>
                <w:lang w:val="en-US" w:eastAsia="ja-JP"/>
              </w:rPr>
              <w:br/>
            </w:r>
          </w:p>
        </w:tc>
        <w:tc>
          <w:tcPr>
            <w:tcW w:w="806" w:type="pct"/>
            <w:gridSpan w:val="2"/>
          </w:tcPr>
          <w:p w14:paraId="4E4D719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PC</w:t>
            </w:r>
          </w:p>
        </w:tc>
        <w:tc>
          <w:tcPr>
            <w:tcW w:w="1145" w:type="pct"/>
            <w:gridSpan w:val="2"/>
          </w:tcPr>
          <w:p w14:paraId="0C0A81D3"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Renal and ocular Safety.</w:t>
            </w:r>
          </w:p>
        </w:tc>
        <w:tc>
          <w:tcPr>
            <w:tcW w:w="1076" w:type="pct"/>
            <w:gridSpan w:val="3"/>
          </w:tcPr>
          <w:p w14:paraId="0A232D55"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 mg daily x 3 days, then weekly x 23 weeks</w:t>
            </w:r>
          </w:p>
        </w:tc>
        <w:tc>
          <w:tcPr>
            <w:tcW w:w="990" w:type="pct"/>
          </w:tcPr>
          <w:p w14:paraId="028ED9C5"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N=120; 73M/47F</w:t>
            </w:r>
          </w:p>
        </w:tc>
      </w:tr>
    </w:tbl>
    <w:p w14:paraId="1ABA6A62" w14:textId="1C8C5BFD" w:rsidR="00A22DF6" w:rsidRPr="00D15D79" w:rsidRDefault="00A22DF6" w:rsidP="00A22DF6">
      <w:pPr>
        <w:pStyle w:val="TableDescription"/>
        <w:rPr>
          <w:lang w:val="en-US" w:eastAsia="ja-JP"/>
        </w:rPr>
      </w:pPr>
      <w:r w:rsidRPr="00D15D79">
        <w:rPr>
          <w:lang w:val="en-US" w:eastAsia="ja-JP"/>
        </w:rPr>
        <w:fldChar w:fldCharType="begin"/>
      </w:r>
      <w:r w:rsidRPr="00D15D79">
        <w:rPr>
          <w:lang w:val="en-US" w:eastAsia="ja-JP"/>
        </w:rPr>
        <w:instrText xml:space="preserve"> REF _TNCF0EB61497D79422694054A15F4673A94  \* MERGEFORMAT </w:instrText>
      </w:r>
      <w:r w:rsidRPr="00D15D79">
        <w:rPr>
          <w:lang w:val="en-US" w:eastAsia="ja-JP"/>
        </w:rPr>
        <w:fldChar w:fldCharType="separate"/>
      </w:r>
      <w:bookmarkStart w:id="56" w:name="_TN2"/>
      <w:r w:rsidR="009F5426" w:rsidRPr="009F5426">
        <w:rPr>
          <w:vertAlign w:val="superscript"/>
          <w:lang w:val="en-US" w:eastAsia="ja-JP"/>
        </w:rPr>
        <w:t>(</w:t>
      </w:r>
      <w:proofErr w:type="gramStart"/>
      <w:r w:rsidR="009F5426" w:rsidRPr="009F5426">
        <w:rPr>
          <w:vertAlign w:val="superscript"/>
          <w:lang w:val="en-US" w:eastAsia="ja-JP"/>
        </w:rPr>
        <w:t>i</w:t>
      </w:r>
      <w:proofErr w:type="gramEnd"/>
      <w:r w:rsidR="009F5426">
        <w:rPr>
          <w:sz w:val="20"/>
          <w:szCs w:val="20"/>
          <w:vertAlign w:val="superscript"/>
          <w:lang w:val="en-US" w:eastAsia="ja-JP"/>
        </w:rPr>
        <w:t>)</w:t>
      </w:r>
      <w:bookmarkEnd w:id="56"/>
      <w:r w:rsidRPr="00D15D79">
        <w:rPr>
          <w:lang w:eastAsia="ja-JP"/>
        </w:rPr>
        <w:fldChar w:fldCharType="end"/>
      </w:r>
      <w:r w:rsidRPr="00D15D79">
        <w:rPr>
          <w:lang w:val="en-US" w:eastAsia="ja-JP"/>
        </w:rPr>
        <w:t>R=</w:t>
      </w:r>
      <w:r w:rsidR="00B319AC">
        <w:rPr>
          <w:lang w:val="en-US" w:eastAsia="ja-JP"/>
        </w:rPr>
        <w:t>Randomised</w:t>
      </w:r>
      <w:r w:rsidRPr="00D15D79">
        <w:rPr>
          <w:lang w:val="en-US" w:eastAsia="ja-JP"/>
        </w:rPr>
        <w:t xml:space="preserve">; DB=Double-blind; P=Placebo-controlled trial; PG=Parallel-group; O=Open-label. </w:t>
      </w:r>
    </w:p>
    <w:p w14:paraId="7C8FF5C8" w14:textId="77777777" w:rsidR="00A22DF6" w:rsidRPr="004B4CC5" w:rsidRDefault="00A22DF6" w:rsidP="00A22DF6">
      <w:pPr>
        <w:pStyle w:val="Tabletitle"/>
        <w:rPr>
          <w:lang w:val="en-US" w:eastAsia="ja-JP"/>
        </w:rPr>
      </w:pPr>
      <w:bookmarkStart w:id="57" w:name="_Toc452381792"/>
      <w:bookmarkStart w:id="58" w:name="_Toc472947950"/>
      <w:bookmarkStart w:id="59" w:name="_Toc476549700"/>
      <w:bookmarkStart w:id="60" w:name="_Toc504229427"/>
      <w:bookmarkStart w:id="61" w:name="_Toc501293677"/>
      <w:r>
        <w:t xml:space="preserve">Table </w:t>
      </w:r>
      <w:r w:rsidR="008D769C">
        <w:t>2:</w:t>
      </w:r>
      <w:r>
        <w:rPr>
          <w:noProof/>
        </w:rPr>
        <w:t xml:space="preserve"> </w:t>
      </w:r>
      <w:r w:rsidRPr="004B4CC5">
        <w:rPr>
          <w:lang w:val="en-US" w:eastAsia="ja-JP"/>
        </w:rPr>
        <w:t xml:space="preserve">Phase </w:t>
      </w:r>
      <w:r w:rsidR="00774249">
        <w:rPr>
          <w:lang w:val="en-US" w:eastAsia="ja-JP"/>
        </w:rPr>
        <w:t>I</w:t>
      </w:r>
      <w:r w:rsidRPr="004B4CC5">
        <w:rPr>
          <w:lang w:val="en-US" w:eastAsia="ja-JP"/>
        </w:rPr>
        <w:t xml:space="preserve"> Drug-Drug Interaction Studies in Healthy Volunteers</w:t>
      </w:r>
      <w:bookmarkEnd w:id="57"/>
      <w:bookmarkEnd w:id="58"/>
      <w:bookmarkEnd w:id="59"/>
      <w:bookmarkEnd w:id="60"/>
      <w:bookmarkEnd w:id="61"/>
    </w:p>
    <w:tbl>
      <w:tblPr>
        <w:tblStyle w:val="TableTGAblue"/>
        <w:tblW w:w="5000" w:type="pct"/>
        <w:tblLook w:val="00A0" w:firstRow="1" w:lastRow="0" w:firstColumn="1" w:lastColumn="0" w:noHBand="0" w:noVBand="0"/>
      </w:tblPr>
      <w:tblGrid>
        <w:gridCol w:w="1669"/>
        <w:gridCol w:w="1381"/>
        <w:gridCol w:w="2766"/>
        <w:gridCol w:w="1855"/>
        <w:gridCol w:w="1571"/>
      </w:tblGrid>
      <w:tr w:rsidR="00A22DF6" w:rsidRPr="004B4CC5" w14:paraId="7118E129" w14:textId="77777777" w:rsidTr="00A22D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4" w:type="pct"/>
          </w:tcPr>
          <w:p w14:paraId="39D50519" w14:textId="77777777" w:rsidR="00A22DF6" w:rsidRPr="00A22DF6" w:rsidRDefault="00A22DF6" w:rsidP="00A22DF6">
            <w:pPr>
              <w:rPr>
                <w:sz w:val="20"/>
                <w:szCs w:val="20"/>
                <w:lang w:val="en-US" w:eastAsia="ja-JP"/>
              </w:rPr>
            </w:pPr>
            <w:r w:rsidRPr="00A22DF6">
              <w:rPr>
                <w:sz w:val="20"/>
                <w:szCs w:val="20"/>
                <w:lang w:val="en-US" w:eastAsia="ja-JP"/>
              </w:rPr>
              <w:t xml:space="preserve">Study No. </w:t>
            </w:r>
          </w:p>
        </w:tc>
        <w:tc>
          <w:tcPr>
            <w:tcW w:w="838" w:type="pct"/>
          </w:tcPr>
          <w:p w14:paraId="3C316B45"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Design</w:t>
            </w:r>
            <w:bookmarkStart w:id="62" w:name="_TNCB9D0F4B03D6A45A7A6D4868F1034E210"/>
            <w:r w:rsidRPr="00A22DF6">
              <w:rPr>
                <w:sz w:val="20"/>
                <w:szCs w:val="20"/>
                <w:vertAlign w:val="superscript"/>
                <w:lang w:val="en-US" w:eastAsia="ja-JP"/>
              </w:rPr>
              <w:fldChar w:fldCharType="begin"/>
            </w:r>
            <w:r w:rsidRPr="00A22DF6">
              <w:rPr>
                <w:sz w:val="20"/>
                <w:szCs w:val="20"/>
                <w:vertAlign w:val="superscript"/>
                <w:lang w:val="en-US" w:eastAsia="ja-JP"/>
              </w:rPr>
              <w:instrText xml:space="preserve"> LISTNUM TableNoteAlpha \* MERGEFORMAT \s1</w:instrText>
            </w:r>
            <w:r w:rsidRPr="00A22DF6">
              <w:rPr>
                <w:sz w:val="20"/>
                <w:szCs w:val="20"/>
                <w:lang w:eastAsia="ja-JP"/>
              </w:rPr>
              <w:fldChar w:fldCharType="end">
                <w:numberingChange w:id="63" w:author="Mark Reid" w:date="2018-10-18T09:18:00Z" w:original="(i)"/>
              </w:fldChar>
            </w:r>
            <w:bookmarkEnd w:id="62"/>
          </w:p>
        </w:tc>
        <w:tc>
          <w:tcPr>
            <w:tcW w:w="1175" w:type="pct"/>
          </w:tcPr>
          <w:p w14:paraId="4EED1214"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Objectives</w:t>
            </w:r>
          </w:p>
        </w:tc>
        <w:tc>
          <w:tcPr>
            <w:tcW w:w="1094" w:type="pct"/>
          </w:tcPr>
          <w:p w14:paraId="77DB6533"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Doses Administered</w:t>
            </w:r>
          </w:p>
        </w:tc>
        <w:tc>
          <w:tcPr>
            <w:tcW w:w="899" w:type="pct"/>
          </w:tcPr>
          <w:p w14:paraId="36C650DC"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Population</w:t>
            </w:r>
          </w:p>
        </w:tc>
      </w:tr>
      <w:tr w:rsidR="00A22DF6" w:rsidRPr="004B4CC5" w14:paraId="519A31CB" w14:textId="77777777" w:rsidTr="00A22DF6">
        <w:tc>
          <w:tcPr>
            <w:cnfStyle w:val="001000000000" w:firstRow="0" w:lastRow="0" w:firstColumn="1" w:lastColumn="0" w:oddVBand="0" w:evenVBand="0" w:oddHBand="0" w:evenHBand="0" w:firstRowFirstColumn="0" w:firstRowLastColumn="0" w:lastRowFirstColumn="0" w:lastRowLastColumn="0"/>
            <w:tcW w:w="994" w:type="pct"/>
          </w:tcPr>
          <w:p w14:paraId="6282C88B" w14:textId="77777777" w:rsidR="00A22DF6" w:rsidRPr="00A22DF6" w:rsidRDefault="00A22DF6" w:rsidP="00A22DF6">
            <w:pPr>
              <w:rPr>
                <w:sz w:val="20"/>
                <w:szCs w:val="20"/>
                <w:lang w:val="en-US" w:eastAsia="ja-JP"/>
              </w:rPr>
            </w:pPr>
            <w:r w:rsidRPr="00A22DF6">
              <w:rPr>
                <w:sz w:val="20"/>
                <w:szCs w:val="20"/>
                <w:lang w:val="en-US" w:eastAsia="ja-JP"/>
              </w:rPr>
              <w:t>015</w:t>
            </w:r>
          </w:p>
        </w:tc>
        <w:tc>
          <w:tcPr>
            <w:tcW w:w="838" w:type="pct"/>
          </w:tcPr>
          <w:p w14:paraId="4E547701"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O, SS</w:t>
            </w:r>
          </w:p>
        </w:tc>
        <w:tc>
          <w:tcPr>
            <w:tcW w:w="1175" w:type="pct"/>
          </w:tcPr>
          <w:p w14:paraId="19663A88"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PK and DDI of tafenoquine+desipramine</w:t>
            </w:r>
          </w:p>
        </w:tc>
        <w:tc>
          <w:tcPr>
            <w:tcW w:w="1094" w:type="pct"/>
          </w:tcPr>
          <w:p w14:paraId="01E02CBB"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 days</w:t>
            </w:r>
          </w:p>
        </w:tc>
        <w:tc>
          <w:tcPr>
            <w:tcW w:w="899" w:type="pct"/>
          </w:tcPr>
          <w:p w14:paraId="1020B3B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34; 20M/14F</w:t>
            </w:r>
          </w:p>
        </w:tc>
      </w:tr>
      <w:tr w:rsidR="00A22DF6" w:rsidRPr="004B4CC5" w14:paraId="5E542910" w14:textId="77777777" w:rsidTr="00A22DF6">
        <w:tc>
          <w:tcPr>
            <w:cnfStyle w:val="001000000000" w:firstRow="0" w:lastRow="0" w:firstColumn="1" w:lastColumn="0" w:oddVBand="0" w:evenVBand="0" w:oddHBand="0" w:evenHBand="0" w:firstRowFirstColumn="0" w:firstRowLastColumn="0" w:lastRowFirstColumn="0" w:lastRowLastColumn="0"/>
            <w:tcW w:w="994" w:type="pct"/>
          </w:tcPr>
          <w:p w14:paraId="237514D6" w14:textId="77777777" w:rsidR="00A22DF6" w:rsidRPr="00A22DF6" w:rsidRDefault="00A22DF6" w:rsidP="00A22DF6">
            <w:pPr>
              <w:rPr>
                <w:sz w:val="20"/>
                <w:szCs w:val="20"/>
                <w:lang w:val="en-US" w:eastAsia="ja-JP"/>
              </w:rPr>
            </w:pPr>
            <w:r w:rsidRPr="00A22DF6">
              <w:rPr>
                <w:sz w:val="20"/>
                <w:szCs w:val="20"/>
                <w:lang w:val="en-US" w:eastAsia="ja-JP"/>
              </w:rPr>
              <w:t>040</w:t>
            </w:r>
          </w:p>
        </w:tc>
        <w:tc>
          <w:tcPr>
            <w:tcW w:w="838" w:type="pct"/>
          </w:tcPr>
          <w:p w14:paraId="5DAD1248"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O, TP, NR, C</w:t>
            </w:r>
          </w:p>
        </w:tc>
        <w:tc>
          <w:tcPr>
            <w:tcW w:w="1175" w:type="pct"/>
          </w:tcPr>
          <w:p w14:paraId="53A34B5E"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PK and DDI of tafenoquine+midazolam, flurbiprofen, caffeine</w:t>
            </w:r>
          </w:p>
        </w:tc>
        <w:tc>
          <w:tcPr>
            <w:tcW w:w="1094" w:type="pct"/>
          </w:tcPr>
          <w:p w14:paraId="3A8F2E9D"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 days</w:t>
            </w:r>
          </w:p>
        </w:tc>
        <w:tc>
          <w:tcPr>
            <w:tcW w:w="899" w:type="pct"/>
          </w:tcPr>
          <w:p w14:paraId="21FC123B"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28; 18M/10F</w:t>
            </w:r>
          </w:p>
        </w:tc>
      </w:tr>
    </w:tbl>
    <w:p w14:paraId="5DB83D87" w14:textId="5E0115F9" w:rsidR="00A22DF6" w:rsidRPr="00D15D79" w:rsidRDefault="00A22DF6" w:rsidP="00A22DF6">
      <w:pPr>
        <w:rPr>
          <w:sz w:val="18"/>
          <w:szCs w:val="18"/>
          <w:lang w:val="en-US" w:eastAsia="ja-JP"/>
        </w:rPr>
      </w:pPr>
      <w:r w:rsidRPr="00D15D79">
        <w:rPr>
          <w:sz w:val="18"/>
          <w:szCs w:val="18"/>
          <w:lang w:val="en-US" w:eastAsia="ja-JP"/>
        </w:rPr>
        <w:fldChar w:fldCharType="begin"/>
      </w:r>
      <w:r w:rsidRPr="00D15D79">
        <w:rPr>
          <w:sz w:val="18"/>
          <w:szCs w:val="18"/>
          <w:lang w:val="en-US" w:eastAsia="ja-JP"/>
        </w:rPr>
        <w:instrText xml:space="preserve"> REF _TNCB9D0F4B03D6A45A7A6D4868F1034E210  \* MERGEFORMAT </w:instrText>
      </w:r>
      <w:r w:rsidRPr="00D15D79">
        <w:rPr>
          <w:sz w:val="18"/>
          <w:szCs w:val="18"/>
          <w:lang w:val="en-US" w:eastAsia="ja-JP"/>
        </w:rPr>
        <w:fldChar w:fldCharType="separate"/>
      </w:r>
      <w:bookmarkStart w:id="64" w:name="_TN1"/>
      <w:r w:rsidR="009F5426" w:rsidRPr="009F5426">
        <w:rPr>
          <w:sz w:val="18"/>
          <w:szCs w:val="18"/>
          <w:vertAlign w:val="superscript"/>
          <w:lang w:val="en-US" w:eastAsia="ja-JP"/>
        </w:rPr>
        <w:t>(</w:t>
      </w:r>
      <w:proofErr w:type="gramStart"/>
      <w:r w:rsidR="009F5426" w:rsidRPr="009F5426">
        <w:rPr>
          <w:sz w:val="18"/>
          <w:szCs w:val="18"/>
          <w:vertAlign w:val="superscript"/>
          <w:lang w:val="en-US" w:eastAsia="ja-JP"/>
        </w:rPr>
        <w:t>i</w:t>
      </w:r>
      <w:proofErr w:type="gramEnd"/>
      <w:r w:rsidR="009F5426">
        <w:rPr>
          <w:sz w:val="20"/>
          <w:szCs w:val="20"/>
          <w:vertAlign w:val="superscript"/>
          <w:lang w:val="en-US" w:eastAsia="ja-JP"/>
        </w:rPr>
        <w:t>)</w:t>
      </w:r>
      <w:bookmarkEnd w:id="64"/>
      <w:r w:rsidRPr="00D15D79">
        <w:rPr>
          <w:sz w:val="18"/>
          <w:szCs w:val="18"/>
          <w:lang w:eastAsia="ja-JP"/>
        </w:rPr>
        <w:fldChar w:fldCharType="end"/>
      </w:r>
      <w:r w:rsidRPr="00D15D79">
        <w:rPr>
          <w:sz w:val="18"/>
          <w:szCs w:val="18"/>
          <w:lang w:val="en-US" w:eastAsia="ja-JP"/>
        </w:rPr>
        <w:t>O=Open-label; SS=Single sequence; TP=Two-period; NR=Non</w:t>
      </w:r>
      <w:r w:rsidR="00B319AC">
        <w:rPr>
          <w:sz w:val="18"/>
          <w:szCs w:val="18"/>
          <w:lang w:val="en-US" w:eastAsia="ja-JP"/>
        </w:rPr>
        <w:t>-randomised</w:t>
      </w:r>
      <w:r w:rsidRPr="00D15D79">
        <w:rPr>
          <w:sz w:val="18"/>
          <w:szCs w:val="18"/>
          <w:lang w:val="en-US" w:eastAsia="ja-JP"/>
        </w:rPr>
        <w:t>; C=Crossover; DDI = Drug-drug interaction.</w:t>
      </w:r>
    </w:p>
    <w:p w14:paraId="001D4168" w14:textId="77777777" w:rsidR="00A22DF6" w:rsidRPr="004B4CC5" w:rsidRDefault="00A22DF6" w:rsidP="00A22DF6">
      <w:pPr>
        <w:pStyle w:val="Tabletitle"/>
        <w:rPr>
          <w:lang w:val="en-US" w:eastAsia="ja-JP"/>
        </w:rPr>
      </w:pPr>
      <w:bookmarkStart w:id="65" w:name="_Toc452381793"/>
      <w:bookmarkStart w:id="66" w:name="_Toc472947951"/>
      <w:bookmarkStart w:id="67" w:name="_Toc476549701"/>
      <w:bookmarkStart w:id="68" w:name="_Toc504229428"/>
      <w:bookmarkStart w:id="69" w:name="_Toc501293678"/>
      <w:r>
        <w:t xml:space="preserve">Table </w:t>
      </w:r>
      <w:r w:rsidR="008D769C">
        <w:t>3:</w:t>
      </w:r>
      <w:r>
        <w:t xml:space="preserve"> </w:t>
      </w:r>
      <w:r w:rsidRPr="004B4CC5">
        <w:rPr>
          <w:lang w:val="en-US" w:eastAsia="ja-JP"/>
        </w:rPr>
        <w:t xml:space="preserve">Phase </w:t>
      </w:r>
      <w:r w:rsidR="008D769C">
        <w:rPr>
          <w:lang w:val="en-US" w:eastAsia="ja-JP"/>
        </w:rPr>
        <w:t>I</w:t>
      </w:r>
      <w:r w:rsidRPr="004B4CC5">
        <w:rPr>
          <w:lang w:val="en-US" w:eastAsia="ja-JP"/>
        </w:rPr>
        <w:t xml:space="preserve"> Malaria Challenge Studies in Healthy Volunteers</w:t>
      </w:r>
      <w:bookmarkEnd w:id="65"/>
      <w:bookmarkEnd w:id="66"/>
      <w:bookmarkEnd w:id="67"/>
      <w:bookmarkEnd w:id="68"/>
      <w:bookmarkEnd w:id="69"/>
    </w:p>
    <w:tbl>
      <w:tblPr>
        <w:tblStyle w:val="TableTGAblue"/>
        <w:tblW w:w="5000" w:type="pct"/>
        <w:tblLook w:val="00A0" w:firstRow="1" w:lastRow="0" w:firstColumn="1" w:lastColumn="0" w:noHBand="0" w:noVBand="0"/>
      </w:tblPr>
      <w:tblGrid>
        <w:gridCol w:w="1829"/>
        <w:gridCol w:w="1450"/>
        <w:gridCol w:w="2208"/>
        <w:gridCol w:w="2184"/>
        <w:gridCol w:w="1571"/>
      </w:tblGrid>
      <w:tr w:rsidR="00A22DF6" w:rsidRPr="00A22DF6" w14:paraId="416B2182" w14:textId="77777777" w:rsidTr="00A22D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tcPr>
          <w:p w14:paraId="7D62F2B1" w14:textId="77777777" w:rsidR="00A22DF6" w:rsidRPr="00A22DF6" w:rsidRDefault="00A22DF6" w:rsidP="00A22DF6">
            <w:pPr>
              <w:rPr>
                <w:sz w:val="20"/>
                <w:szCs w:val="20"/>
                <w:lang w:val="en-US" w:eastAsia="ja-JP"/>
              </w:rPr>
            </w:pPr>
            <w:r w:rsidRPr="00A22DF6">
              <w:rPr>
                <w:sz w:val="20"/>
                <w:szCs w:val="20"/>
                <w:lang w:val="en-US" w:eastAsia="ja-JP"/>
              </w:rPr>
              <w:t xml:space="preserve">Study No. </w:t>
            </w:r>
          </w:p>
        </w:tc>
        <w:tc>
          <w:tcPr>
            <w:tcW w:w="795" w:type="pct"/>
          </w:tcPr>
          <w:p w14:paraId="58056E2E"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Design</w:t>
            </w:r>
            <w:bookmarkStart w:id="70" w:name="_TNC7E60FF9401984786BED3BB04CCE1A4D1"/>
            <w:r w:rsidRPr="00A22DF6">
              <w:rPr>
                <w:sz w:val="20"/>
                <w:szCs w:val="20"/>
                <w:vertAlign w:val="superscript"/>
                <w:lang w:val="en-US" w:eastAsia="ja-JP"/>
              </w:rPr>
              <w:fldChar w:fldCharType="begin"/>
            </w:r>
            <w:r w:rsidRPr="00A22DF6">
              <w:rPr>
                <w:sz w:val="20"/>
                <w:szCs w:val="20"/>
                <w:vertAlign w:val="superscript"/>
                <w:lang w:val="en-US" w:eastAsia="ja-JP"/>
              </w:rPr>
              <w:instrText xml:space="preserve"> LISTNUM TableNoteAlpha \* MERGEFORMAT \s1</w:instrText>
            </w:r>
            <w:r w:rsidRPr="00A22DF6">
              <w:rPr>
                <w:sz w:val="20"/>
                <w:szCs w:val="20"/>
                <w:lang w:eastAsia="ja-JP"/>
              </w:rPr>
              <w:fldChar w:fldCharType="end">
                <w:numberingChange w:id="71" w:author="Mark Reid" w:date="2018-10-18T09:18:00Z" w:original="(i)"/>
              </w:fldChar>
            </w:r>
            <w:bookmarkEnd w:id="70"/>
          </w:p>
        </w:tc>
        <w:tc>
          <w:tcPr>
            <w:tcW w:w="1205" w:type="pct"/>
          </w:tcPr>
          <w:p w14:paraId="6360C8EE"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Objectives</w:t>
            </w:r>
          </w:p>
        </w:tc>
        <w:tc>
          <w:tcPr>
            <w:tcW w:w="1192" w:type="pct"/>
          </w:tcPr>
          <w:p w14:paraId="130933B9"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Doses Administered</w:t>
            </w:r>
          </w:p>
        </w:tc>
        <w:tc>
          <w:tcPr>
            <w:tcW w:w="808" w:type="pct"/>
          </w:tcPr>
          <w:p w14:paraId="6311EAD7" w14:textId="77777777" w:rsidR="00A22DF6" w:rsidRPr="00A22DF6" w:rsidRDefault="00A22DF6" w:rsidP="00A22DF6">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Population</w:t>
            </w:r>
          </w:p>
        </w:tc>
      </w:tr>
      <w:tr w:rsidR="00A22DF6" w:rsidRPr="004B4CC5" w14:paraId="53F7BE17" w14:textId="77777777" w:rsidTr="00A22DF6">
        <w:tc>
          <w:tcPr>
            <w:cnfStyle w:val="001000000000" w:firstRow="0" w:lastRow="0" w:firstColumn="1" w:lastColumn="0" w:oddVBand="0" w:evenVBand="0" w:oddHBand="0" w:evenHBand="0" w:firstRowFirstColumn="0" w:firstRowLastColumn="0" w:lastRowFirstColumn="0" w:lastRowLastColumn="0"/>
            <w:tcW w:w="5000" w:type="pct"/>
            <w:gridSpan w:val="5"/>
          </w:tcPr>
          <w:p w14:paraId="45F1452E" w14:textId="77777777" w:rsidR="00A22DF6" w:rsidRPr="00A22DF6" w:rsidRDefault="00A22DF6" w:rsidP="00A22DF6">
            <w:pPr>
              <w:rPr>
                <w:sz w:val="20"/>
                <w:szCs w:val="20"/>
                <w:lang w:val="en-US" w:eastAsia="ja-JP"/>
              </w:rPr>
            </w:pPr>
            <w:r w:rsidRPr="00A22DF6">
              <w:rPr>
                <w:sz w:val="20"/>
                <w:szCs w:val="20"/>
                <w:lang w:val="en-US" w:eastAsia="ja-JP"/>
              </w:rPr>
              <w:t>Single-Dose Studies</w:t>
            </w:r>
          </w:p>
        </w:tc>
      </w:tr>
      <w:tr w:rsidR="00A22DF6" w:rsidRPr="004B4CC5" w14:paraId="504D62EB" w14:textId="77777777" w:rsidTr="00A22DF6">
        <w:tc>
          <w:tcPr>
            <w:cnfStyle w:val="001000000000" w:firstRow="0" w:lastRow="0" w:firstColumn="1" w:lastColumn="0" w:oddVBand="0" w:evenVBand="0" w:oddHBand="0" w:evenHBand="0" w:firstRowFirstColumn="0" w:firstRowLastColumn="0" w:lastRowFirstColumn="0" w:lastRowLastColumn="0"/>
            <w:tcW w:w="1000" w:type="pct"/>
          </w:tcPr>
          <w:p w14:paraId="62446407" w14:textId="6B300E0C" w:rsidR="00A22DF6" w:rsidRPr="00A22DF6" w:rsidRDefault="00A22DF6" w:rsidP="00A40C4D">
            <w:pPr>
              <w:rPr>
                <w:sz w:val="20"/>
                <w:szCs w:val="20"/>
                <w:lang w:val="en-US" w:eastAsia="ja-JP"/>
              </w:rPr>
            </w:pPr>
            <w:r w:rsidRPr="00A22DF6">
              <w:rPr>
                <w:sz w:val="20"/>
                <w:szCs w:val="20"/>
                <w:lang w:val="en-US" w:eastAsia="ja-JP"/>
              </w:rPr>
              <w:t>053</w:t>
            </w:r>
          </w:p>
        </w:tc>
        <w:tc>
          <w:tcPr>
            <w:tcW w:w="795" w:type="pct"/>
          </w:tcPr>
          <w:p w14:paraId="74BE3B0E"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205" w:type="pct"/>
          </w:tcPr>
          <w:p w14:paraId="40EC721C"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Determine prophylactic efficacy of tafenoquine against </w:t>
            </w:r>
            <w:r w:rsidR="007B0EBB" w:rsidRPr="007B0EBB">
              <w:rPr>
                <w:sz w:val="20"/>
                <w:szCs w:val="20"/>
                <w:lang w:val="en-US" w:eastAsia="ja-JP"/>
              </w:rPr>
              <w:t>Pf</w:t>
            </w:r>
            <w:r w:rsidRPr="00A22DF6">
              <w:rPr>
                <w:i/>
                <w:sz w:val="20"/>
                <w:szCs w:val="20"/>
                <w:lang w:val="en-US" w:eastAsia="ja-JP"/>
              </w:rPr>
              <w:t xml:space="preserve"> </w:t>
            </w:r>
            <w:r w:rsidRPr="00A22DF6">
              <w:rPr>
                <w:sz w:val="20"/>
                <w:szCs w:val="20"/>
                <w:lang w:val="en-US" w:eastAsia="ja-JP"/>
              </w:rPr>
              <w:t>malaria in non-immune fasted subjects when given prior to mosquito inoculation</w:t>
            </w:r>
          </w:p>
        </w:tc>
        <w:tc>
          <w:tcPr>
            <w:tcW w:w="1192" w:type="pct"/>
          </w:tcPr>
          <w:p w14:paraId="49E276E9"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600 mg</w:t>
            </w:r>
          </w:p>
        </w:tc>
        <w:tc>
          <w:tcPr>
            <w:tcW w:w="808" w:type="pct"/>
          </w:tcPr>
          <w:p w14:paraId="0FF8A137"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N=6; 4M/2F</w:t>
            </w:r>
          </w:p>
        </w:tc>
      </w:tr>
      <w:tr w:rsidR="00A22DF6" w:rsidRPr="004B4CC5" w14:paraId="691BF493" w14:textId="77777777" w:rsidTr="00A22DF6">
        <w:tc>
          <w:tcPr>
            <w:cnfStyle w:val="001000000000" w:firstRow="0" w:lastRow="0" w:firstColumn="1" w:lastColumn="0" w:oddVBand="0" w:evenVBand="0" w:oddHBand="0" w:evenHBand="0" w:firstRowFirstColumn="0" w:firstRowLastColumn="0" w:lastRowFirstColumn="0" w:lastRowLastColumn="0"/>
            <w:tcW w:w="5000" w:type="pct"/>
            <w:gridSpan w:val="5"/>
          </w:tcPr>
          <w:p w14:paraId="43D8A418" w14:textId="77777777" w:rsidR="00A22DF6" w:rsidRPr="00A22DF6" w:rsidRDefault="00A22DF6" w:rsidP="00A22DF6">
            <w:pPr>
              <w:rPr>
                <w:sz w:val="20"/>
                <w:szCs w:val="20"/>
                <w:lang w:val="en-US" w:eastAsia="ja-JP"/>
              </w:rPr>
            </w:pPr>
            <w:r w:rsidRPr="00A22DF6">
              <w:rPr>
                <w:sz w:val="20"/>
                <w:szCs w:val="20"/>
                <w:lang w:val="en-US" w:eastAsia="ja-JP"/>
              </w:rPr>
              <w:t>Multiple-Dose Studies</w:t>
            </w:r>
          </w:p>
        </w:tc>
      </w:tr>
      <w:tr w:rsidR="00A22DF6" w:rsidRPr="004B4CC5" w14:paraId="75B19D76" w14:textId="77777777" w:rsidTr="00A22DF6">
        <w:tc>
          <w:tcPr>
            <w:cnfStyle w:val="001000000000" w:firstRow="0" w:lastRow="0" w:firstColumn="1" w:lastColumn="0" w:oddVBand="0" w:evenVBand="0" w:oddHBand="0" w:evenHBand="0" w:firstRowFirstColumn="0" w:firstRowLastColumn="0" w:lastRowFirstColumn="0" w:lastRowLastColumn="0"/>
            <w:tcW w:w="1000" w:type="pct"/>
          </w:tcPr>
          <w:p w14:paraId="70828CA8" w14:textId="77777777" w:rsidR="00A22DF6" w:rsidRPr="00A22DF6" w:rsidRDefault="00A22DF6" w:rsidP="00A22DF6">
            <w:pPr>
              <w:rPr>
                <w:sz w:val="20"/>
                <w:szCs w:val="20"/>
                <w:lang w:val="en-US" w:eastAsia="ja-JP"/>
              </w:rPr>
            </w:pPr>
            <w:r w:rsidRPr="00A22DF6">
              <w:rPr>
                <w:sz w:val="20"/>
                <w:szCs w:val="20"/>
                <w:lang w:val="en-US" w:eastAsia="ja-JP"/>
              </w:rPr>
              <w:lastRenderedPageBreak/>
              <w:t>054</w:t>
            </w:r>
          </w:p>
        </w:tc>
        <w:tc>
          <w:tcPr>
            <w:tcW w:w="795" w:type="pct"/>
          </w:tcPr>
          <w:p w14:paraId="5B5B0064"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205" w:type="pct"/>
          </w:tcPr>
          <w:p w14:paraId="4D2AE3CE"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Determine whether tafenoquine was prophylactic against </w:t>
            </w:r>
            <w:r w:rsidR="007B0EBB" w:rsidRPr="007B0EBB">
              <w:rPr>
                <w:sz w:val="20"/>
                <w:szCs w:val="20"/>
                <w:lang w:val="en-US" w:eastAsia="ja-JP"/>
              </w:rPr>
              <w:t>Pf</w:t>
            </w:r>
            <w:r w:rsidRPr="00A22DF6">
              <w:rPr>
                <w:sz w:val="20"/>
                <w:szCs w:val="20"/>
                <w:lang w:val="en-US" w:eastAsia="ja-JP"/>
              </w:rPr>
              <w:t xml:space="preserve"> malaria</w:t>
            </w:r>
          </w:p>
          <w:p w14:paraId="017229C3"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Gather PK (tafenoquine co-administered with food) and Safety data.</w:t>
            </w:r>
          </w:p>
        </w:tc>
        <w:tc>
          <w:tcPr>
            <w:tcW w:w="1192" w:type="pct"/>
          </w:tcPr>
          <w:p w14:paraId="13B8BBBD"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600 mg daily x 2 days, then 300 mg weekly x 4 weeks</w:t>
            </w:r>
            <w:r w:rsidRPr="00A22DF6">
              <w:rPr>
                <w:sz w:val="20"/>
                <w:szCs w:val="20"/>
                <w:lang w:val="en-US" w:eastAsia="ja-JP"/>
              </w:rPr>
              <w:br/>
              <w:t>or</w:t>
            </w:r>
            <w:r w:rsidRPr="00A22DF6">
              <w:rPr>
                <w:sz w:val="20"/>
                <w:szCs w:val="20"/>
                <w:lang w:val="en-US" w:eastAsia="ja-JP"/>
              </w:rPr>
              <w:br/>
              <w:t>600 mg daily x 2 days, then 300 mg one week later</w:t>
            </w:r>
          </w:p>
        </w:tc>
        <w:tc>
          <w:tcPr>
            <w:tcW w:w="808" w:type="pct"/>
          </w:tcPr>
          <w:p w14:paraId="31070759"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N=10; 10M/0F</w:t>
            </w:r>
          </w:p>
        </w:tc>
      </w:tr>
      <w:tr w:rsidR="00A22DF6" w:rsidRPr="004B4CC5" w14:paraId="41CDBDDB" w14:textId="77777777" w:rsidTr="00A22DF6">
        <w:tc>
          <w:tcPr>
            <w:cnfStyle w:val="001000000000" w:firstRow="0" w:lastRow="0" w:firstColumn="1" w:lastColumn="0" w:oddVBand="0" w:evenVBand="0" w:oddHBand="0" w:evenHBand="0" w:firstRowFirstColumn="0" w:firstRowLastColumn="0" w:lastRowFirstColumn="0" w:lastRowLastColumn="0"/>
            <w:tcW w:w="1000" w:type="pct"/>
          </w:tcPr>
          <w:p w14:paraId="39F29BEF" w14:textId="77777777" w:rsidR="00A22DF6" w:rsidRPr="00A22DF6" w:rsidRDefault="00A22DF6" w:rsidP="00A22DF6">
            <w:pPr>
              <w:rPr>
                <w:sz w:val="20"/>
                <w:szCs w:val="20"/>
                <w:lang w:val="en-US" w:eastAsia="ja-JP"/>
              </w:rPr>
            </w:pPr>
            <w:r w:rsidRPr="00A22DF6">
              <w:rPr>
                <w:sz w:val="20"/>
                <w:szCs w:val="20"/>
                <w:lang w:val="en-US" w:eastAsia="ja-JP"/>
              </w:rPr>
              <w:t>TQ-2016-02</w:t>
            </w:r>
          </w:p>
        </w:tc>
        <w:tc>
          <w:tcPr>
            <w:tcW w:w="795" w:type="pct"/>
          </w:tcPr>
          <w:p w14:paraId="2B54FCD0"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205" w:type="pct"/>
          </w:tcPr>
          <w:p w14:paraId="76737AFF"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Evaluate the prophylactic activity of tafenoquine against challenge with </w:t>
            </w:r>
            <w:r w:rsidR="007B0EBB" w:rsidRPr="007B0EBB">
              <w:rPr>
                <w:sz w:val="20"/>
                <w:szCs w:val="20"/>
                <w:lang w:val="en-US" w:eastAsia="ja-JP"/>
              </w:rPr>
              <w:t>Pf</w:t>
            </w:r>
            <w:r w:rsidRPr="00A22DF6">
              <w:rPr>
                <w:sz w:val="20"/>
                <w:szCs w:val="20"/>
                <w:lang w:val="en-US" w:eastAsia="ja-JP"/>
              </w:rPr>
              <w:t xml:space="preserve"> asexual blood stage parasites in non-immune participants; characterize the exposure-response relationship for tafenoquine; and provide safety and tolerability data for tafenoquine in a controlled disease-like setting.</w:t>
            </w:r>
          </w:p>
        </w:tc>
        <w:tc>
          <w:tcPr>
            <w:tcW w:w="1192" w:type="pct"/>
          </w:tcPr>
          <w:p w14:paraId="474274C2"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 mg daily x 3 days, then 200 mg one week later</w:t>
            </w:r>
          </w:p>
        </w:tc>
        <w:tc>
          <w:tcPr>
            <w:tcW w:w="808" w:type="pct"/>
          </w:tcPr>
          <w:p w14:paraId="5B861483" w14:textId="77777777" w:rsidR="00A22DF6" w:rsidRPr="00A22DF6" w:rsidRDefault="00A22DF6" w:rsidP="00A22DF6">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N=16</w:t>
            </w:r>
          </w:p>
        </w:tc>
      </w:tr>
    </w:tbl>
    <w:p w14:paraId="0CF9535A" w14:textId="0CE89098" w:rsidR="00A22DF6" w:rsidRPr="00D15D79" w:rsidRDefault="00A22DF6" w:rsidP="00A22DF6">
      <w:pPr>
        <w:pStyle w:val="TableDescription"/>
        <w:rPr>
          <w:lang w:val="en-US" w:eastAsia="ja-JP"/>
        </w:rPr>
      </w:pPr>
      <w:r w:rsidRPr="00D15D79">
        <w:rPr>
          <w:lang w:val="en-US" w:eastAsia="ja-JP"/>
        </w:rPr>
        <w:fldChar w:fldCharType="begin"/>
      </w:r>
      <w:r w:rsidRPr="00D15D79">
        <w:rPr>
          <w:lang w:val="en-US" w:eastAsia="ja-JP"/>
        </w:rPr>
        <w:instrText xml:space="preserve"> REF _TNC7E60FF9401984786BED3BB04CCE1A4D1  \* MERGEFORMAT </w:instrText>
      </w:r>
      <w:r w:rsidRPr="00D15D79">
        <w:rPr>
          <w:lang w:val="en-US" w:eastAsia="ja-JP"/>
        </w:rPr>
        <w:fldChar w:fldCharType="separate"/>
      </w:r>
      <w:bookmarkStart w:id="72" w:name="_TN3"/>
      <w:r w:rsidR="009F5426" w:rsidRPr="009F5426">
        <w:rPr>
          <w:vertAlign w:val="superscript"/>
          <w:lang w:val="en-US" w:eastAsia="ja-JP"/>
        </w:rPr>
        <w:t>(</w:t>
      </w:r>
      <w:proofErr w:type="gramStart"/>
      <w:r w:rsidR="009F5426" w:rsidRPr="009F5426">
        <w:rPr>
          <w:vertAlign w:val="superscript"/>
          <w:lang w:val="en-US" w:eastAsia="ja-JP"/>
        </w:rPr>
        <w:t>i</w:t>
      </w:r>
      <w:proofErr w:type="gramEnd"/>
      <w:r w:rsidR="009F5426">
        <w:rPr>
          <w:sz w:val="20"/>
          <w:szCs w:val="20"/>
          <w:vertAlign w:val="superscript"/>
          <w:lang w:val="en-US" w:eastAsia="ja-JP"/>
        </w:rPr>
        <w:t>)</w:t>
      </w:r>
      <w:bookmarkEnd w:id="72"/>
      <w:r w:rsidRPr="00D15D79">
        <w:rPr>
          <w:lang w:eastAsia="ja-JP"/>
        </w:rPr>
        <w:fldChar w:fldCharType="end"/>
      </w:r>
      <w:r w:rsidRPr="00D15D79">
        <w:rPr>
          <w:lang w:val="en-US" w:eastAsia="ja-JP"/>
        </w:rPr>
        <w:t>RCT=</w:t>
      </w:r>
      <w:r w:rsidR="00B319AC">
        <w:rPr>
          <w:lang w:val="en-US" w:eastAsia="ja-JP"/>
        </w:rPr>
        <w:t>Randomised</w:t>
      </w:r>
      <w:r w:rsidRPr="00D15D79">
        <w:rPr>
          <w:lang w:val="en-US" w:eastAsia="ja-JP"/>
        </w:rPr>
        <w:t>; DB=Double-blind; PC=Placebo-controlled. O=open label</w:t>
      </w:r>
    </w:p>
    <w:p w14:paraId="53FF6089" w14:textId="77777777" w:rsidR="00A22DF6" w:rsidRPr="004B4CC5" w:rsidRDefault="00A22DF6" w:rsidP="00A22DF6">
      <w:pPr>
        <w:pStyle w:val="Tabletitle"/>
        <w:rPr>
          <w:lang w:val="en-US" w:eastAsia="ja-JP"/>
        </w:rPr>
      </w:pPr>
      <w:bookmarkStart w:id="73" w:name="_Toc452381795"/>
      <w:bookmarkStart w:id="74" w:name="_Toc472947952"/>
      <w:bookmarkStart w:id="75" w:name="_Toc476549702"/>
      <w:bookmarkStart w:id="76" w:name="_Toc504229429"/>
      <w:bookmarkStart w:id="77" w:name="_Toc501293679"/>
      <w:r>
        <w:t xml:space="preserve">Table </w:t>
      </w:r>
      <w:r w:rsidR="008D769C">
        <w:t>4:</w:t>
      </w:r>
      <w:r>
        <w:t xml:space="preserve"> </w:t>
      </w:r>
      <w:r w:rsidRPr="004B4CC5">
        <w:rPr>
          <w:lang w:val="en-US" w:eastAsia="ja-JP"/>
        </w:rPr>
        <w:t xml:space="preserve">Malaria Prophylaxis Studies (Phase </w:t>
      </w:r>
      <w:r>
        <w:rPr>
          <w:lang w:val="en-US" w:eastAsia="ja-JP"/>
        </w:rPr>
        <w:t xml:space="preserve">II </w:t>
      </w:r>
      <w:r w:rsidRPr="004B4CC5">
        <w:rPr>
          <w:lang w:val="en-US" w:eastAsia="ja-JP"/>
        </w:rPr>
        <w:t xml:space="preserve">and </w:t>
      </w:r>
      <w:r>
        <w:rPr>
          <w:lang w:val="en-US" w:eastAsia="ja-JP"/>
        </w:rPr>
        <w:t>III</w:t>
      </w:r>
      <w:r w:rsidRPr="004B4CC5">
        <w:rPr>
          <w:lang w:val="en-US" w:eastAsia="ja-JP"/>
        </w:rPr>
        <w:t>)</w:t>
      </w:r>
      <w:bookmarkEnd w:id="73"/>
      <w:bookmarkEnd w:id="74"/>
      <w:bookmarkEnd w:id="75"/>
      <w:bookmarkEnd w:id="76"/>
      <w:bookmarkEnd w:id="77"/>
    </w:p>
    <w:tbl>
      <w:tblPr>
        <w:tblStyle w:val="TableTGAblue"/>
        <w:tblW w:w="5000" w:type="pct"/>
        <w:tblLook w:val="00A0" w:firstRow="1" w:lastRow="0" w:firstColumn="1" w:lastColumn="0" w:noHBand="0" w:noVBand="0"/>
      </w:tblPr>
      <w:tblGrid>
        <w:gridCol w:w="1773"/>
        <w:gridCol w:w="1773"/>
        <w:gridCol w:w="2150"/>
        <w:gridCol w:w="1868"/>
        <w:gridCol w:w="1678"/>
      </w:tblGrid>
      <w:tr w:rsidR="00A22DF6" w:rsidRPr="004B4CC5" w14:paraId="49941ED9" w14:textId="77777777" w:rsidTr="00A22D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77" w:type="pct"/>
          </w:tcPr>
          <w:p w14:paraId="0727547F" w14:textId="77777777" w:rsidR="00A22DF6" w:rsidRPr="00A22DF6" w:rsidRDefault="00A22DF6" w:rsidP="008D769C">
            <w:pPr>
              <w:rPr>
                <w:sz w:val="20"/>
                <w:szCs w:val="20"/>
                <w:lang w:val="en-US" w:eastAsia="ja-JP"/>
              </w:rPr>
            </w:pPr>
            <w:r w:rsidRPr="00A22DF6">
              <w:rPr>
                <w:sz w:val="20"/>
                <w:szCs w:val="20"/>
                <w:lang w:val="en-US" w:eastAsia="ja-JP"/>
              </w:rPr>
              <w:t>Study No.</w:t>
            </w:r>
          </w:p>
        </w:tc>
        <w:tc>
          <w:tcPr>
            <w:tcW w:w="977" w:type="pct"/>
          </w:tcPr>
          <w:p w14:paraId="0AE12EC2"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Design</w:t>
            </w:r>
            <w:bookmarkStart w:id="78" w:name="_TNCE4E2369413F14DCBB17015607D221D2F"/>
            <w:r w:rsidRPr="00A22DF6">
              <w:rPr>
                <w:sz w:val="20"/>
                <w:szCs w:val="20"/>
                <w:vertAlign w:val="superscript"/>
                <w:lang w:val="en-US" w:eastAsia="ja-JP"/>
              </w:rPr>
              <w:fldChar w:fldCharType="begin"/>
            </w:r>
            <w:r w:rsidRPr="00A22DF6">
              <w:rPr>
                <w:sz w:val="20"/>
                <w:szCs w:val="20"/>
                <w:vertAlign w:val="superscript"/>
                <w:lang w:val="en-US" w:eastAsia="ja-JP"/>
              </w:rPr>
              <w:instrText xml:space="preserve"> LISTNUM TableNoteAlpha \* MERGEFORMAT \s1</w:instrText>
            </w:r>
            <w:r w:rsidRPr="00A22DF6">
              <w:rPr>
                <w:sz w:val="20"/>
                <w:szCs w:val="20"/>
                <w:lang w:eastAsia="ja-JP"/>
              </w:rPr>
              <w:fldChar w:fldCharType="end">
                <w:numberingChange w:id="79" w:author="Mark Reid" w:date="2018-10-18T09:18:00Z" w:original="(i)"/>
              </w:fldChar>
            </w:r>
            <w:bookmarkEnd w:id="78"/>
          </w:p>
        </w:tc>
        <w:tc>
          <w:tcPr>
            <w:tcW w:w="1093" w:type="pct"/>
          </w:tcPr>
          <w:p w14:paraId="7BCB78CD"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Objectives</w:t>
            </w:r>
          </w:p>
        </w:tc>
        <w:tc>
          <w:tcPr>
            <w:tcW w:w="1028" w:type="pct"/>
          </w:tcPr>
          <w:p w14:paraId="47E656BE"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Doses Administered</w:t>
            </w:r>
          </w:p>
        </w:tc>
        <w:tc>
          <w:tcPr>
            <w:tcW w:w="925" w:type="pct"/>
          </w:tcPr>
          <w:p w14:paraId="6A9AA40B"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Population</w:t>
            </w:r>
          </w:p>
        </w:tc>
      </w:tr>
      <w:tr w:rsidR="00A22DF6" w:rsidRPr="004B4CC5" w14:paraId="603523A8"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52705767" w14:textId="77777777" w:rsidR="00A22DF6" w:rsidRPr="00A22DF6" w:rsidRDefault="00A22DF6" w:rsidP="008D769C">
            <w:pPr>
              <w:rPr>
                <w:sz w:val="20"/>
                <w:szCs w:val="20"/>
                <w:lang w:val="en-US" w:eastAsia="ja-JP"/>
              </w:rPr>
            </w:pPr>
            <w:r w:rsidRPr="00A22DF6">
              <w:rPr>
                <w:sz w:val="20"/>
                <w:szCs w:val="20"/>
                <w:lang w:val="en-US" w:eastAsia="ja-JP"/>
              </w:rPr>
              <w:t>006</w:t>
            </w:r>
          </w:p>
        </w:tc>
        <w:tc>
          <w:tcPr>
            <w:tcW w:w="977" w:type="pct"/>
          </w:tcPr>
          <w:p w14:paraId="3AD5EBD3"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093" w:type="pct"/>
          </w:tcPr>
          <w:p w14:paraId="3BC4DC96"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Malaria prevention in semi-immune subjects of Lamaréné, Gabon (highly endemic </w:t>
            </w:r>
            <w:r w:rsidR="007B0EBB" w:rsidRPr="007B0EBB">
              <w:rPr>
                <w:sz w:val="20"/>
                <w:szCs w:val="20"/>
                <w:lang w:val="en-US" w:eastAsia="ja-JP"/>
              </w:rPr>
              <w:t>Pf</w:t>
            </w:r>
            <w:r w:rsidRPr="00A22DF6">
              <w:rPr>
                <w:i/>
                <w:sz w:val="20"/>
                <w:szCs w:val="20"/>
                <w:lang w:val="en-US" w:eastAsia="ja-JP"/>
              </w:rPr>
              <w:t>)</w:t>
            </w:r>
          </w:p>
        </w:tc>
        <w:tc>
          <w:tcPr>
            <w:tcW w:w="1028" w:type="pct"/>
          </w:tcPr>
          <w:p w14:paraId="0A4F45A8"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25, 50, 100 or 200mg daily x 3 days</w:t>
            </w:r>
          </w:p>
        </w:tc>
        <w:tc>
          <w:tcPr>
            <w:tcW w:w="925" w:type="pct"/>
          </w:tcPr>
          <w:p w14:paraId="2E7F2EDA" w14:textId="2D97C0B2" w:rsidR="00A22DF6" w:rsidRPr="00A22DF6" w:rsidRDefault="00A22DF6" w:rsidP="00A40C4D">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N=415; </w:t>
            </w:r>
            <w:r w:rsidRPr="00A22DF6">
              <w:rPr>
                <w:sz w:val="20"/>
                <w:szCs w:val="20"/>
                <w:lang w:val="en-US" w:eastAsia="ja-JP"/>
              </w:rPr>
              <w:br/>
              <w:t>194 M/221 F</w:t>
            </w:r>
          </w:p>
        </w:tc>
      </w:tr>
      <w:tr w:rsidR="00A22DF6" w:rsidRPr="004B4CC5" w14:paraId="2FD833B5"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71A5C24A" w14:textId="77777777" w:rsidR="00A22DF6" w:rsidRPr="00A22DF6" w:rsidRDefault="00A22DF6" w:rsidP="008D769C">
            <w:pPr>
              <w:rPr>
                <w:sz w:val="20"/>
                <w:szCs w:val="20"/>
                <w:lang w:val="en-US" w:eastAsia="ja-JP"/>
              </w:rPr>
            </w:pPr>
            <w:r w:rsidRPr="00A22DF6">
              <w:rPr>
                <w:sz w:val="20"/>
                <w:szCs w:val="20"/>
                <w:lang w:val="en-US" w:eastAsia="ja-JP"/>
              </w:rPr>
              <w:t>030</w:t>
            </w:r>
          </w:p>
        </w:tc>
        <w:tc>
          <w:tcPr>
            <w:tcW w:w="977" w:type="pct"/>
          </w:tcPr>
          <w:p w14:paraId="7F1B7E0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 AC (mefloquine)</w:t>
            </w:r>
          </w:p>
        </w:tc>
        <w:tc>
          <w:tcPr>
            <w:tcW w:w="1093" w:type="pct"/>
          </w:tcPr>
          <w:p w14:paraId="5CBFAB96"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Prevention of malaria in semi-immune subjects </w:t>
            </w:r>
            <w:r w:rsidRPr="00A22DF6">
              <w:rPr>
                <w:sz w:val="20"/>
                <w:szCs w:val="20"/>
                <w:lang w:val="en-US" w:eastAsia="ja-JP"/>
              </w:rPr>
              <w:lastRenderedPageBreak/>
              <w:t xml:space="preserve">of Nyanza Province, Kenya (area holoendemic for </w:t>
            </w:r>
            <w:r w:rsidR="007B0EBB" w:rsidRPr="007B0EBB">
              <w:rPr>
                <w:sz w:val="20"/>
                <w:szCs w:val="20"/>
                <w:lang w:val="en-US" w:eastAsia="ja-JP"/>
              </w:rPr>
              <w:t>Pf</w:t>
            </w:r>
            <w:r w:rsidRPr="00A22DF6">
              <w:rPr>
                <w:i/>
                <w:sz w:val="20"/>
                <w:szCs w:val="20"/>
                <w:lang w:val="en-US" w:eastAsia="ja-JP"/>
              </w:rPr>
              <w:t>)</w:t>
            </w:r>
          </w:p>
        </w:tc>
        <w:tc>
          <w:tcPr>
            <w:tcW w:w="1028" w:type="pct"/>
          </w:tcPr>
          <w:p w14:paraId="402684D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lastRenderedPageBreak/>
              <w:t xml:space="preserve">200 daily x 3 days then 200 mg weekly for </w:t>
            </w:r>
            <w:r w:rsidRPr="00A22DF6">
              <w:rPr>
                <w:sz w:val="20"/>
                <w:szCs w:val="20"/>
                <w:lang w:val="en-US" w:eastAsia="ja-JP"/>
              </w:rPr>
              <w:lastRenderedPageBreak/>
              <w:t>24 weeks</w:t>
            </w:r>
          </w:p>
        </w:tc>
        <w:tc>
          <w:tcPr>
            <w:tcW w:w="925" w:type="pct"/>
          </w:tcPr>
          <w:p w14:paraId="18F2A608" w14:textId="31C83A84" w:rsidR="00A22DF6" w:rsidRPr="00A22DF6" w:rsidRDefault="00A22DF6" w:rsidP="00A40C4D">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lastRenderedPageBreak/>
              <w:t xml:space="preserve">N=300; </w:t>
            </w:r>
            <w:r w:rsidRPr="00A22DF6">
              <w:rPr>
                <w:sz w:val="20"/>
                <w:szCs w:val="20"/>
                <w:lang w:val="en-US" w:eastAsia="ja-JP"/>
              </w:rPr>
              <w:br/>
              <w:t>195 M/105 F</w:t>
            </w:r>
          </w:p>
        </w:tc>
      </w:tr>
      <w:tr w:rsidR="00A22DF6" w:rsidRPr="004B4CC5" w14:paraId="3E49A323"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14448671" w14:textId="77777777" w:rsidR="00A22DF6" w:rsidRPr="00A22DF6" w:rsidRDefault="00A22DF6" w:rsidP="008D769C">
            <w:pPr>
              <w:rPr>
                <w:sz w:val="20"/>
                <w:szCs w:val="20"/>
                <w:lang w:val="en-US" w:eastAsia="ja-JP"/>
              </w:rPr>
            </w:pPr>
            <w:r w:rsidRPr="00A22DF6">
              <w:rPr>
                <w:sz w:val="20"/>
                <w:szCs w:val="20"/>
                <w:lang w:val="en-US" w:eastAsia="ja-JP"/>
              </w:rPr>
              <w:lastRenderedPageBreak/>
              <w:t>033</w:t>
            </w:r>
          </w:p>
        </w:tc>
        <w:tc>
          <w:tcPr>
            <w:tcW w:w="977" w:type="pct"/>
          </w:tcPr>
          <w:p w14:paraId="23E64ECE"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AC (mefloquine)</w:t>
            </w:r>
          </w:p>
        </w:tc>
        <w:tc>
          <w:tcPr>
            <w:tcW w:w="1093" w:type="pct"/>
          </w:tcPr>
          <w:p w14:paraId="5569FFB0"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Prevention of malaria in non-immune members of the Australian Defense Force (ADF) deployed to Bobanaro District, Timor Leste (area mesoendemic for </w:t>
            </w:r>
            <w:r w:rsidR="007B0EBB" w:rsidRPr="007B0EBB">
              <w:rPr>
                <w:sz w:val="20"/>
                <w:szCs w:val="20"/>
                <w:lang w:val="en-US" w:eastAsia="ja-JP"/>
              </w:rPr>
              <w:t>Pf</w:t>
            </w:r>
            <w:r w:rsidRPr="00A22DF6">
              <w:rPr>
                <w:sz w:val="20"/>
                <w:szCs w:val="20"/>
                <w:lang w:val="en-US" w:eastAsia="ja-JP"/>
              </w:rPr>
              <w:t xml:space="preserve"> and </w:t>
            </w:r>
            <w:r w:rsidRPr="00A22DF6">
              <w:rPr>
                <w:i/>
                <w:sz w:val="20"/>
                <w:szCs w:val="20"/>
                <w:lang w:val="en-US" w:eastAsia="ja-JP"/>
              </w:rPr>
              <w:t>Pv</w:t>
            </w:r>
            <w:r w:rsidRPr="00A22DF6">
              <w:rPr>
                <w:sz w:val="20"/>
                <w:szCs w:val="20"/>
                <w:lang w:val="en-US" w:eastAsia="ja-JP"/>
              </w:rPr>
              <w:t>)</w:t>
            </w:r>
          </w:p>
        </w:tc>
        <w:tc>
          <w:tcPr>
            <w:tcW w:w="1028" w:type="pct"/>
          </w:tcPr>
          <w:p w14:paraId="5E82EE62"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 mg daily x 3 days, then 200 mg weekly throughout deployment</w:t>
            </w:r>
          </w:p>
        </w:tc>
        <w:tc>
          <w:tcPr>
            <w:tcW w:w="925" w:type="pct"/>
          </w:tcPr>
          <w:p w14:paraId="7DAF046C" w14:textId="6979A93A" w:rsidR="00A22DF6" w:rsidRPr="00A22DF6" w:rsidRDefault="00A22DF6" w:rsidP="00A40C4D">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N=654; </w:t>
            </w:r>
            <w:r w:rsidRPr="00A22DF6">
              <w:rPr>
                <w:sz w:val="20"/>
                <w:szCs w:val="20"/>
                <w:lang w:val="en-US" w:eastAsia="ja-JP"/>
              </w:rPr>
              <w:br/>
              <w:t>632 M/22 F</w:t>
            </w:r>
          </w:p>
        </w:tc>
      </w:tr>
      <w:tr w:rsidR="00A22DF6" w:rsidRPr="004B4CC5" w14:paraId="1E8798A4"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2A0451F4" w14:textId="77777777" w:rsidR="00A22DF6" w:rsidRPr="00A22DF6" w:rsidRDefault="00A22DF6" w:rsidP="008D769C">
            <w:pPr>
              <w:rPr>
                <w:sz w:val="20"/>
                <w:szCs w:val="20"/>
                <w:lang w:val="en-US" w:eastAsia="ja-JP"/>
              </w:rPr>
            </w:pPr>
            <w:r w:rsidRPr="00A22DF6">
              <w:rPr>
                <w:sz w:val="20"/>
                <w:szCs w:val="20"/>
                <w:lang w:val="en-US" w:eastAsia="ja-JP"/>
              </w:rPr>
              <w:t>043</w:t>
            </w:r>
          </w:p>
        </w:tc>
        <w:tc>
          <w:tcPr>
            <w:tcW w:w="977" w:type="pct"/>
          </w:tcPr>
          <w:p w14:paraId="02C8C820"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 PG</w:t>
            </w:r>
          </w:p>
        </w:tc>
        <w:tc>
          <w:tcPr>
            <w:tcW w:w="1093" w:type="pct"/>
          </w:tcPr>
          <w:p w14:paraId="6BB215D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Determine the chemosuppressive effectiveness of weekly regimens of tafenoquine in preventing falciparum parasitemia compared with placebo in semi-immune Kenyan subjects.</w:t>
            </w:r>
          </w:p>
        </w:tc>
        <w:tc>
          <w:tcPr>
            <w:tcW w:w="1028" w:type="pct"/>
          </w:tcPr>
          <w:p w14:paraId="29FDBFDE"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3days</w:t>
            </w:r>
            <w:r w:rsidRPr="00A22DF6">
              <w:rPr>
                <w:sz w:val="20"/>
                <w:szCs w:val="20"/>
                <w:lang w:val="en-US" w:eastAsia="ja-JP"/>
              </w:rPr>
              <w:br/>
              <w:t>or</w:t>
            </w:r>
            <w:r w:rsidRPr="00A22DF6">
              <w:rPr>
                <w:sz w:val="20"/>
                <w:szCs w:val="20"/>
                <w:lang w:val="en-US" w:eastAsia="ja-JP"/>
              </w:rPr>
              <w:br/>
              <w:t>200 mg daily x 3days, then 200mg weekly for 10-15 weeks</w:t>
            </w:r>
            <w:r w:rsidRPr="00A22DF6">
              <w:rPr>
                <w:sz w:val="20"/>
                <w:szCs w:val="20"/>
                <w:lang w:val="en-US" w:eastAsia="ja-JP"/>
              </w:rPr>
              <w:br/>
              <w:t>or</w:t>
            </w:r>
            <w:r w:rsidRPr="00A22DF6">
              <w:rPr>
                <w:sz w:val="20"/>
                <w:szCs w:val="20"/>
                <w:lang w:val="en-US" w:eastAsia="ja-JP"/>
              </w:rPr>
              <w:br/>
              <w:t xml:space="preserve"> 400 mg daily x 3days, then 400 mg weekly for 10-25 weeks</w:t>
            </w:r>
          </w:p>
        </w:tc>
        <w:tc>
          <w:tcPr>
            <w:tcW w:w="925" w:type="pct"/>
          </w:tcPr>
          <w:p w14:paraId="06B66684"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groups 174;</w:t>
            </w:r>
            <w:r w:rsidRPr="00A22DF6">
              <w:rPr>
                <w:sz w:val="20"/>
                <w:szCs w:val="20"/>
                <w:lang w:val="en-US" w:eastAsia="ja-JP"/>
              </w:rPr>
              <w:br/>
              <w:t xml:space="preserve"> 109 M/ 65 F</w:t>
            </w:r>
          </w:p>
        </w:tc>
      </w:tr>
      <w:tr w:rsidR="00A22DF6" w:rsidRPr="004B4CC5" w14:paraId="5C999D3B"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52F79861" w14:textId="77777777" w:rsidR="00A22DF6" w:rsidRPr="00A22DF6" w:rsidRDefault="00A22DF6" w:rsidP="008D769C">
            <w:pPr>
              <w:rPr>
                <w:sz w:val="20"/>
                <w:szCs w:val="20"/>
                <w:lang w:val="en-US" w:eastAsia="ja-JP"/>
              </w:rPr>
            </w:pPr>
            <w:r w:rsidRPr="00A22DF6">
              <w:rPr>
                <w:sz w:val="20"/>
                <w:szCs w:val="20"/>
                <w:lang w:val="en-US" w:eastAsia="ja-JP"/>
              </w:rPr>
              <w:t>044</w:t>
            </w:r>
          </w:p>
        </w:tc>
        <w:tc>
          <w:tcPr>
            <w:tcW w:w="977" w:type="pct"/>
          </w:tcPr>
          <w:p w14:paraId="7F9DA20B"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DB, PC</w:t>
            </w:r>
          </w:p>
        </w:tc>
        <w:tc>
          <w:tcPr>
            <w:tcW w:w="1093" w:type="pct"/>
          </w:tcPr>
          <w:p w14:paraId="5D5E73E9"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Determine the efficacy of monthly doses of tafenoquine v. placebo in the chemoprophylaxis of multi-drug resistant </w:t>
            </w:r>
            <w:r w:rsidR="007B0EBB" w:rsidRPr="007B0EBB">
              <w:rPr>
                <w:sz w:val="20"/>
                <w:szCs w:val="20"/>
                <w:lang w:val="en-US" w:eastAsia="ja-JP"/>
              </w:rPr>
              <w:t>Pf</w:t>
            </w:r>
            <w:r w:rsidRPr="00A22DF6">
              <w:rPr>
                <w:sz w:val="20"/>
                <w:szCs w:val="20"/>
                <w:lang w:val="en-US" w:eastAsia="ja-JP"/>
              </w:rPr>
              <w:t xml:space="preserve"> and </w:t>
            </w:r>
            <w:r w:rsidRPr="00A22DF6">
              <w:rPr>
                <w:i/>
                <w:sz w:val="20"/>
                <w:szCs w:val="20"/>
                <w:lang w:val="en-US" w:eastAsia="ja-JP"/>
              </w:rPr>
              <w:t>Pv</w:t>
            </w:r>
            <w:r w:rsidRPr="00A22DF6">
              <w:rPr>
                <w:sz w:val="20"/>
                <w:szCs w:val="20"/>
                <w:lang w:val="en-US" w:eastAsia="ja-JP"/>
              </w:rPr>
              <w:t xml:space="preserve"> in Thailand.</w:t>
            </w:r>
          </w:p>
        </w:tc>
        <w:tc>
          <w:tcPr>
            <w:tcW w:w="1028" w:type="pct"/>
          </w:tcPr>
          <w:p w14:paraId="0B918B7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3d, then 400 mg monthly</w:t>
            </w:r>
          </w:p>
        </w:tc>
        <w:tc>
          <w:tcPr>
            <w:tcW w:w="925" w:type="pct"/>
          </w:tcPr>
          <w:p w14:paraId="69A0E5B7"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n=104</w:t>
            </w:r>
            <w:r w:rsidRPr="00A22DF6">
              <w:rPr>
                <w:sz w:val="20"/>
                <w:szCs w:val="20"/>
                <w:lang w:val="en-US" w:eastAsia="ja-JP"/>
              </w:rPr>
              <w:br/>
              <w:t>Placebo n=101</w:t>
            </w:r>
          </w:p>
        </w:tc>
      </w:tr>
      <w:tr w:rsidR="00A22DF6" w:rsidRPr="004B4CC5" w14:paraId="552AF629" w14:textId="77777777" w:rsidTr="00A22DF6">
        <w:tc>
          <w:tcPr>
            <w:cnfStyle w:val="001000000000" w:firstRow="0" w:lastRow="0" w:firstColumn="1" w:lastColumn="0" w:oddVBand="0" w:evenVBand="0" w:oddHBand="0" w:evenHBand="0" w:firstRowFirstColumn="0" w:firstRowLastColumn="0" w:lastRowFirstColumn="0" w:lastRowLastColumn="0"/>
            <w:tcW w:w="977" w:type="pct"/>
          </w:tcPr>
          <w:p w14:paraId="0C31D507" w14:textId="77777777" w:rsidR="00A22DF6" w:rsidRPr="00A22DF6" w:rsidRDefault="00A22DF6" w:rsidP="008D769C">
            <w:pPr>
              <w:rPr>
                <w:sz w:val="20"/>
                <w:szCs w:val="20"/>
                <w:lang w:val="en-US" w:eastAsia="ja-JP"/>
              </w:rPr>
            </w:pPr>
            <w:r w:rsidRPr="00A22DF6">
              <w:rPr>
                <w:sz w:val="20"/>
                <w:szCs w:val="20"/>
                <w:lang w:val="en-US" w:eastAsia="ja-JP"/>
              </w:rPr>
              <w:t>049Post-exposure Prophylaxis</w:t>
            </w:r>
          </w:p>
        </w:tc>
        <w:tc>
          <w:tcPr>
            <w:tcW w:w="977" w:type="pct"/>
          </w:tcPr>
          <w:p w14:paraId="6EC612EE"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O, R, PG, AC (primaquine)</w:t>
            </w:r>
          </w:p>
        </w:tc>
        <w:tc>
          <w:tcPr>
            <w:tcW w:w="1093" w:type="pct"/>
          </w:tcPr>
          <w:p w14:paraId="3FD126C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Compare the effectiveness and tolerability of tafenoquine with primaquine in preventing </w:t>
            </w:r>
            <w:r w:rsidRPr="00A22DF6">
              <w:rPr>
                <w:i/>
                <w:sz w:val="20"/>
                <w:szCs w:val="20"/>
                <w:lang w:val="en-US" w:eastAsia="ja-JP"/>
              </w:rPr>
              <w:t>Pv</w:t>
            </w:r>
            <w:r w:rsidRPr="00A22DF6">
              <w:rPr>
                <w:sz w:val="20"/>
                <w:szCs w:val="20"/>
                <w:lang w:val="en-US" w:eastAsia="ja-JP"/>
              </w:rPr>
              <w:t xml:space="preserve"> malaria in non-immune ADF after leaving malarious areas of Papua New Guinea and </w:t>
            </w:r>
            <w:r w:rsidRPr="00A22DF6">
              <w:rPr>
                <w:sz w:val="20"/>
                <w:szCs w:val="20"/>
                <w:lang w:val="en-US" w:eastAsia="ja-JP"/>
              </w:rPr>
              <w:lastRenderedPageBreak/>
              <w:t>East Timor.</w:t>
            </w:r>
          </w:p>
        </w:tc>
        <w:tc>
          <w:tcPr>
            <w:tcW w:w="1028" w:type="pct"/>
          </w:tcPr>
          <w:p w14:paraId="55CA6781"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lastRenderedPageBreak/>
              <w:t>200 mg daily x 3 days</w:t>
            </w:r>
            <w:r w:rsidRPr="00A22DF6">
              <w:rPr>
                <w:sz w:val="20"/>
                <w:szCs w:val="20"/>
                <w:lang w:val="en-US" w:eastAsia="ja-JP"/>
              </w:rPr>
              <w:br/>
              <w:t>or</w:t>
            </w:r>
          </w:p>
          <w:p w14:paraId="50F1A251"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200 mg twice daily x 3 days</w:t>
            </w:r>
            <w:r w:rsidRPr="00A22DF6">
              <w:rPr>
                <w:sz w:val="20"/>
                <w:szCs w:val="20"/>
                <w:lang w:val="en-US" w:eastAsia="ja-JP"/>
              </w:rPr>
              <w:br/>
              <w:t>or</w:t>
            </w:r>
          </w:p>
          <w:p w14:paraId="60ECF130"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400 mg daily x 3 days</w:t>
            </w:r>
          </w:p>
        </w:tc>
        <w:tc>
          <w:tcPr>
            <w:tcW w:w="925" w:type="pct"/>
          </w:tcPr>
          <w:p w14:paraId="7CEDB0A0"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N=1512;</w:t>
            </w:r>
          </w:p>
          <w:p w14:paraId="459DE36F"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1431 M/ 81 F</w:t>
            </w:r>
          </w:p>
        </w:tc>
      </w:tr>
    </w:tbl>
    <w:p w14:paraId="6C325EC1" w14:textId="004C3DA0" w:rsidR="00A22DF6" w:rsidRPr="00C472A2" w:rsidRDefault="00A22DF6" w:rsidP="00A22DF6">
      <w:pPr>
        <w:rPr>
          <w:sz w:val="18"/>
          <w:szCs w:val="18"/>
          <w:lang w:val="en-US" w:eastAsia="ja-JP"/>
        </w:rPr>
      </w:pPr>
      <w:r w:rsidRPr="00C472A2">
        <w:rPr>
          <w:sz w:val="18"/>
          <w:szCs w:val="18"/>
          <w:lang w:val="en-US" w:eastAsia="ja-JP"/>
        </w:rPr>
        <w:lastRenderedPageBreak/>
        <w:t>R=</w:t>
      </w:r>
      <w:r w:rsidR="00B319AC">
        <w:rPr>
          <w:sz w:val="18"/>
          <w:szCs w:val="18"/>
          <w:lang w:val="en-US" w:eastAsia="ja-JP"/>
        </w:rPr>
        <w:t>Randomised</w:t>
      </w:r>
      <w:r w:rsidRPr="00C472A2">
        <w:rPr>
          <w:sz w:val="18"/>
          <w:szCs w:val="18"/>
          <w:lang w:val="en-US" w:eastAsia="ja-JP"/>
        </w:rPr>
        <w:t>; DB=Double-blind; PC=Placebo Control; AC=Active Comparator; PG=Parallel Group; O=Open label</w:t>
      </w:r>
    </w:p>
    <w:p w14:paraId="636A067A" w14:textId="77777777" w:rsidR="00A22DF6" w:rsidRPr="004B4CC5" w:rsidRDefault="00A22DF6" w:rsidP="00A22DF6">
      <w:pPr>
        <w:pStyle w:val="Tabletitle"/>
        <w:rPr>
          <w:bCs/>
          <w:lang w:val="en-US" w:eastAsia="ja-JP"/>
        </w:rPr>
      </w:pPr>
      <w:bookmarkStart w:id="80" w:name="_Toc452381796"/>
      <w:bookmarkStart w:id="81" w:name="_Toc472947953"/>
      <w:bookmarkStart w:id="82" w:name="_Toc476549703"/>
      <w:bookmarkStart w:id="83" w:name="_Toc504229430"/>
      <w:bookmarkStart w:id="84" w:name="_Toc501293680"/>
      <w:r>
        <w:t xml:space="preserve">Table </w:t>
      </w:r>
      <w:r w:rsidR="008D769C">
        <w:t>5:</w:t>
      </w:r>
      <w:r>
        <w:t xml:space="preserve"> </w:t>
      </w:r>
      <w:proofErr w:type="gramStart"/>
      <w:r w:rsidRPr="008D769C">
        <w:rPr>
          <w:bCs/>
          <w:lang w:val="en-US" w:eastAsia="ja-JP"/>
        </w:rPr>
        <w:t>Pv</w:t>
      </w:r>
      <w:proofErr w:type="gramEnd"/>
      <w:r w:rsidRPr="008D769C">
        <w:rPr>
          <w:bCs/>
          <w:lang w:val="en-US" w:eastAsia="ja-JP"/>
        </w:rPr>
        <w:t xml:space="preserve"> </w:t>
      </w:r>
      <w:r w:rsidRPr="004B4CC5">
        <w:rPr>
          <w:bCs/>
          <w:lang w:val="en-US" w:eastAsia="ja-JP"/>
        </w:rPr>
        <w:t xml:space="preserve">Treatment Studies (Phase </w:t>
      </w:r>
      <w:r w:rsidR="008D769C">
        <w:rPr>
          <w:bCs/>
          <w:lang w:val="en-US" w:eastAsia="ja-JP"/>
        </w:rPr>
        <w:t>II</w:t>
      </w:r>
      <w:r w:rsidRPr="004B4CC5">
        <w:rPr>
          <w:bCs/>
          <w:lang w:val="en-US" w:eastAsia="ja-JP"/>
        </w:rPr>
        <w:t>)</w:t>
      </w:r>
      <w:bookmarkEnd w:id="80"/>
      <w:bookmarkEnd w:id="81"/>
      <w:bookmarkEnd w:id="82"/>
      <w:bookmarkEnd w:id="83"/>
      <w:bookmarkEnd w:id="84"/>
    </w:p>
    <w:tbl>
      <w:tblPr>
        <w:tblStyle w:val="TableTGAblue"/>
        <w:tblW w:w="5000" w:type="pct"/>
        <w:tblLook w:val="00A0" w:firstRow="1" w:lastRow="0" w:firstColumn="1" w:lastColumn="0" w:noHBand="0" w:noVBand="0"/>
      </w:tblPr>
      <w:tblGrid>
        <w:gridCol w:w="1849"/>
        <w:gridCol w:w="1849"/>
        <w:gridCol w:w="1848"/>
        <w:gridCol w:w="1848"/>
        <w:gridCol w:w="1848"/>
      </w:tblGrid>
      <w:tr w:rsidR="00A22DF6" w:rsidRPr="00A22DF6" w14:paraId="71C30C79" w14:textId="77777777" w:rsidTr="00A22D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tcPr>
          <w:p w14:paraId="7587539A" w14:textId="77777777" w:rsidR="00A22DF6" w:rsidRPr="00A22DF6" w:rsidRDefault="00A22DF6" w:rsidP="008D769C">
            <w:pPr>
              <w:rPr>
                <w:sz w:val="20"/>
                <w:szCs w:val="20"/>
                <w:lang w:val="en-US" w:eastAsia="ja-JP"/>
              </w:rPr>
            </w:pPr>
            <w:r w:rsidRPr="00A22DF6">
              <w:rPr>
                <w:sz w:val="20"/>
                <w:szCs w:val="20"/>
                <w:lang w:val="en-US" w:eastAsia="ja-JP"/>
              </w:rPr>
              <w:t>Study No.</w:t>
            </w:r>
          </w:p>
        </w:tc>
        <w:tc>
          <w:tcPr>
            <w:tcW w:w="1000" w:type="pct"/>
          </w:tcPr>
          <w:p w14:paraId="639F409E"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Design</w:t>
            </w:r>
            <w:bookmarkStart w:id="85" w:name="_TNCFEF25EE3171042E2A324BCAE640FFAD0"/>
            <w:r w:rsidRPr="00A22DF6">
              <w:rPr>
                <w:sz w:val="20"/>
                <w:szCs w:val="20"/>
                <w:vertAlign w:val="superscript"/>
                <w:lang w:val="en-US" w:eastAsia="ja-JP"/>
              </w:rPr>
              <w:fldChar w:fldCharType="begin"/>
            </w:r>
            <w:r w:rsidRPr="00A22DF6">
              <w:rPr>
                <w:sz w:val="20"/>
                <w:szCs w:val="20"/>
                <w:vertAlign w:val="superscript"/>
                <w:lang w:val="en-US" w:eastAsia="ja-JP"/>
              </w:rPr>
              <w:instrText xml:space="preserve"> LISTNUM TableNoteAlpha \* MERGEFORMAT \s1</w:instrText>
            </w:r>
            <w:r w:rsidRPr="00A22DF6">
              <w:rPr>
                <w:sz w:val="20"/>
                <w:szCs w:val="20"/>
                <w:lang w:eastAsia="ja-JP"/>
              </w:rPr>
              <w:fldChar w:fldCharType="end">
                <w:numberingChange w:id="86" w:author="Mark Reid" w:date="2018-10-18T09:18:00Z" w:original="(i)"/>
              </w:fldChar>
            </w:r>
            <w:bookmarkEnd w:id="85"/>
          </w:p>
        </w:tc>
        <w:tc>
          <w:tcPr>
            <w:tcW w:w="1000" w:type="pct"/>
          </w:tcPr>
          <w:p w14:paraId="6F7EC908"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Study Objectives</w:t>
            </w:r>
          </w:p>
        </w:tc>
        <w:tc>
          <w:tcPr>
            <w:tcW w:w="1000" w:type="pct"/>
          </w:tcPr>
          <w:p w14:paraId="6DF33DBA"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Tafenoquine Doses Administered</w:t>
            </w:r>
          </w:p>
        </w:tc>
        <w:tc>
          <w:tcPr>
            <w:tcW w:w="1000" w:type="pct"/>
          </w:tcPr>
          <w:p w14:paraId="2793F24C" w14:textId="77777777" w:rsidR="00A22DF6" w:rsidRPr="00A22DF6" w:rsidRDefault="00A22DF6" w:rsidP="008D769C">
            <w:pPr>
              <w:cnfStyle w:val="100000000000" w:firstRow="1"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Population</w:t>
            </w:r>
          </w:p>
        </w:tc>
      </w:tr>
      <w:tr w:rsidR="00A22DF6" w:rsidRPr="004B4CC5" w14:paraId="7A90F4FC" w14:textId="77777777" w:rsidTr="00A22DF6">
        <w:tc>
          <w:tcPr>
            <w:cnfStyle w:val="001000000000" w:firstRow="0" w:lastRow="0" w:firstColumn="1" w:lastColumn="0" w:oddVBand="0" w:evenVBand="0" w:oddHBand="0" w:evenHBand="0" w:firstRowFirstColumn="0" w:firstRowLastColumn="0" w:lastRowFirstColumn="0" w:lastRowLastColumn="0"/>
            <w:tcW w:w="1000" w:type="pct"/>
          </w:tcPr>
          <w:p w14:paraId="62C26701" w14:textId="77777777" w:rsidR="00A22DF6" w:rsidRPr="00A22DF6" w:rsidRDefault="00A22DF6" w:rsidP="00B75BFB">
            <w:pPr>
              <w:rPr>
                <w:sz w:val="20"/>
                <w:szCs w:val="20"/>
                <w:lang w:val="en-US" w:eastAsia="ja-JP"/>
              </w:rPr>
            </w:pPr>
            <w:r w:rsidRPr="00A22DF6">
              <w:rPr>
                <w:sz w:val="20"/>
                <w:szCs w:val="20"/>
                <w:lang w:val="en-US" w:eastAsia="ja-JP"/>
              </w:rPr>
              <w:t>047</w:t>
            </w:r>
          </w:p>
        </w:tc>
        <w:tc>
          <w:tcPr>
            <w:tcW w:w="1000" w:type="pct"/>
          </w:tcPr>
          <w:p w14:paraId="56F684AD"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R, O, NC (CQ)</w:t>
            </w:r>
          </w:p>
        </w:tc>
        <w:tc>
          <w:tcPr>
            <w:tcW w:w="1000" w:type="pct"/>
          </w:tcPr>
          <w:p w14:paraId="4A4CCF97"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Determine efficacy of various dosing regimens of tafenoquine when combined with chloroquine in preventing relapse of </w:t>
            </w:r>
            <w:r w:rsidRPr="00A22DF6">
              <w:rPr>
                <w:i/>
                <w:sz w:val="20"/>
                <w:szCs w:val="20"/>
                <w:lang w:val="en-US" w:eastAsia="ja-JP"/>
              </w:rPr>
              <w:t>Pv</w:t>
            </w:r>
            <w:r w:rsidRPr="00A22DF6">
              <w:rPr>
                <w:sz w:val="20"/>
                <w:szCs w:val="20"/>
                <w:lang w:val="en-US" w:eastAsia="ja-JP"/>
              </w:rPr>
              <w:t xml:space="preserve"> malaria in Thailand.</w:t>
            </w:r>
          </w:p>
          <w:p w14:paraId="7FC4BF86"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Safety and PK of tafenoquine in normal and infected subjects.</w:t>
            </w:r>
          </w:p>
        </w:tc>
        <w:tc>
          <w:tcPr>
            <w:tcW w:w="1000" w:type="pct"/>
          </w:tcPr>
          <w:p w14:paraId="39F4788F"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500 mg once</w:t>
            </w:r>
            <w:r w:rsidRPr="00A22DF6">
              <w:rPr>
                <w:sz w:val="20"/>
                <w:szCs w:val="20"/>
                <w:lang w:val="en-US" w:eastAsia="ja-JP"/>
              </w:rPr>
              <w:br/>
              <w:t>or</w:t>
            </w:r>
            <w:r w:rsidRPr="00A22DF6">
              <w:rPr>
                <w:sz w:val="20"/>
                <w:szCs w:val="20"/>
                <w:lang w:val="en-US" w:eastAsia="ja-JP"/>
              </w:rPr>
              <w:br/>
              <w:t xml:space="preserve"> 500 mg x 3d, repeated 1 week later</w:t>
            </w:r>
          </w:p>
          <w:p w14:paraId="72C1C99B"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or 300 mg daily x 7d</w:t>
            </w:r>
          </w:p>
        </w:tc>
        <w:tc>
          <w:tcPr>
            <w:tcW w:w="1000" w:type="pct"/>
          </w:tcPr>
          <w:p w14:paraId="0F604057"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N=79;</w:t>
            </w:r>
            <w:r w:rsidRPr="00A22DF6">
              <w:rPr>
                <w:sz w:val="20"/>
                <w:szCs w:val="20"/>
                <w:lang w:val="en-US" w:eastAsia="ja-JP"/>
              </w:rPr>
              <w:br/>
              <w:t>38M/41F</w:t>
            </w:r>
          </w:p>
        </w:tc>
      </w:tr>
      <w:tr w:rsidR="00A22DF6" w:rsidRPr="004B4CC5" w14:paraId="4A066D5A" w14:textId="77777777" w:rsidTr="00A22DF6">
        <w:tc>
          <w:tcPr>
            <w:cnfStyle w:val="001000000000" w:firstRow="0" w:lastRow="0" w:firstColumn="1" w:lastColumn="0" w:oddVBand="0" w:evenVBand="0" w:oddHBand="0" w:evenHBand="0" w:firstRowFirstColumn="0" w:firstRowLastColumn="0" w:lastRowFirstColumn="0" w:lastRowLastColumn="0"/>
            <w:tcW w:w="1000" w:type="pct"/>
          </w:tcPr>
          <w:p w14:paraId="26136E45" w14:textId="77777777" w:rsidR="00A22DF6" w:rsidRPr="00A22DF6" w:rsidRDefault="00A22DF6" w:rsidP="008D769C">
            <w:pPr>
              <w:rPr>
                <w:sz w:val="20"/>
                <w:szCs w:val="20"/>
                <w:lang w:val="en-US" w:eastAsia="ja-JP"/>
              </w:rPr>
            </w:pPr>
            <w:r w:rsidRPr="00A22DF6">
              <w:rPr>
                <w:sz w:val="20"/>
                <w:szCs w:val="20"/>
                <w:lang w:val="en-US" w:eastAsia="ja-JP"/>
              </w:rPr>
              <w:t>058</w:t>
            </w:r>
          </w:p>
        </w:tc>
        <w:tc>
          <w:tcPr>
            <w:tcW w:w="1000" w:type="pct"/>
          </w:tcPr>
          <w:p w14:paraId="527A1752"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R, DB, AC, </w:t>
            </w:r>
          </w:p>
        </w:tc>
        <w:tc>
          <w:tcPr>
            <w:tcW w:w="1000" w:type="pct"/>
          </w:tcPr>
          <w:p w14:paraId="30DD7EDB"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 xml:space="preserve">Assess whether treatment with tafenoquine alone could radically cure </w:t>
            </w:r>
            <w:r w:rsidRPr="00A22DF6">
              <w:rPr>
                <w:i/>
                <w:sz w:val="20"/>
                <w:szCs w:val="20"/>
                <w:lang w:val="en-US" w:eastAsia="ja-JP"/>
              </w:rPr>
              <w:t>Pv</w:t>
            </w:r>
            <w:r w:rsidRPr="00A22DF6">
              <w:rPr>
                <w:sz w:val="20"/>
                <w:szCs w:val="20"/>
                <w:lang w:val="en-US" w:eastAsia="ja-JP"/>
              </w:rPr>
              <w:t xml:space="preserve"> malaria in adults.</w:t>
            </w:r>
          </w:p>
        </w:tc>
        <w:tc>
          <w:tcPr>
            <w:tcW w:w="1000" w:type="pct"/>
          </w:tcPr>
          <w:p w14:paraId="3C5857C6" w14:textId="5367A6DC"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600 mg once</w:t>
            </w:r>
            <w:r w:rsidR="0010343C">
              <w:rPr>
                <w:sz w:val="20"/>
                <w:szCs w:val="20"/>
                <w:lang w:val="en-US" w:eastAsia="ja-JP"/>
              </w:rPr>
              <w:t xml:space="preserve"> </w:t>
            </w:r>
            <w:r w:rsidRPr="00A22DF6">
              <w:rPr>
                <w:sz w:val="20"/>
                <w:szCs w:val="20"/>
                <w:lang w:val="en-US" w:eastAsia="ja-JP"/>
              </w:rPr>
              <w:br/>
              <w:t>or</w:t>
            </w:r>
            <w:r w:rsidRPr="00A22DF6">
              <w:rPr>
                <w:sz w:val="20"/>
                <w:szCs w:val="20"/>
                <w:lang w:val="en-US" w:eastAsia="ja-JP"/>
              </w:rPr>
              <w:br/>
              <w:t>400 mg daily x 3 days</w:t>
            </w:r>
          </w:p>
        </w:tc>
        <w:tc>
          <w:tcPr>
            <w:tcW w:w="1000" w:type="pct"/>
          </w:tcPr>
          <w:p w14:paraId="242C13F5" w14:textId="77777777" w:rsidR="00A22DF6" w:rsidRPr="00A22DF6" w:rsidRDefault="00A22DF6" w:rsidP="008D769C">
            <w:pPr>
              <w:cnfStyle w:val="000000000000" w:firstRow="0" w:lastRow="0" w:firstColumn="0" w:lastColumn="0" w:oddVBand="0" w:evenVBand="0" w:oddHBand="0" w:evenHBand="0" w:firstRowFirstColumn="0" w:firstRowLastColumn="0" w:lastRowFirstColumn="0" w:lastRowLastColumn="0"/>
              <w:rPr>
                <w:sz w:val="20"/>
                <w:szCs w:val="20"/>
                <w:lang w:val="en-US" w:eastAsia="ja-JP"/>
              </w:rPr>
            </w:pPr>
            <w:r w:rsidRPr="00A22DF6">
              <w:rPr>
                <w:sz w:val="20"/>
                <w:szCs w:val="20"/>
                <w:lang w:val="en-US" w:eastAsia="ja-JP"/>
              </w:rPr>
              <w:t>N=120; 60M/60F</w:t>
            </w:r>
          </w:p>
        </w:tc>
      </w:tr>
    </w:tbl>
    <w:p w14:paraId="739DFD3E" w14:textId="6F7FD555" w:rsidR="00A22DF6" w:rsidRDefault="00A22DF6" w:rsidP="00A22DF6">
      <w:pPr>
        <w:pStyle w:val="TableDescription"/>
        <w:rPr>
          <w:lang w:val="en-US" w:eastAsia="ja-JP"/>
        </w:rPr>
      </w:pPr>
      <w:r w:rsidRPr="004B4CC5">
        <w:rPr>
          <w:lang w:val="en-US" w:eastAsia="ja-JP"/>
        </w:rPr>
        <w:fldChar w:fldCharType="begin"/>
      </w:r>
      <w:r w:rsidRPr="004B4CC5">
        <w:rPr>
          <w:lang w:val="en-US" w:eastAsia="ja-JP"/>
        </w:rPr>
        <w:instrText xml:space="preserve"> REF _TNCFEF25EE3171042E2A324BCAE640FFAD0  \* MERGEFORMAT </w:instrText>
      </w:r>
      <w:r w:rsidRPr="004B4CC5">
        <w:rPr>
          <w:lang w:val="en-US" w:eastAsia="ja-JP"/>
        </w:rPr>
        <w:fldChar w:fldCharType="separate"/>
      </w:r>
      <w:bookmarkStart w:id="87" w:name="_TN5"/>
      <w:r w:rsidR="009F5426" w:rsidRPr="009F5426">
        <w:rPr>
          <w:vertAlign w:val="superscript"/>
          <w:lang w:val="en-US" w:eastAsia="ja-JP"/>
        </w:rPr>
        <w:t>(</w:t>
      </w:r>
      <w:proofErr w:type="gramStart"/>
      <w:r w:rsidR="009F5426" w:rsidRPr="009F5426">
        <w:rPr>
          <w:vertAlign w:val="superscript"/>
          <w:lang w:val="en-US" w:eastAsia="ja-JP"/>
        </w:rPr>
        <w:t>i</w:t>
      </w:r>
      <w:proofErr w:type="gramEnd"/>
      <w:r w:rsidR="009F5426">
        <w:rPr>
          <w:sz w:val="20"/>
          <w:szCs w:val="20"/>
          <w:vertAlign w:val="superscript"/>
          <w:lang w:val="en-US" w:eastAsia="ja-JP"/>
        </w:rPr>
        <w:t>)</w:t>
      </w:r>
      <w:bookmarkEnd w:id="87"/>
      <w:r w:rsidRPr="004B4CC5">
        <w:rPr>
          <w:lang w:eastAsia="ja-JP"/>
        </w:rPr>
        <w:fldChar w:fldCharType="end"/>
      </w:r>
      <w:r w:rsidRPr="004B4CC5">
        <w:rPr>
          <w:lang w:val="en-US" w:eastAsia="ja-JP"/>
        </w:rPr>
        <w:t>R=</w:t>
      </w:r>
      <w:r w:rsidR="00B319AC">
        <w:rPr>
          <w:lang w:val="en-US" w:eastAsia="ja-JP"/>
        </w:rPr>
        <w:t>Randomised</w:t>
      </w:r>
      <w:r w:rsidRPr="004B4CC5">
        <w:rPr>
          <w:lang w:val="en-US" w:eastAsia="ja-JP"/>
        </w:rPr>
        <w:t>; O=Open label; DB=Double blind; NC=Negative control; CQ=Chloroquine; AC=Active control.</w:t>
      </w:r>
      <w:bookmarkStart w:id="88" w:name="_Ref501223248"/>
      <w:bookmarkStart w:id="89" w:name="_Toc504229431"/>
      <w:bookmarkStart w:id="90" w:name="_Toc501293681"/>
    </w:p>
    <w:p w14:paraId="0F0934C7" w14:textId="34120FD3" w:rsidR="001B20BF" w:rsidRDefault="00A22DF6" w:rsidP="00A22DF6">
      <w:pPr>
        <w:pStyle w:val="Tabletitle"/>
      </w:pPr>
      <w:r w:rsidRPr="00962317">
        <w:lastRenderedPageBreak/>
        <w:t xml:space="preserve">Table </w:t>
      </w:r>
      <w:r w:rsidR="008D769C" w:rsidRPr="00962317">
        <w:t>6</w:t>
      </w:r>
      <w:bookmarkEnd w:id="88"/>
      <w:r w:rsidRPr="00962317">
        <w:rPr>
          <w:noProof/>
        </w:rPr>
        <w:t>:</w:t>
      </w:r>
      <w:r w:rsidRPr="00962317">
        <w:t xml:space="preserve"> Summary of </w:t>
      </w:r>
      <w:r w:rsidR="00574F13">
        <w:t>s</w:t>
      </w:r>
      <w:r w:rsidRPr="00962317">
        <w:t xml:space="preserve">tudies and </w:t>
      </w:r>
      <w:r w:rsidR="00574F13">
        <w:t>d</w:t>
      </w:r>
      <w:r w:rsidR="00574F13" w:rsidRPr="00962317">
        <w:t>esign</w:t>
      </w:r>
    </w:p>
    <w:p w14:paraId="6F3A7681" w14:textId="77777777" w:rsidR="00962317" w:rsidRDefault="00962317" w:rsidP="00962317">
      <w:r>
        <w:rPr>
          <w:noProof/>
          <w:lang w:eastAsia="en-AU"/>
        </w:rPr>
        <w:drawing>
          <wp:inline distT="0" distB="0" distL="0" distR="0" wp14:anchorId="3DC7B3D8" wp14:editId="041026B1">
            <wp:extent cx="5731510" cy="5981345"/>
            <wp:effectExtent l="0" t="0" r="2540" b="635"/>
            <wp:docPr id="17" name="Picture 17"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31510" cy="5981345"/>
                    </a:xfrm>
                    <a:prstGeom prst="rect">
                      <a:avLst/>
                    </a:prstGeom>
                  </pic:spPr>
                </pic:pic>
              </a:graphicData>
            </a:graphic>
          </wp:inline>
        </w:drawing>
      </w:r>
    </w:p>
    <w:p w14:paraId="30E12641" w14:textId="6E048482" w:rsidR="00962317" w:rsidRDefault="00962317" w:rsidP="00962317">
      <w:pPr>
        <w:pStyle w:val="Tabletitle"/>
      </w:pPr>
      <w:r>
        <w:lastRenderedPageBreak/>
        <w:t xml:space="preserve">Table 6 </w:t>
      </w:r>
      <w:r w:rsidR="00574F13">
        <w:t>(</w:t>
      </w:r>
      <w:r>
        <w:t>continued</w:t>
      </w:r>
      <w:r w:rsidR="00574F13">
        <w:t>)</w:t>
      </w:r>
      <w:r>
        <w:t xml:space="preserve">: </w:t>
      </w:r>
      <w:r w:rsidRPr="00962317">
        <w:t xml:space="preserve">Summary of </w:t>
      </w:r>
      <w:r w:rsidR="00574F13">
        <w:t>s</w:t>
      </w:r>
      <w:r w:rsidR="00574F13" w:rsidRPr="00962317">
        <w:t xml:space="preserve">tudies </w:t>
      </w:r>
      <w:r w:rsidRPr="00962317">
        <w:t xml:space="preserve">and </w:t>
      </w:r>
      <w:r w:rsidR="00574F13">
        <w:t>d</w:t>
      </w:r>
      <w:r w:rsidR="00574F13" w:rsidRPr="00962317">
        <w:t>esign</w:t>
      </w:r>
    </w:p>
    <w:p w14:paraId="48855AF6" w14:textId="77777777" w:rsidR="00962317" w:rsidRDefault="00962317" w:rsidP="00962317">
      <w:r>
        <w:rPr>
          <w:noProof/>
          <w:lang w:eastAsia="en-AU"/>
        </w:rPr>
        <w:drawing>
          <wp:inline distT="0" distB="0" distL="0" distR="0" wp14:anchorId="2D333D9C" wp14:editId="7AA90D9E">
            <wp:extent cx="5813455" cy="4979323"/>
            <wp:effectExtent l="0" t="0" r="0" b="0"/>
            <wp:docPr id="18" name="Picture 18"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5817744" cy="4982997"/>
                    </a:xfrm>
                    <a:prstGeom prst="rect">
                      <a:avLst/>
                    </a:prstGeom>
                  </pic:spPr>
                </pic:pic>
              </a:graphicData>
            </a:graphic>
          </wp:inline>
        </w:drawing>
      </w:r>
    </w:p>
    <w:p w14:paraId="3EFF76EB" w14:textId="7A682980" w:rsidR="00962317" w:rsidRDefault="00962317" w:rsidP="00962317">
      <w:pPr>
        <w:pStyle w:val="Tabletitle"/>
      </w:pPr>
      <w:r>
        <w:lastRenderedPageBreak/>
        <w:t xml:space="preserve">Table 6 </w:t>
      </w:r>
      <w:r w:rsidR="00574F13">
        <w:t>(</w:t>
      </w:r>
      <w:r>
        <w:t>continued</w:t>
      </w:r>
      <w:r w:rsidR="00574F13">
        <w:t>)</w:t>
      </w:r>
      <w:r>
        <w:t xml:space="preserve">: </w:t>
      </w:r>
      <w:r w:rsidRPr="00962317">
        <w:t xml:space="preserve">Summary of </w:t>
      </w:r>
      <w:r w:rsidR="00574F13">
        <w:t>s</w:t>
      </w:r>
      <w:r w:rsidR="00574F13" w:rsidRPr="00962317">
        <w:t xml:space="preserve">tudies </w:t>
      </w:r>
      <w:r w:rsidRPr="00962317">
        <w:t xml:space="preserve">and </w:t>
      </w:r>
      <w:r w:rsidR="00574F13">
        <w:t>d</w:t>
      </w:r>
      <w:r w:rsidR="00574F13" w:rsidRPr="00962317">
        <w:t>esign</w:t>
      </w:r>
    </w:p>
    <w:p w14:paraId="6981F042" w14:textId="77777777" w:rsidR="00962317" w:rsidRDefault="00962317" w:rsidP="00962317">
      <w:r>
        <w:rPr>
          <w:noProof/>
          <w:lang w:eastAsia="en-AU"/>
        </w:rPr>
        <w:drawing>
          <wp:inline distT="0" distB="0" distL="0" distR="0" wp14:anchorId="2730038E" wp14:editId="427C64E1">
            <wp:extent cx="5731510" cy="5641496"/>
            <wp:effectExtent l="0" t="0" r="2540" b="0"/>
            <wp:docPr id="19" name="Picture 19"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5731510" cy="5641496"/>
                    </a:xfrm>
                    <a:prstGeom prst="rect">
                      <a:avLst/>
                    </a:prstGeom>
                  </pic:spPr>
                </pic:pic>
              </a:graphicData>
            </a:graphic>
          </wp:inline>
        </w:drawing>
      </w:r>
    </w:p>
    <w:p w14:paraId="38EAFA7B" w14:textId="52B474DA" w:rsidR="00962317" w:rsidRDefault="00962317" w:rsidP="00962317">
      <w:pPr>
        <w:pStyle w:val="Tabletitle"/>
      </w:pPr>
      <w:r>
        <w:lastRenderedPageBreak/>
        <w:t xml:space="preserve">Table 6 </w:t>
      </w:r>
      <w:r w:rsidR="00574F13">
        <w:t>(</w:t>
      </w:r>
      <w:r>
        <w:t>continued</w:t>
      </w:r>
      <w:r w:rsidR="00574F13">
        <w:t>)</w:t>
      </w:r>
      <w:r>
        <w:t xml:space="preserve">: </w:t>
      </w:r>
      <w:r w:rsidRPr="00962317">
        <w:t xml:space="preserve">Summary of </w:t>
      </w:r>
      <w:r w:rsidR="00574F13">
        <w:t>s</w:t>
      </w:r>
      <w:r w:rsidR="00574F13" w:rsidRPr="00962317">
        <w:t xml:space="preserve">tudies </w:t>
      </w:r>
      <w:r w:rsidRPr="00962317">
        <w:t xml:space="preserve">and </w:t>
      </w:r>
      <w:r w:rsidR="00574F13">
        <w:t>d</w:t>
      </w:r>
      <w:r w:rsidR="00574F13" w:rsidRPr="00962317">
        <w:t>esign</w:t>
      </w:r>
    </w:p>
    <w:p w14:paraId="299806BE" w14:textId="77777777" w:rsidR="00962317" w:rsidRDefault="00962317" w:rsidP="00962317">
      <w:pPr>
        <w:rPr>
          <w:lang w:eastAsia="ja-JP"/>
        </w:rPr>
      </w:pPr>
      <w:r>
        <w:rPr>
          <w:noProof/>
          <w:lang w:eastAsia="en-AU"/>
        </w:rPr>
        <w:drawing>
          <wp:inline distT="0" distB="0" distL="0" distR="0" wp14:anchorId="78E2BB54" wp14:editId="2D399142">
            <wp:extent cx="5378334" cy="5679199"/>
            <wp:effectExtent l="0" t="0" r="0" b="0"/>
            <wp:docPr id="20" name="Picture 20"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372"/>
                    <a:stretch/>
                  </pic:blipFill>
                  <pic:spPr bwMode="auto">
                    <a:xfrm>
                      <a:off x="0" y="0"/>
                      <a:ext cx="5382294" cy="5683380"/>
                    </a:xfrm>
                    <a:prstGeom prst="rect">
                      <a:avLst/>
                    </a:prstGeom>
                    <a:ln>
                      <a:noFill/>
                    </a:ln>
                    <a:extLst>
                      <a:ext uri="{53640926-AAD7-44D8-BBD7-CCE9431645EC}">
                        <a14:shadowObscured xmlns:a14="http://schemas.microsoft.com/office/drawing/2010/main"/>
                      </a:ext>
                    </a:extLst>
                  </pic:spPr>
                </pic:pic>
              </a:graphicData>
            </a:graphic>
          </wp:inline>
        </w:drawing>
      </w:r>
      <w:r w:rsidRPr="00A4056E">
        <w:rPr>
          <w:noProof/>
          <w:lang w:eastAsia="en-AU"/>
        </w:rPr>
        <w:drawing>
          <wp:inline distT="0" distB="0" distL="0" distR="0" wp14:anchorId="148661AD" wp14:editId="025DF561">
            <wp:extent cx="5311833" cy="2760319"/>
            <wp:effectExtent l="0" t="0" r="3175" b="2540"/>
            <wp:docPr id="34" name="Picture 34" descr="Summary of Studies 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312477" cy="2760654"/>
                    </a:xfrm>
                    <a:prstGeom prst="rect">
                      <a:avLst/>
                    </a:prstGeom>
                    <a:noFill/>
                    <a:ln>
                      <a:noFill/>
                    </a:ln>
                  </pic:spPr>
                </pic:pic>
              </a:graphicData>
            </a:graphic>
          </wp:inline>
        </w:drawing>
      </w:r>
    </w:p>
    <w:p w14:paraId="48477A7E" w14:textId="77777777" w:rsidR="008A1A1C" w:rsidRDefault="008A1A1C" w:rsidP="00FB2482">
      <w:pPr>
        <w:pStyle w:val="Heading3"/>
      </w:pPr>
      <w:bookmarkStart w:id="91" w:name="_Toc501809132"/>
      <w:bookmarkStart w:id="92" w:name="_Toc504229359"/>
      <w:bookmarkStart w:id="93" w:name="_Toc12520271"/>
      <w:bookmarkEnd w:id="89"/>
      <w:bookmarkEnd w:id="90"/>
      <w:r>
        <w:lastRenderedPageBreak/>
        <w:t>Paediatric data</w:t>
      </w:r>
      <w:bookmarkEnd w:id="91"/>
      <w:bookmarkEnd w:id="92"/>
      <w:bookmarkEnd w:id="93"/>
    </w:p>
    <w:p w14:paraId="79331AF2" w14:textId="6FF3A49C" w:rsidR="00F1528F" w:rsidRDefault="008A1A1C" w:rsidP="008A1A1C">
      <w:pPr>
        <w:rPr>
          <w:lang w:eastAsia="ja-JP"/>
        </w:rPr>
      </w:pPr>
      <w:r>
        <w:rPr>
          <w:lang w:eastAsia="ja-JP"/>
        </w:rPr>
        <w:t>There were 229 adolescent subjects (ages 12 to 17 years) and 1 paediatric subject (age 4 years) received various doses of tafenoquine in 6 studies (Studies 006, 030, 036, 043, 045, and 047). The majority of these subjects (n=216) were enrolled in Study 006, with only 1 or 2 subjects included in each of the remaining 5 studies. Only one subject (</w:t>
      </w:r>
      <w:r w:rsidR="009720A8">
        <w:rPr>
          <w:lang w:eastAsia="ja-JP"/>
        </w:rPr>
        <w:t>a</w:t>
      </w:r>
      <w:r>
        <w:rPr>
          <w:lang w:eastAsia="ja-JP"/>
        </w:rPr>
        <w:t xml:space="preserve"> girl in Study 036) was under </w:t>
      </w:r>
      <w:r w:rsidR="00574F13">
        <w:rPr>
          <w:lang w:eastAsia="ja-JP"/>
        </w:rPr>
        <w:t xml:space="preserve">the </w:t>
      </w:r>
      <w:r>
        <w:rPr>
          <w:lang w:eastAsia="ja-JP"/>
        </w:rPr>
        <w:t xml:space="preserve">age </w:t>
      </w:r>
      <w:r w:rsidR="00574F13">
        <w:rPr>
          <w:lang w:eastAsia="ja-JP"/>
        </w:rPr>
        <w:t xml:space="preserve">of </w:t>
      </w:r>
      <w:r>
        <w:rPr>
          <w:lang w:eastAsia="ja-JP"/>
        </w:rPr>
        <w:t>12</w:t>
      </w:r>
      <w:r w:rsidR="00574F13">
        <w:rPr>
          <w:lang w:eastAsia="ja-JP"/>
        </w:rPr>
        <w:t xml:space="preserve"> years</w:t>
      </w:r>
      <w:r>
        <w:rPr>
          <w:lang w:eastAsia="ja-JP"/>
        </w:rPr>
        <w:t>; the remaining 223 subjects were 12</w:t>
      </w:r>
      <w:r w:rsidR="00574F13">
        <w:rPr>
          <w:lang w:eastAsia="ja-JP"/>
        </w:rPr>
        <w:t xml:space="preserve"> to </w:t>
      </w:r>
      <w:r>
        <w:rPr>
          <w:lang w:eastAsia="ja-JP"/>
        </w:rPr>
        <w:t>17 years of age.</w:t>
      </w:r>
    </w:p>
    <w:p w14:paraId="160FC6AF" w14:textId="38F5D5E5" w:rsidR="008A1A1C" w:rsidRDefault="008A1A1C" w:rsidP="008A1A1C">
      <w:pPr>
        <w:rPr>
          <w:lang w:eastAsia="ja-JP"/>
        </w:rPr>
      </w:pPr>
      <w:r>
        <w:rPr>
          <w:lang w:eastAsia="ja-JP"/>
        </w:rPr>
        <w:t>This application is not for use in children, only in adults.</w:t>
      </w:r>
      <w:r w:rsidR="001D47D5">
        <w:rPr>
          <w:rStyle w:val="FootnoteReference"/>
          <w:lang w:eastAsia="ja-JP"/>
        </w:rPr>
        <w:footnoteReference w:id="2"/>
      </w:r>
    </w:p>
    <w:p w14:paraId="7645EBC2" w14:textId="77777777" w:rsidR="008A1A1C" w:rsidRPr="0011058F" w:rsidRDefault="008A1A1C" w:rsidP="00FB2482">
      <w:pPr>
        <w:pStyle w:val="Heading3"/>
      </w:pPr>
      <w:bookmarkStart w:id="94" w:name="_Toc444102338"/>
      <w:bookmarkStart w:id="95" w:name="_Toc12520272"/>
      <w:r w:rsidRPr="0011058F">
        <w:t>Good clinical practice</w:t>
      </w:r>
      <w:bookmarkEnd w:id="94"/>
      <w:bookmarkEnd w:id="95"/>
    </w:p>
    <w:p w14:paraId="7372568D" w14:textId="51067B2F" w:rsidR="008A1A1C" w:rsidRDefault="008A1A1C" w:rsidP="00774249">
      <w:pPr>
        <w:rPr>
          <w:lang w:eastAsia="ja-JP"/>
        </w:rPr>
      </w:pPr>
      <w:r w:rsidRPr="0011058F">
        <w:t xml:space="preserve">Most studies state that they have complied with </w:t>
      </w:r>
      <w:r w:rsidRPr="0011058F">
        <w:rPr>
          <w:i/>
        </w:rPr>
        <w:t xml:space="preserve">Guidance on Good Clinical Practice </w:t>
      </w:r>
      <w:r w:rsidRPr="0011058F">
        <w:t xml:space="preserve">in the study report. </w:t>
      </w:r>
      <w:r w:rsidRPr="0011058F">
        <w:rPr>
          <w:lang w:eastAsia="ja-JP"/>
        </w:rPr>
        <w:t xml:space="preserve">For </w:t>
      </w:r>
      <w:r w:rsidR="009720A8" w:rsidRPr="0011058F">
        <w:rPr>
          <w:lang w:eastAsia="ja-JP"/>
        </w:rPr>
        <w:t>S</w:t>
      </w:r>
      <w:r w:rsidRPr="0011058F">
        <w:rPr>
          <w:lang w:eastAsia="ja-JP"/>
        </w:rPr>
        <w:t xml:space="preserve">tudies 051, 052, 053, 054 there is no statement </w:t>
      </w:r>
      <w:r w:rsidR="001D47D5" w:rsidRPr="0011058F">
        <w:rPr>
          <w:lang w:eastAsia="ja-JP"/>
        </w:rPr>
        <w:t xml:space="preserve">but these studies were conducted in the 1990’s </w:t>
      </w:r>
      <w:r w:rsidRPr="0011058F">
        <w:rPr>
          <w:lang w:eastAsia="ja-JP"/>
        </w:rPr>
        <w:t>which may be the explanation. The other studies have a statement of being conducted in accordance with good clinical practice.</w:t>
      </w:r>
    </w:p>
    <w:p w14:paraId="1F03445C" w14:textId="202AB88E" w:rsidR="008A1A1C" w:rsidRDefault="008A1A1C" w:rsidP="00E730B4">
      <w:pPr>
        <w:pStyle w:val="Heading2"/>
        <w:numPr>
          <w:ilvl w:val="0"/>
          <w:numId w:val="7"/>
        </w:numPr>
      </w:pPr>
      <w:bookmarkStart w:id="96" w:name="_Toc501809135"/>
      <w:bookmarkStart w:id="97" w:name="_Toc504229361"/>
      <w:bookmarkStart w:id="98" w:name="_Toc12520273"/>
      <w:r>
        <w:t>Pharmacokinetics</w:t>
      </w:r>
      <w:bookmarkEnd w:id="96"/>
      <w:bookmarkEnd w:id="97"/>
      <w:bookmarkEnd w:id="98"/>
    </w:p>
    <w:p w14:paraId="5B624E45" w14:textId="77777777" w:rsidR="008A1A1C" w:rsidRDefault="008A1A1C" w:rsidP="00FB2482">
      <w:pPr>
        <w:pStyle w:val="Heading3"/>
      </w:pPr>
      <w:bookmarkStart w:id="99" w:name="_Toc501809136"/>
      <w:bookmarkStart w:id="100" w:name="_Toc504229362"/>
      <w:bookmarkStart w:id="101" w:name="_Toc12520274"/>
      <w:r>
        <w:t>Studies providing pharmacokinetic information</w:t>
      </w:r>
      <w:bookmarkEnd w:id="99"/>
      <w:bookmarkEnd w:id="100"/>
      <w:bookmarkEnd w:id="101"/>
    </w:p>
    <w:p w14:paraId="65618687" w14:textId="3AFDEE77" w:rsidR="008A1A1C" w:rsidRDefault="008A1A1C" w:rsidP="008A1A1C">
      <w:pPr>
        <w:rPr>
          <w:lang w:eastAsia="ja-JP"/>
        </w:rPr>
      </w:pPr>
      <w:r>
        <w:rPr>
          <w:lang w:eastAsia="ja-JP"/>
        </w:rPr>
        <w:t>The safety and PK of single tafenoquine doses in healthy individuals were assessed in Studies</w:t>
      </w:r>
      <w:r w:rsidR="00574F13">
        <w:rPr>
          <w:lang w:eastAsia="ja-JP"/>
        </w:rPr>
        <w:t> </w:t>
      </w:r>
      <w:r>
        <w:rPr>
          <w:lang w:eastAsia="ja-JP"/>
        </w:rPr>
        <w:t>050, 052, 003 and 022. Studies 050 and 052 assessed the safety and tolerability of single</w:t>
      </w:r>
      <w:r w:rsidR="009720A8">
        <w:rPr>
          <w:lang w:eastAsia="ja-JP"/>
        </w:rPr>
        <w:t xml:space="preserve"> dose</w:t>
      </w:r>
      <w:r>
        <w:rPr>
          <w:lang w:eastAsia="ja-JP"/>
        </w:rPr>
        <w:t xml:space="preserve"> tafenoquine and the kinetics of the study drug as secondary and primary objectives respectively. Effect of food on the PK of single dose tafenoquine was assessed in Study 022. Different loading doses in healthy individuals were evaluated in Studies TAF114582 and 014; different weekly regimens in healthy individuals were evaluated in Study 051. In each, the safety, tolerability and PK of the drug were assessed. Pharmacological parameters were examined in a number of studies that were performed to determine efficacy of tafenoquine. PK data from prophylactic, treatment and challenge studies were assessed in Studies 053, 054, 006, 030, 033, 044, 049, 047, 043, and 058. Because prophylaxis is indicated for healthy individuals, all of these studies except </w:t>
      </w:r>
      <w:r w:rsidR="009720A8">
        <w:rPr>
          <w:lang w:eastAsia="ja-JP"/>
        </w:rPr>
        <w:t>S</w:t>
      </w:r>
      <w:r>
        <w:rPr>
          <w:lang w:eastAsia="ja-JP"/>
        </w:rPr>
        <w:t xml:space="preserve">tudy 058 were performed in healthy populations. Study 058 was conducted in participants with confirmed symptomatic Pv. PK-PD data </w:t>
      </w:r>
      <w:r w:rsidR="00774249">
        <w:rPr>
          <w:lang w:eastAsia="ja-JP"/>
        </w:rPr>
        <w:t xml:space="preserve">were reported </w:t>
      </w:r>
      <w:r>
        <w:rPr>
          <w:lang w:eastAsia="ja-JP"/>
        </w:rPr>
        <w:t xml:space="preserve">in </w:t>
      </w:r>
      <w:r w:rsidR="009720A8">
        <w:rPr>
          <w:lang w:eastAsia="ja-JP"/>
        </w:rPr>
        <w:t>S</w:t>
      </w:r>
      <w:r>
        <w:rPr>
          <w:lang w:eastAsia="ja-JP"/>
        </w:rPr>
        <w:t>tudy</w:t>
      </w:r>
      <w:r w:rsidR="00574F13">
        <w:rPr>
          <w:lang w:eastAsia="ja-JP"/>
        </w:rPr>
        <w:t> </w:t>
      </w:r>
      <w:r>
        <w:rPr>
          <w:lang w:eastAsia="ja-JP"/>
        </w:rPr>
        <w:t>TAF112582. In 3 other studies (</w:t>
      </w:r>
      <w:r w:rsidR="00574F13">
        <w:rPr>
          <w:lang w:eastAsia="ja-JP"/>
        </w:rPr>
        <w:t xml:space="preserve">Studies </w:t>
      </w:r>
      <w:r>
        <w:rPr>
          <w:lang w:eastAsia="ja-JP"/>
        </w:rPr>
        <w:t>001, 036</w:t>
      </w:r>
      <w:r w:rsidR="009720A8">
        <w:rPr>
          <w:lang w:eastAsia="ja-JP"/>
        </w:rPr>
        <w:t xml:space="preserve"> and</w:t>
      </w:r>
      <w:r>
        <w:rPr>
          <w:lang w:eastAsia="ja-JP"/>
        </w:rPr>
        <w:t xml:space="preserve"> 043) PK data could not be obtained for procedural reasons, even though it was intended.</w:t>
      </w:r>
    </w:p>
    <w:p w14:paraId="6972E499" w14:textId="77777777" w:rsidR="008A1A1C" w:rsidRDefault="008A1A1C" w:rsidP="009720A8">
      <w:pPr>
        <w:pStyle w:val="Tabletitle"/>
      </w:pPr>
      <w:bookmarkStart w:id="102" w:name="_Toc501293672"/>
      <w:bookmarkStart w:id="103" w:name="_Toc504229422"/>
      <w:r>
        <w:t xml:space="preserve">Table </w:t>
      </w:r>
      <w:r w:rsidR="008D769C">
        <w:t>7</w:t>
      </w:r>
      <w:r w:rsidR="009720A8">
        <w:t>:</w:t>
      </w:r>
      <w:r>
        <w:t xml:space="preserve"> Submitted pharmacokinetic studies</w:t>
      </w:r>
      <w:bookmarkEnd w:id="102"/>
      <w:bookmarkEnd w:id="103"/>
    </w:p>
    <w:tbl>
      <w:tblPr>
        <w:tblStyle w:val="TableTGAblue"/>
        <w:tblW w:w="8897" w:type="dxa"/>
        <w:tblLayout w:type="fixed"/>
        <w:tblLook w:val="04A0" w:firstRow="1" w:lastRow="0" w:firstColumn="1" w:lastColumn="0" w:noHBand="0" w:noVBand="1"/>
      </w:tblPr>
      <w:tblGrid>
        <w:gridCol w:w="2943"/>
        <w:gridCol w:w="3544"/>
        <w:gridCol w:w="1559"/>
        <w:gridCol w:w="851"/>
      </w:tblGrid>
      <w:tr w:rsidR="009720A8" w14:paraId="4D5C7506" w14:textId="77777777" w:rsidTr="009720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hideMark/>
          </w:tcPr>
          <w:p w14:paraId="77B8AF93" w14:textId="77777777" w:rsidR="009720A8" w:rsidRDefault="009720A8">
            <w:pPr>
              <w:pStyle w:val="Tabletext"/>
              <w:keepNext/>
              <w:rPr>
                <w:b w:val="0"/>
              </w:rPr>
            </w:pPr>
            <w:r>
              <w:t>PK topic</w:t>
            </w:r>
          </w:p>
        </w:tc>
        <w:tc>
          <w:tcPr>
            <w:tcW w:w="3544" w:type="dxa"/>
            <w:hideMark/>
          </w:tcPr>
          <w:p w14:paraId="03348D1F" w14:textId="77777777" w:rsidR="009720A8" w:rsidRDefault="009720A8">
            <w:pPr>
              <w:pStyle w:val="Tabletext"/>
              <w:keepNext/>
              <w:cnfStyle w:val="100000000000" w:firstRow="1" w:lastRow="0" w:firstColumn="0" w:lastColumn="0" w:oddVBand="0" w:evenVBand="0" w:oddHBand="0" w:evenHBand="0" w:firstRowFirstColumn="0" w:firstRowLastColumn="0" w:lastRowFirstColumn="0" w:lastRowLastColumn="0"/>
              <w:rPr>
                <w:b w:val="0"/>
              </w:rPr>
            </w:pPr>
            <w:r>
              <w:t>Subtopic</w:t>
            </w:r>
          </w:p>
        </w:tc>
        <w:tc>
          <w:tcPr>
            <w:tcW w:w="1559" w:type="dxa"/>
            <w:hideMark/>
          </w:tcPr>
          <w:p w14:paraId="12169556" w14:textId="77777777" w:rsidR="009720A8" w:rsidRDefault="009720A8">
            <w:pPr>
              <w:pStyle w:val="Tabletext"/>
              <w:keepNext/>
              <w:cnfStyle w:val="100000000000" w:firstRow="1" w:lastRow="0" w:firstColumn="0" w:lastColumn="0" w:oddVBand="0" w:evenVBand="0" w:oddHBand="0" w:evenHBand="0" w:firstRowFirstColumn="0" w:firstRowLastColumn="0" w:lastRowFirstColumn="0" w:lastRowLastColumn="0"/>
              <w:rPr>
                <w:b w:val="0"/>
              </w:rPr>
            </w:pPr>
            <w:r>
              <w:t>Study ID</w:t>
            </w:r>
          </w:p>
        </w:tc>
        <w:tc>
          <w:tcPr>
            <w:tcW w:w="851" w:type="dxa"/>
            <w:tcBorders>
              <w:right w:val="nil"/>
            </w:tcBorders>
            <w:hideMark/>
          </w:tcPr>
          <w:p w14:paraId="076BCB21" w14:textId="5532985D" w:rsidR="00EA199F" w:rsidRDefault="009720A8" w:rsidP="009F5426">
            <w:pPr>
              <w:pStyle w:val="Tabletext"/>
              <w:keepNext/>
              <w:jc w:val="center"/>
              <w:cnfStyle w:val="100000000000" w:firstRow="1" w:lastRow="0" w:firstColumn="0" w:lastColumn="0" w:oddVBand="0" w:evenVBand="0" w:oddHBand="0" w:evenHBand="0" w:firstRowFirstColumn="0" w:firstRowLastColumn="0" w:lastRowFirstColumn="0" w:lastRowLastColumn="0"/>
              <w:rPr>
                <w:b w:val="0"/>
              </w:rPr>
            </w:pPr>
            <w:r>
              <w:t>*</w:t>
            </w:r>
          </w:p>
        </w:tc>
      </w:tr>
      <w:tr w:rsidR="009720A8" w14:paraId="64281027"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023E52" w14:textId="77777777" w:rsidR="009720A8" w:rsidRDefault="009720A8">
            <w:pPr>
              <w:pStyle w:val="Tabletext"/>
              <w:keepNext/>
              <w:rPr>
                <w:b/>
              </w:rPr>
            </w:pPr>
            <w:r>
              <w:rPr>
                <w:b/>
              </w:rPr>
              <w:t>PK in healthy adults</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1DB325" w14:textId="77777777" w:rsidR="009720A8" w:rsidRDefault="009720A8" w:rsidP="009720A8">
            <w:pPr>
              <w:pStyle w:val="Tabletext"/>
              <w:keepNext/>
              <w:cnfStyle w:val="000000000000" w:firstRow="0" w:lastRow="0" w:firstColumn="0" w:lastColumn="0" w:oddVBand="0" w:evenVBand="0" w:oddHBand="0" w:evenHBand="0" w:firstRowFirstColumn="0" w:firstRowLastColumn="0" w:lastRowFirstColumn="0" w:lastRowLastColumn="0"/>
            </w:pPr>
            <w:r>
              <w:t>General PK Single dose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6E66E3"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050</w:t>
            </w:r>
          </w:p>
          <w:p w14:paraId="206DE124"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052</w:t>
            </w:r>
          </w:p>
          <w:p w14:paraId="3262F147"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022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CF0A6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59CF1AE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79484265"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6269E2E5"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000A4EC"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C3DC21" w14:textId="77777777" w:rsidR="009720A8" w:rsidRDefault="009720A8">
            <w:pPr>
              <w:pStyle w:val="Tabletext"/>
              <w:keepNext/>
              <w:tabs>
                <w:tab w:val="left" w:pos="1447"/>
              </w:tabs>
              <w:cnfStyle w:val="000000000000" w:firstRow="0" w:lastRow="0" w:firstColumn="0" w:lastColumn="0" w:oddVBand="0" w:evenVBand="0" w:oddHBand="0" w:evenHBand="0" w:firstRowFirstColumn="0" w:firstRowLastColumn="0" w:lastRowFirstColumn="0" w:lastRowLastColumn="0"/>
            </w:pPr>
            <w:r>
              <w:t xml:space="preserve"> Multi dose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E0DB7E"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051</w:t>
            </w:r>
          </w:p>
          <w:p w14:paraId="2C515421"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lastRenderedPageBreak/>
              <w:t>TAF114582</w:t>
            </w:r>
          </w:p>
          <w:p w14:paraId="47154A6F"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014</w:t>
            </w:r>
          </w:p>
          <w:p w14:paraId="16D55300"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033</w:t>
            </w:r>
          </w:p>
          <w:p w14:paraId="10DDF634"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TAF112582</w:t>
            </w:r>
          </w:p>
          <w:p w14:paraId="2E3ADC25"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(201393)</w:t>
            </w:r>
          </w:p>
          <w:p w14:paraId="231C3436"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TQ-2016-2</w:t>
            </w:r>
          </w:p>
          <w:p w14:paraId="0C0BBB03"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044</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1208D4"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lastRenderedPageBreak/>
              <w:t>*</w:t>
            </w:r>
          </w:p>
          <w:p w14:paraId="03E98356"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lastRenderedPageBreak/>
              <w:t>*</w:t>
            </w:r>
          </w:p>
          <w:p w14:paraId="3060374F"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7636ACF5"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2A963C5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6095FA3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74AD3904"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p>
          <w:p w14:paraId="34714644"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78A16342"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0BFC40B2"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3325837"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6EF479" w14:textId="77777777" w:rsidR="009720A8" w:rsidRDefault="009720A8">
            <w:pPr>
              <w:pStyle w:val="Tabletext"/>
              <w:keepNext/>
              <w:tabs>
                <w:tab w:val="left" w:pos="1593"/>
              </w:tabs>
              <w:cnfStyle w:val="000000000000" w:firstRow="0" w:lastRow="0" w:firstColumn="0" w:lastColumn="0" w:oddVBand="0" w:evenVBand="0" w:oddHBand="0" w:evenHBand="0" w:firstRowFirstColumn="0" w:firstRowLastColumn="0" w:lastRowFirstColumn="0" w:lastRowLastColumn="0"/>
            </w:pPr>
            <w:r>
              <w:t>Bioequivalence †</w:t>
            </w:r>
            <w:r>
              <w:tab/>
              <w:t>- Single dose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A58C29"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TQ-2016-01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FF08AB"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47CB4349"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74AA575"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BA6D92" w14:textId="77777777" w:rsidR="009720A8" w:rsidRDefault="009720A8">
            <w:pPr>
              <w:pStyle w:val="Tabletext"/>
              <w:keepNext/>
              <w:tabs>
                <w:tab w:val="left" w:pos="1593"/>
              </w:tabs>
              <w:cnfStyle w:val="000000000000" w:firstRow="0" w:lastRow="0" w:firstColumn="0" w:lastColumn="0" w:oddVBand="0" w:evenVBand="0" w:oddHBand="0" w:evenHBand="0" w:firstRowFirstColumn="0" w:firstRowLastColumn="0" w:lastRowFirstColumn="0" w:lastRowLastColumn="0"/>
            </w:pPr>
            <w:r>
              <w:t>- Multi dose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0A3B60"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014</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94BAB3"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40DEEC0B"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BE134B0"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AF36BA"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Food effect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D361E7"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022</w:t>
            </w:r>
          </w:p>
          <w:p w14:paraId="255F96B6"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003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259C02"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25A63D6F"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3122A61"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F0908C"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Other special population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E6255F"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TAF114582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34978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40F3B85B" w14:textId="77777777" w:rsidTr="009720A8">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8F9CEB" w14:textId="77777777" w:rsidR="009720A8" w:rsidRDefault="009720A8">
            <w:pPr>
              <w:pStyle w:val="Tabletext"/>
              <w:keepNext/>
              <w:rPr>
                <w:b/>
              </w:rPr>
            </w:pPr>
            <w:r>
              <w:rPr>
                <w:b/>
              </w:rPr>
              <w:t>Genetic/gender related PK</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83DC28"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Males versus females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A1BCE0"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014</w:t>
            </w:r>
          </w:p>
          <w:p w14:paraId="09D7CF1F"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003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318166"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013DF52F"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50C8AE8B"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F4624F" w14:textId="77777777" w:rsidR="009720A8" w:rsidRDefault="009720A8">
            <w:pPr>
              <w:pStyle w:val="Tabletext"/>
              <w:keepNext/>
              <w:rPr>
                <w:b/>
              </w:rPr>
            </w:pPr>
            <w:r>
              <w:rPr>
                <w:b/>
              </w:rPr>
              <w:t>PK interactions</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6C618B"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Desipramine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E6DA1A"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49F1A9"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426BA926"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DDCF5A5"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C88B0A"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Midazolam, flurbiprofen, caffeine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8ADF25"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9F401E"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1C14647E" w14:textId="77777777" w:rsidTr="009720A8">
        <w:tc>
          <w:tcPr>
            <w:cnfStyle w:val="001000000000" w:firstRow="0" w:lastRow="0" w:firstColumn="1" w:lastColumn="0" w:oddVBand="0" w:evenVBand="0" w:oddHBand="0" w:evenHBand="0" w:firstRowFirstColumn="0" w:firstRowLastColumn="0" w:lastRowFirstColumn="0" w:lastRowLastColumn="0"/>
            <w:tcW w:w="294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744E003" w14:textId="77777777" w:rsidR="009720A8" w:rsidRDefault="009720A8">
            <w:pPr>
              <w:spacing w:before="0" w:after="0" w:line="240" w:lineRule="auto"/>
              <w:rPr>
                <w:b/>
                <w:sz w:val="19"/>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529852"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Chloroquine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AA7BB3"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TAF106491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5849CE"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9720A8" w14:paraId="17865313" w14:textId="77777777" w:rsidTr="009720A8">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5FE49A" w14:textId="77777777" w:rsidR="009720A8" w:rsidRDefault="009720A8">
            <w:pPr>
              <w:pStyle w:val="Tabletext"/>
              <w:keepNext/>
              <w:rPr>
                <w:b/>
              </w:rPr>
            </w:pPr>
            <w:r>
              <w:rPr>
                <w:b/>
              </w:rPr>
              <w:t>Population PK analyses</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D1D5F0"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Healthy subjects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094AE7" w14:textId="77777777" w:rsidR="009720A8" w:rsidRDefault="009720A8">
            <w:pPr>
              <w:pStyle w:val="Tabletext"/>
              <w:keepNext/>
              <w:cnfStyle w:val="000000000000" w:firstRow="0" w:lastRow="0" w:firstColumn="0" w:lastColumn="0" w:oddVBand="0" w:evenVBand="0" w:oddHBand="0" w:evenHBand="0" w:firstRowFirstColumn="0" w:firstRowLastColumn="0" w:lastRowFirstColumn="0" w:lastRowLastColumn="0"/>
            </w:pPr>
            <w:r>
              <w:t>044-033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8B5D47" w14:textId="77777777" w:rsidR="009720A8" w:rsidRDefault="009720A8">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bl>
    <w:p w14:paraId="172DB10F" w14:textId="77777777" w:rsidR="008A1A1C" w:rsidRDefault="008A1A1C" w:rsidP="009720A8">
      <w:pPr>
        <w:pStyle w:val="TableDescription"/>
      </w:pPr>
      <w:r>
        <w:t xml:space="preserve">* Indicates the primary PK aim of the study. † Bioequivalence of different </w:t>
      </w:r>
      <w:r w:rsidRPr="009720A8">
        <w:t>formulations</w:t>
      </w:r>
      <w:r>
        <w:t xml:space="preserve">. § Subjects who would be eligible to receive the drug if approved for the proposed indication. **see </w:t>
      </w:r>
      <w:r w:rsidR="009720A8">
        <w:t>t</w:t>
      </w:r>
      <w:r>
        <w:t xml:space="preserve">able </w:t>
      </w:r>
      <w:r w:rsidR="009720A8">
        <w:t>below.</w:t>
      </w:r>
    </w:p>
    <w:p w14:paraId="4EEE45EB" w14:textId="77777777" w:rsidR="008A1A1C" w:rsidRDefault="008A1A1C" w:rsidP="009720A8">
      <w:pPr>
        <w:pStyle w:val="Tabletitle"/>
      </w:pPr>
      <w:bookmarkStart w:id="104" w:name="_Toc501293673"/>
      <w:bookmarkStart w:id="105" w:name="_Toc504229423"/>
      <w:r>
        <w:t>Table</w:t>
      </w:r>
      <w:r w:rsidR="009720A8">
        <w:t xml:space="preserve"> </w:t>
      </w:r>
      <w:r w:rsidR="008D769C">
        <w:t>8:</w:t>
      </w:r>
      <w:r>
        <w:t xml:space="preserve"> Pharmacokinetic results excluded from consideration</w:t>
      </w:r>
      <w:bookmarkEnd w:id="104"/>
      <w:bookmarkEnd w:id="105"/>
    </w:p>
    <w:tbl>
      <w:tblPr>
        <w:tblStyle w:val="TableTGAblue"/>
        <w:tblW w:w="0" w:type="auto"/>
        <w:tblLook w:val="04A0" w:firstRow="1" w:lastRow="0" w:firstColumn="1" w:lastColumn="0" w:noHBand="0" w:noVBand="1"/>
      </w:tblPr>
      <w:tblGrid>
        <w:gridCol w:w="2943"/>
        <w:gridCol w:w="3544"/>
        <w:gridCol w:w="2410"/>
      </w:tblGrid>
      <w:tr w:rsidR="009720A8" w14:paraId="2AF227B5" w14:textId="77777777" w:rsidTr="009720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hideMark/>
          </w:tcPr>
          <w:p w14:paraId="25FD2E6D" w14:textId="77777777" w:rsidR="009720A8" w:rsidRPr="009720A8" w:rsidRDefault="009720A8">
            <w:pPr>
              <w:keepNext/>
              <w:rPr>
                <w:sz w:val="20"/>
                <w:szCs w:val="20"/>
              </w:rPr>
            </w:pPr>
            <w:r w:rsidRPr="009720A8">
              <w:rPr>
                <w:sz w:val="20"/>
                <w:szCs w:val="20"/>
              </w:rPr>
              <w:t>Study ID</w:t>
            </w:r>
          </w:p>
        </w:tc>
        <w:tc>
          <w:tcPr>
            <w:tcW w:w="3544" w:type="dxa"/>
            <w:hideMark/>
          </w:tcPr>
          <w:p w14:paraId="7CEACE35" w14:textId="77777777" w:rsidR="009720A8" w:rsidRPr="009720A8" w:rsidRDefault="009720A8">
            <w:pPr>
              <w:keepNext/>
              <w:cnfStyle w:val="100000000000" w:firstRow="1" w:lastRow="0" w:firstColumn="0" w:lastColumn="0" w:oddVBand="0" w:evenVBand="0" w:oddHBand="0" w:evenHBand="0" w:firstRowFirstColumn="0" w:firstRowLastColumn="0" w:lastRowFirstColumn="0" w:lastRowLastColumn="0"/>
              <w:rPr>
                <w:sz w:val="20"/>
                <w:szCs w:val="20"/>
              </w:rPr>
            </w:pPr>
            <w:r w:rsidRPr="009720A8">
              <w:rPr>
                <w:sz w:val="20"/>
                <w:szCs w:val="20"/>
              </w:rPr>
              <w:t>Subtopics</w:t>
            </w:r>
          </w:p>
        </w:tc>
        <w:tc>
          <w:tcPr>
            <w:tcW w:w="2410" w:type="dxa"/>
            <w:tcBorders>
              <w:right w:val="nil"/>
            </w:tcBorders>
            <w:hideMark/>
          </w:tcPr>
          <w:p w14:paraId="56F5B373" w14:textId="77777777" w:rsidR="009720A8" w:rsidRPr="009720A8" w:rsidRDefault="009720A8">
            <w:pPr>
              <w:keepNext/>
              <w:cnfStyle w:val="100000000000" w:firstRow="1" w:lastRow="0" w:firstColumn="0" w:lastColumn="0" w:oddVBand="0" w:evenVBand="0" w:oddHBand="0" w:evenHBand="0" w:firstRowFirstColumn="0" w:firstRowLastColumn="0" w:lastRowFirstColumn="0" w:lastRowLastColumn="0"/>
              <w:rPr>
                <w:sz w:val="20"/>
                <w:szCs w:val="20"/>
              </w:rPr>
            </w:pPr>
            <w:r w:rsidRPr="009720A8">
              <w:rPr>
                <w:sz w:val="20"/>
                <w:szCs w:val="20"/>
              </w:rPr>
              <w:t>PK results excluded</w:t>
            </w:r>
          </w:p>
        </w:tc>
      </w:tr>
      <w:tr w:rsidR="009720A8" w14:paraId="213DC04E" w14:textId="77777777" w:rsidTr="009720A8">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A17EF" w14:textId="77777777" w:rsidR="009720A8" w:rsidRPr="009720A8" w:rsidRDefault="009720A8">
            <w:pPr>
              <w:rPr>
                <w:sz w:val="20"/>
                <w:szCs w:val="20"/>
              </w:rPr>
            </w:pPr>
            <w:r w:rsidRPr="009720A8">
              <w:rPr>
                <w:sz w:val="20"/>
                <w:szCs w:val="20"/>
              </w:rPr>
              <w:t>Study 003</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A4E2BE" w14:textId="77777777" w:rsidR="009720A8" w:rsidRPr="009720A8" w:rsidRDefault="009720A8">
            <w:pPr>
              <w:cnfStyle w:val="000000000000" w:firstRow="0" w:lastRow="0" w:firstColumn="0" w:lastColumn="0" w:oddVBand="0" w:evenVBand="0" w:oddHBand="0" w:evenHBand="0" w:firstRowFirstColumn="0" w:firstRowLastColumn="0" w:lastRowFirstColumn="0" w:lastRowLastColumn="0"/>
              <w:rPr>
                <w:sz w:val="20"/>
                <w:szCs w:val="20"/>
              </w:rPr>
            </w:pPr>
            <w:r w:rsidRPr="009720A8">
              <w:rPr>
                <w:sz w:val="20"/>
                <w:szCs w:val="20"/>
              </w:rPr>
              <w:t>Effect of food and gender</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9B98B2" w14:textId="77777777" w:rsidR="009720A8" w:rsidRPr="009720A8" w:rsidRDefault="009720A8">
            <w:pPr>
              <w:cnfStyle w:val="000000000000" w:firstRow="0" w:lastRow="0" w:firstColumn="0" w:lastColumn="0" w:oddVBand="0" w:evenVBand="0" w:oddHBand="0" w:evenHBand="0" w:firstRowFirstColumn="0" w:firstRowLastColumn="0" w:lastRowFirstColumn="0" w:lastRowLastColumn="0"/>
              <w:rPr>
                <w:sz w:val="20"/>
                <w:szCs w:val="20"/>
              </w:rPr>
            </w:pPr>
            <w:r w:rsidRPr="009720A8">
              <w:rPr>
                <w:sz w:val="20"/>
                <w:szCs w:val="20"/>
              </w:rPr>
              <w:t>No results</w:t>
            </w:r>
          </w:p>
        </w:tc>
      </w:tr>
    </w:tbl>
    <w:p w14:paraId="5907296E" w14:textId="77777777" w:rsidR="008A1A1C" w:rsidRDefault="008A1A1C" w:rsidP="00FB2482">
      <w:pPr>
        <w:pStyle w:val="Heading3"/>
      </w:pPr>
      <w:bookmarkStart w:id="106" w:name="_Toc501809137"/>
      <w:bookmarkStart w:id="107" w:name="_Toc504229363"/>
      <w:bookmarkStart w:id="108" w:name="_Toc12520275"/>
      <w:r>
        <w:t>Summary of pharmacokinetics</w:t>
      </w:r>
      <w:bookmarkEnd w:id="106"/>
      <w:bookmarkEnd w:id="107"/>
      <w:bookmarkEnd w:id="108"/>
    </w:p>
    <w:p w14:paraId="02CD4A8A" w14:textId="77777777" w:rsidR="008A1A1C" w:rsidRDefault="008A1A1C" w:rsidP="00E730B4">
      <w:pPr>
        <w:pStyle w:val="Heading4"/>
        <w:numPr>
          <w:ilvl w:val="2"/>
          <w:numId w:val="7"/>
        </w:numPr>
      </w:pPr>
      <w:bookmarkStart w:id="109" w:name="_Toc432080698"/>
      <w:bookmarkStart w:id="110" w:name="_Toc432079125"/>
      <w:bookmarkStart w:id="111" w:name="_Toc421005243"/>
      <w:bookmarkStart w:id="112" w:name="_Toc416353662"/>
      <w:bookmarkStart w:id="113" w:name="_Toc290888466"/>
      <w:bookmarkStart w:id="114" w:name="_Toc272414617"/>
      <w:r>
        <w:t>Physicochemical characteristics of the active substance</w:t>
      </w:r>
      <w:bookmarkEnd w:id="109"/>
      <w:bookmarkEnd w:id="110"/>
      <w:bookmarkEnd w:id="111"/>
      <w:bookmarkEnd w:id="112"/>
      <w:bookmarkEnd w:id="113"/>
      <w:bookmarkEnd w:id="114"/>
    </w:p>
    <w:p w14:paraId="18B140FD" w14:textId="77777777" w:rsidR="008A1A1C" w:rsidRDefault="008A1A1C" w:rsidP="008A1A1C">
      <w:pPr>
        <w:pStyle w:val="C-BodyText"/>
        <w:rPr>
          <w:rFonts w:asciiTheme="minorHAnsi" w:hAnsiTheme="minorHAnsi"/>
          <w:b/>
        </w:rPr>
      </w:pPr>
      <w:r>
        <w:rPr>
          <w:rFonts w:asciiTheme="minorHAnsi" w:hAnsiTheme="minorHAnsi"/>
        </w:rPr>
        <w:t>A granule-filled capsule was developed for clinical studies and used in all studies up to those that were started after 2016, with one exception. The granule was also incorporated into a direct</w:t>
      </w:r>
      <w:r w:rsidR="009720A8">
        <w:rPr>
          <w:rFonts w:asciiTheme="minorHAnsi" w:hAnsiTheme="minorHAnsi"/>
        </w:rPr>
        <w:t xml:space="preserve"> </w:t>
      </w:r>
      <w:r>
        <w:rPr>
          <w:rFonts w:asciiTheme="minorHAnsi" w:hAnsiTheme="minorHAnsi"/>
        </w:rPr>
        <w:t xml:space="preserve">compression tablet formulation with additional excipients and film-coated for used in </w:t>
      </w:r>
      <w:r w:rsidR="009720A8">
        <w:rPr>
          <w:rFonts w:asciiTheme="minorHAnsi" w:hAnsiTheme="minorHAnsi"/>
        </w:rPr>
        <w:t>S</w:t>
      </w:r>
      <w:r>
        <w:rPr>
          <w:rFonts w:asciiTheme="minorHAnsi" w:hAnsiTheme="minorHAnsi"/>
        </w:rPr>
        <w:t>tudy 014 (a bioequivalence study comparing the capsule and tablet formulations).</w:t>
      </w:r>
    </w:p>
    <w:p w14:paraId="6316EDDF" w14:textId="3AB20EAB" w:rsidR="008A1A1C" w:rsidRDefault="008A1A1C" w:rsidP="008A1A1C">
      <w:pPr>
        <w:pStyle w:val="C-BodyText"/>
        <w:rPr>
          <w:rFonts w:asciiTheme="minorHAnsi" w:hAnsiTheme="minorHAnsi"/>
          <w:color w:val="000000"/>
        </w:rPr>
      </w:pPr>
      <w:r>
        <w:rPr>
          <w:rFonts w:asciiTheme="minorHAnsi" w:hAnsiTheme="minorHAnsi"/>
          <w:color w:val="000000"/>
        </w:rPr>
        <w:lastRenderedPageBreak/>
        <w:t xml:space="preserve">The marketing formulation is tafenoquine immediate release tablets for oral administration containing active ingredient (125 mg of tafenoquine succinate, which is equivalent to 100 mg of the free base). </w:t>
      </w:r>
      <w:r>
        <w:rPr>
          <w:rFonts w:asciiTheme="minorHAnsi" w:hAnsiTheme="minorHAnsi"/>
        </w:rPr>
        <w:t>Study TQ-2016-01 has shown that the PK (AUC, C</w:t>
      </w:r>
      <w:r>
        <w:rPr>
          <w:rFonts w:asciiTheme="minorHAnsi" w:hAnsiTheme="minorHAnsi"/>
          <w:vertAlign w:val="subscript"/>
        </w:rPr>
        <w:t>max</w:t>
      </w:r>
      <w:r>
        <w:rPr>
          <w:rFonts w:asciiTheme="minorHAnsi" w:hAnsiTheme="minorHAnsi"/>
        </w:rPr>
        <w:t xml:space="preserve">, </w:t>
      </w:r>
      <w:r w:rsidR="00855CA9">
        <w:rPr>
          <w:lang w:eastAsia="ja-JP"/>
        </w:rPr>
        <w:t>t</w:t>
      </w:r>
      <w:r w:rsidR="00855CA9" w:rsidRPr="00855CA9">
        <w:rPr>
          <w:vertAlign w:val="subscript"/>
          <w:lang w:eastAsia="ja-JP"/>
        </w:rPr>
        <w:t>½</w:t>
      </w:r>
      <w:r>
        <w:rPr>
          <w:rFonts w:asciiTheme="minorHAnsi" w:hAnsiTheme="minorHAnsi"/>
        </w:rPr>
        <w:t>) following administration of 200 mg (2 x100 mg) of the marketing formulation are equivalent to historic values (</w:t>
      </w:r>
      <w:r w:rsidR="009720A8">
        <w:rPr>
          <w:rFonts w:asciiTheme="minorHAnsi" w:hAnsiTheme="minorHAnsi"/>
        </w:rPr>
        <w:t>Study</w:t>
      </w:r>
      <w:r w:rsidR="00FD4397">
        <w:rPr>
          <w:rFonts w:asciiTheme="minorHAnsi" w:hAnsiTheme="minorHAnsi"/>
        </w:rPr>
        <w:t> </w:t>
      </w:r>
      <w:r w:rsidR="009720A8">
        <w:rPr>
          <w:rFonts w:asciiTheme="minorHAnsi" w:hAnsiTheme="minorHAnsi"/>
        </w:rPr>
        <w:t>0</w:t>
      </w:r>
      <w:r>
        <w:rPr>
          <w:rFonts w:asciiTheme="minorHAnsi" w:hAnsiTheme="minorHAnsi"/>
        </w:rPr>
        <w:t>22) of the PK of 200 mg of the capsule formulation used in prior clinical work.</w:t>
      </w:r>
    </w:p>
    <w:p w14:paraId="01B06B31" w14:textId="77777777" w:rsidR="008A1A1C" w:rsidRDefault="008A1A1C" w:rsidP="00E730B4">
      <w:pPr>
        <w:pStyle w:val="Heading4"/>
        <w:numPr>
          <w:ilvl w:val="2"/>
          <w:numId w:val="7"/>
        </w:numPr>
      </w:pPr>
      <w:bookmarkStart w:id="115" w:name="_Toc432080699"/>
      <w:bookmarkStart w:id="116" w:name="_Toc432079126"/>
      <w:bookmarkStart w:id="117" w:name="_Toc421005244"/>
      <w:bookmarkStart w:id="118" w:name="_Toc416353663"/>
      <w:bookmarkStart w:id="119" w:name="_Toc290888467"/>
      <w:bookmarkStart w:id="120" w:name="_Toc272414618"/>
      <w:bookmarkStart w:id="121" w:name="_Ref271189143"/>
      <w:bookmarkStart w:id="122" w:name="_Ref271189106"/>
      <w:r>
        <w:t>Pharmacokinetics in healthy subjects</w:t>
      </w:r>
      <w:bookmarkEnd w:id="115"/>
      <w:bookmarkEnd w:id="116"/>
      <w:bookmarkEnd w:id="117"/>
      <w:bookmarkEnd w:id="118"/>
      <w:bookmarkEnd w:id="119"/>
      <w:bookmarkEnd w:id="120"/>
      <w:bookmarkEnd w:id="121"/>
      <w:bookmarkEnd w:id="122"/>
    </w:p>
    <w:p w14:paraId="680CEED8" w14:textId="77777777" w:rsidR="008A1A1C" w:rsidRDefault="008A1A1C" w:rsidP="00E730B4">
      <w:pPr>
        <w:pStyle w:val="Heading5"/>
        <w:numPr>
          <w:ilvl w:val="3"/>
          <w:numId w:val="7"/>
        </w:numPr>
      </w:pPr>
      <w:bookmarkStart w:id="123" w:name="_Toc416353664"/>
      <w:bookmarkStart w:id="124" w:name="_Toc290888468"/>
      <w:bookmarkStart w:id="125" w:name="_Toc272414619"/>
      <w:r>
        <w:t>Absorption</w:t>
      </w:r>
      <w:bookmarkEnd w:id="123"/>
      <w:bookmarkEnd w:id="124"/>
      <w:bookmarkEnd w:id="125"/>
    </w:p>
    <w:p w14:paraId="5333CF94" w14:textId="77777777" w:rsidR="008A1A1C" w:rsidRDefault="008A1A1C" w:rsidP="009720A8">
      <w:bookmarkStart w:id="126" w:name="_Toc416353665"/>
      <w:bookmarkStart w:id="127" w:name="_Toc290888469"/>
      <w:bookmarkStart w:id="128" w:name="_Toc272414620"/>
      <w:bookmarkStart w:id="129" w:name="_Toc241374287"/>
      <w:r>
        <w:t>Dissolution studies of tafenoquine in simulated gastric fluid demonstrated complete dissolution within 30 minutes. These results inform on the long apparent absorption phase of the drug, which may be due to a distal gastrointestinal absorption site combined with the drug’s slow clearance since T</w:t>
      </w:r>
      <w:r>
        <w:rPr>
          <w:vertAlign w:val="subscript"/>
        </w:rPr>
        <w:t>max</w:t>
      </w:r>
      <w:r>
        <w:t xml:space="preserve"> is a function of both absorption and elimination rates.</w:t>
      </w:r>
    </w:p>
    <w:p w14:paraId="05AF3BF5" w14:textId="77777777" w:rsidR="008A1A1C" w:rsidRDefault="008A1A1C" w:rsidP="009720A8">
      <w:r>
        <w:t>The consolidated data from studies clinical PK data from Studies 001, 002, 003, 004, 005, 014, 015, 033, 044 and 058 (866 participants in total) were used to determine population pharmacokinetics using a one-compartment model. These determined the following paramet</w:t>
      </w:r>
      <w:r w:rsidR="009720A8">
        <w:t>ers</w:t>
      </w:r>
      <w:r>
        <w:t>:</w:t>
      </w:r>
    </w:p>
    <w:p w14:paraId="2E9BDBA7" w14:textId="77777777" w:rsidR="008A1A1C" w:rsidRDefault="008A1A1C" w:rsidP="0011058F">
      <w:pPr>
        <w:pStyle w:val="ListBullet"/>
      </w:pPr>
      <w:r>
        <w:t>T</w:t>
      </w:r>
      <w:r>
        <w:rPr>
          <w:vertAlign w:val="subscript"/>
        </w:rPr>
        <w:t>max</w:t>
      </w:r>
      <w:r>
        <w:t>: 7 hours</w:t>
      </w:r>
    </w:p>
    <w:p w14:paraId="2C46719B" w14:textId="77777777" w:rsidR="008A1A1C" w:rsidRDefault="008A1A1C" w:rsidP="0011058F">
      <w:pPr>
        <w:pStyle w:val="ListBullet"/>
      </w:pPr>
      <w:r>
        <w:t>T</w:t>
      </w:r>
      <w:r>
        <w:rPr>
          <w:vertAlign w:val="subscript"/>
        </w:rPr>
        <w:t>1/2</w:t>
      </w:r>
      <w:r>
        <w:t>: 17 days</w:t>
      </w:r>
    </w:p>
    <w:p w14:paraId="25811C47" w14:textId="77777777" w:rsidR="008A1A1C" w:rsidRDefault="008A1A1C" w:rsidP="0011058F">
      <w:pPr>
        <w:pStyle w:val="ListBullet"/>
      </w:pPr>
      <w:r>
        <w:t>C</w:t>
      </w:r>
      <w:r>
        <w:rPr>
          <w:vertAlign w:val="subscript"/>
        </w:rPr>
        <w:t>max</w:t>
      </w:r>
      <w:r>
        <w:t>,</w:t>
      </w:r>
      <w:r w:rsidRPr="009720A8">
        <w:rPr>
          <w:vertAlign w:val="subscript"/>
        </w:rPr>
        <w:t>ss</w:t>
      </w:r>
      <w:r>
        <w:t>: 300</w:t>
      </w:r>
      <w:r w:rsidR="00122529">
        <w:t xml:space="preserve"> ng/mL</w:t>
      </w:r>
    </w:p>
    <w:p w14:paraId="6526A8E1" w14:textId="77777777" w:rsidR="00F1528F" w:rsidRDefault="008A1A1C" w:rsidP="0011058F">
      <w:pPr>
        <w:pStyle w:val="ListBullet"/>
      </w:pPr>
      <w:r>
        <w:t>CL/F: 4.17 L/hour</w:t>
      </w:r>
    </w:p>
    <w:p w14:paraId="1729BED2" w14:textId="77777777" w:rsidR="00F1528F" w:rsidRDefault="008A1A1C" w:rsidP="0011058F">
      <w:pPr>
        <w:pStyle w:val="ListBullet"/>
      </w:pPr>
      <w:r>
        <w:t>Vd/F: 2470 L</w:t>
      </w:r>
    </w:p>
    <w:p w14:paraId="378A342A" w14:textId="5BE97BE1" w:rsidR="00F1528F" w:rsidRDefault="008A1A1C" w:rsidP="0011058F">
      <w:pPr>
        <w:pStyle w:val="ListBullet"/>
      </w:pPr>
      <w:r>
        <w:t xml:space="preserve">AUC </w:t>
      </w:r>
      <w:r>
        <w:rPr>
          <w:vertAlign w:val="subscript"/>
        </w:rPr>
        <w:t>(0-1 week)</w:t>
      </w:r>
      <w:r>
        <w:t>: Day 1</w:t>
      </w:r>
      <w:r w:rsidR="00FD4397">
        <w:t>,</w:t>
      </w:r>
      <w:r>
        <w:t xml:space="preserve"> 13.2 ± 1.9 </w:t>
      </w:r>
      <w:bookmarkStart w:id="130" w:name="_Hlk503978494"/>
      <w:r>
        <w:t>(ng∙h/mL</w:t>
      </w:r>
      <w:bookmarkEnd w:id="130"/>
      <w:r>
        <w:t>); Study 51 showed accumulation with repeated dosing and AUC at Week 10 was 56.0 ± 18.4 (ng∙h/mL).</w:t>
      </w:r>
    </w:p>
    <w:p w14:paraId="4BFFF9BC" w14:textId="274244B3" w:rsidR="008A1A1C" w:rsidRDefault="008A1A1C" w:rsidP="008A1A1C">
      <w:pPr>
        <w:rPr>
          <w:lang w:eastAsia="ja-JP"/>
        </w:rPr>
      </w:pPr>
      <w:r>
        <w:rPr>
          <w:lang w:eastAsia="ja-JP"/>
        </w:rPr>
        <w:t xml:space="preserve">In Study 051, healthy </w:t>
      </w:r>
      <w:r w:rsidRPr="00B75BFB">
        <w:rPr>
          <w:lang w:eastAsia="ja-JP"/>
        </w:rPr>
        <w:t>volunteers received 10 weekly administrations of one of 200 mg or 400</w:t>
      </w:r>
      <w:r w:rsidR="00FD4397">
        <w:rPr>
          <w:lang w:eastAsia="ja-JP"/>
        </w:rPr>
        <w:t> </w:t>
      </w:r>
      <w:r w:rsidRPr="00B75BFB">
        <w:rPr>
          <w:lang w:eastAsia="ja-JP"/>
        </w:rPr>
        <w:t xml:space="preserve">mg while fasting. PK parameter values are given in </w:t>
      </w:r>
      <w:r w:rsidR="008D769C" w:rsidRPr="00B75BFB">
        <w:rPr>
          <w:lang w:eastAsia="ja-JP"/>
        </w:rPr>
        <w:t>Table 9</w:t>
      </w:r>
      <w:r w:rsidRPr="00B75BFB">
        <w:rPr>
          <w:lang w:eastAsia="ja-JP"/>
        </w:rPr>
        <w:t>. The accumulation ratio for the 200 mg dose was approximately 4.</w:t>
      </w:r>
    </w:p>
    <w:p w14:paraId="361C9044" w14:textId="3C4D59A5" w:rsidR="00590F00" w:rsidRPr="00B9231E" w:rsidRDefault="00590F00" w:rsidP="00FD4397">
      <w:pPr>
        <w:pStyle w:val="Tabletitle"/>
      </w:pPr>
      <w:bookmarkStart w:id="131" w:name="_Ref503984781"/>
      <w:bookmarkStart w:id="132" w:name="_Toc504229433"/>
      <w:r>
        <w:t xml:space="preserve">Table </w:t>
      </w:r>
      <w:r w:rsidR="008D769C">
        <w:t>9:</w:t>
      </w:r>
      <w:bookmarkEnd w:id="131"/>
      <w:r>
        <w:t xml:space="preserve"> </w:t>
      </w:r>
      <w:r w:rsidRPr="00B9231E">
        <w:t xml:space="preserve">Summary of </w:t>
      </w:r>
      <w:r w:rsidR="00FD4397">
        <w:t>p</w:t>
      </w:r>
      <w:r w:rsidR="00FD4397" w:rsidRPr="00B9231E">
        <w:t xml:space="preserve">lasma </w:t>
      </w:r>
      <w:r w:rsidR="00FD4397">
        <w:t>t</w:t>
      </w:r>
      <w:r w:rsidR="00FD4397" w:rsidRPr="00B9231E">
        <w:t xml:space="preserve">afenoquine </w:t>
      </w:r>
      <w:r w:rsidRPr="00B9231E">
        <w:t xml:space="preserve">PK </w:t>
      </w:r>
      <w:r w:rsidR="00FD4397">
        <w:t>p</w:t>
      </w:r>
      <w:r w:rsidR="00FD4397" w:rsidRPr="00B9231E">
        <w:t xml:space="preserve">arameters </w:t>
      </w:r>
      <w:r w:rsidRPr="00B9231E">
        <w:t>(Study 051)</w:t>
      </w:r>
      <w:bookmarkEnd w:id="132"/>
    </w:p>
    <w:tbl>
      <w:tblPr>
        <w:tblStyle w:val="TableTGAblue"/>
        <w:tblW w:w="5000" w:type="pct"/>
        <w:tblLook w:val="00A0" w:firstRow="1" w:lastRow="0" w:firstColumn="1" w:lastColumn="0" w:noHBand="0" w:noVBand="0"/>
      </w:tblPr>
      <w:tblGrid>
        <w:gridCol w:w="1009"/>
        <w:gridCol w:w="1271"/>
        <w:gridCol w:w="1398"/>
        <w:gridCol w:w="1075"/>
        <w:gridCol w:w="1041"/>
        <w:gridCol w:w="1198"/>
        <w:gridCol w:w="1209"/>
        <w:gridCol w:w="1041"/>
      </w:tblGrid>
      <w:tr w:rsidR="00590F00" w:rsidRPr="00A54C96" w14:paraId="72C7737D" w14:textId="77777777" w:rsidTr="00AA2FE4">
        <w:trPr>
          <w:cnfStyle w:val="100000000000" w:firstRow="1" w:lastRow="0" w:firstColumn="0" w:lastColumn="0" w:oddVBand="0" w:evenVBand="0" w:oddHBand="0" w:evenHBand="0" w:firstRowFirstColumn="0" w:firstRowLastColumn="0" w:lastRowFirstColumn="0" w:lastRowLastColumn="0"/>
          <w:cantSplit/>
          <w:trHeight w:val="470"/>
          <w:tblHeader/>
        </w:trPr>
        <w:tc>
          <w:tcPr>
            <w:cnfStyle w:val="001000000000" w:firstRow="0" w:lastRow="0" w:firstColumn="1" w:lastColumn="0" w:oddVBand="0" w:evenVBand="0" w:oddHBand="0" w:evenHBand="0" w:firstRowFirstColumn="0" w:firstRowLastColumn="0" w:lastRowFirstColumn="0" w:lastRowLastColumn="0"/>
            <w:tcW w:w="546" w:type="pct"/>
          </w:tcPr>
          <w:p w14:paraId="00D75AEC" w14:textId="77777777" w:rsidR="00590F00" w:rsidRPr="00590F00" w:rsidRDefault="00590F00" w:rsidP="0011058F">
            <w:pPr>
              <w:keepNext/>
              <w:rPr>
                <w:b w:val="0"/>
                <w:color w:val="auto"/>
                <w:sz w:val="20"/>
                <w:szCs w:val="20"/>
                <w:lang w:eastAsia="en-US"/>
              </w:rPr>
            </w:pPr>
            <w:r w:rsidRPr="00590F00">
              <w:rPr>
                <w:sz w:val="20"/>
                <w:szCs w:val="20"/>
              </w:rPr>
              <w:t>Dose</w:t>
            </w:r>
            <w:r w:rsidR="00B75BFB">
              <w:rPr>
                <w:sz w:val="20"/>
                <w:szCs w:val="20"/>
              </w:rPr>
              <w:t xml:space="preserve"> </w:t>
            </w:r>
            <w:r w:rsidRPr="00590F00">
              <w:rPr>
                <w:sz w:val="20"/>
                <w:szCs w:val="20"/>
              </w:rPr>
              <w:t>mg</w:t>
            </w:r>
          </w:p>
        </w:tc>
        <w:tc>
          <w:tcPr>
            <w:tcW w:w="1444" w:type="pct"/>
            <w:gridSpan w:val="2"/>
          </w:tcPr>
          <w:p w14:paraId="60C7B785" w14:textId="77777777" w:rsidR="00590F00" w:rsidRPr="00590F00" w:rsidRDefault="00590F00" w:rsidP="0011058F">
            <w:pPr>
              <w:keepNext/>
              <w:cnfStyle w:val="100000000000" w:firstRow="1" w:lastRow="0" w:firstColumn="0" w:lastColumn="0" w:oddVBand="0" w:evenVBand="0" w:oddHBand="0" w:evenHBand="0" w:firstRowFirstColumn="0" w:firstRowLastColumn="0" w:lastRowFirstColumn="0" w:lastRowLastColumn="0"/>
              <w:rPr>
                <w:b w:val="0"/>
                <w:color w:val="auto"/>
                <w:sz w:val="20"/>
                <w:szCs w:val="20"/>
                <w:lang w:eastAsia="en-US"/>
              </w:rPr>
            </w:pPr>
            <w:r w:rsidRPr="00590F00">
              <w:rPr>
                <w:sz w:val="20"/>
                <w:szCs w:val="20"/>
              </w:rPr>
              <w:t>AUC</w:t>
            </w:r>
            <w:r w:rsidRPr="00590F00">
              <w:rPr>
                <w:sz w:val="20"/>
                <w:szCs w:val="20"/>
                <w:vertAlign w:val="subscript"/>
              </w:rPr>
              <w:t>(0-1 week)</w:t>
            </w:r>
            <w:r w:rsidR="00B75BFB">
              <w:rPr>
                <w:sz w:val="20"/>
                <w:szCs w:val="20"/>
                <w:vertAlign w:val="subscript"/>
              </w:rPr>
              <w:t xml:space="preserve"> </w:t>
            </w:r>
            <w:r w:rsidRPr="00590F00">
              <w:rPr>
                <w:sz w:val="20"/>
                <w:szCs w:val="20"/>
              </w:rPr>
              <w:t>ng∙h/mL</w:t>
            </w:r>
          </w:p>
        </w:tc>
        <w:tc>
          <w:tcPr>
            <w:tcW w:w="1145" w:type="pct"/>
            <w:gridSpan w:val="2"/>
          </w:tcPr>
          <w:p w14:paraId="68D85476" w14:textId="77777777" w:rsidR="00590F00" w:rsidRPr="00590F00" w:rsidRDefault="00590F00" w:rsidP="0011058F">
            <w:pPr>
              <w:keepNext/>
              <w:cnfStyle w:val="100000000000" w:firstRow="1" w:lastRow="0" w:firstColumn="0" w:lastColumn="0" w:oddVBand="0" w:evenVBand="0" w:oddHBand="0" w:evenHBand="0" w:firstRowFirstColumn="0" w:firstRowLastColumn="0" w:lastRowFirstColumn="0" w:lastRowLastColumn="0"/>
              <w:rPr>
                <w:b w:val="0"/>
                <w:color w:val="auto"/>
                <w:sz w:val="20"/>
                <w:szCs w:val="20"/>
                <w:lang w:eastAsia="en-US"/>
              </w:rPr>
            </w:pPr>
            <w:r w:rsidRPr="00590F00">
              <w:rPr>
                <w:sz w:val="20"/>
                <w:szCs w:val="20"/>
              </w:rPr>
              <w:t>C</w:t>
            </w:r>
            <w:r w:rsidRPr="00590F00">
              <w:rPr>
                <w:sz w:val="20"/>
                <w:szCs w:val="20"/>
                <w:vertAlign w:val="subscript"/>
              </w:rPr>
              <w:t>max</w:t>
            </w:r>
            <w:r w:rsidR="00122529">
              <w:rPr>
                <w:sz w:val="20"/>
                <w:szCs w:val="20"/>
                <w:vertAlign w:val="subscript"/>
              </w:rPr>
              <w:t xml:space="preserve"> </w:t>
            </w:r>
            <w:r w:rsidR="00122529">
              <w:rPr>
                <w:sz w:val="20"/>
                <w:szCs w:val="20"/>
              </w:rPr>
              <w:t>ng/mL</w:t>
            </w:r>
          </w:p>
        </w:tc>
        <w:tc>
          <w:tcPr>
            <w:tcW w:w="1302" w:type="pct"/>
            <w:gridSpan w:val="2"/>
          </w:tcPr>
          <w:p w14:paraId="4E2D34CB" w14:textId="77777777" w:rsidR="00590F00" w:rsidRPr="00590F00" w:rsidRDefault="00590F00" w:rsidP="0011058F">
            <w:pPr>
              <w:keepNext/>
              <w:cnfStyle w:val="100000000000" w:firstRow="1" w:lastRow="0" w:firstColumn="0" w:lastColumn="0" w:oddVBand="0" w:evenVBand="0" w:oddHBand="0" w:evenHBand="0" w:firstRowFirstColumn="0" w:firstRowLastColumn="0" w:lastRowFirstColumn="0" w:lastRowLastColumn="0"/>
              <w:rPr>
                <w:b w:val="0"/>
                <w:color w:val="auto"/>
                <w:sz w:val="20"/>
                <w:szCs w:val="20"/>
                <w:lang w:eastAsia="en-US"/>
              </w:rPr>
            </w:pPr>
            <w:r w:rsidRPr="00590F00">
              <w:rPr>
                <w:sz w:val="20"/>
                <w:szCs w:val="20"/>
              </w:rPr>
              <w:t>T</w:t>
            </w:r>
            <w:r w:rsidRPr="00590F00">
              <w:rPr>
                <w:sz w:val="20"/>
                <w:szCs w:val="20"/>
                <w:vertAlign w:val="subscript"/>
              </w:rPr>
              <w:t>max</w:t>
            </w:r>
            <w:r w:rsidR="00122529">
              <w:rPr>
                <w:sz w:val="20"/>
                <w:szCs w:val="20"/>
                <w:vertAlign w:val="subscript"/>
              </w:rPr>
              <w:t xml:space="preserve"> </w:t>
            </w:r>
            <w:r w:rsidR="00B75BFB">
              <w:rPr>
                <w:sz w:val="20"/>
                <w:szCs w:val="20"/>
              </w:rPr>
              <w:t>h</w:t>
            </w:r>
          </w:p>
        </w:tc>
        <w:tc>
          <w:tcPr>
            <w:tcW w:w="563" w:type="pct"/>
          </w:tcPr>
          <w:p w14:paraId="374F283D" w14:textId="77777777" w:rsidR="00590F00" w:rsidRPr="00590F00" w:rsidRDefault="00590F00" w:rsidP="0011058F">
            <w:pPr>
              <w:keepNext/>
              <w:cnfStyle w:val="100000000000" w:firstRow="1" w:lastRow="0" w:firstColumn="0" w:lastColumn="0" w:oddVBand="0" w:evenVBand="0" w:oddHBand="0" w:evenHBand="0" w:firstRowFirstColumn="0" w:firstRowLastColumn="0" w:lastRowFirstColumn="0" w:lastRowLastColumn="0"/>
              <w:rPr>
                <w:b w:val="0"/>
                <w:color w:val="auto"/>
                <w:sz w:val="20"/>
                <w:szCs w:val="20"/>
                <w:lang w:eastAsia="en-US"/>
              </w:rPr>
            </w:pPr>
            <w:r w:rsidRPr="00590F00">
              <w:rPr>
                <w:sz w:val="20"/>
                <w:szCs w:val="20"/>
              </w:rPr>
              <w:t>t</w:t>
            </w:r>
            <w:r w:rsidRPr="00590F00">
              <w:rPr>
                <w:sz w:val="20"/>
                <w:szCs w:val="20"/>
                <w:vertAlign w:val="subscript"/>
              </w:rPr>
              <w:t>½</w:t>
            </w:r>
            <w:r w:rsidR="00B75BFB">
              <w:rPr>
                <w:sz w:val="20"/>
                <w:szCs w:val="20"/>
                <w:vertAlign w:val="subscript"/>
              </w:rPr>
              <w:t xml:space="preserve"> </w:t>
            </w:r>
            <w:r w:rsidRPr="00590F00">
              <w:rPr>
                <w:sz w:val="20"/>
                <w:szCs w:val="20"/>
              </w:rPr>
              <w:t>Days</w:t>
            </w:r>
          </w:p>
        </w:tc>
      </w:tr>
      <w:tr w:rsidR="00590F00" w:rsidRPr="00A54C96" w14:paraId="2518262D" w14:textId="77777777" w:rsidTr="00AA2FE4">
        <w:tc>
          <w:tcPr>
            <w:cnfStyle w:val="001000000000" w:firstRow="0" w:lastRow="0" w:firstColumn="1" w:lastColumn="0" w:oddVBand="0" w:evenVBand="0" w:oddHBand="0" w:evenHBand="0" w:firstRowFirstColumn="0" w:firstRowLastColumn="0" w:lastRowFirstColumn="0" w:lastRowLastColumn="0"/>
            <w:tcW w:w="546" w:type="pct"/>
          </w:tcPr>
          <w:p w14:paraId="68A67F9D" w14:textId="77777777" w:rsidR="00590F00" w:rsidRPr="00590F00" w:rsidRDefault="00590F00" w:rsidP="00ED6B5B">
            <w:pPr>
              <w:keepNext/>
              <w:rPr>
                <w:color w:val="auto"/>
                <w:sz w:val="20"/>
                <w:szCs w:val="20"/>
                <w:lang w:eastAsia="en-US"/>
              </w:rPr>
            </w:pPr>
          </w:p>
        </w:tc>
        <w:tc>
          <w:tcPr>
            <w:tcW w:w="688" w:type="pct"/>
          </w:tcPr>
          <w:p w14:paraId="567A97F4"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Day 1</w:t>
            </w:r>
          </w:p>
        </w:tc>
        <w:tc>
          <w:tcPr>
            <w:tcW w:w="757" w:type="pct"/>
          </w:tcPr>
          <w:p w14:paraId="38245763"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Week 10</w:t>
            </w:r>
          </w:p>
        </w:tc>
        <w:tc>
          <w:tcPr>
            <w:tcW w:w="582" w:type="pct"/>
          </w:tcPr>
          <w:p w14:paraId="65395272"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Day 1</w:t>
            </w:r>
          </w:p>
        </w:tc>
        <w:tc>
          <w:tcPr>
            <w:tcW w:w="563" w:type="pct"/>
          </w:tcPr>
          <w:p w14:paraId="631CC551"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Week 10</w:t>
            </w:r>
          </w:p>
        </w:tc>
        <w:tc>
          <w:tcPr>
            <w:tcW w:w="648" w:type="pct"/>
          </w:tcPr>
          <w:p w14:paraId="61CA8F76"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Day 1</w:t>
            </w:r>
          </w:p>
        </w:tc>
        <w:tc>
          <w:tcPr>
            <w:tcW w:w="654" w:type="pct"/>
          </w:tcPr>
          <w:p w14:paraId="32EE964F"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Week 10</w:t>
            </w:r>
          </w:p>
        </w:tc>
        <w:tc>
          <w:tcPr>
            <w:tcW w:w="563" w:type="pct"/>
          </w:tcPr>
          <w:p w14:paraId="06091285" w14:textId="77777777" w:rsidR="00590F00" w:rsidRPr="00590F00" w:rsidRDefault="00590F00" w:rsidP="00ED6B5B">
            <w:pPr>
              <w:keepNext/>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90F00">
              <w:rPr>
                <w:sz w:val="20"/>
                <w:szCs w:val="20"/>
              </w:rPr>
              <w:t>Week 10</w:t>
            </w:r>
          </w:p>
        </w:tc>
      </w:tr>
      <w:tr w:rsidR="00590F00" w:rsidRPr="00A54C96" w14:paraId="10805725" w14:textId="77777777" w:rsidTr="00AA2FE4">
        <w:tc>
          <w:tcPr>
            <w:cnfStyle w:val="001000000000" w:firstRow="0" w:lastRow="0" w:firstColumn="1" w:lastColumn="0" w:oddVBand="0" w:evenVBand="0" w:oddHBand="0" w:evenHBand="0" w:firstRowFirstColumn="0" w:firstRowLastColumn="0" w:lastRowFirstColumn="0" w:lastRowLastColumn="0"/>
            <w:tcW w:w="546" w:type="pct"/>
          </w:tcPr>
          <w:p w14:paraId="2A7D461E" w14:textId="77777777" w:rsidR="00590F00" w:rsidRPr="00590F00" w:rsidRDefault="00590F00" w:rsidP="00590F00">
            <w:pPr>
              <w:rPr>
                <w:sz w:val="20"/>
                <w:szCs w:val="20"/>
              </w:rPr>
            </w:pPr>
            <w:r w:rsidRPr="00590F00">
              <w:rPr>
                <w:sz w:val="20"/>
                <w:szCs w:val="20"/>
              </w:rPr>
              <w:t>200</w:t>
            </w:r>
          </w:p>
        </w:tc>
        <w:tc>
          <w:tcPr>
            <w:tcW w:w="688" w:type="pct"/>
          </w:tcPr>
          <w:p w14:paraId="22F7C87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13.2 ± 1.9</w:t>
            </w:r>
          </w:p>
        </w:tc>
        <w:tc>
          <w:tcPr>
            <w:tcW w:w="757" w:type="pct"/>
          </w:tcPr>
          <w:p w14:paraId="16D22F5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56.0 ± 18.4</w:t>
            </w:r>
          </w:p>
        </w:tc>
        <w:tc>
          <w:tcPr>
            <w:tcW w:w="582" w:type="pct"/>
          </w:tcPr>
          <w:p w14:paraId="186FA3C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106 ± 20</w:t>
            </w:r>
          </w:p>
        </w:tc>
        <w:tc>
          <w:tcPr>
            <w:tcW w:w="563" w:type="pct"/>
          </w:tcPr>
          <w:p w14:paraId="0DE9F9F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455 ± 456</w:t>
            </w:r>
          </w:p>
        </w:tc>
        <w:tc>
          <w:tcPr>
            <w:tcW w:w="648" w:type="pct"/>
          </w:tcPr>
          <w:p w14:paraId="6426F37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12.0</w:t>
            </w:r>
            <w:r w:rsidRPr="00590F00">
              <w:rPr>
                <w:sz w:val="20"/>
                <w:szCs w:val="20"/>
              </w:rPr>
              <w:br/>
              <w:t>(8.0–24.0)</w:t>
            </w:r>
          </w:p>
        </w:tc>
        <w:tc>
          <w:tcPr>
            <w:tcW w:w="654" w:type="pct"/>
          </w:tcPr>
          <w:p w14:paraId="4557C0D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7.0</w:t>
            </w:r>
            <w:r w:rsidRPr="00590F00">
              <w:rPr>
                <w:sz w:val="20"/>
                <w:szCs w:val="20"/>
              </w:rPr>
              <w:br/>
              <w:t>(0.0–24.0)</w:t>
            </w:r>
          </w:p>
        </w:tc>
        <w:tc>
          <w:tcPr>
            <w:tcW w:w="563" w:type="pct"/>
          </w:tcPr>
          <w:p w14:paraId="528D444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15.7 ± 2.0</w:t>
            </w:r>
          </w:p>
        </w:tc>
      </w:tr>
      <w:tr w:rsidR="00590F00" w:rsidRPr="00A54C96" w14:paraId="6C7CA67A" w14:textId="77777777" w:rsidTr="00AA2FE4">
        <w:tc>
          <w:tcPr>
            <w:cnfStyle w:val="001000000000" w:firstRow="0" w:lastRow="0" w:firstColumn="1" w:lastColumn="0" w:oddVBand="0" w:evenVBand="0" w:oddHBand="0" w:evenHBand="0" w:firstRowFirstColumn="0" w:firstRowLastColumn="0" w:lastRowFirstColumn="0" w:lastRowLastColumn="0"/>
            <w:tcW w:w="546" w:type="pct"/>
          </w:tcPr>
          <w:p w14:paraId="269BDEA4" w14:textId="77777777" w:rsidR="00590F00" w:rsidRPr="00590F00" w:rsidRDefault="00590F00" w:rsidP="00590F00">
            <w:pPr>
              <w:rPr>
                <w:sz w:val="20"/>
                <w:szCs w:val="20"/>
              </w:rPr>
            </w:pPr>
            <w:r w:rsidRPr="00590F00">
              <w:rPr>
                <w:sz w:val="20"/>
                <w:szCs w:val="20"/>
              </w:rPr>
              <w:t>400</w:t>
            </w:r>
          </w:p>
        </w:tc>
        <w:tc>
          <w:tcPr>
            <w:tcW w:w="688" w:type="pct"/>
          </w:tcPr>
          <w:p w14:paraId="44B8F5E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27.8 ± 4.9</w:t>
            </w:r>
          </w:p>
        </w:tc>
        <w:tc>
          <w:tcPr>
            <w:tcW w:w="757" w:type="pct"/>
          </w:tcPr>
          <w:p w14:paraId="06BE348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82.1 ± 14.2</w:t>
            </w:r>
          </w:p>
        </w:tc>
        <w:tc>
          <w:tcPr>
            <w:tcW w:w="582" w:type="pct"/>
          </w:tcPr>
          <w:p w14:paraId="49F0D1F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249 ± 74</w:t>
            </w:r>
          </w:p>
        </w:tc>
        <w:tc>
          <w:tcPr>
            <w:tcW w:w="563" w:type="pct"/>
          </w:tcPr>
          <w:p w14:paraId="36B3C4C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783 ± 196</w:t>
            </w:r>
          </w:p>
        </w:tc>
        <w:tc>
          <w:tcPr>
            <w:tcW w:w="648" w:type="pct"/>
          </w:tcPr>
          <w:p w14:paraId="2991BEA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12.0</w:t>
            </w:r>
            <w:r w:rsidRPr="00590F00">
              <w:rPr>
                <w:sz w:val="20"/>
                <w:szCs w:val="20"/>
              </w:rPr>
              <w:br/>
              <w:t>(4.0–24.0)</w:t>
            </w:r>
          </w:p>
        </w:tc>
        <w:tc>
          <w:tcPr>
            <w:tcW w:w="654" w:type="pct"/>
          </w:tcPr>
          <w:p w14:paraId="574C89E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 xml:space="preserve">12.0 </w:t>
            </w:r>
            <w:r w:rsidRPr="00590F00">
              <w:rPr>
                <w:sz w:val="20"/>
                <w:szCs w:val="20"/>
              </w:rPr>
              <w:br/>
              <w:t>(6.0–24.0)</w:t>
            </w:r>
          </w:p>
        </w:tc>
        <w:tc>
          <w:tcPr>
            <w:tcW w:w="563" w:type="pct"/>
          </w:tcPr>
          <w:p w14:paraId="2E5420D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20.0 ± 3.5</w:t>
            </w:r>
          </w:p>
        </w:tc>
      </w:tr>
    </w:tbl>
    <w:p w14:paraId="050B9660" w14:textId="77777777" w:rsidR="008A1A1C" w:rsidRDefault="008A1A1C" w:rsidP="00E730B4">
      <w:pPr>
        <w:pStyle w:val="Heading5"/>
        <w:numPr>
          <w:ilvl w:val="3"/>
          <w:numId w:val="7"/>
        </w:numPr>
      </w:pPr>
      <w:r>
        <w:t>Bioavailability</w:t>
      </w:r>
      <w:bookmarkEnd w:id="126"/>
      <w:bookmarkEnd w:id="127"/>
      <w:bookmarkEnd w:id="128"/>
      <w:bookmarkEnd w:id="129"/>
    </w:p>
    <w:p w14:paraId="2894A4B0" w14:textId="77777777" w:rsidR="00F1528F" w:rsidRDefault="008A1A1C" w:rsidP="008A1A1C">
      <w:r>
        <w:t>Following administration of a single dose of tafenoquine to healthy males in Study 050 showed AUC and C</w:t>
      </w:r>
      <w:r>
        <w:rPr>
          <w:vertAlign w:val="subscript"/>
        </w:rPr>
        <w:t xml:space="preserve">max </w:t>
      </w:r>
      <w:r>
        <w:t>to be dose proportional (</w:t>
      </w:r>
      <w:r w:rsidR="008D769C">
        <w:t>Figures 1 and 2</w:t>
      </w:r>
      <w:r>
        <w:t>).</w:t>
      </w:r>
    </w:p>
    <w:p w14:paraId="7B5DF6A6" w14:textId="77777777" w:rsidR="00A40C4D" w:rsidRDefault="00590F00" w:rsidP="00590F00">
      <w:pPr>
        <w:pStyle w:val="FigureTitle"/>
      </w:pPr>
      <w:bookmarkStart w:id="133" w:name="_Ref503982692"/>
      <w:bookmarkStart w:id="134" w:name="_Toc504229478"/>
      <w:bookmarkStart w:id="135" w:name="_Toc501548304"/>
      <w:r>
        <w:lastRenderedPageBreak/>
        <w:t xml:space="preserve">Figure </w:t>
      </w:r>
      <w:r w:rsidR="008D769C">
        <w:t>1:</w:t>
      </w:r>
      <w:bookmarkEnd w:id="133"/>
      <w:r>
        <w:t xml:space="preserve"> </w:t>
      </w:r>
      <w:r w:rsidRPr="003F3599">
        <w:t>Dose–C</w:t>
      </w:r>
      <w:r w:rsidRPr="00801D1E">
        <w:rPr>
          <w:vertAlign w:val="subscript"/>
        </w:rPr>
        <w:t>max</w:t>
      </w:r>
      <w:r w:rsidRPr="003F3599">
        <w:t xml:space="preserve"> </w:t>
      </w:r>
      <w:r w:rsidR="00FD4397">
        <w:t>p</w:t>
      </w:r>
      <w:r w:rsidR="00FD4397" w:rsidRPr="003F3599">
        <w:t xml:space="preserve">roportionality </w:t>
      </w:r>
      <w:r w:rsidRPr="003F3599">
        <w:t xml:space="preserve">of </w:t>
      </w:r>
      <w:r w:rsidR="00FD4397">
        <w:t>t</w:t>
      </w:r>
      <w:r w:rsidR="00FD4397" w:rsidRPr="003F3599">
        <w:t xml:space="preserve">afenoquine </w:t>
      </w:r>
      <w:r w:rsidRPr="003F3599">
        <w:t>(Study 050)</w:t>
      </w:r>
      <w:bookmarkEnd w:id="134"/>
      <w:bookmarkEnd w:id="135"/>
    </w:p>
    <w:p w14:paraId="697EB62C" w14:textId="5ECC43AD" w:rsidR="00590F00" w:rsidRPr="00EB341F" w:rsidRDefault="00590F00" w:rsidP="00A40C4D">
      <w:r w:rsidRPr="00EB341F">
        <w:rPr>
          <w:noProof/>
          <w:lang w:eastAsia="en-AU"/>
        </w:rPr>
        <w:drawing>
          <wp:inline distT="0" distB="0" distL="0" distR="0" wp14:anchorId="699B414F" wp14:editId="042560F3">
            <wp:extent cx="3314700" cy="2181323"/>
            <wp:effectExtent l="0" t="0" r="0" b="9525"/>
            <wp:docPr id="3" name="Picture 5" descr="Dose–Cmax Proportionality of Tafenoquine (Study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b="5469"/>
                    <a:stretch>
                      <a:fillRect/>
                    </a:stretch>
                  </pic:blipFill>
                  <pic:spPr bwMode="auto">
                    <a:xfrm>
                      <a:off x="0" y="0"/>
                      <a:ext cx="3332164" cy="2192816"/>
                    </a:xfrm>
                    <a:prstGeom prst="rect">
                      <a:avLst/>
                    </a:prstGeom>
                    <a:noFill/>
                    <a:ln>
                      <a:noFill/>
                    </a:ln>
                  </pic:spPr>
                </pic:pic>
              </a:graphicData>
            </a:graphic>
          </wp:inline>
        </w:drawing>
      </w:r>
    </w:p>
    <w:p w14:paraId="3D1FA5B4" w14:textId="441CDF45" w:rsidR="00590F00" w:rsidRPr="003F3599" w:rsidRDefault="00590F00" w:rsidP="00590F00">
      <w:pPr>
        <w:pStyle w:val="FigureTitle"/>
      </w:pPr>
      <w:bookmarkStart w:id="136" w:name="_Ref501293970"/>
      <w:bookmarkStart w:id="137" w:name="_Toc476549736"/>
      <w:bookmarkStart w:id="138" w:name="_Toc504229479"/>
      <w:bookmarkStart w:id="139" w:name="_Toc501548305"/>
      <w:r>
        <w:t xml:space="preserve">Figure </w:t>
      </w:r>
      <w:r w:rsidR="008D769C">
        <w:t>2</w:t>
      </w:r>
      <w:bookmarkEnd w:id="136"/>
      <w:r w:rsidR="008D769C">
        <w:t>:</w:t>
      </w:r>
      <w:r>
        <w:t xml:space="preserve"> </w:t>
      </w:r>
      <w:r w:rsidRPr="003F3599">
        <w:t>Dose–</w:t>
      </w:r>
      <w:proofErr w:type="gramStart"/>
      <w:r w:rsidRPr="003F3599">
        <w:t>AUC</w:t>
      </w:r>
      <w:r w:rsidRPr="003F3599">
        <w:rPr>
          <w:vertAlign w:val="subscript"/>
        </w:rPr>
        <w:t>(</w:t>
      </w:r>
      <w:proofErr w:type="gramEnd"/>
      <w:r w:rsidRPr="003F3599">
        <w:rPr>
          <w:vertAlign w:val="subscript"/>
        </w:rPr>
        <w:t>0-tlast)</w:t>
      </w:r>
      <w:r w:rsidRPr="003F3599">
        <w:t xml:space="preserve"> </w:t>
      </w:r>
      <w:r w:rsidR="00FD4397">
        <w:t>p</w:t>
      </w:r>
      <w:r w:rsidR="00FD4397" w:rsidRPr="003F3599">
        <w:t xml:space="preserve">roportionality </w:t>
      </w:r>
      <w:r w:rsidRPr="003F3599">
        <w:t xml:space="preserve">of </w:t>
      </w:r>
      <w:r w:rsidR="00FD4397">
        <w:t>t</w:t>
      </w:r>
      <w:r w:rsidR="00FD4397" w:rsidRPr="003F3599">
        <w:t xml:space="preserve">afenoquine </w:t>
      </w:r>
      <w:r w:rsidRPr="003F3599">
        <w:t>(Study 050)</w:t>
      </w:r>
      <w:bookmarkEnd w:id="137"/>
      <w:bookmarkEnd w:id="138"/>
      <w:bookmarkEnd w:id="139"/>
    </w:p>
    <w:p w14:paraId="0224BD91" w14:textId="77777777" w:rsidR="00590F00" w:rsidRPr="00EB341F" w:rsidRDefault="00590F00" w:rsidP="00A40C4D">
      <w:r w:rsidRPr="00EB341F">
        <w:rPr>
          <w:noProof/>
          <w:lang w:eastAsia="en-AU"/>
        </w:rPr>
        <w:drawing>
          <wp:inline distT="0" distB="0" distL="0" distR="0" wp14:anchorId="29050E50" wp14:editId="4202EA34">
            <wp:extent cx="3378200" cy="2381250"/>
            <wp:effectExtent l="0" t="0" r="0" b="0"/>
            <wp:docPr id="4" name="Picture 6" descr="Dose–AUC(0-tlast) Proportionality of Tafenoquine (Study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200" cy="2381250"/>
                    </a:xfrm>
                    <a:prstGeom prst="rect">
                      <a:avLst/>
                    </a:prstGeom>
                    <a:noFill/>
                    <a:ln>
                      <a:noFill/>
                    </a:ln>
                  </pic:spPr>
                </pic:pic>
              </a:graphicData>
            </a:graphic>
          </wp:inline>
        </w:drawing>
      </w:r>
    </w:p>
    <w:p w14:paraId="5689089D" w14:textId="72188B99" w:rsidR="008A1A1C" w:rsidRDefault="008A1A1C" w:rsidP="009720A8">
      <w:pPr>
        <w:pStyle w:val="Heading6"/>
      </w:pPr>
      <w:r>
        <w:t xml:space="preserve">Food </w:t>
      </w:r>
      <w:r w:rsidR="00A40C4D">
        <w:t>e</w:t>
      </w:r>
      <w:r>
        <w:t>ffect</w:t>
      </w:r>
    </w:p>
    <w:p w14:paraId="621C5DEE" w14:textId="77777777" w:rsidR="00F1528F" w:rsidRDefault="008A1A1C" w:rsidP="008A1A1C">
      <w:pPr>
        <w:pStyle w:val="C-BodyText"/>
        <w:rPr>
          <w:rFonts w:asciiTheme="minorHAnsi" w:hAnsiTheme="minorHAnsi"/>
        </w:rPr>
      </w:pPr>
      <w:r>
        <w:rPr>
          <w:rFonts w:asciiTheme="minorHAnsi" w:hAnsiTheme="minorHAnsi"/>
        </w:rPr>
        <w:t>Tafenoquine plasma concentrations were higher after administration of a single dose of tafenoquine in fed compared with fasting conditions, with mean fed: fasted ratios of 1.41 (AUC) and 1.31 (C</w:t>
      </w:r>
      <w:r>
        <w:rPr>
          <w:rFonts w:asciiTheme="minorHAnsi" w:hAnsiTheme="minorHAnsi"/>
          <w:vertAlign w:val="subscript"/>
        </w:rPr>
        <w:t>max</w:t>
      </w:r>
      <w:r>
        <w:rPr>
          <w:rFonts w:asciiTheme="minorHAnsi" w:hAnsiTheme="minorHAnsi"/>
        </w:rPr>
        <w:t xml:space="preserve">). Tmax and </w:t>
      </w:r>
      <w:r w:rsidR="00855CA9">
        <w:rPr>
          <w:lang w:eastAsia="ja-JP"/>
        </w:rPr>
        <w:t>t</w:t>
      </w:r>
      <w:r w:rsidR="00855CA9" w:rsidRPr="00855CA9">
        <w:rPr>
          <w:vertAlign w:val="subscript"/>
          <w:lang w:eastAsia="ja-JP"/>
        </w:rPr>
        <w:t>½</w:t>
      </w:r>
      <w:r>
        <w:rPr>
          <w:rFonts w:asciiTheme="minorHAnsi" w:hAnsiTheme="minorHAnsi"/>
        </w:rPr>
        <w:t xml:space="preserve"> were similar under fasting and fed states, with mean AUC (Fed: 69.7 ± 24.4 ng·h/mL; Fasted: 51.1 ± 22.0) and C</w:t>
      </w:r>
      <w:r>
        <w:rPr>
          <w:rFonts w:asciiTheme="minorHAnsi" w:hAnsiTheme="minorHAnsi"/>
          <w:vertAlign w:val="subscript"/>
        </w:rPr>
        <w:t>max</w:t>
      </w:r>
      <w:r>
        <w:rPr>
          <w:rFonts w:asciiTheme="minorHAnsi" w:hAnsiTheme="minorHAnsi"/>
        </w:rPr>
        <w:t xml:space="preserve"> (Fed: 166 ± 84</w:t>
      </w:r>
      <w:r w:rsidR="00122529">
        <w:rPr>
          <w:rFonts w:asciiTheme="minorHAnsi" w:hAnsiTheme="minorHAnsi"/>
        </w:rPr>
        <w:t xml:space="preserve"> ng/mL</w:t>
      </w:r>
      <w:r>
        <w:rPr>
          <w:rFonts w:asciiTheme="minorHAnsi" w:hAnsiTheme="minorHAnsi"/>
        </w:rPr>
        <w:t>; Fasted: 122 ± 43). T</w:t>
      </w:r>
      <w:r>
        <w:rPr>
          <w:rFonts w:asciiTheme="minorHAnsi" w:hAnsiTheme="minorHAnsi"/>
          <w:vertAlign w:val="subscript"/>
        </w:rPr>
        <w:t>max</w:t>
      </w:r>
      <w:r>
        <w:rPr>
          <w:rFonts w:asciiTheme="minorHAnsi" w:hAnsiTheme="minorHAnsi"/>
        </w:rPr>
        <w:t xml:space="preserve"> (13.0 and 14.0 hours) and </w:t>
      </w:r>
      <w:r w:rsidR="00855CA9">
        <w:rPr>
          <w:lang w:eastAsia="ja-JP"/>
        </w:rPr>
        <w:t>t</w:t>
      </w:r>
      <w:r w:rsidR="00855CA9" w:rsidRPr="00855CA9">
        <w:rPr>
          <w:vertAlign w:val="subscript"/>
          <w:lang w:eastAsia="ja-JP"/>
        </w:rPr>
        <w:t>½</w:t>
      </w:r>
      <w:r>
        <w:rPr>
          <w:rFonts w:asciiTheme="minorHAnsi" w:hAnsiTheme="minorHAnsi"/>
        </w:rPr>
        <w:t xml:space="preserve"> (15.4 and 15.5 days) were similar under fasting and fed states. Variability between individuals (coefficient of variation) in </w:t>
      </w:r>
      <w:proofErr w:type="gramStart"/>
      <w:r>
        <w:rPr>
          <w:rFonts w:asciiTheme="minorHAnsi" w:hAnsiTheme="minorHAnsi"/>
        </w:rPr>
        <w:t>AUC</w:t>
      </w:r>
      <w:r>
        <w:rPr>
          <w:rFonts w:asciiTheme="minorHAnsi" w:hAnsiTheme="minorHAnsi"/>
          <w:vertAlign w:val="subscript"/>
        </w:rPr>
        <w:t>(</w:t>
      </w:r>
      <w:proofErr w:type="gramEnd"/>
      <w:r>
        <w:rPr>
          <w:rFonts w:asciiTheme="minorHAnsi" w:hAnsiTheme="minorHAnsi"/>
          <w:vertAlign w:val="subscript"/>
        </w:rPr>
        <w:t>0-inf)</w:t>
      </w:r>
      <w:r>
        <w:rPr>
          <w:rFonts w:asciiTheme="minorHAnsi" w:hAnsiTheme="minorHAnsi"/>
        </w:rPr>
        <w:t xml:space="preserve"> and C</w:t>
      </w:r>
      <w:r>
        <w:rPr>
          <w:rFonts w:asciiTheme="minorHAnsi" w:hAnsiTheme="minorHAnsi"/>
          <w:vertAlign w:val="subscript"/>
        </w:rPr>
        <w:t xml:space="preserve">max </w:t>
      </w:r>
      <w:r>
        <w:rPr>
          <w:rFonts w:asciiTheme="minorHAnsi" w:hAnsiTheme="minorHAnsi"/>
        </w:rPr>
        <w:t>was 38.8% and 40.8%, respectively with no increase in variability associated with food intake.</w:t>
      </w:r>
    </w:p>
    <w:p w14:paraId="754C5DB5" w14:textId="77777777" w:rsidR="008A1A1C" w:rsidRDefault="008A1A1C" w:rsidP="008A1A1C">
      <w:pPr>
        <w:rPr>
          <w:rFonts w:asciiTheme="minorHAnsi" w:hAnsiTheme="minorHAnsi"/>
        </w:rPr>
      </w:pPr>
      <w:r>
        <w:rPr>
          <w:rFonts w:asciiTheme="minorHAnsi" w:hAnsiTheme="minorHAnsi"/>
        </w:rPr>
        <w:t>Population PK analyses demonstrated after the recommended regimen of 200 mg/day times three days for loading followed by 200 mg weekly, trough tafenoquine values even in the non</w:t>
      </w:r>
      <w:r w:rsidR="009720A8">
        <w:rPr>
          <w:rFonts w:asciiTheme="minorHAnsi" w:hAnsiTheme="minorHAnsi"/>
        </w:rPr>
        <w:t>-</w:t>
      </w:r>
      <w:r>
        <w:rPr>
          <w:rFonts w:asciiTheme="minorHAnsi" w:hAnsiTheme="minorHAnsi"/>
        </w:rPr>
        <w:t>fed state were above the value of 80</w:t>
      </w:r>
      <w:r w:rsidR="00122529">
        <w:rPr>
          <w:rFonts w:asciiTheme="minorHAnsi" w:hAnsiTheme="minorHAnsi"/>
        </w:rPr>
        <w:t xml:space="preserve"> ng/mL</w:t>
      </w:r>
      <w:r>
        <w:rPr>
          <w:rFonts w:asciiTheme="minorHAnsi" w:hAnsiTheme="minorHAnsi"/>
        </w:rPr>
        <w:t xml:space="preserve"> by the end of the loading dose. By the sixth weekly dose, exposure in the fasted state is predicted to equal exposure in the fed state.</w:t>
      </w:r>
    </w:p>
    <w:p w14:paraId="0DB3D853" w14:textId="2F39E5B6" w:rsidR="008A1A1C" w:rsidRDefault="009720A8" w:rsidP="009720A8">
      <w:pPr>
        <w:pStyle w:val="Heading6"/>
      </w:pPr>
      <w:r>
        <w:t xml:space="preserve">Effect of </w:t>
      </w:r>
      <w:r w:rsidR="00A40C4D">
        <w:t>g</w:t>
      </w:r>
      <w:r>
        <w:t xml:space="preserve">ender and </w:t>
      </w:r>
      <w:r w:rsidR="00A40C4D">
        <w:t>s</w:t>
      </w:r>
      <w:r>
        <w:t>moking</w:t>
      </w:r>
    </w:p>
    <w:p w14:paraId="477EAD76" w14:textId="77777777" w:rsidR="008A1A1C" w:rsidRDefault="008A1A1C" w:rsidP="008A1A1C">
      <w:pPr>
        <w:rPr>
          <w:lang w:eastAsia="ja-JP"/>
        </w:rPr>
      </w:pPr>
      <w:r>
        <w:rPr>
          <w:lang w:eastAsia="ja-JP"/>
        </w:rPr>
        <w:t>The effect of gender and smoking status, on PK was evaluated in Study 014. Females had greater exposure than males; non-smokers had somewhat greater exposure than smokers (</w:t>
      </w:r>
      <w:r w:rsidR="008D769C">
        <w:rPr>
          <w:lang w:eastAsia="ja-JP"/>
        </w:rPr>
        <w:t>Table 10</w:t>
      </w:r>
      <w:r>
        <w:rPr>
          <w:lang w:eastAsia="ja-JP"/>
        </w:rPr>
        <w:t xml:space="preserve">). The differences in PK parameters between genders can be explained by differences in weight, thus showing that exposure is essentially identical on </w:t>
      </w:r>
      <w:r w:rsidR="00E730B4">
        <w:rPr>
          <w:lang w:eastAsia="ja-JP"/>
        </w:rPr>
        <w:t>an</w:t>
      </w:r>
      <w:r>
        <w:rPr>
          <w:lang w:eastAsia="ja-JP"/>
        </w:rPr>
        <w:t xml:space="preserve"> mg drug per kg body weight basis.</w:t>
      </w:r>
    </w:p>
    <w:p w14:paraId="61D16261" w14:textId="5CF0745B" w:rsidR="00590F00" w:rsidRPr="00B9231E" w:rsidRDefault="00590F00" w:rsidP="00590F00">
      <w:pPr>
        <w:pStyle w:val="Tabletitle"/>
        <w:rPr>
          <w:vertAlign w:val="superscript"/>
        </w:rPr>
      </w:pPr>
      <w:bookmarkStart w:id="140" w:name="_Ref503983729"/>
      <w:bookmarkStart w:id="141" w:name="_Toc504229434"/>
      <w:bookmarkStart w:id="142" w:name="_Toc501293683"/>
      <w:r>
        <w:lastRenderedPageBreak/>
        <w:t xml:space="preserve">Table </w:t>
      </w:r>
      <w:r w:rsidR="008D769C">
        <w:t>10:</w:t>
      </w:r>
      <w:bookmarkEnd w:id="140"/>
      <w:r>
        <w:rPr>
          <w:noProof/>
        </w:rPr>
        <w:t xml:space="preserve"> </w:t>
      </w:r>
      <w:r w:rsidRPr="00B9231E">
        <w:t>Results of Study 014</w:t>
      </w:r>
      <w:r w:rsidR="00FD4397">
        <w:t>;</w:t>
      </w:r>
      <w:r w:rsidRPr="00B9231E">
        <w:t xml:space="preserve"> </w:t>
      </w:r>
      <w:r w:rsidR="00FD4397">
        <w:t>e</w:t>
      </w:r>
      <w:r w:rsidRPr="00B9231E">
        <w:t xml:space="preserve">ffect of </w:t>
      </w:r>
      <w:r w:rsidR="00FD4397">
        <w:t>g</w:t>
      </w:r>
      <w:r w:rsidR="00FD4397" w:rsidRPr="00B9231E">
        <w:t xml:space="preserve">ender </w:t>
      </w:r>
      <w:r w:rsidRPr="00B9231E">
        <w:t xml:space="preserve">and </w:t>
      </w:r>
      <w:r w:rsidR="00FD4397">
        <w:t>s</w:t>
      </w:r>
      <w:r w:rsidR="00FD4397" w:rsidRPr="00B9231E">
        <w:t xml:space="preserve">moking </w:t>
      </w:r>
      <w:r w:rsidR="00FD4397">
        <w:t>s</w:t>
      </w:r>
      <w:r w:rsidR="00FD4397" w:rsidRPr="00B9231E">
        <w:t xml:space="preserve">tatus </w:t>
      </w:r>
      <w:r w:rsidRPr="00B9231E">
        <w:t>on AUC</w:t>
      </w:r>
      <w:r w:rsidRPr="00B9231E">
        <w:rPr>
          <w:vertAlign w:val="subscript"/>
        </w:rPr>
        <w:t>0-inf</w:t>
      </w:r>
      <w:r w:rsidRPr="00B9231E">
        <w:t xml:space="preserve"> and C</w:t>
      </w:r>
      <w:r w:rsidRPr="00A4215A">
        <w:rPr>
          <w:vertAlign w:val="subscript"/>
        </w:rPr>
        <w:t>max</w:t>
      </w:r>
      <w:r w:rsidRPr="00B9231E">
        <w:rPr>
          <w:vertAlign w:val="subscript"/>
        </w:rPr>
        <w:t xml:space="preserve"> </w:t>
      </w:r>
      <w:r w:rsidRPr="00B9231E">
        <w:t>(</w:t>
      </w:r>
      <w:r w:rsidR="00FD4397">
        <w:t>l</w:t>
      </w:r>
      <w:r w:rsidR="00FD4397" w:rsidRPr="00B9231E">
        <w:t xml:space="preserve">east </w:t>
      </w:r>
      <w:r w:rsidR="00FD4397">
        <w:t>s</w:t>
      </w:r>
      <w:r w:rsidR="00FD4397" w:rsidRPr="00B9231E">
        <w:t xml:space="preserve">quare </w:t>
      </w:r>
      <w:r w:rsidR="00FD4397">
        <w:t>m</w:t>
      </w:r>
      <w:r w:rsidRPr="00B9231E">
        <w:t>eans)</w:t>
      </w:r>
      <w:bookmarkEnd w:id="141"/>
      <w:bookmarkEnd w:id="142"/>
    </w:p>
    <w:tbl>
      <w:tblPr>
        <w:tblStyle w:val="TableTGAblue"/>
        <w:tblW w:w="4660" w:type="pct"/>
        <w:tblLook w:val="00A0" w:firstRow="1" w:lastRow="0" w:firstColumn="1" w:lastColumn="0" w:noHBand="0" w:noVBand="0"/>
      </w:tblPr>
      <w:tblGrid>
        <w:gridCol w:w="2136"/>
        <w:gridCol w:w="3220"/>
        <w:gridCol w:w="3258"/>
      </w:tblGrid>
      <w:tr w:rsidR="00590F00" w:rsidRPr="00A53484" w14:paraId="7F5C78C9" w14:textId="77777777" w:rsidTr="004303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39" w:type="pct"/>
          </w:tcPr>
          <w:p w14:paraId="38B80D43" w14:textId="77777777" w:rsidR="00590F00" w:rsidRPr="00590F00" w:rsidRDefault="00590F00" w:rsidP="00590F00">
            <w:pPr>
              <w:rPr>
                <w:sz w:val="20"/>
                <w:szCs w:val="20"/>
              </w:rPr>
            </w:pPr>
            <w:r w:rsidRPr="00590F00">
              <w:rPr>
                <w:sz w:val="20"/>
                <w:szCs w:val="20"/>
              </w:rPr>
              <w:t>Numbers in parenthesis</w:t>
            </w:r>
          </w:p>
        </w:tc>
        <w:tc>
          <w:tcPr>
            <w:tcW w:w="1869" w:type="pct"/>
          </w:tcPr>
          <w:p w14:paraId="07E19E02" w14:textId="77777777" w:rsidR="00590F00" w:rsidRPr="00590F00" w:rsidRDefault="00590F00" w:rsidP="001206BA">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AUC</w:t>
            </w:r>
            <w:r w:rsidRPr="00590F00">
              <w:rPr>
                <w:sz w:val="20"/>
                <w:szCs w:val="20"/>
                <w:vertAlign w:val="subscript"/>
              </w:rPr>
              <w:t>0-inf</w:t>
            </w:r>
            <w:r w:rsidRPr="00590F00">
              <w:rPr>
                <w:sz w:val="20"/>
                <w:szCs w:val="20"/>
              </w:rPr>
              <w:t xml:space="preserve"> (µg·h/mL)</w:t>
            </w:r>
            <w:r w:rsidR="001206BA">
              <w:rPr>
                <w:sz w:val="20"/>
                <w:szCs w:val="20"/>
              </w:rPr>
              <w:t>*</w:t>
            </w:r>
          </w:p>
        </w:tc>
        <w:tc>
          <w:tcPr>
            <w:tcW w:w="1891" w:type="pct"/>
          </w:tcPr>
          <w:p w14:paraId="75775DF5"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w:t>
            </w:r>
            <w:r w:rsidRPr="00590F00">
              <w:rPr>
                <w:sz w:val="20"/>
                <w:szCs w:val="20"/>
                <w:vertAlign w:val="subscript"/>
              </w:rPr>
              <w:t xml:space="preserve">max </w:t>
            </w:r>
            <w:r w:rsidRPr="00590F00">
              <w:rPr>
                <w:sz w:val="20"/>
                <w:szCs w:val="20"/>
              </w:rPr>
              <w:t>(</w:t>
            </w:r>
            <w:r w:rsidR="00122529">
              <w:rPr>
                <w:sz w:val="20"/>
                <w:szCs w:val="20"/>
              </w:rPr>
              <w:t xml:space="preserve"> ng/mL</w:t>
            </w:r>
            <w:r w:rsidRPr="00590F00">
              <w:rPr>
                <w:sz w:val="20"/>
                <w:szCs w:val="20"/>
              </w:rPr>
              <w:t>)</w:t>
            </w:r>
          </w:p>
        </w:tc>
      </w:tr>
      <w:tr w:rsidR="00590F00" w:rsidRPr="00A53484" w14:paraId="49A16D54" w14:textId="77777777" w:rsidTr="0043034B">
        <w:tc>
          <w:tcPr>
            <w:cnfStyle w:val="001000000000" w:firstRow="0" w:lastRow="0" w:firstColumn="1" w:lastColumn="0" w:oddVBand="0" w:evenVBand="0" w:oddHBand="0" w:evenHBand="0" w:firstRowFirstColumn="0" w:firstRowLastColumn="0" w:lastRowFirstColumn="0" w:lastRowLastColumn="0"/>
            <w:tcW w:w="1239" w:type="pct"/>
          </w:tcPr>
          <w:p w14:paraId="1992AFBB" w14:textId="77777777" w:rsidR="00590F00" w:rsidRPr="00590F00" w:rsidRDefault="00590F00" w:rsidP="00590F00">
            <w:pPr>
              <w:rPr>
                <w:sz w:val="20"/>
                <w:szCs w:val="20"/>
              </w:rPr>
            </w:pPr>
            <w:r w:rsidRPr="00590F00">
              <w:rPr>
                <w:sz w:val="20"/>
                <w:szCs w:val="20"/>
              </w:rPr>
              <w:t>Females (15)</w:t>
            </w:r>
          </w:p>
        </w:tc>
        <w:tc>
          <w:tcPr>
            <w:tcW w:w="1869" w:type="pct"/>
          </w:tcPr>
          <w:p w14:paraId="2B6C646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351</w:t>
            </w:r>
          </w:p>
        </w:tc>
        <w:tc>
          <w:tcPr>
            <w:tcW w:w="1891" w:type="pct"/>
          </w:tcPr>
          <w:p w14:paraId="7854006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862</w:t>
            </w:r>
          </w:p>
        </w:tc>
      </w:tr>
      <w:tr w:rsidR="00590F00" w:rsidRPr="00A53484" w14:paraId="23455021" w14:textId="77777777" w:rsidTr="0043034B">
        <w:tc>
          <w:tcPr>
            <w:cnfStyle w:val="001000000000" w:firstRow="0" w:lastRow="0" w:firstColumn="1" w:lastColumn="0" w:oddVBand="0" w:evenVBand="0" w:oddHBand="0" w:evenHBand="0" w:firstRowFirstColumn="0" w:firstRowLastColumn="0" w:lastRowFirstColumn="0" w:lastRowLastColumn="0"/>
            <w:tcW w:w="1239" w:type="pct"/>
          </w:tcPr>
          <w:p w14:paraId="50EC029C" w14:textId="77777777" w:rsidR="00590F00" w:rsidRPr="00590F00" w:rsidRDefault="00590F00" w:rsidP="00590F00">
            <w:pPr>
              <w:rPr>
                <w:sz w:val="20"/>
                <w:szCs w:val="20"/>
              </w:rPr>
            </w:pPr>
            <w:r w:rsidRPr="00590F00">
              <w:rPr>
                <w:sz w:val="20"/>
                <w:szCs w:val="20"/>
              </w:rPr>
              <w:t>Males (43)</w:t>
            </w:r>
          </w:p>
        </w:tc>
        <w:tc>
          <w:tcPr>
            <w:tcW w:w="1869" w:type="pct"/>
          </w:tcPr>
          <w:p w14:paraId="092D056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288</w:t>
            </w:r>
          </w:p>
        </w:tc>
        <w:tc>
          <w:tcPr>
            <w:tcW w:w="1891" w:type="pct"/>
          </w:tcPr>
          <w:p w14:paraId="1F33DA2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680</w:t>
            </w:r>
          </w:p>
        </w:tc>
      </w:tr>
      <w:tr w:rsidR="00590F00" w:rsidRPr="00A53484" w14:paraId="312D3BCB" w14:textId="77777777" w:rsidTr="0043034B">
        <w:tc>
          <w:tcPr>
            <w:cnfStyle w:val="001000000000" w:firstRow="0" w:lastRow="0" w:firstColumn="1" w:lastColumn="0" w:oddVBand="0" w:evenVBand="0" w:oddHBand="0" w:evenHBand="0" w:firstRowFirstColumn="0" w:firstRowLastColumn="0" w:lastRowFirstColumn="0" w:lastRowLastColumn="0"/>
            <w:tcW w:w="1239" w:type="pct"/>
          </w:tcPr>
          <w:p w14:paraId="351FD7C8" w14:textId="77777777" w:rsidR="00590F00" w:rsidRPr="00590F00" w:rsidRDefault="00590F00" w:rsidP="00590F00">
            <w:pPr>
              <w:rPr>
                <w:sz w:val="20"/>
                <w:szCs w:val="20"/>
              </w:rPr>
            </w:pPr>
            <w:r w:rsidRPr="00590F00">
              <w:rPr>
                <w:sz w:val="20"/>
                <w:szCs w:val="20"/>
              </w:rPr>
              <w:t>Non-Smokers (27M:9F)</w:t>
            </w:r>
          </w:p>
        </w:tc>
        <w:tc>
          <w:tcPr>
            <w:tcW w:w="1869" w:type="pct"/>
          </w:tcPr>
          <w:p w14:paraId="21A5ECA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336</w:t>
            </w:r>
          </w:p>
        </w:tc>
        <w:tc>
          <w:tcPr>
            <w:tcW w:w="1891" w:type="pct"/>
          </w:tcPr>
          <w:p w14:paraId="7575543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830</w:t>
            </w:r>
          </w:p>
        </w:tc>
      </w:tr>
      <w:tr w:rsidR="00590F00" w:rsidRPr="00A53484" w14:paraId="19ADC85B" w14:textId="77777777" w:rsidTr="0043034B">
        <w:tc>
          <w:tcPr>
            <w:cnfStyle w:val="001000000000" w:firstRow="0" w:lastRow="0" w:firstColumn="1" w:lastColumn="0" w:oddVBand="0" w:evenVBand="0" w:oddHBand="0" w:evenHBand="0" w:firstRowFirstColumn="0" w:firstRowLastColumn="0" w:lastRowFirstColumn="0" w:lastRowLastColumn="0"/>
            <w:tcW w:w="1239" w:type="pct"/>
          </w:tcPr>
          <w:p w14:paraId="2F5BA500" w14:textId="77777777" w:rsidR="00590F00" w:rsidRPr="00590F00" w:rsidRDefault="00590F00" w:rsidP="00590F00">
            <w:pPr>
              <w:rPr>
                <w:sz w:val="20"/>
                <w:szCs w:val="20"/>
              </w:rPr>
            </w:pPr>
            <w:r w:rsidRPr="00590F00">
              <w:rPr>
                <w:sz w:val="20"/>
                <w:szCs w:val="20"/>
              </w:rPr>
              <w:t>Smokers (16M: 6F)</w:t>
            </w:r>
          </w:p>
        </w:tc>
        <w:tc>
          <w:tcPr>
            <w:tcW w:w="1869" w:type="pct"/>
          </w:tcPr>
          <w:p w14:paraId="69D5CB1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300</w:t>
            </w:r>
          </w:p>
        </w:tc>
        <w:tc>
          <w:tcPr>
            <w:tcW w:w="1891" w:type="pct"/>
          </w:tcPr>
          <w:p w14:paraId="49DC0B64"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706</w:t>
            </w:r>
          </w:p>
        </w:tc>
      </w:tr>
    </w:tbl>
    <w:p w14:paraId="3AEC1A69" w14:textId="5B136CFD" w:rsidR="00590F00" w:rsidRDefault="001206BA" w:rsidP="00590F00">
      <w:pPr>
        <w:pStyle w:val="TableDescription"/>
      </w:pPr>
      <w:r>
        <w:t>*</w:t>
      </w:r>
      <w:r w:rsidR="00590F00" w:rsidRPr="00A53484">
        <w:t>Abbreviations: AUC</w:t>
      </w:r>
      <w:r w:rsidR="00590F00" w:rsidRPr="00A53484">
        <w:rPr>
          <w:vertAlign w:val="subscript"/>
        </w:rPr>
        <w:t>0-inf</w:t>
      </w:r>
      <w:r w:rsidR="00B319AC">
        <w:t xml:space="preserve">: </w:t>
      </w:r>
      <w:r w:rsidR="00590F00" w:rsidRPr="00A53484">
        <w:t>area under the curve from zero to infinity. C</w:t>
      </w:r>
      <w:r w:rsidR="00590F00" w:rsidRPr="00801D1E">
        <w:rPr>
          <w:vertAlign w:val="subscript"/>
        </w:rPr>
        <w:t>max</w:t>
      </w:r>
      <w:r w:rsidR="00B319AC">
        <w:t>: M</w:t>
      </w:r>
      <w:r w:rsidR="00590F00" w:rsidRPr="00A53484">
        <w:t>aximum concentration. F</w:t>
      </w:r>
      <w:r w:rsidR="00B319AC">
        <w:t xml:space="preserve">: </w:t>
      </w:r>
      <w:r w:rsidR="00590F00" w:rsidRPr="00A53484">
        <w:t>female. M</w:t>
      </w:r>
      <w:r w:rsidR="00B319AC">
        <w:t xml:space="preserve">: </w:t>
      </w:r>
      <w:r w:rsidR="00590F00" w:rsidRPr="00A53484">
        <w:t>male.</w:t>
      </w:r>
    </w:p>
    <w:p w14:paraId="0EBDEF56" w14:textId="77777777" w:rsidR="008A1A1C" w:rsidRDefault="008A1A1C" w:rsidP="00E730B4">
      <w:pPr>
        <w:pStyle w:val="Heading5"/>
        <w:numPr>
          <w:ilvl w:val="3"/>
          <w:numId w:val="7"/>
        </w:numPr>
      </w:pPr>
      <w:r>
        <w:t>Distribution</w:t>
      </w:r>
    </w:p>
    <w:p w14:paraId="27936AC5" w14:textId="0FACB43B" w:rsidR="008A1A1C" w:rsidRDefault="008A1A1C" w:rsidP="008A1A1C">
      <w:r>
        <w:t>In Study 052, healthy male volunteers were administered one dose of 100 mg, 200 mg and 400</w:t>
      </w:r>
      <w:r w:rsidR="00FD4397">
        <w:t> </w:t>
      </w:r>
      <w:r>
        <w:t>mg while fasting. Blood and calculated RBC concentrations were 2.0 and 3.4 times higher than corresponding plasma concentrations and there was no change in RBC accumulation over time.</w:t>
      </w:r>
      <w:bookmarkStart w:id="143" w:name="_Toc416353667"/>
      <w:bookmarkStart w:id="144" w:name="_Toc290888471"/>
      <w:bookmarkStart w:id="145" w:name="_Toc272414622"/>
      <w:r>
        <w:t xml:space="preserve"> In humans, &gt;99.5% of tafenoquine is bound to plasma protein.</w:t>
      </w:r>
    </w:p>
    <w:p w14:paraId="5D73C7B4" w14:textId="77777777" w:rsidR="008A1A1C" w:rsidRDefault="008A1A1C" w:rsidP="00E730B4">
      <w:pPr>
        <w:pStyle w:val="Heading5"/>
        <w:numPr>
          <w:ilvl w:val="3"/>
          <w:numId w:val="7"/>
        </w:numPr>
      </w:pPr>
      <w:r>
        <w:t>Metabolism</w:t>
      </w:r>
      <w:bookmarkEnd w:id="143"/>
      <w:bookmarkEnd w:id="144"/>
      <w:bookmarkEnd w:id="145"/>
    </w:p>
    <w:p w14:paraId="3DC130D0" w14:textId="77777777" w:rsidR="008A1A1C" w:rsidRDefault="008A1A1C" w:rsidP="008A1A1C">
      <w:pPr>
        <w:pStyle w:val="C-BodyText"/>
        <w:rPr>
          <w:rFonts w:asciiTheme="minorHAnsi" w:hAnsiTheme="minorHAnsi"/>
          <w:color w:val="000000"/>
        </w:rPr>
      </w:pPr>
      <w:r>
        <w:rPr>
          <w:rFonts w:asciiTheme="minorHAnsi" w:hAnsiTheme="minorHAnsi"/>
        </w:rPr>
        <w:t>Human urine (pre</w:t>
      </w:r>
      <w:r w:rsidR="009720A8">
        <w:rPr>
          <w:rFonts w:asciiTheme="minorHAnsi" w:hAnsiTheme="minorHAnsi"/>
        </w:rPr>
        <w:t xml:space="preserve"> dose</w:t>
      </w:r>
      <w:r>
        <w:rPr>
          <w:rFonts w:asciiTheme="minorHAnsi" w:hAnsiTheme="minorHAnsi"/>
        </w:rPr>
        <w:t xml:space="preserve"> and 48 to 72 hours following first dose) and plasma (pre</w:t>
      </w:r>
      <w:r w:rsidR="009720A8">
        <w:rPr>
          <w:rFonts w:asciiTheme="minorHAnsi" w:hAnsiTheme="minorHAnsi"/>
        </w:rPr>
        <w:t xml:space="preserve"> dose</w:t>
      </w:r>
      <w:r>
        <w:rPr>
          <w:rFonts w:asciiTheme="minorHAnsi" w:hAnsiTheme="minorHAnsi"/>
        </w:rPr>
        <w:t>, 60 and 84 hours following first dose) were obtained from Study 014 following oral tafenoquine 400 mg once daily for 3 days. Small amounts of more than 18 drug</w:t>
      </w:r>
      <w:r w:rsidR="00EC0ADC">
        <w:rPr>
          <w:rFonts w:asciiTheme="minorHAnsi" w:hAnsiTheme="minorHAnsi"/>
        </w:rPr>
        <w:t xml:space="preserve"> related</w:t>
      </w:r>
      <w:r>
        <w:rPr>
          <w:rFonts w:asciiTheme="minorHAnsi" w:hAnsiTheme="minorHAnsi"/>
        </w:rPr>
        <w:t xml:space="preserve"> components were detected in human urine by HPLC-MS, thought to result from multiple sites of metabolism (or degradation) via O-demethylation, O-dearylation, N-dealkylation, deamination, oxidation, N-carbamylation, N-acetylation and glucuronide conjugation. None of these were identified in plasma. When tafenoquine was administered to humans at 400 mg per day x 3 days, only parent tafenoquine was extractable in plasma drawn 80 hrs after the first dose. There is no further characterisation of in vivo metabolism of this drug in this submission.</w:t>
      </w:r>
    </w:p>
    <w:p w14:paraId="377A6F09" w14:textId="77777777" w:rsidR="008A1A1C" w:rsidRPr="009720A8" w:rsidRDefault="008A1A1C" w:rsidP="00E730B4">
      <w:pPr>
        <w:pStyle w:val="Heading5"/>
        <w:numPr>
          <w:ilvl w:val="3"/>
          <w:numId w:val="7"/>
        </w:numPr>
        <w:rPr>
          <w:color w:val="auto"/>
        </w:rPr>
      </w:pPr>
      <w:bookmarkStart w:id="146" w:name="_Toc241374289"/>
      <w:bookmarkStart w:id="147" w:name="_Toc416353668"/>
      <w:bookmarkStart w:id="148" w:name="_Toc290888472"/>
      <w:bookmarkStart w:id="149" w:name="_Toc272414623"/>
      <w:r>
        <w:t>E</w:t>
      </w:r>
      <w:bookmarkEnd w:id="146"/>
      <w:r>
        <w:t>xcretion</w:t>
      </w:r>
      <w:bookmarkEnd w:id="147"/>
      <w:bookmarkEnd w:id="148"/>
      <w:bookmarkEnd w:id="149"/>
    </w:p>
    <w:p w14:paraId="6F026D14" w14:textId="77777777" w:rsidR="008A1A1C" w:rsidRDefault="008A1A1C" w:rsidP="008A1A1C">
      <w:pPr>
        <w:autoSpaceDE w:val="0"/>
        <w:autoSpaceDN w:val="0"/>
        <w:adjustRightInd w:val="0"/>
        <w:spacing w:before="0" w:after="0" w:line="240" w:lineRule="auto"/>
        <w:rPr>
          <w:rFonts w:asciiTheme="minorHAnsi" w:hAnsiTheme="minorHAnsi"/>
          <w:lang w:eastAsia="ja-JP"/>
        </w:rPr>
      </w:pPr>
      <w:r>
        <w:rPr>
          <w:rFonts w:asciiTheme="minorHAnsi" w:hAnsiTheme="minorHAnsi"/>
        </w:rPr>
        <w:t>Human radiolabelled mass balance studies have not been conducted to characterise the clinical excretion of tafenoquine.</w:t>
      </w:r>
      <w:bookmarkStart w:id="150" w:name="_Toc241374291"/>
      <w:bookmarkStart w:id="151" w:name="_Toc416353669"/>
      <w:bookmarkStart w:id="152" w:name="_Toc290888473"/>
      <w:bookmarkStart w:id="153" w:name="_Toc272414624"/>
      <w:r>
        <w:rPr>
          <w:rFonts w:asciiTheme="minorHAnsi" w:hAnsiTheme="minorHAnsi"/>
        </w:rPr>
        <w:t xml:space="preserve"> In animals, </w:t>
      </w:r>
      <w:r>
        <w:rPr>
          <w:rFonts w:asciiTheme="minorHAnsi" w:eastAsiaTheme="minorHAnsi" w:hAnsiTheme="minorHAnsi" w:cs="TimesNewRomanPSMT"/>
          <w:sz w:val="23"/>
          <w:szCs w:val="23"/>
        </w:rPr>
        <w:t>excretion of radioactivity (from labelled tafenoquine) was slow. Animal data suggested extensive reabsorption of biliary excreted radioactivity and enterohepatic circulation of drug and/or metabolites.</w:t>
      </w:r>
    </w:p>
    <w:p w14:paraId="4B1F9D0A" w14:textId="77777777" w:rsidR="008A1A1C" w:rsidRDefault="008A1A1C" w:rsidP="00E730B4">
      <w:pPr>
        <w:pStyle w:val="Heading5"/>
        <w:numPr>
          <w:ilvl w:val="3"/>
          <w:numId w:val="7"/>
        </w:numPr>
      </w:pPr>
      <w:r>
        <w:t>Intra and inter individual variability</w:t>
      </w:r>
      <w:bookmarkEnd w:id="150"/>
      <w:r>
        <w:t xml:space="preserve"> of pharmacokinetics</w:t>
      </w:r>
      <w:bookmarkEnd w:id="151"/>
      <w:bookmarkEnd w:id="152"/>
      <w:bookmarkEnd w:id="153"/>
    </w:p>
    <w:p w14:paraId="16D85D61" w14:textId="6F8B07DC" w:rsidR="00F1528F" w:rsidRDefault="008A1A1C" w:rsidP="009720A8">
      <w:r>
        <w:t xml:space="preserve">This was found to be approximately 24% for </w:t>
      </w:r>
      <w:r w:rsidR="00FD4397">
        <w:t xml:space="preserve">CL </w:t>
      </w:r>
      <w:r>
        <w:t xml:space="preserve">and </w:t>
      </w:r>
      <w:proofErr w:type="gramStart"/>
      <w:r>
        <w:t>V</w:t>
      </w:r>
      <w:r w:rsidRPr="0011058F">
        <w:rPr>
          <w:vertAlign w:val="subscript"/>
        </w:rPr>
        <w:t>d</w:t>
      </w:r>
      <w:proofErr w:type="gramEnd"/>
      <w:r>
        <w:t xml:space="preserve"> from the population PK analysis, summarised in </w:t>
      </w:r>
      <w:r w:rsidR="008D769C">
        <w:t>Table 11.</w:t>
      </w:r>
    </w:p>
    <w:p w14:paraId="0583166D" w14:textId="43B96740" w:rsidR="00590F00" w:rsidRPr="00EB341F" w:rsidRDefault="00590F00" w:rsidP="00774249">
      <w:pPr>
        <w:pStyle w:val="Tabletitle"/>
        <w:keepLines/>
      </w:pPr>
      <w:bookmarkStart w:id="154" w:name="_Ref503984884"/>
      <w:bookmarkStart w:id="155" w:name="_Toc504229435"/>
      <w:bookmarkStart w:id="156" w:name="_Toc501293687"/>
      <w:r>
        <w:lastRenderedPageBreak/>
        <w:t xml:space="preserve">Table </w:t>
      </w:r>
      <w:r w:rsidR="008D769C">
        <w:t>11:</w:t>
      </w:r>
      <w:bookmarkEnd w:id="154"/>
      <w:r>
        <w:t xml:space="preserve"> </w:t>
      </w:r>
      <w:r w:rsidRPr="00B9231E">
        <w:t xml:space="preserve">Population PK </w:t>
      </w:r>
      <w:r w:rsidR="00FD4397">
        <w:t>p</w:t>
      </w:r>
      <w:r w:rsidR="00FD4397" w:rsidRPr="00B9231E">
        <w:t xml:space="preserve">arameters </w:t>
      </w:r>
      <w:r w:rsidRPr="00B9231E">
        <w:t>(Studies 001, 002, 003, 004, 005, 014, 15, 033, 044 and 058)</w:t>
      </w:r>
      <w:bookmarkEnd w:id="155"/>
      <w:bookmarkEnd w:id="156"/>
    </w:p>
    <w:tbl>
      <w:tblPr>
        <w:tblStyle w:val="TableTGAblue"/>
        <w:tblW w:w="5000" w:type="pct"/>
        <w:tblLook w:val="00A0" w:firstRow="1" w:lastRow="0" w:firstColumn="1" w:lastColumn="0" w:noHBand="0" w:noVBand="0"/>
      </w:tblPr>
      <w:tblGrid>
        <w:gridCol w:w="1849"/>
        <w:gridCol w:w="1849"/>
        <w:gridCol w:w="1848"/>
        <w:gridCol w:w="1848"/>
        <w:gridCol w:w="1848"/>
      </w:tblGrid>
      <w:tr w:rsidR="00590F00" w:rsidRPr="00A54C96" w14:paraId="1A50EBB6"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vMerge w:val="restart"/>
          </w:tcPr>
          <w:p w14:paraId="11001251" w14:textId="77777777" w:rsidR="00590F00" w:rsidRPr="00590F00" w:rsidRDefault="00590F00" w:rsidP="00774249">
            <w:pPr>
              <w:keepNext/>
              <w:keepLines/>
              <w:rPr>
                <w:sz w:val="20"/>
                <w:szCs w:val="20"/>
                <w:vertAlign w:val="superscript"/>
              </w:rPr>
            </w:pPr>
            <w:r w:rsidRPr="00590F00">
              <w:rPr>
                <w:sz w:val="20"/>
                <w:szCs w:val="20"/>
              </w:rPr>
              <w:t xml:space="preserve">Parameters </w:t>
            </w:r>
            <w:r w:rsidRPr="00590F00">
              <w:rPr>
                <w:sz w:val="20"/>
                <w:szCs w:val="20"/>
              </w:rPr>
              <w:br/>
              <w:t>(Units)</w:t>
            </w:r>
          </w:p>
        </w:tc>
        <w:tc>
          <w:tcPr>
            <w:tcW w:w="1000" w:type="pct"/>
            <w:vMerge w:val="restart"/>
          </w:tcPr>
          <w:p w14:paraId="4ACB622D"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Final Estimate</w:t>
            </w:r>
          </w:p>
        </w:tc>
        <w:tc>
          <w:tcPr>
            <w:tcW w:w="2000" w:type="pct"/>
            <w:gridSpan w:val="2"/>
          </w:tcPr>
          <w:p w14:paraId="77822D63"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Bootstrap 95% CI</w:t>
            </w:r>
          </w:p>
        </w:tc>
        <w:tc>
          <w:tcPr>
            <w:tcW w:w="1000" w:type="pct"/>
            <w:vMerge w:val="restart"/>
          </w:tcPr>
          <w:p w14:paraId="58143563"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Inter-individual Variability</w:t>
            </w:r>
            <w:r w:rsidR="00774249">
              <w:rPr>
                <w:sz w:val="20"/>
                <w:szCs w:val="20"/>
              </w:rPr>
              <w:t>*</w:t>
            </w:r>
          </w:p>
        </w:tc>
      </w:tr>
      <w:tr w:rsidR="00590F00" w:rsidRPr="00A54C96" w14:paraId="12E4E1DD"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vMerge/>
          </w:tcPr>
          <w:p w14:paraId="2D6F694E" w14:textId="77777777" w:rsidR="00590F00" w:rsidRPr="00590F00" w:rsidRDefault="00590F00" w:rsidP="00774249">
            <w:pPr>
              <w:keepNext/>
              <w:keepLines/>
              <w:rPr>
                <w:sz w:val="20"/>
                <w:szCs w:val="20"/>
                <w:vertAlign w:val="superscript"/>
              </w:rPr>
            </w:pPr>
          </w:p>
        </w:tc>
        <w:tc>
          <w:tcPr>
            <w:tcW w:w="1000" w:type="pct"/>
            <w:vMerge/>
          </w:tcPr>
          <w:p w14:paraId="2627940E"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p>
        </w:tc>
        <w:tc>
          <w:tcPr>
            <w:tcW w:w="1000" w:type="pct"/>
          </w:tcPr>
          <w:p w14:paraId="576791D6"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Lower</w:t>
            </w:r>
          </w:p>
        </w:tc>
        <w:tc>
          <w:tcPr>
            <w:tcW w:w="1000" w:type="pct"/>
          </w:tcPr>
          <w:p w14:paraId="3B5293C9"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Upper</w:t>
            </w:r>
          </w:p>
        </w:tc>
        <w:tc>
          <w:tcPr>
            <w:tcW w:w="1000" w:type="pct"/>
            <w:vMerge/>
          </w:tcPr>
          <w:p w14:paraId="69FC6613" w14:textId="77777777" w:rsidR="00590F00" w:rsidRPr="00590F00" w:rsidRDefault="00590F00" w:rsidP="00774249">
            <w:pPr>
              <w:keepNext/>
              <w:keepLines/>
              <w:cnfStyle w:val="100000000000" w:firstRow="1"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6195E902" w14:textId="77777777" w:rsidTr="00590F00">
        <w:tc>
          <w:tcPr>
            <w:cnfStyle w:val="001000000000" w:firstRow="0" w:lastRow="0" w:firstColumn="1" w:lastColumn="0" w:oddVBand="0" w:evenVBand="0" w:oddHBand="0" w:evenHBand="0" w:firstRowFirstColumn="0" w:firstRowLastColumn="0" w:lastRowFirstColumn="0" w:lastRowLastColumn="0"/>
            <w:tcW w:w="4000" w:type="pct"/>
            <w:gridSpan w:val="4"/>
          </w:tcPr>
          <w:p w14:paraId="71B99188" w14:textId="77777777" w:rsidR="00590F00" w:rsidRPr="00590F00" w:rsidRDefault="00590F00" w:rsidP="00774249">
            <w:pPr>
              <w:keepNext/>
              <w:keepLines/>
              <w:rPr>
                <w:sz w:val="20"/>
                <w:szCs w:val="20"/>
                <w:vertAlign w:val="superscript"/>
              </w:rPr>
            </w:pPr>
            <w:r w:rsidRPr="00590F00">
              <w:rPr>
                <w:sz w:val="20"/>
                <w:szCs w:val="20"/>
              </w:rPr>
              <w:t>CL/F (L/h) = θ</w:t>
            </w:r>
            <w:r w:rsidRPr="00590F00">
              <w:rPr>
                <w:position w:val="-6"/>
                <w:sz w:val="20"/>
                <w:szCs w:val="20"/>
              </w:rPr>
              <w:t>CL</w:t>
            </w:r>
            <w:r w:rsidRPr="00590F00">
              <w:rPr>
                <w:sz w:val="20"/>
                <w:szCs w:val="20"/>
              </w:rPr>
              <w:t>× (WT/75)</w:t>
            </w:r>
            <w:r w:rsidRPr="00590F00">
              <w:rPr>
                <w:position w:val="12"/>
                <w:sz w:val="20"/>
                <w:szCs w:val="20"/>
              </w:rPr>
              <w:t>θ</w:t>
            </w:r>
            <w:r w:rsidRPr="00590F00">
              <w:rPr>
                <w:position w:val="8"/>
                <w:sz w:val="20"/>
                <w:szCs w:val="20"/>
                <w:vertAlign w:val="subscript"/>
              </w:rPr>
              <w:t>CL-WT</w:t>
            </w:r>
            <w:r w:rsidRPr="00590F00">
              <w:rPr>
                <w:sz w:val="20"/>
                <w:szCs w:val="20"/>
              </w:rPr>
              <w:t>× (AGE/25)</w:t>
            </w:r>
            <w:r w:rsidRPr="00590F00">
              <w:rPr>
                <w:position w:val="12"/>
                <w:sz w:val="20"/>
                <w:szCs w:val="20"/>
              </w:rPr>
              <w:t>θ</w:t>
            </w:r>
            <w:r w:rsidRPr="00590F00">
              <w:rPr>
                <w:position w:val="8"/>
                <w:sz w:val="20"/>
                <w:szCs w:val="20"/>
                <w:vertAlign w:val="subscript"/>
              </w:rPr>
              <w:t>CL-AGE</w:t>
            </w:r>
          </w:p>
        </w:tc>
        <w:tc>
          <w:tcPr>
            <w:tcW w:w="1000" w:type="pct"/>
            <w:vMerge w:val="restart"/>
          </w:tcPr>
          <w:p w14:paraId="7710FBB9" w14:textId="77777777" w:rsidR="00590F00" w:rsidRPr="00590F00" w:rsidRDefault="00590F00" w:rsidP="00774249">
            <w:pPr>
              <w:keepNext/>
              <w:keepLines/>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23.6%</w:t>
            </w:r>
          </w:p>
        </w:tc>
      </w:tr>
      <w:tr w:rsidR="00590F00" w:rsidRPr="00A54C96" w14:paraId="0BE54EB8"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4F18D4DB" w14:textId="77777777" w:rsidR="00590F00" w:rsidRPr="00590F00" w:rsidRDefault="00590F00" w:rsidP="00590F00">
            <w:pPr>
              <w:rPr>
                <w:sz w:val="20"/>
                <w:szCs w:val="20"/>
                <w:vertAlign w:val="superscript"/>
              </w:rPr>
            </w:pPr>
            <w:r w:rsidRPr="00590F00">
              <w:rPr>
                <w:sz w:val="20"/>
                <w:szCs w:val="20"/>
              </w:rPr>
              <w:t>θ</w:t>
            </w:r>
            <w:r w:rsidRPr="00590F00">
              <w:rPr>
                <w:position w:val="-6"/>
                <w:sz w:val="20"/>
                <w:szCs w:val="20"/>
              </w:rPr>
              <w:t>CL</w:t>
            </w:r>
          </w:p>
        </w:tc>
        <w:tc>
          <w:tcPr>
            <w:tcW w:w="1000" w:type="pct"/>
          </w:tcPr>
          <w:p w14:paraId="06AABB5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4.17</w:t>
            </w:r>
          </w:p>
        </w:tc>
        <w:tc>
          <w:tcPr>
            <w:tcW w:w="1000" w:type="pct"/>
          </w:tcPr>
          <w:p w14:paraId="5EE0B92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4.080</w:t>
            </w:r>
          </w:p>
        </w:tc>
        <w:tc>
          <w:tcPr>
            <w:tcW w:w="1000" w:type="pct"/>
          </w:tcPr>
          <w:p w14:paraId="6E2C569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4.230</w:t>
            </w:r>
          </w:p>
        </w:tc>
        <w:tc>
          <w:tcPr>
            <w:tcW w:w="1000" w:type="pct"/>
            <w:vMerge/>
          </w:tcPr>
          <w:p w14:paraId="360228D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02F86603"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7709AC6D" w14:textId="77777777" w:rsidR="00590F00" w:rsidRPr="00590F00" w:rsidRDefault="00590F00" w:rsidP="00590F00">
            <w:pPr>
              <w:rPr>
                <w:sz w:val="20"/>
                <w:szCs w:val="20"/>
                <w:vertAlign w:val="superscript"/>
              </w:rPr>
            </w:pPr>
            <w:r w:rsidRPr="00590F00">
              <w:rPr>
                <w:sz w:val="20"/>
                <w:szCs w:val="20"/>
              </w:rPr>
              <w:t>θCL-WT</w:t>
            </w:r>
          </w:p>
        </w:tc>
        <w:tc>
          <w:tcPr>
            <w:tcW w:w="1000" w:type="pct"/>
          </w:tcPr>
          <w:p w14:paraId="4928CBA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0.552</w:t>
            </w:r>
          </w:p>
        </w:tc>
        <w:tc>
          <w:tcPr>
            <w:tcW w:w="1000" w:type="pct"/>
          </w:tcPr>
          <w:p w14:paraId="3D19C1D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0.474</w:t>
            </w:r>
          </w:p>
        </w:tc>
        <w:tc>
          <w:tcPr>
            <w:tcW w:w="1000" w:type="pct"/>
          </w:tcPr>
          <w:p w14:paraId="202D94A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0.637</w:t>
            </w:r>
          </w:p>
        </w:tc>
        <w:tc>
          <w:tcPr>
            <w:tcW w:w="1000" w:type="pct"/>
            <w:vMerge/>
          </w:tcPr>
          <w:p w14:paraId="0FAD35D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442C6724"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0E6E24D6" w14:textId="77777777" w:rsidR="00590F00" w:rsidRPr="00590F00" w:rsidRDefault="00590F00" w:rsidP="00590F00">
            <w:pPr>
              <w:rPr>
                <w:sz w:val="20"/>
                <w:szCs w:val="20"/>
                <w:vertAlign w:val="superscript"/>
              </w:rPr>
            </w:pPr>
            <w:r w:rsidRPr="00590F00">
              <w:rPr>
                <w:sz w:val="20"/>
                <w:szCs w:val="20"/>
              </w:rPr>
              <w:t>θCL-AGE</w:t>
            </w:r>
          </w:p>
        </w:tc>
        <w:tc>
          <w:tcPr>
            <w:tcW w:w="1000" w:type="pct"/>
          </w:tcPr>
          <w:p w14:paraId="3287CB8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-0.200</w:t>
            </w:r>
          </w:p>
        </w:tc>
        <w:tc>
          <w:tcPr>
            <w:tcW w:w="1000" w:type="pct"/>
          </w:tcPr>
          <w:p w14:paraId="1E9719B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-0.267</w:t>
            </w:r>
          </w:p>
        </w:tc>
        <w:tc>
          <w:tcPr>
            <w:tcW w:w="1000" w:type="pct"/>
          </w:tcPr>
          <w:p w14:paraId="25C1382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-0.138</w:t>
            </w:r>
          </w:p>
        </w:tc>
        <w:tc>
          <w:tcPr>
            <w:tcW w:w="1000" w:type="pct"/>
            <w:vMerge/>
          </w:tcPr>
          <w:p w14:paraId="0093E10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7282E5DA" w14:textId="77777777" w:rsidTr="00590F00">
        <w:tc>
          <w:tcPr>
            <w:cnfStyle w:val="001000000000" w:firstRow="0" w:lastRow="0" w:firstColumn="1" w:lastColumn="0" w:oddVBand="0" w:evenVBand="0" w:oddHBand="0" w:evenHBand="0" w:firstRowFirstColumn="0" w:firstRowLastColumn="0" w:lastRowFirstColumn="0" w:lastRowLastColumn="0"/>
            <w:tcW w:w="4000" w:type="pct"/>
            <w:gridSpan w:val="4"/>
          </w:tcPr>
          <w:p w14:paraId="767DA040" w14:textId="77777777" w:rsidR="00590F00" w:rsidRPr="00590F00" w:rsidRDefault="00590F00" w:rsidP="00590F00">
            <w:pPr>
              <w:rPr>
                <w:sz w:val="20"/>
                <w:szCs w:val="20"/>
                <w:vertAlign w:val="superscript"/>
              </w:rPr>
            </w:pPr>
            <w:r w:rsidRPr="00590F00">
              <w:rPr>
                <w:sz w:val="20"/>
                <w:szCs w:val="20"/>
              </w:rPr>
              <w:t>V/F (L) = θ</w:t>
            </w:r>
            <w:r w:rsidRPr="00590F00">
              <w:rPr>
                <w:position w:val="-6"/>
                <w:sz w:val="20"/>
                <w:szCs w:val="20"/>
              </w:rPr>
              <w:t>V</w:t>
            </w:r>
            <w:r w:rsidRPr="00590F00">
              <w:rPr>
                <w:sz w:val="20"/>
                <w:szCs w:val="20"/>
              </w:rPr>
              <w:t>× (WT/75)</w:t>
            </w:r>
            <w:r w:rsidRPr="00590F00">
              <w:rPr>
                <w:position w:val="12"/>
                <w:sz w:val="20"/>
                <w:szCs w:val="20"/>
              </w:rPr>
              <w:t>θ</w:t>
            </w:r>
            <w:r w:rsidRPr="00590F00">
              <w:rPr>
                <w:position w:val="8"/>
                <w:sz w:val="20"/>
                <w:szCs w:val="20"/>
                <w:vertAlign w:val="subscript"/>
              </w:rPr>
              <w:t>V-WT</w:t>
            </w:r>
            <w:r w:rsidRPr="00590F00">
              <w:rPr>
                <w:sz w:val="20"/>
                <w:szCs w:val="20"/>
              </w:rPr>
              <w:t xml:space="preserve"> × (θ</w:t>
            </w:r>
            <w:r w:rsidRPr="00590F00">
              <w:rPr>
                <w:position w:val="-6"/>
                <w:sz w:val="20"/>
                <w:szCs w:val="20"/>
                <w:vertAlign w:val="subscript"/>
              </w:rPr>
              <w:t>V-FOOD</w:t>
            </w:r>
            <w:r w:rsidRPr="00590F00">
              <w:rPr>
                <w:sz w:val="20"/>
                <w:szCs w:val="20"/>
              </w:rPr>
              <w:t>)</w:t>
            </w:r>
            <w:r w:rsidRPr="00590F00">
              <w:rPr>
                <w:position w:val="12"/>
                <w:sz w:val="20"/>
                <w:szCs w:val="20"/>
                <w:vertAlign w:val="superscript"/>
              </w:rPr>
              <w:t>FOOD</w:t>
            </w:r>
          </w:p>
        </w:tc>
        <w:tc>
          <w:tcPr>
            <w:tcW w:w="1000" w:type="pct"/>
            <w:vMerge w:val="restart"/>
          </w:tcPr>
          <w:p w14:paraId="4C79AA3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24.1%</w:t>
            </w:r>
          </w:p>
        </w:tc>
      </w:tr>
      <w:tr w:rsidR="00590F00" w:rsidRPr="00A54C96" w14:paraId="1B1DBC93"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22B8C40C" w14:textId="77777777" w:rsidR="00590F00" w:rsidRPr="00590F00" w:rsidRDefault="00590F00" w:rsidP="00590F00">
            <w:pPr>
              <w:rPr>
                <w:sz w:val="20"/>
                <w:szCs w:val="20"/>
                <w:vertAlign w:val="superscript"/>
              </w:rPr>
            </w:pPr>
            <w:r w:rsidRPr="00590F00">
              <w:rPr>
                <w:sz w:val="20"/>
                <w:szCs w:val="20"/>
              </w:rPr>
              <w:t>θ</w:t>
            </w:r>
            <w:r w:rsidRPr="00590F00">
              <w:rPr>
                <w:position w:val="-6"/>
                <w:sz w:val="20"/>
                <w:szCs w:val="20"/>
              </w:rPr>
              <w:t>V</w:t>
            </w:r>
          </w:p>
        </w:tc>
        <w:tc>
          <w:tcPr>
            <w:tcW w:w="1000" w:type="pct"/>
          </w:tcPr>
          <w:p w14:paraId="2545D0E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2470</w:t>
            </w:r>
          </w:p>
        </w:tc>
        <w:tc>
          <w:tcPr>
            <w:tcW w:w="1000" w:type="pct"/>
          </w:tcPr>
          <w:p w14:paraId="026C383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2340</w:t>
            </w:r>
          </w:p>
        </w:tc>
        <w:tc>
          <w:tcPr>
            <w:tcW w:w="1000" w:type="pct"/>
          </w:tcPr>
          <w:p w14:paraId="0CB63B7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2630</w:t>
            </w:r>
          </w:p>
        </w:tc>
        <w:tc>
          <w:tcPr>
            <w:tcW w:w="1000" w:type="pct"/>
            <w:vMerge/>
          </w:tcPr>
          <w:p w14:paraId="46147D7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4A2A944D"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5ED81E1B" w14:textId="77777777" w:rsidR="00590F00" w:rsidRPr="00590F00" w:rsidRDefault="00590F00" w:rsidP="00590F00">
            <w:pPr>
              <w:rPr>
                <w:sz w:val="20"/>
                <w:szCs w:val="20"/>
              </w:rPr>
            </w:pPr>
            <w:r w:rsidRPr="00590F00">
              <w:rPr>
                <w:sz w:val="20"/>
                <w:szCs w:val="20"/>
              </w:rPr>
              <w:t>θV-WT</w:t>
            </w:r>
          </w:p>
        </w:tc>
        <w:tc>
          <w:tcPr>
            <w:tcW w:w="1000" w:type="pct"/>
          </w:tcPr>
          <w:p w14:paraId="2407CF5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0.781</w:t>
            </w:r>
          </w:p>
        </w:tc>
        <w:tc>
          <w:tcPr>
            <w:tcW w:w="1000" w:type="pct"/>
          </w:tcPr>
          <w:p w14:paraId="5AA94AA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0.652</w:t>
            </w:r>
          </w:p>
        </w:tc>
        <w:tc>
          <w:tcPr>
            <w:tcW w:w="1000" w:type="pct"/>
          </w:tcPr>
          <w:p w14:paraId="2BA144D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0.901</w:t>
            </w:r>
          </w:p>
        </w:tc>
        <w:tc>
          <w:tcPr>
            <w:tcW w:w="1000" w:type="pct"/>
            <w:vMerge/>
          </w:tcPr>
          <w:p w14:paraId="64DB3FC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1F886D3A"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5E883419" w14:textId="77777777" w:rsidR="00590F00" w:rsidRPr="00590F00" w:rsidRDefault="00590F00" w:rsidP="00590F00">
            <w:pPr>
              <w:rPr>
                <w:sz w:val="20"/>
                <w:szCs w:val="20"/>
              </w:rPr>
            </w:pPr>
            <w:r w:rsidRPr="00590F00">
              <w:rPr>
                <w:sz w:val="20"/>
                <w:szCs w:val="20"/>
              </w:rPr>
              <w:t>θV-FOOD</w:t>
            </w:r>
          </w:p>
        </w:tc>
        <w:tc>
          <w:tcPr>
            <w:tcW w:w="1000" w:type="pct"/>
          </w:tcPr>
          <w:p w14:paraId="2A43930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0.822</w:t>
            </w:r>
          </w:p>
        </w:tc>
        <w:tc>
          <w:tcPr>
            <w:tcW w:w="1000" w:type="pct"/>
          </w:tcPr>
          <w:p w14:paraId="7D6C354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0.761</w:t>
            </w:r>
          </w:p>
        </w:tc>
        <w:tc>
          <w:tcPr>
            <w:tcW w:w="1000" w:type="pct"/>
          </w:tcPr>
          <w:p w14:paraId="3B43E3E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0.861</w:t>
            </w:r>
          </w:p>
        </w:tc>
        <w:tc>
          <w:tcPr>
            <w:tcW w:w="1000" w:type="pct"/>
          </w:tcPr>
          <w:p w14:paraId="368B780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3C778656"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4FD304E3" w14:textId="77777777" w:rsidR="00590F00" w:rsidRPr="00590F00" w:rsidRDefault="00590F00" w:rsidP="00590F00">
            <w:pPr>
              <w:rPr>
                <w:sz w:val="20"/>
                <w:szCs w:val="20"/>
              </w:rPr>
            </w:pPr>
            <w:r w:rsidRPr="00590F00">
              <w:rPr>
                <w:sz w:val="20"/>
                <w:szCs w:val="20"/>
              </w:rPr>
              <w:t>k</w:t>
            </w:r>
            <w:r w:rsidRPr="00590F00">
              <w:rPr>
                <w:sz w:val="20"/>
                <w:szCs w:val="20"/>
                <w:vertAlign w:val="subscript"/>
              </w:rPr>
              <w:t>a</w:t>
            </w:r>
            <w:r w:rsidRPr="00590F00">
              <w:rPr>
                <w:sz w:val="20"/>
                <w:szCs w:val="20"/>
              </w:rPr>
              <w:t xml:space="preserve"> (1/h)</w:t>
            </w:r>
          </w:p>
        </w:tc>
        <w:tc>
          <w:tcPr>
            <w:tcW w:w="1000" w:type="pct"/>
          </w:tcPr>
          <w:p w14:paraId="6D6F68D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0.359</w:t>
            </w:r>
          </w:p>
        </w:tc>
        <w:tc>
          <w:tcPr>
            <w:tcW w:w="1000" w:type="pct"/>
          </w:tcPr>
          <w:p w14:paraId="66168514"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0.321</w:t>
            </w:r>
          </w:p>
        </w:tc>
        <w:tc>
          <w:tcPr>
            <w:tcW w:w="1000" w:type="pct"/>
          </w:tcPr>
          <w:p w14:paraId="08FC434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0.384</w:t>
            </w:r>
          </w:p>
        </w:tc>
        <w:tc>
          <w:tcPr>
            <w:tcW w:w="1000" w:type="pct"/>
          </w:tcPr>
          <w:p w14:paraId="50ADF40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54.1%</w:t>
            </w:r>
          </w:p>
        </w:tc>
      </w:tr>
      <w:tr w:rsidR="00590F00" w:rsidRPr="00A54C96" w14:paraId="17057742"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50696A42"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CL</w:t>
            </w:r>
          </w:p>
        </w:tc>
        <w:tc>
          <w:tcPr>
            <w:tcW w:w="1000" w:type="pct"/>
          </w:tcPr>
          <w:p w14:paraId="771E37B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0.0555</w:t>
            </w:r>
          </w:p>
        </w:tc>
        <w:tc>
          <w:tcPr>
            <w:tcW w:w="1000" w:type="pct"/>
          </w:tcPr>
          <w:p w14:paraId="5D4C949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0.0462</w:t>
            </w:r>
          </w:p>
        </w:tc>
        <w:tc>
          <w:tcPr>
            <w:tcW w:w="1000" w:type="pct"/>
          </w:tcPr>
          <w:p w14:paraId="5DEC48E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0.0618</w:t>
            </w:r>
          </w:p>
        </w:tc>
        <w:tc>
          <w:tcPr>
            <w:tcW w:w="1000" w:type="pct"/>
          </w:tcPr>
          <w:p w14:paraId="4CB6AC8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60C7197D"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47BCEC01" w14:textId="77777777" w:rsidR="00590F00" w:rsidRPr="00590F00" w:rsidRDefault="00590F00" w:rsidP="00590F00">
            <w:pPr>
              <w:rPr>
                <w:sz w:val="20"/>
                <w:szCs w:val="20"/>
              </w:rPr>
            </w:pPr>
            <w:r w:rsidRPr="00590F00">
              <w:rPr>
                <w:sz w:val="20"/>
                <w:szCs w:val="20"/>
              </w:rPr>
              <w:t>COV</w:t>
            </w:r>
            <w:r w:rsidRPr="00590F00">
              <w:rPr>
                <w:position w:val="-6"/>
                <w:sz w:val="20"/>
                <w:szCs w:val="20"/>
              </w:rPr>
              <w:t>CL,V</w:t>
            </w:r>
          </w:p>
        </w:tc>
        <w:tc>
          <w:tcPr>
            <w:tcW w:w="1000" w:type="pct"/>
          </w:tcPr>
          <w:p w14:paraId="35B6B1B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0.0289</w:t>
            </w:r>
          </w:p>
        </w:tc>
        <w:tc>
          <w:tcPr>
            <w:tcW w:w="1000" w:type="pct"/>
          </w:tcPr>
          <w:p w14:paraId="3CCC7AA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0.0186</w:t>
            </w:r>
          </w:p>
        </w:tc>
        <w:tc>
          <w:tcPr>
            <w:tcW w:w="1000" w:type="pct"/>
          </w:tcPr>
          <w:p w14:paraId="0B8ACD0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0.0315</w:t>
            </w:r>
          </w:p>
        </w:tc>
        <w:tc>
          <w:tcPr>
            <w:tcW w:w="1000" w:type="pct"/>
          </w:tcPr>
          <w:p w14:paraId="66E7AC3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54072B4E"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5129CA3E"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V</w:t>
            </w:r>
          </w:p>
        </w:tc>
        <w:tc>
          <w:tcPr>
            <w:tcW w:w="1000" w:type="pct"/>
          </w:tcPr>
          <w:p w14:paraId="4B4093B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0.0583</w:t>
            </w:r>
          </w:p>
        </w:tc>
        <w:tc>
          <w:tcPr>
            <w:tcW w:w="1000" w:type="pct"/>
          </w:tcPr>
          <w:p w14:paraId="076F187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0.0444</w:t>
            </w:r>
          </w:p>
        </w:tc>
        <w:tc>
          <w:tcPr>
            <w:tcW w:w="1000" w:type="pct"/>
          </w:tcPr>
          <w:p w14:paraId="4C09556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0.0606</w:t>
            </w:r>
          </w:p>
        </w:tc>
        <w:tc>
          <w:tcPr>
            <w:tcW w:w="1000" w:type="pct"/>
          </w:tcPr>
          <w:p w14:paraId="1D1F478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5A1D64DB"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32152A73"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k</w:t>
            </w:r>
            <w:r w:rsidRPr="00590F00">
              <w:rPr>
                <w:position w:val="-6"/>
                <w:sz w:val="20"/>
                <w:szCs w:val="20"/>
                <w:vertAlign w:val="subscript"/>
              </w:rPr>
              <w:t>a</w:t>
            </w:r>
          </w:p>
        </w:tc>
        <w:tc>
          <w:tcPr>
            <w:tcW w:w="1000" w:type="pct"/>
          </w:tcPr>
          <w:p w14:paraId="710A52D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0.293</w:t>
            </w:r>
          </w:p>
        </w:tc>
        <w:tc>
          <w:tcPr>
            <w:tcW w:w="1000" w:type="pct"/>
          </w:tcPr>
          <w:p w14:paraId="3418225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0.203</w:t>
            </w:r>
          </w:p>
        </w:tc>
        <w:tc>
          <w:tcPr>
            <w:tcW w:w="1000" w:type="pct"/>
          </w:tcPr>
          <w:p w14:paraId="1CEA8514"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0.378</w:t>
            </w:r>
          </w:p>
        </w:tc>
        <w:tc>
          <w:tcPr>
            <w:tcW w:w="1000" w:type="pct"/>
          </w:tcPr>
          <w:p w14:paraId="6C00147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2F2602C0"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34B300BF" w14:textId="77777777" w:rsidR="00590F00" w:rsidRPr="00590F00" w:rsidRDefault="00590F00" w:rsidP="00590F00">
            <w:pPr>
              <w:rPr>
                <w:sz w:val="20"/>
                <w:szCs w:val="20"/>
              </w:rPr>
            </w:pPr>
            <w:r w:rsidRPr="00590F00">
              <w:rPr>
                <w:sz w:val="20"/>
                <w:szCs w:val="20"/>
              </w:rPr>
              <w:sym w:font="Symbol" w:char="F073"/>
            </w:r>
            <w:r w:rsidRPr="00590F00">
              <w:rPr>
                <w:sz w:val="20"/>
                <w:szCs w:val="20"/>
                <w:vertAlign w:val="superscript"/>
              </w:rPr>
              <w:t>2</w:t>
            </w:r>
          </w:p>
        </w:tc>
        <w:tc>
          <w:tcPr>
            <w:tcW w:w="1000" w:type="pct"/>
          </w:tcPr>
          <w:p w14:paraId="52307B6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0.0488</w:t>
            </w:r>
          </w:p>
        </w:tc>
        <w:tc>
          <w:tcPr>
            <w:tcW w:w="1000" w:type="pct"/>
          </w:tcPr>
          <w:p w14:paraId="28FAD3F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0.0436</w:t>
            </w:r>
          </w:p>
        </w:tc>
        <w:tc>
          <w:tcPr>
            <w:tcW w:w="1000" w:type="pct"/>
          </w:tcPr>
          <w:p w14:paraId="39A38C3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0.0553</w:t>
            </w:r>
          </w:p>
        </w:tc>
        <w:tc>
          <w:tcPr>
            <w:tcW w:w="1000" w:type="pct"/>
          </w:tcPr>
          <w:p w14:paraId="5247FF9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bl>
    <w:p w14:paraId="60445BFC" w14:textId="77777777" w:rsidR="00590F00" w:rsidRPr="00323C18" w:rsidRDefault="00774249" w:rsidP="00590F00">
      <w:pPr>
        <w:pStyle w:val="TableDescription"/>
      </w:pPr>
      <w:r>
        <w:t>*</w:t>
      </w:r>
      <w:r w:rsidR="00590F00" w:rsidRPr="00323C18">
        <w:t xml:space="preserve">The magnitude of inter-individual variability was presented as the coefficient of variation.CI, confidence interval; COV, covariance; </w:t>
      </w:r>
      <w:r w:rsidR="00590F00" w:rsidRPr="00323C18">
        <w:sym w:font="Symbol" w:char="F077"/>
      </w:r>
      <w:r w:rsidR="00590F00" w:rsidRPr="00323C18">
        <w:rPr>
          <w:vertAlign w:val="superscript"/>
        </w:rPr>
        <w:t>2</w:t>
      </w:r>
      <w:r w:rsidR="00590F00" w:rsidRPr="00323C18">
        <w:t>: variance of the inter-individual random effect; δ</w:t>
      </w:r>
      <w:r w:rsidR="00590F00" w:rsidRPr="00323C18">
        <w:rPr>
          <w:vertAlign w:val="superscript"/>
        </w:rPr>
        <w:t>2</w:t>
      </w:r>
      <w:r w:rsidR="00590F00" w:rsidRPr="00323C18">
        <w:t>: variance of the proportional residual random effect. CL = clearance, V=volume, K</w:t>
      </w:r>
      <w:r w:rsidR="00590F00" w:rsidRPr="00323C18">
        <w:rPr>
          <w:vertAlign w:val="subscript"/>
        </w:rPr>
        <w:t>a</w:t>
      </w:r>
      <w:r w:rsidR="00590F00" w:rsidRPr="00323C18">
        <w:t xml:space="preserve"> = first order absorption rate. NOTE: Final estimate and inter-individual variability were from NONMEM estimates. FOOD = 0 for fasted and 1 for fed. </w:t>
      </w:r>
    </w:p>
    <w:p w14:paraId="3989C364" w14:textId="77777777" w:rsidR="008A1A1C" w:rsidRDefault="008A1A1C" w:rsidP="00E730B4">
      <w:pPr>
        <w:pStyle w:val="Heading4"/>
        <w:numPr>
          <w:ilvl w:val="2"/>
          <w:numId w:val="7"/>
        </w:numPr>
      </w:pPr>
      <w:bookmarkStart w:id="157" w:name="_Toc432080700"/>
      <w:bookmarkStart w:id="158" w:name="_Toc432079127"/>
      <w:bookmarkStart w:id="159" w:name="_Toc421005245"/>
      <w:bookmarkStart w:id="160" w:name="_Toc416353670"/>
      <w:bookmarkStart w:id="161" w:name="_Toc290888474"/>
      <w:bookmarkStart w:id="162" w:name="_Toc272414625"/>
      <w:bookmarkStart w:id="163" w:name="_Ref271189136"/>
      <w:bookmarkStart w:id="164" w:name="_Ref271189131"/>
      <w:bookmarkStart w:id="165" w:name="_Toc241374292"/>
      <w:r>
        <w:t>Pharmacokinetics in the target population</w:t>
      </w:r>
      <w:bookmarkEnd w:id="157"/>
      <w:bookmarkEnd w:id="158"/>
      <w:bookmarkEnd w:id="159"/>
      <w:bookmarkEnd w:id="160"/>
      <w:bookmarkEnd w:id="161"/>
      <w:bookmarkEnd w:id="162"/>
      <w:bookmarkEnd w:id="163"/>
      <w:bookmarkEnd w:id="164"/>
      <w:bookmarkEnd w:id="165"/>
    </w:p>
    <w:p w14:paraId="75199BEE" w14:textId="3ABAE47B" w:rsidR="008A1A1C" w:rsidRDefault="008A1A1C" w:rsidP="008A1A1C">
      <w:r>
        <w:t>The target for this drug will essentially be healthy people (as malaria prophylaxis). Population PK analysis predicts that the recommended prevention regimen will achieve trough levels &gt;80</w:t>
      </w:r>
      <w:r w:rsidR="00FD4397">
        <w:t> </w:t>
      </w:r>
      <w:r w:rsidR="00122529">
        <w:t>ng/mL</w:t>
      </w:r>
      <w:r>
        <w:t xml:space="preserve"> in &gt;95% of subjects.</w:t>
      </w:r>
    </w:p>
    <w:p w14:paraId="727FFA09" w14:textId="77777777" w:rsidR="008A1A1C" w:rsidRDefault="008A1A1C" w:rsidP="00E730B4">
      <w:pPr>
        <w:pStyle w:val="Heading4"/>
        <w:numPr>
          <w:ilvl w:val="2"/>
          <w:numId w:val="7"/>
        </w:numPr>
      </w:pPr>
      <w:bookmarkStart w:id="166" w:name="_Toc432080701"/>
      <w:bookmarkStart w:id="167" w:name="_Toc432079128"/>
      <w:bookmarkStart w:id="168" w:name="_Toc421005246"/>
      <w:bookmarkStart w:id="169" w:name="_Toc416353671"/>
      <w:bookmarkStart w:id="170" w:name="_Toc290888475"/>
      <w:bookmarkStart w:id="171" w:name="_Toc272414626"/>
      <w:bookmarkStart w:id="172" w:name="_Toc241374293"/>
      <w:r>
        <w:t>Pharmacokinetics in special populations</w:t>
      </w:r>
      <w:bookmarkEnd w:id="166"/>
      <w:bookmarkEnd w:id="167"/>
      <w:bookmarkEnd w:id="168"/>
      <w:bookmarkEnd w:id="169"/>
      <w:bookmarkEnd w:id="170"/>
      <w:bookmarkEnd w:id="171"/>
      <w:bookmarkEnd w:id="172"/>
    </w:p>
    <w:p w14:paraId="32A81FC9" w14:textId="77777777" w:rsidR="008A1A1C" w:rsidRDefault="008A1A1C" w:rsidP="00E730B4">
      <w:pPr>
        <w:pStyle w:val="Heading5"/>
        <w:numPr>
          <w:ilvl w:val="3"/>
          <w:numId w:val="7"/>
        </w:numPr>
      </w:pPr>
      <w:bookmarkStart w:id="173" w:name="_Toc416353672"/>
      <w:bookmarkStart w:id="174" w:name="_Toc290888476"/>
      <w:bookmarkStart w:id="175" w:name="_Toc272414627"/>
      <w:r>
        <w:t xml:space="preserve">Pharmacokinetics in subjects with </w:t>
      </w:r>
      <w:r w:rsidRPr="009720A8">
        <w:t>impaired</w:t>
      </w:r>
      <w:r>
        <w:t xml:space="preserve"> hepatic function</w:t>
      </w:r>
      <w:bookmarkEnd w:id="173"/>
      <w:bookmarkEnd w:id="174"/>
      <w:bookmarkEnd w:id="175"/>
    </w:p>
    <w:p w14:paraId="76D826E0" w14:textId="2EDC218B" w:rsidR="008A1A1C" w:rsidRDefault="00FD4397" w:rsidP="008A1A1C">
      <w:bookmarkStart w:id="176" w:name="_Toc416353673"/>
      <w:bookmarkStart w:id="177" w:name="_Toc290888477"/>
      <w:bookmarkStart w:id="178" w:name="_Toc272414628"/>
      <w:r>
        <w:t>Not applicable.</w:t>
      </w:r>
    </w:p>
    <w:p w14:paraId="5D585CCE" w14:textId="77777777" w:rsidR="008A1A1C" w:rsidRDefault="008A1A1C" w:rsidP="00E730B4">
      <w:pPr>
        <w:pStyle w:val="Heading5"/>
        <w:numPr>
          <w:ilvl w:val="3"/>
          <w:numId w:val="7"/>
        </w:numPr>
      </w:pPr>
      <w:r>
        <w:t>Pharmacokinetics in subjects with impaired renal function</w:t>
      </w:r>
      <w:bookmarkEnd w:id="176"/>
      <w:bookmarkEnd w:id="177"/>
      <w:bookmarkEnd w:id="178"/>
    </w:p>
    <w:p w14:paraId="2ED290C8" w14:textId="77777777" w:rsidR="00507FFD" w:rsidRDefault="00FD4397" w:rsidP="00507FFD">
      <w:bookmarkStart w:id="179" w:name="_Toc416353674"/>
      <w:bookmarkStart w:id="180" w:name="_Toc290888478"/>
      <w:bookmarkStart w:id="181" w:name="_Toc272414629"/>
      <w:r>
        <w:t>Not applicable.</w:t>
      </w:r>
    </w:p>
    <w:p w14:paraId="220C4DDE" w14:textId="5F0905A5" w:rsidR="008A1A1C" w:rsidRDefault="008A1A1C" w:rsidP="00E730B4">
      <w:pPr>
        <w:pStyle w:val="Heading5"/>
        <w:numPr>
          <w:ilvl w:val="3"/>
          <w:numId w:val="7"/>
        </w:numPr>
      </w:pPr>
      <w:r>
        <w:lastRenderedPageBreak/>
        <w:t>Pharmacokinetics according to age</w:t>
      </w:r>
      <w:bookmarkEnd w:id="179"/>
      <w:bookmarkEnd w:id="180"/>
      <w:bookmarkEnd w:id="181"/>
    </w:p>
    <w:p w14:paraId="4D13F5C5" w14:textId="77777777" w:rsidR="008A1A1C" w:rsidRDefault="008A1A1C" w:rsidP="008A1A1C">
      <w:pPr>
        <w:rPr>
          <w:lang w:eastAsia="ja-JP"/>
        </w:rPr>
      </w:pPr>
      <w:bookmarkStart w:id="182" w:name="_Toc416353675"/>
      <w:bookmarkStart w:id="183" w:name="_Toc290888479"/>
      <w:bookmarkStart w:id="184" w:name="_Toc272414630"/>
      <w:r>
        <w:rPr>
          <w:lang w:eastAsia="ja-JP"/>
        </w:rPr>
        <w:t xml:space="preserve">There is a small amount of data for adolescents (contained in Section </w:t>
      </w:r>
      <w:r w:rsidR="009720A8" w:rsidRPr="00473B40">
        <w:rPr>
          <w:i/>
          <w:lang w:eastAsia="ja-JP"/>
        </w:rPr>
        <w:t xml:space="preserve">Postmarketing </w:t>
      </w:r>
      <w:r w:rsidR="00473B40">
        <w:rPr>
          <w:i/>
          <w:lang w:eastAsia="ja-JP"/>
        </w:rPr>
        <w:t>experience</w:t>
      </w:r>
      <w:r w:rsidR="009720A8">
        <w:rPr>
          <w:lang w:eastAsia="ja-JP"/>
        </w:rPr>
        <w:t xml:space="preserve"> below</w:t>
      </w:r>
      <w:r>
        <w:rPr>
          <w:lang w:eastAsia="ja-JP"/>
        </w:rPr>
        <w:t>)</w:t>
      </w:r>
    </w:p>
    <w:p w14:paraId="11C86248" w14:textId="77777777" w:rsidR="008A1A1C" w:rsidRDefault="008A1A1C" w:rsidP="00E730B4">
      <w:pPr>
        <w:pStyle w:val="Heading5"/>
        <w:numPr>
          <w:ilvl w:val="3"/>
          <w:numId w:val="7"/>
        </w:numPr>
      </w:pPr>
      <w:r>
        <w:t>Pharmacokinetics related to genetic factors</w:t>
      </w:r>
      <w:bookmarkEnd w:id="182"/>
      <w:bookmarkEnd w:id="183"/>
      <w:bookmarkEnd w:id="184"/>
    </w:p>
    <w:p w14:paraId="6C9EAF7E" w14:textId="77777777" w:rsidR="00507FFD" w:rsidRDefault="00FD4397" w:rsidP="00507FFD">
      <w:bookmarkStart w:id="185" w:name="_Toc416353676"/>
      <w:bookmarkStart w:id="186" w:name="_Toc290888480"/>
      <w:bookmarkStart w:id="187" w:name="_Toc272414631"/>
      <w:r>
        <w:t>Not applicable.</w:t>
      </w:r>
    </w:p>
    <w:p w14:paraId="75CD5DCB" w14:textId="1EBF6000" w:rsidR="008A1A1C" w:rsidRDefault="008A1A1C" w:rsidP="00E730B4">
      <w:pPr>
        <w:pStyle w:val="Heading5"/>
        <w:numPr>
          <w:ilvl w:val="3"/>
          <w:numId w:val="7"/>
        </w:numPr>
      </w:pPr>
      <w:r>
        <w:t xml:space="preserve">Pharmacokinetics in other </w:t>
      </w:r>
      <w:r w:rsidRPr="00473B40">
        <w:t>special</w:t>
      </w:r>
      <w:r>
        <w:t xml:space="preserve"> population / with other population characteristic</w:t>
      </w:r>
      <w:bookmarkEnd w:id="185"/>
      <w:bookmarkEnd w:id="186"/>
      <w:bookmarkEnd w:id="187"/>
    </w:p>
    <w:p w14:paraId="629432B3" w14:textId="6326AC51" w:rsidR="00F1528F" w:rsidRDefault="008A1A1C" w:rsidP="00473B40">
      <w:r>
        <w:t>The effect of gender and smoking status, on PK was evaluated in Study 014. Females had greater exposure than males; non-smokers had somewhat greater exposure than smokers. The differences in PK parameters between genders were explained by differences in weight, as the mean female body weight in Study 014 was 63.6 kg compared to a mean male body weight of 77.0 kg. AUC/1M/K for females was 352 units/6.25 mg</w:t>
      </w:r>
      <w:r w:rsidR="00FD4397">
        <w:t xml:space="preserve"> </w:t>
      </w:r>
      <w:r>
        <w:t>per</w:t>
      </w:r>
      <w:r w:rsidR="00FD4397">
        <w:t xml:space="preserve"> </w:t>
      </w:r>
      <w:r>
        <w:t>kg =56 and AUC for males was 288</w:t>
      </w:r>
      <w:r w:rsidR="00FD4397">
        <w:t> </w:t>
      </w:r>
      <w:r>
        <w:t xml:space="preserve">units/5.2 mg/kg = 55, showing that </w:t>
      </w:r>
      <w:r w:rsidRPr="005B2850">
        <w:t xml:space="preserve">exposure </w:t>
      </w:r>
      <w:proofErr w:type="gramStart"/>
      <w:r w:rsidRPr="005B2850">
        <w:t>is</w:t>
      </w:r>
      <w:proofErr w:type="gramEnd"/>
      <w:r w:rsidRPr="005B2850">
        <w:t xml:space="preserve"> essentially similar on </w:t>
      </w:r>
      <w:r w:rsidR="00E730B4" w:rsidRPr="005B2850">
        <w:t>an</w:t>
      </w:r>
      <w:r w:rsidRPr="005B2850">
        <w:t xml:space="preserve"> mg drug per kg body weight basis for the two genders. Results are shown in Tables 12</w:t>
      </w:r>
      <w:r w:rsidR="00FD4397">
        <w:t xml:space="preserve"> to </w:t>
      </w:r>
      <w:r w:rsidRPr="005B2850">
        <w:t>16.</w:t>
      </w:r>
    </w:p>
    <w:p w14:paraId="6A69E3E7" w14:textId="5DAD8999" w:rsidR="00590F00" w:rsidRPr="00EB341F" w:rsidRDefault="00590F00" w:rsidP="00590F00">
      <w:pPr>
        <w:pStyle w:val="Tabletitle"/>
      </w:pPr>
      <w:r>
        <w:t xml:space="preserve">Table </w:t>
      </w:r>
      <w:r w:rsidR="008D769C">
        <w:t>12:</w:t>
      </w:r>
      <w:r>
        <w:t xml:space="preserve"> </w:t>
      </w:r>
      <w:r w:rsidRPr="00B9231E">
        <w:t xml:space="preserve">Population PK </w:t>
      </w:r>
      <w:r w:rsidR="00FD4397">
        <w:t>p</w:t>
      </w:r>
      <w:r w:rsidR="00FD4397" w:rsidRPr="00B9231E">
        <w:t xml:space="preserve">arameters </w:t>
      </w:r>
      <w:r w:rsidRPr="00B9231E">
        <w:t>(Studies 001, 002, 003, 004, 005, 014, 15, 033, 044 and 058)</w:t>
      </w:r>
    </w:p>
    <w:tbl>
      <w:tblPr>
        <w:tblStyle w:val="TableTGAblue"/>
        <w:tblW w:w="5000" w:type="pct"/>
        <w:tblLook w:val="00A0" w:firstRow="1" w:lastRow="0" w:firstColumn="1" w:lastColumn="0" w:noHBand="0" w:noVBand="0"/>
      </w:tblPr>
      <w:tblGrid>
        <w:gridCol w:w="1849"/>
        <w:gridCol w:w="1849"/>
        <w:gridCol w:w="1848"/>
        <w:gridCol w:w="1848"/>
        <w:gridCol w:w="1848"/>
      </w:tblGrid>
      <w:tr w:rsidR="00590F00" w:rsidRPr="00A54C96" w14:paraId="27CECC24"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vMerge w:val="restart"/>
          </w:tcPr>
          <w:p w14:paraId="7B58FDD0" w14:textId="77777777" w:rsidR="00590F00" w:rsidRPr="00590F00" w:rsidRDefault="00590F00" w:rsidP="00590F00">
            <w:pPr>
              <w:rPr>
                <w:sz w:val="20"/>
                <w:szCs w:val="20"/>
                <w:vertAlign w:val="superscript"/>
              </w:rPr>
            </w:pPr>
            <w:r w:rsidRPr="00590F00">
              <w:rPr>
                <w:sz w:val="20"/>
                <w:szCs w:val="20"/>
              </w:rPr>
              <w:t xml:space="preserve">Parameters </w:t>
            </w:r>
            <w:r w:rsidRPr="00590F00">
              <w:rPr>
                <w:sz w:val="20"/>
                <w:szCs w:val="20"/>
              </w:rPr>
              <w:br/>
              <w:t>(Units)</w:t>
            </w:r>
          </w:p>
        </w:tc>
        <w:tc>
          <w:tcPr>
            <w:tcW w:w="1000" w:type="pct"/>
            <w:vMerge w:val="restart"/>
          </w:tcPr>
          <w:p w14:paraId="200E2028"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Final Estimate</w:t>
            </w:r>
          </w:p>
        </w:tc>
        <w:tc>
          <w:tcPr>
            <w:tcW w:w="2000" w:type="pct"/>
            <w:gridSpan w:val="2"/>
          </w:tcPr>
          <w:p w14:paraId="58F4614B"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Bootstrap 95% CI</w:t>
            </w:r>
          </w:p>
        </w:tc>
        <w:tc>
          <w:tcPr>
            <w:tcW w:w="1000" w:type="pct"/>
            <w:vMerge w:val="restart"/>
          </w:tcPr>
          <w:p w14:paraId="32454E04" w14:textId="77777777" w:rsidR="00590F00" w:rsidRPr="00590F00" w:rsidRDefault="00590F00" w:rsidP="00774249">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Inter-individual Variability</w:t>
            </w:r>
            <w:r w:rsidR="00774249">
              <w:rPr>
                <w:sz w:val="20"/>
                <w:szCs w:val="20"/>
              </w:rPr>
              <w:t>*</w:t>
            </w:r>
          </w:p>
        </w:tc>
      </w:tr>
      <w:tr w:rsidR="00590F00" w:rsidRPr="00A54C96" w14:paraId="2F9D2671"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vMerge/>
          </w:tcPr>
          <w:p w14:paraId="437A4F01" w14:textId="77777777" w:rsidR="00590F00" w:rsidRPr="00590F00" w:rsidRDefault="00590F00" w:rsidP="00590F00">
            <w:pPr>
              <w:rPr>
                <w:sz w:val="20"/>
                <w:szCs w:val="20"/>
                <w:vertAlign w:val="superscript"/>
              </w:rPr>
            </w:pPr>
          </w:p>
        </w:tc>
        <w:tc>
          <w:tcPr>
            <w:tcW w:w="1000" w:type="pct"/>
            <w:vMerge/>
          </w:tcPr>
          <w:p w14:paraId="4635AF9B"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p>
        </w:tc>
        <w:tc>
          <w:tcPr>
            <w:tcW w:w="1000" w:type="pct"/>
          </w:tcPr>
          <w:p w14:paraId="149EA9C6"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Lower</w:t>
            </w:r>
          </w:p>
        </w:tc>
        <w:tc>
          <w:tcPr>
            <w:tcW w:w="1000" w:type="pct"/>
          </w:tcPr>
          <w:p w14:paraId="25E3C9F4"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Upper</w:t>
            </w:r>
          </w:p>
        </w:tc>
        <w:tc>
          <w:tcPr>
            <w:tcW w:w="1000" w:type="pct"/>
            <w:vMerge/>
          </w:tcPr>
          <w:p w14:paraId="2EC751E2"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09B4805E" w14:textId="77777777" w:rsidTr="00590F00">
        <w:tc>
          <w:tcPr>
            <w:cnfStyle w:val="001000000000" w:firstRow="0" w:lastRow="0" w:firstColumn="1" w:lastColumn="0" w:oddVBand="0" w:evenVBand="0" w:oddHBand="0" w:evenHBand="0" w:firstRowFirstColumn="0" w:firstRowLastColumn="0" w:lastRowFirstColumn="0" w:lastRowLastColumn="0"/>
            <w:tcW w:w="4000" w:type="pct"/>
            <w:gridSpan w:val="4"/>
          </w:tcPr>
          <w:p w14:paraId="3AD880A3" w14:textId="77777777" w:rsidR="00590F00" w:rsidRPr="00590F00" w:rsidRDefault="00590F00" w:rsidP="00590F00">
            <w:pPr>
              <w:rPr>
                <w:sz w:val="20"/>
                <w:szCs w:val="20"/>
                <w:vertAlign w:val="superscript"/>
              </w:rPr>
            </w:pPr>
            <w:r w:rsidRPr="00590F00">
              <w:rPr>
                <w:sz w:val="20"/>
                <w:szCs w:val="20"/>
              </w:rPr>
              <w:t>CL/F (L/h) = θ</w:t>
            </w:r>
            <w:r w:rsidRPr="00590F00">
              <w:rPr>
                <w:position w:val="-6"/>
                <w:sz w:val="20"/>
                <w:szCs w:val="20"/>
              </w:rPr>
              <w:t>CL</w:t>
            </w:r>
            <w:r w:rsidRPr="00590F00">
              <w:rPr>
                <w:sz w:val="20"/>
                <w:szCs w:val="20"/>
              </w:rPr>
              <w:t>× (WT/75)</w:t>
            </w:r>
            <w:r w:rsidRPr="00590F00">
              <w:rPr>
                <w:position w:val="12"/>
                <w:sz w:val="20"/>
                <w:szCs w:val="20"/>
              </w:rPr>
              <w:t>θ</w:t>
            </w:r>
            <w:r w:rsidRPr="00590F00">
              <w:rPr>
                <w:position w:val="8"/>
                <w:sz w:val="20"/>
                <w:szCs w:val="20"/>
                <w:vertAlign w:val="subscript"/>
              </w:rPr>
              <w:t>CL-WT</w:t>
            </w:r>
            <w:r w:rsidRPr="00590F00">
              <w:rPr>
                <w:sz w:val="20"/>
                <w:szCs w:val="20"/>
              </w:rPr>
              <w:t>× (AGE/25)</w:t>
            </w:r>
            <w:r w:rsidRPr="00590F00">
              <w:rPr>
                <w:position w:val="12"/>
                <w:sz w:val="20"/>
                <w:szCs w:val="20"/>
              </w:rPr>
              <w:t>θ</w:t>
            </w:r>
            <w:r w:rsidRPr="00590F00">
              <w:rPr>
                <w:position w:val="8"/>
                <w:sz w:val="20"/>
                <w:szCs w:val="20"/>
                <w:vertAlign w:val="subscript"/>
              </w:rPr>
              <w:t>CL-AGE</w:t>
            </w:r>
          </w:p>
        </w:tc>
        <w:tc>
          <w:tcPr>
            <w:tcW w:w="1000" w:type="pct"/>
            <w:vMerge w:val="restart"/>
          </w:tcPr>
          <w:p w14:paraId="1ECBC0E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23.6%</w:t>
            </w:r>
          </w:p>
        </w:tc>
      </w:tr>
      <w:tr w:rsidR="00590F00" w:rsidRPr="00A54C96" w14:paraId="03A81045"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6CAD41D4" w14:textId="77777777" w:rsidR="00590F00" w:rsidRPr="00590F00" w:rsidRDefault="00590F00" w:rsidP="00590F00">
            <w:pPr>
              <w:rPr>
                <w:sz w:val="20"/>
                <w:szCs w:val="20"/>
                <w:vertAlign w:val="superscript"/>
              </w:rPr>
            </w:pPr>
            <w:r w:rsidRPr="00590F00">
              <w:rPr>
                <w:sz w:val="20"/>
                <w:szCs w:val="20"/>
              </w:rPr>
              <w:t>θ</w:t>
            </w:r>
            <w:r w:rsidRPr="00590F00">
              <w:rPr>
                <w:position w:val="-6"/>
                <w:sz w:val="20"/>
                <w:szCs w:val="20"/>
              </w:rPr>
              <w:t>CL</w:t>
            </w:r>
          </w:p>
        </w:tc>
        <w:tc>
          <w:tcPr>
            <w:tcW w:w="1000" w:type="pct"/>
          </w:tcPr>
          <w:p w14:paraId="4DC35E3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4.17</w:t>
            </w:r>
          </w:p>
        </w:tc>
        <w:tc>
          <w:tcPr>
            <w:tcW w:w="1000" w:type="pct"/>
          </w:tcPr>
          <w:p w14:paraId="5B03770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4.080</w:t>
            </w:r>
          </w:p>
        </w:tc>
        <w:tc>
          <w:tcPr>
            <w:tcW w:w="1000" w:type="pct"/>
          </w:tcPr>
          <w:p w14:paraId="2EF9D66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4.230</w:t>
            </w:r>
          </w:p>
        </w:tc>
        <w:tc>
          <w:tcPr>
            <w:tcW w:w="1000" w:type="pct"/>
            <w:vMerge/>
          </w:tcPr>
          <w:p w14:paraId="41A21FB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3B57E76E"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6184D78B" w14:textId="77777777" w:rsidR="00590F00" w:rsidRPr="00590F00" w:rsidRDefault="00590F00" w:rsidP="00590F00">
            <w:pPr>
              <w:rPr>
                <w:sz w:val="20"/>
                <w:szCs w:val="20"/>
                <w:vertAlign w:val="superscript"/>
              </w:rPr>
            </w:pPr>
            <w:r w:rsidRPr="00590F00">
              <w:rPr>
                <w:sz w:val="20"/>
                <w:szCs w:val="20"/>
              </w:rPr>
              <w:t>θCL-WT</w:t>
            </w:r>
          </w:p>
        </w:tc>
        <w:tc>
          <w:tcPr>
            <w:tcW w:w="1000" w:type="pct"/>
          </w:tcPr>
          <w:p w14:paraId="404DDD5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0.552</w:t>
            </w:r>
          </w:p>
        </w:tc>
        <w:tc>
          <w:tcPr>
            <w:tcW w:w="1000" w:type="pct"/>
          </w:tcPr>
          <w:p w14:paraId="0631376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0.474</w:t>
            </w:r>
          </w:p>
        </w:tc>
        <w:tc>
          <w:tcPr>
            <w:tcW w:w="1000" w:type="pct"/>
          </w:tcPr>
          <w:p w14:paraId="2926903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0.637</w:t>
            </w:r>
          </w:p>
        </w:tc>
        <w:tc>
          <w:tcPr>
            <w:tcW w:w="1000" w:type="pct"/>
            <w:vMerge/>
          </w:tcPr>
          <w:p w14:paraId="4777006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7A4555BF"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365649A4" w14:textId="77777777" w:rsidR="00590F00" w:rsidRPr="00590F00" w:rsidRDefault="00590F00" w:rsidP="00590F00">
            <w:pPr>
              <w:rPr>
                <w:sz w:val="20"/>
                <w:szCs w:val="20"/>
                <w:vertAlign w:val="superscript"/>
              </w:rPr>
            </w:pPr>
            <w:r w:rsidRPr="00590F00">
              <w:rPr>
                <w:sz w:val="20"/>
                <w:szCs w:val="20"/>
              </w:rPr>
              <w:t>θCL-AGE</w:t>
            </w:r>
          </w:p>
        </w:tc>
        <w:tc>
          <w:tcPr>
            <w:tcW w:w="1000" w:type="pct"/>
          </w:tcPr>
          <w:p w14:paraId="2753FAE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-0.200</w:t>
            </w:r>
          </w:p>
        </w:tc>
        <w:tc>
          <w:tcPr>
            <w:tcW w:w="1000" w:type="pct"/>
          </w:tcPr>
          <w:p w14:paraId="5BCC95E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-0.267</w:t>
            </w:r>
          </w:p>
        </w:tc>
        <w:tc>
          <w:tcPr>
            <w:tcW w:w="1000" w:type="pct"/>
          </w:tcPr>
          <w:p w14:paraId="52A09F8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-0.138</w:t>
            </w:r>
          </w:p>
        </w:tc>
        <w:tc>
          <w:tcPr>
            <w:tcW w:w="1000" w:type="pct"/>
            <w:vMerge/>
          </w:tcPr>
          <w:p w14:paraId="7714F69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7610495D" w14:textId="77777777" w:rsidTr="00590F00">
        <w:tc>
          <w:tcPr>
            <w:cnfStyle w:val="001000000000" w:firstRow="0" w:lastRow="0" w:firstColumn="1" w:lastColumn="0" w:oddVBand="0" w:evenVBand="0" w:oddHBand="0" w:evenHBand="0" w:firstRowFirstColumn="0" w:firstRowLastColumn="0" w:lastRowFirstColumn="0" w:lastRowLastColumn="0"/>
            <w:tcW w:w="4000" w:type="pct"/>
            <w:gridSpan w:val="4"/>
          </w:tcPr>
          <w:p w14:paraId="50F77E7E" w14:textId="77777777" w:rsidR="00590F00" w:rsidRPr="00590F00" w:rsidRDefault="00590F00" w:rsidP="00590F00">
            <w:pPr>
              <w:rPr>
                <w:sz w:val="20"/>
                <w:szCs w:val="20"/>
                <w:vertAlign w:val="superscript"/>
              </w:rPr>
            </w:pPr>
            <w:r w:rsidRPr="00590F00">
              <w:rPr>
                <w:sz w:val="20"/>
                <w:szCs w:val="20"/>
              </w:rPr>
              <w:t>V/F (L) = θ</w:t>
            </w:r>
            <w:r w:rsidRPr="00590F00">
              <w:rPr>
                <w:position w:val="-6"/>
                <w:sz w:val="20"/>
                <w:szCs w:val="20"/>
              </w:rPr>
              <w:t>V</w:t>
            </w:r>
            <w:r w:rsidRPr="00590F00">
              <w:rPr>
                <w:sz w:val="20"/>
                <w:szCs w:val="20"/>
              </w:rPr>
              <w:t>× (WT/75)</w:t>
            </w:r>
            <w:r w:rsidRPr="00590F00">
              <w:rPr>
                <w:position w:val="12"/>
                <w:sz w:val="20"/>
                <w:szCs w:val="20"/>
              </w:rPr>
              <w:t>θ</w:t>
            </w:r>
            <w:r w:rsidRPr="00590F00">
              <w:rPr>
                <w:position w:val="8"/>
                <w:sz w:val="20"/>
                <w:szCs w:val="20"/>
                <w:vertAlign w:val="subscript"/>
              </w:rPr>
              <w:t>V-WT</w:t>
            </w:r>
            <w:r w:rsidRPr="00590F00">
              <w:rPr>
                <w:sz w:val="20"/>
                <w:szCs w:val="20"/>
              </w:rPr>
              <w:t xml:space="preserve"> × (θ</w:t>
            </w:r>
            <w:r w:rsidRPr="00590F00">
              <w:rPr>
                <w:position w:val="-6"/>
                <w:sz w:val="20"/>
                <w:szCs w:val="20"/>
                <w:vertAlign w:val="subscript"/>
              </w:rPr>
              <w:t>V-FOOD</w:t>
            </w:r>
            <w:r w:rsidRPr="00590F00">
              <w:rPr>
                <w:sz w:val="20"/>
                <w:szCs w:val="20"/>
              </w:rPr>
              <w:t>)</w:t>
            </w:r>
            <w:r w:rsidRPr="00590F00">
              <w:rPr>
                <w:position w:val="12"/>
                <w:sz w:val="20"/>
                <w:szCs w:val="20"/>
                <w:vertAlign w:val="superscript"/>
              </w:rPr>
              <w:t>FOOD</w:t>
            </w:r>
          </w:p>
        </w:tc>
        <w:tc>
          <w:tcPr>
            <w:tcW w:w="1000" w:type="pct"/>
            <w:vMerge w:val="restart"/>
          </w:tcPr>
          <w:p w14:paraId="41BC763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24.1%</w:t>
            </w:r>
          </w:p>
        </w:tc>
      </w:tr>
      <w:tr w:rsidR="00590F00" w:rsidRPr="00A54C96" w14:paraId="533B4D36"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69DB5AC3" w14:textId="77777777" w:rsidR="00590F00" w:rsidRPr="00590F00" w:rsidRDefault="00590F00" w:rsidP="00590F00">
            <w:pPr>
              <w:rPr>
                <w:sz w:val="20"/>
                <w:szCs w:val="20"/>
                <w:vertAlign w:val="superscript"/>
              </w:rPr>
            </w:pPr>
            <w:r w:rsidRPr="00590F00">
              <w:rPr>
                <w:sz w:val="20"/>
                <w:szCs w:val="20"/>
              </w:rPr>
              <w:t>θ</w:t>
            </w:r>
            <w:r w:rsidRPr="00590F00">
              <w:rPr>
                <w:position w:val="-6"/>
                <w:sz w:val="20"/>
                <w:szCs w:val="20"/>
              </w:rPr>
              <w:t>V</w:t>
            </w:r>
          </w:p>
        </w:tc>
        <w:tc>
          <w:tcPr>
            <w:tcW w:w="1000" w:type="pct"/>
          </w:tcPr>
          <w:p w14:paraId="1F35CCE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2470</w:t>
            </w:r>
          </w:p>
        </w:tc>
        <w:tc>
          <w:tcPr>
            <w:tcW w:w="1000" w:type="pct"/>
          </w:tcPr>
          <w:p w14:paraId="6E034AA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2340</w:t>
            </w:r>
          </w:p>
        </w:tc>
        <w:tc>
          <w:tcPr>
            <w:tcW w:w="1000" w:type="pct"/>
          </w:tcPr>
          <w:p w14:paraId="0F53EF7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2630</w:t>
            </w:r>
          </w:p>
        </w:tc>
        <w:tc>
          <w:tcPr>
            <w:tcW w:w="1000" w:type="pct"/>
            <w:vMerge/>
          </w:tcPr>
          <w:p w14:paraId="2216796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7FD7CB8A"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250DFBB1" w14:textId="77777777" w:rsidR="00590F00" w:rsidRPr="00590F00" w:rsidRDefault="00590F00" w:rsidP="00590F00">
            <w:pPr>
              <w:rPr>
                <w:sz w:val="20"/>
                <w:szCs w:val="20"/>
              </w:rPr>
            </w:pPr>
            <w:r w:rsidRPr="00590F00">
              <w:rPr>
                <w:sz w:val="20"/>
                <w:szCs w:val="20"/>
              </w:rPr>
              <w:t>θV-WT</w:t>
            </w:r>
          </w:p>
        </w:tc>
        <w:tc>
          <w:tcPr>
            <w:tcW w:w="1000" w:type="pct"/>
          </w:tcPr>
          <w:p w14:paraId="247D7E6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0.781</w:t>
            </w:r>
          </w:p>
        </w:tc>
        <w:tc>
          <w:tcPr>
            <w:tcW w:w="1000" w:type="pct"/>
          </w:tcPr>
          <w:p w14:paraId="7D68269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0.652</w:t>
            </w:r>
          </w:p>
        </w:tc>
        <w:tc>
          <w:tcPr>
            <w:tcW w:w="1000" w:type="pct"/>
          </w:tcPr>
          <w:p w14:paraId="1F9D468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0.901</w:t>
            </w:r>
          </w:p>
        </w:tc>
        <w:tc>
          <w:tcPr>
            <w:tcW w:w="1000" w:type="pct"/>
            <w:vMerge/>
          </w:tcPr>
          <w:p w14:paraId="6FA74A3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44373B22"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14A87521" w14:textId="77777777" w:rsidR="00590F00" w:rsidRPr="00590F00" w:rsidRDefault="00590F00" w:rsidP="00590F00">
            <w:pPr>
              <w:rPr>
                <w:sz w:val="20"/>
                <w:szCs w:val="20"/>
              </w:rPr>
            </w:pPr>
            <w:r w:rsidRPr="00590F00">
              <w:rPr>
                <w:sz w:val="20"/>
                <w:szCs w:val="20"/>
              </w:rPr>
              <w:t>θV-FOOD</w:t>
            </w:r>
          </w:p>
        </w:tc>
        <w:tc>
          <w:tcPr>
            <w:tcW w:w="1000" w:type="pct"/>
          </w:tcPr>
          <w:p w14:paraId="1DA2408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0.822</w:t>
            </w:r>
          </w:p>
        </w:tc>
        <w:tc>
          <w:tcPr>
            <w:tcW w:w="1000" w:type="pct"/>
          </w:tcPr>
          <w:p w14:paraId="7492C7E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0.761</w:t>
            </w:r>
          </w:p>
        </w:tc>
        <w:tc>
          <w:tcPr>
            <w:tcW w:w="1000" w:type="pct"/>
          </w:tcPr>
          <w:p w14:paraId="3E0B8D4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0.861</w:t>
            </w:r>
          </w:p>
        </w:tc>
        <w:tc>
          <w:tcPr>
            <w:tcW w:w="1000" w:type="pct"/>
          </w:tcPr>
          <w:p w14:paraId="5C36FA9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p>
        </w:tc>
      </w:tr>
      <w:tr w:rsidR="00590F00" w:rsidRPr="00A54C96" w14:paraId="59731B98"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15E45282" w14:textId="77777777" w:rsidR="00590F00" w:rsidRPr="00590F00" w:rsidRDefault="00590F00" w:rsidP="00590F00">
            <w:pPr>
              <w:rPr>
                <w:sz w:val="20"/>
                <w:szCs w:val="20"/>
              </w:rPr>
            </w:pPr>
            <w:r w:rsidRPr="00590F00">
              <w:rPr>
                <w:sz w:val="20"/>
                <w:szCs w:val="20"/>
              </w:rPr>
              <w:t>k</w:t>
            </w:r>
            <w:r w:rsidRPr="00590F00">
              <w:rPr>
                <w:sz w:val="20"/>
                <w:szCs w:val="20"/>
                <w:vertAlign w:val="subscript"/>
              </w:rPr>
              <w:t>a</w:t>
            </w:r>
            <w:r w:rsidRPr="00590F00">
              <w:rPr>
                <w:sz w:val="20"/>
                <w:szCs w:val="20"/>
              </w:rPr>
              <w:t xml:space="preserve"> (1/h)</w:t>
            </w:r>
          </w:p>
        </w:tc>
        <w:tc>
          <w:tcPr>
            <w:tcW w:w="1000" w:type="pct"/>
          </w:tcPr>
          <w:p w14:paraId="733DFFD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0.359</w:t>
            </w:r>
          </w:p>
        </w:tc>
        <w:tc>
          <w:tcPr>
            <w:tcW w:w="1000" w:type="pct"/>
          </w:tcPr>
          <w:p w14:paraId="2C8BF6C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0.321</w:t>
            </w:r>
          </w:p>
        </w:tc>
        <w:tc>
          <w:tcPr>
            <w:tcW w:w="1000" w:type="pct"/>
          </w:tcPr>
          <w:p w14:paraId="108701E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0.384</w:t>
            </w:r>
          </w:p>
        </w:tc>
        <w:tc>
          <w:tcPr>
            <w:tcW w:w="1000" w:type="pct"/>
          </w:tcPr>
          <w:p w14:paraId="26605A4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590F00">
              <w:rPr>
                <w:sz w:val="20"/>
                <w:szCs w:val="20"/>
              </w:rPr>
              <w:t>54.1%</w:t>
            </w:r>
          </w:p>
        </w:tc>
      </w:tr>
      <w:tr w:rsidR="00590F00" w:rsidRPr="00A54C96" w14:paraId="6F6C1631"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2FF687F6"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CL</w:t>
            </w:r>
          </w:p>
        </w:tc>
        <w:tc>
          <w:tcPr>
            <w:tcW w:w="1000" w:type="pct"/>
          </w:tcPr>
          <w:p w14:paraId="1FCAB7D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0.0555</w:t>
            </w:r>
          </w:p>
        </w:tc>
        <w:tc>
          <w:tcPr>
            <w:tcW w:w="1000" w:type="pct"/>
          </w:tcPr>
          <w:p w14:paraId="3EFC8EC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0.0462</w:t>
            </w:r>
          </w:p>
        </w:tc>
        <w:tc>
          <w:tcPr>
            <w:tcW w:w="1000" w:type="pct"/>
          </w:tcPr>
          <w:p w14:paraId="79FE149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0.0618</w:t>
            </w:r>
          </w:p>
        </w:tc>
        <w:tc>
          <w:tcPr>
            <w:tcW w:w="1000" w:type="pct"/>
          </w:tcPr>
          <w:p w14:paraId="236832A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715A75C6"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209C5ABA" w14:textId="77777777" w:rsidR="00590F00" w:rsidRPr="00590F00" w:rsidRDefault="00590F00" w:rsidP="00590F00">
            <w:pPr>
              <w:rPr>
                <w:sz w:val="20"/>
                <w:szCs w:val="20"/>
              </w:rPr>
            </w:pPr>
            <w:r w:rsidRPr="00590F00">
              <w:rPr>
                <w:sz w:val="20"/>
                <w:szCs w:val="20"/>
              </w:rPr>
              <w:t>COV</w:t>
            </w:r>
            <w:r w:rsidRPr="00590F00">
              <w:rPr>
                <w:position w:val="-6"/>
                <w:sz w:val="20"/>
                <w:szCs w:val="20"/>
              </w:rPr>
              <w:t>CL,V</w:t>
            </w:r>
          </w:p>
        </w:tc>
        <w:tc>
          <w:tcPr>
            <w:tcW w:w="1000" w:type="pct"/>
          </w:tcPr>
          <w:p w14:paraId="29514E0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0.0289</w:t>
            </w:r>
          </w:p>
        </w:tc>
        <w:tc>
          <w:tcPr>
            <w:tcW w:w="1000" w:type="pct"/>
          </w:tcPr>
          <w:p w14:paraId="2F2B9F8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0.0186</w:t>
            </w:r>
          </w:p>
        </w:tc>
        <w:tc>
          <w:tcPr>
            <w:tcW w:w="1000" w:type="pct"/>
          </w:tcPr>
          <w:p w14:paraId="3793422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0.0315</w:t>
            </w:r>
          </w:p>
        </w:tc>
        <w:tc>
          <w:tcPr>
            <w:tcW w:w="1000" w:type="pct"/>
          </w:tcPr>
          <w:p w14:paraId="275E8D2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73F9481A"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36650DE3"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V</w:t>
            </w:r>
          </w:p>
        </w:tc>
        <w:tc>
          <w:tcPr>
            <w:tcW w:w="1000" w:type="pct"/>
          </w:tcPr>
          <w:p w14:paraId="5DD2991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0.0583</w:t>
            </w:r>
          </w:p>
        </w:tc>
        <w:tc>
          <w:tcPr>
            <w:tcW w:w="1000" w:type="pct"/>
          </w:tcPr>
          <w:p w14:paraId="734859E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0.0444</w:t>
            </w:r>
          </w:p>
        </w:tc>
        <w:tc>
          <w:tcPr>
            <w:tcW w:w="1000" w:type="pct"/>
          </w:tcPr>
          <w:p w14:paraId="39ADDC7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0.0606</w:t>
            </w:r>
          </w:p>
        </w:tc>
        <w:tc>
          <w:tcPr>
            <w:tcW w:w="1000" w:type="pct"/>
          </w:tcPr>
          <w:p w14:paraId="5DF0A51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54734044"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3D4FFFDC" w14:textId="77777777" w:rsidR="00590F00" w:rsidRPr="00590F00" w:rsidRDefault="00590F00" w:rsidP="00590F00">
            <w:pPr>
              <w:rPr>
                <w:sz w:val="20"/>
                <w:szCs w:val="20"/>
              </w:rPr>
            </w:pPr>
            <w:r w:rsidRPr="00590F00">
              <w:rPr>
                <w:sz w:val="20"/>
                <w:szCs w:val="20"/>
              </w:rPr>
              <w:sym w:font="Symbol" w:char="F077"/>
            </w:r>
            <w:r w:rsidRPr="00590F00">
              <w:rPr>
                <w:sz w:val="20"/>
                <w:szCs w:val="20"/>
                <w:vertAlign w:val="superscript"/>
              </w:rPr>
              <w:t>2</w:t>
            </w:r>
            <w:r w:rsidRPr="00590F00">
              <w:rPr>
                <w:position w:val="-6"/>
                <w:sz w:val="20"/>
                <w:szCs w:val="20"/>
              </w:rPr>
              <w:t>k</w:t>
            </w:r>
            <w:r w:rsidRPr="00590F00">
              <w:rPr>
                <w:position w:val="-6"/>
                <w:sz w:val="20"/>
                <w:szCs w:val="20"/>
                <w:vertAlign w:val="subscript"/>
              </w:rPr>
              <w:t>a</w:t>
            </w:r>
          </w:p>
        </w:tc>
        <w:tc>
          <w:tcPr>
            <w:tcW w:w="1000" w:type="pct"/>
          </w:tcPr>
          <w:p w14:paraId="411782D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0.293</w:t>
            </w:r>
          </w:p>
        </w:tc>
        <w:tc>
          <w:tcPr>
            <w:tcW w:w="1000" w:type="pct"/>
          </w:tcPr>
          <w:p w14:paraId="3E03963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0.203</w:t>
            </w:r>
          </w:p>
        </w:tc>
        <w:tc>
          <w:tcPr>
            <w:tcW w:w="1000" w:type="pct"/>
          </w:tcPr>
          <w:p w14:paraId="2AA5F46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0.378</w:t>
            </w:r>
          </w:p>
        </w:tc>
        <w:tc>
          <w:tcPr>
            <w:tcW w:w="1000" w:type="pct"/>
          </w:tcPr>
          <w:p w14:paraId="3B9EC18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r w:rsidR="00590F00" w:rsidRPr="00A54C96" w14:paraId="5594A4F8" w14:textId="77777777" w:rsidTr="00590F00">
        <w:tc>
          <w:tcPr>
            <w:cnfStyle w:val="001000000000" w:firstRow="0" w:lastRow="0" w:firstColumn="1" w:lastColumn="0" w:oddVBand="0" w:evenVBand="0" w:oddHBand="0" w:evenHBand="0" w:firstRowFirstColumn="0" w:firstRowLastColumn="0" w:lastRowFirstColumn="0" w:lastRowLastColumn="0"/>
            <w:tcW w:w="1000" w:type="pct"/>
          </w:tcPr>
          <w:p w14:paraId="647563F1" w14:textId="77777777" w:rsidR="00590F00" w:rsidRPr="00590F00" w:rsidRDefault="00590F00" w:rsidP="00590F00">
            <w:pPr>
              <w:rPr>
                <w:sz w:val="20"/>
                <w:szCs w:val="20"/>
              </w:rPr>
            </w:pPr>
            <w:r w:rsidRPr="00590F00">
              <w:rPr>
                <w:sz w:val="20"/>
                <w:szCs w:val="20"/>
              </w:rPr>
              <w:sym w:font="Symbol" w:char="F073"/>
            </w:r>
            <w:r w:rsidRPr="00590F00">
              <w:rPr>
                <w:sz w:val="20"/>
                <w:szCs w:val="20"/>
                <w:vertAlign w:val="superscript"/>
              </w:rPr>
              <w:t>2</w:t>
            </w:r>
          </w:p>
        </w:tc>
        <w:tc>
          <w:tcPr>
            <w:tcW w:w="1000" w:type="pct"/>
          </w:tcPr>
          <w:p w14:paraId="0687FC5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0.0488</w:t>
            </w:r>
          </w:p>
        </w:tc>
        <w:tc>
          <w:tcPr>
            <w:tcW w:w="1000" w:type="pct"/>
          </w:tcPr>
          <w:p w14:paraId="29E7EBF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0.0436</w:t>
            </w:r>
          </w:p>
        </w:tc>
        <w:tc>
          <w:tcPr>
            <w:tcW w:w="1000" w:type="pct"/>
          </w:tcPr>
          <w:p w14:paraId="41537D0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0.0553</w:t>
            </w:r>
          </w:p>
        </w:tc>
        <w:tc>
          <w:tcPr>
            <w:tcW w:w="1000" w:type="pct"/>
          </w:tcPr>
          <w:p w14:paraId="3AF1494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p>
        </w:tc>
      </w:tr>
    </w:tbl>
    <w:p w14:paraId="4289B42E" w14:textId="77777777" w:rsidR="00590F00" w:rsidRPr="00323C18" w:rsidRDefault="00774249" w:rsidP="00590F00">
      <w:pPr>
        <w:pStyle w:val="TableDescription"/>
      </w:pPr>
      <w:r>
        <w:lastRenderedPageBreak/>
        <w:t>*</w:t>
      </w:r>
      <w:r w:rsidR="00590F00" w:rsidRPr="00323C18">
        <w:t xml:space="preserve">The magnitude of inter-individual variability was presented as the coefficient of variation.CI, confidence interval; COV, covariance; </w:t>
      </w:r>
      <w:r w:rsidR="00590F00" w:rsidRPr="00323C18">
        <w:sym w:font="Symbol" w:char="F077"/>
      </w:r>
      <w:r w:rsidR="00590F00" w:rsidRPr="00323C18">
        <w:rPr>
          <w:vertAlign w:val="superscript"/>
        </w:rPr>
        <w:t>2</w:t>
      </w:r>
      <w:r w:rsidR="00590F00" w:rsidRPr="00323C18">
        <w:t>: variance of the inter-individual random effect; δ</w:t>
      </w:r>
      <w:r w:rsidR="00590F00" w:rsidRPr="00323C18">
        <w:rPr>
          <w:vertAlign w:val="superscript"/>
        </w:rPr>
        <w:t>2</w:t>
      </w:r>
      <w:r w:rsidR="00590F00" w:rsidRPr="00323C18">
        <w:t>: variance of the proportional residual random effect. CL = clearance, V=volume, K</w:t>
      </w:r>
      <w:r w:rsidR="00590F00" w:rsidRPr="00323C18">
        <w:rPr>
          <w:vertAlign w:val="subscript"/>
        </w:rPr>
        <w:t>a</w:t>
      </w:r>
      <w:r w:rsidR="00590F00" w:rsidRPr="00323C18">
        <w:t xml:space="preserve"> = first order absorption rate. NOTE: Final estimate and inter-individual variability were from NONMEM estimates. FOOD = 0 for fasted and 1 for fed. </w:t>
      </w:r>
    </w:p>
    <w:p w14:paraId="37D22CBE" w14:textId="2B81F8C8" w:rsidR="00590F00" w:rsidRPr="00B9231E" w:rsidRDefault="00590F00" w:rsidP="00590F00">
      <w:pPr>
        <w:pStyle w:val="Tabletitle"/>
      </w:pPr>
      <w:bookmarkStart w:id="188" w:name="_Toc476549710"/>
      <w:bookmarkStart w:id="189" w:name="_Toc504229436"/>
      <w:bookmarkStart w:id="190" w:name="_Toc501293684"/>
      <w:r>
        <w:t xml:space="preserve">Table </w:t>
      </w:r>
      <w:r w:rsidR="008D769C">
        <w:t>13:</w:t>
      </w:r>
      <w:r w:rsidRPr="00B9231E">
        <w:t xml:space="preserve"> </w:t>
      </w:r>
      <w:r w:rsidRPr="00590F00">
        <w:t>Summary</w:t>
      </w:r>
      <w:r w:rsidRPr="00B9231E">
        <w:t xml:space="preserve"> of </w:t>
      </w:r>
      <w:r w:rsidR="00FD4397">
        <w:t>s</w:t>
      </w:r>
      <w:r w:rsidR="00FD4397" w:rsidRPr="00B9231E">
        <w:t xml:space="preserve">tatistical </w:t>
      </w:r>
      <w:r w:rsidR="00FD4397">
        <w:t>a</w:t>
      </w:r>
      <w:r w:rsidR="00FD4397" w:rsidRPr="00B9231E">
        <w:t xml:space="preserve">nalysis </w:t>
      </w:r>
      <w:r w:rsidRPr="00B9231E">
        <w:t xml:space="preserve">of </w:t>
      </w:r>
      <w:proofErr w:type="gramStart"/>
      <w:r w:rsidRPr="00B9231E">
        <w:t>AUC</w:t>
      </w:r>
      <w:r w:rsidRPr="00B9231E">
        <w:rPr>
          <w:vertAlign w:val="subscript"/>
        </w:rPr>
        <w:t>(</w:t>
      </w:r>
      <w:proofErr w:type="gramEnd"/>
      <w:r w:rsidRPr="00B9231E">
        <w:rPr>
          <w:vertAlign w:val="subscript"/>
        </w:rPr>
        <w:t>0</w:t>
      </w:r>
      <w:r w:rsidR="00B319AC">
        <w:rPr>
          <w:vertAlign w:val="subscript"/>
        </w:rPr>
        <w:t>–</w:t>
      </w:r>
      <w:r w:rsidRPr="00B9231E">
        <w:rPr>
          <w:vertAlign w:val="subscript"/>
        </w:rPr>
        <w:t>inf)</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00FD4397">
        <w:t>a</w:t>
      </w:r>
      <w:r w:rsidR="00FD4397" w:rsidRPr="00B9231E">
        <w:t xml:space="preserve">lone </w:t>
      </w:r>
      <w:r w:rsidRPr="00B9231E">
        <w:t xml:space="preserve">and with/after </w:t>
      </w:r>
      <w:bookmarkEnd w:id="188"/>
      <w:bookmarkEnd w:id="189"/>
      <w:bookmarkEnd w:id="190"/>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671"/>
        <w:gridCol w:w="1046"/>
        <w:gridCol w:w="1923"/>
        <w:gridCol w:w="1701"/>
      </w:tblGrid>
      <w:tr w:rsidR="00590F00" w:rsidRPr="00A54C96" w14:paraId="70F0CD67"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6" w:type="pct"/>
          </w:tcPr>
          <w:p w14:paraId="150B3B4F" w14:textId="77777777" w:rsidR="00590F00" w:rsidRPr="00590F00" w:rsidRDefault="00590F00" w:rsidP="00590F00">
            <w:pPr>
              <w:rPr>
                <w:sz w:val="20"/>
                <w:szCs w:val="20"/>
              </w:rPr>
            </w:pPr>
            <w:r w:rsidRPr="00590F00">
              <w:rPr>
                <w:sz w:val="20"/>
                <w:szCs w:val="20"/>
              </w:rPr>
              <w:t>Drug</w:t>
            </w:r>
          </w:p>
        </w:tc>
        <w:tc>
          <w:tcPr>
            <w:tcW w:w="608" w:type="pct"/>
          </w:tcPr>
          <w:p w14:paraId="6AEF07B5"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CYP</w:t>
            </w:r>
          </w:p>
        </w:tc>
        <w:tc>
          <w:tcPr>
            <w:tcW w:w="843" w:type="pct"/>
          </w:tcPr>
          <w:p w14:paraId="6F07ABED"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Comparison</w:t>
            </w:r>
          </w:p>
        </w:tc>
        <w:tc>
          <w:tcPr>
            <w:tcW w:w="599" w:type="pct"/>
          </w:tcPr>
          <w:p w14:paraId="145BA8FF"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Ratio</w:t>
            </w:r>
          </w:p>
        </w:tc>
        <w:tc>
          <w:tcPr>
            <w:tcW w:w="1152" w:type="pct"/>
          </w:tcPr>
          <w:p w14:paraId="1B6F08E5" w14:textId="77777777" w:rsidR="00590F00" w:rsidRPr="00590F00" w:rsidRDefault="00590F00" w:rsidP="00774249">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90% CI</w:t>
            </w:r>
            <w:r w:rsidR="00774249">
              <w:rPr>
                <w:sz w:val="20"/>
                <w:szCs w:val="20"/>
              </w:rPr>
              <w:t>*</w:t>
            </w:r>
          </w:p>
        </w:tc>
        <w:tc>
          <w:tcPr>
            <w:tcW w:w="992" w:type="pct"/>
          </w:tcPr>
          <w:p w14:paraId="0DB4ECE5"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CV% (within)</w:t>
            </w:r>
          </w:p>
        </w:tc>
      </w:tr>
      <w:tr w:rsidR="00590F00" w:rsidRPr="00A54C96" w14:paraId="7A0D955C" w14:textId="77777777" w:rsidTr="00590F00">
        <w:tc>
          <w:tcPr>
            <w:cnfStyle w:val="001000000000" w:firstRow="0" w:lastRow="0" w:firstColumn="1" w:lastColumn="0" w:oddVBand="0" w:evenVBand="0" w:oddHBand="0" w:evenHBand="0" w:firstRowFirstColumn="0" w:firstRowLastColumn="0" w:lastRowFirstColumn="0" w:lastRowLastColumn="0"/>
            <w:tcW w:w="806" w:type="pct"/>
          </w:tcPr>
          <w:p w14:paraId="6104DBCE" w14:textId="77777777" w:rsidR="00590F00" w:rsidRPr="00590F00" w:rsidRDefault="00590F00" w:rsidP="00590F00">
            <w:pPr>
              <w:rPr>
                <w:sz w:val="20"/>
                <w:szCs w:val="20"/>
              </w:rPr>
            </w:pPr>
            <w:r w:rsidRPr="00590F00">
              <w:rPr>
                <w:sz w:val="20"/>
                <w:szCs w:val="20"/>
              </w:rPr>
              <w:t>Desipramine</w:t>
            </w:r>
          </w:p>
        </w:tc>
        <w:tc>
          <w:tcPr>
            <w:tcW w:w="608" w:type="pct"/>
          </w:tcPr>
          <w:p w14:paraId="1271638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CYP2D6</w:t>
            </w:r>
          </w:p>
        </w:tc>
        <w:tc>
          <w:tcPr>
            <w:tcW w:w="843" w:type="pct"/>
          </w:tcPr>
          <w:p w14:paraId="2304D96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C:A</w:t>
            </w:r>
          </w:p>
        </w:tc>
        <w:tc>
          <w:tcPr>
            <w:tcW w:w="599" w:type="pct"/>
          </w:tcPr>
          <w:p w14:paraId="0C156C0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0.94</w:t>
            </w:r>
          </w:p>
        </w:tc>
        <w:tc>
          <w:tcPr>
            <w:tcW w:w="1152" w:type="pct"/>
          </w:tcPr>
          <w:p w14:paraId="2CDE5569" w14:textId="77777777" w:rsidR="00590F00" w:rsidRPr="00590F00" w:rsidRDefault="00590F00" w:rsidP="00774249">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(0.89, 1.00)</w:t>
            </w:r>
            <w:r w:rsidR="00774249">
              <w:rPr>
                <w:sz w:val="20"/>
                <w:szCs w:val="20"/>
              </w:rPr>
              <w:t>**</w:t>
            </w:r>
          </w:p>
        </w:tc>
        <w:tc>
          <w:tcPr>
            <w:tcW w:w="992" w:type="pct"/>
          </w:tcPr>
          <w:p w14:paraId="687F633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11.7</w:t>
            </w:r>
          </w:p>
        </w:tc>
      </w:tr>
      <w:tr w:rsidR="00590F00" w:rsidRPr="00A54C96" w14:paraId="46BBA8C3" w14:textId="77777777" w:rsidTr="00590F00">
        <w:tc>
          <w:tcPr>
            <w:cnfStyle w:val="001000000000" w:firstRow="0" w:lastRow="0" w:firstColumn="1" w:lastColumn="0" w:oddVBand="0" w:evenVBand="0" w:oddHBand="0" w:evenHBand="0" w:firstRowFirstColumn="0" w:firstRowLastColumn="0" w:lastRowFirstColumn="0" w:lastRowLastColumn="0"/>
            <w:tcW w:w="806" w:type="pct"/>
          </w:tcPr>
          <w:p w14:paraId="7627D198" w14:textId="77777777" w:rsidR="00590F00" w:rsidRPr="00590F00" w:rsidRDefault="00590F00" w:rsidP="00590F00">
            <w:pPr>
              <w:rPr>
                <w:sz w:val="20"/>
                <w:szCs w:val="20"/>
              </w:rPr>
            </w:pPr>
            <w:r w:rsidRPr="00590F00">
              <w:rPr>
                <w:sz w:val="20"/>
                <w:szCs w:val="20"/>
              </w:rPr>
              <w:t>Midazolam</w:t>
            </w:r>
          </w:p>
        </w:tc>
        <w:tc>
          <w:tcPr>
            <w:tcW w:w="608" w:type="pct"/>
          </w:tcPr>
          <w:p w14:paraId="70A0B91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CYP3A4</w:t>
            </w:r>
          </w:p>
        </w:tc>
        <w:tc>
          <w:tcPr>
            <w:tcW w:w="843" w:type="pct"/>
          </w:tcPr>
          <w:p w14:paraId="60E89CF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B2: A1</w:t>
            </w:r>
          </w:p>
        </w:tc>
        <w:tc>
          <w:tcPr>
            <w:tcW w:w="599" w:type="pct"/>
          </w:tcPr>
          <w:p w14:paraId="56DA76D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0.88</w:t>
            </w:r>
          </w:p>
        </w:tc>
        <w:tc>
          <w:tcPr>
            <w:tcW w:w="1152" w:type="pct"/>
          </w:tcPr>
          <w:p w14:paraId="160DD80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(0.83, 0.94)</w:t>
            </w:r>
          </w:p>
        </w:tc>
        <w:tc>
          <w:tcPr>
            <w:tcW w:w="992" w:type="pct"/>
          </w:tcPr>
          <w:p w14:paraId="2C25F1D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12.1</w:t>
            </w:r>
          </w:p>
        </w:tc>
      </w:tr>
      <w:tr w:rsidR="00590F00" w:rsidRPr="00A54C96" w14:paraId="3166622F" w14:textId="77777777" w:rsidTr="00590F00">
        <w:tc>
          <w:tcPr>
            <w:cnfStyle w:val="001000000000" w:firstRow="0" w:lastRow="0" w:firstColumn="1" w:lastColumn="0" w:oddVBand="0" w:evenVBand="0" w:oddHBand="0" w:evenHBand="0" w:firstRowFirstColumn="0" w:firstRowLastColumn="0" w:lastRowFirstColumn="0" w:lastRowLastColumn="0"/>
            <w:tcW w:w="806" w:type="pct"/>
          </w:tcPr>
          <w:p w14:paraId="28460AA5" w14:textId="77777777" w:rsidR="00590F00" w:rsidRPr="00590F00" w:rsidRDefault="00590F00" w:rsidP="00590F00">
            <w:pPr>
              <w:rPr>
                <w:sz w:val="20"/>
                <w:szCs w:val="20"/>
              </w:rPr>
            </w:pPr>
            <w:r w:rsidRPr="00590F00">
              <w:rPr>
                <w:sz w:val="20"/>
                <w:szCs w:val="20"/>
              </w:rPr>
              <w:t>Flurbiprofen</w:t>
            </w:r>
          </w:p>
        </w:tc>
        <w:tc>
          <w:tcPr>
            <w:tcW w:w="608" w:type="pct"/>
          </w:tcPr>
          <w:p w14:paraId="2213329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CYP2C9</w:t>
            </w:r>
          </w:p>
        </w:tc>
        <w:tc>
          <w:tcPr>
            <w:tcW w:w="843" w:type="pct"/>
          </w:tcPr>
          <w:p w14:paraId="558770E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 : A2</w:t>
            </w:r>
          </w:p>
        </w:tc>
        <w:tc>
          <w:tcPr>
            <w:tcW w:w="599" w:type="pct"/>
          </w:tcPr>
          <w:p w14:paraId="4802A59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1.13</w:t>
            </w:r>
          </w:p>
        </w:tc>
        <w:tc>
          <w:tcPr>
            <w:tcW w:w="1152" w:type="pct"/>
          </w:tcPr>
          <w:p w14:paraId="28980FC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(1.09, 1.16)</w:t>
            </w:r>
          </w:p>
        </w:tc>
        <w:tc>
          <w:tcPr>
            <w:tcW w:w="992" w:type="pct"/>
          </w:tcPr>
          <w:p w14:paraId="6CA2821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6.7</w:t>
            </w:r>
          </w:p>
        </w:tc>
      </w:tr>
      <w:tr w:rsidR="00590F00" w:rsidRPr="00A54C96" w14:paraId="2D8993E5" w14:textId="77777777" w:rsidTr="00590F00">
        <w:tc>
          <w:tcPr>
            <w:cnfStyle w:val="001000000000" w:firstRow="0" w:lastRow="0" w:firstColumn="1" w:lastColumn="0" w:oddVBand="0" w:evenVBand="0" w:oddHBand="0" w:evenHBand="0" w:firstRowFirstColumn="0" w:firstRowLastColumn="0" w:lastRowFirstColumn="0" w:lastRowLastColumn="0"/>
            <w:tcW w:w="806" w:type="pct"/>
          </w:tcPr>
          <w:p w14:paraId="3FD18236" w14:textId="77777777" w:rsidR="00590F00" w:rsidRPr="00590F00" w:rsidRDefault="00590F00" w:rsidP="00590F00">
            <w:pPr>
              <w:rPr>
                <w:sz w:val="20"/>
                <w:szCs w:val="20"/>
              </w:rPr>
            </w:pPr>
            <w:r w:rsidRPr="00590F00">
              <w:rPr>
                <w:sz w:val="20"/>
                <w:szCs w:val="20"/>
              </w:rPr>
              <w:t>Caffeine</w:t>
            </w:r>
          </w:p>
        </w:tc>
        <w:tc>
          <w:tcPr>
            <w:tcW w:w="608" w:type="pct"/>
          </w:tcPr>
          <w:p w14:paraId="637D22F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CYP1A2</w:t>
            </w:r>
          </w:p>
        </w:tc>
        <w:tc>
          <w:tcPr>
            <w:tcW w:w="843" w:type="pct"/>
          </w:tcPr>
          <w:p w14:paraId="52B427C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 : A2</w:t>
            </w:r>
          </w:p>
        </w:tc>
        <w:tc>
          <w:tcPr>
            <w:tcW w:w="599" w:type="pct"/>
          </w:tcPr>
          <w:p w14:paraId="64674F1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1.01</w:t>
            </w:r>
          </w:p>
        </w:tc>
        <w:tc>
          <w:tcPr>
            <w:tcW w:w="1152" w:type="pct"/>
          </w:tcPr>
          <w:p w14:paraId="6A5215F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(0.98, 1.05)</w:t>
            </w:r>
          </w:p>
        </w:tc>
        <w:tc>
          <w:tcPr>
            <w:tcW w:w="992" w:type="pct"/>
          </w:tcPr>
          <w:p w14:paraId="6A21CB8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7.4</w:t>
            </w:r>
          </w:p>
        </w:tc>
      </w:tr>
    </w:tbl>
    <w:p w14:paraId="11FB8539" w14:textId="6847FAFE" w:rsidR="00590F00" w:rsidRPr="00A54C96" w:rsidRDefault="00774249" w:rsidP="00590F00">
      <w:pPr>
        <w:pStyle w:val="TableDescription"/>
      </w:pPr>
      <w:r>
        <w:t>*</w:t>
      </w:r>
      <w:r w:rsidR="00590F00" w:rsidRPr="00A54C96">
        <w:t>Adjusted 90% confidence interval (to account for the interim analysis).</w:t>
      </w:r>
      <w:r w:rsidR="00590F00">
        <w:t xml:space="preserve"> </w:t>
      </w:r>
      <w:r>
        <w:t>**</w:t>
      </w:r>
      <w:r w:rsidR="00590F00" w:rsidRPr="00A54C96">
        <w:t>Confidence interval 0.999 is rounded to 1.00. A, Desipramine alone; A1, Midazolam 5 mg; A2, Flurbiprofen 50 mg + caffeine 200 mg; B2, Midozolam 5 mg + tafenoquine 400 mg; B3, Flurbiprofen 50 mg + Caffeine 200 mg (post administration of tafenoquine 400 mg); C, Desipramine + tafenoquine. CI</w:t>
      </w:r>
      <w:r w:rsidR="00B319AC">
        <w:t>:</w:t>
      </w:r>
      <w:r w:rsidR="00590F00" w:rsidRPr="00A54C96">
        <w:t xml:space="preserve"> confidence interval; CV</w:t>
      </w:r>
      <w:r w:rsidR="00B319AC">
        <w:t>:</w:t>
      </w:r>
      <w:r w:rsidR="00590F00" w:rsidRPr="00A54C96">
        <w:t xml:space="preserve"> coefficient of variation; ND</w:t>
      </w:r>
      <w:r w:rsidR="00B319AC">
        <w:t>:</w:t>
      </w:r>
      <w:r w:rsidR="00590F00" w:rsidRPr="00A54C96">
        <w:t xml:space="preserve"> not determined.</w:t>
      </w:r>
    </w:p>
    <w:p w14:paraId="793284B1" w14:textId="20C485BF" w:rsidR="00590F00" w:rsidRPr="00B9231E" w:rsidRDefault="00590F00" w:rsidP="00590F00">
      <w:pPr>
        <w:pStyle w:val="Tabletitle"/>
      </w:pPr>
      <w:bookmarkStart w:id="191" w:name="_Toc476549711"/>
      <w:bookmarkStart w:id="192" w:name="_Toc504229437"/>
      <w:bookmarkStart w:id="193" w:name="_Toc501293685"/>
      <w:r>
        <w:t xml:space="preserve">Table </w:t>
      </w:r>
      <w:r w:rsidR="008D769C">
        <w:t>14:</w:t>
      </w:r>
      <w:r>
        <w:t xml:space="preserve"> </w:t>
      </w:r>
      <w:r w:rsidRPr="00B9231E">
        <w:t xml:space="preserve">Summary of </w:t>
      </w:r>
      <w:r w:rsidR="00FD4397">
        <w:t>s</w:t>
      </w:r>
      <w:r w:rsidR="00FD4397" w:rsidRPr="00B9231E">
        <w:t xml:space="preserve">tatistical </w:t>
      </w:r>
      <w:r w:rsidR="00FD4397">
        <w:t>a</w:t>
      </w:r>
      <w:r w:rsidR="00FD4397" w:rsidRPr="00B9231E">
        <w:t xml:space="preserve">nalysis </w:t>
      </w:r>
      <w:r w:rsidRPr="00B9231E">
        <w:t>of C</w:t>
      </w:r>
      <w:r w:rsidRPr="00283520">
        <w:rPr>
          <w:vertAlign w:val="subscript"/>
        </w:rPr>
        <w:t>max</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00FD4397">
        <w:t>a</w:t>
      </w:r>
      <w:r w:rsidR="00FD4397" w:rsidRPr="00B9231E">
        <w:t xml:space="preserve">lone </w:t>
      </w:r>
      <w:r w:rsidRPr="00B9231E">
        <w:t xml:space="preserve">and with/after </w:t>
      </w:r>
      <w:bookmarkEnd w:id="191"/>
      <w:bookmarkEnd w:id="192"/>
      <w:bookmarkEnd w:id="193"/>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671"/>
        <w:gridCol w:w="1046"/>
        <w:gridCol w:w="1924"/>
        <w:gridCol w:w="1700"/>
      </w:tblGrid>
      <w:tr w:rsidR="00590F00" w:rsidRPr="00590F00" w14:paraId="07FF61D8"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1" w:type="pct"/>
          </w:tcPr>
          <w:p w14:paraId="221961DB" w14:textId="77777777" w:rsidR="00590F00" w:rsidRPr="00590F00" w:rsidRDefault="00590F00" w:rsidP="00590F00">
            <w:pPr>
              <w:rPr>
                <w:sz w:val="20"/>
                <w:szCs w:val="20"/>
              </w:rPr>
            </w:pPr>
            <w:r w:rsidRPr="00590F00">
              <w:rPr>
                <w:sz w:val="20"/>
                <w:szCs w:val="20"/>
              </w:rPr>
              <w:t>Drug</w:t>
            </w:r>
            <w:bookmarkStart w:id="194" w:name="_TNC55C52A34264648F6899FCB0635F2547E"/>
            <w:r w:rsidRPr="00590F00">
              <w:rPr>
                <w:rStyle w:val="C-TableCallout"/>
                <w:sz w:val="20"/>
                <w:szCs w:val="20"/>
              </w:rPr>
              <w:fldChar w:fldCharType="begin"/>
            </w:r>
            <w:r w:rsidRPr="00590F00">
              <w:rPr>
                <w:rStyle w:val="C-TableCallout"/>
                <w:b w:val="0"/>
                <w:sz w:val="20"/>
                <w:szCs w:val="20"/>
              </w:rPr>
              <w:instrText xml:space="preserve"> LISTNUM TableNoteAlpha \* MERGEFORMAT \s1</w:instrText>
            </w:r>
            <w:r w:rsidRPr="00590F00">
              <w:rPr>
                <w:rStyle w:val="C-TableCallout"/>
                <w:sz w:val="20"/>
                <w:szCs w:val="20"/>
              </w:rPr>
              <w:fldChar w:fldCharType="end">
                <w:numberingChange w:id="195" w:author="Mark Reid" w:date="2018-10-18T09:18:00Z" w:original="(i)"/>
              </w:fldChar>
            </w:r>
            <w:bookmarkEnd w:id="194"/>
          </w:p>
        </w:tc>
        <w:tc>
          <w:tcPr>
            <w:tcW w:w="608" w:type="pct"/>
          </w:tcPr>
          <w:p w14:paraId="42CBC33C"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CYP</w:t>
            </w:r>
          </w:p>
        </w:tc>
        <w:tc>
          <w:tcPr>
            <w:tcW w:w="845" w:type="pct"/>
          </w:tcPr>
          <w:p w14:paraId="1E0DA2E0"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Comparison</w:t>
            </w:r>
          </w:p>
        </w:tc>
        <w:tc>
          <w:tcPr>
            <w:tcW w:w="599" w:type="pct"/>
          </w:tcPr>
          <w:p w14:paraId="0C2E2932"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Ratio</w:t>
            </w:r>
          </w:p>
        </w:tc>
        <w:tc>
          <w:tcPr>
            <w:tcW w:w="1154" w:type="pct"/>
          </w:tcPr>
          <w:p w14:paraId="61EF1105"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90% CI</w:t>
            </w:r>
          </w:p>
        </w:tc>
        <w:tc>
          <w:tcPr>
            <w:tcW w:w="993" w:type="pct"/>
          </w:tcPr>
          <w:p w14:paraId="2B6CCCF3"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CV% (within)</w:t>
            </w:r>
          </w:p>
        </w:tc>
      </w:tr>
      <w:tr w:rsidR="00590F00" w:rsidRPr="00590F00" w14:paraId="4881AEE1"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6B594D98" w14:textId="77777777" w:rsidR="00590F00" w:rsidRPr="00590F00" w:rsidRDefault="00590F00" w:rsidP="00590F00">
            <w:pPr>
              <w:rPr>
                <w:sz w:val="20"/>
                <w:szCs w:val="20"/>
              </w:rPr>
            </w:pPr>
            <w:r w:rsidRPr="00590F00">
              <w:rPr>
                <w:sz w:val="20"/>
                <w:szCs w:val="20"/>
              </w:rPr>
              <w:t>Desipramine</w:t>
            </w:r>
          </w:p>
        </w:tc>
        <w:tc>
          <w:tcPr>
            <w:tcW w:w="608" w:type="pct"/>
          </w:tcPr>
          <w:p w14:paraId="5C02ADE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CYP2D6</w:t>
            </w:r>
          </w:p>
        </w:tc>
        <w:tc>
          <w:tcPr>
            <w:tcW w:w="845" w:type="pct"/>
          </w:tcPr>
          <w:p w14:paraId="6DD6C0D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C:A</w:t>
            </w:r>
          </w:p>
        </w:tc>
        <w:tc>
          <w:tcPr>
            <w:tcW w:w="599" w:type="pct"/>
          </w:tcPr>
          <w:p w14:paraId="62B132A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1.04</w:t>
            </w:r>
          </w:p>
        </w:tc>
        <w:tc>
          <w:tcPr>
            <w:tcW w:w="1154" w:type="pct"/>
          </w:tcPr>
          <w:p w14:paraId="42F1FBC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(0.98, 1.10)</w:t>
            </w:r>
          </w:p>
        </w:tc>
        <w:tc>
          <w:tcPr>
            <w:tcW w:w="993" w:type="pct"/>
          </w:tcPr>
          <w:p w14:paraId="5854CE7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11.1</w:t>
            </w:r>
          </w:p>
        </w:tc>
      </w:tr>
      <w:tr w:rsidR="00590F00" w:rsidRPr="00590F00" w14:paraId="4BCB910C"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321ECD0C" w14:textId="77777777" w:rsidR="00590F00" w:rsidRPr="00590F00" w:rsidRDefault="00590F00" w:rsidP="00590F00">
            <w:pPr>
              <w:rPr>
                <w:sz w:val="20"/>
                <w:szCs w:val="20"/>
              </w:rPr>
            </w:pPr>
            <w:r w:rsidRPr="00590F00">
              <w:rPr>
                <w:sz w:val="20"/>
                <w:szCs w:val="20"/>
              </w:rPr>
              <w:t>Midazolam</w:t>
            </w:r>
          </w:p>
        </w:tc>
        <w:tc>
          <w:tcPr>
            <w:tcW w:w="608" w:type="pct"/>
          </w:tcPr>
          <w:p w14:paraId="62AD20F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CYP3A4</w:t>
            </w:r>
          </w:p>
        </w:tc>
        <w:tc>
          <w:tcPr>
            <w:tcW w:w="845" w:type="pct"/>
          </w:tcPr>
          <w:p w14:paraId="26D7B61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B2: A1</w:t>
            </w:r>
          </w:p>
        </w:tc>
        <w:tc>
          <w:tcPr>
            <w:tcW w:w="599" w:type="pct"/>
          </w:tcPr>
          <w:p w14:paraId="3C71A04B"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0.97</w:t>
            </w:r>
          </w:p>
        </w:tc>
        <w:tc>
          <w:tcPr>
            <w:tcW w:w="1154" w:type="pct"/>
          </w:tcPr>
          <w:p w14:paraId="6E1F347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(0.83, 1.13)</w:t>
            </w:r>
          </w:p>
        </w:tc>
        <w:tc>
          <w:tcPr>
            <w:tcW w:w="993" w:type="pct"/>
          </w:tcPr>
          <w:p w14:paraId="3E2C7D31"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32.0</w:t>
            </w:r>
          </w:p>
        </w:tc>
      </w:tr>
      <w:tr w:rsidR="00590F00" w:rsidRPr="00590F00" w14:paraId="748602B3"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5B8867CD" w14:textId="77777777" w:rsidR="00590F00" w:rsidRPr="00590F00" w:rsidRDefault="00590F00" w:rsidP="00590F00">
            <w:pPr>
              <w:rPr>
                <w:sz w:val="20"/>
                <w:szCs w:val="20"/>
              </w:rPr>
            </w:pPr>
            <w:r w:rsidRPr="00590F00">
              <w:rPr>
                <w:sz w:val="20"/>
                <w:szCs w:val="20"/>
              </w:rPr>
              <w:t>Flurbiprofen</w:t>
            </w:r>
          </w:p>
        </w:tc>
        <w:tc>
          <w:tcPr>
            <w:tcW w:w="608" w:type="pct"/>
          </w:tcPr>
          <w:p w14:paraId="1B0319A3"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CYP2C9</w:t>
            </w:r>
          </w:p>
        </w:tc>
        <w:tc>
          <w:tcPr>
            <w:tcW w:w="845" w:type="pct"/>
          </w:tcPr>
          <w:p w14:paraId="60FB46D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 : A2</w:t>
            </w:r>
          </w:p>
        </w:tc>
        <w:tc>
          <w:tcPr>
            <w:tcW w:w="599" w:type="pct"/>
          </w:tcPr>
          <w:p w14:paraId="22D9DB5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0.98</w:t>
            </w:r>
          </w:p>
        </w:tc>
        <w:tc>
          <w:tcPr>
            <w:tcW w:w="1154" w:type="pct"/>
          </w:tcPr>
          <w:p w14:paraId="1AC11AD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(0.91, 1.04)</w:t>
            </w:r>
          </w:p>
        </w:tc>
        <w:tc>
          <w:tcPr>
            <w:tcW w:w="993" w:type="pct"/>
          </w:tcPr>
          <w:p w14:paraId="7D2E4E7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13.9</w:t>
            </w:r>
          </w:p>
        </w:tc>
      </w:tr>
      <w:tr w:rsidR="00590F00" w:rsidRPr="00590F00" w14:paraId="2B15E97F"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54227F71" w14:textId="77777777" w:rsidR="00590F00" w:rsidRPr="00590F00" w:rsidRDefault="00590F00" w:rsidP="00590F00">
            <w:pPr>
              <w:rPr>
                <w:sz w:val="20"/>
                <w:szCs w:val="20"/>
              </w:rPr>
            </w:pPr>
            <w:r w:rsidRPr="00590F00">
              <w:rPr>
                <w:sz w:val="20"/>
                <w:szCs w:val="20"/>
              </w:rPr>
              <w:t>Caffeine</w:t>
            </w:r>
          </w:p>
        </w:tc>
        <w:tc>
          <w:tcPr>
            <w:tcW w:w="608" w:type="pct"/>
          </w:tcPr>
          <w:p w14:paraId="4A7FF9FA"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CYP1A2</w:t>
            </w:r>
          </w:p>
        </w:tc>
        <w:tc>
          <w:tcPr>
            <w:tcW w:w="845" w:type="pct"/>
          </w:tcPr>
          <w:p w14:paraId="2AA5C33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 : A2</w:t>
            </w:r>
          </w:p>
        </w:tc>
        <w:tc>
          <w:tcPr>
            <w:tcW w:w="599" w:type="pct"/>
          </w:tcPr>
          <w:p w14:paraId="343DDA5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0.95</w:t>
            </w:r>
          </w:p>
        </w:tc>
        <w:tc>
          <w:tcPr>
            <w:tcW w:w="1154" w:type="pct"/>
          </w:tcPr>
          <w:p w14:paraId="43EDDD2C"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(0.89, 1.01)</w:t>
            </w:r>
          </w:p>
        </w:tc>
        <w:tc>
          <w:tcPr>
            <w:tcW w:w="993" w:type="pct"/>
          </w:tcPr>
          <w:p w14:paraId="174AC93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13.6</w:t>
            </w:r>
          </w:p>
        </w:tc>
      </w:tr>
    </w:tbl>
    <w:p w14:paraId="02AB6E8E" w14:textId="77777777" w:rsidR="00590F00" w:rsidRDefault="00590F00" w:rsidP="00590F00">
      <w:pPr>
        <w:pStyle w:val="TableDescription"/>
        <w:rPr>
          <w:sz w:val="24"/>
          <w:szCs w:val="24"/>
        </w:rPr>
      </w:pPr>
      <w:r w:rsidRPr="00A54C96">
        <w:t>A, Desipramine alone; A1, Midazolam 5 mg; A2, Flurbiprofen 50 mg + caffeine 200 mg; B2, Midozolam 5 mg + tafenoquine 400 mg; B3, Flurbiprofen 50 mg + Caffeine 200 mg (post administration of tafenoquine 400 mg); C, Desipramine + tafenoquine</w:t>
      </w:r>
      <w:r w:rsidRPr="00EB341F">
        <w:rPr>
          <w:sz w:val="24"/>
          <w:szCs w:val="24"/>
        </w:rPr>
        <w:t>.</w:t>
      </w:r>
    </w:p>
    <w:p w14:paraId="05BCE0A8" w14:textId="1866B36C" w:rsidR="00AA2FE4" w:rsidRPr="00B9231E" w:rsidRDefault="00AA2FE4" w:rsidP="00AA2FE4">
      <w:pPr>
        <w:pStyle w:val="Tabletitle"/>
      </w:pPr>
      <w:r>
        <w:t>Table 15:</w:t>
      </w:r>
      <w:r w:rsidRPr="00B9231E">
        <w:t xml:space="preserve"> Summary of </w:t>
      </w:r>
      <w:r w:rsidR="00FD4397">
        <w:t>s</w:t>
      </w:r>
      <w:r w:rsidR="00FD4397" w:rsidRPr="00B9231E">
        <w:t xml:space="preserve">tatistical </w:t>
      </w:r>
      <w:r w:rsidR="00FD4397">
        <w:t>a</w:t>
      </w:r>
      <w:r w:rsidR="00FD4397" w:rsidRPr="00B9231E">
        <w:t xml:space="preserve">nalysis </w:t>
      </w:r>
      <w:r w:rsidRPr="00B9231E">
        <w:t xml:space="preserve">of </w:t>
      </w:r>
      <w:proofErr w:type="gramStart"/>
      <w:r w:rsidRPr="00B9231E">
        <w:t>AUC</w:t>
      </w:r>
      <w:r w:rsidRPr="00B9231E">
        <w:rPr>
          <w:vertAlign w:val="subscript"/>
        </w:rPr>
        <w:t>(</w:t>
      </w:r>
      <w:proofErr w:type="gramEnd"/>
      <w:r w:rsidRPr="00B9231E">
        <w:rPr>
          <w:vertAlign w:val="subscript"/>
        </w:rPr>
        <w:t>0–inf)</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00FD4397">
        <w:t>a</w:t>
      </w:r>
      <w:r w:rsidR="00FD4397" w:rsidRPr="00B9231E">
        <w:t xml:space="preserve">lone </w:t>
      </w:r>
      <w:r w:rsidRPr="00B9231E">
        <w:t xml:space="preserve">and with/after </w:t>
      </w:r>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671"/>
        <w:gridCol w:w="1046"/>
        <w:gridCol w:w="1923"/>
        <w:gridCol w:w="1701"/>
      </w:tblGrid>
      <w:tr w:rsidR="00AA2FE4" w:rsidRPr="00A54C96" w14:paraId="098418B7" w14:textId="77777777" w:rsidTr="00AA2F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6" w:type="pct"/>
          </w:tcPr>
          <w:p w14:paraId="3A0340CF" w14:textId="77777777" w:rsidR="00AA2FE4" w:rsidRPr="00AA2FE4" w:rsidRDefault="00AA2FE4" w:rsidP="00AA2FE4">
            <w:pPr>
              <w:rPr>
                <w:sz w:val="20"/>
                <w:szCs w:val="20"/>
              </w:rPr>
            </w:pPr>
            <w:r w:rsidRPr="00AA2FE4">
              <w:rPr>
                <w:sz w:val="20"/>
                <w:szCs w:val="20"/>
              </w:rPr>
              <w:t>Drug</w:t>
            </w:r>
          </w:p>
        </w:tc>
        <w:tc>
          <w:tcPr>
            <w:tcW w:w="608" w:type="pct"/>
          </w:tcPr>
          <w:p w14:paraId="29DA2360"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CYP</w:t>
            </w:r>
          </w:p>
        </w:tc>
        <w:tc>
          <w:tcPr>
            <w:tcW w:w="843" w:type="pct"/>
          </w:tcPr>
          <w:p w14:paraId="308BF0CB"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Comparison</w:t>
            </w:r>
          </w:p>
        </w:tc>
        <w:tc>
          <w:tcPr>
            <w:tcW w:w="599" w:type="pct"/>
          </w:tcPr>
          <w:p w14:paraId="03A16A33"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Ratio</w:t>
            </w:r>
          </w:p>
        </w:tc>
        <w:tc>
          <w:tcPr>
            <w:tcW w:w="1152" w:type="pct"/>
          </w:tcPr>
          <w:p w14:paraId="6273E0D2" w14:textId="77777777" w:rsidR="00AA2FE4" w:rsidRPr="00AA2FE4" w:rsidRDefault="00AA2FE4" w:rsidP="001206BA">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90% CI</w:t>
            </w:r>
            <w:r w:rsidR="001206BA">
              <w:rPr>
                <w:sz w:val="20"/>
                <w:szCs w:val="20"/>
              </w:rPr>
              <w:t>*</w:t>
            </w:r>
          </w:p>
        </w:tc>
        <w:tc>
          <w:tcPr>
            <w:tcW w:w="992" w:type="pct"/>
          </w:tcPr>
          <w:p w14:paraId="1284BE45"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CV% (within)</w:t>
            </w:r>
          </w:p>
        </w:tc>
      </w:tr>
      <w:tr w:rsidR="00AA2FE4" w:rsidRPr="00A54C96" w14:paraId="610D0E6D" w14:textId="77777777" w:rsidTr="00AA2FE4">
        <w:tc>
          <w:tcPr>
            <w:cnfStyle w:val="001000000000" w:firstRow="0" w:lastRow="0" w:firstColumn="1" w:lastColumn="0" w:oddVBand="0" w:evenVBand="0" w:oddHBand="0" w:evenHBand="0" w:firstRowFirstColumn="0" w:firstRowLastColumn="0" w:lastRowFirstColumn="0" w:lastRowLastColumn="0"/>
            <w:tcW w:w="806" w:type="pct"/>
          </w:tcPr>
          <w:p w14:paraId="2BB4C813" w14:textId="77777777" w:rsidR="00AA2FE4" w:rsidRPr="00AA2FE4" w:rsidRDefault="00AA2FE4" w:rsidP="00AA2FE4">
            <w:pPr>
              <w:rPr>
                <w:sz w:val="20"/>
                <w:szCs w:val="20"/>
              </w:rPr>
            </w:pPr>
            <w:r w:rsidRPr="00AA2FE4">
              <w:rPr>
                <w:sz w:val="20"/>
                <w:szCs w:val="20"/>
              </w:rPr>
              <w:t>Desipramine</w:t>
            </w:r>
          </w:p>
        </w:tc>
        <w:tc>
          <w:tcPr>
            <w:tcW w:w="608" w:type="pct"/>
          </w:tcPr>
          <w:p w14:paraId="516C3F1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CYP2D6</w:t>
            </w:r>
          </w:p>
        </w:tc>
        <w:tc>
          <w:tcPr>
            <w:tcW w:w="843" w:type="pct"/>
          </w:tcPr>
          <w:p w14:paraId="40BD4C6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C:A</w:t>
            </w:r>
          </w:p>
        </w:tc>
        <w:tc>
          <w:tcPr>
            <w:tcW w:w="599" w:type="pct"/>
          </w:tcPr>
          <w:p w14:paraId="39297066"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0.94</w:t>
            </w:r>
          </w:p>
        </w:tc>
        <w:tc>
          <w:tcPr>
            <w:tcW w:w="1152" w:type="pct"/>
          </w:tcPr>
          <w:p w14:paraId="05C9D67F" w14:textId="77777777" w:rsidR="00AA2FE4" w:rsidRPr="00AA2FE4" w:rsidRDefault="00AA2FE4" w:rsidP="001206BA">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(0.89, 1.00)</w:t>
            </w:r>
            <w:r w:rsidR="001206BA">
              <w:rPr>
                <w:sz w:val="20"/>
                <w:szCs w:val="20"/>
              </w:rPr>
              <w:t>**</w:t>
            </w:r>
          </w:p>
        </w:tc>
        <w:tc>
          <w:tcPr>
            <w:tcW w:w="992" w:type="pct"/>
          </w:tcPr>
          <w:p w14:paraId="2B3666A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11.7</w:t>
            </w:r>
          </w:p>
        </w:tc>
      </w:tr>
      <w:tr w:rsidR="00AA2FE4" w:rsidRPr="00A54C96" w14:paraId="36F60734" w14:textId="77777777" w:rsidTr="00AA2FE4">
        <w:tc>
          <w:tcPr>
            <w:cnfStyle w:val="001000000000" w:firstRow="0" w:lastRow="0" w:firstColumn="1" w:lastColumn="0" w:oddVBand="0" w:evenVBand="0" w:oddHBand="0" w:evenHBand="0" w:firstRowFirstColumn="0" w:firstRowLastColumn="0" w:lastRowFirstColumn="0" w:lastRowLastColumn="0"/>
            <w:tcW w:w="806" w:type="pct"/>
          </w:tcPr>
          <w:p w14:paraId="4CEF4BCE" w14:textId="77777777" w:rsidR="00AA2FE4" w:rsidRPr="00AA2FE4" w:rsidRDefault="00AA2FE4" w:rsidP="00AA2FE4">
            <w:pPr>
              <w:rPr>
                <w:sz w:val="20"/>
                <w:szCs w:val="20"/>
              </w:rPr>
            </w:pPr>
            <w:r w:rsidRPr="00AA2FE4">
              <w:rPr>
                <w:sz w:val="20"/>
                <w:szCs w:val="20"/>
              </w:rPr>
              <w:t>Midazolam</w:t>
            </w:r>
          </w:p>
        </w:tc>
        <w:tc>
          <w:tcPr>
            <w:tcW w:w="608" w:type="pct"/>
          </w:tcPr>
          <w:p w14:paraId="133C005F"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CYP3A4</w:t>
            </w:r>
          </w:p>
        </w:tc>
        <w:tc>
          <w:tcPr>
            <w:tcW w:w="843" w:type="pct"/>
          </w:tcPr>
          <w:p w14:paraId="7FE6EA84"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B2: A1</w:t>
            </w:r>
          </w:p>
        </w:tc>
        <w:tc>
          <w:tcPr>
            <w:tcW w:w="599" w:type="pct"/>
          </w:tcPr>
          <w:p w14:paraId="58BFB806"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0.88</w:t>
            </w:r>
          </w:p>
        </w:tc>
        <w:tc>
          <w:tcPr>
            <w:tcW w:w="1152" w:type="pct"/>
          </w:tcPr>
          <w:p w14:paraId="4E03919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(0.83, 0.94)</w:t>
            </w:r>
          </w:p>
        </w:tc>
        <w:tc>
          <w:tcPr>
            <w:tcW w:w="992" w:type="pct"/>
          </w:tcPr>
          <w:p w14:paraId="79F4949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12.1</w:t>
            </w:r>
          </w:p>
        </w:tc>
      </w:tr>
      <w:tr w:rsidR="00AA2FE4" w:rsidRPr="00A54C96" w14:paraId="0057968A" w14:textId="77777777" w:rsidTr="00AA2FE4">
        <w:tc>
          <w:tcPr>
            <w:cnfStyle w:val="001000000000" w:firstRow="0" w:lastRow="0" w:firstColumn="1" w:lastColumn="0" w:oddVBand="0" w:evenVBand="0" w:oddHBand="0" w:evenHBand="0" w:firstRowFirstColumn="0" w:firstRowLastColumn="0" w:lastRowFirstColumn="0" w:lastRowLastColumn="0"/>
            <w:tcW w:w="806" w:type="pct"/>
          </w:tcPr>
          <w:p w14:paraId="177F2A56" w14:textId="77777777" w:rsidR="00AA2FE4" w:rsidRPr="00AA2FE4" w:rsidRDefault="00AA2FE4" w:rsidP="00AA2FE4">
            <w:pPr>
              <w:rPr>
                <w:sz w:val="20"/>
                <w:szCs w:val="20"/>
              </w:rPr>
            </w:pPr>
            <w:r w:rsidRPr="00AA2FE4">
              <w:rPr>
                <w:sz w:val="20"/>
                <w:szCs w:val="20"/>
              </w:rPr>
              <w:t>Flurbiprofen</w:t>
            </w:r>
          </w:p>
        </w:tc>
        <w:tc>
          <w:tcPr>
            <w:tcW w:w="608" w:type="pct"/>
          </w:tcPr>
          <w:p w14:paraId="0487F3EC"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CYP2C9</w:t>
            </w:r>
          </w:p>
        </w:tc>
        <w:tc>
          <w:tcPr>
            <w:tcW w:w="843" w:type="pct"/>
          </w:tcPr>
          <w:p w14:paraId="6EA54D91"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569DB3A7"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1.13</w:t>
            </w:r>
          </w:p>
        </w:tc>
        <w:tc>
          <w:tcPr>
            <w:tcW w:w="1152" w:type="pct"/>
          </w:tcPr>
          <w:p w14:paraId="7B01F0C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(1.09, 1.16)</w:t>
            </w:r>
          </w:p>
        </w:tc>
        <w:tc>
          <w:tcPr>
            <w:tcW w:w="992" w:type="pct"/>
          </w:tcPr>
          <w:p w14:paraId="147FA7DD"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6.7</w:t>
            </w:r>
          </w:p>
        </w:tc>
      </w:tr>
      <w:tr w:rsidR="00AA2FE4" w:rsidRPr="00A54C96" w14:paraId="52CF7ACC" w14:textId="77777777" w:rsidTr="00AA2FE4">
        <w:tc>
          <w:tcPr>
            <w:cnfStyle w:val="001000000000" w:firstRow="0" w:lastRow="0" w:firstColumn="1" w:lastColumn="0" w:oddVBand="0" w:evenVBand="0" w:oddHBand="0" w:evenHBand="0" w:firstRowFirstColumn="0" w:firstRowLastColumn="0" w:lastRowFirstColumn="0" w:lastRowLastColumn="0"/>
            <w:tcW w:w="806" w:type="pct"/>
          </w:tcPr>
          <w:p w14:paraId="3B36EA06" w14:textId="77777777" w:rsidR="00AA2FE4" w:rsidRPr="00AA2FE4" w:rsidRDefault="00AA2FE4" w:rsidP="00AA2FE4">
            <w:pPr>
              <w:rPr>
                <w:sz w:val="20"/>
                <w:szCs w:val="20"/>
              </w:rPr>
            </w:pPr>
            <w:r w:rsidRPr="00AA2FE4">
              <w:rPr>
                <w:sz w:val="20"/>
                <w:szCs w:val="20"/>
              </w:rPr>
              <w:lastRenderedPageBreak/>
              <w:t>Caffeine</w:t>
            </w:r>
          </w:p>
        </w:tc>
        <w:tc>
          <w:tcPr>
            <w:tcW w:w="608" w:type="pct"/>
          </w:tcPr>
          <w:p w14:paraId="44BCC35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CYP1A2</w:t>
            </w:r>
          </w:p>
        </w:tc>
        <w:tc>
          <w:tcPr>
            <w:tcW w:w="843" w:type="pct"/>
          </w:tcPr>
          <w:p w14:paraId="189FD78D"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471CED0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1.01</w:t>
            </w:r>
          </w:p>
        </w:tc>
        <w:tc>
          <w:tcPr>
            <w:tcW w:w="1152" w:type="pct"/>
          </w:tcPr>
          <w:p w14:paraId="3BBCFC5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(0.98, 1.05)</w:t>
            </w:r>
          </w:p>
        </w:tc>
        <w:tc>
          <w:tcPr>
            <w:tcW w:w="992" w:type="pct"/>
          </w:tcPr>
          <w:p w14:paraId="5C2A035A"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7.4</w:t>
            </w:r>
          </w:p>
        </w:tc>
      </w:tr>
    </w:tbl>
    <w:p w14:paraId="7CA6BB8C" w14:textId="1889431A" w:rsidR="00AA2FE4" w:rsidRPr="00A54C96" w:rsidRDefault="001206BA" w:rsidP="00AA2FE4">
      <w:pPr>
        <w:pStyle w:val="TableDescription"/>
      </w:pPr>
      <w:r>
        <w:t>*</w:t>
      </w:r>
      <w:r w:rsidR="00AA2FE4" w:rsidRPr="00A54C96">
        <w:t>Adjusted 90% confidence interval (to account for the interim analysis).</w:t>
      </w:r>
      <w:r w:rsidR="00AA2FE4">
        <w:t xml:space="preserve"> </w:t>
      </w:r>
      <w:r>
        <w:t>**</w:t>
      </w:r>
      <w:r w:rsidR="00AA2FE4" w:rsidRPr="00A54C96">
        <w:t>Confidence interval 0.999 is rounded to 1.00. A, Desipramine alone; A1, Midazolam 5 mg; A2, Flurbiprofen 50 mg + caffeine 200 mg; B2, Midozolam 5 mg + tafenoquine 400 mg; B3, Flurbiprofen 50 mg + Caffeine 200 mg (post administration of tafenoquine 400 mg); C, Desipramine + tafenoquine. CI</w:t>
      </w:r>
      <w:r w:rsidR="00B319AC">
        <w:t>:</w:t>
      </w:r>
      <w:r w:rsidR="00AA2FE4" w:rsidRPr="00A54C96">
        <w:t xml:space="preserve"> confidence interval; CV</w:t>
      </w:r>
      <w:r w:rsidR="00B319AC">
        <w:t>:</w:t>
      </w:r>
      <w:r w:rsidR="00AA2FE4" w:rsidRPr="00A54C96">
        <w:t xml:space="preserve"> coefficient of variation; ND</w:t>
      </w:r>
      <w:r w:rsidR="00B319AC">
        <w:t>:</w:t>
      </w:r>
      <w:r w:rsidR="00AA2FE4" w:rsidRPr="00A54C96">
        <w:t xml:space="preserve"> not determined.</w:t>
      </w:r>
    </w:p>
    <w:p w14:paraId="2375E917" w14:textId="40643921" w:rsidR="00AA2FE4" w:rsidRPr="00B9231E" w:rsidRDefault="00AA2FE4" w:rsidP="00AA2FE4">
      <w:pPr>
        <w:pStyle w:val="Tabletitle"/>
      </w:pPr>
      <w:r>
        <w:t xml:space="preserve">Table </w:t>
      </w:r>
      <w:r w:rsidR="00774249">
        <w:t>16</w:t>
      </w:r>
      <w:r>
        <w:rPr>
          <w:noProof/>
        </w:rPr>
        <w:t>:</w:t>
      </w:r>
      <w:r>
        <w:t xml:space="preserve"> </w:t>
      </w:r>
      <w:r w:rsidRPr="00B9231E">
        <w:t xml:space="preserve">Summary of </w:t>
      </w:r>
      <w:r w:rsidR="00FD4397">
        <w:t>s</w:t>
      </w:r>
      <w:r w:rsidR="00FD4397" w:rsidRPr="00B9231E">
        <w:t xml:space="preserve">tatistical </w:t>
      </w:r>
      <w:r w:rsidR="00FD4397">
        <w:t>a</w:t>
      </w:r>
      <w:r w:rsidR="00FD4397" w:rsidRPr="00B9231E">
        <w:t xml:space="preserve">nalysis </w:t>
      </w:r>
      <w:r w:rsidRPr="00B9231E">
        <w:t>of C</w:t>
      </w:r>
      <w:r w:rsidRPr="00283520">
        <w:rPr>
          <w:vertAlign w:val="subscript"/>
        </w:rPr>
        <w:t>max</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00FD4397">
        <w:t>a</w:t>
      </w:r>
      <w:r w:rsidR="00FD4397" w:rsidRPr="00B9231E">
        <w:t xml:space="preserve">lone </w:t>
      </w:r>
      <w:r w:rsidRPr="00B9231E">
        <w:t xml:space="preserve">and with/after </w:t>
      </w:r>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671"/>
        <w:gridCol w:w="1046"/>
        <w:gridCol w:w="1924"/>
        <w:gridCol w:w="1700"/>
      </w:tblGrid>
      <w:tr w:rsidR="00AA2FE4" w:rsidRPr="00AA2FE4" w14:paraId="74E9300F" w14:textId="77777777" w:rsidTr="00AA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7D7BDB50" w14:textId="77777777" w:rsidR="00AA2FE4" w:rsidRPr="00AA2FE4" w:rsidRDefault="00AA2FE4" w:rsidP="001206BA">
            <w:pPr>
              <w:rPr>
                <w:sz w:val="20"/>
                <w:szCs w:val="20"/>
              </w:rPr>
            </w:pPr>
            <w:r w:rsidRPr="00AA2FE4">
              <w:rPr>
                <w:sz w:val="20"/>
                <w:szCs w:val="20"/>
              </w:rPr>
              <w:t>Drug</w:t>
            </w:r>
            <w:r w:rsidR="001206BA">
              <w:rPr>
                <w:sz w:val="20"/>
                <w:szCs w:val="20"/>
              </w:rPr>
              <w:t>*</w:t>
            </w:r>
          </w:p>
        </w:tc>
        <w:tc>
          <w:tcPr>
            <w:tcW w:w="608" w:type="pct"/>
          </w:tcPr>
          <w:p w14:paraId="1399829A"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CYP</w:t>
            </w:r>
          </w:p>
        </w:tc>
        <w:tc>
          <w:tcPr>
            <w:tcW w:w="845" w:type="pct"/>
          </w:tcPr>
          <w:p w14:paraId="03340F36"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Comparison</w:t>
            </w:r>
          </w:p>
        </w:tc>
        <w:tc>
          <w:tcPr>
            <w:tcW w:w="599" w:type="pct"/>
          </w:tcPr>
          <w:p w14:paraId="7F38461B"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Ratio</w:t>
            </w:r>
          </w:p>
        </w:tc>
        <w:tc>
          <w:tcPr>
            <w:tcW w:w="1154" w:type="pct"/>
          </w:tcPr>
          <w:p w14:paraId="2CE6828E"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90% CI</w:t>
            </w:r>
          </w:p>
        </w:tc>
        <w:tc>
          <w:tcPr>
            <w:tcW w:w="993" w:type="pct"/>
          </w:tcPr>
          <w:p w14:paraId="222B5F06"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CV% (within)</w:t>
            </w:r>
          </w:p>
        </w:tc>
      </w:tr>
      <w:tr w:rsidR="00AA2FE4" w:rsidRPr="00AA2FE4" w14:paraId="5629952D"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30E5A935" w14:textId="77777777" w:rsidR="00AA2FE4" w:rsidRPr="00AA2FE4" w:rsidRDefault="00AA2FE4" w:rsidP="00AA2FE4">
            <w:pPr>
              <w:rPr>
                <w:sz w:val="20"/>
                <w:szCs w:val="20"/>
              </w:rPr>
            </w:pPr>
            <w:r w:rsidRPr="00AA2FE4">
              <w:rPr>
                <w:sz w:val="20"/>
                <w:szCs w:val="20"/>
              </w:rPr>
              <w:t>Desipramine</w:t>
            </w:r>
          </w:p>
        </w:tc>
        <w:tc>
          <w:tcPr>
            <w:tcW w:w="608" w:type="pct"/>
          </w:tcPr>
          <w:p w14:paraId="75993689"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CYP2D6</w:t>
            </w:r>
          </w:p>
        </w:tc>
        <w:tc>
          <w:tcPr>
            <w:tcW w:w="845" w:type="pct"/>
          </w:tcPr>
          <w:p w14:paraId="11CE0F46"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C:A</w:t>
            </w:r>
          </w:p>
        </w:tc>
        <w:tc>
          <w:tcPr>
            <w:tcW w:w="599" w:type="pct"/>
          </w:tcPr>
          <w:p w14:paraId="292C9A51"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1.04</w:t>
            </w:r>
          </w:p>
        </w:tc>
        <w:tc>
          <w:tcPr>
            <w:tcW w:w="1154" w:type="pct"/>
          </w:tcPr>
          <w:p w14:paraId="2F28DD82"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(0.98, 1.10)</w:t>
            </w:r>
          </w:p>
        </w:tc>
        <w:tc>
          <w:tcPr>
            <w:tcW w:w="993" w:type="pct"/>
          </w:tcPr>
          <w:p w14:paraId="4DC69406"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11.1</w:t>
            </w:r>
          </w:p>
        </w:tc>
      </w:tr>
      <w:tr w:rsidR="00AA2FE4" w:rsidRPr="00AA2FE4" w14:paraId="2F9B3C35"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144CC7E0" w14:textId="77777777" w:rsidR="00AA2FE4" w:rsidRPr="00AA2FE4" w:rsidRDefault="00AA2FE4" w:rsidP="00AA2FE4">
            <w:pPr>
              <w:rPr>
                <w:sz w:val="20"/>
                <w:szCs w:val="20"/>
              </w:rPr>
            </w:pPr>
            <w:r w:rsidRPr="00AA2FE4">
              <w:rPr>
                <w:sz w:val="20"/>
                <w:szCs w:val="20"/>
              </w:rPr>
              <w:t>Midazolam</w:t>
            </w:r>
          </w:p>
        </w:tc>
        <w:tc>
          <w:tcPr>
            <w:tcW w:w="608" w:type="pct"/>
          </w:tcPr>
          <w:p w14:paraId="609C9EC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CYP3A4</w:t>
            </w:r>
          </w:p>
        </w:tc>
        <w:tc>
          <w:tcPr>
            <w:tcW w:w="845" w:type="pct"/>
          </w:tcPr>
          <w:p w14:paraId="73837621"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B2: A1</w:t>
            </w:r>
          </w:p>
        </w:tc>
        <w:tc>
          <w:tcPr>
            <w:tcW w:w="599" w:type="pct"/>
          </w:tcPr>
          <w:p w14:paraId="1557C14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0.97</w:t>
            </w:r>
          </w:p>
        </w:tc>
        <w:tc>
          <w:tcPr>
            <w:tcW w:w="1154" w:type="pct"/>
          </w:tcPr>
          <w:p w14:paraId="629EB335"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(0.83, 1.13)</w:t>
            </w:r>
          </w:p>
        </w:tc>
        <w:tc>
          <w:tcPr>
            <w:tcW w:w="993" w:type="pct"/>
          </w:tcPr>
          <w:p w14:paraId="7D4DE01A"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32.0</w:t>
            </w:r>
          </w:p>
        </w:tc>
      </w:tr>
      <w:tr w:rsidR="00AA2FE4" w:rsidRPr="00AA2FE4" w14:paraId="1E88C1DE"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71619358" w14:textId="77777777" w:rsidR="00AA2FE4" w:rsidRPr="00AA2FE4" w:rsidRDefault="00AA2FE4" w:rsidP="00AA2FE4">
            <w:pPr>
              <w:rPr>
                <w:sz w:val="20"/>
                <w:szCs w:val="20"/>
              </w:rPr>
            </w:pPr>
            <w:r w:rsidRPr="00AA2FE4">
              <w:rPr>
                <w:sz w:val="20"/>
                <w:szCs w:val="20"/>
              </w:rPr>
              <w:t>Flurbiprofen</w:t>
            </w:r>
          </w:p>
        </w:tc>
        <w:tc>
          <w:tcPr>
            <w:tcW w:w="608" w:type="pct"/>
          </w:tcPr>
          <w:p w14:paraId="475E8BD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CYP2C9</w:t>
            </w:r>
          </w:p>
        </w:tc>
        <w:tc>
          <w:tcPr>
            <w:tcW w:w="845" w:type="pct"/>
          </w:tcPr>
          <w:p w14:paraId="1128383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4F0044E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w:t>
            </w:r>
          </w:p>
        </w:tc>
        <w:tc>
          <w:tcPr>
            <w:tcW w:w="1154" w:type="pct"/>
          </w:tcPr>
          <w:p w14:paraId="586140D7"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(0.91, 1.04)</w:t>
            </w:r>
          </w:p>
        </w:tc>
        <w:tc>
          <w:tcPr>
            <w:tcW w:w="993" w:type="pct"/>
          </w:tcPr>
          <w:p w14:paraId="260164E7"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13.9</w:t>
            </w:r>
          </w:p>
        </w:tc>
      </w:tr>
      <w:tr w:rsidR="00AA2FE4" w:rsidRPr="00AA2FE4" w14:paraId="57956FFD"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7F823437" w14:textId="77777777" w:rsidR="00AA2FE4" w:rsidRPr="00AA2FE4" w:rsidRDefault="00AA2FE4" w:rsidP="00AA2FE4">
            <w:pPr>
              <w:rPr>
                <w:sz w:val="20"/>
                <w:szCs w:val="20"/>
              </w:rPr>
            </w:pPr>
            <w:r w:rsidRPr="00AA2FE4">
              <w:rPr>
                <w:sz w:val="20"/>
                <w:szCs w:val="20"/>
              </w:rPr>
              <w:t>Caffeine</w:t>
            </w:r>
          </w:p>
        </w:tc>
        <w:tc>
          <w:tcPr>
            <w:tcW w:w="608" w:type="pct"/>
          </w:tcPr>
          <w:p w14:paraId="411A28A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CYP1A2</w:t>
            </w:r>
          </w:p>
        </w:tc>
        <w:tc>
          <w:tcPr>
            <w:tcW w:w="845" w:type="pct"/>
          </w:tcPr>
          <w:p w14:paraId="23956BB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3651893F"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0.95</w:t>
            </w:r>
          </w:p>
        </w:tc>
        <w:tc>
          <w:tcPr>
            <w:tcW w:w="1154" w:type="pct"/>
          </w:tcPr>
          <w:p w14:paraId="710AF9D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(0.89, 1.01)</w:t>
            </w:r>
          </w:p>
        </w:tc>
        <w:tc>
          <w:tcPr>
            <w:tcW w:w="993" w:type="pct"/>
          </w:tcPr>
          <w:p w14:paraId="4D1FCA01"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13.6</w:t>
            </w:r>
          </w:p>
        </w:tc>
      </w:tr>
    </w:tbl>
    <w:p w14:paraId="1AF61EC5" w14:textId="77777777" w:rsidR="00AA2FE4" w:rsidRPr="00EB341F" w:rsidRDefault="001206BA" w:rsidP="00AA2FE4">
      <w:pPr>
        <w:pStyle w:val="TableDescription"/>
        <w:rPr>
          <w:sz w:val="24"/>
          <w:szCs w:val="24"/>
        </w:rPr>
      </w:pPr>
      <w:r>
        <w:t>*</w:t>
      </w:r>
      <w:r w:rsidR="00AA2FE4" w:rsidRPr="00A54C96">
        <w:t>A, Desipramine alone; A1, Midazolam 5 mg; A2, Flurbiprofen 50 mg + caffeine 200 mg; B2, Midozolam 5 mg + tafenoquine 400 mg; B3, Flurbiprofen 50 mg + Caffeine 200 mg (post administration of tafenoquine 400 mg); C, Desipramine + tafenoquine</w:t>
      </w:r>
      <w:r w:rsidR="00AA2FE4" w:rsidRPr="00EB341F">
        <w:rPr>
          <w:sz w:val="24"/>
          <w:szCs w:val="24"/>
        </w:rPr>
        <w:t>.</w:t>
      </w:r>
    </w:p>
    <w:p w14:paraId="6F072795" w14:textId="77777777" w:rsidR="008A1A1C" w:rsidRDefault="008A1A1C" w:rsidP="00E730B4">
      <w:pPr>
        <w:pStyle w:val="Heading4"/>
        <w:numPr>
          <w:ilvl w:val="2"/>
          <w:numId w:val="7"/>
        </w:numPr>
      </w:pPr>
      <w:bookmarkStart w:id="196" w:name="_Toc432080702"/>
      <w:bookmarkStart w:id="197" w:name="_Toc432079129"/>
      <w:bookmarkStart w:id="198" w:name="_Toc421005247"/>
      <w:bookmarkStart w:id="199" w:name="_Toc416353677"/>
      <w:r>
        <w:t>Population pharmacokinetics</w:t>
      </w:r>
      <w:bookmarkEnd w:id="196"/>
      <w:bookmarkEnd w:id="197"/>
      <w:bookmarkEnd w:id="198"/>
      <w:bookmarkEnd w:id="199"/>
    </w:p>
    <w:p w14:paraId="00866BEE" w14:textId="77777777" w:rsidR="00F1528F" w:rsidRDefault="008A1A1C" w:rsidP="00E730B4">
      <w:pPr>
        <w:pStyle w:val="Heading5"/>
        <w:numPr>
          <w:ilvl w:val="3"/>
          <w:numId w:val="7"/>
        </w:numPr>
      </w:pPr>
      <w:r>
        <w:t>PopPK analysis</w:t>
      </w:r>
    </w:p>
    <w:p w14:paraId="3FE7330C" w14:textId="77777777" w:rsidR="008A1A1C" w:rsidRDefault="008A1A1C" w:rsidP="00473B40">
      <w:pPr>
        <w:rPr>
          <w:lang w:eastAsia="ja-JP"/>
        </w:rPr>
      </w:pPr>
      <w:bookmarkStart w:id="200" w:name="_Toc421005248"/>
      <w:r>
        <w:rPr>
          <w:lang w:eastAsia="ja-JP"/>
        </w:rPr>
        <w:t xml:space="preserve">A population PK analysis was conducted consolidating clinical PK data from Studies 001, 002, 003, 004, 005, 014, 015, 033, 044 and 058. Covariates common to all 10 studies were age, weight, race, </w:t>
      </w:r>
      <w:proofErr w:type="gramStart"/>
      <w:r w:rsidR="00473B40">
        <w:rPr>
          <w:lang w:eastAsia="ja-JP"/>
        </w:rPr>
        <w:t>gender</w:t>
      </w:r>
      <w:proofErr w:type="gramEnd"/>
      <w:r>
        <w:rPr>
          <w:lang w:eastAsia="ja-JP"/>
        </w:rPr>
        <w:t xml:space="preserve"> and meal schedule. The study comprised 866 participants across the studies. The total study population was 93.3% male; median age 25 years, mean weight 75.0 kg and 72.3% Caucasian/</w:t>
      </w:r>
      <w:r w:rsidR="00473B40">
        <w:rPr>
          <w:lang w:eastAsia="ja-JP"/>
        </w:rPr>
        <w:t>W</w:t>
      </w:r>
      <w:r>
        <w:rPr>
          <w:lang w:eastAsia="ja-JP"/>
        </w:rPr>
        <w:t>hite. The majority of participants (89.4%) took tafenoquine under fed conditions. Key parameters from thi</w:t>
      </w:r>
      <w:r w:rsidR="00AA2FE4">
        <w:rPr>
          <w:lang w:eastAsia="ja-JP"/>
        </w:rPr>
        <w:t>s analysis are summarised above.</w:t>
      </w:r>
      <w:r>
        <w:rPr>
          <w:lang w:eastAsia="ja-JP"/>
        </w:rPr>
        <w:t xml:space="preserve"> A one-compartment PK model with first-order absorption and elimi</w:t>
      </w:r>
      <w:r w:rsidR="00473B40">
        <w:rPr>
          <w:lang w:eastAsia="ja-JP"/>
        </w:rPr>
        <w:t>nation processes was parameteris</w:t>
      </w:r>
      <w:r>
        <w:rPr>
          <w:lang w:eastAsia="ja-JP"/>
        </w:rPr>
        <w:t>ed in terms of apparent CL/F, V/F and ka. Co-variate (</w:t>
      </w:r>
      <w:r w:rsidR="00473B40">
        <w:rPr>
          <w:lang w:eastAsia="ja-JP"/>
        </w:rPr>
        <w:t>gender</w:t>
      </w:r>
      <w:r>
        <w:rPr>
          <w:lang w:eastAsia="ja-JP"/>
        </w:rPr>
        <w:t xml:space="preserve">, age, race, body weight and meal) analysis was performed on the base PK model. </w:t>
      </w:r>
      <w:r w:rsidR="00473B40">
        <w:rPr>
          <w:lang w:eastAsia="ja-JP"/>
        </w:rPr>
        <w:t>Gender</w:t>
      </w:r>
      <w:r>
        <w:rPr>
          <w:lang w:eastAsia="ja-JP"/>
        </w:rPr>
        <w:t xml:space="preserve"> and race were confounded with weight and were not explored further.</w:t>
      </w:r>
    </w:p>
    <w:p w14:paraId="239E25EF" w14:textId="77777777" w:rsidR="008A1A1C" w:rsidRDefault="008A1A1C" w:rsidP="00E730B4">
      <w:r>
        <w:t xml:space="preserve">Median tafenoquine steady-state (ss) trough plasma concentrations after simulation of the reference regimen decreased as weight increased but were predicted to remain higher than the required threshold </w:t>
      </w:r>
      <w:proofErr w:type="gramStart"/>
      <w:r>
        <w:t>of 80</w:t>
      </w:r>
      <w:r w:rsidR="00122529">
        <w:t xml:space="preserve"> ng/mL</w:t>
      </w:r>
      <w:r>
        <w:t xml:space="preserve"> in the majority of individuals</w:t>
      </w:r>
      <w:proofErr w:type="gramEnd"/>
      <w:r>
        <w:t xml:space="preserve"> at all levels of body weight and the vast majority of individuals even up to 100 kg.</w:t>
      </w:r>
    </w:p>
    <w:p w14:paraId="05220736" w14:textId="77777777" w:rsidR="008A1A1C" w:rsidRDefault="008A1A1C" w:rsidP="00E730B4">
      <w:pPr>
        <w:pStyle w:val="Heading4"/>
        <w:numPr>
          <w:ilvl w:val="2"/>
          <w:numId w:val="7"/>
        </w:numPr>
      </w:pPr>
      <w:bookmarkStart w:id="201" w:name="_Toc432080703"/>
      <w:bookmarkStart w:id="202" w:name="_Toc432079130"/>
      <w:bookmarkStart w:id="203" w:name="_Toc421005249"/>
      <w:bookmarkStart w:id="204" w:name="_Toc416353678"/>
      <w:bookmarkStart w:id="205" w:name="_Toc290888481"/>
      <w:bookmarkStart w:id="206" w:name="_Toc272414632"/>
      <w:bookmarkStart w:id="207" w:name="_Toc241374294"/>
      <w:bookmarkEnd w:id="200"/>
      <w:r>
        <w:t>Pharmacokinetic interactions</w:t>
      </w:r>
      <w:bookmarkEnd w:id="201"/>
      <w:bookmarkEnd w:id="202"/>
      <w:bookmarkEnd w:id="203"/>
      <w:bookmarkEnd w:id="204"/>
      <w:bookmarkEnd w:id="205"/>
      <w:bookmarkEnd w:id="206"/>
      <w:bookmarkEnd w:id="207"/>
    </w:p>
    <w:p w14:paraId="057B5DBD" w14:textId="77777777" w:rsidR="008A1A1C" w:rsidRDefault="008A1A1C" w:rsidP="008A1A1C">
      <w:r>
        <w:rPr>
          <w:lang w:eastAsia="ja-JP"/>
        </w:rPr>
        <w:t xml:space="preserve">Studies 015 and 040 were </w:t>
      </w:r>
      <w:r w:rsidR="00F1528F">
        <w:rPr>
          <w:lang w:eastAsia="ja-JP"/>
        </w:rPr>
        <w:t>Phase I</w:t>
      </w:r>
      <w:r>
        <w:rPr>
          <w:lang w:eastAsia="ja-JP"/>
        </w:rPr>
        <w:t xml:space="preserve"> clinical trial conducted to evaluate the effect of tafenoquine on the metabolism of multiple cytochrome P450</w:t>
      </w:r>
      <w:r w:rsidR="00774249">
        <w:rPr>
          <w:lang w:eastAsia="ja-JP"/>
        </w:rPr>
        <w:t xml:space="preserve"> (CYP)</w:t>
      </w:r>
      <w:r>
        <w:rPr>
          <w:lang w:eastAsia="ja-JP"/>
        </w:rPr>
        <w:t xml:space="preserve"> substrates in healthy volunteers. Comparison of each of desipramine, midazolam, flurbiprofen and caffeine PK parameters after administration as a single agent or after tafenoquine demonstrate that each of </w:t>
      </w:r>
      <w:proofErr w:type="gramStart"/>
      <w:r>
        <w:rPr>
          <w:lang w:eastAsia="ja-JP"/>
        </w:rPr>
        <w:t>AUC</w:t>
      </w:r>
      <w:r>
        <w:rPr>
          <w:vertAlign w:val="subscript"/>
          <w:lang w:eastAsia="ja-JP"/>
        </w:rPr>
        <w:t>(</w:t>
      </w:r>
      <w:proofErr w:type="gramEnd"/>
      <w:r>
        <w:rPr>
          <w:vertAlign w:val="subscript"/>
          <w:lang w:eastAsia="ja-JP"/>
        </w:rPr>
        <w:t>0-inf),</w:t>
      </w:r>
      <w:r>
        <w:rPr>
          <w:lang w:eastAsia="ja-JP"/>
        </w:rPr>
        <w:t xml:space="preserve"> C</w:t>
      </w:r>
      <w:r>
        <w:rPr>
          <w:vertAlign w:val="subscript"/>
          <w:lang w:eastAsia="ja-JP"/>
        </w:rPr>
        <w:t>max</w:t>
      </w:r>
      <w:r>
        <w:rPr>
          <w:lang w:eastAsia="ja-JP"/>
        </w:rPr>
        <w:t xml:space="preserve">, and </w:t>
      </w:r>
      <w:r w:rsidR="00855CA9">
        <w:rPr>
          <w:lang w:eastAsia="ja-JP"/>
        </w:rPr>
        <w:t>t</w:t>
      </w:r>
      <w:r w:rsidR="00855CA9" w:rsidRPr="00855CA9">
        <w:rPr>
          <w:vertAlign w:val="subscript"/>
          <w:lang w:eastAsia="ja-JP"/>
        </w:rPr>
        <w:t>½</w:t>
      </w:r>
      <w:r>
        <w:rPr>
          <w:lang w:eastAsia="ja-JP"/>
        </w:rPr>
        <w:t xml:space="preserve"> were </w:t>
      </w:r>
      <w:r w:rsidRPr="00AA2FE4">
        <w:rPr>
          <w:lang w:eastAsia="ja-JP"/>
        </w:rPr>
        <w:t>similar Tables 1</w:t>
      </w:r>
      <w:r w:rsidR="00AA2FE4" w:rsidRPr="00AA2FE4">
        <w:rPr>
          <w:lang w:eastAsia="ja-JP"/>
        </w:rPr>
        <w:t>7</w:t>
      </w:r>
      <w:r w:rsidR="00AA2FE4">
        <w:rPr>
          <w:lang w:eastAsia="ja-JP"/>
        </w:rPr>
        <w:t>A-C</w:t>
      </w:r>
      <w:r w:rsidRPr="00AA2FE4">
        <w:rPr>
          <w:lang w:eastAsia="ja-JP"/>
        </w:rPr>
        <w:t xml:space="preserve">). </w:t>
      </w:r>
      <w:r w:rsidRPr="00AA2FE4">
        <w:t>Tafenoquine</w:t>
      </w:r>
      <w:r>
        <w:t xml:space="preserve"> does not significantly inhibit or induce CYP2D6, CYP3A4, CYP2C9 or CYP1A2, since in </w:t>
      </w:r>
      <w:r w:rsidR="00473B40">
        <w:t>P</w:t>
      </w:r>
      <w:r>
        <w:t xml:space="preserve">hase </w:t>
      </w:r>
      <w:r w:rsidR="00473B40">
        <w:t>I</w:t>
      </w:r>
      <w:r>
        <w:t xml:space="preserve"> studies, the PK parameters of the CYP2D6 </w:t>
      </w:r>
      <w:r>
        <w:lastRenderedPageBreak/>
        <w:t>substrate desipramine, the CYP3A4 substrate midazolam, the CYP2C9 substrate Flurbiprofen and the CYP1A2 substrate caffeine were unaffected by co-administration of tafenoquine.</w:t>
      </w:r>
    </w:p>
    <w:p w14:paraId="68C7DB32" w14:textId="40D0A160" w:rsidR="008A1A1C" w:rsidRDefault="008A1A1C" w:rsidP="008A1A1C">
      <w:r>
        <w:t>Tafenoquine was a potent inhibitor of renal multidrug and toxin extrusion transporters (MATE) and organic cation transporter 2 in vitro. Since inhibition of these transporters may lead to increased exposure to medications that they excrete, when tafenoquine is co-administered with dofetilide and procainamide, the safety and/or efficacy of the latter drugs may need to be evaluated (no data on these interactions in clinical studies to date).</w:t>
      </w:r>
      <w:r w:rsidR="001D47D5">
        <w:rPr>
          <w:rStyle w:val="FootnoteReference"/>
        </w:rPr>
        <w:footnoteReference w:id="3"/>
      </w:r>
    </w:p>
    <w:p w14:paraId="56310E90" w14:textId="79FD3B4C" w:rsidR="00590F00" w:rsidRPr="00EB341F" w:rsidRDefault="00590F00" w:rsidP="00590F00">
      <w:pPr>
        <w:pStyle w:val="Tabletitle"/>
      </w:pPr>
      <w:bookmarkStart w:id="208" w:name="_Toc476549712"/>
      <w:bookmarkStart w:id="209" w:name="_Toc504229438"/>
      <w:bookmarkStart w:id="210" w:name="_Toc501293686"/>
      <w:r>
        <w:t xml:space="preserve">Table </w:t>
      </w:r>
      <w:r w:rsidR="008D769C">
        <w:t>1</w:t>
      </w:r>
      <w:r w:rsidR="00AA2FE4">
        <w:t>7A</w:t>
      </w:r>
      <w:r w:rsidR="008D769C">
        <w:t>:</w:t>
      </w:r>
      <w:r>
        <w:t xml:space="preserve"> </w:t>
      </w:r>
      <w:r w:rsidRPr="00B9231E">
        <w:t xml:space="preserve">Summary of </w:t>
      </w:r>
      <w:r w:rsidR="00FD4397">
        <w:t>s</w:t>
      </w:r>
      <w:r w:rsidR="00FD4397" w:rsidRPr="00B9231E">
        <w:t xml:space="preserve">tatistical </w:t>
      </w:r>
      <w:r w:rsidR="00FD4397">
        <w:t>a</w:t>
      </w:r>
      <w:r w:rsidR="00FD4397" w:rsidRPr="00B9231E">
        <w:t xml:space="preserve">nalysis </w:t>
      </w:r>
      <w:r w:rsidRPr="00B9231E">
        <w:t>of t</w:t>
      </w:r>
      <w:r w:rsidRPr="00B9231E">
        <w:rPr>
          <w:vertAlign w:val="subscript"/>
        </w:rPr>
        <w:t>½</w:t>
      </w:r>
      <w:r w:rsidR="00FD4397">
        <w:t>;</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Pr="00B9231E">
        <w:t xml:space="preserve">alone and with/after </w:t>
      </w:r>
      <w:bookmarkEnd w:id="208"/>
      <w:bookmarkEnd w:id="209"/>
      <w:bookmarkEnd w:id="210"/>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751"/>
        <w:gridCol w:w="1046"/>
        <w:gridCol w:w="1870"/>
        <w:gridCol w:w="1674"/>
      </w:tblGrid>
      <w:tr w:rsidR="00590F00" w:rsidRPr="00590F00" w14:paraId="6B5780C6" w14:textId="77777777" w:rsidTr="00590F0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1" w:type="pct"/>
          </w:tcPr>
          <w:p w14:paraId="33089EC1" w14:textId="77777777" w:rsidR="00590F00" w:rsidRPr="00590F00" w:rsidRDefault="00590F00" w:rsidP="00590F00">
            <w:pPr>
              <w:rPr>
                <w:sz w:val="20"/>
                <w:szCs w:val="20"/>
              </w:rPr>
            </w:pPr>
            <w:r w:rsidRPr="00590F00">
              <w:rPr>
                <w:sz w:val="20"/>
                <w:szCs w:val="20"/>
              </w:rPr>
              <w:t>Drug</w:t>
            </w:r>
          </w:p>
        </w:tc>
        <w:tc>
          <w:tcPr>
            <w:tcW w:w="608" w:type="pct"/>
          </w:tcPr>
          <w:p w14:paraId="6CBF0FED"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CYP</w:t>
            </w:r>
          </w:p>
        </w:tc>
        <w:tc>
          <w:tcPr>
            <w:tcW w:w="845" w:type="pct"/>
          </w:tcPr>
          <w:p w14:paraId="78D2F1AD"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Comparison</w:t>
            </w:r>
            <w:r w:rsidRPr="00590F00">
              <w:rPr>
                <w:sz w:val="20"/>
                <w:szCs w:val="20"/>
                <w:vertAlign w:val="superscript"/>
              </w:rPr>
              <w:t>#</w:t>
            </w:r>
          </w:p>
        </w:tc>
        <w:tc>
          <w:tcPr>
            <w:tcW w:w="599" w:type="pct"/>
          </w:tcPr>
          <w:p w14:paraId="4F8E8058"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Ratio</w:t>
            </w:r>
          </w:p>
        </w:tc>
        <w:tc>
          <w:tcPr>
            <w:tcW w:w="1154" w:type="pct"/>
          </w:tcPr>
          <w:p w14:paraId="28DE8B9C"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90% CI</w:t>
            </w:r>
          </w:p>
        </w:tc>
        <w:tc>
          <w:tcPr>
            <w:tcW w:w="993" w:type="pct"/>
          </w:tcPr>
          <w:p w14:paraId="7C9E98C4" w14:textId="77777777" w:rsidR="00590F00" w:rsidRPr="00590F00" w:rsidRDefault="00590F00" w:rsidP="00590F00">
            <w:pPr>
              <w:cnfStyle w:val="100000000000" w:firstRow="1" w:lastRow="0" w:firstColumn="0" w:lastColumn="0" w:oddVBand="0" w:evenVBand="0" w:oddHBand="0" w:evenHBand="0" w:firstRowFirstColumn="0" w:firstRowLastColumn="0" w:lastRowFirstColumn="0" w:lastRowLastColumn="0"/>
              <w:rPr>
                <w:sz w:val="20"/>
                <w:szCs w:val="20"/>
              </w:rPr>
            </w:pPr>
            <w:r w:rsidRPr="00590F00">
              <w:rPr>
                <w:sz w:val="20"/>
                <w:szCs w:val="20"/>
              </w:rPr>
              <w:t>CV% (within)</w:t>
            </w:r>
          </w:p>
        </w:tc>
      </w:tr>
      <w:tr w:rsidR="00590F00" w:rsidRPr="00590F00" w14:paraId="42D5C0B8"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16F42996" w14:textId="77777777" w:rsidR="00590F00" w:rsidRPr="00590F00" w:rsidRDefault="00590F00" w:rsidP="00590F00">
            <w:pPr>
              <w:rPr>
                <w:sz w:val="20"/>
                <w:szCs w:val="20"/>
              </w:rPr>
            </w:pPr>
            <w:r w:rsidRPr="00590F00">
              <w:rPr>
                <w:sz w:val="20"/>
                <w:szCs w:val="20"/>
              </w:rPr>
              <w:t>Desipramine</w:t>
            </w:r>
          </w:p>
        </w:tc>
        <w:tc>
          <w:tcPr>
            <w:tcW w:w="608" w:type="pct"/>
          </w:tcPr>
          <w:p w14:paraId="2FEC2A7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CYP2D6</w:t>
            </w:r>
          </w:p>
        </w:tc>
        <w:tc>
          <w:tcPr>
            <w:tcW w:w="845" w:type="pct"/>
          </w:tcPr>
          <w:p w14:paraId="12271D2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C-A</w:t>
            </w:r>
          </w:p>
        </w:tc>
        <w:tc>
          <w:tcPr>
            <w:tcW w:w="599" w:type="pct"/>
          </w:tcPr>
          <w:p w14:paraId="01966B44"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-2.61</w:t>
            </w:r>
          </w:p>
        </w:tc>
        <w:tc>
          <w:tcPr>
            <w:tcW w:w="1154" w:type="pct"/>
          </w:tcPr>
          <w:p w14:paraId="029DBA1E"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(-6.07, 0.86)</w:t>
            </w:r>
          </w:p>
        </w:tc>
        <w:tc>
          <w:tcPr>
            <w:tcW w:w="993" w:type="pct"/>
          </w:tcPr>
          <w:p w14:paraId="77F9BD07"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ND</w:t>
            </w:r>
          </w:p>
        </w:tc>
      </w:tr>
      <w:tr w:rsidR="00590F00" w:rsidRPr="00590F00" w14:paraId="50B4298E"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1D4F3839" w14:textId="77777777" w:rsidR="00590F00" w:rsidRPr="00590F00" w:rsidRDefault="00590F00" w:rsidP="00590F00">
            <w:pPr>
              <w:rPr>
                <w:sz w:val="20"/>
                <w:szCs w:val="20"/>
              </w:rPr>
            </w:pPr>
            <w:r w:rsidRPr="00590F00">
              <w:rPr>
                <w:sz w:val="20"/>
                <w:szCs w:val="20"/>
              </w:rPr>
              <w:t>Midazolam</w:t>
            </w:r>
          </w:p>
        </w:tc>
        <w:tc>
          <w:tcPr>
            <w:tcW w:w="608" w:type="pct"/>
          </w:tcPr>
          <w:p w14:paraId="032CB35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CYP3A4</w:t>
            </w:r>
          </w:p>
        </w:tc>
        <w:tc>
          <w:tcPr>
            <w:tcW w:w="845" w:type="pct"/>
          </w:tcPr>
          <w:p w14:paraId="64E8887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B2:A1</w:t>
            </w:r>
          </w:p>
        </w:tc>
        <w:tc>
          <w:tcPr>
            <w:tcW w:w="599" w:type="pct"/>
          </w:tcPr>
          <w:p w14:paraId="47C7123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0.98</w:t>
            </w:r>
          </w:p>
        </w:tc>
        <w:tc>
          <w:tcPr>
            <w:tcW w:w="1154" w:type="pct"/>
          </w:tcPr>
          <w:p w14:paraId="3B13D86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(0.89, 1.08)</w:t>
            </w:r>
          </w:p>
        </w:tc>
        <w:tc>
          <w:tcPr>
            <w:tcW w:w="993" w:type="pct"/>
          </w:tcPr>
          <w:p w14:paraId="03618EE9"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18.8</w:t>
            </w:r>
          </w:p>
        </w:tc>
      </w:tr>
      <w:tr w:rsidR="00590F00" w:rsidRPr="00590F00" w14:paraId="46F816FE"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2AAB0D2C" w14:textId="77777777" w:rsidR="00590F00" w:rsidRPr="00590F00" w:rsidRDefault="00590F00" w:rsidP="00590F00">
            <w:pPr>
              <w:rPr>
                <w:sz w:val="20"/>
                <w:szCs w:val="20"/>
              </w:rPr>
            </w:pPr>
            <w:r w:rsidRPr="00590F00">
              <w:rPr>
                <w:sz w:val="20"/>
                <w:szCs w:val="20"/>
              </w:rPr>
              <w:t>Flurbiprofen</w:t>
            </w:r>
          </w:p>
        </w:tc>
        <w:tc>
          <w:tcPr>
            <w:tcW w:w="608" w:type="pct"/>
          </w:tcPr>
          <w:p w14:paraId="7F2509A0"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CYP2C9</w:t>
            </w:r>
          </w:p>
        </w:tc>
        <w:tc>
          <w:tcPr>
            <w:tcW w:w="845" w:type="pct"/>
          </w:tcPr>
          <w:p w14:paraId="4AEF4B9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B3:A2</w:t>
            </w:r>
          </w:p>
        </w:tc>
        <w:tc>
          <w:tcPr>
            <w:tcW w:w="599" w:type="pct"/>
          </w:tcPr>
          <w:p w14:paraId="5934B60D"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1.15</w:t>
            </w:r>
          </w:p>
        </w:tc>
        <w:tc>
          <w:tcPr>
            <w:tcW w:w="1154" w:type="pct"/>
          </w:tcPr>
          <w:p w14:paraId="5638FFC4"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(1.10, 1.21)</w:t>
            </w:r>
          </w:p>
        </w:tc>
        <w:tc>
          <w:tcPr>
            <w:tcW w:w="993" w:type="pct"/>
          </w:tcPr>
          <w:p w14:paraId="63B8E362"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9.1</w:t>
            </w:r>
          </w:p>
        </w:tc>
      </w:tr>
      <w:tr w:rsidR="00590F00" w:rsidRPr="00590F00" w14:paraId="4ACBB1D2" w14:textId="77777777" w:rsidTr="00590F00">
        <w:tc>
          <w:tcPr>
            <w:cnfStyle w:val="001000000000" w:firstRow="0" w:lastRow="0" w:firstColumn="1" w:lastColumn="0" w:oddVBand="0" w:evenVBand="0" w:oddHBand="0" w:evenHBand="0" w:firstRowFirstColumn="0" w:firstRowLastColumn="0" w:lastRowFirstColumn="0" w:lastRowLastColumn="0"/>
            <w:tcW w:w="801" w:type="pct"/>
          </w:tcPr>
          <w:p w14:paraId="3696F9CC" w14:textId="77777777" w:rsidR="00590F00" w:rsidRPr="00590F00" w:rsidRDefault="00590F00" w:rsidP="00590F00">
            <w:pPr>
              <w:rPr>
                <w:sz w:val="20"/>
                <w:szCs w:val="20"/>
              </w:rPr>
            </w:pPr>
            <w:r w:rsidRPr="00590F00">
              <w:rPr>
                <w:sz w:val="20"/>
                <w:szCs w:val="20"/>
              </w:rPr>
              <w:t>Caffeine</w:t>
            </w:r>
          </w:p>
        </w:tc>
        <w:tc>
          <w:tcPr>
            <w:tcW w:w="608" w:type="pct"/>
          </w:tcPr>
          <w:p w14:paraId="58F9D3AF"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CYP1A2</w:t>
            </w:r>
          </w:p>
        </w:tc>
        <w:tc>
          <w:tcPr>
            <w:tcW w:w="845" w:type="pct"/>
          </w:tcPr>
          <w:p w14:paraId="033AD2D8"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B3:A2</w:t>
            </w:r>
          </w:p>
        </w:tc>
        <w:tc>
          <w:tcPr>
            <w:tcW w:w="599" w:type="pct"/>
          </w:tcPr>
          <w:p w14:paraId="02B75C0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1.03</w:t>
            </w:r>
          </w:p>
        </w:tc>
        <w:tc>
          <w:tcPr>
            <w:tcW w:w="1154" w:type="pct"/>
          </w:tcPr>
          <w:p w14:paraId="4F520475"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(0.99, 1.08)</w:t>
            </w:r>
          </w:p>
        </w:tc>
        <w:tc>
          <w:tcPr>
            <w:tcW w:w="993" w:type="pct"/>
          </w:tcPr>
          <w:p w14:paraId="1881E8C6" w14:textId="77777777" w:rsidR="00590F00" w:rsidRPr="00590F00" w:rsidRDefault="00590F00" w:rsidP="00590F00">
            <w:pPr>
              <w:cnfStyle w:val="000000000000" w:firstRow="0" w:lastRow="0" w:firstColumn="0" w:lastColumn="0" w:oddVBand="0" w:evenVBand="0" w:oddHBand="0" w:evenHBand="0" w:firstRowFirstColumn="0" w:firstRowLastColumn="0" w:lastRowFirstColumn="0" w:lastRowLastColumn="0"/>
              <w:rPr>
                <w:sz w:val="20"/>
                <w:szCs w:val="20"/>
              </w:rPr>
            </w:pPr>
            <w:r w:rsidRPr="00590F00">
              <w:rPr>
                <w:sz w:val="20"/>
                <w:szCs w:val="20"/>
              </w:rPr>
              <w:t>8.8</w:t>
            </w:r>
          </w:p>
        </w:tc>
      </w:tr>
    </w:tbl>
    <w:p w14:paraId="0371A07B" w14:textId="77777777" w:rsidR="00590F00" w:rsidRDefault="00590F00" w:rsidP="00590F00">
      <w:pPr>
        <w:pStyle w:val="TableDescription"/>
      </w:pPr>
      <w:r w:rsidRPr="00765165">
        <w:rPr>
          <w:vertAlign w:val="superscript"/>
        </w:rPr>
        <w:t>#</w:t>
      </w:r>
      <w:r w:rsidRPr="00765165">
        <w:t xml:space="preserve"> All comparisons listed are a ratio of regimen 1 to regimen 2, except desipramine, which displays the difference between t</w:t>
      </w:r>
      <w:r w:rsidRPr="00765165">
        <w:rPr>
          <w:vertAlign w:val="subscript"/>
        </w:rPr>
        <w:t xml:space="preserve">½ </w:t>
      </w:r>
      <w:r w:rsidRPr="00765165">
        <w:t>of regimens 1 and 2 (i.e. t</w:t>
      </w:r>
      <w:r w:rsidRPr="00765165">
        <w:rPr>
          <w:vertAlign w:val="subscript"/>
        </w:rPr>
        <w:t xml:space="preserve">½ </w:t>
      </w:r>
      <w:r w:rsidRPr="00765165">
        <w:t xml:space="preserve">decreased by 2.61 hours on average, in the presence of tafenoquine). A, Desipramine alone; A1, Midazolam 5 mg; A2, Flurbiprofen 50 mg + caffeine 200 mg; B2, Midazolam 5 mg + tafenoquine 400 mg; B3, Flurbiprofen 50 mg + Caffeine 200 mg (post administration of </w:t>
      </w:r>
      <w:r w:rsidRPr="00B743F3">
        <w:t>tafenoquine 400 mg</w:t>
      </w:r>
      <w:r w:rsidRPr="00765165">
        <w:t>); C, Desipramine + tafenoquine. CI, confidence interval; CV, coefficient of variation; ND</w:t>
      </w:r>
      <w:r w:rsidR="00774249">
        <w:t>=</w:t>
      </w:r>
      <w:r w:rsidRPr="00765165">
        <w:t xml:space="preserve"> not determined.</w:t>
      </w:r>
    </w:p>
    <w:p w14:paraId="39264455" w14:textId="2E6009FA" w:rsidR="00AA2FE4" w:rsidRPr="00B9231E" w:rsidRDefault="00AA2FE4" w:rsidP="00AA2FE4">
      <w:pPr>
        <w:pStyle w:val="Tabletitle"/>
      </w:pPr>
      <w:r>
        <w:t>Table 17B</w:t>
      </w:r>
      <w:r w:rsidR="00774249">
        <w:t>:</w:t>
      </w:r>
      <w:r>
        <w:t xml:space="preserve"> </w:t>
      </w:r>
      <w:r w:rsidRPr="00B9231E">
        <w:t xml:space="preserve">Summary of </w:t>
      </w:r>
      <w:r w:rsidR="00FD4397">
        <w:t>s</w:t>
      </w:r>
      <w:r w:rsidR="00FD4397" w:rsidRPr="00B9231E">
        <w:t xml:space="preserve">tatistical </w:t>
      </w:r>
      <w:r w:rsidR="00FD4397">
        <w:t>a</w:t>
      </w:r>
      <w:r w:rsidR="00FD4397" w:rsidRPr="00B9231E">
        <w:t xml:space="preserve">nalysis </w:t>
      </w:r>
      <w:r w:rsidRPr="00B9231E">
        <w:t>of C</w:t>
      </w:r>
      <w:r w:rsidRPr="00283520">
        <w:rPr>
          <w:vertAlign w:val="subscript"/>
        </w:rPr>
        <w:t>max</w:t>
      </w:r>
      <w:r w:rsidRPr="00B9231E">
        <w:t xml:space="preserve">, </w:t>
      </w:r>
      <w:r w:rsidR="00FD4397">
        <w:t>c</w:t>
      </w:r>
      <w:r w:rsidR="00FD4397" w:rsidRPr="00B9231E">
        <w:t xml:space="preserve">omparing </w:t>
      </w:r>
      <w:r w:rsidRPr="00B9231E">
        <w:t xml:space="preserve">CYP </w:t>
      </w:r>
      <w:r w:rsidR="00FD4397">
        <w:t>s</w:t>
      </w:r>
      <w:r w:rsidR="00FD4397" w:rsidRPr="00B9231E">
        <w:t xml:space="preserve">ubstrates </w:t>
      </w:r>
      <w:r w:rsidR="00FD4397">
        <w:t>a</w:t>
      </w:r>
      <w:r w:rsidR="00FD4397" w:rsidRPr="00B9231E">
        <w:t xml:space="preserve">dministered </w:t>
      </w:r>
      <w:r w:rsidR="00FD4397">
        <w:t>a</w:t>
      </w:r>
      <w:r w:rsidR="00FD4397" w:rsidRPr="00B9231E">
        <w:t xml:space="preserve">lone </w:t>
      </w:r>
      <w:r w:rsidRPr="00B9231E">
        <w:t xml:space="preserve">and with/after </w:t>
      </w:r>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671"/>
        <w:gridCol w:w="1046"/>
        <w:gridCol w:w="1924"/>
        <w:gridCol w:w="1700"/>
      </w:tblGrid>
      <w:tr w:rsidR="00AA2FE4" w:rsidRPr="00A54C96" w14:paraId="7EC4D8AF" w14:textId="77777777" w:rsidTr="00AA2F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1" w:type="pct"/>
          </w:tcPr>
          <w:p w14:paraId="0C184CD2" w14:textId="77777777" w:rsidR="00AA2FE4" w:rsidRPr="00AA2FE4" w:rsidRDefault="00AA2FE4" w:rsidP="001206BA">
            <w:pPr>
              <w:rPr>
                <w:sz w:val="20"/>
                <w:szCs w:val="20"/>
              </w:rPr>
            </w:pPr>
            <w:r w:rsidRPr="00AA2FE4">
              <w:rPr>
                <w:sz w:val="20"/>
                <w:szCs w:val="20"/>
              </w:rPr>
              <w:t>Drug</w:t>
            </w:r>
            <w:r w:rsidR="001206BA">
              <w:rPr>
                <w:sz w:val="20"/>
                <w:szCs w:val="20"/>
              </w:rPr>
              <w:t>*</w:t>
            </w:r>
          </w:p>
        </w:tc>
        <w:tc>
          <w:tcPr>
            <w:tcW w:w="608" w:type="pct"/>
          </w:tcPr>
          <w:p w14:paraId="1B47C2E6"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CYP</w:t>
            </w:r>
          </w:p>
        </w:tc>
        <w:tc>
          <w:tcPr>
            <w:tcW w:w="845" w:type="pct"/>
          </w:tcPr>
          <w:p w14:paraId="2B0CA448"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Comparison</w:t>
            </w:r>
          </w:p>
        </w:tc>
        <w:tc>
          <w:tcPr>
            <w:tcW w:w="599" w:type="pct"/>
          </w:tcPr>
          <w:p w14:paraId="1F0736E0"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Ratio</w:t>
            </w:r>
          </w:p>
        </w:tc>
        <w:tc>
          <w:tcPr>
            <w:tcW w:w="1154" w:type="pct"/>
          </w:tcPr>
          <w:p w14:paraId="72D0E53F"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90% CI</w:t>
            </w:r>
          </w:p>
        </w:tc>
        <w:tc>
          <w:tcPr>
            <w:tcW w:w="993" w:type="pct"/>
          </w:tcPr>
          <w:p w14:paraId="52F792BA"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CV% (within)</w:t>
            </w:r>
          </w:p>
        </w:tc>
      </w:tr>
      <w:tr w:rsidR="00AA2FE4" w:rsidRPr="00A54C96" w14:paraId="5411F7FE"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60B9C016" w14:textId="77777777" w:rsidR="00AA2FE4" w:rsidRPr="00AA2FE4" w:rsidRDefault="00AA2FE4" w:rsidP="00AA2FE4">
            <w:pPr>
              <w:rPr>
                <w:sz w:val="20"/>
                <w:szCs w:val="20"/>
              </w:rPr>
            </w:pPr>
            <w:r w:rsidRPr="00AA2FE4">
              <w:rPr>
                <w:sz w:val="20"/>
                <w:szCs w:val="20"/>
              </w:rPr>
              <w:t>Desipramine</w:t>
            </w:r>
          </w:p>
        </w:tc>
        <w:tc>
          <w:tcPr>
            <w:tcW w:w="608" w:type="pct"/>
          </w:tcPr>
          <w:p w14:paraId="510AF86A"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CYP2D6</w:t>
            </w:r>
          </w:p>
        </w:tc>
        <w:tc>
          <w:tcPr>
            <w:tcW w:w="845" w:type="pct"/>
          </w:tcPr>
          <w:p w14:paraId="2CE8CDF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C:A</w:t>
            </w:r>
          </w:p>
        </w:tc>
        <w:tc>
          <w:tcPr>
            <w:tcW w:w="599" w:type="pct"/>
          </w:tcPr>
          <w:p w14:paraId="7A32D6F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1.04</w:t>
            </w:r>
          </w:p>
        </w:tc>
        <w:tc>
          <w:tcPr>
            <w:tcW w:w="1154" w:type="pct"/>
          </w:tcPr>
          <w:p w14:paraId="0B6ED30D"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(0.98, 1.10)</w:t>
            </w:r>
          </w:p>
        </w:tc>
        <w:tc>
          <w:tcPr>
            <w:tcW w:w="993" w:type="pct"/>
          </w:tcPr>
          <w:p w14:paraId="35A3481B"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11.1</w:t>
            </w:r>
          </w:p>
        </w:tc>
      </w:tr>
      <w:tr w:rsidR="00AA2FE4" w:rsidRPr="00A54C96" w14:paraId="7DEF4F3E"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5063B05A" w14:textId="77777777" w:rsidR="00AA2FE4" w:rsidRPr="00AA2FE4" w:rsidRDefault="00AA2FE4" w:rsidP="00AA2FE4">
            <w:pPr>
              <w:rPr>
                <w:sz w:val="20"/>
                <w:szCs w:val="20"/>
              </w:rPr>
            </w:pPr>
            <w:r w:rsidRPr="00AA2FE4">
              <w:rPr>
                <w:sz w:val="20"/>
                <w:szCs w:val="20"/>
              </w:rPr>
              <w:t>Midazolam</w:t>
            </w:r>
          </w:p>
        </w:tc>
        <w:tc>
          <w:tcPr>
            <w:tcW w:w="608" w:type="pct"/>
          </w:tcPr>
          <w:p w14:paraId="1B7147D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CYP3A4</w:t>
            </w:r>
          </w:p>
        </w:tc>
        <w:tc>
          <w:tcPr>
            <w:tcW w:w="845" w:type="pct"/>
          </w:tcPr>
          <w:p w14:paraId="63DCA53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B2: A1</w:t>
            </w:r>
          </w:p>
        </w:tc>
        <w:tc>
          <w:tcPr>
            <w:tcW w:w="599" w:type="pct"/>
          </w:tcPr>
          <w:p w14:paraId="22BC1B95"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0.97</w:t>
            </w:r>
          </w:p>
        </w:tc>
        <w:tc>
          <w:tcPr>
            <w:tcW w:w="1154" w:type="pct"/>
          </w:tcPr>
          <w:p w14:paraId="257AF7BA"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(0.83, 1.13)</w:t>
            </w:r>
          </w:p>
        </w:tc>
        <w:tc>
          <w:tcPr>
            <w:tcW w:w="993" w:type="pct"/>
          </w:tcPr>
          <w:p w14:paraId="797E50D1"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32.0</w:t>
            </w:r>
          </w:p>
        </w:tc>
      </w:tr>
      <w:tr w:rsidR="00AA2FE4" w:rsidRPr="00A54C96" w14:paraId="35AE9D71"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60BFFE53" w14:textId="77777777" w:rsidR="00AA2FE4" w:rsidRPr="00AA2FE4" w:rsidRDefault="00AA2FE4" w:rsidP="00AA2FE4">
            <w:pPr>
              <w:rPr>
                <w:sz w:val="20"/>
                <w:szCs w:val="20"/>
              </w:rPr>
            </w:pPr>
            <w:r w:rsidRPr="00AA2FE4">
              <w:rPr>
                <w:sz w:val="20"/>
                <w:szCs w:val="20"/>
              </w:rPr>
              <w:t>Flurbiprofen</w:t>
            </w:r>
          </w:p>
        </w:tc>
        <w:tc>
          <w:tcPr>
            <w:tcW w:w="608" w:type="pct"/>
          </w:tcPr>
          <w:p w14:paraId="408C994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CYP2C9</w:t>
            </w:r>
          </w:p>
        </w:tc>
        <w:tc>
          <w:tcPr>
            <w:tcW w:w="845" w:type="pct"/>
          </w:tcPr>
          <w:p w14:paraId="6CE144E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191D6BC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w:t>
            </w:r>
          </w:p>
        </w:tc>
        <w:tc>
          <w:tcPr>
            <w:tcW w:w="1154" w:type="pct"/>
          </w:tcPr>
          <w:p w14:paraId="18BB54C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(0.91, 1.04)</w:t>
            </w:r>
          </w:p>
        </w:tc>
        <w:tc>
          <w:tcPr>
            <w:tcW w:w="993" w:type="pct"/>
          </w:tcPr>
          <w:p w14:paraId="65B040B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13.9</w:t>
            </w:r>
          </w:p>
        </w:tc>
      </w:tr>
      <w:tr w:rsidR="00AA2FE4" w:rsidRPr="00A54C96" w14:paraId="6C7A1B20"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06DADB69" w14:textId="77777777" w:rsidR="00AA2FE4" w:rsidRPr="00AA2FE4" w:rsidRDefault="00AA2FE4" w:rsidP="00AA2FE4">
            <w:pPr>
              <w:rPr>
                <w:sz w:val="20"/>
                <w:szCs w:val="20"/>
              </w:rPr>
            </w:pPr>
            <w:r w:rsidRPr="00AA2FE4">
              <w:rPr>
                <w:sz w:val="20"/>
                <w:szCs w:val="20"/>
              </w:rPr>
              <w:t>Caffeine</w:t>
            </w:r>
          </w:p>
        </w:tc>
        <w:tc>
          <w:tcPr>
            <w:tcW w:w="608" w:type="pct"/>
          </w:tcPr>
          <w:p w14:paraId="151FF914"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CYP1A2</w:t>
            </w:r>
          </w:p>
        </w:tc>
        <w:tc>
          <w:tcPr>
            <w:tcW w:w="845" w:type="pct"/>
          </w:tcPr>
          <w:p w14:paraId="06A33502"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 : A2</w:t>
            </w:r>
          </w:p>
        </w:tc>
        <w:tc>
          <w:tcPr>
            <w:tcW w:w="599" w:type="pct"/>
          </w:tcPr>
          <w:p w14:paraId="3E353EC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0.95</w:t>
            </w:r>
          </w:p>
        </w:tc>
        <w:tc>
          <w:tcPr>
            <w:tcW w:w="1154" w:type="pct"/>
          </w:tcPr>
          <w:p w14:paraId="1BB73DB4"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(0.89, 1.01)</w:t>
            </w:r>
          </w:p>
        </w:tc>
        <w:tc>
          <w:tcPr>
            <w:tcW w:w="993" w:type="pct"/>
          </w:tcPr>
          <w:p w14:paraId="5FC6E63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13.6</w:t>
            </w:r>
          </w:p>
        </w:tc>
      </w:tr>
    </w:tbl>
    <w:p w14:paraId="236F8A58" w14:textId="77777777" w:rsidR="00AA2FE4" w:rsidRDefault="001206BA" w:rsidP="00AA2FE4">
      <w:pPr>
        <w:pStyle w:val="TableDescription"/>
        <w:rPr>
          <w:sz w:val="24"/>
          <w:szCs w:val="24"/>
        </w:rPr>
      </w:pPr>
      <w:r>
        <w:t>*</w:t>
      </w:r>
      <w:r w:rsidR="00AA2FE4" w:rsidRPr="00A54C96">
        <w:t xml:space="preserve">A, Desipramine alone; A1, Midazolam 5 mg; A2, Flurbiprofen 50 mg + caffeine 200 mg; B2, Midozolam 5 mg + </w:t>
      </w:r>
      <w:r w:rsidR="00AA2FE4" w:rsidRPr="00442905">
        <w:t>tafenoquine 400 mg</w:t>
      </w:r>
      <w:r w:rsidR="00AA2FE4" w:rsidRPr="00A54C96">
        <w:t xml:space="preserve">; B3, Flurbiprofen 50 mg + Caffeine 200 mg (post administration of </w:t>
      </w:r>
      <w:r w:rsidR="00AA2FE4" w:rsidRPr="00442905">
        <w:t>tafenoquine 400 mg</w:t>
      </w:r>
      <w:r w:rsidR="00AA2FE4" w:rsidRPr="00A54C96">
        <w:t>); C, Desipramine + tafenoquine</w:t>
      </w:r>
      <w:r w:rsidR="00AA2FE4" w:rsidRPr="00EB341F">
        <w:rPr>
          <w:sz w:val="24"/>
          <w:szCs w:val="24"/>
        </w:rPr>
        <w:t>.</w:t>
      </w:r>
      <w:r w:rsidR="00AA2FE4">
        <w:rPr>
          <w:sz w:val="24"/>
          <w:szCs w:val="24"/>
        </w:rPr>
        <w:t xml:space="preserve"> </w:t>
      </w:r>
    </w:p>
    <w:p w14:paraId="091B2538" w14:textId="0B82C37E" w:rsidR="00AA2FE4" w:rsidRPr="00EB341F" w:rsidRDefault="00AA2FE4" w:rsidP="00AA2FE4">
      <w:pPr>
        <w:pStyle w:val="Tabletitle"/>
      </w:pPr>
      <w:r>
        <w:lastRenderedPageBreak/>
        <w:t xml:space="preserve">Table </w:t>
      </w:r>
      <w:r w:rsidR="00B743F3">
        <w:rPr>
          <w:noProof/>
        </w:rPr>
        <w:t>17C</w:t>
      </w:r>
      <w:r w:rsidR="00774249">
        <w:rPr>
          <w:noProof/>
        </w:rPr>
        <w:t>:</w:t>
      </w:r>
      <w:r>
        <w:t xml:space="preserve"> </w:t>
      </w:r>
      <w:r w:rsidRPr="00B9231E">
        <w:t xml:space="preserve">Summary of </w:t>
      </w:r>
      <w:r w:rsidR="00FD4397">
        <w:t>s</w:t>
      </w:r>
      <w:r w:rsidR="00FD4397" w:rsidRPr="00B9231E">
        <w:t xml:space="preserve">tatistical </w:t>
      </w:r>
      <w:r w:rsidR="00FD4397">
        <w:t>a</w:t>
      </w:r>
      <w:r w:rsidR="00FD4397" w:rsidRPr="00B9231E">
        <w:t xml:space="preserve">nalysis </w:t>
      </w:r>
      <w:r w:rsidRPr="00B9231E">
        <w:t>of t</w:t>
      </w:r>
      <w:r w:rsidRPr="00B9231E">
        <w:rPr>
          <w:vertAlign w:val="subscript"/>
        </w:rPr>
        <w:t>½</w:t>
      </w:r>
      <w:r w:rsidRPr="00B9231E">
        <w:t xml:space="preserve"> </w:t>
      </w:r>
      <w:r w:rsidR="00FD4397">
        <w:t>c</w:t>
      </w:r>
      <w:r w:rsidRPr="00B9231E">
        <w:t xml:space="preserve">omparing CYP </w:t>
      </w:r>
      <w:r w:rsidR="00FD4397">
        <w:t>s</w:t>
      </w:r>
      <w:r w:rsidR="00FD4397" w:rsidRPr="00B9231E">
        <w:t xml:space="preserve">ubstrates </w:t>
      </w:r>
      <w:r w:rsidR="00FD4397">
        <w:t>a</w:t>
      </w:r>
      <w:r w:rsidR="00FD4397" w:rsidRPr="00B9231E">
        <w:t xml:space="preserve">dministered </w:t>
      </w:r>
      <w:r w:rsidRPr="00B9231E">
        <w:t xml:space="preserve">alone and with/after </w:t>
      </w:r>
      <w:r w:rsidR="00FD4397">
        <w:t>t</w:t>
      </w:r>
      <w:r w:rsidR="00FD4397" w:rsidRPr="00B9231E">
        <w:t>afenoquine</w:t>
      </w:r>
    </w:p>
    <w:tbl>
      <w:tblPr>
        <w:tblStyle w:val="TableTGAblue"/>
        <w:tblW w:w="5000" w:type="pct"/>
        <w:tblLook w:val="00A0" w:firstRow="1" w:lastRow="0" w:firstColumn="1" w:lastColumn="0" w:noHBand="0" w:noVBand="0"/>
      </w:tblPr>
      <w:tblGrid>
        <w:gridCol w:w="1651"/>
        <w:gridCol w:w="1250"/>
        <w:gridCol w:w="1751"/>
        <w:gridCol w:w="1046"/>
        <w:gridCol w:w="1870"/>
        <w:gridCol w:w="1674"/>
      </w:tblGrid>
      <w:tr w:rsidR="00AA2FE4" w:rsidRPr="00A54C96" w14:paraId="436D1AE9" w14:textId="77777777" w:rsidTr="00AA2F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1" w:type="pct"/>
          </w:tcPr>
          <w:p w14:paraId="716F8140" w14:textId="77777777" w:rsidR="00AA2FE4" w:rsidRPr="00AA2FE4" w:rsidRDefault="00AA2FE4" w:rsidP="00AA2FE4">
            <w:pPr>
              <w:rPr>
                <w:sz w:val="20"/>
                <w:szCs w:val="20"/>
              </w:rPr>
            </w:pPr>
            <w:r w:rsidRPr="00AA2FE4">
              <w:rPr>
                <w:sz w:val="20"/>
                <w:szCs w:val="20"/>
              </w:rPr>
              <w:t>Drug</w:t>
            </w:r>
          </w:p>
        </w:tc>
        <w:tc>
          <w:tcPr>
            <w:tcW w:w="608" w:type="pct"/>
          </w:tcPr>
          <w:p w14:paraId="5DBE5F05"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CYP</w:t>
            </w:r>
          </w:p>
        </w:tc>
        <w:tc>
          <w:tcPr>
            <w:tcW w:w="845" w:type="pct"/>
          </w:tcPr>
          <w:p w14:paraId="6B503CDF"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Comparison</w:t>
            </w:r>
            <w:r w:rsidRPr="00AA2FE4">
              <w:rPr>
                <w:sz w:val="20"/>
                <w:szCs w:val="20"/>
                <w:vertAlign w:val="superscript"/>
              </w:rPr>
              <w:t>#</w:t>
            </w:r>
          </w:p>
        </w:tc>
        <w:tc>
          <w:tcPr>
            <w:tcW w:w="599" w:type="pct"/>
          </w:tcPr>
          <w:p w14:paraId="003C3319"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Ratio</w:t>
            </w:r>
          </w:p>
        </w:tc>
        <w:tc>
          <w:tcPr>
            <w:tcW w:w="1154" w:type="pct"/>
          </w:tcPr>
          <w:p w14:paraId="2080F1C4"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90% CI</w:t>
            </w:r>
          </w:p>
        </w:tc>
        <w:tc>
          <w:tcPr>
            <w:tcW w:w="993" w:type="pct"/>
          </w:tcPr>
          <w:p w14:paraId="0DC7C213" w14:textId="77777777" w:rsidR="00AA2FE4" w:rsidRPr="00AA2FE4" w:rsidRDefault="00AA2FE4" w:rsidP="00AA2FE4">
            <w:pPr>
              <w:cnfStyle w:val="100000000000" w:firstRow="1" w:lastRow="0" w:firstColumn="0" w:lastColumn="0" w:oddVBand="0" w:evenVBand="0" w:oddHBand="0" w:evenHBand="0" w:firstRowFirstColumn="0" w:firstRowLastColumn="0" w:lastRowFirstColumn="0" w:lastRowLastColumn="0"/>
              <w:rPr>
                <w:sz w:val="20"/>
                <w:szCs w:val="20"/>
              </w:rPr>
            </w:pPr>
            <w:r w:rsidRPr="00AA2FE4">
              <w:rPr>
                <w:sz w:val="20"/>
                <w:szCs w:val="20"/>
              </w:rPr>
              <w:t>CV% (within)</w:t>
            </w:r>
          </w:p>
        </w:tc>
      </w:tr>
      <w:tr w:rsidR="00AA2FE4" w:rsidRPr="00A54C96" w14:paraId="1DB957B3"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4BAE2579" w14:textId="77777777" w:rsidR="00AA2FE4" w:rsidRPr="00AA2FE4" w:rsidRDefault="00AA2FE4" w:rsidP="00AA2FE4">
            <w:pPr>
              <w:rPr>
                <w:sz w:val="20"/>
                <w:szCs w:val="20"/>
              </w:rPr>
            </w:pPr>
            <w:r w:rsidRPr="00AA2FE4">
              <w:rPr>
                <w:sz w:val="20"/>
                <w:szCs w:val="20"/>
              </w:rPr>
              <w:t>Desipramine</w:t>
            </w:r>
          </w:p>
        </w:tc>
        <w:tc>
          <w:tcPr>
            <w:tcW w:w="608" w:type="pct"/>
          </w:tcPr>
          <w:p w14:paraId="72E0821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CYP2D6</w:t>
            </w:r>
          </w:p>
        </w:tc>
        <w:tc>
          <w:tcPr>
            <w:tcW w:w="845" w:type="pct"/>
          </w:tcPr>
          <w:p w14:paraId="29EAFB0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C-A</w:t>
            </w:r>
          </w:p>
        </w:tc>
        <w:tc>
          <w:tcPr>
            <w:tcW w:w="599" w:type="pct"/>
          </w:tcPr>
          <w:p w14:paraId="36AE0E25"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-2.61</w:t>
            </w:r>
          </w:p>
        </w:tc>
        <w:tc>
          <w:tcPr>
            <w:tcW w:w="1154" w:type="pct"/>
          </w:tcPr>
          <w:p w14:paraId="4E6174E9"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(-6.07, 0.86)</w:t>
            </w:r>
          </w:p>
        </w:tc>
        <w:tc>
          <w:tcPr>
            <w:tcW w:w="993" w:type="pct"/>
          </w:tcPr>
          <w:p w14:paraId="0BCEF5D3"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ND</w:t>
            </w:r>
          </w:p>
        </w:tc>
      </w:tr>
      <w:tr w:rsidR="00AA2FE4" w:rsidRPr="00A54C96" w14:paraId="3A53B2A0"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6A6642C5" w14:textId="77777777" w:rsidR="00AA2FE4" w:rsidRPr="00AA2FE4" w:rsidRDefault="00AA2FE4" w:rsidP="00AA2FE4">
            <w:pPr>
              <w:rPr>
                <w:sz w:val="20"/>
                <w:szCs w:val="20"/>
              </w:rPr>
            </w:pPr>
            <w:r w:rsidRPr="00AA2FE4">
              <w:rPr>
                <w:sz w:val="20"/>
                <w:szCs w:val="20"/>
              </w:rPr>
              <w:t>Midazolam</w:t>
            </w:r>
          </w:p>
        </w:tc>
        <w:tc>
          <w:tcPr>
            <w:tcW w:w="608" w:type="pct"/>
          </w:tcPr>
          <w:p w14:paraId="701C6A1D"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CYP3A4</w:t>
            </w:r>
          </w:p>
        </w:tc>
        <w:tc>
          <w:tcPr>
            <w:tcW w:w="845" w:type="pct"/>
          </w:tcPr>
          <w:p w14:paraId="0D1FBF9E"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B2:A1</w:t>
            </w:r>
          </w:p>
        </w:tc>
        <w:tc>
          <w:tcPr>
            <w:tcW w:w="599" w:type="pct"/>
          </w:tcPr>
          <w:p w14:paraId="1606C53A"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0.98</w:t>
            </w:r>
          </w:p>
        </w:tc>
        <w:tc>
          <w:tcPr>
            <w:tcW w:w="1154" w:type="pct"/>
          </w:tcPr>
          <w:p w14:paraId="1CC8F7B9"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(0.89, 1.08)</w:t>
            </w:r>
          </w:p>
        </w:tc>
        <w:tc>
          <w:tcPr>
            <w:tcW w:w="993" w:type="pct"/>
          </w:tcPr>
          <w:p w14:paraId="64D429C7"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18.8</w:t>
            </w:r>
          </w:p>
        </w:tc>
      </w:tr>
      <w:tr w:rsidR="00AA2FE4" w:rsidRPr="00A54C96" w14:paraId="7FF383D2"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37F87D37" w14:textId="77777777" w:rsidR="00AA2FE4" w:rsidRPr="00AA2FE4" w:rsidRDefault="00AA2FE4" w:rsidP="00AA2FE4">
            <w:pPr>
              <w:rPr>
                <w:sz w:val="20"/>
                <w:szCs w:val="20"/>
              </w:rPr>
            </w:pPr>
            <w:r w:rsidRPr="00AA2FE4">
              <w:rPr>
                <w:sz w:val="20"/>
                <w:szCs w:val="20"/>
              </w:rPr>
              <w:t>Flurbiprofen</w:t>
            </w:r>
          </w:p>
        </w:tc>
        <w:tc>
          <w:tcPr>
            <w:tcW w:w="608" w:type="pct"/>
          </w:tcPr>
          <w:p w14:paraId="52E87FB2"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CYP2C9</w:t>
            </w:r>
          </w:p>
        </w:tc>
        <w:tc>
          <w:tcPr>
            <w:tcW w:w="845" w:type="pct"/>
          </w:tcPr>
          <w:p w14:paraId="3C77ABE7"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B3:A2</w:t>
            </w:r>
          </w:p>
        </w:tc>
        <w:tc>
          <w:tcPr>
            <w:tcW w:w="599" w:type="pct"/>
          </w:tcPr>
          <w:p w14:paraId="560A8765"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1.15</w:t>
            </w:r>
          </w:p>
        </w:tc>
        <w:tc>
          <w:tcPr>
            <w:tcW w:w="1154" w:type="pct"/>
          </w:tcPr>
          <w:p w14:paraId="6CF91CA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(1.10, 1.21)</w:t>
            </w:r>
          </w:p>
        </w:tc>
        <w:tc>
          <w:tcPr>
            <w:tcW w:w="993" w:type="pct"/>
          </w:tcPr>
          <w:p w14:paraId="2BCD599C"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9.1</w:t>
            </w:r>
          </w:p>
        </w:tc>
      </w:tr>
      <w:tr w:rsidR="00AA2FE4" w:rsidRPr="00A54C96" w14:paraId="11F385F7" w14:textId="77777777" w:rsidTr="00AA2FE4">
        <w:tc>
          <w:tcPr>
            <w:cnfStyle w:val="001000000000" w:firstRow="0" w:lastRow="0" w:firstColumn="1" w:lastColumn="0" w:oddVBand="0" w:evenVBand="0" w:oddHBand="0" w:evenHBand="0" w:firstRowFirstColumn="0" w:firstRowLastColumn="0" w:lastRowFirstColumn="0" w:lastRowLastColumn="0"/>
            <w:tcW w:w="801" w:type="pct"/>
          </w:tcPr>
          <w:p w14:paraId="3C14FA70" w14:textId="77777777" w:rsidR="00AA2FE4" w:rsidRPr="00AA2FE4" w:rsidRDefault="00AA2FE4" w:rsidP="00AA2FE4">
            <w:pPr>
              <w:rPr>
                <w:sz w:val="20"/>
                <w:szCs w:val="20"/>
              </w:rPr>
            </w:pPr>
            <w:r w:rsidRPr="00AA2FE4">
              <w:rPr>
                <w:sz w:val="20"/>
                <w:szCs w:val="20"/>
              </w:rPr>
              <w:t>Caffeine</w:t>
            </w:r>
          </w:p>
        </w:tc>
        <w:tc>
          <w:tcPr>
            <w:tcW w:w="608" w:type="pct"/>
          </w:tcPr>
          <w:p w14:paraId="0BD86AF0"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CYP1A2</w:t>
            </w:r>
          </w:p>
        </w:tc>
        <w:tc>
          <w:tcPr>
            <w:tcW w:w="845" w:type="pct"/>
          </w:tcPr>
          <w:p w14:paraId="088B4146"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B3:A2</w:t>
            </w:r>
          </w:p>
        </w:tc>
        <w:tc>
          <w:tcPr>
            <w:tcW w:w="599" w:type="pct"/>
          </w:tcPr>
          <w:p w14:paraId="6153C3DD"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1.03</w:t>
            </w:r>
          </w:p>
        </w:tc>
        <w:tc>
          <w:tcPr>
            <w:tcW w:w="1154" w:type="pct"/>
          </w:tcPr>
          <w:p w14:paraId="658DE048"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(0.99, 1.08)</w:t>
            </w:r>
          </w:p>
        </w:tc>
        <w:tc>
          <w:tcPr>
            <w:tcW w:w="993" w:type="pct"/>
          </w:tcPr>
          <w:p w14:paraId="0EE212AF" w14:textId="77777777" w:rsidR="00AA2FE4" w:rsidRPr="00AA2FE4" w:rsidRDefault="00AA2FE4" w:rsidP="00AA2FE4">
            <w:pPr>
              <w:cnfStyle w:val="000000000000" w:firstRow="0" w:lastRow="0" w:firstColumn="0" w:lastColumn="0" w:oddVBand="0" w:evenVBand="0" w:oddHBand="0" w:evenHBand="0" w:firstRowFirstColumn="0" w:firstRowLastColumn="0" w:lastRowFirstColumn="0" w:lastRowLastColumn="0"/>
              <w:rPr>
                <w:sz w:val="20"/>
                <w:szCs w:val="20"/>
              </w:rPr>
            </w:pPr>
            <w:r w:rsidRPr="00AA2FE4">
              <w:rPr>
                <w:sz w:val="20"/>
                <w:szCs w:val="20"/>
              </w:rPr>
              <w:t>8.8</w:t>
            </w:r>
          </w:p>
        </w:tc>
      </w:tr>
    </w:tbl>
    <w:p w14:paraId="466705A9" w14:textId="645E211F" w:rsidR="00AA2FE4" w:rsidRPr="00765165" w:rsidRDefault="00AA2FE4" w:rsidP="00AA2FE4">
      <w:pPr>
        <w:pStyle w:val="TableDescription"/>
      </w:pPr>
      <w:r w:rsidRPr="00765165">
        <w:rPr>
          <w:vertAlign w:val="superscript"/>
        </w:rPr>
        <w:t>#</w:t>
      </w:r>
      <w:r w:rsidRPr="00765165">
        <w:t xml:space="preserve"> All comparisons listed are a ratio of regimen 1 to regimen 2, except desipramine, which displays the difference between t</w:t>
      </w:r>
      <w:r w:rsidRPr="00765165">
        <w:rPr>
          <w:vertAlign w:val="subscript"/>
        </w:rPr>
        <w:t xml:space="preserve">½ </w:t>
      </w:r>
      <w:r w:rsidRPr="00765165">
        <w:t>of regimens 1 and 2 (i.e. t</w:t>
      </w:r>
      <w:r w:rsidRPr="00765165">
        <w:rPr>
          <w:vertAlign w:val="subscript"/>
        </w:rPr>
        <w:t xml:space="preserve">½ </w:t>
      </w:r>
      <w:r w:rsidRPr="00765165">
        <w:t xml:space="preserve">decreased by 2.61 hours on average, in the presence of tafenoquine). A, Desipramine alone; A1, Midazolam 5 mg; A2, Flurbiprofen 50 mg + caffeine 200 mg; B2, Midazolam 5 mg + tafenoquine 400 mg; B3, Flurbiprofen 50 mg + Caffeine 200 mg (post administration of </w:t>
      </w:r>
      <w:r w:rsidRPr="00442905">
        <w:t>tafenoquine 400 mg</w:t>
      </w:r>
      <w:r w:rsidRPr="00765165">
        <w:t>); C, Desipramine + tafenoquine. CI</w:t>
      </w:r>
      <w:r w:rsidR="00352D8B">
        <w:t>:</w:t>
      </w:r>
      <w:r w:rsidRPr="00765165">
        <w:t xml:space="preserve"> confidence interval; CV</w:t>
      </w:r>
      <w:r w:rsidR="00352D8B">
        <w:t>:</w:t>
      </w:r>
      <w:r w:rsidRPr="00765165">
        <w:t xml:space="preserve"> coefficient of variation; ND</w:t>
      </w:r>
      <w:r w:rsidR="00352D8B">
        <w:t>:</w:t>
      </w:r>
      <w:r w:rsidRPr="00765165">
        <w:t xml:space="preserve"> not determined.</w:t>
      </w:r>
    </w:p>
    <w:p w14:paraId="7950EF52" w14:textId="77777777" w:rsidR="008A1A1C" w:rsidRDefault="008A1A1C" w:rsidP="00FB2482">
      <w:pPr>
        <w:pStyle w:val="Heading3"/>
      </w:pPr>
      <w:bookmarkStart w:id="211" w:name="_Toc501809138"/>
      <w:bookmarkStart w:id="212" w:name="_Toc504229364"/>
      <w:bookmarkStart w:id="213" w:name="_Toc432080705"/>
      <w:bookmarkStart w:id="214" w:name="_Toc432079132"/>
      <w:bookmarkStart w:id="215" w:name="_Toc421005250"/>
      <w:bookmarkStart w:id="216" w:name="_Toc416353681"/>
      <w:bookmarkStart w:id="217" w:name="_Toc290888484"/>
      <w:bookmarkStart w:id="218" w:name="_Toc272414635"/>
      <w:bookmarkStart w:id="219" w:name="_Ref271018755"/>
      <w:bookmarkStart w:id="220" w:name="_Ref271018704"/>
      <w:bookmarkStart w:id="221" w:name="_Ref269982040"/>
      <w:bookmarkStart w:id="222" w:name="_Toc241374296"/>
      <w:bookmarkStart w:id="223" w:name="_Toc12520276"/>
      <w:r>
        <w:t xml:space="preserve">Evaluator’s overall conclusions on </w:t>
      </w:r>
      <w:r w:rsidRPr="00473B40">
        <w:t>pharmacokinetics</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30FA0F35" w14:textId="347AE9CF" w:rsidR="008A1A1C" w:rsidRDefault="008A1A1C" w:rsidP="00473B40">
      <w:pPr>
        <w:rPr>
          <w:lang w:eastAsia="ja-JP"/>
        </w:rPr>
      </w:pPr>
      <w:r>
        <w:rPr>
          <w:lang w:eastAsia="ja-JP"/>
        </w:rPr>
        <w:t>The PK data for tafenoquine was adequate, although specific excretion studies were not performed in humans.</w:t>
      </w:r>
    </w:p>
    <w:p w14:paraId="042625D2" w14:textId="77777777" w:rsidR="008A1A1C" w:rsidRDefault="008A1A1C" w:rsidP="00E730B4">
      <w:pPr>
        <w:pStyle w:val="Heading2"/>
        <w:numPr>
          <w:ilvl w:val="0"/>
          <w:numId w:val="7"/>
        </w:numPr>
      </w:pPr>
      <w:bookmarkStart w:id="224" w:name="_Toc501809139"/>
      <w:bookmarkStart w:id="225" w:name="_Toc504229365"/>
      <w:bookmarkStart w:id="226" w:name="_Toc12520277"/>
      <w:r>
        <w:t>Pharmacodynamics</w:t>
      </w:r>
      <w:bookmarkEnd w:id="224"/>
      <w:bookmarkEnd w:id="225"/>
      <w:bookmarkEnd w:id="226"/>
    </w:p>
    <w:p w14:paraId="46859A4B" w14:textId="77777777" w:rsidR="008A1A1C" w:rsidRDefault="008A1A1C" w:rsidP="00FB2482">
      <w:pPr>
        <w:pStyle w:val="Heading3"/>
      </w:pPr>
      <w:bookmarkStart w:id="227" w:name="_Toc501809140"/>
      <w:bookmarkStart w:id="228" w:name="_Toc504229366"/>
      <w:bookmarkStart w:id="229" w:name="_Toc12520278"/>
      <w:r>
        <w:t>Studies providing pharmacodynamic information</w:t>
      </w:r>
      <w:bookmarkEnd w:id="227"/>
      <w:bookmarkEnd w:id="228"/>
      <w:bookmarkEnd w:id="229"/>
    </w:p>
    <w:p w14:paraId="0E7D0125" w14:textId="77777777" w:rsidR="008A1A1C" w:rsidRDefault="008A1A1C" w:rsidP="00473B40">
      <w:pPr>
        <w:rPr>
          <w:lang w:eastAsia="ja-JP"/>
        </w:rPr>
      </w:pPr>
      <w:r>
        <w:rPr>
          <w:lang w:eastAsia="ja-JP"/>
        </w:rPr>
        <w:t>As mentioned above, many of the dose ranging, PK studies were also clinical efficacy studies.</w:t>
      </w:r>
    </w:p>
    <w:p w14:paraId="6CA1B05F" w14:textId="77777777" w:rsidR="008A1A1C" w:rsidRDefault="008A1A1C" w:rsidP="00473B40">
      <w:pPr>
        <w:pStyle w:val="Tabletitle"/>
      </w:pPr>
      <w:bookmarkStart w:id="230" w:name="_Toc501293674"/>
      <w:bookmarkStart w:id="231" w:name="_Toc504229424"/>
      <w:r>
        <w:t>Table</w:t>
      </w:r>
      <w:r w:rsidR="008D769C">
        <w:t xml:space="preserve"> 1</w:t>
      </w:r>
      <w:r w:rsidR="00AA2FE4">
        <w:t>8</w:t>
      </w:r>
      <w:r w:rsidR="008D769C">
        <w:t>:</w:t>
      </w:r>
      <w:r>
        <w:t xml:space="preserve"> Submitted pharmacodynamic studies</w:t>
      </w:r>
      <w:bookmarkEnd w:id="230"/>
      <w:bookmarkEnd w:id="231"/>
    </w:p>
    <w:tbl>
      <w:tblPr>
        <w:tblStyle w:val="TableTGAblue"/>
        <w:tblW w:w="9039" w:type="dxa"/>
        <w:tblLayout w:type="fixed"/>
        <w:tblLook w:val="04A0" w:firstRow="1" w:lastRow="0" w:firstColumn="1" w:lastColumn="0" w:noHBand="0" w:noVBand="1"/>
      </w:tblPr>
      <w:tblGrid>
        <w:gridCol w:w="2235"/>
        <w:gridCol w:w="2835"/>
        <w:gridCol w:w="2551"/>
        <w:gridCol w:w="1418"/>
      </w:tblGrid>
      <w:tr w:rsidR="00473B40" w14:paraId="7A934AF6" w14:textId="77777777" w:rsidTr="00473B4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5" w:type="dxa"/>
            <w:hideMark/>
          </w:tcPr>
          <w:p w14:paraId="11F814BD" w14:textId="77777777" w:rsidR="00473B40" w:rsidRDefault="00473B40">
            <w:pPr>
              <w:pStyle w:val="Tabletext"/>
              <w:keepNext/>
              <w:rPr>
                <w:b w:val="0"/>
              </w:rPr>
            </w:pPr>
            <w:r>
              <w:t>PD Topic</w:t>
            </w:r>
          </w:p>
        </w:tc>
        <w:tc>
          <w:tcPr>
            <w:tcW w:w="2835" w:type="dxa"/>
            <w:hideMark/>
          </w:tcPr>
          <w:p w14:paraId="7540639C" w14:textId="77777777" w:rsidR="00473B40" w:rsidRDefault="00473B40">
            <w:pPr>
              <w:pStyle w:val="Tabletext"/>
              <w:keepNext/>
              <w:cnfStyle w:val="100000000000" w:firstRow="1" w:lastRow="0" w:firstColumn="0" w:lastColumn="0" w:oddVBand="0" w:evenVBand="0" w:oddHBand="0" w:evenHBand="0" w:firstRowFirstColumn="0" w:firstRowLastColumn="0" w:lastRowFirstColumn="0" w:lastRowLastColumn="0"/>
              <w:rPr>
                <w:b w:val="0"/>
              </w:rPr>
            </w:pPr>
            <w:r>
              <w:t>Subtopic</w:t>
            </w:r>
          </w:p>
        </w:tc>
        <w:tc>
          <w:tcPr>
            <w:tcW w:w="2551" w:type="dxa"/>
            <w:hideMark/>
          </w:tcPr>
          <w:p w14:paraId="423A466B" w14:textId="77777777" w:rsidR="00473B40" w:rsidRDefault="00473B40">
            <w:pPr>
              <w:pStyle w:val="Tabletext"/>
              <w:keepNext/>
              <w:cnfStyle w:val="100000000000" w:firstRow="1" w:lastRow="0" w:firstColumn="0" w:lastColumn="0" w:oddVBand="0" w:evenVBand="0" w:oddHBand="0" w:evenHBand="0" w:firstRowFirstColumn="0" w:firstRowLastColumn="0" w:lastRowFirstColumn="0" w:lastRowLastColumn="0"/>
              <w:rPr>
                <w:b w:val="0"/>
              </w:rPr>
            </w:pPr>
            <w:r>
              <w:t>Study ID</w:t>
            </w:r>
          </w:p>
        </w:tc>
        <w:tc>
          <w:tcPr>
            <w:tcW w:w="1418" w:type="dxa"/>
            <w:tcBorders>
              <w:right w:val="nil"/>
            </w:tcBorders>
            <w:hideMark/>
          </w:tcPr>
          <w:p w14:paraId="50AC3C54" w14:textId="77777777" w:rsidR="00473B40" w:rsidRDefault="00473B40">
            <w:pPr>
              <w:pStyle w:val="Tabletext"/>
              <w:keepNext/>
              <w:cnfStyle w:val="100000000000" w:firstRow="1" w:lastRow="0" w:firstColumn="0" w:lastColumn="0" w:oddVBand="0" w:evenVBand="0" w:oddHBand="0" w:evenHBand="0" w:firstRowFirstColumn="0" w:firstRowLastColumn="0" w:lastRowFirstColumn="0" w:lastRowLastColumn="0"/>
              <w:rPr>
                <w:b w:val="0"/>
              </w:rPr>
            </w:pPr>
            <w:r>
              <w:t>*</w:t>
            </w:r>
          </w:p>
        </w:tc>
      </w:tr>
      <w:tr w:rsidR="00473B40" w14:paraId="6449A3E2" w14:textId="77777777" w:rsidTr="00473B40">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AFC782" w14:textId="77777777" w:rsidR="00473B40" w:rsidRDefault="00473B40">
            <w:pPr>
              <w:pStyle w:val="Tabletext"/>
              <w:keepNext/>
              <w:rPr>
                <w:b/>
              </w:rPr>
            </w:pPr>
            <w:r>
              <w:rPr>
                <w:b/>
              </w:rPr>
              <w:t>Primary Pharmacology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85C815"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Effect on Prophylaxis against Pf</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5978DD"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053</w:t>
            </w:r>
          </w:p>
          <w:p w14:paraId="2B7E88B5"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054</w:t>
            </w:r>
          </w:p>
          <w:p w14:paraId="304F5A1A"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030</w:t>
            </w:r>
          </w:p>
          <w:p w14:paraId="6F4062D2"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006</w:t>
            </w:r>
          </w:p>
          <w:p w14:paraId="141C0827"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043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718F5F"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2995E2C4"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762935F8"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260850D9"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p w14:paraId="28126216"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473B40" w14:paraId="59497D18" w14:textId="77777777" w:rsidTr="00473B40">
        <w:tc>
          <w:tcPr>
            <w:cnfStyle w:val="001000000000" w:firstRow="0" w:lastRow="0" w:firstColumn="1" w:lastColumn="0" w:oddVBand="0" w:evenVBand="0" w:oddHBand="0" w:evenHBand="0" w:firstRowFirstColumn="0" w:firstRowLastColumn="0" w:lastRowFirstColumn="0" w:lastRowLastColumn="0"/>
            <w:tcW w:w="22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820F049" w14:textId="77777777" w:rsidR="00473B40" w:rsidRDefault="00473B40">
            <w:pPr>
              <w:spacing w:before="0" w:after="0" w:line="240" w:lineRule="auto"/>
              <w:rPr>
                <w:b/>
                <w:sz w:val="19"/>
              </w:rPr>
            </w:pP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2AF22E6"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Parasite challenge</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DA8721"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TQ-2016-02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7ED1F5"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473B40" w14:paraId="79EAC2AB" w14:textId="77777777" w:rsidTr="00473B40">
        <w:tc>
          <w:tcPr>
            <w:cnfStyle w:val="001000000000" w:firstRow="0" w:lastRow="0" w:firstColumn="1" w:lastColumn="0" w:oddVBand="0" w:evenVBand="0" w:oddHBand="0" w:evenHBand="0" w:firstRowFirstColumn="0" w:firstRowLastColumn="0" w:lastRowFirstColumn="0" w:lastRowLastColumn="0"/>
            <w:tcW w:w="223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350DA6E" w14:textId="77777777" w:rsidR="00473B40" w:rsidRDefault="00473B40">
            <w:pPr>
              <w:spacing w:before="0" w:after="0" w:line="240" w:lineRule="auto"/>
              <w:rPr>
                <w:b/>
                <w:sz w:val="19"/>
              </w:rPr>
            </w:pP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D8B08F"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Effect on ECG (QTc prolongation)</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FA4EDE"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Study TAF114582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B06A4C"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r w:rsidR="00473B40" w14:paraId="1FEB33A7" w14:textId="77777777" w:rsidTr="00473B40">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B0AE3" w14:textId="77777777" w:rsidR="00473B40" w:rsidRDefault="00473B40">
            <w:pPr>
              <w:pStyle w:val="Tabletext"/>
              <w:keepNext/>
            </w:pP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1D8E89"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 xml:space="preserve">malaria treatment </w:t>
            </w:r>
          </w:p>
        </w:tc>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F2296F" w14:textId="77777777" w:rsidR="00473B40" w:rsidRDefault="00473B40">
            <w:pPr>
              <w:pStyle w:val="Tabletext"/>
              <w:keepNext/>
              <w:cnfStyle w:val="000000000000" w:firstRow="0" w:lastRow="0" w:firstColumn="0" w:lastColumn="0" w:oddVBand="0" w:evenVBand="0" w:oddHBand="0" w:evenHBand="0" w:firstRowFirstColumn="0" w:firstRowLastColumn="0" w:lastRowFirstColumn="0" w:lastRowLastColumn="0"/>
            </w:pPr>
            <w:r>
              <w:t>Study 047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2C7758" w14:textId="77777777" w:rsidR="00473B40" w:rsidRDefault="00473B40">
            <w:pPr>
              <w:pStyle w:val="Tabletext"/>
              <w:keepNext/>
              <w:jc w:val="center"/>
              <w:cnfStyle w:val="000000000000" w:firstRow="0" w:lastRow="0" w:firstColumn="0" w:lastColumn="0" w:oddVBand="0" w:evenVBand="0" w:oddHBand="0" w:evenHBand="0" w:firstRowFirstColumn="0" w:firstRowLastColumn="0" w:lastRowFirstColumn="0" w:lastRowLastColumn="0"/>
            </w:pPr>
            <w:r>
              <w:t>*</w:t>
            </w:r>
          </w:p>
        </w:tc>
      </w:tr>
    </w:tbl>
    <w:p w14:paraId="1D29487D" w14:textId="77777777" w:rsidR="008A1A1C" w:rsidRDefault="008A1A1C" w:rsidP="00473B40">
      <w:pPr>
        <w:pStyle w:val="TableDescription"/>
      </w:pPr>
      <w:r>
        <w:t>*Indicates the primary PD aim of the study. § Subjects who would be eligible to receive the drug if approved for the proposed indication. ‡ And adolescents if applicable.</w:t>
      </w:r>
      <w:r w:rsidR="00473B40">
        <w:t xml:space="preserve"> </w:t>
      </w:r>
      <w:r>
        <w:t># Study 058 contributed a small amount of PK data to the population PK modelling. This is data is not documented in the study report.</w:t>
      </w:r>
    </w:p>
    <w:p w14:paraId="53CEAD70" w14:textId="77777777" w:rsidR="008A1A1C" w:rsidRDefault="008A1A1C" w:rsidP="00FB2482">
      <w:pPr>
        <w:pStyle w:val="Heading3"/>
      </w:pPr>
      <w:bookmarkStart w:id="232" w:name="_Toc501809141"/>
      <w:bookmarkStart w:id="233" w:name="_Toc504229367"/>
      <w:bookmarkStart w:id="234" w:name="_Toc432080708"/>
      <w:bookmarkStart w:id="235" w:name="_Toc432079135"/>
      <w:bookmarkStart w:id="236" w:name="_Toc421005253"/>
      <w:bookmarkStart w:id="237" w:name="_Toc416353684"/>
      <w:bookmarkStart w:id="238" w:name="_Toc290888487"/>
      <w:bookmarkStart w:id="239" w:name="_Toc272414639"/>
      <w:bookmarkStart w:id="240" w:name="_Ref269119989"/>
      <w:bookmarkStart w:id="241" w:name="_Toc12520279"/>
      <w:r>
        <w:t>Summary of pharmacodynamics</w:t>
      </w:r>
      <w:bookmarkEnd w:id="232"/>
      <w:bookmarkEnd w:id="233"/>
      <w:bookmarkEnd w:id="234"/>
      <w:bookmarkEnd w:id="235"/>
      <w:bookmarkEnd w:id="236"/>
      <w:bookmarkEnd w:id="237"/>
      <w:bookmarkEnd w:id="238"/>
      <w:bookmarkEnd w:id="239"/>
      <w:bookmarkEnd w:id="240"/>
      <w:bookmarkEnd w:id="241"/>
    </w:p>
    <w:p w14:paraId="3AE08D36" w14:textId="77777777" w:rsidR="008A1A1C" w:rsidRDefault="008A1A1C" w:rsidP="00E730B4">
      <w:pPr>
        <w:pStyle w:val="Heading4"/>
        <w:numPr>
          <w:ilvl w:val="2"/>
          <w:numId w:val="7"/>
        </w:numPr>
      </w:pPr>
      <w:bookmarkStart w:id="242" w:name="_Toc432080709"/>
      <w:bookmarkStart w:id="243" w:name="_Toc432079136"/>
      <w:bookmarkStart w:id="244" w:name="_Toc421005254"/>
      <w:bookmarkStart w:id="245" w:name="_Toc416353685"/>
      <w:bookmarkStart w:id="246" w:name="_Toc290888488"/>
      <w:bookmarkStart w:id="247" w:name="_Toc272414640"/>
      <w:bookmarkStart w:id="248" w:name="_Toc241374299"/>
      <w:r>
        <w:t>Mechanism of action</w:t>
      </w:r>
      <w:bookmarkEnd w:id="242"/>
      <w:bookmarkEnd w:id="243"/>
      <w:bookmarkEnd w:id="244"/>
      <w:bookmarkEnd w:id="245"/>
      <w:bookmarkEnd w:id="246"/>
      <w:bookmarkEnd w:id="247"/>
      <w:bookmarkEnd w:id="248"/>
    </w:p>
    <w:p w14:paraId="53961D31" w14:textId="77777777" w:rsidR="008A1A1C" w:rsidRDefault="008A1A1C" w:rsidP="00473B40">
      <w:pPr>
        <w:rPr>
          <w:lang w:eastAsia="ja-JP"/>
        </w:rPr>
      </w:pPr>
      <w:r>
        <w:rPr>
          <w:lang w:eastAsia="ja-JP"/>
        </w:rPr>
        <w:t>Tafenoquine kills the developing asexual, developing exoerythrocytic, and latent hypnozoites of malaria parasites. The mechanism of action is unknown, but is hypothesised to involve redox reactions.</w:t>
      </w:r>
    </w:p>
    <w:p w14:paraId="40EAD311" w14:textId="77777777" w:rsidR="00F1528F" w:rsidRDefault="008A1A1C" w:rsidP="00E730B4">
      <w:pPr>
        <w:pStyle w:val="Heading4"/>
        <w:numPr>
          <w:ilvl w:val="2"/>
          <w:numId w:val="7"/>
        </w:numPr>
      </w:pPr>
      <w:bookmarkStart w:id="249" w:name="_Toc432080710"/>
      <w:bookmarkStart w:id="250" w:name="_Toc432079137"/>
      <w:bookmarkStart w:id="251" w:name="_Toc421005255"/>
      <w:bookmarkStart w:id="252" w:name="_Toc416353686"/>
      <w:bookmarkStart w:id="253" w:name="_Toc290888489"/>
      <w:bookmarkStart w:id="254" w:name="_Toc272414641"/>
      <w:bookmarkStart w:id="255" w:name="_Toc241374300"/>
      <w:r>
        <w:t>Pharmacodynamic effects</w:t>
      </w:r>
      <w:bookmarkEnd w:id="249"/>
      <w:bookmarkEnd w:id="250"/>
      <w:bookmarkEnd w:id="251"/>
      <w:bookmarkEnd w:id="252"/>
      <w:bookmarkEnd w:id="253"/>
      <w:bookmarkEnd w:id="254"/>
      <w:bookmarkEnd w:id="255"/>
    </w:p>
    <w:p w14:paraId="0BB00D18" w14:textId="77777777" w:rsidR="008A1A1C" w:rsidRDefault="008A1A1C" w:rsidP="00E730B4">
      <w:pPr>
        <w:pStyle w:val="Heading5"/>
        <w:numPr>
          <w:ilvl w:val="3"/>
          <w:numId w:val="7"/>
        </w:numPr>
      </w:pPr>
      <w:bookmarkStart w:id="256" w:name="_Toc416353687"/>
      <w:bookmarkStart w:id="257" w:name="_Toc290888490"/>
      <w:bookmarkStart w:id="258" w:name="_Toc272414642"/>
      <w:r>
        <w:t>Primary pharmacodynamic effects</w:t>
      </w:r>
      <w:bookmarkEnd w:id="256"/>
      <w:bookmarkEnd w:id="257"/>
      <w:bookmarkEnd w:id="258"/>
    </w:p>
    <w:p w14:paraId="7BF303FE" w14:textId="28861D85" w:rsidR="008A1A1C" w:rsidRDefault="008A1A1C" w:rsidP="00473B40">
      <w:r>
        <w:t>The primary PD effect is prevention of the development of malaria in persons exposed. In relation to this submission, this will generally be for non-immune persons travelling to areas of endemnicity. For best effect, the drug needs to work on both the erythrocytic phases and also exo-erythrocytic (liver) phases, to prevent disease developing weeks</w:t>
      </w:r>
      <w:r w:rsidR="00404803">
        <w:t xml:space="preserve"> </w:t>
      </w:r>
      <w:r w:rsidR="00E730B4">
        <w:t xml:space="preserve">or </w:t>
      </w:r>
      <w:r w:rsidR="00404803">
        <w:t>month</w:t>
      </w:r>
      <w:r>
        <w:t xml:space="preserve">s after leaving the endemic area. Post-exposure prophylaxis to kill dormant forms and prevent relapse requires an 8-aminoquinoline, the only category of antimalarial agents known to have clinical anti-hypnozoite activity (tafenoquine and primaquine). For this purpose, primaquine dosing (30 mg per day for an adult) is extended to 14 days after leaving the endemic region. The initial malaria challenge </w:t>
      </w:r>
      <w:r w:rsidR="00473B40">
        <w:t>S</w:t>
      </w:r>
      <w:r>
        <w:t>tudies 053 and 054 showed that the drug tafenoquine had protective efficacy. The field studies confirmed this. Subsequent studies went on to look at loading and ongoing weekly dosing efficacy.</w:t>
      </w:r>
    </w:p>
    <w:p w14:paraId="34ED22E8" w14:textId="77777777" w:rsidR="008A1A1C" w:rsidRDefault="008A1A1C" w:rsidP="00E730B4">
      <w:pPr>
        <w:pStyle w:val="Heading4"/>
        <w:numPr>
          <w:ilvl w:val="2"/>
          <w:numId w:val="7"/>
        </w:numPr>
      </w:pPr>
      <w:bookmarkStart w:id="259" w:name="_Toc432080711"/>
      <w:bookmarkStart w:id="260" w:name="_Toc432079138"/>
      <w:bookmarkStart w:id="261" w:name="_Toc421005256"/>
      <w:bookmarkStart w:id="262" w:name="_Toc416353689"/>
      <w:bookmarkStart w:id="263" w:name="_Toc290888492"/>
      <w:bookmarkStart w:id="264" w:name="_Toc272414644"/>
      <w:r>
        <w:t>Time course of pharmacodynamic effects</w:t>
      </w:r>
      <w:bookmarkEnd w:id="259"/>
      <w:bookmarkEnd w:id="260"/>
      <w:bookmarkEnd w:id="261"/>
      <w:bookmarkEnd w:id="262"/>
      <w:bookmarkEnd w:id="263"/>
      <w:bookmarkEnd w:id="264"/>
    </w:p>
    <w:p w14:paraId="0860ED09" w14:textId="77777777" w:rsidR="00473B40" w:rsidRPr="00747A40" w:rsidRDefault="008A1A1C" w:rsidP="00B743F3">
      <w:pPr>
        <w:pStyle w:val="Heading5"/>
        <w:rPr>
          <w:rStyle w:val="Heading5Char"/>
          <w:rFonts w:eastAsia="Cambria"/>
          <w:b/>
          <w:bCs/>
          <w:lang w:eastAsia="ja-JP"/>
        </w:rPr>
      </w:pPr>
      <w:r w:rsidRPr="00FD4397">
        <w:rPr>
          <w:rStyle w:val="Heading5Char"/>
          <w:rFonts w:eastAsia="Cambria"/>
          <w:b/>
          <w:bCs/>
          <w:i/>
        </w:rPr>
        <w:t>Studies 006 and 043</w:t>
      </w:r>
    </w:p>
    <w:p w14:paraId="09722214" w14:textId="77777777" w:rsidR="008A1A1C" w:rsidRDefault="008A1A1C" w:rsidP="00473B40">
      <w:r>
        <w:t>The first investigation was whether a 3</w:t>
      </w:r>
      <w:r w:rsidR="00473B40">
        <w:t xml:space="preserve"> day</w:t>
      </w:r>
      <w:r>
        <w:t xml:space="preserve"> loading dose alone would provide sufficient prophylactic efficacy. In Study 006, a loading dose of 25 to 200 mg per day for 3 days alone provided 100% prophylactic efficacy (PE) in semi-immunes for 7 weeks. But </w:t>
      </w:r>
      <w:r w:rsidR="009720A8">
        <w:t>Study 0</w:t>
      </w:r>
      <w:r>
        <w:t>43 showed that in the group treated with a loading dose only of 400 mg/day for 3 days, without ongoing therapy, efficacy dropped to 72% efficacy in semi-immune subjects by assessment at 15 weeks (</w:t>
      </w:r>
      <w:r w:rsidR="008D769C">
        <w:t>Table 1</w:t>
      </w:r>
      <w:r w:rsidR="00AA2FE4">
        <w:t>9</w:t>
      </w:r>
      <w:r>
        <w:t>), indicating that for adequate protection, the loading dose needed to be followed by regular dosing (as shown in other groups in Study 043).</w:t>
      </w:r>
    </w:p>
    <w:p w14:paraId="7A920864" w14:textId="5AFA967D" w:rsidR="00CE3CBE" w:rsidRDefault="00CE3CBE" w:rsidP="00CE3CBE">
      <w:pPr>
        <w:pStyle w:val="Tabletitle"/>
      </w:pPr>
      <w:bookmarkStart w:id="265" w:name="_Ref501285353"/>
      <w:bookmarkStart w:id="266" w:name="_Toc504229439"/>
      <w:bookmarkStart w:id="267" w:name="_Toc501293689"/>
      <w:r>
        <w:t xml:space="preserve">Table </w:t>
      </w:r>
      <w:r w:rsidR="008D769C">
        <w:t>1</w:t>
      </w:r>
      <w:r w:rsidR="00AA2FE4">
        <w:t>9</w:t>
      </w:r>
      <w:r w:rsidR="008D769C">
        <w:t>:</w:t>
      </w:r>
      <w:bookmarkEnd w:id="265"/>
      <w:r>
        <w:t xml:space="preserve"> </w:t>
      </w:r>
      <w:r w:rsidRPr="00B9231E">
        <w:t xml:space="preserve">Protective </w:t>
      </w:r>
      <w:r w:rsidR="00747A40">
        <w:t>e</w:t>
      </w:r>
      <w:r w:rsidR="00747A40" w:rsidRPr="00B9231E">
        <w:t xml:space="preserve">fficacy </w:t>
      </w:r>
      <w:r w:rsidRPr="00B9231E">
        <w:t xml:space="preserve">at </w:t>
      </w:r>
      <w:r w:rsidR="00747A40">
        <w:t>E</w:t>
      </w:r>
      <w:r w:rsidR="00747A40" w:rsidRPr="00B9231E">
        <w:t xml:space="preserve">nd </w:t>
      </w:r>
      <w:r w:rsidRPr="00B9231E">
        <w:t xml:space="preserve">of Study 043 (Efficacy </w:t>
      </w:r>
      <w:r w:rsidR="00747A40">
        <w:t>p</w:t>
      </w:r>
      <w:r w:rsidR="00747A40" w:rsidRPr="00B9231E">
        <w:t>opulation</w:t>
      </w:r>
      <w:r w:rsidRPr="00B9231E">
        <w:t>)</w:t>
      </w:r>
      <w:bookmarkEnd w:id="266"/>
      <w:bookmarkEnd w:id="267"/>
    </w:p>
    <w:tbl>
      <w:tblPr>
        <w:tblStyle w:val="TableTGAblue"/>
        <w:tblW w:w="5000" w:type="pct"/>
        <w:tblLook w:val="00A0" w:firstRow="1" w:lastRow="0" w:firstColumn="1" w:lastColumn="0" w:noHBand="0" w:noVBand="0"/>
      </w:tblPr>
      <w:tblGrid>
        <w:gridCol w:w="3580"/>
        <w:gridCol w:w="2100"/>
        <w:gridCol w:w="3562"/>
      </w:tblGrid>
      <w:tr w:rsidR="00CE3CBE" w:rsidRPr="00CE3CBE" w14:paraId="3B005C6A" w14:textId="77777777" w:rsidTr="00CE3CB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37" w:type="pct"/>
          </w:tcPr>
          <w:p w14:paraId="4F58EE32" w14:textId="77777777" w:rsidR="00CE3CBE" w:rsidRPr="00CE3CBE" w:rsidRDefault="00CE3CBE" w:rsidP="008D769C">
            <w:pPr>
              <w:rPr>
                <w:sz w:val="20"/>
                <w:szCs w:val="20"/>
                <w:lang w:val="en-US"/>
              </w:rPr>
            </w:pPr>
          </w:p>
        </w:tc>
        <w:tc>
          <w:tcPr>
            <w:tcW w:w="1136" w:type="pct"/>
          </w:tcPr>
          <w:p w14:paraId="21B6D666" w14:textId="78FA568D" w:rsidR="00CE3CBE" w:rsidRPr="00CE3CBE" w:rsidRDefault="00CE3CBE" w:rsidP="002F603B">
            <w:pPr>
              <w:cnfStyle w:val="100000000000" w:firstRow="1"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Placebo</w:t>
            </w:r>
            <w:r w:rsidR="002F603B">
              <w:rPr>
                <w:sz w:val="20"/>
                <w:szCs w:val="20"/>
                <w:lang w:val="en-US"/>
              </w:rPr>
              <w:t xml:space="preserve"> </w:t>
            </w:r>
            <w:r w:rsidRPr="00CE3CBE">
              <w:rPr>
                <w:sz w:val="20"/>
                <w:szCs w:val="20"/>
                <w:lang w:val="en-US"/>
              </w:rPr>
              <w:t>N = 59</w:t>
            </w:r>
          </w:p>
        </w:tc>
        <w:tc>
          <w:tcPr>
            <w:tcW w:w="1927" w:type="pct"/>
          </w:tcPr>
          <w:p w14:paraId="7E4BBF8C" w14:textId="2BF68B52" w:rsidR="00CE3CBE" w:rsidRPr="00CE3CBE" w:rsidRDefault="00CE3CBE" w:rsidP="002F603B">
            <w:pPr>
              <w:cnfStyle w:val="100000000000" w:firstRow="1"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Load-Only</w:t>
            </w:r>
            <w:r w:rsidR="002F603B">
              <w:rPr>
                <w:sz w:val="20"/>
                <w:szCs w:val="20"/>
                <w:lang w:val="en-US"/>
              </w:rPr>
              <w:t xml:space="preserve"> </w:t>
            </w:r>
            <w:r w:rsidRPr="00CE3CBE">
              <w:rPr>
                <w:sz w:val="20"/>
                <w:szCs w:val="20"/>
                <w:lang w:val="en-US"/>
              </w:rPr>
              <w:t xml:space="preserve">Tafenoquine </w:t>
            </w:r>
            <w:r w:rsidR="002F603B">
              <w:rPr>
                <w:sz w:val="20"/>
                <w:szCs w:val="20"/>
                <w:lang w:val="en-US"/>
              </w:rPr>
              <w:t xml:space="preserve"> </w:t>
            </w:r>
            <w:r w:rsidRPr="00CE3CBE">
              <w:rPr>
                <w:sz w:val="20"/>
                <w:szCs w:val="20"/>
                <w:lang w:val="en-US"/>
              </w:rPr>
              <w:t>400 mg</w:t>
            </w:r>
            <w:r w:rsidRPr="00CE3CBE">
              <w:rPr>
                <w:sz w:val="20"/>
                <w:szCs w:val="20"/>
                <w:vertAlign w:val="superscript"/>
                <w:lang w:val="en-US"/>
              </w:rPr>
              <w:br/>
            </w:r>
            <w:r w:rsidRPr="00CE3CBE">
              <w:rPr>
                <w:sz w:val="20"/>
                <w:szCs w:val="20"/>
                <w:lang w:val="en-US"/>
              </w:rPr>
              <w:t>N = 54</w:t>
            </w:r>
          </w:p>
        </w:tc>
      </w:tr>
      <w:tr w:rsidR="00CE3CBE" w:rsidRPr="000D0245" w14:paraId="2CF357EC" w14:textId="77777777" w:rsidTr="00CE3CBE">
        <w:tc>
          <w:tcPr>
            <w:cnfStyle w:val="001000000000" w:firstRow="0" w:lastRow="0" w:firstColumn="1" w:lastColumn="0" w:oddVBand="0" w:evenVBand="0" w:oddHBand="0" w:evenHBand="0" w:firstRowFirstColumn="0" w:firstRowLastColumn="0" w:lastRowFirstColumn="0" w:lastRowLastColumn="0"/>
            <w:tcW w:w="1937" w:type="pct"/>
          </w:tcPr>
          <w:p w14:paraId="17E62068" w14:textId="77777777" w:rsidR="00CE3CBE" w:rsidRPr="00CE3CBE" w:rsidRDefault="00CE3CBE" w:rsidP="008D769C">
            <w:pPr>
              <w:rPr>
                <w:sz w:val="20"/>
                <w:szCs w:val="20"/>
                <w:lang w:val="en-US"/>
              </w:rPr>
            </w:pPr>
            <w:r w:rsidRPr="00CE3CBE">
              <w:rPr>
                <w:sz w:val="20"/>
                <w:szCs w:val="20"/>
                <w:lang w:val="en-US"/>
              </w:rPr>
              <w:t>Positive for Parasitemia</w:t>
            </w:r>
          </w:p>
        </w:tc>
        <w:tc>
          <w:tcPr>
            <w:tcW w:w="1136" w:type="pct"/>
          </w:tcPr>
          <w:p w14:paraId="7275FDB6"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54 (92%)</w:t>
            </w:r>
          </w:p>
        </w:tc>
        <w:tc>
          <w:tcPr>
            <w:tcW w:w="1927" w:type="pct"/>
          </w:tcPr>
          <w:p w14:paraId="33931758"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14 (26%)</w:t>
            </w:r>
          </w:p>
        </w:tc>
      </w:tr>
      <w:tr w:rsidR="00CE3CBE" w:rsidRPr="000D0245" w14:paraId="35E8313A" w14:textId="77777777" w:rsidTr="00CE3CBE">
        <w:tc>
          <w:tcPr>
            <w:cnfStyle w:val="001000000000" w:firstRow="0" w:lastRow="0" w:firstColumn="1" w:lastColumn="0" w:oddVBand="0" w:evenVBand="0" w:oddHBand="0" w:evenHBand="0" w:firstRowFirstColumn="0" w:firstRowLastColumn="0" w:lastRowFirstColumn="0" w:lastRowLastColumn="0"/>
            <w:tcW w:w="1937" w:type="pct"/>
          </w:tcPr>
          <w:p w14:paraId="0E80C11E" w14:textId="77777777" w:rsidR="00CE3CBE" w:rsidRPr="00CE3CBE" w:rsidRDefault="00CE3CBE" w:rsidP="008D769C">
            <w:pPr>
              <w:rPr>
                <w:sz w:val="20"/>
                <w:szCs w:val="20"/>
                <w:lang w:val="en-US"/>
              </w:rPr>
            </w:pPr>
            <w:r w:rsidRPr="00CE3CBE">
              <w:rPr>
                <w:sz w:val="20"/>
                <w:szCs w:val="20"/>
                <w:lang w:val="en-US"/>
              </w:rPr>
              <w:t>PE (%)</w:t>
            </w:r>
          </w:p>
        </w:tc>
        <w:tc>
          <w:tcPr>
            <w:tcW w:w="1136" w:type="pct"/>
          </w:tcPr>
          <w:p w14:paraId="7C7D6134"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927" w:type="pct"/>
          </w:tcPr>
          <w:p w14:paraId="710708C4"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71.7</w:t>
            </w:r>
          </w:p>
        </w:tc>
      </w:tr>
      <w:tr w:rsidR="00CE3CBE" w:rsidRPr="000D0245" w14:paraId="5204BDA9" w14:textId="77777777" w:rsidTr="00CE3CBE">
        <w:tc>
          <w:tcPr>
            <w:cnfStyle w:val="001000000000" w:firstRow="0" w:lastRow="0" w:firstColumn="1" w:lastColumn="0" w:oddVBand="0" w:evenVBand="0" w:oddHBand="0" w:evenHBand="0" w:firstRowFirstColumn="0" w:firstRowLastColumn="0" w:lastRowFirstColumn="0" w:lastRowLastColumn="0"/>
            <w:tcW w:w="1937" w:type="pct"/>
          </w:tcPr>
          <w:p w14:paraId="27B558CF" w14:textId="77777777" w:rsidR="00CE3CBE" w:rsidRPr="00CE3CBE" w:rsidRDefault="00CE3CBE" w:rsidP="008D769C">
            <w:pPr>
              <w:rPr>
                <w:sz w:val="20"/>
                <w:szCs w:val="20"/>
                <w:lang w:val="en-US"/>
              </w:rPr>
            </w:pPr>
            <w:r w:rsidRPr="00CE3CBE">
              <w:rPr>
                <w:sz w:val="20"/>
                <w:szCs w:val="20"/>
                <w:lang w:val="en-US"/>
              </w:rPr>
              <w:t>95% CI</w:t>
            </w:r>
          </w:p>
        </w:tc>
        <w:tc>
          <w:tcPr>
            <w:tcW w:w="1136" w:type="pct"/>
          </w:tcPr>
          <w:p w14:paraId="731CD5C3"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927" w:type="pct"/>
          </w:tcPr>
          <w:p w14:paraId="34418E81" w14:textId="77777777" w:rsidR="00CE3CBE" w:rsidRPr="00CE3CBE" w:rsidRDefault="00CE3CBE" w:rsidP="008D769C">
            <w:pPr>
              <w:cnfStyle w:val="000000000000" w:firstRow="0" w:lastRow="0" w:firstColumn="0" w:lastColumn="0" w:oddVBand="0" w:evenVBand="0" w:oddHBand="0" w:evenHBand="0" w:firstRowFirstColumn="0" w:firstRowLastColumn="0" w:lastRowFirstColumn="0" w:lastRowLastColumn="0"/>
              <w:rPr>
                <w:sz w:val="20"/>
                <w:szCs w:val="20"/>
                <w:lang w:val="en-US"/>
              </w:rPr>
            </w:pPr>
            <w:r w:rsidRPr="00CE3CBE">
              <w:rPr>
                <w:sz w:val="20"/>
                <w:szCs w:val="20"/>
                <w:lang w:val="en-US"/>
              </w:rPr>
              <w:t>(57.0%, 82.5%)</w:t>
            </w:r>
          </w:p>
        </w:tc>
      </w:tr>
    </w:tbl>
    <w:p w14:paraId="1AECCB39" w14:textId="77777777" w:rsidR="008A1A1C" w:rsidRDefault="008A1A1C" w:rsidP="00E730B4">
      <w:pPr>
        <w:pStyle w:val="Heading4"/>
        <w:numPr>
          <w:ilvl w:val="2"/>
          <w:numId w:val="7"/>
        </w:numPr>
      </w:pPr>
      <w:bookmarkStart w:id="268" w:name="_Toc432080712"/>
      <w:bookmarkStart w:id="269" w:name="_Toc432079139"/>
      <w:bookmarkStart w:id="270" w:name="_Toc421005257"/>
      <w:bookmarkStart w:id="271" w:name="_Toc416353690"/>
      <w:bookmarkStart w:id="272" w:name="_Toc290888493"/>
      <w:bookmarkStart w:id="273" w:name="_Toc272414645"/>
      <w:r>
        <w:lastRenderedPageBreak/>
        <w:t xml:space="preserve">Relationship between </w:t>
      </w:r>
      <w:r w:rsidRPr="00473B40">
        <w:t>drug</w:t>
      </w:r>
      <w:r>
        <w:t xml:space="preserve"> concentration and pharmacodynamic effects</w:t>
      </w:r>
      <w:bookmarkEnd w:id="268"/>
      <w:bookmarkEnd w:id="269"/>
      <w:bookmarkEnd w:id="270"/>
      <w:bookmarkEnd w:id="271"/>
      <w:bookmarkEnd w:id="272"/>
      <w:bookmarkEnd w:id="273"/>
    </w:p>
    <w:p w14:paraId="093D007C" w14:textId="77777777" w:rsidR="00F1528F" w:rsidRDefault="008A1A1C" w:rsidP="008A1A1C">
      <w:r>
        <w:rPr>
          <w:lang w:eastAsia="ja-JP"/>
        </w:rPr>
        <w:t>In Study 053, one volunteer in the tafenoquine developed Pf malaria after a single dose of tafenoquine 600 mg (and then sporozoite inoculation). Three did not. This subject had a lower peak blood and plasma concentration of the drug (</w:t>
      </w:r>
      <w:proofErr w:type="gramStart"/>
      <w:r>
        <w:rPr>
          <w:lang w:eastAsia="ja-JP"/>
        </w:rPr>
        <w:t>244</w:t>
      </w:r>
      <w:r w:rsidR="00122529">
        <w:rPr>
          <w:lang w:eastAsia="ja-JP"/>
        </w:rPr>
        <w:t xml:space="preserve"> ng/mL</w:t>
      </w:r>
      <w:proofErr w:type="gramEnd"/>
      <w:r>
        <w:rPr>
          <w:lang w:eastAsia="ja-JP"/>
        </w:rPr>
        <w:t xml:space="preserve"> and 182</w:t>
      </w:r>
      <w:r w:rsidR="00122529">
        <w:rPr>
          <w:lang w:eastAsia="ja-JP"/>
        </w:rPr>
        <w:t xml:space="preserve"> ng/mL</w:t>
      </w:r>
      <w:r>
        <w:rPr>
          <w:lang w:eastAsia="ja-JP"/>
        </w:rPr>
        <w:t xml:space="preserve">) than the other subjects. </w:t>
      </w:r>
      <w:r>
        <w:t xml:space="preserve">Blood and plasma concentrations at the time of prophylactic failure were </w:t>
      </w:r>
      <w:r w:rsidR="00473B40">
        <w:t xml:space="preserve">approximately </w:t>
      </w:r>
      <w:r>
        <w:t xml:space="preserve">50 and </w:t>
      </w:r>
      <w:r w:rsidR="00473B40">
        <w:t xml:space="preserve">approximately </w:t>
      </w:r>
      <w:r>
        <w:t>60</w:t>
      </w:r>
      <w:r w:rsidR="00122529">
        <w:t xml:space="preserve"> ng/mL</w:t>
      </w:r>
      <w:r>
        <w:t>, respectively.</w:t>
      </w:r>
    </w:p>
    <w:p w14:paraId="0448400F" w14:textId="5A6C2F1F" w:rsidR="008A1A1C" w:rsidRDefault="008A1A1C" w:rsidP="00473B40">
      <w:r>
        <w:t xml:space="preserve">The results of the follow up </w:t>
      </w:r>
      <w:r w:rsidR="009720A8">
        <w:t xml:space="preserve">Study </w:t>
      </w:r>
      <w:proofErr w:type="gramStart"/>
      <w:r w:rsidR="009720A8">
        <w:t>0</w:t>
      </w:r>
      <w:r w:rsidR="00473B40">
        <w:t>5</w:t>
      </w:r>
      <w:r>
        <w:t>4,</w:t>
      </w:r>
      <w:proofErr w:type="gramEnd"/>
      <w:r>
        <w:t xml:space="preserve"> were slightly contradictory in that, 6 of 10 drug</w:t>
      </w:r>
      <w:r w:rsidR="00473B40">
        <w:t xml:space="preserve"> treated</w:t>
      </w:r>
      <w:r>
        <w:t xml:space="preserve"> individuals developed asymptomatic parasitemia. It is impossible to know whether these individuals were mainly in the group that only received only 2 doses of tafenoquine (then post-exposure placebo). But even if this is the case, at least one subject who went on to have full course of tafenoquine developed parasitemia. This study was done prior to 2000</w:t>
      </w:r>
      <w:r w:rsidR="00EF40A2">
        <w:t xml:space="preserve">. </w:t>
      </w:r>
      <w:r>
        <w:t>There was also slight disagreement between the initial and subsequent blinded reviewer of the blood films (in relation to one smear). The justification in the discussion is that the strain used is quite resistant to tafenoquine, but the same strain was used in Study 053.</w:t>
      </w:r>
    </w:p>
    <w:p w14:paraId="62CE3CF7" w14:textId="27322304" w:rsidR="008A1A1C" w:rsidRDefault="008A1A1C" w:rsidP="00473B40">
      <w:pPr>
        <w:rPr>
          <w:lang w:eastAsia="ja-JP"/>
        </w:rPr>
      </w:pPr>
      <w:r>
        <w:rPr>
          <w:lang w:eastAsia="ja-JP"/>
        </w:rPr>
        <w:t xml:space="preserve">In Study 044, in which participants were administered tafenoquine 400 mg monthly following tafenoquine 400 mg loading doses (daily for 3 days), 3 symptomatic breakthroughs occurred 6 to 12 weeks following prophylaxis. Of these 6 subjects, 2 subjects had </w:t>
      </w:r>
      <w:proofErr w:type="gramStart"/>
      <w:r>
        <w:rPr>
          <w:lang w:eastAsia="ja-JP"/>
        </w:rPr>
        <w:t>Pv</w:t>
      </w:r>
      <w:proofErr w:type="gramEnd"/>
      <w:r>
        <w:rPr>
          <w:lang w:eastAsia="ja-JP"/>
        </w:rPr>
        <w:t xml:space="preserve"> relapse with tafenoquine plasma concentrations between 20 and 21</w:t>
      </w:r>
      <w:r w:rsidR="00122529">
        <w:rPr>
          <w:lang w:eastAsia="ja-JP"/>
        </w:rPr>
        <w:t xml:space="preserve"> ng/mL</w:t>
      </w:r>
      <w:r>
        <w:rPr>
          <w:lang w:eastAsia="ja-JP"/>
        </w:rPr>
        <w:t xml:space="preserve">, and 1 subject had Pf relapse with tafenoquine concentration 38 ng/ml. Furthermore, 1 subject had </w:t>
      </w:r>
      <w:proofErr w:type="gramStart"/>
      <w:r>
        <w:rPr>
          <w:lang w:eastAsia="ja-JP"/>
        </w:rPr>
        <w:t>Pv</w:t>
      </w:r>
      <w:proofErr w:type="gramEnd"/>
      <w:r>
        <w:rPr>
          <w:lang w:eastAsia="ja-JP"/>
        </w:rPr>
        <w:t xml:space="preserve"> relapse during the prophylaxis phase with tafenoquine concentration of 40</w:t>
      </w:r>
      <w:r w:rsidR="00122529">
        <w:rPr>
          <w:lang w:eastAsia="ja-JP"/>
        </w:rPr>
        <w:t xml:space="preserve"> ng/mL</w:t>
      </w:r>
      <w:r>
        <w:rPr>
          <w:lang w:eastAsia="ja-JP"/>
        </w:rPr>
        <w:t xml:space="preserve"> (the subject was found to have been non-compliant with medication). This level was one-third of the mean trough level of </w:t>
      </w:r>
      <w:r w:rsidR="00EF40A2">
        <w:rPr>
          <w:lang w:eastAsia="ja-JP"/>
        </w:rPr>
        <w:t xml:space="preserve">Thai </w:t>
      </w:r>
      <w:r>
        <w:rPr>
          <w:lang w:eastAsia="ja-JP"/>
        </w:rPr>
        <w:t>soldiers who were compliant with medication and did not contract malaria during the same period of the study.</w:t>
      </w:r>
    </w:p>
    <w:p w14:paraId="1D05AE71" w14:textId="00DF9E20" w:rsidR="008A1A1C" w:rsidRDefault="00473B40" w:rsidP="00473B40">
      <w:pPr>
        <w:rPr>
          <w:lang w:eastAsia="ja-JP"/>
        </w:rPr>
      </w:pPr>
      <w:r>
        <w:rPr>
          <w:lang w:eastAsia="ja-JP"/>
        </w:rPr>
        <w:t>In S</w:t>
      </w:r>
      <w:r w:rsidR="008A1A1C">
        <w:rPr>
          <w:lang w:eastAsia="ja-JP"/>
        </w:rPr>
        <w:t xml:space="preserve">tudy TQ-2016-2 mean trough plasma levels in the treatment groups were </w:t>
      </w:r>
      <w:proofErr w:type="gramStart"/>
      <w:r w:rsidR="008A1A1C">
        <w:rPr>
          <w:lang w:eastAsia="ja-JP"/>
        </w:rPr>
        <w:t>172.02</w:t>
      </w:r>
      <w:r w:rsidR="00122529">
        <w:rPr>
          <w:lang w:eastAsia="ja-JP"/>
        </w:rPr>
        <w:t xml:space="preserve"> ng/mL</w:t>
      </w:r>
      <w:r w:rsidR="008A1A1C">
        <w:rPr>
          <w:lang w:eastAsia="ja-JP"/>
        </w:rPr>
        <w:t xml:space="preserve"> (SD</w:t>
      </w:r>
      <w:r w:rsidR="00747A40">
        <w:rPr>
          <w:lang w:eastAsia="ja-JP"/>
        </w:rPr>
        <w:t> </w:t>
      </w:r>
      <w:r w:rsidR="008A1A1C">
        <w:rPr>
          <w:lang w:eastAsia="ja-JP"/>
        </w:rPr>
        <w:t>31.58) at Day 2</w:t>
      </w:r>
      <w:proofErr w:type="gramEnd"/>
      <w:r w:rsidR="008A1A1C">
        <w:rPr>
          <w:lang w:eastAsia="ja-JP"/>
        </w:rPr>
        <w:t xml:space="preserve"> after the first loading dose, and levels increased with each subsequent loading dose. Following administration of the final, post-loading dose on Day 10, tafenoquine plasma levels attained steady-state trough levels with a mean concentration </w:t>
      </w:r>
      <w:proofErr w:type="gramStart"/>
      <w:r w:rsidR="008A1A1C">
        <w:rPr>
          <w:lang w:eastAsia="ja-JP"/>
        </w:rPr>
        <w:t>of 378.14</w:t>
      </w:r>
      <w:r w:rsidR="00122529">
        <w:rPr>
          <w:lang w:eastAsia="ja-JP"/>
        </w:rPr>
        <w:t xml:space="preserve"> ng/mL</w:t>
      </w:r>
      <w:r w:rsidR="008A1A1C">
        <w:rPr>
          <w:lang w:eastAsia="ja-JP"/>
        </w:rPr>
        <w:t xml:space="preserve"> (SD 60.63)</w:t>
      </w:r>
      <w:proofErr w:type="gramEnd"/>
      <w:r w:rsidR="008A1A1C">
        <w:rPr>
          <w:lang w:eastAsia="ja-JP"/>
        </w:rPr>
        <w:t xml:space="preserve"> on Day 13 at the time of parasite inoculation. After this, slow decline in trough plasma levels occurred, but these remained higher than the required threshold </w:t>
      </w:r>
      <w:proofErr w:type="gramStart"/>
      <w:r w:rsidR="008A1A1C">
        <w:rPr>
          <w:lang w:eastAsia="ja-JP"/>
        </w:rPr>
        <w:t>of 80</w:t>
      </w:r>
      <w:r w:rsidR="00122529">
        <w:rPr>
          <w:lang w:eastAsia="ja-JP"/>
        </w:rPr>
        <w:t xml:space="preserve"> ng/mL</w:t>
      </w:r>
      <w:proofErr w:type="gramEnd"/>
      <w:r w:rsidR="008A1A1C">
        <w:rPr>
          <w:lang w:eastAsia="ja-JP"/>
        </w:rPr>
        <w:t xml:space="preserve"> until the last sampling time point, where a mean circulating concentration of 174.12</w:t>
      </w:r>
      <w:r w:rsidR="00122529">
        <w:rPr>
          <w:lang w:eastAsia="ja-JP"/>
        </w:rPr>
        <w:t xml:space="preserve"> ng/mL</w:t>
      </w:r>
      <w:r w:rsidR="008A1A1C">
        <w:rPr>
          <w:lang w:eastAsia="ja-JP"/>
        </w:rPr>
        <w:t xml:space="preserve"> (SD 53.50) was determined. All these levels were well above the desired threshold of plasma concentration threshold </w:t>
      </w:r>
      <w:proofErr w:type="gramStart"/>
      <w:r w:rsidR="008A1A1C">
        <w:rPr>
          <w:lang w:eastAsia="ja-JP"/>
        </w:rPr>
        <w:t>(80</w:t>
      </w:r>
      <w:r w:rsidR="00122529">
        <w:rPr>
          <w:lang w:eastAsia="ja-JP"/>
        </w:rPr>
        <w:t xml:space="preserve"> ng/mL</w:t>
      </w:r>
      <w:r w:rsidR="008A1A1C">
        <w:rPr>
          <w:lang w:eastAsia="ja-JP"/>
        </w:rPr>
        <w:t>)</w:t>
      </w:r>
      <w:proofErr w:type="gramEnd"/>
      <w:r w:rsidR="008A1A1C">
        <w:rPr>
          <w:lang w:eastAsia="ja-JP"/>
        </w:rPr>
        <w:t>.</w:t>
      </w:r>
    </w:p>
    <w:p w14:paraId="7E01EF4D" w14:textId="2F62ABF1" w:rsidR="008A1A1C" w:rsidRDefault="008A1A1C" w:rsidP="00473B40">
      <w:pPr>
        <w:rPr>
          <w:lang w:eastAsia="ja-JP"/>
        </w:rPr>
      </w:pPr>
      <w:r>
        <w:rPr>
          <w:lang w:eastAsia="ja-JP"/>
        </w:rPr>
        <w:t xml:space="preserve">Study 033 contributed a small amount of data to PD. </w:t>
      </w:r>
      <w:r w:rsidR="00442905">
        <w:rPr>
          <w:lang w:eastAsia="ja-JP"/>
        </w:rPr>
        <w:t xml:space="preserve">In four subjects there was no </w:t>
      </w:r>
      <w:r>
        <w:rPr>
          <w:lang w:eastAsia="ja-JP"/>
        </w:rPr>
        <w:t xml:space="preserve">relationship between individual PK estimates and relapse with </w:t>
      </w:r>
      <w:proofErr w:type="gramStart"/>
      <w:r>
        <w:rPr>
          <w:lang w:eastAsia="ja-JP"/>
        </w:rPr>
        <w:t>Pv</w:t>
      </w:r>
      <w:proofErr w:type="gramEnd"/>
      <w:r>
        <w:rPr>
          <w:lang w:eastAsia="ja-JP"/>
        </w:rPr>
        <w:t xml:space="preserve"> malaria in the follow up phase all of whom had similar drug concentrations to subjects who did not relapse.</w:t>
      </w:r>
    </w:p>
    <w:p w14:paraId="2B465D67" w14:textId="023D43E5" w:rsidR="008A1A1C" w:rsidRDefault="008A1A1C" w:rsidP="00473B40">
      <w:pPr>
        <w:rPr>
          <w:lang w:eastAsia="ja-JP"/>
        </w:rPr>
      </w:pPr>
      <w:r>
        <w:t xml:space="preserve">It appears to be mainly on the basis of the results of Study 053 which showed that symptomatic breakthrough of malaria occurred when tafenoquine plasma concentrations were </w:t>
      </w:r>
      <w:proofErr w:type="gramStart"/>
      <w:r>
        <w:t>around 50</w:t>
      </w:r>
      <w:r w:rsidR="00747A40">
        <w:t> </w:t>
      </w:r>
      <w:r w:rsidR="00122529">
        <w:t>ng/mL</w:t>
      </w:r>
      <w:proofErr w:type="gramEnd"/>
      <w:r>
        <w:t xml:space="preserve">. A plasma concentration </w:t>
      </w:r>
      <w:proofErr w:type="gramStart"/>
      <w:r>
        <w:t>of 80</w:t>
      </w:r>
      <w:r w:rsidR="00122529">
        <w:t xml:space="preserve"> ng/mL</w:t>
      </w:r>
      <w:proofErr w:type="gramEnd"/>
      <w:r>
        <w:t xml:space="preserve"> was then selected as the minimum target trough value for prevention of symptomatic malaria development in nonimmune individuals. </w:t>
      </w:r>
      <w:r w:rsidR="00F22C2E">
        <w:t>The evaluator was unsure</w:t>
      </w:r>
      <w:r w:rsidR="004D128D">
        <w:t xml:space="preserve"> why</w:t>
      </w:r>
      <w:r w:rsidR="00F22C2E">
        <w:t xml:space="preserve"> </w:t>
      </w:r>
      <w:r>
        <w:t xml:space="preserve">this concentration was specifically chosen (except that it was greater </w:t>
      </w:r>
      <w:proofErr w:type="gramStart"/>
      <w:r>
        <w:t>than 50</w:t>
      </w:r>
      <w:r w:rsidR="00122529">
        <w:t xml:space="preserve"> ng/mL</w:t>
      </w:r>
      <w:proofErr w:type="gramEnd"/>
      <w:r w:rsidR="00F22C2E">
        <w:t>).</w:t>
      </w:r>
      <w:bookmarkStart w:id="274" w:name="_Ref528750654"/>
      <w:r w:rsidR="00F22C2E">
        <w:rPr>
          <w:rStyle w:val="FootnoteReference"/>
        </w:rPr>
        <w:footnoteReference w:id="4"/>
      </w:r>
      <w:bookmarkEnd w:id="274"/>
    </w:p>
    <w:p w14:paraId="4579F8C8" w14:textId="77777777" w:rsidR="008A1A1C" w:rsidRDefault="008A1A1C" w:rsidP="00E730B4">
      <w:pPr>
        <w:pStyle w:val="Heading4"/>
        <w:numPr>
          <w:ilvl w:val="2"/>
          <w:numId w:val="7"/>
        </w:numPr>
      </w:pPr>
      <w:bookmarkStart w:id="275" w:name="_Toc432080713"/>
      <w:bookmarkStart w:id="276" w:name="_Toc432079140"/>
      <w:bookmarkStart w:id="277" w:name="_Toc421005258"/>
      <w:bookmarkStart w:id="278" w:name="_Toc416353691"/>
      <w:bookmarkStart w:id="279" w:name="_Toc290888494"/>
      <w:bookmarkStart w:id="280" w:name="_Toc272414646"/>
      <w:bookmarkStart w:id="281" w:name="_Toc241374304"/>
      <w:r>
        <w:t>Genetic, gender and age related differences in pharmacodynamic response</w:t>
      </w:r>
      <w:bookmarkEnd w:id="275"/>
      <w:bookmarkEnd w:id="276"/>
      <w:bookmarkEnd w:id="277"/>
      <w:bookmarkEnd w:id="278"/>
      <w:bookmarkEnd w:id="279"/>
      <w:bookmarkEnd w:id="280"/>
      <w:bookmarkEnd w:id="281"/>
    </w:p>
    <w:p w14:paraId="7349EB9E" w14:textId="71438B32" w:rsidR="008A1A1C" w:rsidRDefault="00747A40" w:rsidP="008A1A1C">
      <w:pPr>
        <w:rPr>
          <w:lang w:eastAsia="ja-JP"/>
        </w:rPr>
      </w:pPr>
      <w:r>
        <w:rPr>
          <w:lang w:eastAsia="ja-JP"/>
        </w:rPr>
        <w:t>Not applicable.</w:t>
      </w:r>
    </w:p>
    <w:p w14:paraId="75E0F9DE" w14:textId="77777777" w:rsidR="008A1A1C" w:rsidRDefault="008A1A1C" w:rsidP="00E730B4">
      <w:pPr>
        <w:pStyle w:val="Heading4"/>
        <w:numPr>
          <w:ilvl w:val="2"/>
          <w:numId w:val="7"/>
        </w:numPr>
      </w:pPr>
      <w:bookmarkStart w:id="282" w:name="_Toc432080714"/>
      <w:bookmarkStart w:id="283" w:name="_Toc432079141"/>
      <w:bookmarkStart w:id="284" w:name="_Toc421005259"/>
      <w:bookmarkStart w:id="285" w:name="_Toc416353692"/>
      <w:bookmarkStart w:id="286" w:name="_Toc290888495"/>
      <w:bookmarkStart w:id="287" w:name="_Toc272414647"/>
      <w:bookmarkStart w:id="288" w:name="_Toc241374303"/>
      <w:r>
        <w:lastRenderedPageBreak/>
        <w:t>Pharmacodynamic interactions</w:t>
      </w:r>
      <w:bookmarkEnd w:id="282"/>
      <w:bookmarkEnd w:id="283"/>
      <w:bookmarkEnd w:id="284"/>
      <w:bookmarkEnd w:id="285"/>
      <w:bookmarkEnd w:id="286"/>
      <w:bookmarkEnd w:id="287"/>
      <w:bookmarkEnd w:id="288"/>
    </w:p>
    <w:p w14:paraId="52DEA206" w14:textId="473FEFE0" w:rsidR="008A1A1C" w:rsidRDefault="00747A40" w:rsidP="008A1A1C">
      <w:pPr>
        <w:rPr>
          <w:lang w:eastAsia="ja-JP"/>
        </w:rPr>
      </w:pPr>
      <w:r>
        <w:rPr>
          <w:lang w:eastAsia="ja-JP"/>
        </w:rPr>
        <w:t>Not applicable.</w:t>
      </w:r>
    </w:p>
    <w:p w14:paraId="41FA9B11" w14:textId="77777777" w:rsidR="008A1A1C" w:rsidRDefault="008A1A1C" w:rsidP="00FB2482">
      <w:pPr>
        <w:pStyle w:val="Heading3"/>
      </w:pPr>
      <w:bookmarkStart w:id="289" w:name="_Toc501809142"/>
      <w:bookmarkStart w:id="290" w:name="_Toc504229368"/>
      <w:bookmarkStart w:id="291" w:name="_Toc432080715"/>
      <w:bookmarkStart w:id="292" w:name="_Toc432079142"/>
      <w:bookmarkStart w:id="293" w:name="_Toc421005260"/>
      <w:bookmarkStart w:id="294" w:name="_Toc416353693"/>
      <w:bookmarkStart w:id="295" w:name="_Toc290888496"/>
      <w:bookmarkStart w:id="296" w:name="_Toc272414648"/>
      <w:bookmarkStart w:id="297" w:name="_Ref269983272"/>
      <w:bookmarkStart w:id="298" w:name="_Toc12520280"/>
      <w:r>
        <w:t>Evaluator’s overall conclusions on pharmacodynamics</w:t>
      </w:r>
      <w:bookmarkEnd w:id="289"/>
      <w:bookmarkEnd w:id="290"/>
      <w:bookmarkEnd w:id="291"/>
      <w:bookmarkEnd w:id="292"/>
      <w:bookmarkEnd w:id="293"/>
      <w:bookmarkEnd w:id="294"/>
      <w:bookmarkEnd w:id="295"/>
      <w:bookmarkEnd w:id="296"/>
      <w:bookmarkEnd w:id="297"/>
      <w:bookmarkEnd w:id="298"/>
    </w:p>
    <w:p w14:paraId="461BC1AD" w14:textId="55820539" w:rsidR="00F1528F" w:rsidRDefault="008A1A1C" w:rsidP="008A1A1C">
      <w:pPr>
        <w:rPr>
          <w:lang w:eastAsia="ja-JP"/>
        </w:rPr>
      </w:pPr>
      <w:r>
        <w:rPr>
          <w:lang w:eastAsia="ja-JP"/>
        </w:rPr>
        <w:t xml:space="preserve">It appears to be on the basis of Study 054 that the target trough plasma concentration of tafenoquine </w:t>
      </w:r>
      <w:proofErr w:type="gramStart"/>
      <w:r>
        <w:rPr>
          <w:lang w:eastAsia="ja-JP"/>
        </w:rPr>
        <w:t>of 80</w:t>
      </w:r>
      <w:r w:rsidR="00122529">
        <w:rPr>
          <w:lang w:eastAsia="ja-JP"/>
        </w:rPr>
        <w:t xml:space="preserve"> ng/mL</w:t>
      </w:r>
      <w:proofErr w:type="gramEnd"/>
      <w:r>
        <w:rPr>
          <w:lang w:eastAsia="ja-JP"/>
        </w:rPr>
        <w:t xml:space="preserve"> was chosen.</w:t>
      </w:r>
      <w:r w:rsidR="006E22B8">
        <w:rPr>
          <w:rStyle w:val="FootnoteReference"/>
          <w:lang w:eastAsia="ja-JP"/>
        </w:rPr>
        <w:footnoteReference w:id="5"/>
      </w:r>
    </w:p>
    <w:p w14:paraId="31E1F645" w14:textId="1D549B93" w:rsidR="00F1528F" w:rsidRDefault="00F22C2E" w:rsidP="008A1A1C">
      <w:pPr>
        <w:rPr>
          <w:lang w:eastAsia="ja-JP"/>
        </w:rPr>
      </w:pPr>
      <w:r>
        <w:rPr>
          <w:lang w:eastAsia="ja-JP"/>
        </w:rPr>
        <w:t xml:space="preserve">It was difficult to assess </w:t>
      </w:r>
      <w:r w:rsidR="008A1A1C">
        <w:rPr>
          <w:lang w:eastAsia="ja-JP"/>
        </w:rPr>
        <w:t>which groups the patients who developed parasitemia were in (</w:t>
      </w:r>
      <w:r w:rsidR="00774249">
        <w:rPr>
          <w:lang w:eastAsia="ja-JP"/>
        </w:rPr>
        <w:t xml:space="preserve">that is, </w:t>
      </w:r>
      <w:r w:rsidR="008A1A1C">
        <w:rPr>
          <w:lang w:eastAsia="ja-JP"/>
        </w:rPr>
        <w:t>the group fully treated, or the group just loaded)</w:t>
      </w:r>
      <w:r>
        <w:rPr>
          <w:lang w:eastAsia="ja-JP"/>
        </w:rPr>
        <w:t xml:space="preserve"> in Study 054</w:t>
      </w:r>
      <w:r w:rsidR="008A1A1C">
        <w:rPr>
          <w:lang w:eastAsia="ja-JP"/>
        </w:rPr>
        <w:t>. This is however, a very old study (on 12 individuals) and many larger studies have been done subsequently.</w:t>
      </w:r>
    </w:p>
    <w:p w14:paraId="44B18889" w14:textId="77777777" w:rsidR="008A1A1C" w:rsidRDefault="008A1A1C" w:rsidP="008A1A1C">
      <w:pPr>
        <w:rPr>
          <w:lang w:eastAsia="ja-JP"/>
        </w:rPr>
      </w:pPr>
      <w:r>
        <w:rPr>
          <w:lang w:eastAsia="ja-JP"/>
        </w:rPr>
        <w:t xml:space="preserve">Data on PD and efficacy from </w:t>
      </w:r>
      <w:r w:rsidR="009720A8">
        <w:rPr>
          <w:lang w:eastAsia="ja-JP"/>
        </w:rPr>
        <w:t>Study 0</w:t>
      </w:r>
      <w:r>
        <w:rPr>
          <w:lang w:eastAsia="ja-JP"/>
        </w:rPr>
        <w:t>30 is unreliable because of problems with reliability of smears read locally in Kenya where the study was conducted. When these slides were re-read at a reference centre, there was a positive concordance value of only 12.4%.</w:t>
      </w:r>
    </w:p>
    <w:p w14:paraId="69CFD6F2" w14:textId="7A6C80F0" w:rsidR="008A1A1C" w:rsidRDefault="008A1A1C" w:rsidP="00473B40">
      <w:pPr>
        <w:rPr>
          <w:lang w:eastAsia="ja-JP"/>
        </w:rPr>
      </w:pPr>
      <w:r>
        <w:rPr>
          <w:lang w:eastAsia="ja-JP"/>
        </w:rPr>
        <w:t xml:space="preserve">Study TQ-2016-2, is a very small but well conducted study of a malaria challenge in which tafenoquine was 100% effective in prevented Pf. The mean plasma concentration in this study however was well above the proposed threshold. It would be useful to have a study of this nature for </w:t>
      </w:r>
      <w:proofErr w:type="gramStart"/>
      <w:r>
        <w:rPr>
          <w:lang w:eastAsia="ja-JP"/>
        </w:rPr>
        <w:t>Pv</w:t>
      </w:r>
      <w:proofErr w:type="gramEnd"/>
      <w:r>
        <w:rPr>
          <w:lang w:eastAsia="ja-JP"/>
        </w:rPr>
        <w:t xml:space="preserve"> to examine efficacy against relapse from the exo-erythrocytic phases.</w:t>
      </w:r>
    </w:p>
    <w:p w14:paraId="6575E052" w14:textId="4A1F4BB0" w:rsidR="008A1A1C" w:rsidRDefault="008A1A1C" w:rsidP="00473B40">
      <w:pPr>
        <w:rPr>
          <w:lang w:eastAsia="ja-JP"/>
        </w:rPr>
      </w:pPr>
      <w:r>
        <w:rPr>
          <w:lang w:eastAsia="ja-JP"/>
        </w:rPr>
        <w:t>Study 043 was the first major well-designed field study which showed ‘proof of concept’ of the current recommended dosing regimen, with good evidence of prophylactic efficacy. P</w:t>
      </w:r>
      <w:r w:rsidR="00774249">
        <w:rPr>
          <w:lang w:eastAsia="ja-JP"/>
        </w:rPr>
        <w:t>K</w:t>
      </w:r>
      <w:r>
        <w:rPr>
          <w:lang w:eastAsia="ja-JP"/>
        </w:rPr>
        <w:t xml:space="preserve"> data was also planned from this study but the samples taken for this were unable to be processed, so there is no P</w:t>
      </w:r>
      <w:r w:rsidR="00774249">
        <w:rPr>
          <w:lang w:eastAsia="ja-JP"/>
        </w:rPr>
        <w:t>K</w:t>
      </w:r>
      <w:r>
        <w:rPr>
          <w:lang w:eastAsia="ja-JP"/>
        </w:rPr>
        <w:t xml:space="preserve"> data. A threshold dose of 200 mg daily x</w:t>
      </w:r>
      <w:r w:rsidR="00774249">
        <w:rPr>
          <w:lang w:eastAsia="ja-JP"/>
        </w:rPr>
        <w:t xml:space="preserve"> </w:t>
      </w:r>
      <w:r>
        <w:rPr>
          <w:lang w:eastAsia="ja-JP"/>
        </w:rPr>
        <w:t>3 days followed by 200 mg weekly was shown in Study 043 to provide a dosage regimen at which adequate malaria prophylaxis was seen</w:t>
      </w:r>
      <w:r w:rsidR="00EF40A2">
        <w:rPr>
          <w:lang w:eastAsia="ja-JP"/>
        </w:rPr>
        <w:t>.</w:t>
      </w:r>
    </w:p>
    <w:p w14:paraId="762BA4E5" w14:textId="77777777" w:rsidR="008A1A1C" w:rsidRDefault="008A1A1C" w:rsidP="00E730B4">
      <w:pPr>
        <w:pStyle w:val="Heading2"/>
        <w:numPr>
          <w:ilvl w:val="0"/>
          <w:numId w:val="7"/>
        </w:numPr>
      </w:pPr>
      <w:bookmarkStart w:id="299" w:name="_Toc501809143"/>
      <w:bookmarkStart w:id="300" w:name="_Toc504229369"/>
      <w:bookmarkStart w:id="301" w:name="_Toc12520281"/>
      <w:r>
        <w:t>Dosage selection for the pivotal studies</w:t>
      </w:r>
      <w:bookmarkEnd w:id="299"/>
      <w:bookmarkEnd w:id="300"/>
      <w:bookmarkEnd w:id="301"/>
    </w:p>
    <w:p w14:paraId="0361CFBE" w14:textId="77777777" w:rsidR="008A1A1C" w:rsidRDefault="008A1A1C" w:rsidP="00FB2482">
      <w:pPr>
        <w:pStyle w:val="Heading3"/>
      </w:pPr>
      <w:bookmarkStart w:id="302" w:name="_Toc501809144"/>
      <w:bookmarkStart w:id="303" w:name="_Toc504229370"/>
      <w:bookmarkStart w:id="304" w:name="_Toc432080717"/>
      <w:bookmarkStart w:id="305" w:name="_Toc432079144"/>
      <w:bookmarkStart w:id="306" w:name="_Toc421005262"/>
      <w:bookmarkStart w:id="307" w:name="_Toc416353695"/>
      <w:bookmarkStart w:id="308" w:name="_Toc12520282"/>
      <w:r>
        <w:t>Pharmacokinetics and pharmacodynamics: dose finding studies</w:t>
      </w:r>
      <w:bookmarkEnd w:id="302"/>
      <w:bookmarkEnd w:id="303"/>
      <w:bookmarkEnd w:id="304"/>
      <w:bookmarkEnd w:id="305"/>
      <w:bookmarkEnd w:id="306"/>
      <w:bookmarkEnd w:id="307"/>
      <w:bookmarkEnd w:id="308"/>
    </w:p>
    <w:p w14:paraId="5A6B6AE3" w14:textId="77777777" w:rsidR="008A1A1C" w:rsidRPr="00404803" w:rsidRDefault="00F1528F" w:rsidP="00404803">
      <w:r w:rsidRPr="00404803">
        <w:t>Phase I</w:t>
      </w:r>
      <w:r w:rsidR="008A1A1C" w:rsidRPr="00404803">
        <w:t xml:space="preserve"> studies that determined if tafenoquine had prophylactic activity against Pf malaria and examined the utility of tafenoquine against challenge with Pf asexual blood stage parasites in non-immune participants; </w:t>
      </w:r>
      <w:r w:rsidR="00ED04EE">
        <w:t>characterise</w:t>
      </w:r>
      <w:r w:rsidR="008A1A1C" w:rsidRPr="00404803">
        <w:t xml:space="preserve"> the exposure-response relationship for tafenoquine were </w:t>
      </w:r>
      <w:r w:rsidR="00473B40" w:rsidRPr="00404803">
        <w:t xml:space="preserve">Studies </w:t>
      </w:r>
      <w:r w:rsidR="008A1A1C" w:rsidRPr="00404803">
        <w:t>053, 054 and TQ-2016-02.</w:t>
      </w:r>
    </w:p>
    <w:p w14:paraId="65F06F83" w14:textId="7100B306" w:rsidR="008A1A1C" w:rsidRPr="00404803" w:rsidRDefault="008A1A1C" w:rsidP="00404803">
      <w:r w:rsidRPr="00404803">
        <w:t>For the indication ‘prophylaxis of malaria’ while in the endemic region, subjects were randomly assigned to one or more tafenoquine groups, and to a placebo control and/or mefloquine positive control group. In some early studies (</w:t>
      </w:r>
      <w:r w:rsidR="00747A40">
        <w:t xml:space="preserve">Studies </w:t>
      </w:r>
      <w:r w:rsidRPr="00404803">
        <w:t>006, 043, 058) only a 3</w:t>
      </w:r>
      <w:r w:rsidR="00473B40" w:rsidRPr="00404803">
        <w:t xml:space="preserve"> day</w:t>
      </w:r>
      <w:r w:rsidRPr="00404803">
        <w:t xml:space="preserve"> loading dose was administered. In most studies, the loading dose was followed by weekly (or monthly</w:t>
      </w:r>
      <w:r w:rsidR="00473B40" w:rsidRPr="00404803">
        <w:t xml:space="preserve"> in</w:t>
      </w:r>
      <w:r w:rsidRPr="00404803">
        <w:t xml:space="preserve"> </w:t>
      </w:r>
      <w:r w:rsidR="009720A8" w:rsidRPr="00404803">
        <w:t>Study</w:t>
      </w:r>
      <w:r w:rsidR="00747A40">
        <w:t> </w:t>
      </w:r>
      <w:r w:rsidR="009720A8" w:rsidRPr="00404803">
        <w:t>0</w:t>
      </w:r>
      <w:r w:rsidRPr="00404803">
        <w:t>44) drug administration. The individual dose used on each day of treatment varied between 25 mg to 400 mg. Studies 030, 033, 043 and 045 evaluated the 200 mg</w:t>
      </w:r>
      <w:r w:rsidR="00774249">
        <w:t xml:space="preserve"> </w:t>
      </w:r>
      <w:r w:rsidRPr="00404803">
        <w:t>based anticipated clinical regimen: a loading dose of 200 mg per day x 3 days followed by administration of 200 mg weekly.</w:t>
      </w:r>
    </w:p>
    <w:p w14:paraId="53F2E7C1" w14:textId="77D5FD11" w:rsidR="008A1A1C" w:rsidRPr="00404803" w:rsidRDefault="008A1A1C" w:rsidP="00404803">
      <w:r w:rsidRPr="00404803">
        <w:lastRenderedPageBreak/>
        <w:t>Studies in non-immune persons, the main population for which prophylaxis is intended, showed that symptomatic breakthrough of malaria occurred when tafenoquine plasma concentrations were &lt; 50</w:t>
      </w:r>
      <w:r w:rsidR="00122529">
        <w:t xml:space="preserve"> ng/mL</w:t>
      </w:r>
      <w:r w:rsidRPr="00404803">
        <w:t xml:space="preserve"> (Study 053). This was also confirmed by logistic regression in Study</w:t>
      </w:r>
      <w:r w:rsidR="00747A40">
        <w:t> </w:t>
      </w:r>
      <w:r w:rsidRPr="00404803">
        <w:t xml:space="preserve">TAF112582. Consequently, a plasma concentration </w:t>
      </w:r>
      <w:proofErr w:type="gramStart"/>
      <w:r w:rsidRPr="00404803">
        <w:t>of 80</w:t>
      </w:r>
      <w:r w:rsidR="00122529">
        <w:t xml:space="preserve"> ng/mL</w:t>
      </w:r>
      <w:proofErr w:type="gramEnd"/>
      <w:r w:rsidRPr="00404803">
        <w:t xml:space="preserve"> was selected as the minimum target trough value for prevention of symptomatic malaria development in non-immune individuals</w:t>
      </w:r>
      <w:r w:rsidR="003C6A60">
        <w:t xml:space="preserve">. </w:t>
      </w:r>
      <w:r w:rsidRPr="00404803">
        <w:rPr>
          <w:rFonts w:hint="eastAsia"/>
        </w:rPr>
        <w:t>Population PK analysis predicted that the recommended prevention regimen will achieve trough levels &gt;80</w:t>
      </w:r>
      <w:r w:rsidR="00122529">
        <w:rPr>
          <w:rFonts w:hint="eastAsia"/>
        </w:rPr>
        <w:t xml:space="preserve"> ng/mL</w:t>
      </w:r>
      <w:r w:rsidRPr="00404803">
        <w:rPr>
          <w:rFonts w:hint="eastAsia"/>
        </w:rPr>
        <w:t xml:space="preserve"> in &gt;95% of subjects</w:t>
      </w:r>
      <w:r w:rsidR="00774249">
        <w:t>.</w:t>
      </w:r>
    </w:p>
    <w:p w14:paraId="28B1B7EC" w14:textId="77777777" w:rsidR="008A1A1C" w:rsidRDefault="008A1A1C" w:rsidP="00FB2482">
      <w:pPr>
        <w:pStyle w:val="Heading3"/>
      </w:pPr>
      <w:bookmarkStart w:id="309" w:name="_Toc501809145"/>
      <w:bookmarkStart w:id="310" w:name="_Toc504229371"/>
      <w:bookmarkStart w:id="311" w:name="_Toc432080718"/>
      <w:bookmarkStart w:id="312" w:name="_Toc432079145"/>
      <w:bookmarkStart w:id="313" w:name="_Toc421005263"/>
      <w:bookmarkStart w:id="314" w:name="_Toc416353696"/>
      <w:bookmarkStart w:id="315" w:name="_Toc12520283"/>
      <w:r>
        <w:t>Phase II dose finding studies</w:t>
      </w:r>
      <w:bookmarkEnd w:id="309"/>
      <w:bookmarkEnd w:id="310"/>
      <w:bookmarkEnd w:id="311"/>
      <w:bookmarkEnd w:id="312"/>
      <w:bookmarkEnd w:id="313"/>
      <w:bookmarkEnd w:id="314"/>
      <w:bookmarkEnd w:id="315"/>
    </w:p>
    <w:p w14:paraId="44E9A649" w14:textId="13CBE232" w:rsidR="008A1A1C" w:rsidRDefault="008A1A1C" w:rsidP="008A1A1C">
      <w:pPr>
        <w:rPr>
          <w:lang w:eastAsia="ja-JP"/>
        </w:rPr>
      </w:pPr>
      <w:r>
        <w:rPr>
          <w:lang w:eastAsia="ja-JP"/>
        </w:rPr>
        <w:t xml:space="preserve">This included the following studies, discussed above and in </w:t>
      </w:r>
      <w:r w:rsidR="00774249">
        <w:rPr>
          <w:lang w:eastAsia="ja-JP"/>
        </w:rPr>
        <w:t>the s</w:t>
      </w:r>
      <w:r>
        <w:rPr>
          <w:lang w:eastAsia="ja-JP"/>
        </w:rPr>
        <w:t xml:space="preserve">ection </w:t>
      </w:r>
      <w:r w:rsidR="00404803" w:rsidRPr="00774249">
        <w:rPr>
          <w:i/>
          <w:lang w:eastAsia="ja-JP"/>
        </w:rPr>
        <w:t>Clinical efficacy</w:t>
      </w:r>
      <w:r w:rsidR="00747A40">
        <w:rPr>
          <w:lang w:eastAsia="ja-JP"/>
        </w:rPr>
        <w:t xml:space="preserve"> for</w:t>
      </w:r>
      <w:r w:rsidR="00B743F3">
        <w:rPr>
          <w:lang w:eastAsia="ja-JP"/>
        </w:rPr>
        <w:t xml:space="preserve"> </w:t>
      </w:r>
      <w:r w:rsidR="00404803">
        <w:rPr>
          <w:lang w:eastAsia="ja-JP"/>
        </w:rPr>
        <w:t xml:space="preserve">Studies </w:t>
      </w:r>
      <w:r>
        <w:rPr>
          <w:lang w:eastAsia="ja-JP"/>
        </w:rPr>
        <w:t>044, 006, 049, 047, and TAF112582.</w:t>
      </w:r>
    </w:p>
    <w:p w14:paraId="529D1848" w14:textId="77777777" w:rsidR="008A1A1C" w:rsidRDefault="008A1A1C" w:rsidP="00FB2482">
      <w:pPr>
        <w:pStyle w:val="Heading3"/>
      </w:pPr>
      <w:bookmarkStart w:id="316" w:name="_Toc501809146"/>
      <w:bookmarkStart w:id="317" w:name="_Toc504229372"/>
      <w:bookmarkStart w:id="318" w:name="_Toc432080720"/>
      <w:bookmarkStart w:id="319" w:name="_Toc432079147"/>
      <w:bookmarkStart w:id="320" w:name="_Toc421005265"/>
      <w:bookmarkStart w:id="321" w:name="_Toc416353712"/>
      <w:bookmarkStart w:id="322" w:name="_Toc12520284"/>
      <w:r>
        <w:t xml:space="preserve">Phase III pivotal studies </w:t>
      </w:r>
      <w:r w:rsidRPr="00404803">
        <w:t>investigating</w:t>
      </w:r>
      <w:r>
        <w:t xml:space="preserve"> more than one dose regimen</w:t>
      </w:r>
      <w:bookmarkEnd w:id="316"/>
      <w:bookmarkEnd w:id="317"/>
      <w:bookmarkEnd w:id="318"/>
      <w:bookmarkEnd w:id="319"/>
      <w:bookmarkEnd w:id="320"/>
      <w:bookmarkEnd w:id="321"/>
      <w:bookmarkEnd w:id="322"/>
    </w:p>
    <w:p w14:paraId="6FB97338" w14:textId="77777777" w:rsidR="008A1A1C" w:rsidRDefault="008A1A1C" w:rsidP="008A1A1C">
      <w:pPr>
        <w:rPr>
          <w:lang w:eastAsia="ja-JP"/>
        </w:rPr>
      </w:pPr>
      <w:r>
        <w:rPr>
          <w:lang w:eastAsia="ja-JP"/>
        </w:rPr>
        <w:t>Study 045 (Phase II/III), evaluated weekly doses of 25 mg, 50 mg, 100, 200 mg and 250 mg. This is discussed in detail in</w:t>
      </w:r>
      <w:r w:rsidR="00774249">
        <w:rPr>
          <w:lang w:eastAsia="ja-JP"/>
        </w:rPr>
        <w:t xml:space="preserve"> the s</w:t>
      </w:r>
      <w:r>
        <w:rPr>
          <w:lang w:eastAsia="ja-JP"/>
        </w:rPr>
        <w:t xml:space="preserve">ection </w:t>
      </w:r>
      <w:r w:rsidR="00404803" w:rsidRPr="00774249">
        <w:rPr>
          <w:i/>
          <w:lang w:eastAsia="ja-JP"/>
        </w:rPr>
        <w:t>Clinical efficacy, Pivotal or main efficacy studies</w:t>
      </w:r>
      <w:r w:rsidR="00404803">
        <w:rPr>
          <w:lang w:eastAsia="ja-JP"/>
        </w:rPr>
        <w:t xml:space="preserve"> below</w:t>
      </w:r>
      <w:r>
        <w:rPr>
          <w:lang w:eastAsia="ja-JP"/>
        </w:rPr>
        <w:t>.</w:t>
      </w:r>
    </w:p>
    <w:p w14:paraId="38862F38" w14:textId="77777777" w:rsidR="008A1A1C" w:rsidRDefault="008A1A1C" w:rsidP="00FB2482">
      <w:pPr>
        <w:pStyle w:val="Heading3"/>
      </w:pPr>
      <w:bookmarkStart w:id="323" w:name="_Toc501809147"/>
      <w:bookmarkStart w:id="324" w:name="_Toc504229373"/>
      <w:bookmarkStart w:id="325" w:name="_Toc432080721"/>
      <w:bookmarkStart w:id="326" w:name="_Toc432079148"/>
      <w:bookmarkStart w:id="327" w:name="_Toc421005266"/>
      <w:bookmarkStart w:id="328" w:name="_Toc416353713"/>
      <w:bookmarkStart w:id="329" w:name="_Toc12520285"/>
      <w:r>
        <w:t xml:space="preserve">Evaluator’s conclusions on dose finding for the </w:t>
      </w:r>
      <w:r w:rsidRPr="00404803">
        <w:t>pivotal</w:t>
      </w:r>
      <w:r>
        <w:t xml:space="preserve"> studies</w:t>
      </w:r>
      <w:bookmarkEnd w:id="323"/>
      <w:bookmarkEnd w:id="324"/>
      <w:bookmarkEnd w:id="325"/>
      <w:bookmarkEnd w:id="326"/>
      <w:bookmarkEnd w:id="327"/>
      <w:bookmarkEnd w:id="328"/>
      <w:bookmarkEnd w:id="329"/>
    </w:p>
    <w:p w14:paraId="0ECE4533" w14:textId="30A0553B" w:rsidR="00F1528F" w:rsidRDefault="008A1A1C" w:rsidP="00404803">
      <w:pPr>
        <w:rPr>
          <w:lang w:eastAsia="ja-JP"/>
        </w:rPr>
      </w:pPr>
      <w:r>
        <w:rPr>
          <w:lang w:eastAsia="ja-JP"/>
        </w:rPr>
        <w:t xml:space="preserve">Data from </w:t>
      </w:r>
      <w:r w:rsidR="009720A8">
        <w:rPr>
          <w:lang w:eastAsia="ja-JP"/>
        </w:rPr>
        <w:t>Study 0</w:t>
      </w:r>
      <w:r>
        <w:rPr>
          <w:lang w:eastAsia="ja-JP"/>
        </w:rPr>
        <w:t>45 indicated that administration of 25 mg (for each loading and weekly dose) did not provide sufficient protection</w:t>
      </w:r>
      <w:r w:rsidR="003C6A60">
        <w:rPr>
          <w:lang w:eastAsia="ja-JP"/>
        </w:rPr>
        <w:t xml:space="preserve"> in semi-immune African subjects</w:t>
      </w:r>
      <w:r>
        <w:rPr>
          <w:lang w:eastAsia="ja-JP"/>
        </w:rPr>
        <w:t>. In contrast, protection with 50 mg, 100 mg, and 200 mg was similar to each other and to the mefloquine comparator, for the semi-immunes in this study. PE for the 200 mg based regimen was 86%, the same as the protective efficacy for mefloquine, the standard of care.</w:t>
      </w:r>
    </w:p>
    <w:p w14:paraId="1A415E71" w14:textId="77777777" w:rsidR="008A1A1C" w:rsidRDefault="008A1A1C" w:rsidP="00E730B4">
      <w:pPr>
        <w:pStyle w:val="Heading2"/>
        <w:numPr>
          <w:ilvl w:val="0"/>
          <w:numId w:val="7"/>
        </w:numPr>
      </w:pPr>
      <w:bookmarkStart w:id="330" w:name="_Toc501809148"/>
      <w:bookmarkStart w:id="331" w:name="_Toc504229374"/>
      <w:bookmarkStart w:id="332" w:name="_Toc12520286"/>
      <w:r>
        <w:t>Clinical efficacy</w:t>
      </w:r>
      <w:bookmarkEnd w:id="330"/>
      <w:bookmarkEnd w:id="331"/>
      <w:bookmarkEnd w:id="332"/>
    </w:p>
    <w:p w14:paraId="58D0CF45" w14:textId="11F2732E" w:rsidR="00F1528F" w:rsidRDefault="008A1A1C" w:rsidP="00404803">
      <w:pPr>
        <w:rPr>
          <w:lang w:eastAsia="ja-JP"/>
        </w:rPr>
      </w:pPr>
      <w:bookmarkStart w:id="333" w:name="_Toc432080724"/>
      <w:bookmarkStart w:id="334" w:name="_Toc432079151"/>
      <w:bookmarkStart w:id="335" w:name="_Toc421005269"/>
      <w:bookmarkStart w:id="336" w:name="_Toc416353716"/>
      <w:bookmarkStart w:id="337" w:name="_Toc290888500"/>
      <w:bookmarkStart w:id="338" w:name="_Toc272414652"/>
      <w:bookmarkStart w:id="339" w:name="_Ref271037274"/>
      <w:r>
        <w:rPr>
          <w:lang w:eastAsia="ja-JP"/>
        </w:rPr>
        <w:t xml:space="preserve">For prophylactic studies, the subjects do not have disease, prior to accrual into the study. For malaria prophylactic studies, subjects are either healthy volunteers (when studies are performed on persons who do not live in the endemic region) or individuals who are healthy other than having asymptomatic parasitemia which is cured with standard malaria treatment agents before the subject is </w:t>
      </w:r>
      <w:r w:rsidR="00404803">
        <w:rPr>
          <w:lang w:eastAsia="ja-JP"/>
        </w:rPr>
        <w:t>randomised</w:t>
      </w:r>
      <w:r>
        <w:rPr>
          <w:lang w:eastAsia="ja-JP"/>
        </w:rPr>
        <w:t xml:space="preserve"> to a study treatment group (when studies are performed in the endemic regions on local populations</w:t>
      </w:r>
      <w:r w:rsidR="003C6A60">
        <w:rPr>
          <w:lang w:eastAsia="ja-JP"/>
        </w:rPr>
        <w:t>)</w:t>
      </w:r>
      <w:r>
        <w:rPr>
          <w:lang w:eastAsia="ja-JP"/>
        </w:rPr>
        <w:t>. The baseline health characteristics in these field studies are representative of the ge</w:t>
      </w:r>
      <w:r w:rsidR="007B0EBB">
        <w:rPr>
          <w:lang w:eastAsia="ja-JP"/>
        </w:rPr>
        <w:t>neral population who will utilis</w:t>
      </w:r>
      <w:r>
        <w:rPr>
          <w:lang w:eastAsia="ja-JP"/>
        </w:rPr>
        <w:t>e anti-malarial prophylaxis with tafenoquine.</w:t>
      </w:r>
    </w:p>
    <w:p w14:paraId="5DAC6913" w14:textId="159002A0" w:rsidR="008A1A1C" w:rsidRDefault="008A1A1C" w:rsidP="00404803">
      <w:pPr>
        <w:rPr>
          <w:lang w:eastAsia="ja-JP"/>
        </w:rPr>
      </w:pPr>
      <w:r>
        <w:rPr>
          <w:lang w:eastAsia="ja-JP"/>
        </w:rPr>
        <w:t xml:space="preserve">For the indication ‘prophylaxis of malaria’ post exposure, subjects received malaria prophylaxis or treatment with a standard agent in the endemic area, and then upon exiting the endemic region were </w:t>
      </w:r>
      <w:r w:rsidR="00404803">
        <w:rPr>
          <w:lang w:eastAsia="ja-JP"/>
        </w:rPr>
        <w:t>randomised</w:t>
      </w:r>
      <w:r>
        <w:rPr>
          <w:lang w:eastAsia="ja-JP"/>
        </w:rPr>
        <w:t xml:space="preserve"> to post-exposure anti-hypnozoite prophylaxis with either standard primaquine or tafenoquine (Study 049).</w:t>
      </w:r>
    </w:p>
    <w:p w14:paraId="3A47E408" w14:textId="77777777" w:rsidR="008A1A1C" w:rsidRDefault="008A1A1C" w:rsidP="00404803">
      <w:r>
        <w:t>The primary efficacy endpoint and primary efficacy analytic endpoints are based the cumulative incidence of parasitemia, with incidence density (parasitology per unit time) being used for secondary analyses, in conformity with the FDA Guidance document</w:t>
      </w:r>
      <w:r>
        <w:rPr>
          <w:vertAlign w:val="superscript"/>
        </w:rPr>
        <w:t>3</w:t>
      </w:r>
      <w:r>
        <w:t>.</w:t>
      </w:r>
    </w:p>
    <w:p w14:paraId="7303D07C" w14:textId="77777777" w:rsidR="008A1A1C" w:rsidRDefault="008A1A1C" w:rsidP="00FB2482">
      <w:pPr>
        <w:pStyle w:val="Heading3"/>
      </w:pPr>
      <w:bookmarkStart w:id="340" w:name="_Toc501809149"/>
      <w:bookmarkStart w:id="341" w:name="_Toc504229375"/>
      <w:bookmarkStart w:id="342" w:name="_Toc12520287"/>
      <w:r>
        <w:t>Studies providing evaluable efficacy data</w:t>
      </w:r>
      <w:bookmarkEnd w:id="340"/>
      <w:bookmarkEnd w:id="341"/>
      <w:bookmarkEnd w:id="342"/>
    </w:p>
    <w:p w14:paraId="74620D1F" w14:textId="77777777" w:rsidR="008A1A1C" w:rsidRDefault="008A1A1C" w:rsidP="008A1A1C">
      <w:pPr>
        <w:rPr>
          <w:lang w:eastAsia="ja-JP"/>
        </w:rPr>
      </w:pPr>
      <w:r>
        <w:rPr>
          <w:lang w:eastAsia="ja-JP"/>
        </w:rPr>
        <w:t xml:space="preserve">The pivotal efficacy trial in this submission is Study 033, a </w:t>
      </w:r>
      <w:r w:rsidR="00F1528F">
        <w:rPr>
          <w:lang w:eastAsia="ja-JP"/>
        </w:rPr>
        <w:t>Phase III</w:t>
      </w:r>
      <w:r>
        <w:rPr>
          <w:lang w:eastAsia="ja-JP"/>
        </w:rPr>
        <w:t xml:space="preserve">, </w:t>
      </w:r>
      <w:r w:rsidR="00404803">
        <w:rPr>
          <w:lang w:eastAsia="ja-JP"/>
        </w:rPr>
        <w:t>randomised</w:t>
      </w:r>
      <w:r>
        <w:rPr>
          <w:lang w:eastAsia="ja-JP"/>
        </w:rPr>
        <w:t xml:space="preserve">, </w:t>
      </w:r>
      <w:r w:rsidR="00404803">
        <w:rPr>
          <w:lang w:eastAsia="ja-JP"/>
        </w:rPr>
        <w:t>double blind</w:t>
      </w:r>
      <w:r>
        <w:rPr>
          <w:lang w:eastAsia="ja-JP"/>
        </w:rPr>
        <w:t>, comparator</w:t>
      </w:r>
      <w:r w:rsidR="00F1528F">
        <w:rPr>
          <w:lang w:eastAsia="ja-JP"/>
        </w:rPr>
        <w:t xml:space="preserve"> controlled</w:t>
      </w:r>
      <w:r>
        <w:rPr>
          <w:lang w:eastAsia="ja-JP"/>
        </w:rPr>
        <w:t xml:space="preserve"> prophylactic trial in non-immunes to evaluate the anticipated clinical regimen of tafenoquine in comparison with mefloquine for the prophylaxis of Pf and Pv malaria in non-immune Australian soldiers deployed to East Timor (now Timor-Leste). Study 045 was </w:t>
      </w:r>
      <w:r>
        <w:rPr>
          <w:lang w:eastAsia="ja-JP"/>
        </w:rPr>
        <w:lastRenderedPageBreak/>
        <w:t>added as a second ‘pivotal’ study to show efficacy in ‘semi-immunes’ living in a malaria endemic area of Ghana.</w:t>
      </w:r>
    </w:p>
    <w:p w14:paraId="709E43A3" w14:textId="77777777" w:rsidR="008A1A1C" w:rsidRDefault="008A1A1C" w:rsidP="008A1A1C">
      <w:pPr>
        <w:rPr>
          <w:lang w:eastAsia="ja-JP"/>
        </w:rPr>
      </w:pPr>
      <w:r>
        <w:rPr>
          <w:lang w:eastAsia="ja-JP"/>
        </w:rPr>
        <w:t xml:space="preserve">For ‘Prevention of Malaria while in the endemic region’, the </w:t>
      </w:r>
      <w:r w:rsidR="00404803">
        <w:rPr>
          <w:lang w:eastAsia="ja-JP"/>
        </w:rPr>
        <w:t>sponsor’s</w:t>
      </w:r>
      <w:r>
        <w:rPr>
          <w:lang w:eastAsia="ja-JP"/>
        </w:rPr>
        <w:t xml:space="preserve"> designated key trials consist of at least one study with each of the above FDA</w:t>
      </w:r>
      <w:r w:rsidR="00404803">
        <w:rPr>
          <w:lang w:eastAsia="ja-JP"/>
        </w:rPr>
        <w:t xml:space="preserve"> </w:t>
      </w:r>
      <w:r>
        <w:rPr>
          <w:lang w:eastAsia="ja-JP"/>
        </w:rPr>
        <w:t>recommended designs.</w:t>
      </w:r>
    </w:p>
    <w:p w14:paraId="0295BB48" w14:textId="77777777" w:rsidR="00F1528F" w:rsidRDefault="008A1A1C" w:rsidP="00404803">
      <w:pPr>
        <w:pStyle w:val="ListBullet"/>
        <w:rPr>
          <w:lang w:eastAsia="ja-JP"/>
        </w:rPr>
      </w:pPr>
      <w:r>
        <w:rPr>
          <w:lang w:eastAsia="ja-JP"/>
        </w:rPr>
        <w:t>Study 033: Active comparator</w:t>
      </w:r>
      <w:r w:rsidR="00F1528F">
        <w:rPr>
          <w:lang w:eastAsia="ja-JP"/>
        </w:rPr>
        <w:t xml:space="preserve"> controlled</w:t>
      </w:r>
      <w:r>
        <w:rPr>
          <w:lang w:eastAsia="ja-JP"/>
        </w:rPr>
        <w:t xml:space="preserve"> prophylactic trial in non-immunes returning from an endemic area.</w:t>
      </w:r>
    </w:p>
    <w:p w14:paraId="453E5E65" w14:textId="77777777" w:rsidR="008A1A1C" w:rsidRDefault="008A1A1C" w:rsidP="00404803">
      <w:pPr>
        <w:pStyle w:val="ListBullet"/>
        <w:rPr>
          <w:lang w:eastAsia="ja-JP"/>
        </w:rPr>
      </w:pPr>
      <w:r>
        <w:rPr>
          <w:lang w:eastAsia="ja-JP"/>
        </w:rPr>
        <w:t xml:space="preserve">Study 045: A </w:t>
      </w:r>
      <w:r w:rsidR="00404803">
        <w:rPr>
          <w:lang w:eastAsia="ja-JP"/>
        </w:rPr>
        <w:t>P</w:t>
      </w:r>
      <w:r>
        <w:rPr>
          <w:lang w:eastAsia="ja-JP"/>
        </w:rPr>
        <w:t xml:space="preserve">hase </w:t>
      </w:r>
      <w:r w:rsidR="00404803">
        <w:rPr>
          <w:lang w:eastAsia="ja-JP"/>
        </w:rPr>
        <w:t xml:space="preserve">II/III </w:t>
      </w:r>
      <w:r>
        <w:rPr>
          <w:lang w:eastAsia="ja-JP"/>
        </w:rPr>
        <w:t xml:space="preserve">placebo controlled prophylactic trial in semi-immunes. This was a </w:t>
      </w:r>
      <w:r w:rsidR="00404803">
        <w:rPr>
          <w:lang w:eastAsia="ja-JP"/>
        </w:rPr>
        <w:t>randomised</w:t>
      </w:r>
      <w:r>
        <w:rPr>
          <w:lang w:eastAsia="ja-JP"/>
        </w:rPr>
        <w:t xml:space="preserve">, </w:t>
      </w:r>
      <w:r w:rsidR="00404803">
        <w:rPr>
          <w:lang w:eastAsia="ja-JP"/>
        </w:rPr>
        <w:t>double blind</w:t>
      </w:r>
      <w:r>
        <w:rPr>
          <w:lang w:eastAsia="ja-JP"/>
        </w:rPr>
        <w:t>, placebo controlled evaluation of tafenoquine compared to mefloquine for chemoprophylaxis in northern Ghana. One of the regimens was the anticipated clinical regimen.</w:t>
      </w:r>
    </w:p>
    <w:p w14:paraId="04B82D1A" w14:textId="77777777" w:rsidR="008A1A1C" w:rsidRDefault="008A1A1C" w:rsidP="00404803">
      <w:pPr>
        <w:pStyle w:val="ListBullet"/>
        <w:rPr>
          <w:lang w:eastAsia="ja-JP"/>
        </w:rPr>
      </w:pPr>
      <w:r>
        <w:rPr>
          <w:lang w:eastAsia="ja-JP"/>
        </w:rPr>
        <w:t>Study 043: Placebo</w:t>
      </w:r>
      <w:r w:rsidR="00F1528F">
        <w:rPr>
          <w:lang w:eastAsia="ja-JP"/>
        </w:rPr>
        <w:t xml:space="preserve"> controlled</w:t>
      </w:r>
      <w:r>
        <w:rPr>
          <w:lang w:eastAsia="ja-JP"/>
        </w:rPr>
        <w:t xml:space="preserve"> prophylactic trial in semi-immunes in Africa. One of the regimens was the anticipated clinical regimen.</w:t>
      </w:r>
    </w:p>
    <w:p w14:paraId="28A6F1D9" w14:textId="77777777" w:rsidR="008A1A1C" w:rsidRDefault="008A1A1C" w:rsidP="00404803">
      <w:pPr>
        <w:pStyle w:val="ListBullet"/>
        <w:rPr>
          <w:lang w:eastAsia="ja-JP"/>
        </w:rPr>
      </w:pPr>
      <w:r>
        <w:rPr>
          <w:lang w:eastAsia="ja-JP"/>
        </w:rPr>
        <w:t xml:space="preserve">Study TQ-2016-02: A </w:t>
      </w:r>
      <w:r w:rsidR="00404803">
        <w:rPr>
          <w:lang w:eastAsia="ja-JP"/>
        </w:rPr>
        <w:t>P</w:t>
      </w:r>
      <w:r>
        <w:rPr>
          <w:lang w:eastAsia="ja-JP"/>
        </w:rPr>
        <w:t xml:space="preserve">hase </w:t>
      </w:r>
      <w:r w:rsidR="00404803">
        <w:rPr>
          <w:lang w:eastAsia="ja-JP"/>
        </w:rPr>
        <w:t>II</w:t>
      </w:r>
      <w:r>
        <w:rPr>
          <w:lang w:eastAsia="ja-JP"/>
        </w:rPr>
        <w:t>/</w:t>
      </w:r>
      <w:r w:rsidR="00404803">
        <w:rPr>
          <w:lang w:eastAsia="ja-JP"/>
        </w:rPr>
        <w:t>III</w:t>
      </w:r>
      <w:r>
        <w:rPr>
          <w:lang w:eastAsia="ja-JP"/>
        </w:rPr>
        <w:t xml:space="preserve"> placebo</w:t>
      </w:r>
      <w:r w:rsidR="00F1528F">
        <w:rPr>
          <w:lang w:eastAsia="ja-JP"/>
        </w:rPr>
        <w:t xml:space="preserve"> controlled</w:t>
      </w:r>
      <w:r>
        <w:rPr>
          <w:lang w:eastAsia="ja-JP"/>
        </w:rPr>
        <w:t xml:space="preserve"> prophylactic study</w:t>
      </w:r>
      <w:r w:rsidR="00404803">
        <w:rPr>
          <w:lang w:eastAsia="ja-JP"/>
        </w:rPr>
        <w:t xml:space="preserve"> versus </w:t>
      </w:r>
      <w:r>
        <w:rPr>
          <w:lang w:eastAsia="ja-JP"/>
        </w:rPr>
        <w:t>Pf in non-immunes in a human challenge model.</w:t>
      </w:r>
    </w:p>
    <w:p w14:paraId="2798DC8A" w14:textId="77777777" w:rsidR="008A1A1C" w:rsidRDefault="008A1A1C" w:rsidP="00404803">
      <w:pPr>
        <w:pStyle w:val="ListBullet"/>
        <w:rPr>
          <w:lang w:eastAsia="ja-JP"/>
        </w:rPr>
      </w:pPr>
      <w:r>
        <w:rPr>
          <w:lang w:eastAsia="ja-JP"/>
        </w:rPr>
        <w:t xml:space="preserve">Study 058: A </w:t>
      </w:r>
      <w:r w:rsidR="00404803">
        <w:rPr>
          <w:lang w:eastAsia="ja-JP"/>
        </w:rPr>
        <w:t>P</w:t>
      </w:r>
      <w:r>
        <w:rPr>
          <w:lang w:eastAsia="ja-JP"/>
        </w:rPr>
        <w:t xml:space="preserve">hase </w:t>
      </w:r>
      <w:r w:rsidR="00404803">
        <w:rPr>
          <w:lang w:eastAsia="ja-JP"/>
        </w:rPr>
        <w:t>II</w:t>
      </w:r>
      <w:r>
        <w:rPr>
          <w:lang w:eastAsia="ja-JP"/>
        </w:rPr>
        <w:t>/</w:t>
      </w:r>
      <w:r w:rsidR="00404803">
        <w:rPr>
          <w:lang w:eastAsia="ja-JP"/>
        </w:rPr>
        <w:t>III</w:t>
      </w:r>
      <w:r>
        <w:rPr>
          <w:lang w:eastAsia="ja-JP"/>
        </w:rPr>
        <w:t xml:space="preserve"> treatment study of </w:t>
      </w:r>
      <w:proofErr w:type="gramStart"/>
      <w:r>
        <w:rPr>
          <w:lang w:eastAsia="ja-JP"/>
        </w:rPr>
        <w:t>Pv</w:t>
      </w:r>
      <w:proofErr w:type="gramEnd"/>
      <w:r>
        <w:rPr>
          <w:lang w:eastAsia="ja-JP"/>
        </w:rPr>
        <w:t xml:space="preserve"> in semi-immune Thai</w:t>
      </w:r>
      <w:r w:rsidR="007B0EBB">
        <w:rPr>
          <w:lang w:eastAsia="ja-JP"/>
        </w:rPr>
        <w:t xml:space="preserve"> national</w:t>
      </w:r>
      <w:r>
        <w:rPr>
          <w:lang w:eastAsia="ja-JP"/>
        </w:rPr>
        <w:t>s, which also produced prophylaxis data.</w:t>
      </w:r>
    </w:p>
    <w:p w14:paraId="2E515148" w14:textId="77777777" w:rsidR="008A1A1C" w:rsidRDefault="008A1A1C" w:rsidP="008A1A1C">
      <w:pPr>
        <w:rPr>
          <w:lang w:eastAsia="ja-JP"/>
        </w:rPr>
      </w:pPr>
      <w:r>
        <w:rPr>
          <w:lang w:eastAsia="ja-JP"/>
        </w:rPr>
        <w:t>Other studies that preceded and are submitted to support the key trials listed above consist of the following:</w:t>
      </w:r>
    </w:p>
    <w:p w14:paraId="00A80503" w14:textId="77777777" w:rsidR="008A1A1C" w:rsidRDefault="008A1A1C" w:rsidP="00404803">
      <w:pPr>
        <w:pStyle w:val="ListBullet"/>
        <w:rPr>
          <w:lang w:eastAsia="ja-JP"/>
        </w:rPr>
      </w:pPr>
      <w:r>
        <w:rPr>
          <w:lang w:eastAsia="ja-JP"/>
        </w:rPr>
        <w:t>Studies 053 and 054: Prophylactic efficacy of single</w:t>
      </w:r>
      <w:r w:rsidR="009720A8">
        <w:rPr>
          <w:lang w:eastAsia="ja-JP"/>
        </w:rPr>
        <w:t xml:space="preserve"> dose</w:t>
      </w:r>
      <w:r>
        <w:rPr>
          <w:lang w:eastAsia="ja-JP"/>
        </w:rPr>
        <w:t xml:space="preserve"> (Study 053) and early multiple</w:t>
      </w:r>
      <w:r w:rsidR="009720A8">
        <w:rPr>
          <w:lang w:eastAsia="ja-JP"/>
        </w:rPr>
        <w:t xml:space="preserve"> dose</w:t>
      </w:r>
      <w:r>
        <w:rPr>
          <w:lang w:eastAsia="ja-JP"/>
        </w:rPr>
        <w:t xml:space="preserve"> (Study 054) tafenoquine regimens in the human Pf challenge model.</w:t>
      </w:r>
    </w:p>
    <w:p w14:paraId="48D4ED00" w14:textId="77777777" w:rsidR="008A1A1C" w:rsidRDefault="008A1A1C" w:rsidP="00404803">
      <w:pPr>
        <w:pStyle w:val="ListBullet"/>
        <w:rPr>
          <w:lang w:eastAsia="ja-JP"/>
        </w:rPr>
      </w:pPr>
      <w:r>
        <w:rPr>
          <w:lang w:eastAsia="ja-JP"/>
        </w:rPr>
        <w:t>Study 006: Different loading doses for semi-immunes in Africa.</w:t>
      </w:r>
    </w:p>
    <w:p w14:paraId="2B94F996" w14:textId="77777777" w:rsidR="008A1A1C" w:rsidRDefault="008A1A1C" w:rsidP="00404803">
      <w:pPr>
        <w:pStyle w:val="ListBullet"/>
        <w:rPr>
          <w:lang w:eastAsia="ja-JP"/>
        </w:rPr>
      </w:pPr>
      <w:r>
        <w:rPr>
          <w:lang w:eastAsia="ja-JP"/>
        </w:rPr>
        <w:t xml:space="preserve">Study 044: ‘Full prophylactic regimen’ with a higher dose than the final clinical dose for non-immunes in </w:t>
      </w:r>
      <w:r w:rsidR="00D540EE">
        <w:rPr>
          <w:lang w:eastAsia="ja-JP"/>
        </w:rPr>
        <w:t>South East</w:t>
      </w:r>
      <w:r>
        <w:rPr>
          <w:lang w:eastAsia="ja-JP"/>
        </w:rPr>
        <w:t xml:space="preserve"> Asia.</w:t>
      </w:r>
    </w:p>
    <w:p w14:paraId="0D37B39B" w14:textId="77777777" w:rsidR="008A1A1C" w:rsidRDefault="008A1A1C" w:rsidP="00404803">
      <w:pPr>
        <w:pStyle w:val="ListBullet"/>
        <w:rPr>
          <w:lang w:eastAsia="ja-JP"/>
        </w:rPr>
      </w:pPr>
      <w:r>
        <w:rPr>
          <w:lang w:eastAsia="ja-JP"/>
        </w:rPr>
        <w:t>Study TAF-112582</w:t>
      </w:r>
      <w:r w:rsidR="007B0EBB">
        <w:rPr>
          <w:lang w:eastAsia="ja-JP"/>
        </w:rPr>
        <w:t>: A</w:t>
      </w:r>
      <w:r>
        <w:rPr>
          <w:lang w:eastAsia="ja-JP"/>
        </w:rPr>
        <w:t xml:space="preserve"> treatment/prophylaxis study in patients with </w:t>
      </w:r>
      <w:proofErr w:type="gramStart"/>
      <w:r>
        <w:rPr>
          <w:lang w:eastAsia="ja-JP"/>
        </w:rPr>
        <w:t>Pv</w:t>
      </w:r>
      <w:proofErr w:type="gramEnd"/>
      <w:r>
        <w:rPr>
          <w:lang w:eastAsia="ja-JP"/>
        </w:rPr>
        <w:t xml:space="preserve"> malaria in endemic areas.</w:t>
      </w:r>
    </w:p>
    <w:p w14:paraId="2CF1F90F" w14:textId="77777777" w:rsidR="008A1A1C" w:rsidRDefault="008A1A1C" w:rsidP="00404803">
      <w:pPr>
        <w:pStyle w:val="ListBullet"/>
        <w:rPr>
          <w:lang w:eastAsia="ja-JP"/>
        </w:rPr>
      </w:pPr>
      <w:r>
        <w:rPr>
          <w:lang w:eastAsia="ja-JP"/>
        </w:rPr>
        <w:t>Study 030: The anticipated clinical regimen (200 mg per day x 3 days followed by 200 mg weekly) compared to placebo and positive control (mefloquine).</w:t>
      </w:r>
    </w:p>
    <w:p w14:paraId="59EC6D52" w14:textId="52697CAB" w:rsidR="008A1A1C" w:rsidRDefault="008A1A1C" w:rsidP="008A1A1C">
      <w:pPr>
        <w:rPr>
          <w:lang w:eastAsia="ja-JP"/>
        </w:rPr>
      </w:pPr>
      <w:r>
        <w:rPr>
          <w:lang w:eastAsia="ja-JP"/>
        </w:rPr>
        <w:t>For the part of the indication ‘Prophylaxis of malaria after leaving the endemic region’, 5</w:t>
      </w:r>
      <w:r w:rsidR="00747A40">
        <w:rPr>
          <w:lang w:eastAsia="ja-JP"/>
        </w:rPr>
        <w:t> </w:t>
      </w:r>
      <w:r>
        <w:rPr>
          <w:lang w:eastAsia="ja-JP"/>
        </w:rPr>
        <w:t xml:space="preserve">relevant studies have been submitted. Pivotal </w:t>
      </w:r>
      <w:r w:rsidR="009720A8">
        <w:rPr>
          <w:lang w:eastAsia="ja-JP"/>
        </w:rPr>
        <w:t>Study 0</w:t>
      </w:r>
      <w:r>
        <w:rPr>
          <w:lang w:eastAsia="ja-JP"/>
        </w:rPr>
        <w:t>33 fulfils regulatory criterion - a comparison of tafenoquine to an active comparator (primaquine) in non-immunes. Supporting Study 049 also compares tafenoquine to primaquine in non-immunes. Supporting Studies 047 and 058 compare tafenoquine to primaquine in Thais who are of mixed immunity. Study 046 was an open label study</w:t>
      </w:r>
      <w:r w:rsidR="00E32660">
        <w:rPr>
          <w:lang w:eastAsia="ja-JP"/>
        </w:rPr>
        <w:t>.</w:t>
      </w:r>
      <w:r w:rsidR="00E32660">
        <w:rPr>
          <w:rStyle w:val="FootnoteReference"/>
          <w:lang w:eastAsia="ja-JP"/>
        </w:rPr>
        <w:footnoteReference w:id="6"/>
      </w:r>
      <w:r w:rsidR="003C6A60">
        <w:rPr>
          <w:lang w:eastAsia="ja-JP"/>
        </w:rPr>
        <w:t>.</w:t>
      </w:r>
    </w:p>
    <w:p w14:paraId="5E2AB775" w14:textId="77777777" w:rsidR="008A1A1C" w:rsidRDefault="008A1A1C" w:rsidP="00404803">
      <w:pPr>
        <w:pStyle w:val="ListBullet"/>
        <w:rPr>
          <w:lang w:eastAsia="ja-JP"/>
        </w:rPr>
      </w:pPr>
      <w:r>
        <w:rPr>
          <w:lang w:eastAsia="ja-JP"/>
        </w:rPr>
        <w:t>Study 033: Upon exit of non-immunes from the endemic region, mefloquine subjects received primaquine while tafenoquine subjects were not further treated, thus permitting a comparison between primaquine and tafenoquine for post-exposure prophylaxis.</w:t>
      </w:r>
    </w:p>
    <w:p w14:paraId="27CCE716" w14:textId="70FB9ECD" w:rsidR="008A1A1C" w:rsidRDefault="008A1A1C" w:rsidP="00404803">
      <w:pPr>
        <w:pStyle w:val="ListBullet"/>
        <w:rPr>
          <w:lang w:eastAsia="ja-JP"/>
        </w:rPr>
      </w:pPr>
      <w:r>
        <w:rPr>
          <w:lang w:eastAsia="ja-JP"/>
        </w:rPr>
        <w:t>Study 058: In addition to evaluating the treatment effect of tafenoquine against Pv already present in the blood of semi-immune Thai</w:t>
      </w:r>
      <w:r w:rsidR="00747A40">
        <w:rPr>
          <w:lang w:eastAsia="ja-JP"/>
        </w:rPr>
        <w:t xml:space="preserve"> people</w:t>
      </w:r>
      <w:r>
        <w:rPr>
          <w:lang w:eastAsia="ja-JP"/>
        </w:rPr>
        <w:t>, follow-up was extended to 120 days and thus assesses relapse of the tafenoquine regimen used compared to primaquine up to that time.</w:t>
      </w:r>
    </w:p>
    <w:p w14:paraId="7AC9F9D3" w14:textId="77777777" w:rsidR="008A1A1C" w:rsidRDefault="008A1A1C" w:rsidP="00404803">
      <w:pPr>
        <w:pStyle w:val="ListBullet"/>
        <w:rPr>
          <w:lang w:eastAsia="ja-JP"/>
        </w:rPr>
      </w:pPr>
      <w:r>
        <w:rPr>
          <w:lang w:eastAsia="ja-JP"/>
        </w:rPr>
        <w:t xml:space="preserve">Study 047: Wide range of short tafenoquine regimens compared to primaquine for Thais in </w:t>
      </w:r>
      <w:r w:rsidR="00D540EE">
        <w:rPr>
          <w:lang w:eastAsia="ja-JP"/>
        </w:rPr>
        <w:t>South East</w:t>
      </w:r>
      <w:r>
        <w:rPr>
          <w:lang w:eastAsia="ja-JP"/>
        </w:rPr>
        <w:t xml:space="preserve"> Asia</w:t>
      </w:r>
      <w:r w:rsidR="007B0EBB">
        <w:rPr>
          <w:lang w:eastAsia="ja-JP"/>
        </w:rPr>
        <w:t>.</w:t>
      </w:r>
    </w:p>
    <w:p w14:paraId="318214C1" w14:textId="77777777" w:rsidR="008A1A1C" w:rsidRDefault="008A1A1C" w:rsidP="00404803">
      <w:pPr>
        <w:pStyle w:val="ListBullet"/>
        <w:rPr>
          <w:lang w:eastAsia="ja-JP"/>
        </w:rPr>
      </w:pPr>
      <w:r>
        <w:rPr>
          <w:lang w:eastAsia="ja-JP"/>
        </w:rPr>
        <w:lastRenderedPageBreak/>
        <w:t>Study 049: Several short tafenoquine regimens compared to primaquine for Australian non-immunes</w:t>
      </w:r>
      <w:r w:rsidR="007B0EBB">
        <w:rPr>
          <w:lang w:eastAsia="ja-JP"/>
        </w:rPr>
        <w:t>.</w:t>
      </w:r>
    </w:p>
    <w:p w14:paraId="666308C0" w14:textId="00080727" w:rsidR="00F1528F" w:rsidRDefault="008A1A1C" w:rsidP="00404803">
      <w:pPr>
        <w:rPr>
          <w:lang w:eastAsia="ja-JP"/>
        </w:rPr>
      </w:pPr>
      <w:r>
        <w:t>For tafenoquine efficacy studies, males (3,232 subjects) predominated overall; however, 771</w:t>
      </w:r>
      <w:r w:rsidR="00747A40">
        <w:t> </w:t>
      </w:r>
      <w:r>
        <w:t xml:space="preserve">females </w:t>
      </w:r>
      <w:r>
        <w:rPr>
          <w:lang w:eastAsia="ja-JP"/>
        </w:rPr>
        <w:t xml:space="preserve">also participated. The mean age of 29 years, </w:t>
      </w:r>
      <w:r w:rsidR="00404803">
        <w:rPr>
          <w:lang w:eastAsia="ja-JP"/>
        </w:rPr>
        <w:t xml:space="preserve">the </w:t>
      </w:r>
      <w:r>
        <w:rPr>
          <w:lang w:eastAsia="ja-JP"/>
        </w:rPr>
        <w:t xml:space="preserve">mean weight of 69 kg and </w:t>
      </w:r>
      <w:r w:rsidR="00404803">
        <w:rPr>
          <w:lang w:eastAsia="ja-JP"/>
        </w:rPr>
        <w:t xml:space="preserve">the </w:t>
      </w:r>
      <w:r>
        <w:rPr>
          <w:lang w:eastAsia="ja-JP"/>
        </w:rPr>
        <w:t>mean body mass index (BMI) of 23 signified a healthy young adult population. Subjects ranged in age from 12 years to 70 years. Drop-outs were few (approximately 2.5%).</w:t>
      </w:r>
    </w:p>
    <w:p w14:paraId="0053A963" w14:textId="6DEA4730" w:rsidR="00F1528F" w:rsidRDefault="008A1A1C" w:rsidP="00404803">
      <w:r>
        <w:rPr>
          <w:lang w:eastAsia="ja-JP"/>
        </w:rPr>
        <w:t xml:space="preserve">The </w:t>
      </w:r>
      <w:r>
        <w:t xml:space="preserve">primary efficacy </w:t>
      </w:r>
      <w:r>
        <w:rPr>
          <w:i/>
        </w:rPr>
        <w:t>endpoint</w:t>
      </w:r>
      <w:r>
        <w:t xml:space="preserve"> in all clinical trials was confirmed parasit</w:t>
      </w:r>
      <w:r w:rsidR="003C6A60">
        <w:t>a</w:t>
      </w:r>
      <w:r>
        <w:t>emia. Confirmed parasit</w:t>
      </w:r>
      <w:r w:rsidR="003C6A60">
        <w:t>a</w:t>
      </w:r>
      <w:r>
        <w:t xml:space="preserve">emia signifies that the presence of parasites in the blood smears had to be confirmed by two independent microscopists. The primary efficacy </w:t>
      </w:r>
      <w:r w:rsidRPr="00B743F3">
        <w:t>analytic parameter</w:t>
      </w:r>
      <w:r>
        <w:t xml:space="preserve"> (the primary efficacy variable that was calculated from the parasit</w:t>
      </w:r>
      <w:r w:rsidR="003C6A60">
        <w:t>a</w:t>
      </w:r>
      <w:r>
        <w:t>emia data) in studies that contained a placebo group (Studies 006, 043, 044, 045, 030) was ‘Protective Efficacy.’ Protective efficacy</w:t>
      </w:r>
      <w:r w:rsidR="00404803">
        <w:t xml:space="preserve"> versus </w:t>
      </w:r>
      <w:r>
        <w:t>placebo (PE) was defined as follows: PE = (attack rate of placebo – attack rate of tafenoquine) / (attack rate of placebo) = (1 - relative risk of developing parasitemia tafenoquine: placebo) x 100%. Where attack rate = number of subjects who developed parasit</w:t>
      </w:r>
      <w:r w:rsidR="003C6A60">
        <w:t>a</w:t>
      </w:r>
      <w:r>
        <w:t>emia / number of subjects. The primary efficacy analytic parameter in studies that did not contain a placebo group (Studies 033, 047, 049, and 058) was ‘parasit</w:t>
      </w:r>
      <w:r w:rsidR="003C6A60">
        <w:t>a</w:t>
      </w:r>
      <w:r>
        <w:t>emia’ or ‘no-parasit</w:t>
      </w:r>
      <w:r w:rsidR="003C6A60">
        <w:t>a</w:t>
      </w:r>
      <w:r>
        <w:t xml:space="preserve">emia,’ or the synonymous terms ‘prophylactic failure’ or ‘prophylactic </w:t>
      </w:r>
      <w:proofErr w:type="gramStart"/>
      <w:r>
        <w:t>success’</w:t>
      </w:r>
      <w:proofErr w:type="gramEnd"/>
      <w:r>
        <w:t>.</w:t>
      </w:r>
    </w:p>
    <w:p w14:paraId="2495E334" w14:textId="77777777" w:rsidR="008A1A1C" w:rsidRDefault="008A1A1C" w:rsidP="00FB2482">
      <w:pPr>
        <w:pStyle w:val="Heading3"/>
      </w:pPr>
      <w:bookmarkStart w:id="343" w:name="_Toc501809150"/>
      <w:bookmarkStart w:id="344" w:name="_Toc504229376"/>
      <w:bookmarkStart w:id="345" w:name="_Toc12520288"/>
      <w:r>
        <w:t>Pivotal or main efficacy studies</w:t>
      </w:r>
      <w:bookmarkEnd w:id="333"/>
      <w:bookmarkEnd w:id="334"/>
      <w:bookmarkEnd w:id="335"/>
      <w:bookmarkEnd w:id="336"/>
      <w:bookmarkEnd w:id="337"/>
      <w:bookmarkEnd w:id="338"/>
      <w:bookmarkEnd w:id="339"/>
      <w:bookmarkEnd w:id="343"/>
      <w:bookmarkEnd w:id="344"/>
      <w:bookmarkEnd w:id="345"/>
    </w:p>
    <w:p w14:paraId="253A0A20" w14:textId="77777777" w:rsidR="008A1A1C" w:rsidRDefault="008A1A1C" w:rsidP="00E730B4">
      <w:pPr>
        <w:pStyle w:val="Heading4"/>
        <w:numPr>
          <w:ilvl w:val="2"/>
          <w:numId w:val="7"/>
        </w:numPr>
      </w:pPr>
      <w:r>
        <w:t>Study 033</w:t>
      </w:r>
    </w:p>
    <w:p w14:paraId="3EA33362" w14:textId="77777777" w:rsidR="008A1A1C" w:rsidRDefault="008A1A1C" w:rsidP="00E730B4">
      <w:pPr>
        <w:pStyle w:val="Heading5"/>
        <w:numPr>
          <w:ilvl w:val="3"/>
          <w:numId w:val="7"/>
        </w:numPr>
      </w:pPr>
      <w:r>
        <w:t>Study design, objectives, locations and dates</w:t>
      </w:r>
    </w:p>
    <w:p w14:paraId="15F71491" w14:textId="4F070D34" w:rsidR="00F1528F" w:rsidRDefault="008A1A1C" w:rsidP="00404803">
      <w:pPr>
        <w:rPr>
          <w:lang w:eastAsia="ja-JP"/>
        </w:rPr>
      </w:pPr>
      <w:r>
        <w:rPr>
          <w:lang w:eastAsia="ja-JP"/>
        </w:rPr>
        <w:t xml:space="preserve">Study 033 was a </w:t>
      </w:r>
      <w:r w:rsidR="00404803">
        <w:rPr>
          <w:lang w:eastAsia="ja-JP"/>
        </w:rPr>
        <w:t>double blind</w:t>
      </w:r>
      <w:r>
        <w:rPr>
          <w:lang w:eastAsia="ja-JP"/>
        </w:rPr>
        <w:t xml:space="preserve">, Phase III clinical trial conducted to evaluate the safety, tolerability, and efficacy of tafenoquine and mefloquine for the prophylaxis of malaria in non-immune soldiers deployed to an endemic malarial area. Study 033 compared tafenoquine with mefloquine for the prophylaxis of both Pf and </w:t>
      </w:r>
      <w:proofErr w:type="gramStart"/>
      <w:r>
        <w:rPr>
          <w:lang w:eastAsia="ja-JP"/>
        </w:rPr>
        <w:t>Pv</w:t>
      </w:r>
      <w:proofErr w:type="gramEnd"/>
      <w:r>
        <w:rPr>
          <w:lang w:eastAsia="ja-JP"/>
        </w:rPr>
        <w:t xml:space="preserve"> malaria in healthy non-immune Australian soldiers deployed to East Timor (now Timor-Leste). The study was carried out at the Lavarack Barracks, Townsville, Australia and in East Timor (at seven sites). The study was divided into two phases. It was conducted between October 2000 and17 May 2001. </w:t>
      </w:r>
      <w:r w:rsidR="00F1528F">
        <w:rPr>
          <w:lang w:eastAsia="ja-JP"/>
        </w:rPr>
        <w:t>Phase I</w:t>
      </w:r>
      <w:r>
        <w:rPr>
          <w:lang w:eastAsia="ja-JP"/>
        </w:rPr>
        <w:t xml:space="preserve"> consisted of a 26</w:t>
      </w:r>
      <w:r w:rsidR="00404803">
        <w:rPr>
          <w:lang w:eastAsia="ja-JP"/>
        </w:rPr>
        <w:t xml:space="preserve"> week</w:t>
      </w:r>
      <w:r>
        <w:rPr>
          <w:lang w:eastAsia="ja-JP"/>
        </w:rPr>
        <w:t xml:space="preserve"> period during deployment where subjects received prophylactic. At the end of the deployment to the malarious area and once the subjects had returned to barracks in Townsville, Australia, the subjects entered a 24</w:t>
      </w:r>
      <w:r w:rsidR="00404803">
        <w:rPr>
          <w:lang w:eastAsia="ja-JP"/>
        </w:rPr>
        <w:t xml:space="preserve"> week</w:t>
      </w:r>
      <w:r>
        <w:rPr>
          <w:lang w:eastAsia="ja-JP"/>
        </w:rPr>
        <w:t xml:space="preserve"> relapse follow-up phase (extended to 1 year). During this follow-up phase, subjects who had been on mefloquine prophylaxis received 14</w:t>
      </w:r>
      <w:r w:rsidR="00473B40">
        <w:rPr>
          <w:lang w:eastAsia="ja-JP"/>
        </w:rPr>
        <w:t xml:space="preserve"> day</w:t>
      </w:r>
      <w:r>
        <w:rPr>
          <w:lang w:eastAsia="ja-JP"/>
        </w:rPr>
        <w:t xml:space="preserve">s of primaquine (15 </w:t>
      </w:r>
      <w:r w:rsidR="00404803">
        <w:rPr>
          <w:lang w:eastAsia="ja-JP"/>
        </w:rPr>
        <w:t>mg BID</w:t>
      </w:r>
      <w:r>
        <w:rPr>
          <w:lang w:eastAsia="ja-JP"/>
        </w:rPr>
        <w:t>) while subjects on tafenoquine prophylaxis received placebo capsules for 14 days. The study was conducted at eight sites in Timor-Leste. Participants (N = 654).</w:t>
      </w:r>
    </w:p>
    <w:p w14:paraId="42DCA99C" w14:textId="77777777" w:rsidR="008A1A1C" w:rsidRDefault="00404803" w:rsidP="00404803">
      <w:pPr>
        <w:pStyle w:val="Heading6"/>
        <w:rPr>
          <w:lang w:eastAsia="ja-JP"/>
        </w:rPr>
      </w:pPr>
      <w:r>
        <w:rPr>
          <w:lang w:eastAsia="ja-JP"/>
        </w:rPr>
        <w:t>Objectives</w:t>
      </w:r>
    </w:p>
    <w:p w14:paraId="2663A296" w14:textId="77777777" w:rsidR="008A1A1C" w:rsidRDefault="008A1A1C" w:rsidP="008A1A1C">
      <w:pPr>
        <w:rPr>
          <w:lang w:eastAsia="ja-JP"/>
        </w:rPr>
      </w:pPr>
      <w:r>
        <w:rPr>
          <w:lang w:eastAsia="ja-JP"/>
        </w:rPr>
        <w:t>The primary study objective was to compare the safety and tolerability of tafenoquine and mefloquine during a 6</w:t>
      </w:r>
      <w:r w:rsidR="00404803">
        <w:rPr>
          <w:lang w:eastAsia="ja-JP"/>
        </w:rPr>
        <w:t xml:space="preserve"> month</w:t>
      </w:r>
      <w:r>
        <w:rPr>
          <w:lang w:eastAsia="ja-JP"/>
        </w:rPr>
        <w:t xml:space="preserve"> period of treatment.</w:t>
      </w:r>
    </w:p>
    <w:p w14:paraId="576110F5" w14:textId="77777777" w:rsidR="008A1A1C" w:rsidRDefault="008A1A1C" w:rsidP="008A1A1C">
      <w:pPr>
        <w:rPr>
          <w:lang w:eastAsia="ja-JP"/>
        </w:rPr>
      </w:pPr>
      <w:r>
        <w:rPr>
          <w:lang w:eastAsia="ja-JP"/>
        </w:rPr>
        <w:t>The secondary study objectives were:</w:t>
      </w:r>
    </w:p>
    <w:p w14:paraId="41D4773F" w14:textId="77777777" w:rsidR="00F1528F" w:rsidRDefault="008A1A1C" w:rsidP="00404803">
      <w:pPr>
        <w:pStyle w:val="ListBullet"/>
        <w:rPr>
          <w:lang w:eastAsia="ja-JP"/>
        </w:rPr>
      </w:pPr>
      <w:r>
        <w:rPr>
          <w:lang w:eastAsia="ja-JP"/>
        </w:rPr>
        <w:t>To assess the effectiveness of tafenoquine and mefloquine fo</w:t>
      </w:r>
      <w:r w:rsidR="00404803">
        <w:rPr>
          <w:lang w:eastAsia="ja-JP"/>
        </w:rPr>
        <w:t>r chemoprophylaxis of Pf and Pv</w:t>
      </w:r>
    </w:p>
    <w:p w14:paraId="0EEF897A" w14:textId="77777777" w:rsidR="008A1A1C" w:rsidRDefault="008A1A1C" w:rsidP="00404803">
      <w:pPr>
        <w:pStyle w:val="ListBullet"/>
        <w:rPr>
          <w:lang w:eastAsia="ja-JP"/>
        </w:rPr>
      </w:pPr>
      <w:r>
        <w:rPr>
          <w:lang w:eastAsia="ja-JP"/>
        </w:rPr>
        <w:t>To assess the effectiveness of tafenoquine and primaquine in preventing post exposure malaria</w:t>
      </w:r>
    </w:p>
    <w:p w14:paraId="1679BBC7" w14:textId="77777777" w:rsidR="008A1A1C" w:rsidRDefault="008A1A1C" w:rsidP="00404803">
      <w:pPr>
        <w:pStyle w:val="ListBullet"/>
        <w:rPr>
          <w:lang w:eastAsia="ja-JP"/>
        </w:rPr>
      </w:pPr>
      <w:r>
        <w:rPr>
          <w:lang w:eastAsia="ja-JP"/>
        </w:rPr>
        <w:t xml:space="preserve">To </w:t>
      </w:r>
      <w:r w:rsidR="00ED04EE">
        <w:rPr>
          <w:lang w:eastAsia="ja-JP"/>
        </w:rPr>
        <w:t>characterise</w:t>
      </w:r>
      <w:r>
        <w:rPr>
          <w:lang w:eastAsia="ja-JP"/>
        </w:rPr>
        <w:t xml:space="preserve"> the population PK of tafenoquine and evaluate the effects of various subject characteristics on tafenoquine PK</w:t>
      </w:r>
      <w:r w:rsidR="00404803">
        <w:rPr>
          <w:lang w:eastAsia="ja-JP"/>
        </w:rPr>
        <w:t>.</w:t>
      </w:r>
    </w:p>
    <w:p w14:paraId="57258C72" w14:textId="77777777" w:rsidR="008A1A1C" w:rsidRDefault="008A1A1C" w:rsidP="00E730B4">
      <w:pPr>
        <w:pStyle w:val="Heading5"/>
        <w:numPr>
          <w:ilvl w:val="3"/>
          <w:numId w:val="7"/>
        </w:numPr>
      </w:pPr>
      <w:r>
        <w:lastRenderedPageBreak/>
        <w:t>Inclusion and exclusion criteria</w:t>
      </w:r>
    </w:p>
    <w:p w14:paraId="5689D25F" w14:textId="759014D6" w:rsidR="00404803" w:rsidRDefault="008A1A1C" w:rsidP="00965D70">
      <w:pPr>
        <w:spacing w:line="240" w:lineRule="auto"/>
      </w:pPr>
      <w:r>
        <w:rPr>
          <w:lang w:eastAsia="ja-JP"/>
        </w:rPr>
        <w:t xml:space="preserve">Healthy Australian soldiers, able to consent, no known </w:t>
      </w:r>
      <w:r w:rsidR="00747A40">
        <w:t>glucose</w:t>
      </w:r>
      <w:r w:rsidR="00965D70">
        <w:t xml:space="preserve">-6-phosphate </w:t>
      </w:r>
      <w:r w:rsidR="00122529">
        <w:t xml:space="preserve">dehydrogenase </w:t>
      </w:r>
      <w:r w:rsidR="00965D70">
        <w:t xml:space="preserve">deficiency </w:t>
      </w:r>
      <w:r w:rsidR="00965D70">
        <w:rPr>
          <w:lang w:eastAsia="ja-JP"/>
        </w:rPr>
        <w:t>(G6PD</w:t>
      </w:r>
      <w:r w:rsidR="00122529">
        <w:rPr>
          <w:lang w:eastAsia="ja-JP"/>
        </w:rPr>
        <w:t>D</w:t>
      </w:r>
      <w:r w:rsidR="00965D70">
        <w:rPr>
          <w:lang w:eastAsia="ja-JP"/>
        </w:rPr>
        <w:t xml:space="preserve">) </w:t>
      </w:r>
      <w:r>
        <w:t xml:space="preserve">as defined by Medical Class 1 or 2 (Australian Army standard), male or female and aged between 18 and 55 years inclusive. </w:t>
      </w:r>
    </w:p>
    <w:p w14:paraId="00586201" w14:textId="337C43BD" w:rsidR="008A1A1C" w:rsidRDefault="008A1A1C" w:rsidP="008A1A1C">
      <w:r>
        <w:t>Subjects with demonstrated G6PD</w:t>
      </w:r>
      <w:r w:rsidR="00122529">
        <w:t>D</w:t>
      </w:r>
      <w:r>
        <w:t>, a history of allergy or intolerance to study medication, a history of psychiatric disorders and/or seizures, or a history of drug or alcohol abuse were excluded. In addition, subjects with clinically significant medical history, concurrent conditions, or laboratory test results were also to be excluded.</w:t>
      </w:r>
      <w:r w:rsidR="00FD4D52">
        <w:rPr>
          <w:rStyle w:val="FootnoteReference"/>
        </w:rPr>
        <w:footnoteReference w:id="7"/>
      </w:r>
    </w:p>
    <w:p w14:paraId="59B46B85" w14:textId="77777777" w:rsidR="008A1A1C" w:rsidRDefault="008A1A1C" w:rsidP="00E730B4">
      <w:pPr>
        <w:pStyle w:val="Heading5"/>
        <w:numPr>
          <w:ilvl w:val="3"/>
          <w:numId w:val="7"/>
        </w:numPr>
      </w:pPr>
      <w:r>
        <w:t>Study treatments</w:t>
      </w:r>
    </w:p>
    <w:p w14:paraId="798DBF21" w14:textId="79FFBBC6" w:rsidR="008A1A1C" w:rsidRDefault="008A1A1C" w:rsidP="00404803">
      <w:pPr>
        <w:rPr>
          <w:lang w:eastAsia="ja-JP"/>
        </w:rPr>
      </w:pPr>
      <w:proofErr w:type="gramStart"/>
      <w:r>
        <w:rPr>
          <w:lang w:eastAsia="ja-JP"/>
        </w:rPr>
        <w:t xml:space="preserve">The first or prophylactic </w:t>
      </w:r>
      <w:r>
        <w:t>as above</w:t>
      </w:r>
      <w:r w:rsidR="00E730B4">
        <w:t>,</w:t>
      </w:r>
      <w:r w:rsidR="00404803">
        <w:t xml:space="preserve"> s</w:t>
      </w:r>
      <w:r>
        <w:rPr>
          <w:lang w:eastAsia="ja-JP"/>
        </w:rPr>
        <w:t>tudy medication (tafenoquine 200 mg or mefloquine 250) in a ratio of 3:1.</w:t>
      </w:r>
      <w:proofErr w:type="gramEnd"/>
      <w:r>
        <w:rPr>
          <w:lang w:eastAsia="ja-JP"/>
        </w:rPr>
        <w:t xml:space="preserve"> A loading dose of tafenoquine 200 mg for 3 days, followed by weekly tafenoquine 200 mg </w:t>
      </w:r>
      <w:r w:rsidR="00747A40">
        <w:rPr>
          <w:lang w:eastAsia="ja-JP"/>
        </w:rPr>
        <w:t>(</w:t>
      </w:r>
      <w:r>
        <w:rPr>
          <w:lang w:eastAsia="ja-JP"/>
        </w:rPr>
        <w:t>n=492</w:t>
      </w:r>
      <w:r w:rsidR="00747A40">
        <w:rPr>
          <w:lang w:eastAsia="ja-JP"/>
        </w:rPr>
        <w:t xml:space="preserve">); </w:t>
      </w:r>
      <w:r>
        <w:rPr>
          <w:lang w:eastAsia="ja-JP"/>
        </w:rPr>
        <w:t xml:space="preserve">or to daily loading dose of mefloquine 250 mg for 3 days, followed by weekly mefloquine 250 mg, </w:t>
      </w:r>
      <w:r w:rsidR="00747A40">
        <w:rPr>
          <w:lang w:eastAsia="ja-JP"/>
        </w:rPr>
        <w:t>(</w:t>
      </w:r>
      <w:r>
        <w:rPr>
          <w:lang w:eastAsia="ja-JP"/>
        </w:rPr>
        <w:t>n = 162</w:t>
      </w:r>
      <w:r w:rsidR="00747A40">
        <w:rPr>
          <w:lang w:eastAsia="ja-JP"/>
        </w:rPr>
        <w:t>)</w:t>
      </w:r>
      <w:r>
        <w:rPr>
          <w:lang w:eastAsia="ja-JP"/>
        </w:rPr>
        <w:t>) for the duration of the prophylactic phase. Samples for PK analysis were collected in windows on study Day 2 (1 to 12 hours post-final loading dose)</w:t>
      </w:r>
      <w:proofErr w:type="gramStart"/>
      <w:r>
        <w:rPr>
          <w:lang w:eastAsia="ja-JP"/>
        </w:rPr>
        <w:t>,</w:t>
      </w:r>
      <w:proofErr w:type="gramEnd"/>
      <w:r>
        <w:rPr>
          <w:lang w:eastAsia="ja-JP"/>
        </w:rPr>
        <w:t xml:space="preserve"> 1</w:t>
      </w:r>
      <w:r w:rsidR="00747A40">
        <w:rPr>
          <w:lang w:eastAsia="ja-JP"/>
        </w:rPr>
        <w:t> </w:t>
      </w:r>
      <w:r>
        <w:rPr>
          <w:lang w:eastAsia="ja-JP"/>
        </w:rPr>
        <w:t>to 12 hours and 72 to 120 hours post</w:t>
      </w:r>
      <w:r w:rsidR="00404803">
        <w:rPr>
          <w:lang w:eastAsia="ja-JP"/>
        </w:rPr>
        <w:t xml:space="preserve"> week</w:t>
      </w:r>
      <w:r>
        <w:rPr>
          <w:lang w:eastAsia="ja-JP"/>
        </w:rPr>
        <w:t>ly dose and pre</w:t>
      </w:r>
      <w:r w:rsidR="009720A8">
        <w:rPr>
          <w:lang w:eastAsia="ja-JP"/>
        </w:rPr>
        <w:t xml:space="preserve"> dose</w:t>
      </w:r>
      <w:r>
        <w:rPr>
          <w:lang w:eastAsia="ja-JP"/>
        </w:rPr>
        <w:t xml:space="preserve"> for study Weeks 4, 8, 16, and 26 of the prophylactic phase.</w:t>
      </w:r>
    </w:p>
    <w:p w14:paraId="4DEA6034" w14:textId="77777777" w:rsidR="008A1A1C" w:rsidRDefault="008A1A1C" w:rsidP="00E730B4">
      <w:pPr>
        <w:pStyle w:val="Heading5"/>
        <w:numPr>
          <w:ilvl w:val="3"/>
          <w:numId w:val="7"/>
        </w:numPr>
      </w:pPr>
      <w:r>
        <w:t>Efficacy variables and outcomes</w:t>
      </w:r>
    </w:p>
    <w:p w14:paraId="3379979D" w14:textId="77777777" w:rsidR="008A1A1C" w:rsidRDefault="008A1A1C" w:rsidP="008A1A1C">
      <w:pPr>
        <w:rPr>
          <w:lang w:eastAsia="ja-JP"/>
        </w:rPr>
      </w:pPr>
      <w:r>
        <w:rPr>
          <w:lang w:eastAsia="ja-JP"/>
        </w:rPr>
        <w:t>The primary efficacy en</w:t>
      </w:r>
      <w:r w:rsidR="005B2850">
        <w:rPr>
          <w:lang w:eastAsia="ja-JP"/>
        </w:rPr>
        <w:t>dpoint was prophylactic failure:</w:t>
      </w:r>
      <w:r>
        <w:rPr>
          <w:lang w:eastAsia="ja-JP"/>
        </w:rPr>
        <w:t xml:space="preserve"> parasitologic and clinical failure during the 26</w:t>
      </w:r>
      <w:r w:rsidR="00404803">
        <w:rPr>
          <w:lang w:eastAsia="ja-JP"/>
        </w:rPr>
        <w:t xml:space="preserve"> week</w:t>
      </w:r>
      <w:r>
        <w:rPr>
          <w:lang w:eastAsia="ja-JP"/>
        </w:rPr>
        <w:t xml:space="preserve"> prophylactic phase. The protocol</w:t>
      </w:r>
      <w:r w:rsidR="00404803">
        <w:rPr>
          <w:lang w:eastAsia="ja-JP"/>
        </w:rPr>
        <w:t xml:space="preserve"> </w:t>
      </w:r>
      <w:r>
        <w:rPr>
          <w:lang w:eastAsia="ja-JP"/>
        </w:rPr>
        <w:t>defined principal efficacy analysis was based on the per-protocol (PP) population, all randomised subjects who satisfied inclusion/exclusion criteria and subsequently adhered to the protocol.</w:t>
      </w:r>
    </w:p>
    <w:p w14:paraId="5ABA2B04" w14:textId="77777777" w:rsidR="008A1A1C" w:rsidRDefault="008A1A1C" w:rsidP="008A1A1C">
      <w:pPr>
        <w:rPr>
          <w:lang w:eastAsia="ja-JP"/>
        </w:rPr>
      </w:pPr>
      <w:r>
        <w:rPr>
          <w:lang w:eastAsia="ja-JP"/>
        </w:rPr>
        <w:t>The secondary efficacy variables analysed were:</w:t>
      </w:r>
    </w:p>
    <w:p w14:paraId="33110F25" w14:textId="77777777" w:rsidR="008A1A1C" w:rsidRDefault="008A1A1C" w:rsidP="00404803">
      <w:pPr>
        <w:pStyle w:val="ListBullet"/>
        <w:rPr>
          <w:lang w:eastAsia="ja-JP"/>
        </w:rPr>
      </w:pPr>
      <w:r>
        <w:rPr>
          <w:lang w:eastAsia="ja-JP"/>
        </w:rPr>
        <w:t>Number of subjects experiencing clinical malaria at any time during the study (prophylactic phase plus 6 months relapse Follow-up phase);</w:t>
      </w:r>
    </w:p>
    <w:p w14:paraId="307EDE5A" w14:textId="77777777" w:rsidR="008A1A1C" w:rsidRDefault="008A1A1C" w:rsidP="00404803">
      <w:pPr>
        <w:pStyle w:val="ListBullet"/>
        <w:rPr>
          <w:lang w:eastAsia="ja-JP"/>
        </w:rPr>
      </w:pPr>
      <w:r>
        <w:rPr>
          <w:lang w:eastAsia="ja-JP"/>
        </w:rPr>
        <w:t>Number of subjects with a single positive smear (any species, with or without clinical signs/symptoms) during prophylactic study drug administration;</w:t>
      </w:r>
    </w:p>
    <w:p w14:paraId="0E24E95B" w14:textId="77777777" w:rsidR="008A1A1C" w:rsidRDefault="008A1A1C" w:rsidP="00404803">
      <w:pPr>
        <w:pStyle w:val="ListBullet"/>
        <w:rPr>
          <w:lang w:eastAsia="ja-JP"/>
        </w:rPr>
      </w:pPr>
      <w:r>
        <w:rPr>
          <w:lang w:eastAsia="ja-JP"/>
        </w:rPr>
        <w:t>Time to clinical malaria (all species) at any time during the study (prophylactic phase plus six months relapse Follow-up phase);</w:t>
      </w:r>
    </w:p>
    <w:p w14:paraId="3919068D" w14:textId="77777777" w:rsidR="008A1A1C" w:rsidRDefault="008A1A1C" w:rsidP="00404803">
      <w:pPr>
        <w:pStyle w:val="ListBullet"/>
        <w:rPr>
          <w:lang w:eastAsia="ja-JP"/>
        </w:rPr>
      </w:pPr>
      <w:r>
        <w:rPr>
          <w:lang w:eastAsia="ja-JP"/>
        </w:rPr>
        <w:t>Time to single positive smear (all species) with or without clinical signs/symptoms during prophylactic study drug administration.</w:t>
      </w:r>
    </w:p>
    <w:p w14:paraId="101D156F" w14:textId="77777777" w:rsidR="008A1A1C" w:rsidRDefault="008A1A1C" w:rsidP="00E730B4">
      <w:pPr>
        <w:pStyle w:val="Heading5"/>
        <w:numPr>
          <w:ilvl w:val="3"/>
          <w:numId w:val="7"/>
        </w:numPr>
      </w:pPr>
      <w:r w:rsidRPr="00404803">
        <w:t>Randomisation</w:t>
      </w:r>
      <w:r>
        <w:t xml:space="preserve"> and blinding methods</w:t>
      </w:r>
    </w:p>
    <w:p w14:paraId="46CBFE5E" w14:textId="77777777" w:rsidR="008A1A1C" w:rsidRDefault="007B0EBB" w:rsidP="007B0EBB">
      <w:pPr>
        <w:pStyle w:val="ListBullet"/>
        <w:numPr>
          <w:ilvl w:val="0"/>
          <w:numId w:val="0"/>
        </w:numPr>
        <w:ind w:left="360" w:hanging="360"/>
        <w:rPr>
          <w:lang w:eastAsia="ja-JP"/>
        </w:rPr>
      </w:pPr>
      <w:r>
        <w:rPr>
          <w:lang w:eastAsia="ja-JP"/>
        </w:rPr>
        <w:t>This was d</w:t>
      </w:r>
      <w:r w:rsidR="008A1A1C">
        <w:rPr>
          <w:lang w:eastAsia="ja-JP"/>
        </w:rPr>
        <w:t>one centrally.</w:t>
      </w:r>
    </w:p>
    <w:p w14:paraId="1AEA3B16" w14:textId="77777777" w:rsidR="008A1A1C" w:rsidRDefault="008A1A1C" w:rsidP="00E730B4">
      <w:pPr>
        <w:pStyle w:val="Heading5"/>
        <w:numPr>
          <w:ilvl w:val="3"/>
          <w:numId w:val="7"/>
        </w:numPr>
      </w:pPr>
      <w:r>
        <w:t>Analysis populations</w:t>
      </w:r>
    </w:p>
    <w:p w14:paraId="26E973CA" w14:textId="77777777" w:rsidR="008A1A1C" w:rsidRDefault="008A1A1C" w:rsidP="00404803">
      <w:r>
        <w:t>The principal efficacy analysis of Study 033 was based on the PP population, group and then the intention-to-treat (ITT) population was used to confirm the findings of the principal confirmatory analysis, under the following definitions:</w:t>
      </w:r>
    </w:p>
    <w:p w14:paraId="650BDA15" w14:textId="77777777" w:rsidR="008A1A1C" w:rsidRDefault="008A1A1C" w:rsidP="00404803">
      <w:r>
        <w:t xml:space="preserve">PP population: All </w:t>
      </w:r>
      <w:r w:rsidR="00404803">
        <w:t>randomised</w:t>
      </w:r>
      <w:r>
        <w:t xml:space="preserve"> subjects who satisfied those inclusion/exclusion criteria with the potential to affect efficacy, and subsequently adhered to the protocol.</w:t>
      </w:r>
    </w:p>
    <w:p w14:paraId="12BA3F55" w14:textId="241EE451" w:rsidR="008A1A1C" w:rsidRDefault="008A1A1C" w:rsidP="00404803">
      <w:r>
        <w:t>ITT population: All subjects who took at least one dose of prophylactic study medication during the prophylaxis treatment period.</w:t>
      </w:r>
    </w:p>
    <w:p w14:paraId="0E1C6258" w14:textId="77777777" w:rsidR="008A1A1C" w:rsidRDefault="008A1A1C" w:rsidP="00E730B4">
      <w:pPr>
        <w:pStyle w:val="Heading5"/>
        <w:numPr>
          <w:ilvl w:val="3"/>
          <w:numId w:val="7"/>
        </w:numPr>
      </w:pPr>
      <w:r>
        <w:lastRenderedPageBreak/>
        <w:t>Sample size</w:t>
      </w:r>
    </w:p>
    <w:p w14:paraId="71F581DD" w14:textId="77777777" w:rsidR="008A1A1C" w:rsidRDefault="008A1A1C" w:rsidP="00404803">
      <w:r>
        <w:t xml:space="preserve">It was calculated that in order to allow comparisons of safety to be made between tafenoquine and mefloquine given over 6 months, with a reasonable precision, at least 450 tafenoquine and 150 mefloquine subjects would need to complete the 6 months prophylactic phase. Approximately 5% of subjects </w:t>
      </w:r>
      <w:r w:rsidR="00404803">
        <w:t>randomised</w:t>
      </w:r>
      <w:r>
        <w:t xml:space="preserve"> were expected to drop out, so 632 subjects were to be </w:t>
      </w:r>
      <w:r w:rsidR="00404803">
        <w:t>randomised</w:t>
      </w:r>
      <w:r>
        <w:t xml:space="preserve"> in a 3:1 ratio; </w:t>
      </w:r>
      <w:r w:rsidR="00404803">
        <w:t>that is,</w:t>
      </w:r>
      <w:r>
        <w:t xml:space="preserve"> with 474 subjects in the </w:t>
      </w:r>
      <w:r w:rsidR="00404803">
        <w:t>randomised</w:t>
      </w:r>
      <w:r>
        <w:t xml:space="preserve"> to tafenoquine group and 158 subjects in the mefloquine group.</w:t>
      </w:r>
    </w:p>
    <w:p w14:paraId="7283E874" w14:textId="77777777" w:rsidR="008A1A1C" w:rsidRDefault="008A1A1C" w:rsidP="00E730B4">
      <w:pPr>
        <w:pStyle w:val="Heading5"/>
        <w:numPr>
          <w:ilvl w:val="3"/>
          <w:numId w:val="7"/>
        </w:numPr>
      </w:pPr>
      <w:r>
        <w:t>Statistical methods</w:t>
      </w:r>
    </w:p>
    <w:p w14:paraId="49799D01" w14:textId="77777777" w:rsidR="00F1528F" w:rsidRDefault="008A1A1C" w:rsidP="008A1A1C">
      <w:r w:rsidRPr="001473D7">
        <w:rPr>
          <w:i/>
        </w:rPr>
        <w:t>Principal Analysis (PP Population):</w:t>
      </w:r>
      <w:r>
        <w:t xml:space="preserve"> Treatment groups were compared for prophylactic outcome by calculating the difference in the proportion of prophylactic failures (tafenoquine-mefloquine) with a 95% CI. The CI was calculated for the difference in two binomial proportions using standard normal approximation theory. A conclusion of non</w:t>
      </w:r>
      <w:r w:rsidR="001473D7">
        <w:t>-</w:t>
      </w:r>
      <w:r>
        <w:t>inferiority of tafenoquine was to be drawn if the upper limit of the Cl was no more than 10%.</w:t>
      </w:r>
    </w:p>
    <w:p w14:paraId="59891ABC" w14:textId="77777777" w:rsidR="00F1528F" w:rsidRDefault="008A1A1C" w:rsidP="008A1A1C">
      <w:r w:rsidRPr="001473D7">
        <w:rPr>
          <w:i/>
        </w:rPr>
        <w:t>Confirmatory Analyses</w:t>
      </w:r>
      <w:r>
        <w:t>: These were carried out using (i) ITT population and (ii) a worst case analysis in which subjects withdrawing during the prophylactic phase were included as failures.</w:t>
      </w:r>
    </w:p>
    <w:p w14:paraId="7BD3834C" w14:textId="77777777" w:rsidR="008A1A1C" w:rsidRDefault="008A1A1C" w:rsidP="008A1A1C">
      <w:r w:rsidRPr="001473D7">
        <w:rPr>
          <w:i/>
        </w:rPr>
        <w:t>Analysis of Secondary Efficacy Variables</w:t>
      </w:r>
      <w:r>
        <w:t>: For secondary variables involving numbers of subjects, treatment differences in proportions with 95% CIs were calculated.</w:t>
      </w:r>
    </w:p>
    <w:p w14:paraId="7C60F51D" w14:textId="77777777" w:rsidR="00F1528F" w:rsidRDefault="008A1A1C" w:rsidP="00E730B4">
      <w:pPr>
        <w:pStyle w:val="Heading5"/>
        <w:numPr>
          <w:ilvl w:val="3"/>
          <w:numId w:val="7"/>
        </w:numPr>
      </w:pPr>
      <w:r>
        <w:t>Participant flow</w:t>
      </w:r>
    </w:p>
    <w:p w14:paraId="2EA85924" w14:textId="77777777" w:rsidR="008A1A1C" w:rsidRDefault="008A1A1C" w:rsidP="001473D7">
      <w:pPr>
        <w:rPr>
          <w:lang w:eastAsia="ja-JP"/>
        </w:rPr>
      </w:pPr>
      <w:r>
        <w:t xml:space="preserve">The </w:t>
      </w:r>
      <w:r>
        <w:rPr>
          <w:lang w:eastAsia="ja-JP"/>
        </w:rPr>
        <w:t xml:space="preserve">number of withdrawals was low in both treatment </w:t>
      </w:r>
      <w:r w:rsidRPr="005B2850">
        <w:rPr>
          <w:lang w:eastAsia="ja-JP"/>
        </w:rPr>
        <w:t xml:space="preserve">groups (&lt; 5%) as shown in </w:t>
      </w:r>
      <w:r w:rsidR="008D769C" w:rsidRPr="005B2850">
        <w:rPr>
          <w:lang w:eastAsia="ja-JP"/>
        </w:rPr>
        <w:t xml:space="preserve">Table </w:t>
      </w:r>
      <w:r w:rsidR="00AA2FE4" w:rsidRPr="005B2850">
        <w:rPr>
          <w:lang w:eastAsia="ja-JP"/>
        </w:rPr>
        <w:t>20</w:t>
      </w:r>
      <w:r w:rsidRPr="005B2850">
        <w:rPr>
          <w:lang w:eastAsia="ja-JP"/>
        </w:rPr>
        <w:t>. There were no withdrawals due to prophylactic failure during the prophylactic phase. The proportion of subjects withdrawn due to AEs was similar in both treatment</w:t>
      </w:r>
      <w:r>
        <w:rPr>
          <w:lang w:eastAsia="ja-JP"/>
        </w:rPr>
        <w:t xml:space="preserve"> groups (2.4-2.5%).</w:t>
      </w:r>
    </w:p>
    <w:p w14:paraId="0B707A72" w14:textId="4F6927BE" w:rsidR="00CE3CBE" w:rsidRDefault="00CE3CBE" w:rsidP="00CE3CBE">
      <w:pPr>
        <w:pStyle w:val="Tabletitle"/>
        <w:rPr>
          <w:noProof/>
        </w:rPr>
      </w:pPr>
      <w:bookmarkStart w:id="346" w:name="_Ref501286275"/>
      <w:bookmarkStart w:id="347" w:name="_Ref504131180"/>
      <w:bookmarkStart w:id="348" w:name="_Toc501293690"/>
      <w:bookmarkStart w:id="349" w:name="_Toc504229440"/>
      <w:r>
        <w:t xml:space="preserve">Table </w:t>
      </w:r>
      <w:r w:rsidR="00AA2FE4">
        <w:t>20</w:t>
      </w:r>
      <w:r w:rsidR="008D769C">
        <w:t>:</w:t>
      </w:r>
      <w:bookmarkEnd w:id="346"/>
      <w:bookmarkEnd w:id="347"/>
      <w:r>
        <w:t xml:space="preserve"> </w:t>
      </w:r>
      <w:r w:rsidRPr="00B9231E">
        <w:t xml:space="preserve">Subject </w:t>
      </w:r>
      <w:r w:rsidR="00747A40">
        <w:t>d</w:t>
      </w:r>
      <w:r w:rsidR="00747A40" w:rsidRPr="00B9231E">
        <w:t xml:space="preserve">isposition </w:t>
      </w:r>
      <w:r w:rsidRPr="00B9231E">
        <w:t xml:space="preserve">and </w:t>
      </w:r>
      <w:r w:rsidR="00747A40">
        <w:t>d</w:t>
      </w:r>
      <w:r w:rsidR="00747A40" w:rsidRPr="00B9231E">
        <w:t xml:space="preserve">emographic </w:t>
      </w:r>
      <w:r w:rsidR="00747A40">
        <w:t>d</w:t>
      </w:r>
      <w:r w:rsidR="00747A40" w:rsidRPr="00B9231E">
        <w:t xml:space="preserve">ata </w:t>
      </w:r>
      <w:r w:rsidRPr="00B9231E">
        <w:t>(Study 033)</w:t>
      </w:r>
      <w:bookmarkEnd w:id="348"/>
      <w:bookmarkEnd w:id="349"/>
    </w:p>
    <w:p w14:paraId="75161C03" w14:textId="77777777" w:rsidR="00CE3CBE" w:rsidRPr="00323C18" w:rsidRDefault="00CE3CBE" w:rsidP="00CE3CBE">
      <w:r w:rsidRPr="00297CBC">
        <w:rPr>
          <w:noProof/>
          <w:lang w:eastAsia="en-AU"/>
        </w:rPr>
        <w:drawing>
          <wp:inline distT="0" distB="0" distL="0" distR="0" wp14:anchorId="04DFB040" wp14:editId="6B37FCD7">
            <wp:extent cx="4489450" cy="1244600"/>
            <wp:effectExtent l="0" t="0" r="6350" b="0"/>
            <wp:docPr id="44" name="Picture 44" descr="Table 20: Subject disposition and demographic data (Study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489450" cy="1244600"/>
                    </a:xfrm>
                    <a:prstGeom prst="rect">
                      <a:avLst/>
                    </a:prstGeom>
                    <a:noFill/>
                    <a:ln>
                      <a:noFill/>
                    </a:ln>
                  </pic:spPr>
                </pic:pic>
              </a:graphicData>
            </a:graphic>
          </wp:inline>
        </w:drawing>
      </w:r>
    </w:p>
    <w:p w14:paraId="6C3D8C8F" w14:textId="77777777" w:rsidR="008A1A1C" w:rsidRDefault="008A1A1C" w:rsidP="00E730B4">
      <w:pPr>
        <w:pStyle w:val="Heading5"/>
        <w:numPr>
          <w:ilvl w:val="3"/>
          <w:numId w:val="7"/>
        </w:numPr>
        <w:tabs>
          <w:tab w:val="clear" w:pos="1418"/>
          <w:tab w:val="num" w:pos="1333"/>
        </w:tabs>
        <w:ind w:left="1333"/>
      </w:pPr>
      <w:r>
        <w:t>Major protocol violations/deviations</w:t>
      </w:r>
    </w:p>
    <w:p w14:paraId="10463254" w14:textId="77777777" w:rsidR="008A1A1C" w:rsidRDefault="008A1A1C" w:rsidP="008A1A1C">
      <w:pPr>
        <w:rPr>
          <w:lang w:eastAsia="ja-JP"/>
        </w:rPr>
      </w:pPr>
      <w:r>
        <w:rPr>
          <w:lang w:eastAsia="ja-JP"/>
        </w:rPr>
        <w:t xml:space="preserve">In the prophylactic phase, &gt; 98% of subjects </w:t>
      </w:r>
      <w:proofErr w:type="gramStart"/>
      <w:r>
        <w:rPr>
          <w:lang w:eastAsia="ja-JP"/>
        </w:rPr>
        <w:t>were</w:t>
      </w:r>
      <w:proofErr w:type="gramEnd"/>
      <w:r>
        <w:rPr>
          <w:lang w:eastAsia="ja-JP"/>
        </w:rPr>
        <w:t xml:space="preserve"> compliant with study medication; 99.8% in the tafenoquine group and 98.8% in the mefloquine group. The majority of subjects (334/492 (67.9%) in the tafenoquine group and 107/162 (66%) in the mefloquine group) took their last dose on the day they left East Timor. Most of the remaining subjects (142/492 (28.9%) in the tafenoquine group and 49.162 (30.2%) in the mefloquine group) took their last dose within 3 days of leaving east Timor. Following the prophylactic phase, &gt; 96% of subjects in both treatment groups </w:t>
      </w:r>
      <w:proofErr w:type="gramStart"/>
      <w:r>
        <w:rPr>
          <w:lang w:eastAsia="ja-JP"/>
        </w:rPr>
        <w:t>were</w:t>
      </w:r>
      <w:proofErr w:type="gramEnd"/>
      <w:r>
        <w:rPr>
          <w:lang w:eastAsia="ja-JP"/>
        </w:rPr>
        <w:t xml:space="preserve"> compliant with primaquine eradication medication or placebo.</w:t>
      </w:r>
    </w:p>
    <w:p w14:paraId="7005750A" w14:textId="77777777" w:rsidR="008A1A1C" w:rsidRDefault="008A1A1C" w:rsidP="00E730B4">
      <w:pPr>
        <w:pStyle w:val="Heading5"/>
        <w:numPr>
          <w:ilvl w:val="3"/>
          <w:numId w:val="7"/>
        </w:numPr>
      </w:pPr>
      <w:r>
        <w:t>Baseline data</w:t>
      </w:r>
    </w:p>
    <w:p w14:paraId="1C67E723" w14:textId="04408063" w:rsidR="008A1A1C" w:rsidRDefault="008A1A1C" w:rsidP="001473D7">
      <w:r>
        <w:t xml:space="preserve">As expected from this military population, the majority of subjects in all analysis groups were young </w:t>
      </w:r>
      <w:r w:rsidR="001473D7">
        <w:t>W</w:t>
      </w:r>
      <w:r>
        <w:t xml:space="preserve">hite males. The majority of subjects in the study were male; 478/492 (97.2%) in the tafenoquine group and 154/163 (95.1%) in the mefloquine group. The mean age was 25.4 years in the tafenoquine group and 26.0 years in the mefloquine group. The overall age range was 18 to 51 years. The majority of subjects (&gt; 98%) were </w:t>
      </w:r>
      <w:r w:rsidR="00E32660">
        <w:t>White</w:t>
      </w:r>
      <w:r>
        <w:t xml:space="preserve">, with &lt; 1% subjects in each group of Australian </w:t>
      </w:r>
      <w:r w:rsidR="00B319AC">
        <w:t>A</w:t>
      </w:r>
      <w:r>
        <w:t>boriginal</w:t>
      </w:r>
      <w:r w:rsidR="00B319AC">
        <w:t xml:space="preserve"> </w:t>
      </w:r>
      <w:r>
        <w:t xml:space="preserve">or Pacific </w:t>
      </w:r>
      <w:r w:rsidR="001473D7">
        <w:t>I</w:t>
      </w:r>
      <w:r>
        <w:t>slander</w:t>
      </w:r>
      <w:r w:rsidR="00925DAD">
        <w:t>s</w:t>
      </w:r>
      <w:r>
        <w:t>.</w:t>
      </w:r>
    </w:p>
    <w:p w14:paraId="591AEFC6" w14:textId="77777777" w:rsidR="008A1A1C" w:rsidRDefault="008A1A1C" w:rsidP="001473D7">
      <w:pPr>
        <w:rPr>
          <w:lang w:eastAsia="ja-JP"/>
        </w:rPr>
      </w:pPr>
      <w:r>
        <w:rPr>
          <w:lang w:eastAsia="ja-JP"/>
        </w:rPr>
        <w:lastRenderedPageBreak/>
        <w:t>Overall, 2.5% to 3% of tafenoquine and mefloquine</w:t>
      </w:r>
      <w:r w:rsidR="00473B40">
        <w:rPr>
          <w:lang w:eastAsia="ja-JP"/>
        </w:rPr>
        <w:t xml:space="preserve"> treated</w:t>
      </w:r>
      <w:r>
        <w:rPr>
          <w:lang w:eastAsia="ja-JP"/>
        </w:rPr>
        <w:t xml:space="preserve"> participants had a history of malaria, with 0.6% to 1.8% reporting an attack in the preceding 6 months. All participants were healthy at the start of the study.</w:t>
      </w:r>
    </w:p>
    <w:p w14:paraId="796D5266" w14:textId="77777777" w:rsidR="008A1A1C" w:rsidRDefault="008A1A1C" w:rsidP="001473D7">
      <w:pPr>
        <w:pStyle w:val="Heading5"/>
      </w:pPr>
      <w:r>
        <w:t>Results for the primary efficacy outcome</w:t>
      </w:r>
    </w:p>
    <w:p w14:paraId="71FEFA3A" w14:textId="77777777" w:rsidR="00F1528F" w:rsidRDefault="008A1A1C" w:rsidP="001473D7">
      <w:r>
        <w:t xml:space="preserve">No subject was a prophylactic failure during the prophylactic phase. Historic control data indicate that 7.9% of subjects would have become infected (6.9% with </w:t>
      </w:r>
      <w:proofErr w:type="gramStart"/>
      <w:r>
        <w:t>Pv</w:t>
      </w:r>
      <w:proofErr w:type="gramEnd"/>
      <w:r w:rsidR="001473D7">
        <w:t>;</w:t>
      </w:r>
      <w:r>
        <w:t xml:space="preserve"> 1.0% with Pf) under those conditions. The ITT population was used to confirm the findings of the principal analysis. No </w:t>
      </w:r>
      <w:r w:rsidRPr="005B2850">
        <w:t xml:space="preserve">subjects in either treatment group developed malaria during the prophylactic phase of the study, as shown in </w:t>
      </w:r>
      <w:r w:rsidR="008D769C" w:rsidRPr="005B2850">
        <w:t xml:space="preserve">Table </w:t>
      </w:r>
      <w:r w:rsidR="00AA2FE4" w:rsidRPr="005B2850">
        <w:t>21</w:t>
      </w:r>
      <w:r w:rsidRPr="005B2850">
        <w:t>.</w:t>
      </w:r>
    </w:p>
    <w:p w14:paraId="5DEBBE63" w14:textId="77777777" w:rsidR="002F603B" w:rsidRDefault="00CE3CBE" w:rsidP="008D769C">
      <w:pPr>
        <w:pStyle w:val="Tabletitle"/>
      </w:pPr>
      <w:bookmarkStart w:id="350" w:name="_Ref501286351"/>
      <w:bookmarkStart w:id="351" w:name="_Toc504229441"/>
      <w:bookmarkStart w:id="352" w:name="_Toc501293691"/>
      <w:r>
        <w:t xml:space="preserve">Table </w:t>
      </w:r>
      <w:r w:rsidR="00AA2FE4">
        <w:t>21</w:t>
      </w:r>
      <w:bookmarkEnd w:id="350"/>
      <w:r w:rsidR="007B0EBB">
        <w:t>:</w:t>
      </w:r>
      <w:r>
        <w:t xml:space="preserve"> </w:t>
      </w:r>
      <w:r w:rsidRPr="00B9231E">
        <w:t xml:space="preserve">Prophylactic </w:t>
      </w:r>
      <w:r w:rsidR="00747A40">
        <w:t>o</w:t>
      </w:r>
      <w:r w:rsidRPr="00B9231E">
        <w:t xml:space="preserve">utcome by </w:t>
      </w:r>
      <w:r w:rsidR="00747A40">
        <w:t>t</w:t>
      </w:r>
      <w:r w:rsidR="00747A40" w:rsidRPr="00B9231E">
        <w:t xml:space="preserve">reatment </w:t>
      </w:r>
      <w:r w:rsidR="00747A40">
        <w:t>g</w:t>
      </w:r>
      <w:r w:rsidR="00747A40" w:rsidRPr="00B9231E">
        <w:t>roup</w:t>
      </w:r>
      <w:r w:rsidRPr="00B9231E">
        <w:t xml:space="preserve">, </w:t>
      </w:r>
      <w:r w:rsidR="00747A40">
        <w:t>p</w:t>
      </w:r>
      <w:r w:rsidR="00747A40" w:rsidRPr="00B9231E">
        <w:t xml:space="preserve">rophylactic </w:t>
      </w:r>
      <w:r w:rsidR="00747A40">
        <w:t>p</w:t>
      </w:r>
      <w:r w:rsidR="00747A40" w:rsidRPr="00B9231E">
        <w:t xml:space="preserve">hase </w:t>
      </w:r>
      <w:r w:rsidRPr="00B9231E">
        <w:t>(Study 033)</w:t>
      </w:r>
    </w:p>
    <w:p w14:paraId="5DD287EB" w14:textId="37F3C697" w:rsidR="00CE3CBE" w:rsidRDefault="00CE3CBE" w:rsidP="002F603B">
      <w:r w:rsidRPr="00297CBC">
        <w:rPr>
          <w:noProof/>
          <w:lang w:eastAsia="en-AU"/>
        </w:rPr>
        <w:drawing>
          <wp:inline distT="0" distB="0" distL="0" distR="0" wp14:anchorId="08FA0CD1" wp14:editId="462A461E">
            <wp:extent cx="4540250" cy="1143000"/>
            <wp:effectExtent l="0" t="0" r="0" b="0"/>
            <wp:docPr id="45" name="Picture 45" descr="Prophylactic Outcome by Treatment Group, Prophylactic Phase (Study 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540250" cy="1143000"/>
                    </a:xfrm>
                    <a:prstGeom prst="rect">
                      <a:avLst/>
                    </a:prstGeom>
                    <a:noFill/>
                    <a:ln>
                      <a:noFill/>
                    </a:ln>
                  </pic:spPr>
                </pic:pic>
              </a:graphicData>
            </a:graphic>
          </wp:inline>
        </w:drawing>
      </w:r>
      <w:bookmarkEnd w:id="351"/>
      <w:bookmarkEnd w:id="352"/>
    </w:p>
    <w:p w14:paraId="70B51E28" w14:textId="4804AB1C" w:rsidR="00CE3CBE" w:rsidRDefault="00CE3CBE" w:rsidP="00686267">
      <w:pPr>
        <w:pStyle w:val="TableDescription"/>
      </w:pPr>
      <w:r w:rsidRPr="008407D7">
        <w:t xml:space="preserve">‘Assumed </w:t>
      </w:r>
      <w:proofErr w:type="gramStart"/>
      <w:r w:rsidRPr="008407D7">
        <w:t>success’</w:t>
      </w:r>
      <w:proofErr w:type="gramEnd"/>
      <w:r w:rsidRPr="008407D7">
        <w:t xml:space="preserve"> defined as no malaria during participation in the study for subjects withdrawn during prophylactic phase. N</w:t>
      </w:r>
      <w:r w:rsidR="00B319AC">
        <w:t>:</w:t>
      </w:r>
      <w:r w:rsidRPr="008407D7">
        <w:t xml:space="preserve"> number.</w:t>
      </w:r>
    </w:p>
    <w:p w14:paraId="6F52D1ED" w14:textId="77777777" w:rsidR="008A1A1C" w:rsidRDefault="008A1A1C" w:rsidP="00E730B4">
      <w:pPr>
        <w:pStyle w:val="Heading5"/>
        <w:numPr>
          <w:ilvl w:val="3"/>
          <w:numId w:val="7"/>
        </w:numPr>
        <w:tabs>
          <w:tab w:val="clear" w:pos="1418"/>
          <w:tab w:val="num" w:pos="1333"/>
        </w:tabs>
        <w:ind w:left="1333"/>
      </w:pPr>
      <w:r>
        <w:t>Results for other efficacy outcomes</w:t>
      </w:r>
    </w:p>
    <w:p w14:paraId="574C526E" w14:textId="77777777" w:rsidR="008A1A1C" w:rsidRDefault="008A1A1C" w:rsidP="008A1A1C">
      <w:r>
        <w:t>A worst case analysis was performed assuming that all subjects who withdrew from the study were failures. In this analysis, the prophylactic success rate was &gt; 96% in both treatment groups, with no difference between the groups.</w:t>
      </w:r>
    </w:p>
    <w:p w14:paraId="26031E01" w14:textId="77777777" w:rsidR="008A1A1C" w:rsidRDefault="008A1A1C" w:rsidP="008A1A1C">
      <w:r>
        <w:t xml:space="preserve">In the 24 week follow up phase after leaving the endemic region, and after receiving no further drug (tafenoquine group), or standard post-exposure prophylaxis with primaquine, there were four cases of Pv malaria in the tafenoquine group and one case of Pv malaria in the mefloquine group. The failure rate due to </w:t>
      </w:r>
      <w:proofErr w:type="gramStart"/>
      <w:r>
        <w:t>Pv</w:t>
      </w:r>
      <w:proofErr w:type="gramEnd"/>
      <w:r>
        <w:t xml:space="preserve"> relapse was 0.9% for the tafenoquine group and 0.7% for the primaquine group. The time to relapse after the last dose of tafenoquine or mefloquine was 12-20 weeks for the four tafenoquine failures and 12 weeks for the one mefloquine, then primaquine failure. When the observation period was extended to 1 year, there were 3 more failures in the tafenoquine group and one in the mefloquine/primaquine group. This difference did not however reach statistical significance.</w:t>
      </w:r>
    </w:p>
    <w:p w14:paraId="60A2D03F" w14:textId="03B9EBAA" w:rsidR="008A1A1C" w:rsidRDefault="00065CAB" w:rsidP="008A1A1C">
      <w:r>
        <w:t>T</w:t>
      </w:r>
      <w:r w:rsidR="008A1A1C">
        <w:t>he data from the relapse</w:t>
      </w:r>
      <w:r w:rsidR="00925DAD">
        <w:t>s</w:t>
      </w:r>
      <w:r w:rsidR="008A1A1C">
        <w:t xml:space="preserve"> was used to try to calculate a theoretical attack rate from the exposure period.</w:t>
      </w:r>
      <w:r>
        <w:rPr>
          <w:rStyle w:val="FootnoteReference"/>
        </w:rPr>
        <w:footnoteReference w:id="8"/>
      </w:r>
      <w:r w:rsidR="008A1A1C">
        <w:t xml:space="preserve"> From this a study re-evaluation was conducted. In a retrospective analysis of the trial results, a conservative malaria attack rate of 7.88% was estimated based on prior malaria attack rate data in the previous wet seasons amongst ADF soldiers and breakthrough incidences of </w:t>
      </w:r>
      <w:proofErr w:type="gramStart"/>
      <w:r w:rsidR="008A1A1C" w:rsidRPr="001473D7">
        <w:t>Pv</w:t>
      </w:r>
      <w:proofErr w:type="gramEnd"/>
      <w:r w:rsidR="008A1A1C">
        <w:t xml:space="preserve"> in the 12 months following the study. Based on the 7.88% estimated attack rate, the protective efficacy (PE) of tafenoquine and mefloquine (with corresponding 95% CI) were determined to be 100% (93%, 100%) and 100% (79%, 100%) respectively. This led to the conclusion that the PE of tafenoquine (200 mg per day for 3 days, followed by weekly 200 mg maintenance doses) was similar to that of the weekly standard of care (mefloquine, 250 mg) observed in both </w:t>
      </w:r>
      <w:r w:rsidR="001473D7">
        <w:t>Study</w:t>
      </w:r>
      <w:r w:rsidR="008A1A1C">
        <w:t xml:space="preserve"> 033 and the results of tafenoquine studies in which placebo controls could also be used</w:t>
      </w:r>
      <w:r>
        <w:t>.</w:t>
      </w:r>
      <w:r>
        <w:rPr>
          <w:rStyle w:val="FootnoteReference"/>
        </w:rPr>
        <w:footnoteReference w:id="9"/>
      </w:r>
    </w:p>
    <w:p w14:paraId="611BF074" w14:textId="77777777" w:rsidR="008A1A1C" w:rsidRDefault="008A1A1C" w:rsidP="00E730B4">
      <w:pPr>
        <w:pStyle w:val="Heading5"/>
        <w:numPr>
          <w:ilvl w:val="3"/>
          <w:numId w:val="7"/>
        </w:numPr>
      </w:pPr>
      <w:r>
        <w:lastRenderedPageBreak/>
        <w:t>Evaluator commentary</w:t>
      </w:r>
    </w:p>
    <w:p w14:paraId="07E47DBE" w14:textId="0E928737" w:rsidR="008A1A1C" w:rsidRDefault="008A1A1C" w:rsidP="001473D7">
      <w:pPr>
        <w:rPr>
          <w:color w:val="000000"/>
        </w:rPr>
      </w:pPr>
      <w:bookmarkStart w:id="353" w:name="_Ref243294291"/>
      <w:bookmarkStart w:id="354" w:name="_Toc241374311"/>
      <w:bookmarkStart w:id="355" w:name="_Toc432080725"/>
      <w:bookmarkStart w:id="356" w:name="_Toc432079152"/>
      <w:bookmarkStart w:id="357" w:name="_Toc421005270"/>
      <w:bookmarkStart w:id="358" w:name="_Toc416353719"/>
      <w:bookmarkStart w:id="359" w:name="_Toc290888503"/>
      <w:bookmarkStart w:id="360" w:name="_Toc272414655"/>
      <w:bookmarkStart w:id="361" w:name="_Ref271037210"/>
      <w:bookmarkStart w:id="362" w:name="_Ref271037188"/>
      <w:r>
        <w:t>In non-immunes, while in the endemic region, the proposed tafenoquine prophylactic regimen had efficacy similar to that of the active comparator drug, mefloquine, no subject had parasit</w:t>
      </w:r>
      <w:r w:rsidR="00925DAD">
        <w:t>a</w:t>
      </w:r>
      <w:r>
        <w:t xml:space="preserve">emia in either group over 6 months of prophylaxis. Historic control data (provided by the </w:t>
      </w:r>
      <w:r w:rsidR="00925DAD">
        <w:t>sponsor</w:t>
      </w:r>
      <w:r>
        <w:t xml:space="preserve">) indicate that a conservative value of 7.9% of subjects would have become infected (6.9% with </w:t>
      </w:r>
      <w:proofErr w:type="gramStart"/>
      <w:r w:rsidRPr="001473D7">
        <w:t>Pv</w:t>
      </w:r>
      <w:proofErr w:type="gramEnd"/>
      <w:r>
        <w:t xml:space="preserve">, 1.0% with </w:t>
      </w:r>
      <w:r w:rsidR="007B0EBB" w:rsidRPr="007B0EBB">
        <w:t>Pf</w:t>
      </w:r>
      <w:r>
        <w:t>) under those conditions. Statistically from the data in this study, tafenoquine is non-inferior to mefloquine. This study was just large enough for these numbers (with high compliance and low dropout rate) to reach significance. It is however, quite small as the pivotal efficacy study for the major justification for licensing of this drug in Australia (prophylaxis in non-immunes).</w:t>
      </w:r>
    </w:p>
    <w:p w14:paraId="63B88F34" w14:textId="77777777" w:rsidR="008A1A1C" w:rsidRDefault="008A1A1C" w:rsidP="00E730B4">
      <w:pPr>
        <w:pStyle w:val="Heading4"/>
        <w:numPr>
          <w:ilvl w:val="2"/>
          <w:numId w:val="7"/>
        </w:numPr>
      </w:pPr>
      <w:bookmarkStart w:id="363" w:name="_Ref271040927"/>
      <w:bookmarkStart w:id="364" w:name="_Ref271040932"/>
      <w:bookmarkStart w:id="365" w:name="_Toc272414653"/>
      <w:bookmarkStart w:id="366" w:name="_Toc290888501"/>
      <w:bookmarkStart w:id="367" w:name="_Toc416353717"/>
      <w:bookmarkStart w:id="368" w:name="_Ref243301615"/>
      <w:r>
        <w:t xml:space="preserve">Study </w:t>
      </w:r>
      <w:bookmarkEnd w:id="363"/>
      <w:bookmarkEnd w:id="364"/>
      <w:bookmarkEnd w:id="365"/>
      <w:bookmarkEnd w:id="366"/>
      <w:bookmarkEnd w:id="367"/>
      <w:bookmarkEnd w:id="368"/>
      <w:r>
        <w:t>045</w:t>
      </w:r>
    </w:p>
    <w:p w14:paraId="3A5AAC09" w14:textId="77777777" w:rsidR="008A1A1C" w:rsidRDefault="008A1A1C" w:rsidP="00E730B4">
      <w:pPr>
        <w:pStyle w:val="Heading5"/>
        <w:numPr>
          <w:ilvl w:val="3"/>
          <w:numId w:val="7"/>
        </w:numPr>
      </w:pPr>
      <w:r>
        <w:t>Study design, objectives, locations and dates</w:t>
      </w:r>
    </w:p>
    <w:p w14:paraId="4386AF8F" w14:textId="70CA98B5" w:rsidR="008A1A1C" w:rsidRDefault="008A1A1C" w:rsidP="008A1A1C">
      <w:pPr>
        <w:tabs>
          <w:tab w:val="left" w:pos="1333"/>
        </w:tabs>
        <w:rPr>
          <w:lang w:eastAsia="ja-JP"/>
        </w:rPr>
      </w:pPr>
      <w:r>
        <w:rPr>
          <w:lang w:eastAsia="ja-JP"/>
        </w:rPr>
        <w:t xml:space="preserve">This was a </w:t>
      </w:r>
      <w:r w:rsidR="00404803">
        <w:rPr>
          <w:lang w:eastAsia="ja-JP"/>
        </w:rPr>
        <w:t>randomised</w:t>
      </w:r>
      <w:r>
        <w:rPr>
          <w:lang w:eastAsia="ja-JP"/>
        </w:rPr>
        <w:t xml:space="preserve">, </w:t>
      </w:r>
      <w:r w:rsidR="00404803">
        <w:rPr>
          <w:lang w:eastAsia="ja-JP"/>
        </w:rPr>
        <w:t>double blind</w:t>
      </w:r>
      <w:r>
        <w:rPr>
          <w:lang w:eastAsia="ja-JP"/>
        </w:rPr>
        <w:t>, placebo</w:t>
      </w:r>
      <w:r w:rsidR="00F1528F">
        <w:rPr>
          <w:lang w:eastAsia="ja-JP"/>
        </w:rPr>
        <w:t xml:space="preserve"> controlled</w:t>
      </w:r>
      <w:r>
        <w:rPr>
          <w:lang w:eastAsia="ja-JP"/>
        </w:rPr>
        <w:t xml:space="preserve"> evaluation of increasing doses of weekly tafenoquine for chemo</w:t>
      </w:r>
      <w:r w:rsidR="001473D7">
        <w:rPr>
          <w:lang w:eastAsia="ja-JP"/>
        </w:rPr>
        <w:t>-</w:t>
      </w:r>
      <w:r>
        <w:rPr>
          <w:lang w:eastAsia="ja-JP"/>
        </w:rPr>
        <w:t xml:space="preserve">suppression of plasmodium falciparum in semi-immune adults living in Northern Ghana. Subjects who met the entry criteria were given a three day presumptive course of halofantrine to eliminate any existing Plasmodium parasitemia. Subjects were then </w:t>
      </w:r>
      <w:r w:rsidR="00404803">
        <w:rPr>
          <w:lang w:eastAsia="ja-JP"/>
        </w:rPr>
        <w:t>randomised</w:t>
      </w:r>
      <w:r>
        <w:rPr>
          <w:lang w:eastAsia="ja-JP"/>
        </w:rPr>
        <w:t xml:space="preserve"> into one of four groups to receive one of three dosage regimens of tafenoquine or a placebo regimen for 10 to</w:t>
      </w:r>
      <w:r>
        <w:rPr>
          <w:b/>
          <w:i/>
          <w:lang w:eastAsia="ja-JP"/>
        </w:rPr>
        <w:t xml:space="preserve"> </w:t>
      </w:r>
      <w:r>
        <w:rPr>
          <w:lang w:eastAsia="ja-JP"/>
        </w:rPr>
        <w:t>15 weeks. There was an additional four weeks of Follow-up after the end of drug administration.</w:t>
      </w:r>
      <w:r>
        <w:rPr>
          <w:b/>
          <w:lang w:eastAsia="ja-JP"/>
        </w:rPr>
        <w:t xml:space="preserve"> </w:t>
      </w:r>
      <w:r>
        <w:rPr>
          <w:lang w:eastAsia="ja-JP"/>
        </w:rPr>
        <w:t>Subjects were evaluated for Plasmodium parasit</w:t>
      </w:r>
      <w:r w:rsidR="00091E9B">
        <w:rPr>
          <w:lang w:eastAsia="ja-JP"/>
        </w:rPr>
        <w:t>a</w:t>
      </w:r>
      <w:r>
        <w:rPr>
          <w:lang w:eastAsia="ja-JP"/>
        </w:rPr>
        <w:t>emia by weekly blood smears and evaluated for</w:t>
      </w:r>
      <w:r>
        <w:rPr>
          <w:b/>
          <w:lang w:eastAsia="ja-JP"/>
        </w:rPr>
        <w:t xml:space="preserve"> </w:t>
      </w:r>
      <w:r>
        <w:rPr>
          <w:lang w:eastAsia="ja-JP"/>
        </w:rPr>
        <w:t xml:space="preserve">tolerability and safety by questioning and periodic blood tests. </w:t>
      </w:r>
      <w:r>
        <w:rPr>
          <w:rFonts w:asciiTheme="minorHAnsi" w:eastAsia="TimesNewRoman" w:hAnsiTheme="minorHAnsi" w:cs="TimesNewRoman"/>
        </w:rPr>
        <w:t xml:space="preserve">The study objectives were: (i) To determine the chemosuppressive efficacy of weekly tafenoquine at a range between 25 and 200 mg in preventing </w:t>
      </w:r>
      <w:r w:rsidR="007B0EBB">
        <w:rPr>
          <w:rFonts w:asciiTheme="minorHAnsi" w:eastAsia="TimesNewRoman" w:hAnsiTheme="minorHAnsi" w:cs="TimesNewRoman"/>
        </w:rPr>
        <w:t xml:space="preserve">Pf </w:t>
      </w:r>
      <w:r>
        <w:rPr>
          <w:rFonts w:asciiTheme="minorHAnsi" w:eastAsia="TimesNewRoman" w:hAnsiTheme="minorHAnsi" w:cs="TimesNewRoman"/>
        </w:rPr>
        <w:t>parasit</w:t>
      </w:r>
      <w:r w:rsidR="00091E9B">
        <w:rPr>
          <w:rFonts w:asciiTheme="minorHAnsi" w:eastAsia="TimesNewRoman" w:hAnsiTheme="minorHAnsi" w:cs="TimesNewRoman"/>
        </w:rPr>
        <w:t>a</w:t>
      </w:r>
      <w:r>
        <w:rPr>
          <w:rFonts w:asciiTheme="minorHAnsi" w:eastAsia="TimesNewRoman" w:hAnsiTheme="minorHAnsi" w:cs="TimesNewRoman"/>
        </w:rPr>
        <w:t xml:space="preserve">emia compared to placebo, and secondarily to mefloquine, in subjects semi-immune to malaria, and (ii) To establish the minimum effective prophylactic dose of weekly tafenoquine and to assess the tolerability of that dose. </w:t>
      </w:r>
      <w:r>
        <w:rPr>
          <w:lang w:eastAsia="ja-JP"/>
        </w:rPr>
        <w:t>The first subjects were screened for the study on 13 August 1998, the first loading dose was given on 15 September 1998 and the last dose of prophylaxis medication was given on 27 December 1998.</w:t>
      </w:r>
    </w:p>
    <w:p w14:paraId="2109D612" w14:textId="77777777" w:rsidR="008A1A1C" w:rsidRDefault="008A1A1C" w:rsidP="00E730B4">
      <w:pPr>
        <w:pStyle w:val="Heading5"/>
        <w:numPr>
          <w:ilvl w:val="3"/>
          <w:numId w:val="7"/>
        </w:numPr>
      </w:pPr>
      <w:r>
        <w:t>Inclusion and exclusion criteria</w:t>
      </w:r>
    </w:p>
    <w:p w14:paraId="11663135" w14:textId="68C33D4E" w:rsidR="008A1A1C" w:rsidRDefault="008A1A1C" w:rsidP="008A1A1C">
      <w:r>
        <w:rPr>
          <w:lang w:eastAsia="ja-JP"/>
        </w:rPr>
        <w:t>Subjects included were consenting G6PD</w:t>
      </w:r>
      <w:r w:rsidR="00122529">
        <w:rPr>
          <w:lang w:eastAsia="ja-JP"/>
        </w:rPr>
        <w:t>-</w:t>
      </w:r>
      <w:r>
        <w:rPr>
          <w:lang w:eastAsia="ja-JP"/>
        </w:rPr>
        <w:t>normal adults between</w:t>
      </w:r>
      <w:r>
        <w:t xml:space="preserve"> 18</w:t>
      </w:r>
      <w:r w:rsidR="00747A40">
        <w:t xml:space="preserve"> to </w:t>
      </w:r>
      <w:r>
        <w:t xml:space="preserve">60 and </w:t>
      </w:r>
      <w:r>
        <w:rPr>
          <w:lang w:eastAsia="ja-JP"/>
        </w:rPr>
        <w:t xml:space="preserve">55 years of age, </w:t>
      </w:r>
      <w:r>
        <w:t>female subjects aged 50</w:t>
      </w:r>
      <w:r w:rsidR="00747A40">
        <w:t xml:space="preserve"> to </w:t>
      </w:r>
      <w:r>
        <w:t>60 were eligible for entry to the study if they were in good general health and planned to stay in the study area until the end of the study.</w:t>
      </w:r>
    </w:p>
    <w:p w14:paraId="187A685E" w14:textId="77777777" w:rsidR="008A1A1C" w:rsidRDefault="008A1A1C" w:rsidP="00E730B4">
      <w:pPr>
        <w:pStyle w:val="Heading5"/>
        <w:numPr>
          <w:ilvl w:val="3"/>
          <w:numId w:val="7"/>
        </w:numPr>
      </w:pPr>
      <w:r>
        <w:t>Study treatments</w:t>
      </w:r>
    </w:p>
    <w:p w14:paraId="2B0294C6" w14:textId="77777777" w:rsidR="00F1528F" w:rsidRDefault="008A1A1C" w:rsidP="008A1A1C">
      <w:r>
        <w:t>Subjects received a radical cure regimen of quinine (10 mg/kg three times daily) for four days followed, on the fifth day, by a 7</w:t>
      </w:r>
      <w:r w:rsidR="00473B40">
        <w:t xml:space="preserve"> day</w:t>
      </w:r>
      <w:r>
        <w:t xml:space="preserve"> course of doxycycline (100 mg by mouth bid) and a 14</w:t>
      </w:r>
      <w:r w:rsidR="00473B40">
        <w:t xml:space="preserve"> day</w:t>
      </w:r>
      <w:r>
        <w:t xml:space="preserve"> course of primaquine (30 mg daily). Subjects then received a loading dose of tafenoquine (25, 50, 100 or 200 mg), mefloquine (250 mg), or placebo daily over three days, followed by weekly dosing with the same medication. Five (5) days were left between completion of the radical cure regimen and initiation of </w:t>
      </w:r>
      <w:r w:rsidR="00404803">
        <w:t>randomised</w:t>
      </w:r>
      <w:r>
        <w:t xml:space="preserve"> study medication. A snack was given to all subjects prior to ingestion of each dose of medication.</w:t>
      </w:r>
    </w:p>
    <w:p w14:paraId="1D12335E" w14:textId="77777777" w:rsidR="008A1A1C" w:rsidRDefault="008A1A1C" w:rsidP="00E730B4">
      <w:pPr>
        <w:pStyle w:val="Heading5"/>
        <w:numPr>
          <w:ilvl w:val="3"/>
          <w:numId w:val="7"/>
        </w:numPr>
      </w:pPr>
      <w:r>
        <w:t>Efficacy variables and outcomes</w:t>
      </w:r>
    </w:p>
    <w:p w14:paraId="5E4962E8" w14:textId="753D775E" w:rsidR="008A1A1C" w:rsidRDefault="008A1A1C" w:rsidP="008A1A1C">
      <w:r>
        <w:t xml:space="preserve">The primary outcome was to determine the chemosuppressive efficacy of weekly tafenoquine at a range between 25 and 200 mg in preventing falciparum parasitaemia compared to placebo, and secondarily to mefloquine in subjects </w:t>
      </w:r>
      <w:r w:rsidR="00E730B4">
        <w:t xml:space="preserve">that were </w:t>
      </w:r>
      <w:r>
        <w:t>semi-immune to malaria. Secondary efficacy parameters were the time to the first positive smear, the PE was derived from the proportion of subjects who were based on 'confirmed' parasit</w:t>
      </w:r>
      <w:r w:rsidR="00091E9B">
        <w:t>a</w:t>
      </w:r>
      <w:r>
        <w:t xml:space="preserve">emia (two consecutive positive smears), time to confirmed chemoprophylactic failures </w:t>
      </w:r>
      <w:r w:rsidR="001473D7">
        <w:t>that is,</w:t>
      </w:r>
      <w:r>
        <w:t xml:space="preserve"> developed confirmed parasit</w:t>
      </w:r>
      <w:r w:rsidR="00091E9B">
        <w:t>a</w:t>
      </w:r>
      <w:r>
        <w:t xml:space="preserve">emia at any time during the </w:t>
      </w:r>
      <w:r w:rsidR="00404803">
        <w:t>double blind</w:t>
      </w:r>
      <w:r>
        <w:t xml:space="preserve"> prophylaxis phase</w:t>
      </w:r>
      <w:r w:rsidR="001473D7">
        <w:t>.</w:t>
      </w:r>
    </w:p>
    <w:p w14:paraId="40643C3E" w14:textId="77777777" w:rsidR="008A1A1C" w:rsidRDefault="008A1A1C" w:rsidP="00E730B4">
      <w:pPr>
        <w:pStyle w:val="Heading5"/>
        <w:numPr>
          <w:ilvl w:val="3"/>
          <w:numId w:val="7"/>
        </w:numPr>
      </w:pPr>
      <w:r>
        <w:lastRenderedPageBreak/>
        <w:t>Randomisation and blinding methods</w:t>
      </w:r>
    </w:p>
    <w:p w14:paraId="6067E7D2" w14:textId="77777777" w:rsidR="008A1A1C" w:rsidRDefault="008A1A1C" w:rsidP="008A1A1C">
      <w:pPr>
        <w:rPr>
          <w:lang w:eastAsia="ja-JP"/>
        </w:rPr>
      </w:pPr>
      <w:r>
        <w:t>Randomisation was done electronically and all study treatments were identical. Both participants and investigators were blinded.</w:t>
      </w:r>
    </w:p>
    <w:p w14:paraId="0D354034" w14:textId="77777777" w:rsidR="008A1A1C" w:rsidRDefault="008A1A1C" w:rsidP="00E730B4">
      <w:pPr>
        <w:pStyle w:val="Heading5"/>
        <w:numPr>
          <w:ilvl w:val="3"/>
          <w:numId w:val="7"/>
        </w:numPr>
      </w:pPr>
      <w:r>
        <w:t>Analysis populations</w:t>
      </w:r>
    </w:p>
    <w:p w14:paraId="4EECC75B" w14:textId="77777777" w:rsidR="008A1A1C" w:rsidRDefault="008A1A1C" w:rsidP="001473D7">
      <w:r>
        <w:t xml:space="preserve">Two populations were defined as follows for the analyses of efficacy. The full data set, based on the principle of intent-to-treat, was the primary data set. This comprised data from all subjects who were randomised to receive any of the study medications and received at least one dose of weekly prophylactic medication, and who had at least one efficacy assessment. The </w:t>
      </w:r>
      <w:r w:rsidR="001473D7">
        <w:t>PP</w:t>
      </w:r>
      <w:r>
        <w:t xml:space="preserve"> data set was used for a supplementary analysis. This comprised data from all subjects fully compliant with the study protocol who received the full course of treatment, unless they were withdrawn from randomised medication prematurely as a result of developing parasitaemia.</w:t>
      </w:r>
    </w:p>
    <w:p w14:paraId="6CA8DE4C" w14:textId="77777777" w:rsidR="008A1A1C" w:rsidRDefault="008A1A1C" w:rsidP="00E730B4">
      <w:pPr>
        <w:pStyle w:val="Heading5"/>
        <w:numPr>
          <w:ilvl w:val="3"/>
          <w:numId w:val="7"/>
        </w:numPr>
      </w:pPr>
      <w:r>
        <w:t>Results for the primary efficacy outcome</w:t>
      </w:r>
    </w:p>
    <w:p w14:paraId="25650D8F" w14:textId="631371B4" w:rsidR="008A1A1C" w:rsidRDefault="008A1A1C" w:rsidP="001473D7">
      <w:r>
        <w:t xml:space="preserve">The ITT </w:t>
      </w:r>
      <w:r w:rsidR="00747A40">
        <w:t xml:space="preserve">efficacy population </w:t>
      </w:r>
      <w:r>
        <w:t xml:space="preserve">comprised subjects who received all clearance and loading medication and who received at least one dose in the weekly dosing regimen. Efficacy analyses were evaluated using the </w:t>
      </w:r>
      <w:r w:rsidR="00747A40">
        <w:t>efficacy population</w:t>
      </w:r>
      <w:r>
        <w:t xml:space="preserve">, which comprised subjects in the ITT </w:t>
      </w:r>
      <w:r w:rsidR="00747A40">
        <w:t xml:space="preserve">efficacy population </w:t>
      </w:r>
      <w:r>
        <w:t>who provided at least one on-therapy malarial blood smear.</w:t>
      </w:r>
    </w:p>
    <w:p w14:paraId="30C5FBD8" w14:textId="77777777" w:rsidR="008A1A1C" w:rsidRDefault="008A1A1C" w:rsidP="00E730B4">
      <w:pPr>
        <w:pStyle w:val="Heading5"/>
        <w:numPr>
          <w:ilvl w:val="3"/>
          <w:numId w:val="7"/>
        </w:numPr>
      </w:pPr>
      <w:r>
        <w:t>Sample size</w:t>
      </w:r>
    </w:p>
    <w:p w14:paraId="365B5F97" w14:textId="77777777" w:rsidR="008A1A1C" w:rsidRDefault="008A1A1C" w:rsidP="008A1A1C">
      <w:r>
        <w:t xml:space="preserve">In </w:t>
      </w:r>
      <w:r w:rsidRPr="005B2850">
        <w:t xml:space="preserve">total, 868 subjects were screened for entry to the study. The allocation to groups is shown in </w:t>
      </w:r>
      <w:r w:rsidR="00686267" w:rsidRPr="005B2850">
        <w:t>Table 2</w:t>
      </w:r>
      <w:r w:rsidR="00AA2FE4" w:rsidRPr="005B2850">
        <w:t>2</w:t>
      </w:r>
      <w:r w:rsidRPr="005B2850">
        <w:t>.</w:t>
      </w:r>
    </w:p>
    <w:p w14:paraId="6A6F00B0" w14:textId="7BFDEA1E" w:rsidR="00CE3CBE" w:rsidRPr="00337D63" w:rsidRDefault="00CE3CBE" w:rsidP="00CE3CBE">
      <w:pPr>
        <w:pStyle w:val="Tabletitle"/>
        <w:rPr>
          <w:rFonts w:asciiTheme="minorHAnsi" w:eastAsia="TimesNewRoman,Bold" w:hAnsiTheme="minorHAnsi" w:cs="TimesNewRoman,Bold"/>
          <w:bCs/>
        </w:rPr>
      </w:pPr>
      <w:bookmarkStart w:id="369" w:name="_Ref501286549"/>
      <w:bookmarkStart w:id="370" w:name="_Toc504229442"/>
      <w:bookmarkStart w:id="371" w:name="_Toc501293692"/>
      <w:r>
        <w:t xml:space="preserve">Table </w:t>
      </w:r>
      <w:r w:rsidR="00686267">
        <w:t>2</w:t>
      </w:r>
      <w:r w:rsidR="00AA2FE4">
        <w:t>2</w:t>
      </w:r>
      <w:r w:rsidR="00686267">
        <w:t>:</w:t>
      </w:r>
      <w:bookmarkEnd w:id="369"/>
      <w:r>
        <w:t xml:space="preserve"> </w:t>
      </w:r>
      <w:r w:rsidRPr="00337D63">
        <w:rPr>
          <w:rFonts w:asciiTheme="minorHAnsi" w:eastAsia="TimesNewRoman,Bold" w:hAnsiTheme="minorHAnsi" w:cs="TimesNewRoman,Bold"/>
          <w:bCs/>
        </w:rPr>
        <w:t xml:space="preserve">Subject </w:t>
      </w:r>
      <w:r w:rsidR="00747A40">
        <w:rPr>
          <w:rFonts w:asciiTheme="minorHAnsi" w:eastAsia="TimesNewRoman,Bold" w:hAnsiTheme="minorHAnsi" w:cs="TimesNewRoman,Bold"/>
          <w:bCs/>
        </w:rPr>
        <w:t>d</w:t>
      </w:r>
      <w:r w:rsidR="00747A40" w:rsidRPr="00337D63">
        <w:rPr>
          <w:rFonts w:asciiTheme="minorHAnsi" w:eastAsia="TimesNewRoman,Bold" w:hAnsiTheme="minorHAnsi" w:cs="TimesNewRoman,Bold"/>
          <w:bCs/>
        </w:rPr>
        <w:t xml:space="preserve">isposition </w:t>
      </w:r>
      <w:r w:rsidRPr="00337D63">
        <w:rPr>
          <w:rFonts w:asciiTheme="minorHAnsi" w:eastAsia="TimesNewRoman,Bold" w:hAnsiTheme="minorHAnsi" w:cs="TimesNewRoman,Bold"/>
          <w:bCs/>
        </w:rPr>
        <w:t>(Study 045)</w:t>
      </w:r>
      <w:bookmarkEnd w:id="370"/>
      <w:bookmarkEnd w:id="371"/>
    </w:p>
    <w:p w14:paraId="3F7A622A" w14:textId="77777777" w:rsidR="00CE3CBE" w:rsidRDefault="00CE3CBE" w:rsidP="00CE3CBE">
      <w:r w:rsidRPr="00337D63">
        <w:rPr>
          <w:noProof/>
          <w:lang w:eastAsia="en-AU"/>
        </w:rPr>
        <w:drawing>
          <wp:inline distT="0" distB="0" distL="0" distR="0" wp14:anchorId="1DAB823B" wp14:editId="5ED0C457">
            <wp:extent cx="5302250" cy="2051050"/>
            <wp:effectExtent l="0" t="0" r="0" b="6350"/>
            <wp:docPr id="55" name="Picture 55" descr="Subject Disposition (Study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302250" cy="2051050"/>
                    </a:xfrm>
                    <a:prstGeom prst="rect">
                      <a:avLst/>
                    </a:prstGeom>
                    <a:noFill/>
                    <a:ln>
                      <a:noFill/>
                    </a:ln>
                  </pic:spPr>
                </pic:pic>
              </a:graphicData>
            </a:graphic>
          </wp:inline>
        </w:drawing>
      </w:r>
    </w:p>
    <w:p w14:paraId="5514B342" w14:textId="77777777" w:rsidR="008A1A1C" w:rsidRDefault="008A1A1C" w:rsidP="00E730B4">
      <w:pPr>
        <w:pStyle w:val="Heading5"/>
        <w:numPr>
          <w:ilvl w:val="3"/>
          <w:numId w:val="7"/>
        </w:numPr>
      </w:pPr>
      <w:r>
        <w:t>Statistical methods</w:t>
      </w:r>
    </w:p>
    <w:p w14:paraId="162DC831" w14:textId="0AD8E4CD" w:rsidR="008A1A1C" w:rsidRDefault="008A1A1C" w:rsidP="008A1A1C">
      <w:r>
        <w:t>The PE for each dose of tafenoquine relative to placebo was calculated using the observed values at each dose and placebo</w:t>
      </w:r>
      <w:r w:rsidR="001473D7">
        <w:t>;</w:t>
      </w:r>
      <w:r>
        <w:t xml:space="preserve"> similarly for the PE of mefloquine. The CI for the estimates of PE </w:t>
      </w:r>
      <w:r w:rsidR="00B319AC">
        <w:t>was</w:t>
      </w:r>
      <w:r>
        <w:t xml:space="preserve"> derived using the method described by Koopman. A logistic regression analysis was used to determine the dose response for the probability of prophylactic success over the range of doses in the study. The time to first occurrence of malaria and the time to confirmed parasit</w:t>
      </w:r>
      <w:r w:rsidR="00091E9B">
        <w:t>a</w:t>
      </w:r>
      <w:r>
        <w:t>emia were calculated using Kaplan-Meier survival methods.</w:t>
      </w:r>
    </w:p>
    <w:p w14:paraId="7565B1C6" w14:textId="77777777" w:rsidR="00F1528F" w:rsidRDefault="008A1A1C" w:rsidP="00E730B4">
      <w:pPr>
        <w:pStyle w:val="Heading5"/>
        <w:numPr>
          <w:ilvl w:val="3"/>
          <w:numId w:val="7"/>
        </w:numPr>
      </w:pPr>
      <w:r>
        <w:t>Participant flow</w:t>
      </w:r>
    </w:p>
    <w:p w14:paraId="5961FF0D" w14:textId="570B7809" w:rsidR="008A1A1C" w:rsidRDefault="008A1A1C" w:rsidP="001473D7">
      <w:r>
        <w:t xml:space="preserve">A total of 521 subjects were </w:t>
      </w:r>
      <w:r w:rsidR="00404803">
        <w:t>randomised</w:t>
      </w:r>
      <w:r>
        <w:t xml:space="preserve"> to one of the treatment groups and allocated a study number; eight of these subjects, however, were </w:t>
      </w:r>
      <w:r w:rsidR="00404803">
        <w:t>randomised</w:t>
      </w:r>
      <w:r>
        <w:t xml:space="preserve"> in error and did not receive the loading dose. Thus 513 subjects started the loading dose of therapy in the prophylaxis phase of the study, but four of these subjects were excluded from the full data set because they did not start weekly dosing and no efficacy data were available. Subject disposition is shown in </w:t>
      </w:r>
      <w:r w:rsidR="00686267">
        <w:t>Table</w:t>
      </w:r>
      <w:r w:rsidR="00747A40">
        <w:t> </w:t>
      </w:r>
      <w:r w:rsidR="00686267">
        <w:t>2</w:t>
      </w:r>
      <w:r w:rsidR="00AA2FE4">
        <w:t>3</w:t>
      </w:r>
      <w:r w:rsidR="007B0EBB">
        <w:t>.</w:t>
      </w:r>
    </w:p>
    <w:p w14:paraId="1F8274F5" w14:textId="6E08C3C3" w:rsidR="00CE3CBE" w:rsidRPr="00337D63" w:rsidRDefault="00CE3CBE" w:rsidP="00686267">
      <w:pPr>
        <w:pStyle w:val="Tabletitle"/>
      </w:pPr>
      <w:r>
        <w:lastRenderedPageBreak/>
        <w:t xml:space="preserve">Table </w:t>
      </w:r>
      <w:r w:rsidR="00686267">
        <w:t>2</w:t>
      </w:r>
      <w:r w:rsidR="00AA2FE4">
        <w:t>3</w:t>
      </w:r>
      <w:r w:rsidR="00686267">
        <w:t>:</w:t>
      </w:r>
      <w:r>
        <w:t xml:space="preserve"> </w:t>
      </w:r>
      <w:r w:rsidRPr="00337D63">
        <w:t xml:space="preserve">Subject </w:t>
      </w:r>
      <w:r w:rsidR="00BA6A74">
        <w:t>d</w:t>
      </w:r>
      <w:r w:rsidR="00BA6A74" w:rsidRPr="00337D63">
        <w:t xml:space="preserve">isposition </w:t>
      </w:r>
      <w:r w:rsidRPr="00337D63">
        <w:t>(Study 045)</w:t>
      </w:r>
    </w:p>
    <w:p w14:paraId="6ACDAFAC" w14:textId="77777777" w:rsidR="00CE3CBE" w:rsidRDefault="00CE3CBE" w:rsidP="00CE3CBE">
      <w:r w:rsidRPr="00337D63">
        <w:rPr>
          <w:noProof/>
          <w:lang w:eastAsia="en-AU"/>
        </w:rPr>
        <w:drawing>
          <wp:inline distT="0" distB="0" distL="0" distR="0" wp14:anchorId="0F9A53DE" wp14:editId="0A091679">
            <wp:extent cx="5302250" cy="2051050"/>
            <wp:effectExtent l="0" t="0" r="0" b="6350"/>
            <wp:docPr id="7" name="Picture 7" descr="Subject Disposition (Study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302250" cy="2051050"/>
                    </a:xfrm>
                    <a:prstGeom prst="rect">
                      <a:avLst/>
                    </a:prstGeom>
                    <a:noFill/>
                    <a:ln>
                      <a:noFill/>
                    </a:ln>
                  </pic:spPr>
                </pic:pic>
              </a:graphicData>
            </a:graphic>
          </wp:inline>
        </w:drawing>
      </w:r>
    </w:p>
    <w:p w14:paraId="6FD93D10" w14:textId="77777777" w:rsidR="008A1A1C" w:rsidRDefault="008A1A1C" w:rsidP="00E730B4">
      <w:pPr>
        <w:pStyle w:val="Heading5"/>
        <w:numPr>
          <w:ilvl w:val="3"/>
          <w:numId w:val="7"/>
        </w:numPr>
      </w:pPr>
      <w:r>
        <w:t>Major protocol violations/deviations</w:t>
      </w:r>
    </w:p>
    <w:p w14:paraId="7C087815" w14:textId="68F7B6B3" w:rsidR="008A1A1C" w:rsidRDefault="008A1A1C" w:rsidP="001473D7">
      <w:r>
        <w:t>In the placebo group only 25.5% of subjects completed the study and in the tafenoquine 25 mg group 64.5% of subjects completed the study. Most of the withdrawals in these groups were due to subjects developing parasit</w:t>
      </w:r>
      <w:r w:rsidR="00091E9B">
        <w:t>a</w:t>
      </w:r>
      <w:r>
        <w:t>emia. There were only three withdrawals as a result of parasit</w:t>
      </w:r>
      <w:r w:rsidR="00091E9B">
        <w:t>a</w:t>
      </w:r>
      <w:r>
        <w:t>emia in the other tafenoquine groups and none in the mefloquine group. The proportions of subjects discontinued for AEs or non-compliance were 8.5% in the placebo group, 7.5% to 15.4% in the tafenoquine groups and 4.3% in the mefloquine group.</w:t>
      </w:r>
    </w:p>
    <w:p w14:paraId="6BF3C5C5" w14:textId="77777777" w:rsidR="008A1A1C" w:rsidRDefault="008A1A1C" w:rsidP="00E730B4">
      <w:pPr>
        <w:pStyle w:val="Heading5"/>
        <w:numPr>
          <w:ilvl w:val="3"/>
          <w:numId w:val="7"/>
        </w:numPr>
      </w:pPr>
      <w:r>
        <w:t>Baseline data</w:t>
      </w:r>
    </w:p>
    <w:p w14:paraId="01F7186C" w14:textId="77777777" w:rsidR="008A1A1C" w:rsidRDefault="008A1A1C" w:rsidP="008A1A1C">
      <w:r>
        <w:t xml:space="preserve">Baseline data was similar amongst groups and is shown in </w:t>
      </w:r>
      <w:r w:rsidR="00686267">
        <w:t>Table 2</w:t>
      </w:r>
      <w:r w:rsidR="00AA2FE4">
        <w:t>4</w:t>
      </w:r>
      <w:r w:rsidR="007B0EBB">
        <w:t>.</w:t>
      </w:r>
    </w:p>
    <w:p w14:paraId="7F709277" w14:textId="179F2893" w:rsidR="00CE3CBE" w:rsidRDefault="00CE3CBE" w:rsidP="00686267">
      <w:pPr>
        <w:pStyle w:val="Tabletitle"/>
      </w:pPr>
      <w:bookmarkStart w:id="372" w:name="_Ref501286716"/>
      <w:bookmarkStart w:id="373" w:name="_Toc504229443"/>
      <w:bookmarkStart w:id="374" w:name="_Toc501293693"/>
      <w:r>
        <w:t>Table</w:t>
      </w:r>
      <w:r w:rsidR="00686267">
        <w:t xml:space="preserve"> 2</w:t>
      </w:r>
      <w:r w:rsidR="00AA2FE4">
        <w:t>4</w:t>
      </w:r>
      <w:r w:rsidR="00686267">
        <w:t>:</w:t>
      </w:r>
      <w:bookmarkEnd w:id="372"/>
      <w:r>
        <w:t xml:space="preserve"> </w:t>
      </w:r>
      <w:r w:rsidRPr="00B9231E">
        <w:t xml:space="preserve">Demographic </w:t>
      </w:r>
      <w:r w:rsidR="00BA6A74">
        <w:t>c</w:t>
      </w:r>
      <w:r w:rsidR="00BA6A74" w:rsidRPr="00B9231E">
        <w:t xml:space="preserve">haracteristics </w:t>
      </w:r>
      <w:r w:rsidRPr="00B9231E">
        <w:t xml:space="preserve">of </w:t>
      </w:r>
      <w:r w:rsidR="00BA6A74">
        <w:t xml:space="preserve">the </w:t>
      </w:r>
      <w:r w:rsidRPr="00B9231E">
        <w:t xml:space="preserve">Study 045 </w:t>
      </w:r>
      <w:bookmarkEnd w:id="373"/>
      <w:bookmarkEnd w:id="374"/>
      <w:r w:rsidR="00BA6A74">
        <w:t>p</w:t>
      </w:r>
      <w:r w:rsidR="00BA6A74" w:rsidRPr="00B9231E">
        <w:t>opulation</w:t>
      </w:r>
    </w:p>
    <w:p w14:paraId="1CAFD805" w14:textId="77777777" w:rsidR="00CE3CBE" w:rsidRPr="0038314A" w:rsidRDefault="00CE3CBE" w:rsidP="00CE3CBE">
      <w:r w:rsidRPr="0038314A">
        <w:rPr>
          <w:noProof/>
          <w:lang w:eastAsia="en-AU"/>
        </w:rPr>
        <w:drawing>
          <wp:inline distT="0" distB="0" distL="0" distR="0" wp14:anchorId="6C1208C2" wp14:editId="19AFE3C5">
            <wp:extent cx="4960800" cy="2496084"/>
            <wp:effectExtent l="0" t="0" r="0" b="0"/>
            <wp:docPr id="74" name="Picture 74" descr="Demographic Characteristics of Study 045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967476" cy="2499443"/>
                    </a:xfrm>
                    <a:prstGeom prst="rect">
                      <a:avLst/>
                    </a:prstGeom>
                    <a:noFill/>
                    <a:ln>
                      <a:noFill/>
                    </a:ln>
                  </pic:spPr>
                </pic:pic>
              </a:graphicData>
            </a:graphic>
          </wp:inline>
        </w:drawing>
      </w:r>
    </w:p>
    <w:p w14:paraId="20FEFAE1" w14:textId="77777777" w:rsidR="008A1A1C" w:rsidRDefault="008A1A1C" w:rsidP="00E730B4">
      <w:pPr>
        <w:pStyle w:val="Heading5"/>
        <w:numPr>
          <w:ilvl w:val="3"/>
          <w:numId w:val="7"/>
        </w:numPr>
      </w:pPr>
      <w:r>
        <w:t>Results for other efficacy outcomes</w:t>
      </w:r>
    </w:p>
    <w:p w14:paraId="70EB5304" w14:textId="228AF119" w:rsidR="008A1A1C" w:rsidRDefault="008A1A1C" w:rsidP="001473D7">
      <w:pPr>
        <w:rPr>
          <w:lang w:eastAsia="ja-JP"/>
        </w:rPr>
      </w:pPr>
      <w:r w:rsidRPr="00B743F3">
        <w:rPr>
          <w:i/>
          <w:lang w:eastAsia="ja-JP"/>
        </w:rPr>
        <w:t xml:space="preserve">Primary </w:t>
      </w:r>
      <w:r w:rsidR="00BA6A74" w:rsidRPr="00B743F3">
        <w:rPr>
          <w:i/>
          <w:lang w:eastAsia="ja-JP"/>
        </w:rPr>
        <w:t>efficacy variables</w:t>
      </w:r>
      <w:r>
        <w:rPr>
          <w:lang w:eastAsia="ja-JP"/>
        </w:rPr>
        <w:t>: The incidence of parasit</w:t>
      </w:r>
      <w:r w:rsidR="00091E9B">
        <w:rPr>
          <w:lang w:eastAsia="ja-JP"/>
        </w:rPr>
        <w:t>a</w:t>
      </w:r>
      <w:r>
        <w:rPr>
          <w:lang w:eastAsia="ja-JP"/>
        </w:rPr>
        <w:t>emia (</w:t>
      </w:r>
      <w:r w:rsidR="001473D7">
        <w:rPr>
          <w:lang w:eastAsia="ja-JP"/>
        </w:rPr>
        <w:t>that is,</w:t>
      </w:r>
      <w:r>
        <w:rPr>
          <w:lang w:eastAsia="ja-JP"/>
        </w:rPr>
        <w:t xml:space="preserve"> the proportions of subjects with at least one positive blood smear) and the PE based on first positive smear during prophylaxis treatment is </w:t>
      </w:r>
      <w:r w:rsidR="00BA6A74">
        <w:rPr>
          <w:lang w:eastAsia="ja-JP"/>
        </w:rPr>
        <w:t xml:space="preserve">summarised </w:t>
      </w:r>
      <w:r>
        <w:rPr>
          <w:lang w:eastAsia="ja-JP"/>
        </w:rPr>
        <w:t xml:space="preserve">in </w:t>
      </w:r>
      <w:r w:rsidR="00686267">
        <w:rPr>
          <w:lang w:eastAsia="ja-JP"/>
        </w:rPr>
        <w:t>Table 2</w:t>
      </w:r>
      <w:r w:rsidR="00AA2FE4">
        <w:rPr>
          <w:lang w:eastAsia="ja-JP"/>
        </w:rPr>
        <w:t>5</w:t>
      </w:r>
      <w:r>
        <w:rPr>
          <w:lang w:eastAsia="ja-JP"/>
        </w:rPr>
        <w:t xml:space="preserve"> for the full data set. In the placebo group, 91.5% of subjects had a positive smear within the 13 weeks of observation. Although some protection was offered by tafenoquine at a dose of 25 mg, the greatest protection was afforded by the three highest doses of tafenoquine, which all provided a PE of between 84% and 87%, similar to that provided by mefloquine. In the per protocol analysis, results were similar to those in the full data set.</w:t>
      </w:r>
    </w:p>
    <w:p w14:paraId="0EDCB306" w14:textId="77777777" w:rsidR="008A1A1C" w:rsidRPr="00530A97" w:rsidRDefault="008A1A1C" w:rsidP="001473D7">
      <w:pPr>
        <w:rPr>
          <w:lang w:eastAsia="ja-JP"/>
        </w:rPr>
      </w:pPr>
      <w:r>
        <w:rPr>
          <w:lang w:eastAsia="ja-JP"/>
        </w:rPr>
        <w:lastRenderedPageBreak/>
        <w:t xml:space="preserve">The analysis of the tafenoquine dose-response relationship indicated that there was a significant interaction with weight and log dose (p &lt; 0.001). </w:t>
      </w:r>
      <w:r w:rsidRPr="00530A97">
        <w:rPr>
          <w:lang w:eastAsia="ja-JP"/>
        </w:rPr>
        <w:t>The interaction with weight was caused primarily by the high incidence of positive smears amongst heavier subjects in the lowest dose group.</w:t>
      </w:r>
    </w:p>
    <w:p w14:paraId="43CC9651" w14:textId="6D999930" w:rsidR="00CE3CBE" w:rsidRPr="00B9231E" w:rsidRDefault="00CE3CBE" w:rsidP="00686267">
      <w:pPr>
        <w:pStyle w:val="Tabletitle"/>
        <w:rPr>
          <w:lang w:eastAsia="ja-JP"/>
        </w:rPr>
      </w:pPr>
      <w:bookmarkStart w:id="375" w:name="_Ref501286776"/>
      <w:bookmarkStart w:id="376" w:name="_Toc504229444"/>
      <w:bookmarkStart w:id="377" w:name="_Toc501293694"/>
      <w:r>
        <w:t>Table</w:t>
      </w:r>
      <w:r w:rsidR="00686267">
        <w:t xml:space="preserve"> 2</w:t>
      </w:r>
      <w:r w:rsidR="00AA2FE4">
        <w:t>5</w:t>
      </w:r>
      <w:r w:rsidR="00686267">
        <w:t>:</w:t>
      </w:r>
      <w:bookmarkEnd w:id="375"/>
      <w:r>
        <w:t xml:space="preserve"> </w:t>
      </w:r>
      <w:r w:rsidRPr="00B9231E">
        <w:rPr>
          <w:lang w:eastAsia="ja-JP"/>
        </w:rPr>
        <w:t>Parasit</w:t>
      </w:r>
      <w:r w:rsidR="00A91871">
        <w:rPr>
          <w:lang w:eastAsia="ja-JP"/>
        </w:rPr>
        <w:t>a</w:t>
      </w:r>
      <w:r w:rsidRPr="00B9231E">
        <w:rPr>
          <w:lang w:eastAsia="ja-JP"/>
        </w:rPr>
        <w:t xml:space="preserve">emia and </w:t>
      </w:r>
      <w:r w:rsidR="00BA6A74">
        <w:rPr>
          <w:lang w:eastAsia="ja-JP"/>
        </w:rPr>
        <w:t>p</w:t>
      </w:r>
      <w:r w:rsidR="00BA6A74" w:rsidRPr="00B9231E">
        <w:rPr>
          <w:lang w:eastAsia="ja-JP"/>
        </w:rPr>
        <w:t xml:space="preserve">rotective </w:t>
      </w:r>
      <w:r w:rsidR="00BA6A74">
        <w:rPr>
          <w:lang w:eastAsia="ja-JP"/>
        </w:rPr>
        <w:t>e</w:t>
      </w:r>
      <w:r w:rsidR="00BA6A74" w:rsidRPr="00B9231E">
        <w:rPr>
          <w:lang w:eastAsia="ja-JP"/>
        </w:rPr>
        <w:t xml:space="preserve">fficacy </w:t>
      </w:r>
      <w:r w:rsidRPr="00B9231E">
        <w:rPr>
          <w:lang w:eastAsia="ja-JP"/>
        </w:rPr>
        <w:t>(Study 045)</w:t>
      </w:r>
      <w:bookmarkEnd w:id="376"/>
      <w:bookmarkEnd w:id="377"/>
    </w:p>
    <w:p w14:paraId="1AAF708D" w14:textId="77777777" w:rsidR="00CE3CBE" w:rsidRDefault="00CE3CBE" w:rsidP="00CE3CBE">
      <w:pPr>
        <w:rPr>
          <w:lang w:eastAsia="ja-JP"/>
        </w:rPr>
      </w:pPr>
      <w:r w:rsidRPr="00337D63">
        <w:rPr>
          <w:noProof/>
          <w:lang w:eastAsia="en-AU"/>
        </w:rPr>
        <w:drawing>
          <wp:inline distT="0" distB="0" distL="0" distR="0" wp14:anchorId="56EFDC34" wp14:editId="0BC1BECE">
            <wp:extent cx="5124450" cy="1562100"/>
            <wp:effectExtent l="0" t="0" r="0" b="0"/>
            <wp:docPr id="56" name="Picture 56" descr="Parasitemia and Protective Efficacy (Study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124450" cy="1562100"/>
                    </a:xfrm>
                    <a:prstGeom prst="rect">
                      <a:avLst/>
                    </a:prstGeom>
                    <a:noFill/>
                    <a:ln>
                      <a:noFill/>
                    </a:ln>
                  </pic:spPr>
                </pic:pic>
              </a:graphicData>
            </a:graphic>
          </wp:inline>
        </w:drawing>
      </w:r>
    </w:p>
    <w:p w14:paraId="577DA3DE" w14:textId="77777777" w:rsidR="008A1A1C" w:rsidRDefault="008A1A1C" w:rsidP="00E730B4">
      <w:pPr>
        <w:pStyle w:val="Heading5"/>
        <w:numPr>
          <w:ilvl w:val="3"/>
          <w:numId w:val="7"/>
        </w:numPr>
      </w:pPr>
      <w:r>
        <w:t>Results for other efficacy outcomes</w:t>
      </w:r>
    </w:p>
    <w:p w14:paraId="0A0462E7" w14:textId="72021AB7" w:rsidR="008A1A1C" w:rsidRDefault="008A1A1C" w:rsidP="008A1A1C">
      <w:pPr>
        <w:rPr>
          <w:lang w:eastAsia="ja-JP"/>
        </w:rPr>
      </w:pPr>
      <w:r w:rsidRPr="00B743F3">
        <w:rPr>
          <w:i/>
          <w:lang w:eastAsia="ja-JP"/>
        </w:rPr>
        <w:t xml:space="preserve">Secondary </w:t>
      </w:r>
      <w:r w:rsidR="00BA6A74" w:rsidRPr="00B743F3">
        <w:rPr>
          <w:i/>
          <w:lang w:eastAsia="ja-JP"/>
        </w:rPr>
        <w:t>efficacy variables</w:t>
      </w:r>
      <w:r>
        <w:rPr>
          <w:lang w:eastAsia="ja-JP"/>
        </w:rPr>
        <w:t>: In the placebo and low</w:t>
      </w:r>
      <w:r w:rsidR="009720A8">
        <w:rPr>
          <w:lang w:eastAsia="ja-JP"/>
        </w:rPr>
        <w:t xml:space="preserve"> dose</w:t>
      </w:r>
      <w:r>
        <w:rPr>
          <w:lang w:eastAsia="ja-JP"/>
        </w:rPr>
        <w:t xml:space="preserve"> tafenoquine groups, a majority of subjects (83.7% and 58.6%, respectively) who developed positive smears did so within 6 weeks of starting </w:t>
      </w:r>
      <w:r w:rsidR="00404803">
        <w:rPr>
          <w:lang w:eastAsia="ja-JP"/>
        </w:rPr>
        <w:t>randomised</w:t>
      </w:r>
      <w:r>
        <w:rPr>
          <w:lang w:eastAsia="ja-JP"/>
        </w:rPr>
        <w:t xml:space="preserve"> medication. The median time to first positive smear could not be calculated for the three highest tafenoquine dose groups and the mefloquine group because more than 50% of subjects in these groups had no positive smears. In the full analysis set, the median time to first positive smear in the placebo group was 31 days, and in the tafenoquine 25 mg group was 53 days.</w:t>
      </w:r>
    </w:p>
    <w:p w14:paraId="6552F6EE" w14:textId="00BE7FF7" w:rsidR="008A1A1C" w:rsidRDefault="008A1A1C" w:rsidP="008A1A1C">
      <w:pPr>
        <w:rPr>
          <w:lang w:eastAsia="ja-JP"/>
        </w:rPr>
      </w:pPr>
      <w:r>
        <w:rPr>
          <w:lang w:eastAsia="ja-JP"/>
        </w:rPr>
        <w:t>For confirmed parasit</w:t>
      </w:r>
      <w:r w:rsidR="00091E9B">
        <w:rPr>
          <w:lang w:eastAsia="ja-JP"/>
        </w:rPr>
        <w:t>a</w:t>
      </w:r>
      <w:r>
        <w:rPr>
          <w:lang w:eastAsia="ja-JP"/>
        </w:rPr>
        <w:t>emia (based on two consecutive positive smears), there were no subjects in the two highest tafenoquine dose groups or in the mefloquine group and the incidence in the tafenoquine 50 mg and 25 mg groups were 2.2% and 28.0% respectively. These results compare with a placebo incidence of confirmed parasit</w:t>
      </w:r>
      <w:r w:rsidR="00091E9B">
        <w:rPr>
          <w:lang w:eastAsia="ja-JP"/>
        </w:rPr>
        <w:t>a</w:t>
      </w:r>
      <w:r>
        <w:rPr>
          <w:lang w:eastAsia="ja-JP"/>
        </w:rPr>
        <w:t>emia of 64.9%. This resulted in PEs based on confirmed parasit</w:t>
      </w:r>
      <w:r w:rsidR="00091E9B">
        <w:rPr>
          <w:lang w:eastAsia="ja-JP"/>
        </w:rPr>
        <w:t>a</w:t>
      </w:r>
      <w:r>
        <w:rPr>
          <w:lang w:eastAsia="ja-JP"/>
        </w:rPr>
        <w:t>emia of 100% in the tafenoquine 100 mg and 200 mg groups and the mefloquine group</w:t>
      </w:r>
      <w:r w:rsidR="00065CAB">
        <w:rPr>
          <w:lang w:eastAsia="ja-JP"/>
        </w:rPr>
        <w:t xml:space="preserve"> </w:t>
      </w:r>
      <w:r w:rsidR="00091E9B">
        <w:rPr>
          <w:lang w:eastAsia="ja-JP"/>
        </w:rPr>
        <w:t>in this semi-immune population</w:t>
      </w:r>
      <w:r>
        <w:rPr>
          <w:lang w:eastAsia="ja-JP"/>
        </w:rPr>
        <w:t>.</w:t>
      </w:r>
    </w:p>
    <w:p w14:paraId="3AD7FF73" w14:textId="77777777" w:rsidR="008A1A1C" w:rsidRDefault="008A1A1C" w:rsidP="008A1A1C">
      <w:r>
        <w:t xml:space="preserve">Analysis </w:t>
      </w:r>
      <w:r>
        <w:rPr>
          <w:lang w:eastAsia="ja-JP"/>
        </w:rPr>
        <w:t>of incidence density demonstrated a placebo attack rate of approximately nine attacks per person per year, compared with slightly less than four attacks per person per year on the 25 mg dose of tafenoquine and less than one attack on the tafenoquine doses of 50 to 200 mg or 250 mg dose of mefloquine.</w:t>
      </w:r>
    </w:p>
    <w:p w14:paraId="0B6FA357" w14:textId="77777777" w:rsidR="008A1A1C" w:rsidRDefault="008A1A1C" w:rsidP="00E730B4">
      <w:pPr>
        <w:pStyle w:val="Heading5"/>
        <w:numPr>
          <w:ilvl w:val="3"/>
          <w:numId w:val="7"/>
        </w:numPr>
      </w:pPr>
      <w:r>
        <w:t>Evaluator commentary</w:t>
      </w:r>
    </w:p>
    <w:p w14:paraId="54D9FBCC" w14:textId="73C57C0B" w:rsidR="008A1A1C" w:rsidRDefault="008A1A1C" w:rsidP="008A1A1C">
      <w:r w:rsidRPr="00530A97">
        <w:t xml:space="preserve">Doses of 50 mg, 100 mg, and 200 mg tafenoquine provided effective prophylaxis in an area of intense </w:t>
      </w:r>
      <w:r w:rsidR="00091E9B" w:rsidRPr="00530A97">
        <w:t xml:space="preserve">Pf </w:t>
      </w:r>
      <w:r w:rsidRPr="00530A97">
        <w:t>transmission, with PE relative to placebo of 84% to 87% over the 13 week assessment period, values similar to those obtained with mefloquine. The 200 mg dose was equivalent to</w:t>
      </w:r>
      <w:r w:rsidR="00091E9B" w:rsidRPr="00530A97">
        <w:t xml:space="preserve"> </w:t>
      </w:r>
      <w:r w:rsidRPr="00530A97">
        <w:t>standard of care.</w:t>
      </w:r>
      <w:r w:rsidR="00352D8B">
        <w:rPr>
          <w:rStyle w:val="FootnoteReference"/>
        </w:rPr>
        <w:footnoteReference w:id="10"/>
      </w:r>
    </w:p>
    <w:p w14:paraId="499DADFB" w14:textId="77777777" w:rsidR="008A1A1C" w:rsidRDefault="008A1A1C" w:rsidP="00E730B4">
      <w:pPr>
        <w:pStyle w:val="Heading4"/>
        <w:numPr>
          <w:ilvl w:val="2"/>
          <w:numId w:val="7"/>
        </w:numPr>
      </w:pPr>
      <w:bookmarkStart w:id="378" w:name="_Ref504135122"/>
      <w:r>
        <w:t>Study 043</w:t>
      </w:r>
      <w:bookmarkEnd w:id="378"/>
    </w:p>
    <w:p w14:paraId="41284D1A" w14:textId="77777777" w:rsidR="008A1A1C" w:rsidRDefault="008A1A1C" w:rsidP="00E730B4">
      <w:pPr>
        <w:pStyle w:val="Heading5"/>
        <w:numPr>
          <w:ilvl w:val="3"/>
          <w:numId w:val="7"/>
        </w:numPr>
      </w:pPr>
      <w:r>
        <w:t>Study design, objectives, locations and dates</w:t>
      </w:r>
    </w:p>
    <w:p w14:paraId="4222ACE5" w14:textId="4C4FAA4D" w:rsidR="008A1A1C" w:rsidRDefault="008A1A1C" w:rsidP="001473D7">
      <w:r>
        <w:t>This study was a placebo</w:t>
      </w:r>
      <w:r w:rsidR="00F1528F">
        <w:t xml:space="preserve"> controlled</w:t>
      </w:r>
      <w:r>
        <w:t xml:space="preserve"> </w:t>
      </w:r>
      <w:r w:rsidR="00404803">
        <w:t>randomised</w:t>
      </w:r>
      <w:r>
        <w:t xml:space="preserve">, </w:t>
      </w:r>
      <w:r w:rsidR="00404803">
        <w:t>double blind</w:t>
      </w:r>
      <w:r w:rsidR="001473D7">
        <w:t>, parallel</w:t>
      </w:r>
      <w:r w:rsidR="007B0EBB">
        <w:t xml:space="preserve"> </w:t>
      </w:r>
      <w:r w:rsidR="001473D7">
        <w:t xml:space="preserve">group, </w:t>
      </w:r>
      <w:r w:rsidR="00B319AC">
        <w:t>and single</w:t>
      </w:r>
      <w:r w:rsidR="001473D7">
        <w:t xml:space="preserve"> cent</w:t>
      </w:r>
      <w:r>
        <w:t>r</w:t>
      </w:r>
      <w:r w:rsidR="001473D7">
        <w:t>e</w:t>
      </w:r>
      <w:r>
        <w:t xml:space="preserve"> study in subjects living in an area of holoendemic Pf malaria </w:t>
      </w:r>
      <w:r w:rsidR="00091E9B">
        <w:t>transmission</w:t>
      </w:r>
      <w:r>
        <w:t xml:space="preserve">. It was conducted to </w:t>
      </w:r>
      <w:r>
        <w:lastRenderedPageBreak/>
        <w:t>evaluate weekly tafenoquine compared to placebo for chemo</w:t>
      </w:r>
      <w:r w:rsidR="001473D7">
        <w:t>-</w:t>
      </w:r>
      <w:r>
        <w:t xml:space="preserve">suppression of </w:t>
      </w:r>
      <w:r w:rsidR="00BA6A74" w:rsidRPr="00A91871">
        <w:rPr>
          <w:i/>
        </w:rPr>
        <w:t xml:space="preserve">Plasmodium </w:t>
      </w:r>
      <w:r w:rsidRPr="00A91871">
        <w:rPr>
          <w:i/>
        </w:rPr>
        <w:t>falciparum</w:t>
      </w:r>
      <w:r>
        <w:t xml:space="preserve"> in Western Kenya. This study was conducted at one site between 17 May 1997 and 29 Sep</w:t>
      </w:r>
      <w:r w:rsidR="001473D7">
        <w:t>tember</w:t>
      </w:r>
      <w:r>
        <w:t xml:space="preserve"> 1997 and was the first ‘in the field’ proof of concept study. The primary objectives were to determine the chemosuppressive effectiveness of weekly regimens of tafenoquine in preventing falciparum parasitemia compared with placebo.</w:t>
      </w:r>
    </w:p>
    <w:p w14:paraId="474FADD9" w14:textId="72702311" w:rsidR="008A1A1C" w:rsidRDefault="008A1A1C" w:rsidP="008A1A1C">
      <w:r>
        <w:t xml:space="preserve">Subjects who met the entry criteria were given a three day presumptive course of halofantrine to eliminate any existing </w:t>
      </w:r>
      <w:r w:rsidRPr="00A91871">
        <w:rPr>
          <w:i/>
        </w:rPr>
        <w:t>Plasmodium</w:t>
      </w:r>
      <w:r>
        <w:t xml:space="preserve"> parasitemia. Subjects were then </w:t>
      </w:r>
      <w:r w:rsidR="00404803">
        <w:t>randomised</w:t>
      </w:r>
      <w:r>
        <w:t xml:space="preserve"> into one of four groups to receive one of three dosage regimens of tafenoquine or a placebo regimen for 10 to 15 weeks. There was an additional four weeks of Follow-up after the end of drug administration. Subjects were evaluated for Plasmodium parasit</w:t>
      </w:r>
      <w:r w:rsidR="00091E9B">
        <w:t>a</w:t>
      </w:r>
      <w:r>
        <w:t>emia by weekly blood smears and evaluated for tolerability and safety by questioning and periodic blood tests.</w:t>
      </w:r>
    </w:p>
    <w:p w14:paraId="56CD43CF" w14:textId="77777777" w:rsidR="008A1A1C" w:rsidRDefault="008A1A1C" w:rsidP="00E730B4">
      <w:pPr>
        <w:pStyle w:val="Heading5"/>
        <w:numPr>
          <w:ilvl w:val="3"/>
          <w:numId w:val="7"/>
        </w:numPr>
      </w:pPr>
      <w:r>
        <w:t>Inclusion and exclusion criteria</w:t>
      </w:r>
    </w:p>
    <w:p w14:paraId="1BAF3E35" w14:textId="77777777" w:rsidR="008A1A1C" w:rsidRDefault="008A1A1C" w:rsidP="008A1A1C">
      <w:pPr>
        <w:rPr>
          <w:lang w:eastAsia="ja-JP"/>
        </w:rPr>
      </w:pPr>
      <w:r>
        <w:t>Subjects included were consenting</w:t>
      </w:r>
      <w:r w:rsidR="001473D7">
        <w:t>,</w:t>
      </w:r>
      <w:r>
        <w:t xml:space="preserve"> G6PD</w:t>
      </w:r>
      <w:r w:rsidR="00122529">
        <w:t>-</w:t>
      </w:r>
      <w:r>
        <w:t>normal adults between 18 and 55 years of age, in good health and living in Kenya.</w:t>
      </w:r>
    </w:p>
    <w:p w14:paraId="2CF24136" w14:textId="77777777" w:rsidR="008A1A1C" w:rsidRDefault="008A1A1C" w:rsidP="00E730B4">
      <w:pPr>
        <w:pStyle w:val="Heading5"/>
        <w:numPr>
          <w:ilvl w:val="3"/>
          <w:numId w:val="7"/>
        </w:numPr>
      </w:pPr>
      <w:r>
        <w:t>Study treatments</w:t>
      </w:r>
    </w:p>
    <w:p w14:paraId="64BC72CE" w14:textId="52FE44E0" w:rsidR="008A1A1C" w:rsidRDefault="008A1A1C" w:rsidP="008A1A1C">
      <w:r>
        <w:t>Subjects completed an initial course of halofantrine, 250 mg daily for 3 days with food, as a curative course of antimalarial treatment to clear pre-existing parasit</w:t>
      </w:r>
      <w:r w:rsidR="00091E9B">
        <w:t>a</w:t>
      </w:r>
      <w:r>
        <w:t xml:space="preserve">emia before prophylaxis. Subjects were then </w:t>
      </w:r>
      <w:r w:rsidR="00404803">
        <w:t>randomised</w:t>
      </w:r>
      <w:r>
        <w:t xml:space="preserve"> to one of the following treatment groups:</w:t>
      </w:r>
    </w:p>
    <w:p w14:paraId="2C8D3FE6" w14:textId="77777777" w:rsidR="008A1A1C" w:rsidRDefault="008A1A1C" w:rsidP="001473D7">
      <w:pPr>
        <w:pStyle w:val="Numberbullet2"/>
      </w:pPr>
      <w:r>
        <w:t>Tafenoquine load only: 400 mg of tafenoquine for 3 days followed by placebo for up to 15 weeks.</w:t>
      </w:r>
    </w:p>
    <w:p w14:paraId="41D92615" w14:textId="77777777" w:rsidR="008A1A1C" w:rsidRDefault="008A1A1C" w:rsidP="001473D7">
      <w:pPr>
        <w:pStyle w:val="Numberbullet2"/>
      </w:pPr>
      <w:r>
        <w:t>Tafenoquine low dose: 200 mg of tafenoquine for 3 days, followed by tafenoquine 200 mg weekly for 15 weeks.</w:t>
      </w:r>
    </w:p>
    <w:p w14:paraId="4296D111" w14:textId="77777777" w:rsidR="008A1A1C" w:rsidRDefault="008A1A1C" w:rsidP="001473D7">
      <w:pPr>
        <w:pStyle w:val="Numberbullet2"/>
      </w:pPr>
      <w:r>
        <w:t>Tafenoquine high weekly dose: 400 mg of tafenoquine for 3 days followed by tafenoquine 400 mg weekly for 15 weeks.</w:t>
      </w:r>
    </w:p>
    <w:p w14:paraId="2EDF400F" w14:textId="77777777" w:rsidR="008A1A1C" w:rsidRDefault="008A1A1C" w:rsidP="001473D7">
      <w:pPr>
        <w:pStyle w:val="Numberbullet2"/>
      </w:pPr>
      <w:r>
        <w:t>Placebo: Weekly medication schedule was identical to the above tafenoquine schedule except that no active drug was contained in the capsules.</w:t>
      </w:r>
    </w:p>
    <w:p w14:paraId="45A952D8" w14:textId="77777777" w:rsidR="008A1A1C" w:rsidRDefault="008A1A1C" w:rsidP="00E730B4">
      <w:pPr>
        <w:pStyle w:val="Heading5"/>
        <w:numPr>
          <w:ilvl w:val="3"/>
          <w:numId w:val="7"/>
        </w:numPr>
      </w:pPr>
      <w:r>
        <w:t>Efficacy variables and outcomes</w:t>
      </w:r>
    </w:p>
    <w:p w14:paraId="0BDC08AE" w14:textId="7F1836B7" w:rsidR="008A1A1C" w:rsidRDefault="008A1A1C" w:rsidP="00ED04EE">
      <w:r>
        <w:t xml:space="preserve">The primary efficacy parameter was PE of the three tafenoquine regimens relative to placebo. The PE was derived from the proportion of subjects who were chemoprophylactic failures </w:t>
      </w:r>
      <w:r w:rsidR="00ED04EE">
        <w:t>that is,</w:t>
      </w:r>
      <w:r>
        <w:t xml:space="preserve"> developed confirmed parasit</w:t>
      </w:r>
      <w:r w:rsidR="00091E9B">
        <w:t>a</w:t>
      </w:r>
      <w:r>
        <w:t xml:space="preserve">emia at any time during the </w:t>
      </w:r>
      <w:r w:rsidR="00404803">
        <w:t>double blind</w:t>
      </w:r>
      <w:r>
        <w:t xml:space="preserve"> prophylaxis phase. Confirmed parasit</w:t>
      </w:r>
      <w:r w:rsidR="00091E9B">
        <w:t>a</w:t>
      </w:r>
      <w:r>
        <w:t>emia was defined as having occurred when a subject had two consecutive blood smears positive for Plasmodia, read independently by two microscopists blinded to one another's diagnosis.</w:t>
      </w:r>
    </w:p>
    <w:p w14:paraId="1345B762" w14:textId="77777777" w:rsidR="008A1A1C" w:rsidRDefault="008A1A1C" w:rsidP="008A1A1C">
      <w:r>
        <w:t>Other outcomes include safety parameters and pharmacokinetics and parasite drug sensitivity.</w:t>
      </w:r>
    </w:p>
    <w:p w14:paraId="7498D89B" w14:textId="77777777" w:rsidR="008A1A1C" w:rsidRDefault="008A1A1C" w:rsidP="00E730B4">
      <w:pPr>
        <w:pStyle w:val="Heading5"/>
        <w:numPr>
          <w:ilvl w:val="3"/>
          <w:numId w:val="7"/>
        </w:numPr>
      </w:pPr>
      <w:r>
        <w:t>Randomisation and blinding methods</w:t>
      </w:r>
    </w:p>
    <w:p w14:paraId="26BAA061" w14:textId="77777777" w:rsidR="008A1A1C" w:rsidRDefault="008A1A1C" w:rsidP="00ED04EE">
      <w:pPr>
        <w:rPr>
          <w:lang w:eastAsia="ja-JP"/>
        </w:rPr>
      </w:pPr>
      <w:r>
        <w:rPr>
          <w:lang w:eastAsia="ja-JP"/>
        </w:rPr>
        <w:t>Participants were randomised and given numerated treatment packs.</w:t>
      </w:r>
    </w:p>
    <w:p w14:paraId="60A77CA2" w14:textId="77777777" w:rsidR="008A1A1C" w:rsidRDefault="008A1A1C" w:rsidP="00E730B4">
      <w:pPr>
        <w:pStyle w:val="Heading5"/>
        <w:numPr>
          <w:ilvl w:val="3"/>
          <w:numId w:val="7"/>
        </w:numPr>
        <w:tabs>
          <w:tab w:val="clear" w:pos="1418"/>
          <w:tab w:val="num" w:pos="1333"/>
        </w:tabs>
        <w:ind w:left="1304" w:hanging="1077"/>
      </w:pPr>
      <w:r>
        <w:t>Analysis populations</w:t>
      </w:r>
    </w:p>
    <w:p w14:paraId="14653310" w14:textId="45FB99D5" w:rsidR="008A1A1C" w:rsidRDefault="008A1A1C" w:rsidP="00ED04EE">
      <w:pPr>
        <w:rPr>
          <w:lang w:eastAsia="ja-JP"/>
        </w:rPr>
      </w:pPr>
      <w:r>
        <w:rPr>
          <w:lang w:eastAsia="ja-JP"/>
        </w:rPr>
        <w:t>Subjects were included in the summaries of safety if they had entered the study, completed the clearance phase, and taken at least one dose of tafenoquine during the loading phase (</w:t>
      </w:r>
      <w:r w:rsidR="00BA6A74">
        <w:rPr>
          <w:lang w:eastAsia="ja-JP"/>
        </w:rPr>
        <w:t>safety population</w:t>
      </w:r>
      <w:r>
        <w:rPr>
          <w:lang w:eastAsia="ja-JP"/>
        </w:rPr>
        <w:t xml:space="preserve">). The ITT </w:t>
      </w:r>
      <w:r w:rsidR="00BA6A74">
        <w:rPr>
          <w:lang w:eastAsia="ja-JP"/>
        </w:rPr>
        <w:t xml:space="preserve">efficacy population </w:t>
      </w:r>
      <w:r>
        <w:rPr>
          <w:lang w:eastAsia="ja-JP"/>
        </w:rPr>
        <w:t xml:space="preserve">comprised subjects who received all clearance and loading medication and who received at least one dose in the weekly dosing regimen. Efficacy analyses were evaluated using the </w:t>
      </w:r>
      <w:r w:rsidR="00BA6A74">
        <w:rPr>
          <w:lang w:eastAsia="ja-JP"/>
        </w:rPr>
        <w:t>efficacy population</w:t>
      </w:r>
      <w:r>
        <w:rPr>
          <w:lang w:eastAsia="ja-JP"/>
        </w:rPr>
        <w:t xml:space="preserve">, which comprised subjects in the ITT </w:t>
      </w:r>
      <w:r w:rsidR="00BA6A74">
        <w:rPr>
          <w:lang w:eastAsia="ja-JP"/>
        </w:rPr>
        <w:t xml:space="preserve">efficacy population </w:t>
      </w:r>
      <w:r>
        <w:rPr>
          <w:lang w:eastAsia="ja-JP"/>
        </w:rPr>
        <w:t>who provided at least one on-therapy malarial blood smear</w:t>
      </w:r>
      <w:r w:rsidR="007B0EBB">
        <w:rPr>
          <w:lang w:eastAsia="ja-JP"/>
        </w:rPr>
        <w:t>.</w:t>
      </w:r>
    </w:p>
    <w:p w14:paraId="0964A8FC" w14:textId="77777777" w:rsidR="008A1A1C" w:rsidRDefault="008A1A1C" w:rsidP="00E730B4">
      <w:pPr>
        <w:pStyle w:val="Heading5"/>
        <w:numPr>
          <w:ilvl w:val="3"/>
          <w:numId w:val="7"/>
        </w:numPr>
      </w:pPr>
      <w:r>
        <w:lastRenderedPageBreak/>
        <w:t>Sample size</w:t>
      </w:r>
    </w:p>
    <w:p w14:paraId="75B3798D" w14:textId="77777777" w:rsidR="008A1A1C" w:rsidRDefault="008A1A1C" w:rsidP="00ED04EE">
      <w:pPr>
        <w:rPr>
          <w:lang w:eastAsia="ja-JP"/>
        </w:rPr>
      </w:pPr>
      <w:r>
        <w:t>The original plan was to enrol 300 adults to obtain 240 completed subjects (60 per treatment group).</w:t>
      </w:r>
    </w:p>
    <w:p w14:paraId="014B044C" w14:textId="77777777" w:rsidR="008A1A1C" w:rsidRDefault="008A1A1C" w:rsidP="00E730B4">
      <w:pPr>
        <w:pStyle w:val="Heading5"/>
        <w:numPr>
          <w:ilvl w:val="3"/>
          <w:numId w:val="7"/>
        </w:numPr>
      </w:pPr>
      <w:r>
        <w:t>Statistical methods</w:t>
      </w:r>
    </w:p>
    <w:p w14:paraId="35F084A4" w14:textId="2894543B" w:rsidR="008A1A1C" w:rsidRDefault="008A1A1C" w:rsidP="00ED04EE">
      <w:r>
        <w:t>The original analysis for the study considered all cases of confirmed parasit</w:t>
      </w:r>
      <w:r w:rsidR="00AB5A2D">
        <w:t>a</w:t>
      </w:r>
      <w:r>
        <w:t>emia up to and including the date of last dose of study medication, as a failure of prophylaxis. The majority of the analyses were conducted in this way, although whilst the study was being reported, after the Phase III program was undergoing design, a number of additional analyses were performed in order to facilitate some limited comparisons between Phase II and Phase III data.</w:t>
      </w:r>
    </w:p>
    <w:p w14:paraId="671D67C9" w14:textId="77777777" w:rsidR="00F1528F" w:rsidRDefault="008A1A1C" w:rsidP="00E730B4">
      <w:pPr>
        <w:pStyle w:val="Heading5"/>
        <w:numPr>
          <w:ilvl w:val="3"/>
          <w:numId w:val="7"/>
        </w:numPr>
      </w:pPr>
      <w:r>
        <w:t>Participant flow</w:t>
      </w:r>
    </w:p>
    <w:p w14:paraId="6E237803" w14:textId="5FA163CD" w:rsidR="008A1A1C" w:rsidRDefault="008A1A1C" w:rsidP="00ED04EE">
      <w:pPr>
        <w:rPr>
          <w:lang w:eastAsia="ja-JP"/>
        </w:rPr>
      </w:pPr>
      <w:r>
        <w:rPr>
          <w:lang w:eastAsia="ja-JP"/>
        </w:rPr>
        <w:t>Of the 249 consenting subjects from the study area who were randomised into one of the four treatment groups, 235 (94%) received the clearance regimen and went on to receive at least one loading dose of study medication (</w:t>
      </w:r>
      <w:r w:rsidR="00BA6A74">
        <w:rPr>
          <w:lang w:eastAsia="ja-JP"/>
        </w:rPr>
        <w:t>safety population</w:t>
      </w:r>
      <w:r>
        <w:rPr>
          <w:lang w:eastAsia="ja-JP"/>
        </w:rPr>
        <w:t xml:space="preserve">), 229 (92%) received all three loading doses and at least one dose of the weekly study medication (ITT </w:t>
      </w:r>
      <w:r w:rsidR="00BA6A74">
        <w:rPr>
          <w:lang w:eastAsia="ja-JP"/>
        </w:rPr>
        <w:t>efficacy population</w:t>
      </w:r>
      <w:r>
        <w:rPr>
          <w:lang w:eastAsia="ja-JP"/>
        </w:rPr>
        <w:t>), and 223 (90%) gave a blood sample for a malaria smear after receiving a weekly dose and were evaluable for efficacy (</w:t>
      </w:r>
      <w:r w:rsidR="00BA6A74">
        <w:rPr>
          <w:lang w:eastAsia="ja-JP"/>
        </w:rPr>
        <w:t>efficacy population</w:t>
      </w:r>
      <w:r>
        <w:rPr>
          <w:lang w:eastAsia="ja-JP"/>
        </w:rPr>
        <w:t>).</w:t>
      </w:r>
    </w:p>
    <w:p w14:paraId="61BFFDCE" w14:textId="77777777" w:rsidR="008A1A1C" w:rsidRDefault="008A1A1C" w:rsidP="00E730B4">
      <w:pPr>
        <w:pStyle w:val="Heading5"/>
        <w:numPr>
          <w:ilvl w:val="3"/>
          <w:numId w:val="7"/>
        </w:numPr>
      </w:pPr>
      <w:r>
        <w:t xml:space="preserve">Major protocol </w:t>
      </w:r>
      <w:r w:rsidRPr="00ED04EE">
        <w:t>violations</w:t>
      </w:r>
      <w:r>
        <w:t>/deviations</w:t>
      </w:r>
    </w:p>
    <w:p w14:paraId="1D78A546" w14:textId="5A53F7A4" w:rsidR="008A1A1C" w:rsidRDefault="008A1A1C" w:rsidP="00ED04EE">
      <w:r>
        <w:t>No details</w:t>
      </w:r>
      <w:r w:rsidR="00AB5A2D">
        <w:t xml:space="preserve"> provided in the study report</w:t>
      </w:r>
      <w:r>
        <w:t>, apart from 2 discontinuations due to AEs (one haemolytic anaemia requiring hospitalisation).</w:t>
      </w:r>
    </w:p>
    <w:p w14:paraId="38693550" w14:textId="77777777" w:rsidR="008A1A1C" w:rsidRDefault="008A1A1C" w:rsidP="00E730B4">
      <w:pPr>
        <w:pStyle w:val="Heading5"/>
        <w:numPr>
          <w:ilvl w:val="3"/>
          <w:numId w:val="7"/>
        </w:numPr>
      </w:pPr>
      <w:r>
        <w:t>Baseline data</w:t>
      </w:r>
    </w:p>
    <w:p w14:paraId="372F1175" w14:textId="77777777" w:rsidR="008A1A1C" w:rsidRDefault="008A1A1C" w:rsidP="008A1A1C">
      <w:r>
        <w:t>The demographic data were generally similar in the four treatment groups, although in all the individual treatment groups and the study as a whole there were more men (61%) than women (39%). The mean age of subjects was 32.5 years with a range from 17 to 55.</w:t>
      </w:r>
    </w:p>
    <w:p w14:paraId="23BD95B7" w14:textId="77777777" w:rsidR="008A1A1C" w:rsidRDefault="008A1A1C" w:rsidP="00E730B4">
      <w:pPr>
        <w:pStyle w:val="Heading5"/>
        <w:numPr>
          <w:ilvl w:val="3"/>
          <w:numId w:val="7"/>
        </w:numPr>
      </w:pPr>
      <w:r>
        <w:t>Results for the primary efficacy outcome</w:t>
      </w:r>
    </w:p>
    <w:p w14:paraId="3B2549A6" w14:textId="3BA95A53" w:rsidR="008A1A1C" w:rsidRDefault="008A1A1C" w:rsidP="00ED04EE">
      <w:r>
        <w:t>The proportion of subjects with confirmed parasit</w:t>
      </w:r>
      <w:r w:rsidR="00AB5A2D">
        <w:t>a</w:t>
      </w:r>
      <w:r>
        <w:t>emia was substantially lower in subjects who received tafenoquine compared to those on placebo. Subjects were not withdrawn from the study unless the parasit</w:t>
      </w:r>
      <w:r w:rsidR="00AB5A2D">
        <w:t>a</w:t>
      </w:r>
      <w:r>
        <w:t>emia was symptomatic and required therapy. During the prophylactic treatment period, the total number of subjects developing confirmed parasitaemia was 79 (35%). All infective episodes except one were due to Pf, the single non-falciparum case being due to Pm (in the load only group). The proportion of subjects developing confirmed parasitaemia in the placebo group during the treatment period was 92%, confirming this as being a region of intense Pf transmission. By comparison, the proportion of subjects during the study developing confirmed parasitaemia in the three tafenoquine treatment groups was markedly lower at 26% for load-only, 11% for low</w:t>
      </w:r>
      <w:r w:rsidR="009720A8">
        <w:t xml:space="preserve"> dose</w:t>
      </w:r>
      <w:r>
        <w:t xml:space="preserve"> and 9% for high</w:t>
      </w:r>
      <w:r w:rsidR="009720A8">
        <w:t xml:space="preserve"> dose</w:t>
      </w:r>
      <w:r>
        <w:t xml:space="preserve"> groups. The corresponding protective efficacies (95% C.I) were 71.7%</w:t>
      </w:r>
      <w:r w:rsidR="00ED04EE">
        <w:t xml:space="preserve"> </w:t>
      </w:r>
      <w:r>
        <w:t>(57.0, 82.5), 87.6% and 90.4% (79.2, 95.9) respectively.</w:t>
      </w:r>
    </w:p>
    <w:p w14:paraId="208739AD" w14:textId="77777777" w:rsidR="008A1A1C" w:rsidRDefault="008A1A1C" w:rsidP="00ED04EE">
      <w:r>
        <w:rPr>
          <w:rFonts w:asciiTheme="minorHAnsi" w:hAnsiTheme="minorHAnsi"/>
        </w:rPr>
        <w:t xml:space="preserve">The original analysis planned for the study considered all cases of confirmed parasitaemia up to and including the date of last dose of study medication as a failure of prophylaxis. The principal analysis was performed on the full data set and the </w:t>
      </w:r>
      <w:r w:rsidR="00AA2FE4">
        <w:rPr>
          <w:rFonts w:asciiTheme="minorHAnsi" w:hAnsiTheme="minorHAnsi"/>
        </w:rPr>
        <w:t>PP</w:t>
      </w:r>
      <w:r>
        <w:rPr>
          <w:rFonts w:asciiTheme="minorHAnsi" w:hAnsiTheme="minorHAnsi"/>
        </w:rPr>
        <w:t xml:space="preserve"> data set was used for a confirmatory analysis and is shown in </w:t>
      </w:r>
      <w:r w:rsidR="00686267">
        <w:rPr>
          <w:rFonts w:asciiTheme="minorHAnsi" w:hAnsiTheme="minorHAnsi"/>
        </w:rPr>
        <w:t>Table 2</w:t>
      </w:r>
      <w:r w:rsidR="00AA2FE4">
        <w:rPr>
          <w:rFonts w:asciiTheme="minorHAnsi" w:hAnsiTheme="minorHAnsi"/>
        </w:rPr>
        <w:t>6</w:t>
      </w:r>
      <w:r w:rsidR="00ED04EE">
        <w:t>.</w:t>
      </w:r>
    </w:p>
    <w:p w14:paraId="7EBC698D" w14:textId="7B852558" w:rsidR="00CE3CBE" w:rsidRPr="00B9231E" w:rsidRDefault="00CE3CBE" w:rsidP="00686267">
      <w:pPr>
        <w:pStyle w:val="Tabletitle"/>
      </w:pPr>
      <w:r>
        <w:lastRenderedPageBreak/>
        <w:t xml:space="preserve">Table </w:t>
      </w:r>
      <w:r w:rsidR="00686267">
        <w:t>2</w:t>
      </w:r>
      <w:r w:rsidR="00AA2FE4">
        <w:t>6</w:t>
      </w:r>
      <w:r w:rsidR="00686267">
        <w:t>:</w:t>
      </w:r>
      <w:r>
        <w:t xml:space="preserve"> </w:t>
      </w:r>
      <w:r w:rsidRPr="00B9231E">
        <w:t xml:space="preserve">Efficacy </w:t>
      </w:r>
      <w:r w:rsidR="00BA6A74">
        <w:t>p</w:t>
      </w:r>
      <w:r w:rsidRPr="00B9231E">
        <w:t xml:space="preserve">arameters, </w:t>
      </w:r>
      <w:r w:rsidR="00BA6A74">
        <w:t>o</w:t>
      </w:r>
      <w:r w:rsidR="00BA6A74" w:rsidRPr="00B9231E">
        <w:t xml:space="preserve">riginal </w:t>
      </w:r>
      <w:r w:rsidR="00BA6A74">
        <w:t>analysis; p</w:t>
      </w:r>
      <w:r w:rsidR="00BA6A74" w:rsidRPr="00B9231E">
        <w:t xml:space="preserve">rotective </w:t>
      </w:r>
      <w:r w:rsidR="00BA6A74">
        <w:t>e</w:t>
      </w:r>
      <w:r w:rsidR="00BA6A74" w:rsidRPr="00B9231E">
        <w:t xml:space="preserve">fficacy </w:t>
      </w:r>
      <w:r w:rsidRPr="00B9231E">
        <w:t>(Study 043)</w:t>
      </w:r>
    </w:p>
    <w:p w14:paraId="1D2A3FE9" w14:textId="77777777" w:rsidR="00CE3CBE" w:rsidRDefault="00CE3CBE" w:rsidP="00CE3CBE">
      <w:r w:rsidRPr="00A91C5F">
        <w:rPr>
          <w:noProof/>
          <w:lang w:eastAsia="en-AU"/>
        </w:rPr>
        <w:drawing>
          <wp:inline distT="0" distB="0" distL="0" distR="0" wp14:anchorId="7E5E407D" wp14:editId="22C1AE31">
            <wp:extent cx="5731510" cy="3007624"/>
            <wp:effectExtent l="0" t="0" r="2540" b="2540"/>
            <wp:docPr id="85" name="Picture 85" descr="Efficacy Parameters, Original Analysis – Protective Efficacy (Study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731510" cy="3007624"/>
                    </a:xfrm>
                    <a:prstGeom prst="rect">
                      <a:avLst/>
                    </a:prstGeom>
                    <a:noFill/>
                    <a:ln>
                      <a:noFill/>
                    </a:ln>
                  </pic:spPr>
                </pic:pic>
              </a:graphicData>
            </a:graphic>
          </wp:inline>
        </w:drawing>
      </w:r>
    </w:p>
    <w:p w14:paraId="78E28085" w14:textId="6AFAEBE1" w:rsidR="008A1A1C" w:rsidRPr="005B2850" w:rsidRDefault="008A1A1C" w:rsidP="00ED04EE">
      <w:pPr>
        <w:rPr>
          <w:rFonts w:asciiTheme="minorHAnsi" w:hAnsiTheme="minorHAnsi"/>
        </w:rPr>
      </w:pPr>
      <w:r>
        <w:rPr>
          <w:rFonts w:asciiTheme="minorHAnsi" w:hAnsiTheme="minorHAnsi"/>
        </w:rPr>
        <w:t>A reanalysis of PE was performed to reflect the methodology of the Phase III clinical program (parasit</w:t>
      </w:r>
      <w:r w:rsidR="00AB5A2D">
        <w:rPr>
          <w:rFonts w:asciiTheme="minorHAnsi" w:hAnsiTheme="minorHAnsi"/>
        </w:rPr>
        <w:t>a</w:t>
      </w:r>
      <w:r>
        <w:rPr>
          <w:rFonts w:asciiTheme="minorHAnsi" w:hAnsiTheme="minorHAnsi"/>
        </w:rPr>
        <w:t xml:space="preserve">emia up to 7 days after last study dose). Additionally, PE was recalculated using incidence density, which takes into account the </w:t>
      </w:r>
      <w:r w:rsidRPr="005B2850">
        <w:rPr>
          <w:rFonts w:asciiTheme="minorHAnsi" w:hAnsiTheme="minorHAnsi"/>
        </w:rPr>
        <w:t>duration of exposure to infection of study subjects. Result</w:t>
      </w:r>
      <w:r w:rsidR="00ED04EE" w:rsidRPr="005B2850">
        <w:rPr>
          <w:rFonts w:asciiTheme="minorHAnsi" w:hAnsiTheme="minorHAnsi"/>
        </w:rPr>
        <w:t>s of the reanalysis are summaris</w:t>
      </w:r>
      <w:r w:rsidRPr="005B2850">
        <w:rPr>
          <w:rFonts w:asciiTheme="minorHAnsi" w:hAnsiTheme="minorHAnsi"/>
        </w:rPr>
        <w:t xml:space="preserve">ed in </w:t>
      </w:r>
      <w:r w:rsidR="006B4DC1" w:rsidRPr="005B2850">
        <w:rPr>
          <w:rFonts w:asciiTheme="minorHAnsi" w:hAnsiTheme="minorHAnsi"/>
        </w:rPr>
        <w:t>Table 2</w:t>
      </w:r>
      <w:r w:rsidR="00AA2FE4" w:rsidRPr="005B2850">
        <w:rPr>
          <w:rFonts w:asciiTheme="minorHAnsi" w:hAnsiTheme="minorHAnsi"/>
        </w:rPr>
        <w:t>7</w:t>
      </w:r>
      <w:r w:rsidR="006B4DC1" w:rsidRPr="005B2850">
        <w:rPr>
          <w:rFonts w:asciiTheme="minorHAnsi" w:hAnsiTheme="minorHAnsi"/>
        </w:rPr>
        <w:t xml:space="preserve"> below </w:t>
      </w:r>
      <w:r w:rsidRPr="005B2850">
        <w:rPr>
          <w:rFonts w:asciiTheme="minorHAnsi" w:hAnsiTheme="minorHAnsi"/>
        </w:rPr>
        <w:t xml:space="preserve">and are broadly reflective of the original analysis. </w:t>
      </w:r>
      <w:r w:rsidRPr="005B2850">
        <w:rPr>
          <w:rFonts w:asciiTheme="minorHAnsi" w:eastAsiaTheme="minorHAnsi" w:hAnsiTheme="minorHAnsi"/>
        </w:rPr>
        <w:t>At the end of prophylaxis, the protective efficacy using the modified analysis was comparable in all groups, just 2-3% lower than in the original analysis</w:t>
      </w:r>
      <w:r w:rsidR="00ED04EE" w:rsidRPr="005B2850">
        <w:rPr>
          <w:rFonts w:asciiTheme="minorHAnsi" w:eastAsiaTheme="minorHAnsi" w:hAnsiTheme="minorHAnsi"/>
        </w:rPr>
        <w:t>;</w:t>
      </w:r>
      <w:r w:rsidRPr="005B2850">
        <w:rPr>
          <w:rFonts w:asciiTheme="minorHAnsi" w:eastAsiaTheme="minorHAnsi" w:hAnsiTheme="minorHAnsi"/>
        </w:rPr>
        <w:t xml:space="preserve"> 67.6% (52.5, 79.2) in load-only, 85.6% (72.7, 92.9) in low dose and 88.5% (76.8, 94.6) in high dose groups respectively.</w:t>
      </w:r>
    </w:p>
    <w:p w14:paraId="246954F8" w14:textId="77777777" w:rsidR="008A1A1C" w:rsidRPr="005B2850" w:rsidRDefault="008A1A1C" w:rsidP="00E730B4">
      <w:pPr>
        <w:pStyle w:val="Heading5"/>
        <w:numPr>
          <w:ilvl w:val="3"/>
          <w:numId w:val="7"/>
        </w:numPr>
      </w:pPr>
      <w:r w:rsidRPr="005B2850">
        <w:t>Results for other efficacy outcomes</w:t>
      </w:r>
    </w:p>
    <w:p w14:paraId="77ED823C" w14:textId="77777777" w:rsidR="008A1A1C" w:rsidRDefault="007B0EBB" w:rsidP="00ED04EE">
      <w:r>
        <w:rPr>
          <w:lang w:eastAsia="ja-JP"/>
        </w:rPr>
        <w:t xml:space="preserve">Other efficacy outcome results are shown in </w:t>
      </w:r>
      <w:r w:rsidR="005B2850">
        <w:rPr>
          <w:lang w:eastAsia="ja-JP"/>
        </w:rPr>
        <w:t>Table 2</w:t>
      </w:r>
      <w:r w:rsidR="00AA2FE4" w:rsidRPr="005B2850">
        <w:t>7</w:t>
      </w:r>
      <w:r>
        <w:t xml:space="preserve"> below.</w:t>
      </w:r>
    </w:p>
    <w:p w14:paraId="6DAA3753" w14:textId="7124219D" w:rsidR="006B4DC1" w:rsidRPr="00B9231E" w:rsidRDefault="006B4DC1" w:rsidP="00686267">
      <w:pPr>
        <w:pStyle w:val="Tabletitle"/>
      </w:pPr>
      <w:bookmarkStart w:id="379" w:name="_Ref501288325"/>
      <w:bookmarkStart w:id="380" w:name="_Toc504229447"/>
      <w:bookmarkStart w:id="381" w:name="_Toc501293697"/>
      <w:r>
        <w:t xml:space="preserve">Table </w:t>
      </w:r>
      <w:r w:rsidR="00686267">
        <w:t>2</w:t>
      </w:r>
      <w:r w:rsidR="00AA2FE4">
        <w:t>7</w:t>
      </w:r>
      <w:r w:rsidR="00686267">
        <w:t>:</w:t>
      </w:r>
      <w:bookmarkEnd w:id="379"/>
      <w:r>
        <w:t xml:space="preserve"> </w:t>
      </w:r>
      <w:r w:rsidRPr="00B9231E">
        <w:t xml:space="preserve">Efficacy </w:t>
      </w:r>
      <w:r w:rsidR="00BA6A74">
        <w:t>p</w:t>
      </w:r>
      <w:r w:rsidR="00BA6A74" w:rsidRPr="00B9231E">
        <w:t>arameters</w:t>
      </w:r>
      <w:r w:rsidRPr="00B9231E">
        <w:t xml:space="preserve">, </w:t>
      </w:r>
      <w:r w:rsidR="00BA6A74">
        <w:t>reanalysis; p</w:t>
      </w:r>
      <w:r w:rsidR="00BA6A74" w:rsidRPr="00B9231E">
        <w:t xml:space="preserve">rotective </w:t>
      </w:r>
      <w:r w:rsidR="00BA6A74">
        <w:t>e</w:t>
      </w:r>
      <w:r w:rsidR="00BA6A74" w:rsidRPr="00B9231E">
        <w:t xml:space="preserve">fficacy </w:t>
      </w:r>
      <w:r w:rsidRPr="00B9231E">
        <w:t>(Study 043)</w:t>
      </w:r>
      <w:bookmarkEnd w:id="380"/>
      <w:bookmarkEnd w:id="381"/>
    </w:p>
    <w:p w14:paraId="36194AFD" w14:textId="77777777" w:rsidR="006B4DC1" w:rsidRPr="00467B74" w:rsidRDefault="006B4DC1" w:rsidP="006B4DC1">
      <w:r w:rsidRPr="00A91C5F">
        <w:rPr>
          <w:noProof/>
          <w:lang w:eastAsia="en-AU"/>
        </w:rPr>
        <w:drawing>
          <wp:inline distT="0" distB="0" distL="0" distR="0" wp14:anchorId="39236268" wp14:editId="7B4460F8">
            <wp:extent cx="5731510" cy="2971512"/>
            <wp:effectExtent l="0" t="0" r="2540" b="635"/>
            <wp:docPr id="86" name="Picture 86" descr="Efficacy Parameters, Reanalysis – Protective Efficacy (Study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731510" cy="2971512"/>
                    </a:xfrm>
                    <a:prstGeom prst="rect">
                      <a:avLst/>
                    </a:prstGeom>
                    <a:noFill/>
                    <a:ln>
                      <a:noFill/>
                    </a:ln>
                  </pic:spPr>
                </pic:pic>
              </a:graphicData>
            </a:graphic>
          </wp:inline>
        </w:drawing>
      </w:r>
    </w:p>
    <w:p w14:paraId="035E8BAE" w14:textId="77777777" w:rsidR="008A1A1C" w:rsidRDefault="008A1A1C" w:rsidP="00E730B4">
      <w:pPr>
        <w:pStyle w:val="Heading5"/>
        <w:numPr>
          <w:ilvl w:val="3"/>
          <w:numId w:val="7"/>
        </w:numPr>
      </w:pPr>
      <w:r>
        <w:lastRenderedPageBreak/>
        <w:t>Evaluator commentary</w:t>
      </w:r>
    </w:p>
    <w:p w14:paraId="5D21356D" w14:textId="77777777" w:rsidR="008A1A1C" w:rsidRDefault="008A1A1C" w:rsidP="008A1A1C">
      <w:r>
        <w:t xml:space="preserve">Tafenoquine was demonstrated to be effective as prophylaxis against </w:t>
      </w:r>
      <w:r w:rsidRPr="00ED04EE">
        <w:t>Pf</w:t>
      </w:r>
      <w:r>
        <w:t xml:space="preserve"> infections in this semi-immune subject population. Using a three day loading plus weekly dosing regimen of tafenoquine, PE relative to placebo of 85% to 89% were obtained on 200 mg and 400 mg of tafenoquine over the median 12 week treatment period of the study. This study also found that a </w:t>
      </w:r>
      <w:r w:rsidR="00ED04EE">
        <w:t>3</w:t>
      </w:r>
      <w:r>
        <w:t xml:space="preserve"> day loading dose of 400 mg tafenoquine provided good protection against </w:t>
      </w:r>
      <w:r w:rsidRPr="00ED04EE">
        <w:t xml:space="preserve">Pf </w:t>
      </w:r>
      <w:r>
        <w:t>infection for a period of up to seven weeks after dosing.</w:t>
      </w:r>
    </w:p>
    <w:p w14:paraId="5E0B7EAC" w14:textId="77777777" w:rsidR="008A1A1C" w:rsidRDefault="008A1A1C" w:rsidP="00E730B4">
      <w:pPr>
        <w:pStyle w:val="Heading4"/>
        <w:numPr>
          <w:ilvl w:val="2"/>
          <w:numId w:val="7"/>
        </w:numPr>
      </w:pPr>
      <w:bookmarkStart w:id="382" w:name="_Ref501219828"/>
      <w:r>
        <w:t>Study TQ-2016-02</w:t>
      </w:r>
      <w:bookmarkEnd w:id="382"/>
    </w:p>
    <w:p w14:paraId="7A0771C9" w14:textId="77777777" w:rsidR="008A1A1C" w:rsidRDefault="008A1A1C" w:rsidP="00E730B4">
      <w:pPr>
        <w:pStyle w:val="Heading5"/>
        <w:numPr>
          <w:ilvl w:val="3"/>
          <w:numId w:val="7"/>
        </w:numPr>
      </w:pPr>
      <w:r>
        <w:t>Study design, objectives, locations and dates</w:t>
      </w:r>
    </w:p>
    <w:p w14:paraId="0AA51C0A" w14:textId="77777777" w:rsidR="008A1A1C" w:rsidRDefault="008A1A1C" w:rsidP="00ED04EE">
      <w:r>
        <w:t xml:space="preserve">This was a </w:t>
      </w:r>
      <w:r w:rsidR="00404803">
        <w:t>randomised</w:t>
      </w:r>
      <w:r>
        <w:t xml:space="preserve">, </w:t>
      </w:r>
      <w:r w:rsidR="00404803">
        <w:t>double blind</w:t>
      </w:r>
      <w:r>
        <w:t>ed, placebo</w:t>
      </w:r>
      <w:r w:rsidR="00F1528F">
        <w:t xml:space="preserve"> controlled</w:t>
      </w:r>
      <w:r>
        <w:t xml:space="preserve"> study in healthy, non-immune adults to determine the schizonticidal activity of tafenoquine after challenge with </w:t>
      </w:r>
      <w:r w:rsidR="00ED04EE">
        <w:t xml:space="preserve">Pf </w:t>
      </w:r>
      <w:r>
        <w:t>blood stage parasites. It was conducted between 12 January 2017 and 31 March 2017 in Australia. The primary objective was to evaluate the schizonticidal activity of tafenoquine administered orally against challenge with blood stage Plasmodium falciparum in healthy, non-immune participants.</w:t>
      </w:r>
    </w:p>
    <w:p w14:paraId="7B317463" w14:textId="1E45E980" w:rsidR="008A1A1C" w:rsidRDefault="008A1A1C" w:rsidP="00ED04EE">
      <w:r>
        <w:t xml:space="preserve">Secondary objectives were to </w:t>
      </w:r>
      <w:r w:rsidR="00ED04EE">
        <w:t>characterise</w:t>
      </w:r>
      <w:r>
        <w:t xml:space="preserve"> the PK/PD relationship between tafenoquine concentration and Malaria Failure (defined as a participant with a </w:t>
      </w:r>
      <w:r w:rsidR="00AB5A2D">
        <w:t xml:space="preserve">quantitative polymerase chain-reaction </w:t>
      </w:r>
      <w:r w:rsidR="00BA6A74">
        <w:t>(</w:t>
      </w:r>
      <w:r>
        <w:t>qPCR</w:t>
      </w:r>
      <w:r w:rsidR="00BA6A74">
        <w:t>)</w:t>
      </w:r>
      <w:r>
        <w:t xml:space="preserve"> parasit</w:t>
      </w:r>
      <w:r w:rsidR="00AB5A2D">
        <w:t>a</w:t>
      </w:r>
      <w:r>
        <w:t>emia of &gt; 5,000 asexual blood stage parasites/mL accompanied by clinical symptoms</w:t>
      </w:r>
      <w:r w:rsidR="00BA6A74">
        <w:t>;</w:t>
      </w:r>
      <w:r>
        <w:t xml:space="preserve"> </w:t>
      </w:r>
      <w:r w:rsidR="00BA6A74">
        <w:t>or,</w:t>
      </w:r>
      <w:r>
        <w:t xml:space="preserve"> parasit</w:t>
      </w:r>
      <w:r w:rsidR="00AB5A2D">
        <w:t>a</w:t>
      </w:r>
      <w:r>
        <w:t>emia of &gt; 5,000 asexual blood stage parasites/mL and increasing 2</w:t>
      </w:r>
      <w:r w:rsidR="00ED04EE">
        <w:t xml:space="preserve"> fold</w:t>
      </w:r>
      <w:r>
        <w:t xml:space="preserve"> within 48 hours), and to evaluate the safety and tolerability of tafenoquine in healthy, non-immune participants and following challenge with blood stage Pf.</w:t>
      </w:r>
    </w:p>
    <w:p w14:paraId="334AE21E" w14:textId="7B1B95F5" w:rsidR="008A1A1C" w:rsidRDefault="008A1A1C" w:rsidP="00ED04EE">
      <w:r>
        <w:t>The induced blood stage malaria challenge model was used to assess the schizonticidal activity of tafenoquine against challenge with blood stage P</w:t>
      </w:r>
      <w:r w:rsidR="007B0EBB">
        <w:t>f</w:t>
      </w:r>
      <w:r>
        <w:t xml:space="preserve">. The study population was comprised of 2 cohorts of 8 participants. Within each cohort, participants were </w:t>
      </w:r>
      <w:r w:rsidR="00404803">
        <w:t>randomised</w:t>
      </w:r>
      <w:r>
        <w:t xml:space="preserve"> to receive tafenoquine or placebo </w:t>
      </w:r>
      <w:proofErr w:type="gramStart"/>
      <w:r>
        <w:t>in a 6:2 ratio</w:t>
      </w:r>
      <w:proofErr w:type="gramEnd"/>
      <w:r>
        <w:t>. Data from both cohorts was pooled for the analysis by treatment group at the end of study (EOS). Participants received either tafenoquine 200 mg (two 125 mg tablets of tafenoquine succinate, each equivalent to 100 mg of free base) or placebo. Tafenoquine or placebo was administered once per day via the oral route to participants after their normal breakfast. This occurred for 3 consecutive days (Days 1-</w:t>
      </w:r>
      <w:r w:rsidR="00BA6A74">
        <w:t xml:space="preserve"> to </w:t>
      </w:r>
      <w:r>
        <w:t xml:space="preserve">3, the ‘loading dose’) and was followed, 7 days later, by another 200 mg dose of tafenoquine or placebo (on Day 10). Participants returned to the </w:t>
      </w:r>
      <w:r w:rsidR="00AB5A2D">
        <w:t>Clinical Research Unit (</w:t>
      </w:r>
      <w:r>
        <w:t>CRU</w:t>
      </w:r>
      <w:r w:rsidR="00AB5A2D">
        <w:t>)</w:t>
      </w:r>
      <w:r>
        <w:t xml:space="preserve"> on Day 13 and were inoculated intravenously with erythrocytes containing approximately 2800 viable Pf malaria parasites. Within each cohort, all inoculations occurred within 60 minutes of inoculation of the first participant, and all participants remained at the CRU for at least 60</w:t>
      </w:r>
      <w:r w:rsidR="00BA6A74">
        <w:t> </w:t>
      </w:r>
      <w:r>
        <w:t>minutes post inoculation for observation of any immediate adverse reactions. Thereafter, participants were monitored by telephone call on a daily basis from Day 14 to Day 16. Participants returned to the CRU for daily clinical evaluation and blood sampling for tafenoquine PK and qPCR assessment of parasit</w:t>
      </w:r>
      <w:r w:rsidR="00AB5A2D">
        <w:t>a</w:t>
      </w:r>
      <w:r>
        <w:t>emia. Assessment of parasit</w:t>
      </w:r>
      <w:r w:rsidR="00AB5A2D">
        <w:t>a</w:t>
      </w:r>
      <w:r>
        <w:t>emia occurred from Day 17 until the qPCR demonstrated positivity for malaria, or, if qPCR remained negative, until approximately Day 32.</w:t>
      </w:r>
    </w:p>
    <w:p w14:paraId="5AD15EF5" w14:textId="0EA0D34D" w:rsidR="008A1A1C" w:rsidRDefault="008A1A1C" w:rsidP="00ED04EE">
      <w:r>
        <w:t>Following demonstration of positivity by qPCR, participants were to attend twice daily visits to the CRU for clinical assessment and blood sampling for qPCR. If qPCR results were negative over a 48 hour period or &lt;5000 asexual blood stage parasites/mL and stable, then subsequent qPCR sampling reverted to 3 times per week until commencement of Riamet treatment</w:t>
      </w:r>
      <w:r w:rsidR="00AB5A2D">
        <w:t xml:space="preserve"> (20 mg artemether/120 mg lumefantrine)</w:t>
      </w:r>
      <w:r>
        <w:t>, with scheduling made at the Investigator’s discretion. The results of the clinical evaluation and qPCR were used to ascertain attainment of the treatment threshold for initiation of early Riamet therapy.</w:t>
      </w:r>
    </w:p>
    <w:p w14:paraId="2D34B07A" w14:textId="77777777" w:rsidR="008A1A1C" w:rsidRDefault="008A1A1C" w:rsidP="00E730B4">
      <w:pPr>
        <w:pStyle w:val="Heading5"/>
        <w:numPr>
          <w:ilvl w:val="3"/>
          <w:numId w:val="7"/>
        </w:numPr>
      </w:pPr>
      <w:r>
        <w:t>Inclusion and exclusion criteria</w:t>
      </w:r>
    </w:p>
    <w:p w14:paraId="5962F922" w14:textId="77777777" w:rsidR="008A1A1C" w:rsidRDefault="008A1A1C" w:rsidP="00ED04EE">
      <w:pPr>
        <w:rPr>
          <w:lang w:eastAsia="ja-JP"/>
        </w:rPr>
      </w:pPr>
      <w:r>
        <w:t>Healthy men and women aged 18 to 55 years, with no previous history of exposure to malaria infection.</w:t>
      </w:r>
    </w:p>
    <w:p w14:paraId="44FC6BC3" w14:textId="77777777" w:rsidR="008A1A1C" w:rsidRDefault="008A1A1C" w:rsidP="00E730B4">
      <w:pPr>
        <w:pStyle w:val="Heading5"/>
        <w:numPr>
          <w:ilvl w:val="3"/>
          <w:numId w:val="7"/>
        </w:numPr>
      </w:pPr>
      <w:r>
        <w:lastRenderedPageBreak/>
        <w:t>Study treatments</w:t>
      </w:r>
    </w:p>
    <w:p w14:paraId="22BEEC96" w14:textId="4AD6D71C" w:rsidR="00F1528F" w:rsidRDefault="008A1A1C" w:rsidP="008A1A1C">
      <w:r>
        <w:t xml:space="preserve">The treatment group received tafenoquine 200 mg (two 125 mg tablets of tafenoquine succinate, each equivalent to 100 mg of free base) daily on </w:t>
      </w:r>
      <w:r w:rsidR="00ED04EE">
        <w:t>D</w:t>
      </w:r>
      <w:r>
        <w:t>ays 1</w:t>
      </w:r>
      <w:r w:rsidR="00BA6A74">
        <w:t xml:space="preserve"> to </w:t>
      </w:r>
      <w:r>
        <w:t xml:space="preserve">3, then again on </w:t>
      </w:r>
      <w:r w:rsidR="00ED04EE">
        <w:t>D</w:t>
      </w:r>
      <w:r>
        <w:t>ay 10. The control group received placebo.</w:t>
      </w:r>
    </w:p>
    <w:p w14:paraId="1186FAAE" w14:textId="23B955E8" w:rsidR="008A1A1C" w:rsidRDefault="008A1A1C" w:rsidP="00ED04EE">
      <w:r>
        <w:t>All participants received a standard course of antimalarial therapy with Riamet on Day 32 or earlier in the event of Malaria Failu</w:t>
      </w:r>
      <w:r w:rsidR="00ED04EE">
        <w:t>re or at the discretion of the i</w:t>
      </w:r>
      <w:r>
        <w:t>nvestigator. If required for clearance of gametocytes, Primacin (primaquine) 45 mg was to be administered as a single oral dose at the time of Riamet treatment.</w:t>
      </w:r>
    </w:p>
    <w:p w14:paraId="024BA3EE" w14:textId="77777777" w:rsidR="008A1A1C" w:rsidRDefault="008A1A1C" w:rsidP="00E730B4">
      <w:pPr>
        <w:pStyle w:val="Heading5"/>
        <w:numPr>
          <w:ilvl w:val="3"/>
          <w:numId w:val="7"/>
        </w:numPr>
      </w:pPr>
      <w:r>
        <w:t xml:space="preserve">Efficacy variables and </w:t>
      </w:r>
      <w:r w:rsidRPr="00ED04EE">
        <w:t>outcomes</w:t>
      </w:r>
    </w:p>
    <w:p w14:paraId="2ADC9636" w14:textId="77777777" w:rsidR="00E730B4" w:rsidRDefault="008A1A1C" w:rsidP="00E730B4">
      <w:pPr>
        <w:pStyle w:val="ListBullet"/>
      </w:pPr>
      <w:r>
        <w:t>The ability of tafenoquine to prevent symptomatic malaria and parasitemia in a cont</w:t>
      </w:r>
      <w:r w:rsidR="00E730B4">
        <w:t>rolled malaria challenge study.</w:t>
      </w:r>
    </w:p>
    <w:p w14:paraId="6B7B6AA9" w14:textId="77777777" w:rsidR="008A1A1C" w:rsidRDefault="008A1A1C" w:rsidP="00E730B4">
      <w:pPr>
        <w:pStyle w:val="ListBullet"/>
      </w:pPr>
      <w:r>
        <w:t>Secondary outcomes were PK and safety</w:t>
      </w:r>
      <w:r w:rsidR="00ED04EE">
        <w:t>.</w:t>
      </w:r>
    </w:p>
    <w:p w14:paraId="78B7CC74" w14:textId="77777777" w:rsidR="008A1A1C" w:rsidRDefault="008A1A1C" w:rsidP="00E730B4">
      <w:pPr>
        <w:pStyle w:val="Heading5"/>
        <w:numPr>
          <w:ilvl w:val="3"/>
          <w:numId w:val="7"/>
        </w:numPr>
      </w:pPr>
      <w:r>
        <w:t>Randomisation and blinding methods</w:t>
      </w:r>
    </w:p>
    <w:p w14:paraId="3E2B701B" w14:textId="53BE2BFB" w:rsidR="008A1A1C" w:rsidRDefault="008A1A1C" w:rsidP="00ED04EE">
      <w:pPr>
        <w:rPr>
          <w:lang w:eastAsia="ja-JP"/>
        </w:rPr>
      </w:pPr>
      <w:r>
        <w:rPr>
          <w:lang w:eastAsia="ja-JP"/>
        </w:rPr>
        <w:t xml:space="preserve">This was done electronically according to the </w:t>
      </w:r>
      <w:r w:rsidR="00BA6A74">
        <w:rPr>
          <w:lang w:eastAsia="ja-JP"/>
        </w:rPr>
        <w:t>randomisation plan</w:t>
      </w:r>
      <w:r>
        <w:rPr>
          <w:lang w:eastAsia="ja-JP"/>
        </w:rPr>
        <w:t>.</w:t>
      </w:r>
    </w:p>
    <w:p w14:paraId="2378A04A" w14:textId="77777777" w:rsidR="008A1A1C" w:rsidRDefault="008A1A1C" w:rsidP="00E730B4">
      <w:pPr>
        <w:pStyle w:val="Heading5"/>
        <w:numPr>
          <w:ilvl w:val="3"/>
          <w:numId w:val="7"/>
        </w:numPr>
      </w:pPr>
      <w:r>
        <w:t>Analysis populations</w:t>
      </w:r>
    </w:p>
    <w:p w14:paraId="65AA009C" w14:textId="77777777" w:rsidR="008A1A1C" w:rsidRDefault="008A1A1C" w:rsidP="008A1A1C">
      <w:r>
        <w:t>The following analysis populations were defined for the study:</w:t>
      </w:r>
    </w:p>
    <w:p w14:paraId="45E656AF" w14:textId="77777777" w:rsidR="008A1A1C" w:rsidRDefault="008A1A1C" w:rsidP="00ED04EE">
      <w:pPr>
        <w:pStyle w:val="ListBullet"/>
      </w:pPr>
      <w:r>
        <w:t>Safety population: All participants who received study treatment at least once or inoculum were included in the safety population. Participants were analysed as treated. This was the primary population for safety and tolerability analyses.</w:t>
      </w:r>
    </w:p>
    <w:p w14:paraId="309854A3" w14:textId="77777777" w:rsidR="008A1A1C" w:rsidRDefault="008A1A1C" w:rsidP="00ED04EE">
      <w:pPr>
        <w:pStyle w:val="ListBullet"/>
      </w:pPr>
      <w:r>
        <w:t xml:space="preserve">ITT population (analysed as treated): The ITT population consisted of all </w:t>
      </w:r>
      <w:r w:rsidR="00404803">
        <w:t>randomised</w:t>
      </w:r>
      <w:r>
        <w:t xml:space="preserve"> participants who received at least one dose of study treatment, the inoculum and those who had at least one post-inoculum evaluation from Day 20 to Day 34.</w:t>
      </w:r>
    </w:p>
    <w:p w14:paraId="5EF3BB9E" w14:textId="77777777" w:rsidR="008A1A1C" w:rsidRDefault="008A1A1C" w:rsidP="00ED04EE">
      <w:pPr>
        <w:pStyle w:val="ListBullet"/>
      </w:pPr>
      <w:r>
        <w:t>PP population (analysed as treated): All participants who received study treatment from Days 1-3 and again at Day 10, who had baseline evaluations conducted on Day 1 prior to IMP administration, who received inoculum on Day 13 and completed all malaria monitoring visits from Day 17 to the EOS visit (Day 34 ± 2 days) and who had no major protocol deviations. This was the primary population for the primary efficacy endpoint analysis.</w:t>
      </w:r>
    </w:p>
    <w:p w14:paraId="47718466" w14:textId="77777777" w:rsidR="008A1A1C" w:rsidRDefault="008A1A1C" w:rsidP="00E730B4">
      <w:pPr>
        <w:pStyle w:val="Heading5"/>
        <w:numPr>
          <w:ilvl w:val="3"/>
          <w:numId w:val="7"/>
        </w:numPr>
      </w:pPr>
      <w:r>
        <w:t>Sample size</w:t>
      </w:r>
    </w:p>
    <w:p w14:paraId="68F11B63" w14:textId="77777777" w:rsidR="008A1A1C" w:rsidRDefault="008A1A1C" w:rsidP="00ED04EE">
      <w:pPr>
        <w:pStyle w:val="ListBullet"/>
        <w:rPr>
          <w:lang w:eastAsia="ja-JP"/>
        </w:rPr>
      </w:pPr>
      <w:r>
        <w:rPr>
          <w:lang w:eastAsia="ja-JP"/>
        </w:rPr>
        <w:t>Sixteen healthy volunteers between 18-65 years.</w:t>
      </w:r>
    </w:p>
    <w:p w14:paraId="04B4991C" w14:textId="77777777" w:rsidR="008A1A1C" w:rsidRDefault="008A1A1C" w:rsidP="00E730B4">
      <w:pPr>
        <w:pStyle w:val="Heading5"/>
        <w:numPr>
          <w:ilvl w:val="3"/>
          <w:numId w:val="7"/>
        </w:numPr>
      </w:pPr>
      <w:r>
        <w:t>Statistical methods</w:t>
      </w:r>
    </w:p>
    <w:p w14:paraId="1F62691E" w14:textId="77777777" w:rsidR="008A1A1C" w:rsidRDefault="008A1A1C" w:rsidP="00ED04EE">
      <w:r>
        <w:t>For categorical/discrete variables, the population size (N for sample size and n for available data) and the percentage (of available data) for each class of the variable was presented. Co</w:t>
      </w:r>
      <w:r w:rsidR="00ED04EE">
        <w:t>ntinuous variables were summaris</w:t>
      </w:r>
      <w:r>
        <w:t>ed using descriptive statistics, including n, mean, standard deviation (SD), median, minimum, and maximum values. Geometric mean and coefficient of variation (%CV) were included for PK parameters, where appropriate.</w:t>
      </w:r>
    </w:p>
    <w:p w14:paraId="1D67623E" w14:textId="77777777" w:rsidR="00F1528F" w:rsidRDefault="008A1A1C" w:rsidP="00E730B4">
      <w:pPr>
        <w:pStyle w:val="Heading5"/>
        <w:numPr>
          <w:ilvl w:val="3"/>
          <w:numId w:val="7"/>
        </w:numPr>
      </w:pPr>
      <w:r>
        <w:t>Participant flow</w:t>
      </w:r>
    </w:p>
    <w:p w14:paraId="22309CCC" w14:textId="77777777" w:rsidR="008A1A1C" w:rsidRDefault="008A1A1C" w:rsidP="00ED04EE">
      <w:pPr>
        <w:rPr>
          <w:lang w:eastAsia="ja-JP"/>
        </w:rPr>
      </w:pPr>
      <w:r>
        <w:rPr>
          <w:lang w:eastAsia="ja-JP"/>
        </w:rPr>
        <w:t xml:space="preserve">All </w:t>
      </w:r>
      <w:r w:rsidR="007B0EBB">
        <w:rPr>
          <w:lang w:eastAsia="ja-JP"/>
        </w:rPr>
        <w:t xml:space="preserve">participants </w:t>
      </w:r>
      <w:r>
        <w:rPr>
          <w:lang w:eastAsia="ja-JP"/>
        </w:rPr>
        <w:t>completed</w:t>
      </w:r>
      <w:r w:rsidR="007B0EBB">
        <w:rPr>
          <w:lang w:eastAsia="ja-JP"/>
        </w:rPr>
        <w:t xml:space="preserve"> the study</w:t>
      </w:r>
      <w:r>
        <w:rPr>
          <w:lang w:eastAsia="ja-JP"/>
        </w:rPr>
        <w:t>.</w:t>
      </w:r>
    </w:p>
    <w:p w14:paraId="3DFC0165" w14:textId="77777777" w:rsidR="008A1A1C" w:rsidRDefault="008A1A1C" w:rsidP="00E730B4">
      <w:pPr>
        <w:pStyle w:val="Heading5"/>
        <w:numPr>
          <w:ilvl w:val="3"/>
          <w:numId w:val="7"/>
        </w:numPr>
      </w:pPr>
      <w:r>
        <w:t>Major protocol violations/deviations</w:t>
      </w:r>
    </w:p>
    <w:p w14:paraId="07CE5DE1" w14:textId="6386D3DB" w:rsidR="008A1A1C" w:rsidRDefault="008A1A1C" w:rsidP="00ED04EE">
      <w:pPr>
        <w:rPr>
          <w:lang w:eastAsia="ja-JP"/>
        </w:rPr>
      </w:pPr>
      <w:r>
        <w:rPr>
          <w:lang w:eastAsia="ja-JP"/>
        </w:rPr>
        <w:t>None</w:t>
      </w:r>
      <w:r w:rsidR="00AB5A2D">
        <w:rPr>
          <w:lang w:eastAsia="ja-JP"/>
        </w:rPr>
        <w:t xml:space="preserve"> reported</w:t>
      </w:r>
      <w:r>
        <w:rPr>
          <w:lang w:eastAsia="ja-JP"/>
        </w:rPr>
        <w:t>.</w:t>
      </w:r>
    </w:p>
    <w:p w14:paraId="12F44095" w14:textId="77777777" w:rsidR="008A1A1C" w:rsidRDefault="008A1A1C" w:rsidP="00E730B4">
      <w:pPr>
        <w:pStyle w:val="Heading5"/>
        <w:numPr>
          <w:ilvl w:val="3"/>
          <w:numId w:val="7"/>
        </w:numPr>
      </w:pPr>
      <w:r>
        <w:t>Baseline data</w:t>
      </w:r>
    </w:p>
    <w:p w14:paraId="3F5E3E50" w14:textId="77777777" w:rsidR="008A1A1C" w:rsidRDefault="008A1A1C" w:rsidP="00ED04EE">
      <w:pPr>
        <w:rPr>
          <w:lang w:eastAsia="ja-JP"/>
        </w:rPr>
      </w:pPr>
      <w:r>
        <w:rPr>
          <w:lang w:eastAsia="ja-JP"/>
        </w:rPr>
        <w:t>The study population was comprised of 2 cohorts of 8 participants each to facilitate the safety and the logistics of participant inoculation and sample analysis at the CRU.</w:t>
      </w:r>
    </w:p>
    <w:p w14:paraId="1D896705" w14:textId="77777777" w:rsidR="008A1A1C" w:rsidRDefault="008A1A1C" w:rsidP="00E730B4">
      <w:pPr>
        <w:pStyle w:val="Heading5"/>
        <w:numPr>
          <w:ilvl w:val="3"/>
          <w:numId w:val="7"/>
        </w:numPr>
      </w:pPr>
      <w:r>
        <w:lastRenderedPageBreak/>
        <w:t>Results for the primary efficacy outcome</w:t>
      </w:r>
    </w:p>
    <w:p w14:paraId="3B41EA22" w14:textId="287E72CF" w:rsidR="008A1A1C" w:rsidRDefault="008A1A1C" w:rsidP="008A1A1C">
      <w:r>
        <w:t xml:space="preserve">Administration of a loading dose of 200 mg tafenoquine, once daily for 3 days, followed a week later by a 200 mg post-loading dose, was completely effective in preventing symptomatic blood-stage infection following inoculation of non-immune, healthy volunteers with approximately 2800 Pf blood stage parasites in the </w:t>
      </w:r>
      <w:r w:rsidR="00AB5A2D">
        <w:t xml:space="preserve">Induced Blood Stage </w:t>
      </w:r>
      <w:r w:rsidR="00CF5454">
        <w:t>Malaria (</w:t>
      </w:r>
      <w:r>
        <w:t>IBSM</w:t>
      </w:r>
      <w:r w:rsidR="00CF5454">
        <w:t>)</w:t>
      </w:r>
      <w:r>
        <w:t xml:space="preserve"> challenge model. In contrast to the placebo group, tafenoquine treated participants remained clear of blood-stage parasites for the duration of the study</w:t>
      </w:r>
      <w:r w:rsidR="0033513F">
        <w:rPr>
          <w:rStyle w:val="FootnoteReference"/>
        </w:rPr>
        <w:footnoteReference w:id="11"/>
      </w:r>
      <w:r>
        <w:t xml:space="preserve">. Tafenoquine demonstrated significant schizonticidal activity in non-immune participants with no occurrences of </w:t>
      </w:r>
      <w:r w:rsidR="00BA6A74">
        <w:t>malaria failure</w:t>
      </w:r>
      <w:r>
        <w:t xml:space="preserve">, compared to 100.0% </w:t>
      </w:r>
      <w:r w:rsidR="00BA6A74">
        <w:t xml:space="preserve">malaria failure </w:t>
      </w:r>
      <w:r>
        <w:t>among participants administered placebo (</w:t>
      </w:r>
      <w:r w:rsidR="00686267">
        <w:t>Table 2</w:t>
      </w:r>
      <w:r w:rsidR="00AA2FE4">
        <w:t>8</w:t>
      </w:r>
      <w:r>
        <w:t xml:space="preserve">). The observed difference in the proportion of participants experiencing </w:t>
      </w:r>
      <w:r w:rsidR="00BA6A74">
        <w:t xml:space="preserve">malaria failure </w:t>
      </w:r>
      <w:r>
        <w:t xml:space="preserve">between the tafenoquine and placebo groups was highly statistically significant (Fisher's </w:t>
      </w:r>
      <w:r w:rsidR="00BA6A74">
        <w:t xml:space="preserve">exact test </w:t>
      </w:r>
      <w:r>
        <w:t xml:space="preserve">p=0.0005). Based on no occurrences of </w:t>
      </w:r>
      <w:r w:rsidR="00BA6A74">
        <w:t xml:space="preserve">malaria failure </w:t>
      </w:r>
      <w:r>
        <w:t>with tafenoquine, the PE of active treatment was determined to be 100.0 %.</w:t>
      </w:r>
    </w:p>
    <w:p w14:paraId="6ABFE07B" w14:textId="2DC995FE" w:rsidR="006B4DC1" w:rsidRPr="00B9231E" w:rsidRDefault="006B4DC1" w:rsidP="00686267">
      <w:pPr>
        <w:pStyle w:val="Tabletitle"/>
      </w:pPr>
      <w:bookmarkStart w:id="383" w:name="_Ref501288486"/>
      <w:bookmarkStart w:id="384" w:name="_Toc504229448"/>
      <w:bookmarkStart w:id="385" w:name="_Toc501293698"/>
      <w:r>
        <w:t>Table</w:t>
      </w:r>
      <w:r w:rsidR="00686267">
        <w:t xml:space="preserve"> 2</w:t>
      </w:r>
      <w:r w:rsidR="00AA2FE4">
        <w:t>8</w:t>
      </w:r>
      <w:r w:rsidR="00686267">
        <w:t>:</w:t>
      </w:r>
      <w:bookmarkEnd w:id="383"/>
      <w:r>
        <w:t xml:space="preserve"> </w:t>
      </w:r>
      <w:r w:rsidRPr="00B9231E">
        <w:t xml:space="preserve">Efficacy </w:t>
      </w:r>
      <w:r w:rsidR="00BA6A74">
        <w:t>r</w:t>
      </w:r>
      <w:r w:rsidRPr="00B9231E">
        <w:t>esults</w:t>
      </w:r>
      <w:r w:rsidR="00BA6A74">
        <w:t xml:space="preserve">; </w:t>
      </w:r>
      <w:r w:rsidRPr="00B9231E">
        <w:t>Study TQ-2016-02</w:t>
      </w:r>
      <w:bookmarkEnd w:id="384"/>
      <w:bookmarkEnd w:id="385"/>
    </w:p>
    <w:p w14:paraId="5E13CF7C" w14:textId="77777777" w:rsidR="006B4DC1" w:rsidRDefault="006B4DC1" w:rsidP="006B4DC1">
      <w:r w:rsidRPr="004D64B0">
        <w:rPr>
          <w:noProof/>
          <w:lang w:eastAsia="en-AU"/>
        </w:rPr>
        <w:drawing>
          <wp:inline distT="0" distB="0" distL="0" distR="0" wp14:anchorId="44B0B172" wp14:editId="0948FBC3">
            <wp:extent cx="5731510" cy="1460765"/>
            <wp:effectExtent l="0" t="0" r="2540" b="6350"/>
            <wp:docPr id="76" name="Picture 76" descr="Efficacy Results – Study TQ-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731510" cy="1460765"/>
                    </a:xfrm>
                    <a:prstGeom prst="rect">
                      <a:avLst/>
                    </a:prstGeom>
                    <a:noFill/>
                    <a:ln>
                      <a:noFill/>
                    </a:ln>
                  </pic:spPr>
                </pic:pic>
              </a:graphicData>
            </a:graphic>
          </wp:inline>
        </w:drawing>
      </w:r>
    </w:p>
    <w:p w14:paraId="390BAB1A" w14:textId="5D376461" w:rsidR="008A1A1C" w:rsidRDefault="008A1A1C" w:rsidP="008A1A1C">
      <w:r>
        <w:t>The IBSM challenge model performed as expected with the predicted parasit</w:t>
      </w:r>
      <w:r w:rsidR="00CF5454">
        <w:t>a</w:t>
      </w:r>
      <w:r>
        <w:t>emia profile in all placebo participants following inoculation on Day 13. The clinical scores observed were consistent with the parasit</w:t>
      </w:r>
      <w:r w:rsidR="00CF5454">
        <w:t>a</w:t>
      </w:r>
      <w:r>
        <w:t>emia data. Evaluation of the signs and symptoms of malaria by the malaria clinical score in these symptomatic placebo participants reflected the observed parasit</w:t>
      </w:r>
      <w:r w:rsidR="00CF5454">
        <w:t>a</w:t>
      </w:r>
      <w:r>
        <w:t>emia profile in this treatment group, as detected by qPCR, both before and after rescue with Riamet.</w:t>
      </w:r>
    </w:p>
    <w:p w14:paraId="0FAFE33C" w14:textId="77777777" w:rsidR="008A1A1C" w:rsidRDefault="008A1A1C" w:rsidP="00E730B4">
      <w:pPr>
        <w:pStyle w:val="Heading5"/>
        <w:numPr>
          <w:ilvl w:val="3"/>
          <w:numId w:val="7"/>
        </w:numPr>
      </w:pPr>
      <w:r>
        <w:t>Results for other efficacy outcomes</w:t>
      </w:r>
    </w:p>
    <w:p w14:paraId="69AD1FA7" w14:textId="3112C311" w:rsidR="008A1A1C" w:rsidRDefault="00BA6A74" w:rsidP="008A1A1C">
      <w:pPr>
        <w:rPr>
          <w:lang w:eastAsia="ja-JP"/>
        </w:rPr>
      </w:pPr>
      <w:r>
        <w:rPr>
          <w:lang w:eastAsia="ja-JP"/>
        </w:rPr>
        <w:t>Not applicable.</w:t>
      </w:r>
    </w:p>
    <w:p w14:paraId="31A445FA" w14:textId="77777777" w:rsidR="008A1A1C" w:rsidRDefault="008A1A1C" w:rsidP="00E730B4">
      <w:pPr>
        <w:pStyle w:val="Heading5"/>
        <w:numPr>
          <w:ilvl w:val="3"/>
          <w:numId w:val="7"/>
        </w:numPr>
      </w:pPr>
      <w:r>
        <w:t>Evaluator commentary</w:t>
      </w:r>
    </w:p>
    <w:p w14:paraId="061D486A" w14:textId="77777777" w:rsidR="008A1A1C" w:rsidRDefault="008A1A1C" w:rsidP="00ED04EE">
      <w:r>
        <w:t xml:space="preserve">Administration of an oral tafenoquine loading dose of 200 mg once daily for 3 days, followed a week later by a 200 mg post-loading dose, was efficacious and well tolerated in this study population. The tafenoquine steady state drug concentrations achieved with the dosing regimen were completely effective (100.0% PE) against challenge with approximately 2800 Pf blood stage parasites in the IBSM model in healthy, non-immune adult participants. The results of this study suggest that after challenge in the field by Pf sporozoites, parasites that escape </w:t>
      </w:r>
      <w:r w:rsidR="00E730B4">
        <w:t xml:space="preserve">parasiticidal activity of </w:t>
      </w:r>
      <w:r>
        <w:t>tafenoquine in the liver will be killed by tafenoquine in the blood.</w:t>
      </w:r>
    </w:p>
    <w:p w14:paraId="2C6FADA7" w14:textId="77777777" w:rsidR="008A1A1C" w:rsidRDefault="008A1A1C" w:rsidP="00FB2482">
      <w:pPr>
        <w:pStyle w:val="Heading3"/>
      </w:pPr>
      <w:bookmarkStart w:id="386" w:name="_Toc501809151"/>
      <w:bookmarkStart w:id="387" w:name="_Toc504229377"/>
      <w:bookmarkStart w:id="388" w:name="_Toc12520289"/>
      <w:r>
        <w:t>Other efficacy studies</w:t>
      </w:r>
      <w:bookmarkEnd w:id="386"/>
      <w:bookmarkEnd w:id="387"/>
      <w:bookmarkEnd w:id="388"/>
    </w:p>
    <w:p w14:paraId="53659A69" w14:textId="77777777" w:rsidR="008A1A1C" w:rsidRDefault="008A1A1C" w:rsidP="00E730B4">
      <w:pPr>
        <w:pStyle w:val="Heading4"/>
        <w:numPr>
          <w:ilvl w:val="2"/>
          <w:numId w:val="7"/>
        </w:numPr>
      </w:pPr>
      <w:r>
        <w:t>Study 058</w:t>
      </w:r>
    </w:p>
    <w:p w14:paraId="7BE19791" w14:textId="37D5D8B5" w:rsidR="008A1A1C" w:rsidRDefault="008A1A1C" w:rsidP="00785076">
      <w:r>
        <w:t xml:space="preserve">This study was conducted to evaluate the efficacy and safety of tafenoquine for the treatment of </w:t>
      </w:r>
      <w:proofErr w:type="gramStart"/>
      <w:r>
        <w:t>Pv</w:t>
      </w:r>
      <w:proofErr w:type="gramEnd"/>
      <w:r>
        <w:t xml:space="preserve"> in adults. It was conducted in one centre in Thailand between 16 September 2003 </w:t>
      </w:r>
      <w:r w:rsidR="00E730B4">
        <w:t>and</w:t>
      </w:r>
      <w:r>
        <w:t xml:space="preserve"> </w:t>
      </w:r>
      <w:r>
        <w:lastRenderedPageBreak/>
        <w:t>10</w:t>
      </w:r>
      <w:r w:rsidR="00BA6A74">
        <w:t> </w:t>
      </w:r>
      <w:r>
        <w:t>January 2005. The primary objective was to assess whether a single 600 mg dose or 400</w:t>
      </w:r>
      <w:r w:rsidR="00BA6A74">
        <w:t> </w:t>
      </w:r>
      <w:r>
        <w:t xml:space="preserve">mg/day for three days of tafenoquine alone could clear/cure </w:t>
      </w:r>
      <w:proofErr w:type="gramStart"/>
      <w:r>
        <w:t>Pv</w:t>
      </w:r>
      <w:proofErr w:type="gramEnd"/>
      <w:r>
        <w:t xml:space="preserve"> blood stage infections. The</w:t>
      </w:r>
      <w:r w:rsidR="008A2A93">
        <w:t> </w:t>
      </w:r>
      <w:r>
        <w:t>600 mg dose was planned for Cohort 2 which never eventuated.</w:t>
      </w:r>
    </w:p>
    <w:p w14:paraId="18808552" w14:textId="77777777" w:rsidR="008A1A1C" w:rsidRDefault="008A1A1C" w:rsidP="007B0EBB">
      <w:pPr>
        <w:pStyle w:val="Heading5"/>
      </w:pPr>
      <w:r w:rsidRPr="00785076">
        <w:t>Secondary Objectives</w:t>
      </w:r>
    </w:p>
    <w:p w14:paraId="15876725" w14:textId="77777777" w:rsidR="008A1A1C" w:rsidRDefault="008A1A1C" w:rsidP="00785076">
      <w:pPr>
        <w:pStyle w:val="ListBullet"/>
      </w:pPr>
      <w:r>
        <w:t xml:space="preserve">To assess whether a 400 mg/day for three days of tafenoquine alone could prevent </w:t>
      </w:r>
      <w:proofErr w:type="gramStart"/>
      <w:r>
        <w:t>Pv</w:t>
      </w:r>
      <w:proofErr w:type="gramEnd"/>
      <w:r>
        <w:t xml:space="preserve"> relapse for two, three, and four months.</w:t>
      </w:r>
    </w:p>
    <w:p w14:paraId="068CAD71" w14:textId="69E500B4" w:rsidR="008A1A1C" w:rsidRDefault="008A1A1C" w:rsidP="00785076">
      <w:pPr>
        <w:pStyle w:val="ListBullet"/>
      </w:pPr>
      <w:r>
        <w:t xml:space="preserve">Determination </w:t>
      </w:r>
      <w:r w:rsidR="00BA6A74">
        <w:t>of parasite, gametocyte, and fever clearance time</w:t>
      </w:r>
      <w:r>
        <w:t xml:space="preserve"> (PCT, GCT and FCT).</w:t>
      </w:r>
    </w:p>
    <w:p w14:paraId="5DE687F7" w14:textId="77777777" w:rsidR="008A1A1C" w:rsidRDefault="008A1A1C" w:rsidP="00785076">
      <w:pPr>
        <w:pStyle w:val="ListBullet"/>
      </w:pPr>
      <w:r>
        <w:t>To establish the safety and tolerability of these doses of tafenoquine.</w:t>
      </w:r>
    </w:p>
    <w:p w14:paraId="6FFAE63E" w14:textId="77777777" w:rsidR="008A1A1C" w:rsidRDefault="008A1A1C" w:rsidP="00785076">
      <w:pPr>
        <w:pStyle w:val="ListBullet"/>
      </w:pPr>
      <w:r>
        <w:t xml:space="preserve">To </w:t>
      </w:r>
      <w:r w:rsidR="00ED04EE">
        <w:t>characterise</w:t>
      </w:r>
      <w:r>
        <w:t xml:space="preserve"> the population PK of tafenoquine.</w:t>
      </w:r>
    </w:p>
    <w:p w14:paraId="075FDEB9" w14:textId="77777777" w:rsidR="007B0EBB" w:rsidRDefault="008A1A1C" w:rsidP="007B0EBB">
      <w:pPr>
        <w:pStyle w:val="Heading5"/>
      </w:pPr>
      <w:r w:rsidRPr="00785076">
        <w:t>Methodolog</w:t>
      </w:r>
      <w:r w:rsidR="007B0EBB">
        <w:t>y</w:t>
      </w:r>
    </w:p>
    <w:p w14:paraId="03F01EFA" w14:textId="77777777" w:rsidR="008A1A1C" w:rsidRDefault="008A1A1C" w:rsidP="008A1A1C">
      <w:r>
        <w:t xml:space="preserve">This was a </w:t>
      </w:r>
      <w:r w:rsidR="00785076">
        <w:t>P</w:t>
      </w:r>
      <w:r>
        <w:t xml:space="preserve">hase </w:t>
      </w:r>
      <w:r w:rsidR="00785076">
        <w:t>II</w:t>
      </w:r>
      <w:r>
        <w:t xml:space="preserve"> randomised, active-control, </w:t>
      </w:r>
      <w:r w:rsidR="00404803">
        <w:t>double blind</w:t>
      </w:r>
      <w:r>
        <w:t xml:space="preserve">, </w:t>
      </w:r>
      <w:r w:rsidR="00785076">
        <w:t xml:space="preserve">double </w:t>
      </w:r>
      <w:r>
        <w:t>dummy study to be conducted in two sequential cohorts. The primary endpoint of the study was not met, and Cohort 2 was abandoned.</w:t>
      </w:r>
    </w:p>
    <w:p w14:paraId="2DE1000A" w14:textId="66EB3B2A" w:rsidR="008A1A1C" w:rsidRDefault="008A1A1C" w:rsidP="008A1A1C">
      <w:r>
        <w:t>A planned interim analysis was performed after all subjects in Cohort 1 had completed the Day 28 assessment and an IDMC convened to evaluate the efficacy and safety of the tafenoquine dosing regimen (400 mg tafenoquine once per day for 3 days) used in Cohort 1. Only if the results from Cohort 1 met pre-defined efficacy and safety criteria, was enrolment to begin for Cohort 2. The efficacy criterion for achieving the primary endpoint was that the lower limit of the one-sided 95% CI (</w:t>
      </w:r>
      <w:r w:rsidR="00785076">
        <w:t>that is,</w:t>
      </w:r>
      <w:r>
        <w:t xml:space="preserve"> 2-sided 90%), was no less than 85%, and for safety that a review of trends in all AEs, tolerability, medical observations, meth</w:t>
      </w:r>
      <w:r w:rsidR="00CF5454">
        <w:t>a</w:t>
      </w:r>
      <w:r>
        <w:t>emoglobin and other lab data for all subjects indicated the dose to be well tolerated.</w:t>
      </w:r>
    </w:p>
    <w:p w14:paraId="2BCB4159" w14:textId="77777777" w:rsidR="008A1A1C" w:rsidRDefault="008A1A1C" w:rsidP="008A1A1C">
      <w:r>
        <w:t>Subjects enrolle</w:t>
      </w:r>
      <w:r w:rsidR="00785076">
        <w:t>d into the study were hospitalis</w:t>
      </w:r>
      <w:r>
        <w:t>ed at the Bangkok Hospital for Tropical Diseases for the first 29 days of the study and were asked to remain in a malaria non-endemic area until 90 days after the start of the study for follow-up with scheduled assessments at Days 60 and 90. Subjects were contacted at Day 120 for a Follow-up blood smear. Subjects remained in the study for 121 days from start of treatment to end of routine Follow-up.</w:t>
      </w:r>
    </w:p>
    <w:p w14:paraId="2F96B246" w14:textId="77777777" w:rsidR="008A1A1C" w:rsidRDefault="008A1A1C" w:rsidP="008A1A1C">
      <w:pPr>
        <w:rPr>
          <w:lang w:eastAsia="ja-JP"/>
        </w:rPr>
      </w:pPr>
      <w:r>
        <w:t xml:space="preserve">This study enrolled male and female subjects aged 20-60 years with confirmed </w:t>
      </w:r>
      <w:proofErr w:type="gramStart"/>
      <w:r>
        <w:t>Pv</w:t>
      </w:r>
      <w:proofErr w:type="gramEnd"/>
      <w:r>
        <w:t xml:space="preserve"> malaria, who were willing to be </w:t>
      </w:r>
      <w:r w:rsidR="00785076">
        <w:t>hospitalised</w:t>
      </w:r>
      <w:r>
        <w:t xml:space="preserve"> for 29 days and remain in a malaria-free region for 60 days thereafter for Follow-up. Subjects with demonstrated G6PD</w:t>
      </w:r>
      <w:r w:rsidR="00122529">
        <w:t>D</w:t>
      </w:r>
      <w:r>
        <w:t xml:space="preserve"> were excluded.</w:t>
      </w:r>
    </w:p>
    <w:p w14:paraId="4341F116" w14:textId="77777777" w:rsidR="008A1A1C" w:rsidRDefault="008A1A1C" w:rsidP="008A1A1C">
      <w:r>
        <w:t xml:space="preserve">Subjects in Cohort 1 were </w:t>
      </w:r>
      <w:r w:rsidR="00404803">
        <w:t>randomised</w:t>
      </w:r>
      <w:r>
        <w:t xml:space="preserve"> 2:1 to receive two tafenoquine capsules (200 mg base/capsule for a total of 400 mg base) for 3 days followed by 14 days of placebo or chloroquine 1000 mg x 3 days then primaquine 15 mg/day for 14 days.</w:t>
      </w:r>
    </w:p>
    <w:p w14:paraId="53CAA1AC" w14:textId="77777777" w:rsidR="00F1528F" w:rsidRDefault="008A1A1C" w:rsidP="008A1A1C">
      <w:pPr>
        <w:rPr>
          <w:lang w:eastAsia="ja-JP"/>
        </w:rPr>
      </w:pPr>
      <w:r>
        <w:t xml:space="preserve">The primary efficacy outcome was cure rate at </w:t>
      </w:r>
      <w:r w:rsidR="00785076">
        <w:t>D</w:t>
      </w:r>
      <w:r>
        <w:t xml:space="preserve">ay 28. Secondary efficacy endpoints (prevention of relapse, GCT, and PCT) thick and thin blood smears for malaria were obtained by finger prick at Baseline (Day 0) and then every 12 hours up to and including Day 7, until the blood smear became negative. Parasites and gametocytes were considered cleared if two consecutive blood smears were negative. After Day 7, thick and thin blood smears were obtained once a day by finger prick on Day 14, Day 28, Day 60, Day 90, and Day 120. </w:t>
      </w:r>
      <w:r>
        <w:rPr>
          <w:lang w:eastAsia="ja-JP"/>
        </w:rPr>
        <w:t>Participants were electronically randomised and given medication packs that were all identical,</w:t>
      </w:r>
    </w:p>
    <w:p w14:paraId="1FA924AB" w14:textId="77777777" w:rsidR="008A1A1C" w:rsidRDefault="008A1A1C" w:rsidP="008A1A1C">
      <w:pPr>
        <w:rPr>
          <w:lang w:eastAsia="ja-JP"/>
        </w:rPr>
      </w:pPr>
      <w:r>
        <w:rPr>
          <w:lang w:eastAsia="ja-JP"/>
        </w:rPr>
        <w:t>Four populations were defined for the analysis of the data to be collected as part of this study.</w:t>
      </w:r>
    </w:p>
    <w:p w14:paraId="36F07E27" w14:textId="27453A45" w:rsidR="00F1528F" w:rsidRDefault="008A1A1C" w:rsidP="008A1A1C">
      <w:pPr>
        <w:rPr>
          <w:lang w:eastAsia="ja-JP"/>
        </w:rPr>
      </w:pPr>
      <w:r w:rsidRPr="00785076">
        <w:rPr>
          <w:i/>
          <w:lang w:eastAsia="ja-JP"/>
        </w:rPr>
        <w:t>ITT</w:t>
      </w:r>
      <w:r>
        <w:rPr>
          <w:lang w:eastAsia="ja-JP"/>
        </w:rPr>
        <w:t xml:space="preserve">: all </w:t>
      </w:r>
      <w:r w:rsidR="00404803">
        <w:rPr>
          <w:lang w:eastAsia="ja-JP"/>
        </w:rPr>
        <w:t>randomised</w:t>
      </w:r>
      <w:r>
        <w:rPr>
          <w:lang w:eastAsia="ja-JP"/>
        </w:rPr>
        <w:t xml:space="preserve"> subjects who received at least one dose of study medication (</w:t>
      </w:r>
      <w:r w:rsidR="00785076">
        <w:rPr>
          <w:lang w:eastAsia="ja-JP"/>
        </w:rPr>
        <w:t>that is,</w:t>
      </w:r>
      <w:r>
        <w:rPr>
          <w:lang w:eastAsia="ja-JP"/>
        </w:rPr>
        <w:t xml:space="preserve"> tafenoquine or chloroquine/primaquine), regardless of whether the dose or re</w:t>
      </w:r>
      <w:r w:rsidR="009720A8">
        <w:rPr>
          <w:lang w:eastAsia="ja-JP"/>
        </w:rPr>
        <w:t xml:space="preserve"> dose</w:t>
      </w:r>
      <w:r>
        <w:rPr>
          <w:lang w:eastAsia="ja-JP"/>
        </w:rPr>
        <w:t xml:space="preserve"> was vomited. </w:t>
      </w:r>
      <w:r w:rsidR="007B0EBB">
        <w:rPr>
          <w:lang w:eastAsia="ja-JP"/>
        </w:rPr>
        <w:t xml:space="preserve">3 </w:t>
      </w:r>
      <w:r w:rsidRPr="00785076">
        <w:rPr>
          <w:i/>
          <w:lang w:eastAsia="ja-JP"/>
        </w:rPr>
        <w:t>PP Populations</w:t>
      </w:r>
      <w:r>
        <w:rPr>
          <w:lang w:eastAsia="ja-JP"/>
        </w:rPr>
        <w:t xml:space="preserve">: </w:t>
      </w:r>
      <w:r w:rsidRPr="004C149F">
        <w:rPr>
          <w:i/>
          <w:lang w:eastAsia="ja-JP"/>
        </w:rPr>
        <w:t xml:space="preserve">Day 7 PP Population, Day 28 </w:t>
      </w:r>
      <w:r w:rsidR="004C149F" w:rsidRPr="004C149F">
        <w:rPr>
          <w:i/>
          <w:lang w:eastAsia="ja-JP"/>
        </w:rPr>
        <w:t>PP</w:t>
      </w:r>
      <w:r w:rsidRPr="004C149F">
        <w:rPr>
          <w:i/>
          <w:lang w:eastAsia="ja-JP"/>
        </w:rPr>
        <w:t xml:space="preserve"> Population, and</w:t>
      </w:r>
      <w:r w:rsidRPr="004C149F">
        <w:rPr>
          <w:i/>
        </w:rPr>
        <w:t xml:space="preserve"> </w:t>
      </w:r>
      <w:r w:rsidRPr="004C149F">
        <w:rPr>
          <w:i/>
          <w:lang w:eastAsia="ja-JP"/>
        </w:rPr>
        <w:t>Day 90 PP Population</w:t>
      </w:r>
      <w:r>
        <w:rPr>
          <w:lang w:eastAsia="ja-JP"/>
        </w:rPr>
        <w:t xml:space="preserve">. Subjects in the ITT population were eligible for the various </w:t>
      </w:r>
      <w:r w:rsidR="004C149F">
        <w:rPr>
          <w:lang w:eastAsia="ja-JP"/>
        </w:rPr>
        <w:t>PP</w:t>
      </w:r>
      <w:r>
        <w:rPr>
          <w:lang w:eastAsia="ja-JP"/>
        </w:rPr>
        <w:t xml:space="preserve"> population</w:t>
      </w:r>
      <w:r w:rsidR="00B319AC">
        <w:rPr>
          <w:lang w:eastAsia="ja-JP"/>
        </w:rPr>
        <w:t>s</w:t>
      </w:r>
      <w:r>
        <w:rPr>
          <w:lang w:eastAsia="ja-JP"/>
        </w:rPr>
        <w:t xml:space="preserve"> if they: completed all scheduled assessments, were compliant with study medication, had no major protocol violations.</w:t>
      </w:r>
    </w:p>
    <w:p w14:paraId="43246354" w14:textId="77777777" w:rsidR="008A1A1C" w:rsidRDefault="008A1A1C" w:rsidP="008A1A1C">
      <w:pPr>
        <w:rPr>
          <w:lang w:eastAsia="ja-JP"/>
        </w:rPr>
      </w:pPr>
      <w:r>
        <w:rPr>
          <w:lang w:eastAsia="ja-JP"/>
        </w:rPr>
        <w:lastRenderedPageBreak/>
        <w:t>Planned enrolment for this study for the two cohorts was 140 subjects. 70 to Cohort 1 followed by 70 to Cohort 2. From this sample size, the aim was to yield 120 evaluable subjects in total, with 60 subjects</w:t>
      </w:r>
      <w:r w:rsidR="004C149F">
        <w:rPr>
          <w:lang w:eastAsia="ja-JP"/>
        </w:rPr>
        <w:t xml:space="preserve"> for each cohort. A 2:1 randomis</w:t>
      </w:r>
      <w:r>
        <w:rPr>
          <w:lang w:eastAsia="ja-JP"/>
        </w:rPr>
        <w:t>ation ratio was to be used to obtain 40 evaluable subjects in each of the two cohorts for the tafenoquine arm and 20 evaluable subjects in each of the two cohorts for the comparator arm.</w:t>
      </w:r>
    </w:p>
    <w:p w14:paraId="66035A17" w14:textId="33E09A1E" w:rsidR="008A1A1C" w:rsidRDefault="008A1A1C" w:rsidP="008A1A1C">
      <w:pPr>
        <w:rPr>
          <w:lang w:eastAsia="ja-JP"/>
        </w:rPr>
      </w:pPr>
      <w:r>
        <w:rPr>
          <w:lang w:eastAsia="ja-JP"/>
        </w:rPr>
        <w:t>The primary endpoint was the Day 28 cure rate. The primary interest for this study concerned the null hypothesis that a given dose of tafenoquine (</w:t>
      </w:r>
      <w:r w:rsidR="00785076">
        <w:rPr>
          <w:lang w:eastAsia="ja-JP"/>
        </w:rPr>
        <w:t>that is,</w:t>
      </w:r>
      <w:r>
        <w:rPr>
          <w:lang w:eastAsia="ja-JP"/>
        </w:rPr>
        <w:t xml:space="preserve"> a single 600 mg dose or 400</w:t>
      </w:r>
      <w:r w:rsidR="008A2A93">
        <w:rPr>
          <w:lang w:eastAsia="ja-JP"/>
        </w:rPr>
        <w:t> </w:t>
      </w:r>
      <w:r>
        <w:rPr>
          <w:lang w:eastAsia="ja-JP"/>
        </w:rPr>
        <w:t xml:space="preserve">mg/day for 3 days) was not efficacious in clearing/curing </w:t>
      </w:r>
      <w:proofErr w:type="gramStart"/>
      <w:r>
        <w:rPr>
          <w:lang w:eastAsia="ja-JP"/>
        </w:rPr>
        <w:t>Pv</w:t>
      </w:r>
      <w:proofErr w:type="gramEnd"/>
      <w:r>
        <w:rPr>
          <w:lang w:eastAsia="ja-JP"/>
        </w:rPr>
        <w:t xml:space="preserve"> blood stage infections. The alternative hypothesis was that the tafenoquine dose under study was efficacious in clearing/curing these infections. For each cohort, it was to be concluded that the dose of tafenoquine was efficacious if the lower bound of the two-sided 90% CI (to give a one-sided test, 5% error level) for the Day 28 cure rate for tafenoquine subjects in the cohort was no less than 85%.</w:t>
      </w:r>
    </w:p>
    <w:p w14:paraId="29A4169F" w14:textId="77777777" w:rsidR="008A1A1C" w:rsidRPr="005B2850" w:rsidRDefault="008A1A1C" w:rsidP="008A1A1C">
      <w:r>
        <w:t xml:space="preserve">Of the 46 subjects randomised to receive tafenoquine, 35 (76%) completed the study and in the chloroquine, of 24 randomised participants, 19 (79/%) completed it. There were no </w:t>
      </w:r>
      <w:r w:rsidRPr="005B2850">
        <w:t xml:space="preserve">withdrawals due to AEs in the tafenoquine group (2 in the chloroquine/primaquine group) and 2 withdrawals due to lack of efficacy in the tafenoquine groups (1 in the chloroquine group). This is shown in </w:t>
      </w:r>
      <w:r w:rsidR="00686267" w:rsidRPr="005B2850">
        <w:t>Table 2</w:t>
      </w:r>
      <w:r w:rsidR="00AA2FE4" w:rsidRPr="005B2850">
        <w:t>9</w:t>
      </w:r>
      <w:r w:rsidRPr="005B2850">
        <w:t>.</w:t>
      </w:r>
    </w:p>
    <w:p w14:paraId="1704ABAE" w14:textId="25D92AEE" w:rsidR="008A1A1C" w:rsidRPr="005B2850" w:rsidRDefault="008A1A1C" w:rsidP="008A1A1C">
      <w:r w:rsidRPr="005B2850">
        <w:rPr>
          <w:lang w:eastAsia="ja-JP"/>
        </w:rPr>
        <w:t xml:space="preserve">The groups were similar in all demographics. These are shown in </w:t>
      </w:r>
      <w:r w:rsidR="00686267" w:rsidRPr="005B2850">
        <w:rPr>
          <w:lang w:eastAsia="ja-JP"/>
        </w:rPr>
        <w:t xml:space="preserve">Table </w:t>
      </w:r>
      <w:r w:rsidR="00AA2FE4" w:rsidRPr="005B2850">
        <w:rPr>
          <w:lang w:eastAsia="ja-JP"/>
        </w:rPr>
        <w:t>30</w:t>
      </w:r>
      <w:r w:rsidRPr="005B2850">
        <w:rPr>
          <w:lang w:eastAsia="ja-JP"/>
        </w:rPr>
        <w:t xml:space="preserve">. </w:t>
      </w:r>
      <w:r w:rsidRPr="005B2850">
        <w:t>The primary and seconda</w:t>
      </w:r>
      <w:r w:rsidR="007B0EBB">
        <w:t>ry efficacy results are summaris</w:t>
      </w:r>
      <w:r w:rsidRPr="005B2850">
        <w:t xml:space="preserve">ed in </w:t>
      </w:r>
      <w:r w:rsidR="00686267" w:rsidRPr="005B2850">
        <w:t>Table 3</w:t>
      </w:r>
      <w:r w:rsidR="00AA2FE4" w:rsidRPr="005B2850">
        <w:t>1</w:t>
      </w:r>
      <w:r w:rsidR="008A2A93">
        <w:t xml:space="preserve"> and </w:t>
      </w:r>
      <w:r w:rsidR="00AA2FE4" w:rsidRPr="005B2850">
        <w:t>32</w:t>
      </w:r>
      <w:r w:rsidRPr="005B2850">
        <w:t>. In terms of PP participants with an adequate clinical response, this was 93% 90% CI: 82.9,</w:t>
      </w:r>
      <w:r w:rsidR="004C149F" w:rsidRPr="005B2850">
        <w:t xml:space="preserve"> </w:t>
      </w:r>
      <w:r w:rsidRPr="005B2850">
        <w:t>98.1) and 100% (CI: 87.3,</w:t>
      </w:r>
      <w:r w:rsidR="00B319AC">
        <w:t xml:space="preserve"> </w:t>
      </w:r>
      <w:r w:rsidRPr="005B2850">
        <w:t>100.0) in the tafenoquine and control groups respectively.</w:t>
      </w:r>
    </w:p>
    <w:p w14:paraId="293AE47D" w14:textId="34E50808" w:rsidR="00F1528F" w:rsidRDefault="008A1A1C" w:rsidP="008A1A1C">
      <w:r w:rsidRPr="005B2850">
        <w:t>During its review, the IDMC determined that the dosing regimen of tafenoquine used in Cohort 1 failed to meet the pre-specified endpoint for the Day 28 cure rate due to three early treatment failures. The IDMC also determined that tafenoquine</w:t>
      </w:r>
      <w:r w:rsidR="00CF5454">
        <w:t xml:space="preserve"> by itself</w:t>
      </w:r>
      <w:r w:rsidRPr="005B2850">
        <w:t xml:space="preserve"> was significantly worse in terms of parasite clearance time (mean parasite clearance time in the PP group was 82.5 hours versus 40.0 hours) and significantly slower in fever clearance time than chloroquine plus primaquine (41.1 hours versus 24.7 hours). The IDMC recommended enrolment into Cohort 2 should not be initiated and Follow-up in Cohort 1 should be completed according to the protocol. Following last subject last visit for Cohort 1 the study was terminated. Results for other efficacy outcomes are shown in </w:t>
      </w:r>
      <w:r w:rsidR="00686267" w:rsidRPr="005B2850">
        <w:t>Table 3</w:t>
      </w:r>
      <w:r w:rsidR="00AA2FE4" w:rsidRPr="005B2850">
        <w:t>3</w:t>
      </w:r>
      <w:r w:rsidRPr="005B2850">
        <w:t>.</w:t>
      </w:r>
    </w:p>
    <w:p w14:paraId="535C64AD" w14:textId="77777777" w:rsidR="006B4DC1" w:rsidRPr="00B9231E" w:rsidRDefault="006B4DC1" w:rsidP="00686267">
      <w:pPr>
        <w:pStyle w:val="Tabletitle"/>
      </w:pPr>
      <w:bookmarkStart w:id="389" w:name="_Ref501288592"/>
      <w:bookmarkStart w:id="390" w:name="_Toc504229449"/>
      <w:bookmarkStart w:id="391" w:name="_Toc501293699"/>
      <w:r>
        <w:t xml:space="preserve">Table </w:t>
      </w:r>
      <w:r w:rsidR="00686267">
        <w:t>29</w:t>
      </w:r>
      <w:bookmarkEnd w:id="389"/>
      <w:r w:rsidR="00686267">
        <w:t>:</w:t>
      </w:r>
      <w:r>
        <w:t xml:space="preserve"> </w:t>
      </w:r>
      <w:r w:rsidRPr="00B9231E">
        <w:t>Participant flow (Study 058)</w:t>
      </w:r>
      <w:bookmarkEnd w:id="390"/>
      <w:bookmarkEnd w:id="391"/>
    </w:p>
    <w:p w14:paraId="1A8F35D0" w14:textId="77777777" w:rsidR="006B4DC1" w:rsidRDefault="006B4DC1" w:rsidP="006B4DC1">
      <w:r w:rsidRPr="001F017B">
        <w:rPr>
          <w:noProof/>
          <w:lang w:eastAsia="en-AU"/>
        </w:rPr>
        <w:drawing>
          <wp:inline distT="0" distB="0" distL="0" distR="0" wp14:anchorId="54E431C9" wp14:editId="4FFE6F11">
            <wp:extent cx="5419165" cy="1549752"/>
            <wp:effectExtent l="0" t="0" r="0" b="0"/>
            <wp:docPr id="77" name="Picture 77" descr=": Participant flow (Study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415706" cy="1548763"/>
                    </a:xfrm>
                    <a:prstGeom prst="rect">
                      <a:avLst/>
                    </a:prstGeom>
                    <a:noFill/>
                    <a:ln>
                      <a:noFill/>
                    </a:ln>
                  </pic:spPr>
                </pic:pic>
              </a:graphicData>
            </a:graphic>
          </wp:inline>
        </w:drawing>
      </w:r>
    </w:p>
    <w:p w14:paraId="031034CC" w14:textId="1DB39DA7" w:rsidR="006B4DC1" w:rsidRPr="00B9231E" w:rsidRDefault="006B4DC1" w:rsidP="00686267">
      <w:pPr>
        <w:pStyle w:val="Tabletitle"/>
        <w:rPr>
          <w:lang w:eastAsia="ja-JP"/>
        </w:rPr>
      </w:pPr>
      <w:bookmarkStart w:id="392" w:name="_Ref501288701"/>
      <w:bookmarkStart w:id="393" w:name="_Toc504229450"/>
      <w:bookmarkStart w:id="394" w:name="_Toc501293700"/>
      <w:r>
        <w:t xml:space="preserve">Table </w:t>
      </w:r>
      <w:r w:rsidR="00686267">
        <w:t>30:</w:t>
      </w:r>
      <w:bookmarkEnd w:id="392"/>
      <w:r>
        <w:t xml:space="preserve"> </w:t>
      </w:r>
      <w:r w:rsidRPr="00B9231E">
        <w:rPr>
          <w:lang w:eastAsia="ja-JP"/>
        </w:rPr>
        <w:t xml:space="preserve">Demographic </w:t>
      </w:r>
      <w:r w:rsidR="008A2A93">
        <w:rPr>
          <w:lang w:eastAsia="ja-JP"/>
        </w:rPr>
        <w:t>c</w:t>
      </w:r>
      <w:r w:rsidR="008A2A93" w:rsidRPr="00B9231E">
        <w:rPr>
          <w:lang w:eastAsia="ja-JP"/>
        </w:rPr>
        <w:t xml:space="preserve">haracteristics </w:t>
      </w:r>
      <w:r w:rsidRPr="00B9231E">
        <w:rPr>
          <w:lang w:eastAsia="ja-JP"/>
        </w:rPr>
        <w:t xml:space="preserve">of Study 058 </w:t>
      </w:r>
      <w:bookmarkEnd w:id="393"/>
      <w:bookmarkEnd w:id="394"/>
      <w:r w:rsidR="008A2A93">
        <w:rPr>
          <w:lang w:eastAsia="ja-JP"/>
        </w:rPr>
        <w:t>p</w:t>
      </w:r>
      <w:r w:rsidR="008A2A93" w:rsidRPr="00B9231E">
        <w:rPr>
          <w:lang w:eastAsia="ja-JP"/>
        </w:rPr>
        <w:t>opulation</w:t>
      </w:r>
    </w:p>
    <w:p w14:paraId="1FC62D7C" w14:textId="77777777" w:rsidR="006B4DC1" w:rsidRPr="008407D7" w:rsidRDefault="006B4DC1" w:rsidP="006B4DC1">
      <w:pPr>
        <w:rPr>
          <w:b/>
          <w:sz w:val="18"/>
          <w:szCs w:val="18"/>
          <w:lang w:eastAsia="ja-JP"/>
        </w:rPr>
      </w:pPr>
      <w:r w:rsidRPr="00B37D4A">
        <w:rPr>
          <w:noProof/>
          <w:lang w:eastAsia="en-AU"/>
        </w:rPr>
        <w:drawing>
          <wp:inline distT="0" distB="0" distL="0" distR="0" wp14:anchorId="0CD9AD97" wp14:editId="22B6D7AD">
            <wp:extent cx="5553636" cy="1046187"/>
            <wp:effectExtent l="0" t="0" r="0" b="1905"/>
            <wp:docPr id="78" name="Picture 78" descr="Demographic Characteristics of Study 058 Po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550091" cy="1045519"/>
                    </a:xfrm>
                    <a:prstGeom prst="rect">
                      <a:avLst/>
                    </a:prstGeom>
                    <a:noFill/>
                    <a:ln>
                      <a:noFill/>
                    </a:ln>
                  </pic:spPr>
                </pic:pic>
              </a:graphicData>
            </a:graphic>
          </wp:inline>
        </w:drawing>
      </w:r>
    </w:p>
    <w:p w14:paraId="10CBAA72" w14:textId="2817125C" w:rsidR="006B4DC1" w:rsidRPr="00B37D4A" w:rsidRDefault="006B4DC1" w:rsidP="00686267">
      <w:pPr>
        <w:pStyle w:val="Tabletitle"/>
      </w:pPr>
      <w:bookmarkStart w:id="395" w:name="_Ref501289319"/>
      <w:bookmarkStart w:id="396" w:name="_Toc504229451"/>
      <w:bookmarkStart w:id="397" w:name="_Toc501293701"/>
      <w:r>
        <w:lastRenderedPageBreak/>
        <w:t xml:space="preserve">Table </w:t>
      </w:r>
      <w:r w:rsidR="00686267">
        <w:t>31:</w:t>
      </w:r>
      <w:bookmarkEnd w:id="395"/>
      <w:r>
        <w:t xml:space="preserve"> </w:t>
      </w:r>
      <w:r w:rsidRPr="00B9231E">
        <w:t xml:space="preserve">Primary </w:t>
      </w:r>
      <w:r w:rsidR="008A2A93">
        <w:t>e</w:t>
      </w:r>
      <w:r w:rsidR="008A2A93" w:rsidRPr="00B9231E">
        <w:t xml:space="preserve">fficacy </w:t>
      </w:r>
      <w:r w:rsidR="008A2A93">
        <w:t>r</w:t>
      </w:r>
      <w:r w:rsidR="008A2A93" w:rsidRPr="00B9231E">
        <w:t xml:space="preserve">esults </w:t>
      </w:r>
      <w:r w:rsidRPr="00B9231E">
        <w:t>(Study 058</w:t>
      </w:r>
      <w:r w:rsidR="008A2A93">
        <w:t>; PP population)</w:t>
      </w:r>
      <w:bookmarkEnd w:id="396"/>
      <w:bookmarkEnd w:id="397"/>
    </w:p>
    <w:p w14:paraId="70568AF6" w14:textId="77777777" w:rsidR="006B4DC1" w:rsidRDefault="006B4DC1" w:rsidP="006B4DC1">
      <w:r w:rsidRPr="00B37D4A">
        <w:rPr>
          <w:noProof/>
          <w:lang w:eastAsia="en-AU"/>
        </w:rPr>
        <w:drawing>
          <wp:inline distT="0" distB="0" distL="0" distR="0" wp14:anchorId="1783FF76" wp14:editId="4FEF3072">
            <wp:extent cx="5731510" cy="1423406"/>
            <wp:effectExtent l="0" t="0" r="2540" b="5715"/>
            <wp:docPr id="79" name="Picture 79" descr="Primary Efficacy Results (Study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731510" cy="1423406"/>
                    </a:xfrm>
                    <a:prstGeom prst="rect">
                      <a:avLst/>
                    </a:prstGeom>
                    <a:noFill/>
                    <a:ln>
                      <a:noFill/>
                    </a:ln>
                  </pic:spPr>
                </pic:pic>
              </a:graphicData>
            </a:graphic>
          </wp:inline>
        </w:drawing>
      </w:r>
    </w:p>
    <w:p w14:paraId="431DFE5F" w14:textId="57DF0689" w:rsidR="006B4DC1" w:rsidRPr="00B9231E" w:rsidRDefault="006B4DC1" w:rsidP="00686267">
      <w:pPr>
        <w:pStyle w:val="Tabletitle"/>
      </w:pPr>
      <w:bookmarkStart w:id="398" w:name="_Ref501289377"/>
      <w:bookmarkStart w:id="399" w:name="_Toc504229452"/>
      <w:bookmarkStart w:id="400" w:name="_Toc501293702"/>
      <w:r>
        <w:t xml:space="preserve">Table </w:t>
      </w:r>
      <w:r w:rsidR="00686267">
        <w:t>32:</w:t>
      </w:r>
      <w:bookmarkEnd w:id="398"/>
      <w:r>
        <w:t xml:space="preserve"> </w:t>
      </w:r>
      <w:r w:rsidRPr="00B9231E">
        <w:t xml:space="preserve">Primary </w:t>
      </w:r>
      <w:r w:rsidR="008A2A93">
        <w:t xml:space="preserve">efficacy results </w:t>
      </w:r>
      <w:r w:rsidRPr="00B9231E">
        <w:t>(Study 058</w:t>
      </w:r>
      <w:bookmarkEnd w:id="399"/>
      <w:bookmarkEnd w:id="400"/>
      <w:r w:rsidR="008A2A93">
        <w:t>; ITT population)</w:t>
      </w:r>
    </w:p>
    <w:p w14:paraId="70B457DA" w14:textId="77777777" w:rsidR="006B4DC1" w:rsidRDefault="006B4DC1" w:rsidP="006B4DC1">
      <w:r w:rsidRPr="00B37D4A">
        <w:rPr>
          <w:noProof/>
          <w:lang w:eastAsia="en-AU"/>
        </w:rPr>
        <w:drawing>
          <wp:inline distT="0" distB="0" distL="0" distR="0" wp14:anchorId="2689A51F" wp14:editId="26225FA1">
            <wp:extent cx="5731510" cy="1616168"/>
            <wp:effectExtent l="0" t="0" r="2540" b="3175"/>
            <wp:docPr id="80" name="Picture 80" descr="Primary Efficacy Results (Study 058)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731510" cy="1616168"/>
                    </a:xfrm>
                    <a:prstGeom prst="rect">
                      <a:avLst/>
                    </a:prstGeom>
                    <a:noFill/>
                    <a:ln>
                      <a:noFill/>
                    </a:ln>
                  </pic:spPr>
                </pic:pic>
              </a:graphicData>
            </a:graphic>
          </wp:inline>
        </w:drawing>
      </w:r>
    </w:p>
    <w:p w14:paraId="519B4220" w14:textId="0B33F9D6" w:rsidR="006B4DC1" w:rsidRPr="00B9231E" w:rsidRDefault="006B4DC1" w:rsidP="00686267">
      <w:pPr>
        <w:pStyle w:val="Tabletitle"/>
        <w:rPr>
          <w:lang w:eastAsia="ja-JP"/>
        </w:rPr>
      </w:pPr>
      <w:bookmarkStart w:id="401" w:name="_Ref501289450"/>
      <w:bookmarkStart w:id="402" w:name="_Toc504229453"/>
      <w:bookmarkStart w:id="403" w:name="_Toc501293703"/>
      <w:r>
        <w:t>Table</w:t>
      </w:r>
      <w:bookmarkEnd w:id="401"/>
      <w:r w:rsidR="00686267">
        <w:t xml:space="preserve"> 33:</w:t>
      </w:r>
      <w:r>
        <w:t xml:space="preserve"> </w:t>
      </w:r>
      <w:r w:rsidRPr="00B9231E">
        <w:rPr>
          <w:lang w:eastAsia="ja-JP"/>
        </w:rPr>
        <w:t xml:space="preserve">Secondary </w:t>
      </w:r>
      <w:r w:rsidR="008A2A93">
        <w:rPr>
          <w:lang w:eastAsia="ja-JP"/>
        </w:rPr>
        <w:t>e</w:t>
      </w:r>
      <w:r w:rsidR="008A2A93" w:rsidRPr="00B9231E">
        <w:rPr>
          <w:lang w:eastAsia="ja-JP"/>
        </w:rPr>
        <w:t xml:space="preserve">fficacy </w:t>
      </w:r>
      <w:r w:rsidR="008A2A93">
        <w:rPr>
          <w:lang w:eastAsia="ja-JP"/>
        </w:rPr>
        <w:t>r</w:t>
      </w:r>
      <w:r w:rsidR="008A2A93" w:rsidRPr="00B9231E">
        <w:rPr>
          <w:lang w:eastAsia="ja-JP"/>
        </w:rPr>
        <w:t xml:space="preserve">esults </w:t>
      </w:r>
      <w:r w:rsidRPr="00B9231E">
        <w:rPr>
          <w:lang w:eastAsia="ja-JP"/>
        </w:rPr>
        <w:t>(Study 058)</w:t>
      </w:r>
      <w:bookmarkEnd w:id="402"/>
      <w:bookmarkEnd w:id="403"/>
    </w:p>
    <w:p w14:paraId="4C44B03F" w14:textId="77777777" w:rsidR="006B4DC1" w:rsidRDefault="006B4DC1" w:rsidP="006B4DC1">
      <w:pPr>
        <w:rPr>
          <w:lang w:eastAsia="ja-JP"/>
        </w:rPr>
      </w:pPr>
      <w:r w:rsidRPr="00B37D4A">
        <w:rPr>
          <w:noProof/>
          <w:lang w:eastAsia="en-AU"/>
        </w:rPr>
        <w:drawing>
          <wp:inline distT="0" distB="0" distL="0" distR="0" wp14:anchorId="006C5DB2" wp14:editId="5B7CD001">
            <wp:extent cx="5731510" cy="4451349"/>
            <wp:effectExtent l="0" t="0" r="2540" b="6985"/>
            <wp:docPr id="82" name="Picture 82" descr="Secondary Efficacy Results (Study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731510" cy="4451349"/>
                    </a:xfrm>
                    <a:prstGeom prst="rect">
                      <a:avLst/>
                    </a:prstGeom>
                    <a:noFill/>
                    <a:ln>
                      <a:noFill/>
                    </a:ln>
                  </pic:spPr>
                </pic:pic>
              </a:graphicData>
            </a:graphic>
          </wp:inline>
        </w:drawing>
      </w:r>
    </w:p>
    <w:p w14:paraId="022A4CF0" w14:textId="77777777" w:rsidR="00F1528F" w:rsidRDefault="008A1A1C" w:rsidP="004C149F">
      <w:pPr>
        <w:pStyle w:val="Heading5"/>
      </w:pPr>
      <w:r>
        <w:lastRenderedPageBreak/>
        <w:t>Evaluator comments</w:t>
      </w:r>
    </w:p>
    <w:p w14:paraId="2BD643D1" w14:textId="77777777" w:rsidR="008A1A1C" w:rsidRDefault="008A1A1C" w:rsidP="008A1A1C">
      <w:r>
        <w:t xml:space="preserve">A three day dosing regimen of 400 mg tafenoquine per day demonstrated gametocytocidal activity but did not achieve the primary endpoint as there were three ETFs and the study had been designed to conclude sufficient efficacy if no more than two ETFs occurred on tafenoquine. </w:t>
      </w:r>
      <w:r w:rsidR="00E730B4">
        <w:t>The onset of action of t</w:t>
      </w:r>
      <w:r>
        <w:t xml:space="preserve">afenoquine was noticeably slower than the standard treatment regimen of chloroquine plus primaquine, but resulting in longer parasite and fever clearance times. Although this was not an objective of this study, tafenoquine was highly efficacious (100%) for the prevention of </w:t>
      </w:r>
      <w:proofErr w:type="gramStart"/>
      <w:r>
        <w:t>Pv</w:t>
      </w:r>
      <w:proofErr w:type="gramEnd"/>
      <w:r>
        <w:t xml:space="preserve"> relapse. None of the 35 subjects receiving tafenoquine with an adequate clinical response at </w:t>
      </w:r>
      <w:r w:rsidR="004C149F">
        <w:t>D</w:t>
      </w:r>
      <w:r>
        <w:t>ay 28 and who remained evaluable during the follow-up period to Day 120 had a relapse of malaria. Among the 20 evaluable subjects receiving chloroquine plus primaquine, there was one relapse (on Day 63) during the follow-up period.</w:t>
      </w:r>
    </w:p>
    <w:p w14:paraId="55F47E58" w14:textId="77777777" w:rsidR="008A1A1C" w:rsidRDefault="008A1A1C" w:rsidP="00E730B4">
      <w:pPr>
        <w:pStyle w:val="Heading4"/>
        <w:numPr>
          <w:ilvl w:val="2"/>
          <w:numId w:val="7"/>
        </w:numPr>
      </w:pPr>
      <w:bookmarkStart w:id="404" w:name="_Toc416353721"/>
      <w:bookmarkStart w:id="405" w:name="_Toc290888505"/>
      <w:bookmarkEnd w:id="353"/>
      <w:bookmarkEnd w:id="354"/>
      <w:bookmarkEnd w:id="355"/>
      <w:bookmarkEnd w:id="356"/>
      <w:bookmarkEnd w:id="357"/>
      <w:bookmarkEnd w:id="358"/>
      <w:bookmarkEnd w:id="359"/>
      <w:bookmarkEnd w:id="360"/>
      <w:bookmarkEnd w:id="361"/>
      <w:bookmarkEnd w:id="362"/>
      <w:r>
        <w:t>Study 047</w:t>
      </w:r>
    </w:p>
    <w:p w14:paraId="1F9FE983" w14:textId="77777777" w:rsidR="008A1A1C" w:rsidRDefault="008A1A1C" w:rsidP="008A1A1C">
      <w:pPr>
        <w:rPr>
          <w:lang w:eastAsia="ja-JP"/>
        </w:rPr>
      </w:pPr>
      <w:r>
        <w:rPr>
          <w:lang w:eastAsia="ja-JP"/>
        </w:rPr>
        <w:t xml:space="preserve">Study 047 was a </w:t>
      </w:r>
      <w:r w:rsidR="00404803">
        <w:rPr>
          <w:lang w:eastAsia="ja-JP"/>
        </w:rPr>
        <w:t>randomised</w:t>
      </w:r>
      <w:r>
        <w:rPr>
          <w:lang w:eastAsia="ja-JP"/>
        </w:rPr>
        <w:t>, open</w:t>
      </w:r>
      <w:r w:rsidR="007B0EBB">
        <w:rPr>
          <w:lang w:eastAsia="ja-JP"/>
        </w:rPr>
        <w:t xml:space="preserve"> </w:t>
      </w:r>
      <w:r>
        <w:rPr>
          <w:lang w:eastAsia="ja-JP"/>
        </w:rPr>
        <w:t>label, dose</w:t>
      </w:r>
      <w:r w:rsidR="007B0EBB">
        <w:rPr>
          <w:lang w:eastAsia="ja-JP"/>
        </w:rPr>
        <w:t xml:space="preserve"> </w:t>
      </w:r>
      <w:r>
        <w:rPr>
          <w:lang w:eastAsia="ja-JP"/>
        </w:rPr>
        <w:t xml:space="preserve">ranging study evaluating the safety and efficacy of tafenoquine in preventing relapse of </w:t>
      </w:r>
      <w:proofErr w:type="gramStart"/>
      <w:r>
        <w:rPr>
          <w:lang w:eastAsia="ja-JP"/>
        </w:rPr>
        <w:t>Pv</w:t>
      </w:r>
      <w:proofErr w:type="gramEnd"/>
      <w:r>
        <w:rPr>
          <w:lang w:eastAsia="ja-JP"/>
        </w:rPr>
        <w:t xml:space="preserve"> malaria in Thailand. Specifically, the study investigated the complete elimination of hypnozoites from the liver (relapse prevention). The study further aimed to investigate the safety and PK of tafenoquine in normal and infected populations and to determine the tafenoquine concentrations associated with clinical outcomes.</w:t>
      </w:r>
    </w:p>
    <w:p w14:paraId="54CDFD83" w14:textId="4B195E03" w:rsidR="008A1A1C" w:rsidRDefault="008A1A1C" w:rsidP="008A1A1C">
      <w:pPr>
        <w:rPr>
          <w:lang w:eastAsia="ja-JP"/>
        </w:rPr>
      </w:pPr>
      <w:r>
        <w:rPr>
          <w:lang w:eastAsia="ja-JP"/>
        </w:rPr>
        <w:t>Although the study was open</w:t>
      </w:r>
      <w:r w:rsidR="007B0EBB">
        <w:rPr>
          <w:lang w:eastAsia="ja-JP"/>
        </w:rPr>
        <w:t xml:space="preserve"> </w:t>
      </w:r>
      <w:r>
        <w:rPr>
          <w:lang w:eastAsia="ja-JP"/>
        </w:rPr>
        <w:t>label, the objective assessment of parasit</w:t>
      </w:r>
      <w:r w:rsidR="00CF5454">
        <w:rPr>
          <w:lang w:eastAsia="ja-JP"/>
        </w:rPr>
        <w:t>a</w:t>
      </w:r>
      <w:r>
        <w:rPr>
          <w:lang w:eastAsia="ja-JP"/>
        </w:rPr>
        <w:t>emia for the protective efficacy outcome was performed by slide readers who were blinded to the participants’ treatment assignments. Participants with parasitological confirmation of Pv received 600 mg chloroquine immediately (Day -5) then 300 mg at 6 hours, 24 hours (Day -4), and 48 hours (Day</w:t>
      </w:r>
      <w:r w:rsidR="007B0EBB">
        <w:rPr>
          <w:lang w:eastAsia="ja-JP"/>
        </w:rPr>
        <w:t> </w:t>
      </w:r>
      <w:r w:rsidR="007B0EBB">
        <w:rPr>
          <w:lang w:eastAsia="ja-JP"/>
        </w:rPr>
        <w:noBreakHyphen/>
      </w:r>
      <w:r>
        <w:rPr>
          <w:lang w:eastAsia="ja-JP"/>
        </w:rPr>
        <w:t xml:space="preserve">3), and were subsequently </w:t>
      </w:r>
      <w:r w:rsidR="00404803">
        <w:rPr>
          <w:lang w:eastAsia="ja-JP"/>
        </w:rPr>
        <w:t>randomised</w:t>
      </w:r>
      <w:r>
        <w:rPr>
          <w:lang w:eastAsia="ja-JP"/>
        </w:rPr>
        <w:t xml:space="preserve"> to one of four treatment arms (tafenoquine 300mg, once daily for 7 days; tafenoquine 500 mg, once daily for 3 days followed by an additional 500 mg once daily for 3 days beginning 1 week after the first dose; tafenoquine 500 mg as a </w:t>
      </w:r>
      <w:r w:rsidR="008A2A93">
        <w:rPr>
          <w:lang w:eastAsia="ja-JP"/>
        </w:rPr>
        <w:t> </w:t>
      </w:r>
      <w:r>
        <w:rPr>
          <w:lang w:eastAsia="ja-JP"/>
        </w:rPr>
        <w:t xml:space="preserve">single dose; or no further treatment). Safety and tolerability data from the first 2 weeks were used to determine the treatment regimens for an additional group of participants </w:t>
      </w:r>
      <w:r w:rsidR="00404803">
        <w:rPr>
          <w:lang w:eastAsia="ja-JP"/>
        </w:rPr>
        <w:t>randomised</w:t>
      </w:r>
      <w:r>
        <w:rPr>
          <w:lang w:eastAsia="ja-JP"/>
        </w:rPr>
        <w:t xml:space="preserve"> to one of five treatment arms irrespective of any remaining parasit</w:t>
      </w:r>
      <w:r w:rsidR="00CF5454">
        <w:rPr>
          <w:lang w:eastAsia="ja-JP"/>
        </w:rPr>
        <w:t>a</w:t>
      </w:r>
      <w:r>
        <w:rPr>
          <w:lang w:eastAsia="ja-JP"/>
        </w:rPr>
        <w:t>emia (tafenoquine 300 mg once daily for 7 days; tafenoquine 600 mg, once daily for 3 days; tafenoquine 600 mg as a single dose; no further treatment; or primaquine base 15 mg once daily for 14 days). Samples for PK analysis were collected 8 to 14 hours and 20 to 48 hours post</w:t>
      </w:r>
      <w:r w:rsidR="009720A8">
        <w:rPr>
          <w:lang w:eastAsia="ja-JP"/>
        </w:rPr>
        <w:t xml:space="preserve"> dose</w:t>
      </w:r>
      <w:r>
        <w:rPr>
          <w:lang w:eastAsia="ja-JP"/>
        </w:rPr>
        <w:t xml:space="preserve"> throughout the dosing period and in </w:t>
      </w:r>
      <w:r w:rsidR="007B0EBB">
        <w:rPr>
          <w:lang w:eastAsia="ja-JP"/>
        </w:rPr>
        <w:t>W</w:t>
      </w:r>
      <w:r>
        <w:rPr>
          <w:lang w:eastAsia="ja-JP"/>
        </w:rPr>
        <w:t>eeks 2, 3, 4, 6, 8, 12, 16, 20 and 24 post-dosing.</w:t>
      </w:r>
    </w:p>
    <w:p w14:paraId="7D8369E5" w14:textId="77777777" w:rsidR="008A1A1C" w:rsidRDefault="008A1A1C" w:rsidP="008A1A1C">
      <w:pPr>
        <w:rPr>
          <w:lang w:eastAsia="ja-JP"/>
        </w:rPr>
      </w:pPr>
      <w:r>
        <w:rPr>
          <w:lang w:eastAsia="ja-JP"/>
        </w:rPr>
        <w:t>All participants with confirmed malaria were pre</w:t>
      </w:r>
      <w:r w:rsidR="004C149F">
        <w:rPr>
          <w:lang w:eastAsia="ja-JP"/>
        </w:rPr>
        <w:t>-</w:t>
      </w:r>
      <w:r w:rsidR="00473B40">
        <w:rPr>
          <w:lang w:eastAsia="ja-JP"/>
        </w:rPr>
        <w:t>treated</w:t>
      </w:r>
      <w:r>
        <w:rPr>
          <w:lang w:eastAsia="ja-JP"/>
        </w:rPr>
        <w:t xml:space="preserve"> for malarial infection with chloroquine 600 mg once and chloroquine 300 mg once daily for 3 days. Ninety-six (96) participants were assigned to the plasma tafenoquine PK population.</w:t>
      </w:r>
    </w:p>
    <w:p w14:paraId="35827831" w14:textId="77777777" w:rsidR="004C149F" w:rsidRDefault="008A1A1C" w:rsidP="004C149F">
      <w:pPr>
        <w:pStyle w:val="Heading5"/>
        <w:rPr>
          <w:lang w:eastAsia="ja-JP"/>
        </w:rPr>
      </w:pPr>
      <w:r>
        <w:rPr>
          <w:lang w:eastAsia="ja-JP"/>
        </w:rPr>
        <w:t>Results</w:t>
      </w:r>
    </w:p>
    <w:p w14:paraId="6949CF55" w14:textId="77777777" w:rsidR="008A1A1C" w:rsidRDefault="008A1A1C" w:rsidP="004C149F">
      <w:pPr>
        <w:rPr>
          <w:lang w:eastAsia="ja-JP"/>
        </w:rPr>
      </w:pPr>
      <w:r>
        <w:rPr>
          <w:lang w:eastAsia="ja-JP"/>
        </w:rPr>
        <w:t>Three participants relapsed during the study. In 2 of the 3 relapsed subjects, blood concentrations of tafenoquine were similar to those of non-relapsed subjects in the same treatment group, while the third relapsed subject had peak tafenoquine concentrations that were lower than those in non-relapsed subjects. This was not statistically significant.</w:t>
      </w:r>
    </w:p>
    <w:p w14:paraId="4FA3E06C" w14:textId="77777777" w:rsidR="008A1A1C" w:rsidRDefault="008A1A1C" w:rsidP="00E730B4">
      <w:pPr>
        <w:pStyle w:val="Heading4"/>
        <w:numPr>
          <w:ilvl w:val="2"/>
          <w:numId w:val="7"/>
        </w:numPr>
      </w:pPr>
      <w:r>
        <w:t>Study 049</w:t>
      </w:r>
    </w:p>
    <w:p w14:paraId="5CE56254" w14:textId="77777777" w:rsidR="008A1A1C" w:rsidRDefault="008A1A1C" w:rsidP="008A1A1C">
      <w:pPr>
        <w:rPr>
          <w:lang w:eastAsia="ja-JP"/>
        </w:rPr>
      </w:pPr>
      <w:r>
        <w:rPr>
          <w:lang w:eastAsia="ja-JP"/>
        </w:rPr>
        <w:t xml:space="preserve">This study was for the evaluation of tafenoquine for the post-exposure prophylaxis of </w:t>
      </w:r>
      <w:proofErr w:type="gramStart"/>
      <w:r>
        <w:rPr>
          <w:lang w:eastAsia="ja-JP"/>
        </w:rPr>
        <w:t>Pv</w:t>
      </w:r>
      <w:proofErr w:type="gramEnd"/>
      <w:r>
        <w:rPr>
          <w:lang w:eastAsia="ja-JP"/>
        </w:rPr>
        <w:t xml:space="preserve"> malaria (Southwest Pacific Type) in non-immune Australian soldiers. It was conducted in Australia between 1 February 1999 and 30 April 2000. The objective of the study was to compare the effectiveness and tolerability of tafenoquine with primaquine in preventing </w:t>
      </w:r>
      <w:proofErr w:type="gramStart"/>
      <w:r>
        <w:rPr>
          <w:lang w:eastAsia="ja-JP"/>
        </w:rPr>
        <w:t>Pv</w:t>
      </w:r>
      <w:proofErr w:type="gramEnd"/>
      <w:r>
        <w:rPr>
          <w:lang w:eastAsia="ja-JP"/>
        </w:rPr>
        <w:t xml:space="preserve"> malaria after leaving a malarious area.</w:t>
      </w:r>
    </w:p>
    <w:p w14:paraId="66FA1B36" w14:textId="2738819E" w:rsidR="007B0EBB" w:rsidRDefault="008A1A1C" w:rsidP="007B0EBB">
      <w:pPr>
        <w:pStyle w:val="Heading5"/>
        <w:rPr>
          <w:lang w:eastAsia="ja-JP"/>
        </w:rPr>
      </w:pPr>
      <w:r>
        <w:rPr>
          <w:lang w:eastAsia="ja-JP"/>
        </w:rPr>
        <w:t xml:space="preserve">Study </w:t>
      </w:r>
      <w:r w:rsidR="008A2A93">
        <w:rPr>
          <w:lang w:eastAsia="ja-JP"/>
        </w:rPr>
        <w:t>design</w:t>
      </w:r>
    </w:p>
    <w:p w14:paraId="23F2D9A2" w14:textId="77777777" w:rsidR="008A1A1C" w:rsidRDefault="008A1A1C" w:rsidP="008A1A1C">
      <w:pPr>
        <w:rPr>
          <w:lang w:eastAsia="ja-JP"/>
        </w:rPr>
      </w:pPr>
      <w:r>
        <w:rPr>
          <w:lang w:eastAsia="ja-JP"/>
        </w:rPr>
        <w:t xml:space="preserve">This was an open-label, </w:t>
      </w:r>
      <w:r w:rsidR="00404803">
        <w:rPr>
          <w:lang w:eastAsia="ja-JP"/>
        </w:rPr>
        <w:t>randomised</w:t>
      </w:r>
      <w:r>
        <w:rPr>
          <w:lang w:eastAsia="ja-JP"/>
        </w:rPr>
        <w:t>, parallel</w:t>
      </w:r>
      <w:r w:rsidR="007B0EBB">
        <w:rPr>
          <w:lang w:eastAsia="ja-JP"/>
        </w:rPr>
        <w:t xml:space="preserve"> </w:t>
      </w:r>
      <w:r>
        <w:rPr>
          <w:lang w:eastAsia="ja-JP"/>
        </w:rPr>
        <w:t xml:space="preserve">group study in male and female members of the ADF who had been stationed in the Southwest Pacific. Subjects had been taking daily </w:t>
      </w:r>
      <w:r>
        <w:rPr>
          <w:lang w:eastAsia="ja-JP"/>
        </w:rPr>
        <w:lastRenderedPageBreak/>
        <w:t xml:space="preserve">doxycycline as malaria prophylaxis during deployment. Three distinct cohorts were enrolled into the study: AMI 001 (Papua New Guinea), AMI 002 and AMI 003 (East Timor). Subjects who met the entry criteria (healthy, G6PD-normal, free from malaria) were </w:t>
      </w:r>
      <w:r w:rsidR="00404803">
        <w:rPr>
          <w:lang w:eastAsia="ja-JP"/>
        </w:rPr>
        <w:t>randomised</w:t>
      </w:r>
      <w:r>
        <w:rPr>
          <w:lang w:eastAsia="ja-JP"/>
        </w:rPr>
        <w:t xml:space="preserve"> to receive primaquine (7.5 mg daily for 14 days) or tafenoquine:</w:t>
      </w:r>
    </w:p>
    <w:p w14:paraId="3693EEB9" w14:textId="77777777" w:rsidR="008A1A1C" w:rsidRDefault="008A1A1C" w:rsidP="004C149F">
      <w:pPr>
        <w:pStyle w:val="ListBullet"/>
        <w:rPr>
          <w:lang w:eastAsia="ja-JP"/>
        </w:rPr>
      </w:pPr>
      <w:r>
        <w:rPr>
          <w:lang w:eastAsia="ja-JP"/>
        </w:rPr>
        <w:t xml:space="preserve">400 </w:t>
      </w:r>
      <w:r w:rsidR="004C149F">
        <w:rPr>
          <w:lang w:eastAsia="ja-JP"/>
        </w:rPr>
        <w:t>mg OD</w:t>
      </w:r>
      <w:r>
        <w:rPr>
          <w:lang w:eastAsia="ja-JP"/>
        </w:rPr>
        <w:t xml:space="preserve"> for three days (AMI 001</w:t>
      </w:r>
      <w:r w:rsidR="004C149F">
        <w:rPr>
          <w:lang w:eastAsia="ja-JP"/>
        </w:rPr>
        <w:t xml:space="preserve"> and </w:t>
      </w:r>
      <w:r>
        <w:rPr>
          <w:lang w:eastAsia="ja-JP"/>
        </w:rPr>
        <w:t>002)</w:t>
      </w:r>
    </w:p>
    <w:p w14:paraId="643A04FF" w14:textId="77777777" w:rsidR="008A1A1C" w:rsidRDefault="008A1A1C" w:rsidP="004C149F">
      <w:pPr>
        <w:pStyle w:val="ListBullet"/>
        <w:rPr>
          <w:lang w:eastAsia="ja-JP"/>
        </w:rPr>
      </w:pPr>
      <w:r>
        <w:rPr>
          <w:lang w:eastAsia="ja-JP"/>
        </w:rPr>
        <w:t xml:space="preserve">200 </w:t>
      </w:r>
      <w:r w:rsidR="00404803">
        <w:rPr>
          <w:lang w:eastAsia="ja-JP"/>
        </w:rPr>
        <w:t>mg BID</w:t>
      </w:r>
      <w:r>
        <w:rPr>
          <w:lang w:eastAsia="ja-JP"/>
        </w:rPr>
        <w:t xml:space="preserve"> for three days (AMI 001</w:t>
      </w:r>
      <w:r w:rsidR="004C149F">
        <w:rPr>
          <w:lang w:eastAsia="ja-JP"/>
        </w:rPr>
        <w:t xml:space="preserve"> and </w:t>
      </w:r>
      <w:r>
        <w:rPr>
          <w:lang w:eastAsia="ja-JP"/>
        </w:rPr>
        <w:t>002)</w:t>
      </w:r>
    </w:p>
    <w:p w14:paraId="20DEAA04" w14:textId="77777777" w:rsidR="008A1A1C" w:rsidRDefault="008A1A1C" w:rsidP="004C149F">
      <w:pPr>
        <w:pStyle w:val="ListBullet"/>
        <w:rPr>
          <w:lang w:eastAsia="ja-JP"/>
        </w:rPr>
      </w:pPr>
      <w:r>
        <w:rPr>
          <w:lang w:eastAsia="ja-JP"/>
        </w:rPr>
        <w:t xml:space="preserve">200 mg </w:t>
      </w:r>
      <w:r w:rsidR="004C149F">
        <w:rPr>
          <w:lang w:eastAsia="ja-JP"/>
        </w:rPr>
        <w:t>OD</w:t>
      </w:r>
      <w:r>
        <w:rPr>
          <w:lang w:eastAsia="ja-JP"/>
        </w:rPr>
        <w:t xml:space="preserve"> for three days (AMI 003)</w:t>
      </w:r>
    </w:p>
    <w:p w14:paraId="192D2D34" w14:textId="77777777" w:rsidR="00F1528F" w:rsidRDefault="008A1A1C" w:rsidP="008A1A1C">
      <w:pPr>
        <w:rPr>
          <w:lang w:eastAsia="ja-JP"/>
        </w:rPr>
      </w:pPr>
      <w:r>
        <w:rPr>
          <w:lang w:eastAsia="ja-JP"/>
        </w:rPr>
        <w:t xml:space="preserve">Randomisation was in the ratio (Primaquine: Tafenoquine) 1:1 for AMI 001, 1:2 for AMI 002, and 1:3 for AMI 003. Subjects were evaluated at Screening and Day 4 (last day on deployment), when blood samples were taken for haematology, biochemistry, and PK analysis. Subjects were followed up for 12 months for the development of relapse of </w:t>
      </w:r>
      <w:proofErr w:type="gramStart"/>
      <w:r>
        <w:rPr>
          <w:lang w:eastAsia="ja-JP"/>
        </w:rPr>
        <w:t>Pv</w:t>
      </w:r>
      <w:proofErr w:type="gramEnd"/>
      <w:r>
        <w:rPr>
          <w:lang w:eastAsia="ja-JP"/>
        </w:rPr>
        <w:t>. If relapse occurred, this was treated with chloroquine (</w:t>
      </w:r>
      <w:r w:rsidR="004C149F">
        <w:rPr>
          <w:lang w:eastAsia="ja-JP"/>
        </w:rPr>
        <w:t>3</w:t>
      </w:r>
      <w:r>
        <w:rPr>
          <w:lang w:eastAsia="ja-JP"/>
        </w:rPr>
        <w:t xml:space="preserve"> days) followed by tafenoquine (</w:t>
      </w:r>
      <w:r w:rsidR="004C149F">
        <w:rPr>
          <w:lang w:eastAsia="ja-JP"/>
        </w:rPr>
        <w:t>3</w:t>
      </w:r>
      <w:r>
        <w:rPr>
          <w:lang w:eastAsia="ja-JP"/>
        </w:rPr>
        <w:t xml:space="preserve"> days).</w:t>
      </w:r>
    </w:p>
    <w:p w14:paraId="752BDDE2" w14:textId="217B9250" w:rsidR="007B0EBB" w:rsidRDefault="008A1A1C" w:rsidP="007B0EBB">
      <w:pPr>
        <w:pStyle w:val="Heading5"/>
        <w:rPr>
          <w:lang w:eastAsia="ja-JP"/>
        </w:rPr>
      </w:pPr>
      <w:r w:rsidRPr="004C149F">
        <w:rPr>
          <w:lang w:eastAsia="ja-JP"/>
        </w:rPr>
        <w:t xml:space="preserve">Study </w:t>
      </w:r>
      <w:r w:rsidR="008A2A93">
        <w:rPr>
          <w:lang w:eastAsia="ja-JP"/>
        </w:rPr>
        <w:t>p</w:t>
      </w:r>
      <w:r w:rsidR="008A2A93" w:rsidRPr="004C149F">
        <w:rPr>
          <w:lang w:eastAsia="ja-JP"/>
        </w:rPr>
        <w:t>opulatio</w:t>
      </w:r>
      <w:r w:rsidR="008A2A93">
        <w:rPr>
          <w:lang w:eastAsia="ja-JP"/>
        </w:rPr>
        <w:t>n</w:t>
      </w:r>
    </w:p>
    <w:p w14:paraId="2EEC1792" w14:textId="77777777" w:rsidR="008A1A1C" w:rsidRDefault="008A1A1C" w:rsidP="008A1A1C">
      <w:pPr>
        <w:rPr>
          <w:lang w:eastAsia="ja-JP"/>
        </w:rPr>
      </w:pPr>
      <w:r>
        <w:rPr>
          <w:lang w:eastAsia="ja-JP"/>
        </w:rPr>
        <w:t>Subjects included were consenting G6PD</w:t>
      </w:r>
      <w:r w:rsidR="00122529">
        <w:rPr>
          <w:lang w:eastAsia="ja-JP"/>
        </w:rPr>
        <w:t>-</w:t>
      </w:r>
      <w:r>
        <w:rPr>
          <w:lang w:eastAsia="ja-JP"/>
        </w:rPr>
        <w:t>normal adults, between 18 and 55 years of age, in good health. All subjects were G6PD</w:t>
      </w:r>
      <w:r w:rsidR="00122529">
        <w:rPr>
          <w:lang w:eastAsia="ja-JP"/>
        </w:rPr>
        <w:t>-</w:t>
      </w:r>
      <w:r>
        <w:rPr>
          <w:lang w:eastAsia="ja-JP"/>
        </w:rPr>
        <w:t>normal and gave written informed consent.</w:t>
      </w:r>
    </w:p>
    <w:p w14:paraId="3251083E" w14:textId="1CA8D1FE" w:rsidR="007B0EBB" w:rsidRDefault="008A1A1C" w:rsidP="007B0EBB">
      <w:pPr>
        <w:pStyle w:val="Heading5"/>
        <w:rPr>
          <w:lang w:eastAsia="ja-JP"/>
        </w:rPr>
      </w:pPr>
      <w:r w:rsidRPr="004C149F">
        <w:rPr>
          <w:lang w:eastAsia="ja-JP"/>
        </w:rPr>
        <w:t xml:space="preserve">Treatment and </w:t>
      </w:r>
      <w:r w:rsidR="008A2A93">
        <w:rPr>
          <w:lang w:eastAsia="ja-JP"/>
        </w:rPr>
        <w:t>a</w:t>
      </w:r>
      <w:r w:rsidR="008A2A93" w:rsidRPr="004C149F">
        <w:rPr>
          <w:lang w:eastAsia="ja-JP"/>
        </w:rPr>
        <w:t>dministration</w:t>
      </w:r>
    </w:p>
    <w:p w14:paraId="69B601F2" w14:textId="77777777" w:rsidR="008A1A1C" w:rsidRDefault="008A1A1C" w:rsidP="008A1A1C">
      <w:pPr>
        <w:rPr>
          <w:lang w:eastAsia="ja-JP"/>
        </w:rPr>
      </w:pPr>
      <w:r>
        <w:rPr>
          <w:lang w:eastAsia="ja-JP"/>
        </w:rPr>
        <w:t xml:space="preserve">Subjects were </w:t>
      </w:r>
      <w:r w:rsidR="00404803">
        <w:rPr>
          <w:lang w:eastAsia="ja-JP"/>
        </w:rPr>
        <w:t>randomised</w:t>
      </w:r>
      <w:r>
        <w:rPr>
          <w:lang w:eastAsia="ja-JP"/>
        </w:rPr>
        <w:t xml:space="preserve"> to receive either primaquine or tafenoquine as described above. The study drug was supplied as follows:</w:t>
      </w:r>
    </w:p>
    <w:p w14:paraId="06758F70" w14:textId="77777777" w:rsidR="008A1A1C" w:rsidRDefault="008A1A1C" w:rsidP="004C149F">
      <w:pPr>
        <w:pStyle w:val="ListBullet"/>
        <w:rPr>
          <w:lang w:eastAsia="ja-JP"/>
        </w:rPr>
      </w:pPr>
      <w:r>
        <w:rPr>
          <w:lang w:eastAsia="ja-JP"/>
        </w:rPr>
        <w:t>Primaquine: each tablet contained 7.5 mg primaquine</w:t>
      </w:r>
    </w:p>
    <w:p w14:paraId="670C6C17" w14:textId="77777777" w:rsidR="008A1A1C" w:rsidRDefault="008A1A1C" w:rsidP="004C149F">
      <w:pPr>
        <w:pStyle w:val="ListBullet"/>
        <w:rPr>
          <w:lang w:eastAsia="ja-JP"/>
        </w:rPr>
      </w:pPr>
      <w:r>
        <w:rPr>
          <w:lang w:eastAsia="ja-JP"/>
        </w:rPr>
        <w:t>Tafenoquine: each capsule contained 250 mg (200 mg base equivalent) tafenoquine</w:t>
      </w:r>
    </w:p>
    <w:p w14:paraId="629B953B" w14:textId="7740BFC2" w:rsidR="00F1528F" w:rsidRDefault="008A1A1C" w:rsidP="008A1A1C">
      <w:pPr>
        <w:rPr>
          <w:lang w:eastAsia="ja-JP"/>
        </w:rPr>
      </w:pPr>
      <w:r>
        <w:rPr>
          <w:lang w:eastAsia="ja-JP"/>
        </w:rPr>
        <w:t xml:space="preserve">All study volunteers </w:t>
      </w:r>
      <w:r w:rsidR="00404803">
        <w:rPr>
          <w:lang w:eastAsia="ja-JP"/>
        </w:rPr>
        <w:t>randomised</w:t>
      </w:r>
      <w:r>
        <w:rPr>
          <w:lang w:eastAsia="ja-JP"/>
        </w:rPr>
        <w:t xml:space="preserve"> to primaquine were to continue doxycycline 100 mg for 2</w:t>
      </w:r>
      <w:r w:rsidR="008A2A93">
        <w:rPr>
          <w:lang w:eastAsia="ja-JP"/>
        </w:rPr>
        <w:t> </w:t>
      </w:r>
      <w:r>
        <w:rPr>
          <w:lang w:eastAsia="ja-JP"/>
        </w:rPr>
        <w:t>weeks on leaving the deployment area in accordance with ADF policy</w:t>
      </w:r>
      <w:r w:rsidR="00CF5454">
        <w:rPr>
          <w:lang w:eastAsia="ja-JP"/>
        </w:rPr>
        <w:t xml:space="preserve"> at the time</w:t>
      </w:r>
      <w:r>
        <w:rPr>
          <w:lang w:eastAsia="ja-JP"/>
        </w:rPr>
        <w:t>.</w:t>
      </w:r>
    </w:p>
    <w:p w14:paraId="05B8E156" w14:textId="0A0971DC" w:rsidR="007B0EBB" w:rsidRDefault="008A1A1C" w:rsidP="007B0EBB">
      <w:pPr>
        <w:pStyle w:val="Heading5"/>
        <w:rPr>
          <w:lang w:eastAsia="ja-JP"/>
        </w:rPr>
      </w:pPr>
      <w:r w:rsidRPr="004C149F">
        <w:rPr>
          <w:lang w:eastAsia="ja-JP"/>
        </w:rPr>
        <w:t xml:space="preserve">Efficacy </w:t>
      </w:r>
      <w:r w:rsidR="008A2A93">
        <w:rPr>
          <w:lang w:eastAsia="ja-JP"/>
        </w:rPr>
        <w:t>p</w:t>
      </w:r>
      <w:r w:rsidR="008A2A93" w:rsidRPr="004C149F">
        <w:rPr>
          <w:lang w:eastAsia="ja-JP"/>
        </w:rPr>
        <w:t>arameters</w:t>
      </w:r>
    </w:p>
    <w:p w14:paraId="20A95F1C" w14:textId="5483EE0A" w:rsidR="008A1A1C" w:rsidRDefault="008A1A1C" w:rsidP="008A1A1C">
      <w:pPr>
        <w:rPr>
          <w:lang w:eastAsia="ja-JP"/>
        </w:rPr>
      </w:pPr>
      <w:r>
        <w:rPr>
          <w:lang w:eastAsia="ja-JP"/>
        </w:rPr>
        <w:t>The primary efficacy parameter was the proportion of subjects with confirmed parasit</w:t>
      </w:r>
      <w:r w:rsidR="00CF5454">
        <w:rPr>
          <w:lang w:eastAsia="ja-JP"/>
        </w:rPr>
        <w:t>a</w:t>
      </w:r>
      <w:r>
        <w:rPr>
          <w:lang w:eastAsia="ja-JP"/>
        </w:rPr>
        <w:t>emia during the 12 month Follow-up period. The secondary efficacy variable was time to confirmed parasit</w:t>
      </w:r>
      <w:r w:rsidR="00CF5454">
        <w:rPr>
          <w:lang w:eastAsia="ja-JP"/>
        </w:rPr>
        <w:t>a</w:t>
      </w:r>
      <w:r>
        <w:rPr>
          <w:lang w:eastAsia="ja-JP"/>
        </w:rPr>
        <w:t>emia during the 12 month follow-up period.</w:t>
      </w:r>
    </w:p>
    <w:p w14:paraId="1CB277DC" w14:textId="2761CC7B" w:rsidR="007B0EBB" w:rsidRDefault="008A1A1C" w:rsidP="007B0EBB">
      <w:pPr>
        <w:pStyle w:val="Heading5"/>
        <w:rPr>
          <w:lang w:eastAsia="ja-JP"/>
        </w:rPr>
      </w:pPr>
      <w:r w:rsidRPr="004C149F">
        <w:t xml:space="preserve">Statistical </w:t>
      </w:r>
      <w:r w:rsidR="008A2A93">
        <w:rPr>
          <w:lang w:eastAsia="ja-JP"/>
        </w:rPr>
        <w:t>m</w:t>
      </w:r>
      <w:r w:rsidR="008A2A93" w:rsidRPr="004C149F">
        <w:rPr>
          <w:lang w:eastAsia="ja-JP"/>
        </w:rPr>
        <w:t>ethods</w:t>
      </w:r>
    </w:p>
    <w:p w14:paraId="05ACFFBA" w14:textId="77777777" w:rsidR="008A1A1C" w:rsidRDefault="008A1A1C" w:rsidP="008A1A1C">
      <w:pPr>
        <w:rPr>
          <w:lang w:eastAsia="ja-JP"/>
        </w:rPr>
      </w:pPr>
      <w:r>
        <w:rPr>
          <w:lang w:eastAsia="ja-JP"/>
        </w:rPr>
        <w:t>The PE analysis consisted of a chi-squared test of independence (and associated 95% CI) for the number of failures in each tafenoquine group versus primaquine. A Fisher’s exact test was also performed as low failure rates were observed for some of the treatment groups. Most subjects were male, and the demographics were similar between the groups.</w:t>
      </w:r>
    </w:p>
    <w:p w14:paraId="58DB3D03" w14:textId="6DEE5011" w:rsidR="004C149F" w:rsidRDefault="008A1A1C" w:rsidP="004C149F">
      <w:pPr>
        <w:pStyle w:val="Heading5"/>
        <w:rPr>
          <w:lang w:eastAsia="ja-JP"/>
        </w:rPr>
      </w:pPr>
      <w:r>
        <w:rPr>
          <w:lang w:eastAsia="ja-JP"/>
        </w:rPr>
        <w:t xml:space="preserve">Efficacy </w:t>
      </w:r>
      <w:r w:rsidR="008A2A93">
        <w:rPr>
          <w:lang w:eastAsia="ja-JP"/>
        </w:rPr>
        <w:t>results</w:t>
      </w:r>
    </w:p>
    <w:p w14:paraId="6DC09000" w14:textId="6A827DA8" w:rsidR="008A1A1C" w:rsidRDefault="008A1A1C" w:rsidP="008A1A1C">
      <w:pPr>
        <w:rPr>
          <w:lang w:eastAsia="ja-JP"/>
        </w:rPr>
      </w:pPr>
      <w:r>
        <w:rPr>
          <w:lang w:eastAsia="ja-JP"/>
        </w:rPr>
        <w:t>The efficacy analysis was based on the ITT population</w:t>
      </w:r>
      <w:r w:rsidR="008A2A93">
        <w:rPr>
          <w:lang w:eastAsia="ja-JP"/>
        </w:rPr>
        <w:t>.</w:t>
      </w:r>
    </w:p>
    <w:p w14:paraId="0F615021" w14:textId="58713ABB" w:rsidR="007B0EBB" w:rsidRDefault="008A1A1C" w:rsidP="007B0EBB">
      <w:pPr>
        <w:pStyle w:val="Heading6"/>
        <w:rPr>
          <w:lang w:eastAsia="ja-JP"/>
        </w:rPr>
      </w:pPr>
      <w:r w:rsidRPr="004C149F">
        <w:rPr>
          <w:lang w:eastAsia="ja-JP"/>
        </w:rPr>
        <w:t xml:space="preserve">Primary </w:t>
      </w:r>
      <w:r w:rsidR="008A2A93">
        <w:rPr>
          <w:lang w:eastAsia="ja-JP"/>
        </w:rPr>
        <w:t>e</w:t>
      </w:r>
      <w:r w:rsidR="008A2A93" w:rsidRPr="004C149F">
        <w:rPr>
          <w:lang w:eastAsia="ja-JP"/>
        </w:rPr>
        <w:t xml:space="preserve">fficacy </w:t>
      </w:r>
      <w:r w:rsidR="008A2A93">
        <w:rPr>
          <w:lang w:eastAsia="ja-JP"/>
        </w:rPr>
        <w:t>v</w:t>
      </w:r>
      <w:r w:rsidR="008A2A93" w:rsidRPr="004C149F">
        <w:rPr>
          <w:lang w:eastAsia="ja-JP"/>
        </w:rPr>
        <w:t>ariable</w:t>
      </w:r>
    </w:p>
    <w:p w14:paraId="234BCCD8" w14:textId="0AE70841" w:rsidR="008A1A1C" w:rsidRPr="005B2850" w:rsidRDefault="008A1A1C" w:rsidP="008A1A1C">
      <w:pPr>
        <w:rPr>
          <w:lang w:eastAsia="ja-JP"/>
        </w:rPr>
      </w:pPr>
      <w:r>
        <w:rPr>
          <w:lang w:eastAsia="ja-JP"/>
        </w:rPr>
        <w:t>The primary efficacy parameter was the proportion of subjects with confirmed parasit</w:t>
      </w:r>
      <w:r w:rsidR="00CF5454">
        <w:rPr>
          <w:lang w:eastAsia="ja-JP"/>
        </w:rPr>
        <w:t>a</w:t>
      </w:r>
      <w:r>
        <w:rPr>
          <w:lang w:eastAsia="ja-JP"/>
        </w:rPr>
        <w:t xml:space="preserve">emia during the 12 months following initial eradication. Results were very similar between all the treatment </w:t>
      </w:r>
      <w:r w:rsidRPr="005B2850">
        <w:rPr>
          <w:lang w:eastAsia="ja-JP"/>
        </w:rPr>
        <w:t>groups. In the tafenoquine 400 mg or 200 mg B</w:t>
      </w:r>
      <w:r w:rsidR="004C149F" w:rsidRPr="005B2850">
        <w:rPr>
          <w:lang w:eastAsia="ja-JP"/>
        </w:rPr>
        <w:t>I</w:t>
      </w:r>
      <w:r w:rsidRPr="005B2850">
        <w:rPr>
          <w:lang w:eastAsia="ja-JP"/>
        </w:rPr>
        <w:t>D groups, over 97% were parasit</w:t>
      </w:r>
      <w:r w:rsidR="00CF5454">
        <w:rPr>
          <w:lang w:eastAsia="ja-JP"/>
        </w:rPr>
        <w:t>a</w:t>
      </w:r>
      <w:r w:rsidRPr="005B2850">
        <w:rPr>
          <w:lang w:eastAsia="ja-JP"/>
        </w:rPr>
        <w:t>emia free (similar to the primaquine group) and in the treatment group that received tafenoquine 200 mg, this number was over 95% (once again, similar to the primaquine gr</w:t>
      </w:r>
      <w:r w:rsidR="004C149F" w:rsidRPr="005B2850">
        <w:rPr>
          <w:lang w:eastAsia="ja-JP"/>
        </w:rPr>
        <w:t>oup). These results are summaris</w:t>
      </w:r>
      <w:r w:rsidRPr="005B2850">
        <w:rPr>
          <w:lang w:eastAsia="ja-JP"/>
        </w:rPr>
        <w:t xml:space="preserve">ed for each cohort in </w:t>
      </w:r>
      <w:r w:rsidR="00686267" w:rsidRPr="005B2850">
        <w:rPr>
          <w:lang w:eastAsia="ja-JP"/>
        </w:rPr>
        <w:t>Tables 3</w:t>
      </w:r>
      <w:r w:rsidR="005B2850" w:rsidRPr="005B2850">
        <w:rPr>
          <w:lang w:eastAsia="ja-JP"/>
        </w:rPr>
        <w:t>4</w:t>
      </w:r>
      <w:r w:rsidR="008A2A93">
        <w:rPr>
          <w:lang w:eastAsia="ja-JP"/>
        </w:rPr>
        <w:t xml:space="preserve"> to </w:t>
      </w:r>
      <w:r w:rsidR="00686267" w:rsidRPr="005B2850">
        <w:rPr>
          <w:lang w:eastAsia="ja-JP"/>
        </w:rPr>
        <w:t>3</w:t>
      </w:r>
      <w:r w:rsidR="005B2850" w:rsidRPr="005B2850">
        <w:rPr>
          <w:lang w:eastAsia="ja-JP"/>
        </w:rPr>
        <w:t>6</w:t>
      </w:r>
      <w:r w:rsidRPr="005B2850">
        <w:rPr>
          <w:lang w:eastAsia="ja-JP"/>
        </w:rPr>
        <w:t>.</w:t>
      </w:r>
    </w:p>
    <w:p w14:paraId="2DFE3F8E" w14:textId="6532A14C" w:rsidR="006B4DC1" w:rsidRPr="00B9231E" w:rsidRDefault="006B4DC1" w:rsidP="00686267">
      <w:pPr>
        <w:pStyle w:val="Tabletitle"/>
        <w:rPr>
          <w:lang w:eastAsia="ja-JP"/>
        </w:rPr>
      </w:pPr>
      <w:bookmarkStart w:id="406" w:name="_Ref501289831"/>
      <w:bookmarkStart w:id="407" w:name="_Toc504229455"/>
      <w:bookmarkStart w:id="408" w:name="_Toc501293705"/>
      <w:r w:rsidRPr="005B2850">
        <w:lastRenderedPageBreak/>
        <w:t xml:space="preserve">Table </w:t>
      </w:r>
      <w:r w:rsidR="00686267" w:rsidRPr="005B2850">
        <w:t>3</w:t>
      </w:r>
      <w:r w:rsidR="005B2850" w:rsidRPr="005B2850">
        <w:t>4</w:t>
      </w:r>
      <w:r w:rsidR="00686267" w:rsidRPr="005B2850">
        <w:t>:</w:t>
      </w:r>
      <w:bookmarkEnd w:id="406"/>
      <w:r w:rsidRPr="005B2850">
        <w:t xml:space="preserve"> C</w:t>
      </w:r>
      <w:r w:rsidRPr="005B2850">
        <w:rPr>
          <w:lang w:eastAsia="ja-JP"/>
        </w:rPr>
        <w:t xml:space="preserve">onfirmed </w:t>
      </w:r>
      <w:r w:rsidR="008A2A93">
        <w:rPr>
          <w:lang w:eastAsia="ja-JP"/>
        </w:rPr>
        <w:t>p</w:t>
      </w:r>
      <w:r w:rsidR="008A2A93" w:rsidRPr="005B2850">
        <w:rPr>
          <w:lang w:eastAsia="ja-JP"/>
        </w:rPr>
        <w:t>arasit</w:t>
      </w:r>
      <w:r w:rsidR="008A2A93">
        <w:rPr>
          <w:lang w:eastAsia="ja-JP"/>
        </w:rPr>
        <w:t>a</w:t>
      </w:r>
      <w:r w:rsidR="008A2A93" w:rsidRPr="005B2850">
        <w:rPr>
          <w:lang w:eastAsia="ja-JP"/>
        </w:rPr>
        <w:t>emia</w:t>
      </w:r>
      <w:r w:rsidRPr="005B2850">
        <w:rPr>
          <w:lang w:eastAsia="ja-JP"/>
        </w:rPr>
        <w:t xml:space="preserve"> Cohort AMI 001 (Study 049)</w:t>
      </w:r>
      <w:bookmarkEnd w:id="407"/>
      <w:bookmarkEnd w:id="408"/>
    </w:p>
    <w:p w14:paraId="0DD8F033" w14:textId="77777777" w:rsidR="006B4DC1" w:rsidRDefault="006B4DC1" w:rsidP="006B4DC1">
      <w:pPr>
        <w:rPr>
          <w:lang w:eastAsia="ja-JP"/>
        </w:rPr>
      </w:pPr>
      <w:r w:rsidRPr="00CC3E54">
        <w:rPr>
          <w:noProof/>
          <w:lang w:eastAsia="en-AU"/>
        </w:rPr>
        <w:drawing>
          <wp:inline distT="0" distB="0" distL="0" distR="0" wp14:anchorId="0B35868C" wp14:editId="0FBB71A4">
            <wp:extent cx="5226050" cy="1898650"/>
            <wp:effectExtent l="0" t="0" r="0" b="6350"/>
            <wp:docPr id="59" name="Picture 59" descr="Confirmed Parasitemia, Cohort AMI 001 (Study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5226050" cy="1898650"/>
                    </a:xfrm>
                    <a:prstGeom prst="rect">
                      <a:avLst/>
                    </a:prstGeom>
                    <a:noFill/>
                    <a:ln>
                      <a:noFill/>
                    </a:ln>
                  </pic:spPr>
                </pic:pic>
              </a:graphicData>
            </a:graphic>
          </wp:inline>
        </w:drawing>
      </w:r>
    </w:p>
    <w:p w14:paraId="56837E30" w14:textId="6262BE0B" w:rsidR="006B4DC1" w:rsidRPr="00B9231E" w:rsidRDefault="006B4DC1" w:rsidP="00686267">
      <w:pPr>
        <w:pStyle w:val="Tabletitle"/>
        <w:rPr>
          <w:lang w:eastAsia="ja-JP"/>
        </w:rPr>
      </w:pPr>
      <w:bookmarkStart w:id="409" w:name="_Ref501289834"/>
      <w:bookmarkStart w:id="410" w:name="_Toc504229456"/>
      <w:bookmarkStart w:id="411" w:name="_Toc501293706"/>
      <w:r>
        <w:t xml:space="preserve">Table </w:t>
      </w:r>
      <w:r w:rsidR="005B2850">
        <w:t>35</w:t>
      </w:r>
      <w:r w:rsidR="00686267">
        <w:t>:</w:t>
      </w:r>
      <w:bookmarkEnd w:id="409"/>
      <w:r>
        <w:t xml:space="preserve"> </w:t>
      </w:r>
      <w:r w:rsidRPr="00B9231E">
        <w:rPr>
          <w:lang w:eastAsia="ja-JP"/>
        </w:rPr>
        <w:t xml:space="preserve">Confirmed </w:t>
      </w:r>
      <w:r w:rsidR="008A2A93">
        <w:rPr>
          <w:lang w:eastAsia="ja-JP"/>
        </w:rPr>
        <w:t>p</w:t>
      </w:r>
      <w:r w:rsidR="008A2A93" w:rsidRPr="00B9231E">
        <w:rPr>
          <w:lang w:eastAsia="ja-JP"/>
        </w:rPr>
        <w:t>arasit</w:t>
      </w:r>
      <w:r w:rsidR="008A2A93">
        <w:rPr>
          <w:lang w:eastAsia="ja-JP"/>
        </w:rPr>
        <w:t>a</w:t>
      </w:r>
      <w:r w:rsidR="008A2A93" w:rsidRPr="00B9231E">
        <w:rPr>
          <w:lang w:eastAsia="ja-JP"/>
        </w:rPr>
        <w:t>emia</w:t>
      </w:r>
      <w:r w:rsidRPr="00B9231E">
        <w:rPr>
          <w:lang w:eastAsia="ja-JP"/>
        </w:rPr>
        <w:t>, Cohort AMI 002 (Study 049)</w:t>
      </w:r>
      <w:bookmarkEnd w:id="410"/>
      <w:bookmarkEnd w:id="411"/>
    </w:p>
    <w:p w14:paraId="0D8CD0FB" w14:textId="77777777" w:rsidR="006B4DC1" w:rsidRDefault="006B4DC1" w:rsidP="006B4DC1">
      <w:pPr>
        <w:rPr>
          <w:lang w:eastAsia="ja-JP"/>
        </w:rPr>
      </w:pPr>
      <w:r w:rsidRPr="00CC3E54">
        <w:rPr>
          <w:noProof/>
          <w:lang w:eastAsia="en-AU"/>
        </w:rPr>
        <w:drawing>
          <wp:inline distT="0" distB="0" distL="0" distR="0" wp14:anchorId="3F3856C5" wp14:editId="0733E63D">
            <wp:extent cx="5226050" cy="1898650"/>
            <wp:effectExtent l="0" t="0" r="0" b="6350"/>
            <wp:docPr id="60" name="Picture 60" descr="Confirmed Parasitemia, Cohort AMI 002 (Study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226050" cy="1898650"/>
                    </a:xfrm>
                    <a:prstGeom prst="rect">
                      <a:avLst/>
                    </a:prstGeom>
                    <a:noFill/>
                    <a:ln>
                      <a:noFill/>
                    </a:ln>
                  </pic:spPr>
                </pic:pic>
              </a:graphicData>
            </a:graphic>
          </wp:inline>
        </w:drawing>
      </w:r>
    </w:p>
    <w:p w14:paraId="6E39E2FB" w14:textId="75BEB61F" w:rsidR="006B4DC1" w:rsidRPr="00B9231E" w:rsidRDefault="006B4DC1" w:rsidP="00686267">
      <w:pPr>
        <w:pStyle w:val="Tabletitle"/>
        <w:rPr>
          <w:lang w:eastAsia="ja-JP"/>
        </w:rPr>
      </w:pPr>
      <w:bookmarkStart w:id="412" w:name="_Ref501289836"/>
      <w:bookmarkStart w:id="413" w:name="_Toc504229457"/>
      <w:bookmarkStart w:id="414" w:name="_Toc501293707"/>
      <w:r>
        <w:t>Table</w:t>
      </w:r>
      <w:r w:rsidR="00686267">
        <w:t xml:space="preserve"> 3</w:t>
      </w:r>
      <w:r w:rsidR="005B2850">
        <w:t>6</w:t>
      </w:r>
      <w:r w:rsidR="00686267">
        <w:t>:</w:t>
      </w:r>
      <w:bookmarkEnd w:id="412"/>
      <w:r>
        <w:t xml:space="preserve"> </w:t>
      </w:r>
      <w:r w:rsidRPr="00B9231E">
        <w:rPr>
          <w:lang w:eastAsia="ja-JP"/>
        </w:rPr>
        <w:t xml:space="preserve">Confirmed </w:t>
      </w:r>
      <w:r w:rsidR="008A2A93">
        <w:rPr>
          <w:lang w:eastAsia="ja-JP"/>
        </w:rPr>
        <w:t>p</w:t>
      </w:r>
      <w:r w:rsidR="008A2A93" w:rsidRPr="00B9231E">
        <w:rPr>
          <w:lang w:eastAsia="ja-JP"/>
        </w:rPr>
        <w:t>arasit</w:t>
      </w:r>
      <w:r w:rsidR="008A2A93">
        <w:rPr>
          <w:lang w:eastAsia="ja-JP"/>
        </w:rPr>
        <w:t>a</w:t>
      </w:r>
      <w:r w:rsidR="008A2A93" w:rsidRPr="00B9231E">
        <w:rPr>
          <w:lang w:eastAsia="ja-JP"/>
        </w:rPr>
        <w:t>emia</w:t>
      </w:r>
      <w:r w:rsidRPr="00B9231E">
        <w:rPr>
          <w:lang w:eastAsia="ja-JP"/>
        </w:rPr>
        <w:t>, Cohort AMI 003 (Study 049)</w:t>
      </w:r>
      <w:bookmarkEnd w:id="413"/>
      <w:bookmarkEnd w:id="414"/>
    </w:p>
    <w:p w14:paraId="3DC5A10F" w14:textId="77777777" w:rsidR="006B4DC1" w:rsidRDefault="006B4DC1" w:rsidP="006B4DC1">
      <w:pPr>
        <w:rPr>
          <w:lang w:eastAsia="ja-JP"/>
        </w:rPr>
      </w:pPr>
      <w:r w:rsidRPr="00CC3E54">
        <w:rPr>
          <w:noProof/>
          <w:lang w:eastAsia="en-AU"/>
        </w:rPr>
        <w:drawing>
          <wp:inline distT="0" distB="0" distL="0" distR="0" wp14:anchorId="29264704" wp14:editId="6D1471EC">
            <wp:extent cx="5175250" cy="1898650"/>
            <wp:effectExtent l="0" t="0" r="6350" b="6350"/>
            <wp:docPr id="61" name="Picture 61" descr="Confirmed Parasitemia, Cohort AMI 003 (Study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175250" cy="1898650"/>
                    </a:xfrm>
                    <a:prstGeom prst="rect">
                      <a:avLst/>
                    </a:prstGeom>
                    <a:noFill/>
                    <a:ln>
                      <a:noFill/>
                    </a:ln>
                  </pic:spPr>
                </pic:pic>
              </a:graphicData>
            </a:graphic>
          </wp:inline>
        </w:drawing>
      </w:r>
    </w:p>
    <w:p w14:paraId="61C08940" w14:textId="74854BF5" w:rsidR="007B0EBB" w:rsidRDefault="008A1A1C" w:rsidP="007B0EBB">
      <w:pPr>
        <w:pStyle w:val="Heading6"/>
        <w:rPr>
          <w:lang w:eastAsia="ja-JP"/>
        </w:rPr>
      </w:pPr>
      <w:r w:rsidRPr="004C149F">
        <w:rPr>
          <w:lang w:eastAsia="ja-JP"/>
        </w:rPr>
        <w:t xml:space="preserve">Secondary </w:t>
      </w:r>
      <w:r w:rsidR="001659B5" w:rsidRPr="004C149F">
        <w:rPr>
          <w:lang w:eastAsia="ja-JP"/>
        </w:rPr>
        <w:t>efficacy variable</w:t>
      </w:r>
    </w:p>
    <w:p w14:paraId="325E3D0F" w14:textId="305DBAD9" w:rsidR="008A1A1C" w:rsidRDefault="008A1A1C" w:rsidP="008A1A1C">
      <w:pPr>
        <w:rPr>
          <w:lang w:eastAsia="ja-JP"/>
        </w:rPr>
      </w:pPr>
      <w:r>
        <w:rPr>
          <w:lang w:eastAsia="ja-JP"/>
        </w:rPr>
        <w:t>The secondary efficacy variable was time to parasit</w:t>
      </w:r>
      <w:r w:rsidR="00CF5454">
        <w:rPr>
          <w:lang w:eastAsia="ja-JP"/>
        </w:rPr>
        <w:t>a</w:t>
      </w:r>
      <w:r>
        <w:rPr>
          <w:lang w:eastAsia="ja-JP"/>
        </w:rPr>
        <w:t>emia. In Cohorts AMI 001 and AMI 003, the Kaplan-Meier survival curves for all treatments were almost superimposed on each other. For Cohort AMI 002; however, there was some separation of the curves showing longer times to parasit</w:t>
      </w:r>
      <w:r w:rsidR="00C65DEF">
        <w:rPr>
          <w:lang w:eastAsia="ja-JP"/>
        </w:rPr>
        <w:t>a</w:t>
      </w:r>
      <w:r>
        <w:rPr>
          <w:lang w:eastAsia="ja-JP"/>
        </w:rPr>
        <w:t xml:space="preserve">emia in the tafenoquine 200 </w:t>
      </w:r>
      <w:r w:rsidR="00404803">
        <w:rPr>
          <w:lang w:eastAsia="ja-JP"/>
        </w:rPr>
        <w:t>mg BID</w:t>
      </w:r>
      <w:r>
        <w:rPr>
          <w:lang w:eastAsia="ja-JP"/>
        </w:rPr>
        <w:t xml:space="preserve"> and tafenoquine 400 mg daily groups, than in the primaquine 7.5 mg three times daily group.</w:t>
      </w:r>
    </w:p>
    <w:p w14:paraId="64593600" w14:textId="77777777" w:rsidR="00F1528F" w:rsidRDefault="004C149F" w:rsidP="004C149F">
      <w:pPr>
        <w:pStyle w:val="Heading5"/>
        <w:rPr>
          <w:lang w:eastAsia="ja-JP"/>
        </w:rPr>
      </w:pPr>
      <w:r>
        <w:rPr>
          <w:lang w:eastAsia="ja-JP"/>
        </w:rPr>
        <w:t>Conclusion</w:t>
      </w:r>
    </w:p>
    <w:p w14:paraId="4D7977C3" w14:textId="16D5ECC7" w:rsidR="008A1A1C" w:rsidRDefault="008A1A1C" w:rsidP="004C149F">
      <w:pPr>
        <w:rPr>
          <w:lang w:eastAsia="ja-JP"/>
        </w:rPr>
      </w:pPr>
      <w:r>
        <w:rPr>
          <w:lang w:eastAsia="ja-JP"/>
        </w:rPr>
        <w:t xml:space="preserve">This study found that a three day dosing regimen of tafenoquine (400 mg </w:t>
      </w:r>
      <w:r w:rsidR="004C149F">
        <w:rPr>
          <w:lang w:eastAsia="ja-JP"/>
        </w:rPr>
        <w:t>OD</w:t>
      </w:r>
      <w:r>
        <w:rPr>
          <w:lang w:eastAsia="ja-JP"/>
        </w:rPr>
        <w:t xml:space="preserve">, 200 </w:t>
      </w:r>
      <w:r w:rsidR="00404803">
        <w:rPr>
          <w:lang w:eastAsia="ja-JP"/>
        </w:rPr>
        <w:t>mg BID</w:t>
      </w:r>
      <w:r>
        <w:rPr>
          <w:lang w:eastAsia="ja-JP"/>
        </w:rPr>
        <w:t xml:space="preserve"> or 200 </w:t>
      </w:r>
      <w:r w:rsidR="004C149F">
        <w:rPr>
          <w:lang w:eastAsia="ja-JP"/>
        </w:rPr>
        <w:t>mg OD</w:t>
      </w:r>
      <w:r>
        <w:rPr>
          <w:lang w:eastAsia="ja-JP"/>
        </w:rPr>
        <w:t xml:space="preserve">) were all similarly effective as a post-exposure prophylaxis agent in this study, demonstrating similar efficacy to 14 day primaquine. This is standard practice in returning ADF </w:t>
      </w:r>
      <w:r>
        <w:rPr>
          <w:lang w:eastAsia="ja-JP"/>
        </w:rPr>
        <w:lastRenderedPageBreak/>
        <w:t>personnel. The incidence of malaria in these personnel untreated is not available (no placebo group). Tafenoquine, with a short dosing regimen (three days compared to 14 days primaquine), could be used as effective, post-exposure prophylaxis agent.</w:t>
      </w:r>
    </w:p>
    <w:p w14:paraId="47F464E8" w14:textId="77777777" w:rsidR="008A1A1C" w:rsidRDefault="008A1A1C" w:rsidP="00E730B4">
      <w:pPr>
        <w:pStyle w:val="Heading4"/>
        <w:numPr>
          <w:ilvl w:val="2"/>
          <w:numId w:val="7"/>
        </w:numPr>
      </w:pPr>
      <w:r>
        <w:t>Challenge Studies 053 and 054</w:t>
      </w:r>
    </w:p>
    <w:p w14:paraId="05CFF5CC" w14:textId="2EA5046B" w:rsidR="008A1A1C" w:rsidRDefault="008A1A1C" w:rsidP="008A1A1C">
      <w:pPr>
        <w:rPr>
          <w:lang w:eastAsia="ja-JP"/>
        </w:rPr>
      </w:pPr>
      <w:r>
        <w:rPr>
          <w:lang w:eastAsia="ja-JP"/>
        </w:rPr>
        <w:t>These two studies were conducted for the evaluation of tafenoquine as a prophylactic agent against induced Pf malaria infection in heal</w:t>
      </w:r>
      <w:r w:rsidR="004C149F">
        <w:rPr>
          <w:lang w:eastAsia="ja-JP"/>
        </w:rPr>
        <w:t xml:space="preserve">thy non-immune subjects: a dose </w:t>
      </w:r>
      <w:r>
        <w:rPr>
          <w:lang w:eastAsia="ja-JP"/>
        </w:rPr>
        <w:t>ranging study and a multiple</w:t>
      </w:r>
      <w:r w:rsidR="009720A8">
        <w:rPr>
          <w:lang w:eastAsia="ja-JP"/>
        </w:rPr>
        <w:t xml:space="preserve"> dose</w:t>
      </w:r>
      <w:r>
        <w:rPr>
          <w:lang w:eastAsia="ja-JP"/>
        </w:rPr>
        <w:t xml:space="preserve"> causal versus suppressive study. The prophylactic efficacy of single</w:t>
      </w:r>
      <w:r w:rsidR="009720A8">
        <w:rPr>
          <w:lang w:eastAsia="ja-JP"/>
        </w:rPr>
        <w:t xml:space="preserve"> dose</w:t>
      </w:r>
      <w:r>
        <w:rPr>
          <w:lang w:eastAsia="ja-JP"/>
        </w:rPr>
        <w:t xml:space="preserve"> (Study</w:t>
      </w:r>
      <w:r w:rsidR="008A2A93">
        <w:rPr>
          <w:lang w:eastAsia="ja-JP"/>
        </w:rPr>
        <w:t> </w:t>
      </w:r>
      <w:r>
        <w:rPr>
          <w:lang w:eastAsia="ja-JP"/>
        </w:rPr>
        <w:t>053) and multiple</w:t>
      </w:r>
      <w:r w:rsidR="009720A8">
        <w:rPr>
          <w:lang w:eastAsia="ja-JP"/>
        </w:rPr>
        <w:t xml:space="preserve"> dose</w:t>
      </w:r>
      <w:r>
        <w:rPr>
          <w:lang w:eastAsia="ja-JP"/>
        </w:rPr>
        <w:t xml:space="preserve"> (Study 054) tafenoquine was assessed with a human Pf challenge model. Both studies used a randomised, </w:t>
      </w:r>
      <w:r w:rsidR="00404803">
        <w:rPr>
          <w:lang w:eastAsia="ja-JP"/>
        </w:rPr>
        <w:t>double blind</w:t>
      </w:r>
      <w:r>
        <w:rPr>
          <w:lang w:eastAsia="ja-JP"/>
        </w:rPr>
        <w:t>, placebo</w:t>
      </w:r>
      <w:r w:rsidR="00F1528F">
        <w:rPr>
          <w:lang w:eastAsia="ja-JP"/>
        </w:rPr>
        <w:t xml:space="preserve"> controlled</w:t>
      </w:r>
      <w:r>
        <w:rPr>
          <w:lang w:eastAsia="ja-JP"/>
        </w:rPr>
        <w:t xml:space="preserve"> design in active duty, non-immune, healthy male and female US military volunteers. All participants were exposed to mosquitoes infected with a chloroquine</w:t>
      </w:r>
      <w:r w:rsidR="004C149F">
        <w:rPr>
          <w:lang w:eastAsia="ja-JP"/>
        </w:rPr>
        <w:t xml:space="preserve"> </w:t>
      </w:r>
      <w:r>
        <w:rPr>
          <w:lang w:eastAsia="ja-JP"/>
        </w:rPr>
        <w:t>sensitive clone (NF54) of P</w:t>
      </w:r>
      <w:r w:rsidR="004C149F">
        <w:rPr>
          <w:lang w:eastAsia="ja-JP"/>
        </w:rPr>
        <w:t>f</w:t>
      </w:r>
      <w:r>
        <w:rPr>
          <w:lang w:eastAsia="ja-JP"/>
        </w:rPr>
        <w:t>. Participants who developed parasit</w:t>
      </w:r>
      <w:r w:rsidR="00C65DEF">
        <w:rPr>
          <w:lang w:eastAsia="ja-JP"/>
        </w:rPr>
        <w:t>a</w:t>
      </w:r>
      <w:r>
        <w:rPr>
          <w:lang w:eastAsia="ja-JP"/>
        </w:rPr>
        <w:t>emia were treated with the standard oral regimen of 600 mg (base) of chloroquine followed by 300 mg of chloroquine at 6, 24 and 48 hours. Study 053 was intended to be conducted in three sequential phases: tafenoquine 600 mg or placebo administered one day prior to sporozoite inoculation (Group 1); tafenoquine 600 mg or placebo administered one week prior to sporozoite inoculation (Group 2); or tafenoquine 400 mg or placebo administered one week prior to sporozoite inoculation (Group 3). In Group 1, when either tafenoquine 600</w:t>
      </w:r>
      <w:r w:rsidR="008A2A93">
        <w:rPr>
          <w:lang w:eastAsia="ja-JP"/>
        </w:rPr>
        <w:t> </w:t>
      </w:r>
      <w:r>
        <w:rPr>
          <w:lang w:eastAsia="ja-JP"/>
        </w:rPr>
        <w:t>mg (n=4) or placebo (n=2) was given one day prior to sporozoite inoculation, three of the 4</w:t>
      </w:r>
      <w:r w:rsidR="008A2A93">
        <w:rPr>
          <w:lang w:eastAsia="ja-JP"/>
        </w:rPr>
        <w:t> </w:t>
      </w:r>
      <w:r>
        <w:rPr>
          <w:lang w:eastAsia="ja-JP"/>
        </w:rPr>
        <w:t>subjects who received tafenoquine were protected from malaria, while the fourth subject developed parasit</w:t>
      </w:r>
      <w:r w:rsidR="00C65DEF">
        <w:rPr>
          <w:lang w:eastAsia="ja-JP"/>
        </w:rPr>
        <w:t>a</w:t>
      </w:r>
      <w:r>
        <w:rPr>
          <w:lang w:eastAsia="ja-JP"/>
        </w:rPr>
        <w:t>emia. Because a single dose of tafenoquine 600 mg administered one day prior to inoculation was not effective in preventing symptomatic malaria in all four subjects of Group 1, the study was discontinued after the first group of participants was treated.</w:t>
      </w:r>
    </w:p>
    <w:p w14:paraId="16153A99" w14:textId="47DF7005" w:rsidR="008A1A1C" w:rsidRDefault="008A1A1C" w:rsidP="008A1A1C">
      <w:pPr>
        <w:rPr>
          <w:lang w:eastAsia="ja-JP"/>
        </w:rPr>
      </w:pPr>
      <w:r>
        <w:rPr>
          <w:lang w:eastAsia="ja-JP"/>
        </w:rPr>
        <w:t xml:space="preserve">In Study 054, 10 participants received two 600 mg doses of tafenoquine (Day -3 and -2) in the fed state prior to sporozoite inoculation (Day 0) and half of the participants were then </w:t>
      </w:r>
      <w:r w:rsidR="00404803">
        <w:rPr>
          <w:lang w:eastAsia="ja-JP"/>
        </w:rPr>
        <w:t>randomised</w:t>
      </w:r>
      <w:r>
        <w:rPr>
          <w:lang w:eastAsia="ja-JP"/>
        </w:rPr>
        <w:t xml:space="preserve"> to tafenoquine 300 mg on Days 3, 10, 17 and 24 or tafenoquine 600 mg on Day 3 and placebo on Days 10, 17, and 24. Two participants received placebo only (both before and after inoculation). Six out of the 10 drug</w:t>
      </w:r>
      <w:r w:rsidR="00473B40">
        <w:rPr>
          <w:lang w:eastAsia="ja-JP"/>
        </w:rPr>
        <w:t xml:space="preserve"> treated</w:t>
      </w:r>
      <w:r>
        <w:rPr>
          <w:lang w:eastAsia="ja-JP"/>
        </w:rPr>
        <w:t xml:space="preserve"> individuals developed asymptomatic parasitemia. This would suggest that, if tafenoquine has causal prophylactic activity, the dosing regimen used may not kill all of the tissue stage parasites of this strain. Five of these six individuals were treated with chloroquine; the remaining sixth volunteer was not treated, but observed, and his parasit</w:t>
      </w:r>
      <w:r w:rsidR="00C65DEF">
        <w:rPr>
          <w:lang w:eastAsia="ja-JP"/>
        </w:rPr>
        <w:t>a</w:t>
      </w:r>
      <w:r>
        <w:rPr>
          <w:lang w:eastAsia="ja-JP"/>
        </w:rPr>
        <w:t xml:space="preserve">emia spontaneously cleared. Recent in vitro blood schizonticidal sensitivity studies suggested that the NF54 parasite is several times less susceptible to tafenoquine than most other isolates, including new multi-drug resistant isolates from </w:t>
      </w:r>
      <w:r w:rsidR="00D540EE">
        <w:rPr>
          <w:lang w:eastAsia="ja-JP"/>
        </w:rPr>
        <w:t>South East</w:t>
      </w:r>
      <w:r>
        <w:rPr>
          <w:lang w:eastAsia="ja-JP"/>
        </w:rPr>
        <w:t xml:space="preserve"> Asia. However, the prolonged half-life may result in persistently high enough concentrations such that this drug can act as a suppressive prophylactic.</w:t>
      </w:r>
    </w:p>
    <w:p w14:paraId="4775CEDB" w14:textId="1750B957" w:rsidR="008A1A1C" w:rsidRDefault="008A1A1C" w:rsidP="008A1A1C">
      <w:pPr>
        <w:rPr>
          <w:lang w:eastAsia="ja-JP"/>
        </w:rPr>
      </w:pPr>
      <w:r>
        <w:rPr>
          <w:lang w:eastAsia="ja-JP"/>
        </w:rPr>
        <w:t>Study 053 and Study 054 both determined the PK profile of tafenoquine. In Study 053, the single subject who developed parasit</w:t>
      </w:r>
      <w:r w:rsidR="00C65DEF">
        <w:rPr>
          <w:lang w:eastAsia="ja-JP"/>
        </w:rPr>
        <w:t>a</w:t>
      </w:r>
      <w:r>
        <w:rPr>
          <w:lang w:eastAsia="ja-JP"/>
        </w:rPr>
        <w:t xml:space="preserve">emia had a peak plasma tafenoquine concentration </w:t>
      </w:r>
      <w:proofErr w:type="gramStart"/>
      <w:r>
        <w:rPr>
          <w:lang w:eastAsia="ja-JP"/>
        </w:rPr>
        <w:t>of 182</w:t>
      </w:r>
      <w:r w:rsidR="00122529">
        <w:rPr>
          <w:lang w:eastAsia="ja-JP"/>
        </w:rPr>
        <w:t xml:space="preserve"> ng/mL</w:t>
      </w:r>
      <w:proofErr w:type="gramEnd"/>
      <w:r>
        <w:rPr>
          <w:lang w:eastAsia="ja-JP"/>
        </w:rPr>
        <w:t xml:space="preserve"> </w:t>
      </w:r>
      <w:r w:rsidR="00B319AC">
        <w:rPr>
          <w:lang w:eastAsia="ja-JP"/>
        </w:rPr>
        <w:t xml:space="preserve">as </w:t>
      </w:r>
      <w:r>
        <w:rPr>
          <w:lang w:eastAsia="ja-JP"/>
        </w:rPr>
        <w:t>compared with 417 to 489</w:t>
      </w:r>
      <w:r w:rsidR="00122529">
        <w:rPr>
          <w:lang w:eastAsia="ja-JP"/>
        </w:rPr>
        <w:t xml:space="preserve"> ng/mL</w:t>
      </w:r>
      <w:r>
        <w:rPr>
          <w:lang w:eastAsia="ja-JP"/>
        </w:rPr>
        <w:t xml:space="preserve"> peak levels in </w:t>
      </w:r>
      <w:r w:rsidR="00E730B4">
        <w:rPr>
          <w:lang w:eastAsia="ja-JP"/>
        </w:rPr>
        <w:t xml:space="preserve">the </w:t>
      </w:r>
      <w:r>
        <w:rPr>
          <w:lang w:eastAsia="ja-JP"/>
        </w:rPr>
        <w:t xml:space="preserve">protected participants. In contrast, </w:t>
      </w:r>
      <w:r w:rsidR="00855CA9">
        <w:rPr>
          <w:lang w:eastAsia="ja-JP"/>
        </w:rPr>
        <w:t>t</w:t>
      </w:r>
      <w:r w:rsidR="00855CA9" w:rsidRPr="00855CA9">
        <w:rPr>
          <w:vertAlign w:val="subscript"/>
          <w:lang w:eastAsia="ja-JP"/>
        </w:rPr>
        <w:t>½</w:t>
      </w:r>
      <w:r>
        <w:rPr>
          <w:lang w:eastAsia="ja-JP"/>
        </w:rPr>
        <w:t xml:space="preserve"> was comparable between relapsed and healthy individuals (in range of 329 to 441 hours). In Study 054, C</w:t>
      </w:r>
      <w:r>
        <w:rPr>
          <w:vertAlign w:val="subscript"/>
          <w:lang w:eastAsia="ja-JP"/>
        </w:rPr>
        <w:t xml:space="preserve">max </w:t>
      </w:r>
      <w:r>
        <w:rPr>
          <w:lang w:eastAsia="ja-JP"/>
        </w:rPr>
        <w:t xml:space="preserve">(mean), </w:t>
      </w:r>
      <w:r>
        <w:t>T</w:t>
      </w:r>
      <w:r>
        <w:rPr>
          <w:vertAlign w:val="subscript"/>
        </w:rPr>
        <w:t>max</w:t>
      </w:r>
      <w:r>
        <w:rPr>
          <w:lang w:eastAsia="ja-JP"/>
        </w:rPr>
        <w:t xml:space="preserve"> (median) and </w:t>
      </w:r>
      <w:r w:rsidR="00855CA9">
        <w:rPr>
          <w:lang w:eastAsia="ja-JP"/>
        </w:rPr>
        <w:t>t</w:t>
      </w:r>
      <w:r w:rsidR="00855CA9" w:rsidRPr="00855CA9">
        <w:rPr>
          <w:vertAlign w:val="subscript"/>
          <w:lang w:eastAsia="ja-JP"/>
        </w:rPr>
        <w:t>½</w:t>
      </w:r>
      <w:r>
        <w:rPr>
          <w:lang w:eastAsia="ja-JP"/>
        </w:rPr>
        <w:t xml:space="preserve"> (median) were 358</w:t>
      </w:r>
      <w:r w:rsidR="00122529">
        <w:rPr>
          <w:lang w:eastAsia="ja-JP"/>
        </w:rPr>
        <w:t xml:space="preserve"> ng/mL</w:t>
      </w:r>
      <w:r>
        <w:rPr>
          <w:lang w:eastAsia="ja-JP"/>
        </w:rPr>
        <w:t>, 11.9 hours, and 19.5</w:t>
      </w:r>
      <w:r w:rsidR="008A2A93">
        <w:rPr>
          <w:lang w:eastAsia="ja-JP"/>
        </w:rPr>
        <w:t> </w:t>
      </w:r>
      <w:r>
        <w:rPr>
          <w:lang w:eastAsia="ja-JP"/>
        </w:rPr>
        <w:t>days (468 hours), respectively with coefficients of variation of 24%, 41%, and 23%, respectively. Clearance and apparent volume of distribution were not calculated from Study 053 and Study 054 data.</w:t>
      </w:r>
    </w:p>
    <w:p w14:paraId="0D8D8825" w14:textId="77777777" w:rsidR="008A1A1C" w:rsidRDefault="008A1A1C" w:rsidP="00E730B4">
      <w:pPr>
        <w:pStyle w:val="Heading4"/>
        <w:numPr>
          <w:ilvl w:val="2"/>
          <w:numId w:val="7"/>
        </w:numPr>
      </w:pPr>
      <w:r>
        <w:t>Study 006</w:t>
      </w:r>
    </w:p>
    <w:p w14:paraId="09ACAC17" w14:textId="77777777" w:rsidR="00F1528F" w:rsidRDefault="008A1A1C" w:rsidP="008A1A1C">
      <w:pPr>
        <w:rPr>
          <w:lang w:eastAsia="ja-JP"/>
        </w:rPr>
      </w:pPr>
      <w:r>
        <w:rPr>
          <w:lang w:eastAsia="ja-JP"/>
        </w:rPr>
        <w:t xml:space="preserve">This study was a dose down range placebo controlled </w:t>
      </w:r>
      <w:r w:rsidR="00404803">
        <w:rPr>
          <w:lang w:eastAsia="ja-JP"/>
        </w:rPr>
        <w:t>double blind</w:t>
      </w:r>
      <w:r>
        <w:rPr>
          <w:lang w:eastAsia="ja-JP"/>
        </w:rPr>
        <w:t xml:space="preserve"> study of oral tafenoquine for prophylactic efficacy, safety, and tolerance in subjects resident in a malarious area of Gabon. Study 006 was a </w:t>
      </w:r>
      <w:r w:rsidR="00404803">
        <w:rPr>
          <w:lang w:eastAsia="ja-JP"/>
        </w:rPr>
        <w:t>double blind</w:t>
      </w:r>
      <w:r>
        <w:rPr>
          <w:lang w:eastAsia="ja-JP"/>
        </w:rPr>
        <w:t xml:space="preserve">, </w:t>
      </w:r>
      <w:r w:rsidR="00404803">
        <w:rPr>
          <w:lang w:eastAsia="ja-JP"/>
        </w:rPr>
        <w:t>randomised</w:t>
      </w:r>
      <w:r>
        <w:rPr>
          <w:lang w:eastAsia="ja-JP"/>
        </w:rPr>
        <w:t xml:space="preserve"> Phase II clinical trial conducted to evaluate the prophylactic efficacy, safety and tolerance in participants resident in an endemic malarial area of Gabon. Participants (N = 415) were randomly assigned to a treatment group (tafenoquine 25, </w:t>
      </w:r>
      <w:r>
        <w:rPr>
          <w:lang w:eastAsia="ja-JP"/>
        </w:rPr>
        <w:lastRenderedPageBreak/>
        <w:t>50, 100 or 200 mg once daily for 3 days, 80 to 86 participants per dose; or placebo once daily for 3 days, 83 participants). Samples were collected for PK analysis 7 and 14 days after first dose.</w:t>
      </w:r>
    </w:p>
    <w:p w14:paraId="4052AE1F" w14:textId="68DCF8D6" w:rsidR="008A1A1C" w:rsidRDefault="008A1A1C" w:rsidP="008A1A1C">
      <w:pPr>
        <w:rPr>
          <w:lang w:eastAsia="ja-JP"/>
        </w:rPr>
      </w:pPr>
      <w:r>
        <w:rPr>
          <w:lang w:eastAsia="ja-JP"/>
        </w:rPr>
        <w:t>The primary efficacy variables were time to malaria parasit</w:t>
      </w:r>
      <w:r w:rsidR="00C65DEF">
        <w:rPr>
          <w:lang w:eastAsia="ja-JP"/>
        </w:rPr>
        <w:t>a</w:t>
      </w:r>
      <w:r>
        <w:rPr>
          <w:lang w:eastAsia="ja-JP"/>
        </w:rPr>
        <w:t>emia in thick blood smear, and PE of tafenoquine at 49 days. The secondary efficacy variables were PE of tafenoquine at 42 and 70 days, and clinical response (successful or unsuccessful) according to the Investigator's clinical opinion. This was termed 'clinical outcome' in the protocol.</w:t>
      </w:r>
    </w:p>
    <w:p w14:paraId="3EEEA4D7" w14:textId="77777777" w:rsidR="008A1A1C" w:rsidRDefault="008A1A1C" w:rsidP="008A1A1C">
      <w:pPr>
        <w:rPr>
          <w:lang w:eastAsia="ja-JP"/>
        </w:rPr>
      </w:pPr>
      <w:r>
        <w:rPr>
          <w:lang w:eastAsia="ja-JP"/>
        </w:rPr>
        <w:t xml:space="preserve">The principal reason for withdrawal was protocol violation (including non-compliance). Withdrawal due to loss of prophylactic efficacy was highest in the placebo and tafenoquine 25 mg groups (both approximately 14%) and there were no marked </w:t>
      </w:r>
      <w:r w:rsidRPr="005B2850">
        <w:rPr>
          <w:lang w:eastAsia="ja-JP"/>
        </w:rPr>
        <w:t>differences between the groups in the proportions of subjects withdrawn due to AEs. Subjects were aged between 12-20 years of age and all were Black African. Males (47.5%) and females (52.5%) were approximately evenly distributed between treatment</w:t>
      </w:r>
      <w:r w:rsidR="004C149F" w:rsidRPr="005B2850">
        <w:rPr>
          <w:lang w:eastAsia="ja-JP"/>
        </w:rPr>
        <w:t>s</w:t>
      </w:r>
      <w:r w:rsidRPr="005B2850">
        <w:rPr>
          <w:lang w:eastAsia="ja-JP"/>
        </w:rPr>
        <w:t xml:space="preserve">. Disposition of subjects is shown in </w:t>
      </w:r>
      <w:r w:rsidR="00686267" w:rsidRPr="005B2850">
        <w:rPr>
          <w:lang w:eastAsia="ja-JP"/>
        </w:rPr>
        <w:t>Table 3</w:t>
      </w:r>
      <w:r w:rsidR="005B2850" w:rsidRPr="005B2850">
        <w:rPr>
          <w:lang w:eastAsia="ja-JP"/>
        </w:rPr>
        <w:t>7</w:t>
      </w:r>
      <w:r w:rsidRPr="005B2850">
        <w:rPr>
          <w:lang w:eastAsia="ja-JP"/>
        </w:rPr>
        <w:t>.</w:t>
      </w:r>
    </w:p>
    <w:p w14:paraId="6436B42E" w14:textId="53684103" w:rsidR="006B4DC1" w:rsidRDefault="006B4DC1" w:rsidP="00686267">
      <w:pPr>
        <w:pStyle w:val="Tabletitle"/>
        <w:rPr>
          <w:lang w:eastAsia="ja-JP"/>
        </w:rPr>
      </w:pPr>
      <w:bookmarkStart w:id="415" w:name="_Ref501289955"/>
      <w:bookmarkStart w:id="416" w:name="_Toc504229458"/>
      <w:bookmarkStart w:id="417" w:name="_Toc501293708"/>
      <w:r>
        <w:t xml:space="preserve">Table </w:t>
      </w:r>
      <w:r w:rsidR="00686267">
        <w:t>3</w:t>
      </w:r>
      <w:bookmarkEnd w:id="415"/>
      <w:r w:rsidR="005B2850">
        <w:t>7</w:t>
      </w:r>
      <w:r w:rsidR="00686267">
        <w:t>:</w:t>
      </w:r>
      <w:r>
        <w:t xml:space="preserve"> </w:t>
      </w:r>
      <w:r w:rsidRPr="00B9231E">
        <w:t>Disposition of</w:t>
      </w:r>
      <w:r w:rsidRPr="00922470">
        <w:rPr>
          <w:lang w:eastAsia="ja-JP"/>
        </w:rPr>
        <w:t xml:space="preserve"> PK </w:t>
      </w:r>
      <w:r w:rsidR="008A2A93">
        <w:rPr>
          <w:lang w:eastAsia="ja-JP"/>
        </w:rPr>
        <w:t>t</w:t>
      </w:r>
      <w:r w:rsidR="008A2A93" w:rsidRPr="00922470">
        <w:rPr>
          <w:lang w:eastAsia="ja-JP"/>
        </w:rPr>
        <w:t xml:space="preserve">reatment </w:t>
      </w:r>
      <w:r w:rsidR="008A2A93">
        <w:rPr>
          <w:lang w:eastAsia="ja-JP"/>
        </w:rPr>
        <w:t>p</w:t>
      </w:r>
      <w:r w:rsidR="008A2A93" w:rsidRPr="00922470">
        <w:rPr>
          <w:lang w:eastAsia="ja-JP"/>
        </w:rPr>
        <w:t xml:space="preserve">opulation </w:t>
      </w:r>
      <w:r w:rsidRPr="00922470">
        <w:rPr>
          <w:lang w:eastAsia="ja-JP"/>
        </w:rPr>
        <w:t>(Study 006)</w:t>
      </w:r>
      <w:bookmarkEnd w:id="416"/>
      <w:bookmarkEnd w:id="417"/>
    </w:p>
    <w:p w14:paraId="21AB2E04" w14:textId="77777777" w:rsidR="006B4DC1" w:rsidRDefault="006B4DC1" w:rsidP="006B4DC1">
      <w:pPr>
        <w:rPr>
          <w:lang w:eastAsia="ja-JP"/>
        </w:rPr>
      </w:pPr>
      <w:r>
        <w:rPr>
          <w:noProof/>
          <w:lang w:eastAsia="en-AU"/>
        </w:rPr>
        <w:drawing>
          <wp:inline distT="0" distB="0" distL="0" distR="0" wp14:anchorId="73A04D4D" wp14:editId="67C27C6E">
            <wp:extent cx="5731510" cy="1782445"/>
            <wp:effectExtent l="0" t="0" r="2540" b="8255"/>
            <wp:docPr id="12" name="Picture 12" descr="Disposition of PK Treatment Population (Study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782445"/>
                    </a:xfrm>
                    <a:prstGeom prst="rect">
                      <a:avLst/>
                    </a:prstGeom>
                  </pic:spPr>
                </pic:pic>
              </a:graphicData>
            </a:graphic>
          </wp:inline>
        </w:drawing>
      </w:r>
    </w:p>
    <w:p w14:paraId="3F11191C" w14:textId="77777777" w:rsidR="004C149F" w:rsidRDefault="008A1A1C" w:rsidP="004C149F">
      <w:pPr>
        <w:pStyle w:val="Heading5"/>
        <w:rPr>
          <w:lang w:eastAsia="ja-JP"/>
        </w:rPr>
      </w:pPr>
      <w:r>
        <w:rPr>
          <w:lang w:eastAsia="ja-JP"/>
        </w:rPr>
        <w:t>Efficacy results</w:t>
      </w:r>
    </w:p>
    <w:p w14:paraId="0DFD0FDB" w14:textId="6192DF83" w:rsidR="008A1A1C" w:rsidRDefault="008A1A1C" w:rsidP="008A1A1C">
      <w:pPr>
        <w:rPr>
          <w:lang w:eastAsia="ja-JP"/>
        </w:rPr>
      </w:pPr>
      <w:r>
        <w:rPr>
          <w:lang w:eastAsia="ja-JP"/>
        </w:rPr>
        <w:t>The PE of ta</w:t>
      </w:r>
      <w:r w:rsidR="007B0EBB">
        <w:rPr>
          <w:lang w:eastAsia="ja-JP"/>
        </w:rPr>
        <w:t>fenoquine at Day 49 is summari</w:t>
      </w:r>
      <w:r w:rsidR="00C65DEF">
        <w:rPr>
          <w:lang w:eastAsia="ja-JP"/>
        </w:rPr>
        <w:t>s</w:t>
      </w:r>
      <w:r>
        <w:rPr>
          <w:lang w:eastAsia="ja-JP"/>
        </w:rPr>
        <w:t xml:space="preserve">ed in </w:t>
      </w:r>
      <w:r w:rsidR="00686267">
        <w:rPr>
          <w:lang w:eastAsia="ja-JP"/>
        </w:rPr>
        <w:t>Table 3</w:t>
      </w:r>
      <w:r w:rsidR="005B2850">
        <w:rPr>
          <w:lang w:eastAsia="ja-JP"/>
        </w:rPr>
        <w:t>8</w:t>
      </w:r>
      <w:r>
        <w:rPr>
          <w:lang w:eastAsia="ja-JP"/>
        </w:rPr>
        <w:t xml:space="preserve"> for the ITT population. PE at Day 49 was chosen as the primary efficacy variable since it would determine whether a short course of tafenoquine could potentially provide protection from malaria infection during a 4</w:t>
      </w:r>
      <w:r w:rsidR="00404803">
        <w:rPr>
          <w:lang w:eastAsia="ja-JP"/>
        </w:rPr>
        <w:t xml:space="preserve"> week</w:t>
      </w:r>
      <w:r w:rsidR="007B0EBB">
        <w:rPr>
          <w:lang w:eastAsia="ja-JP"/>
        </w:rPr>
        <w:t xml:space="preserve"> </w:t>
      </w:r>
      <w:r>
        <w:rPr>
          <w:lang w:eastAsia="ja-JP"/>
        </w:rPr>
        <w:t>trip, taking into account the two-three week latency between an infected mosquito bite and time to development of parasit</w:t>
      </w:r>
      <w:r w:rsidR="00C65DEF">
        <w:rPr>
          <w:lang w:eastAsia="ja-JP"/>
        </w:rPr>
        <w:t>a</w:t>
      </w:r>
      <w:r>
        <w:rPr>
          <w:lang w:eastAsia="ja-JP"/>
        </w:rPr>
        <w:t>emia.</w:t>
      </w:r>
    </w:p>
    <w:p w14:paraId="4055FF61" w14:textId="37396FF1" w:rsidR="006B4DC1" w:rsidRDefault="006B4DC1" w:rsidP="00686267">
      <w:pPr>
        <w:pStyle w:val="Tabletitle"/>
        <w:rPr>
          <w:lang w:eastAsia="ja-JP"/>
        </w:rPr>
      </w:pPr>
      <w:r>
        <w:t xml:space="preserve">Table </w:t>
      </w:r>
      <w:r w:rsidR="00686267">
        <w:t>3</w:t>
      </w:r>
      <w:r w:rsidR="005B2850">
        <w:t>8</w:t>
      </w:r>
      <w:r w:rsidR="00686267">
        <w:t>:</w:t>
      </w:r>
      <w:r>
        <w:t xml:space="preserve"> </w:t>
      </w:r>
      <w:r w:rsidRPr="00B9231E">
        <w:rPr>
          <w:lang w:eastAsia="ja-JP"/>
        </w:rPr>
        <w:t xml:space="preserve">Protective </w:t>
      </w:r>
      <w:r w:rsidR="008A2A93">
        <w:rPr>
          <w:lang w:eastAsia="ja-JP"/>
        </w:rPr>
        <w:t>e</w:t>
      </w:r>
      <w:r w:rsidR="008A2A93" w:rsidRPr="00B9231E">
        <w:rPr>
          <w:lang w:eastAsia="ja-JP"/>
        </w:rPr>
        <w:t xml:space="preserve">fficacy </w:t>
      </w:r>
      <w:r w:rsidRPr="00B9231E">
        <w:rPr>
          <w:lang w:eastAsia="ja-JP"/>
        </w:rPr>
        <w:t xml:space="preserve">of </w:t>
      </w:r>
      <w:r w:rsidR="008A2A93">
        <w:rPr>
          <w:lang w:eastAsia="ja-JP"/>
        </w:rPr>
        <w:t>t</w:t>
      </w:r>
      <w:r w:rsidR="008A2A93" w:rsidRPr="00B9231E">
        <w:rPr>
          <w:lang w:eastAsia="ja-JP"/>
        </w:rPr>
        <w:t>afenoquine</w:t>
      </w:r>
      <w:r w:rsidRPr="00B9231E">
        <w:rPr>
          <w:lang w:eastAsia="ja-JP"/>
        </w:rPr>
        <w:t>, Day 49 (Study 006)</w:t>
      </w:r>
    </w:p>
    <w:p w14:paraId="3E32F645" w14:textId="77777777" w:rsidR="006B4DC1" w:rsidRDefault="006B4DC1" w:rsidP="006B4DC1">
      <w:pPr>
        <w:rPr>
          <w:lang w:eastAsia="ja-JP"/>
        </w:rPr>
      </w:pPr>
      <w:r w:rsidRPr="00B967F6">
        <w:rPr>
          <w:noProof/>
          <w:lang w:eastAsia="en-AU"/>
        </w:rPr>
        <w:drawing>
          <wp:inline distT="0" distB="0" distL="0" distR="0" wp14:anchorId="2B2C72BC" wp14:editId="019224E2">
            <wp:extent cx="5731510" cy="1898200"/>
            <wp:effectExtent l="0" t="0" r="2540" b="6985"/>
            <wp:docPr id="87" name="Picture 87" descr="Protective Efficacy of Tafenoquine, Day 49 (Study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731510" cy="1898200"/>
                    </a:xfrm>
                    <a:prstGeom prst="rect">
                      <a:avLst/>
                    </a:prstGeom>
                    <a:noFill/>
                    <a:ln>
                      <a:noFill/>
                    </a:ln>
                  </pic:spPr>
                </pic:pic>
              </a:graphicData>
            </a:graphic>
          </wp:inline>
        </w:drawing>
      </w:r>
    </w:p>
    <w:p w14:paraId="441E7A3A" w14:textId="77777777" w:rsidR="008A1A1C" w:rsidRDefault="008A1A1C" w:rsidP="008A1A1C">
      <w:pPr>
        <w:rPr>
          <w:lang w:eastAsia="ja-JP"/>
        </w:rPr>
      </w:pPr>
      <w:r>
        <w:rPr>
          <w:lang w:eastAsia="ja-JP"/>
        </w:rPr>
        <w:t xml:space="preserve">The lowest dose of tafenoquine tested in the study (25 mg) offered little protection over placebo; whereas, the three higher doses provided 100% PE over placebo. The associated 95% CI for these comparisons had very low lower limits, due to there being only a small proportion of failures in the placebo group, which, with the sample sizes employed in the study, leads to an imprecise estimate of PE. In the worst case dataset, the rates of PE were considerably reduced </w:t>
      </w:r>
      <w:r>
        <w:rPr>
          <w:lang w:eastAsia="ja-JP"/>
        </w:rPr>
        <w:lastRenderedPageBreak/>
        <w:t>because missing outcomes were counted as failures and PE is highly sensitive to changes in the failure rate.</w:t>
      </w:r>
    </w:p>
    <w:p w14:paraId="6043CFA5" w14:textId="50CF1BB6" w:rsidR="004C149F" w:rsidRDefault="008A1A1C" w:rsidP="004C149F">
      <w:pPr>
        <w:pStyle w:val="Heading6"/>
        <w:rPr>
          <w:lang w:eastAsia="ja-JP"/>
        </w:rPr>
      </w:pPr>
      <w:r>
        <w:rPr>
          <w:lang w:eastAsia="ja-JP"/>
        </w:rPr>
        <w:t xml:space="preserve">Secondary </w:t>
      </w:r>
      <w:r w:rsidR="008A2A93">
        <w:rPr>
          <w:lang w:eastAsia="ja-JP"/>
        </w:rPr>
        <w:t>efficacy variables</w:t>
      </w:r>
    </w:p>
    <w:p w14:paraId="2481DF36" w14:textId="77777777" w:rsidR="008A1A1C" w:rsidRDefault="008A1A1C" w:rsidP="008A1A1C">
      <w:pPr>
        <w:rPr>
          <w:lang w:eastAsia="ja-JP"/>
        </w:rPr>
      </w:pPr>
      <w:r>
        <w:rPr>
          <w:lang w:eastAsia="ja-JP"/>
        </w:rPr>
        <w:t xml:space="preserve">The PE of tafenoquine </w:t>
      </w:r>
      <w:r w:rsidR="00686267">
        <w:rPr>
          <w:lang w:eastAsia="ja-JP"/>
        </w:rPr>
        <w:t>at Day 42 and Day 70 is summaris</w:t>
      </w:r>
      <w:r>
        <w:rPr>
          <w:lang w:eastAsia="ja-JP"/>
        </w:rPr>
        <w:t xml:space="preserve">ed in </w:t>
      </w:r>
      <w:r w:rsidR="00686267">
        <w:rPr>
          <w:lang w:eastAsia="ja-JP"/>
        </w:rPr>
        <w:t xml:space="preserve">Table </w:t>
      </w:r>
      <w:r w:rsidR="005B2850">
        <w:rPr>
          <w:lang w:eastAsia="ja-JP"/>
        </w:rPr>
        <w:t>39</w:t>
      </w:r>
      <w:r>
        <w:rPr>
          <w:lang w:eastAsia="ja-JP"/>
        </w:rPr>
        <w:t xml:space="preserve"> for the intent-to-treat population known datasets. These additional time points were examined to see if tafenoquine provided a shorter or longer period of protection than expected from data of previous studies.</w:t>
      </w:r>
    </w:p>
    <w:p w14:paraId="255CCE2B" w14:textId="04AAEB9F" w:rsidR="006B4DC1" w:rsidRDefault="006B4DC1" w:rsidP="00686267">
      <w:pPr>
        <w:pStyle w:val="Tabletitle"/>
        <w:rPr>
          <w:lang w:eastAsia="ja-JP"/>
        </w:rPr>
      </w:pPr>
      <w:bookmarkStart w:id="418" w:name="_Ref501290234"/>
      <w:bookmarkStart w:id="419" w:name="_Toc504229460"/>
      <w:bookmarkStart w:id="420" w:name="_Toc501293710"/>
      <w:r>
        <w:t xml:space="preserve">Table </w:t>
      </w:r>
      <w:bookmarkEnd w:id="418"/>
      <w:r w:rsidR="005B2850">
        <w:t>39</w:t>
      </w:r>
      <w:r w:rsidR="00686267">
        <w:t>:</w:t>
      </w:r>
      <w:r>
        <w:t xml:space="preserve"> </w:t>
      </w:r>
      <w:r w:rsidRPr="00B9231E">
        <w:rPr>
          <w:lang w:eastAsia="ja-JP"/>
        </w:rPr>
        <w:t xml:space="preserve">Protective </w:t>
      </w:r>
      <w:r w:rsidR="008A2A93">
        <w:rPr>
          <w:lang w:eastAsia="ja-JP"/>
        </w:rPr>
        <w:t>e</w:t>
      </w:r>
      <w:r w:rsidR="008A2A93" w:rsidRPr="00B9231E">
        <w:rPr>
          <w:lang w:eastAsia="ja-JP"/>
        </w:rPr>
        <w:t xml:space="preserve">fficacy </w:t>
      </w:r>
      <w:r w:rsidRPr="00B9231E">
        <w:rPr>
          <w:lang w:eastAsia="ja-JP"/>
        </w:rPr>
        <w:t xml:space="preserve">of </w:t>
      </w:r>
      <w:r w:rsidR="008A2A93">
        <w:rPr>
          <w:lang w:eastAsia="ja-JP"/>
        </w:rPr>
        <w:t>t</w:t>
      </w:r>
      <w:r w:rsidR="008A2A93" w:rsidRPr="00B9231E">
        <w:rPr>
          <w:lang w:eastAsia="ja-JP"/>
        </w:rPr>
        <w:t xml:space="preserve">afenoquine </w:t>
      </w:r>
      <w:r w:rsidRPr="00B9231E">
        <w:rPr>
          <w:lang w:eastAsia="ja-JP"/>
        </w:rPr>
        <w:t>(</w:t>
      </w:r>
      <w:r w:rsidR="008A2A93">
        <w:rPr>
          <w:lang w:eastAsia="ja-JP"/>
        </w:rPr>
        <w:t>s</w:t>
      </w:r>
      <w:r w:rsidR="008A2A93" w:rsidRPr="00B9231E">
        <w:rPr>
          <w:lang w:eastAsia="ja-JP"/>
        </w:rPr>
        <w:t xml:space="preserve">econdary </w:t>
      </w:r>
      <w:r w:rsidRPr="00B9231E">
        <w:rPr>
          <w:lang w:eastAsia="ja-JP"/>
        </w:rPr>
        <w:t>outcomes), Days 42 and 70 (Study 006)</w:t>
      </w:r>
      <w:bookmarkEnd w:id="419"/>
      <w:bookmarkEnd w:id="420"/>
    </w:p>
    <w:p w14:paraId="745E2042" w14:textId="77777777" w:rsidR="006B4DC1" w:rsidRDefault="006B4DC1" w:rsidP="006B4DC1">
      <w:pPr>
        <w:rPr>
          <w:lang w:eastAsia="ja-JP"/>
        </w:rPr>
      </w:pPr>
      <w:r w:rsidRPr="003505BD">
        <w:rPr>
          <w:noProof/>
          <w:lang w:eastAsia="en-AU"/>
        </w:rPr>
        <w:drawing>
          <wp:inline distT="0" distB="0" distL="0" distR="0" wp14:anchorId="52FE2B1F" wp14:editId="57493B62">
            <wp:extent cx="5731510" cy="1860273"/>
            <wp:effectExtent l="0" t="0" r="2540" b="6985"/>
            <wp:docPr id="88" name="Picture 88" descr=": Protective Efficacy of Tafenoquine (Secondary outcomes), Days 42 and 70 (Study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5731510" cy="1860273"/>
                    </a:xfrm>
                    <a:prstGeom prst="rect">
                      <a:avLst/>
                    </a:prstGeom>
                    <a:noFill/>
                    <a:ln>
                      <a:noFill/>
                    </a:ln>
                  </pic:spPr>
                </pic:pic>
              </a:graphicData>
            </a:graphic>
          </wp:inline>
        </w:drawing>
      </w:r>
    </w:p>
    <w:p w14:paraId="5A087F9B" w14:textId="77777777" w:rsidR="008A1A1C" w:rsidRDefault="008A1A1C" w:rsidP="008A1A1C">
      <w:pPr>
        <w:rPr>
          <w:lang w:eastAsia="ja-JP"/>
        </w:rPr>
      </w:pPr>
      <w:r>
        <w:rPr>
          <w:lang w:eastAsia="ja-JP"/>
        </w:rPr>
        <w:t>At Day 42 results were similar to those at Day 49. At Day 70, the PE suggest an increasing level of protection as the dose increases, with the tafenoquine 25 mg group showing no benefit over placebo. The cumulative totals of the number of subjects with an unsuccessful clinical response (clinical outcome) as rated by the Investigator at the Day 42, Day 49, and Day 70 visits are shown</w:t>
      </w:r>
      <w:r w:rsidR="00686267">
        <w:rPr>
          <w:lang w:eastAsia="ja-JP"/>
        </w:rPr>
        <w:t xml:space="preserve"> in Table 4</w:t>
      </w:r>
      <w:r w:rsidR="005B2850">
        <w:rPr>
          <w:lang w:eastAsia="ja-JP"/>
        </w:rPr>
        <w:t>0</w:t>
      </w:r>
      <w:r w:rsidR="007B0EBB">
        <w:rPr>
          <w:lang w:eastAsia="ja-JP"/>
        </w:rPr>
        <w:t>.</w:t>
      </w:r>
    </w:p>
    <w:p w14:paraId="1314526D" w14:textId="64EED5DA" w:rsidR="006B4DC1" w:rsidRDefault="006B4DC1" w:rsidP="00686267">
      <w:pPr>
        <w:pStyle w:val="Tabletitle"/>
        <w:rPr>
          <w:lang w:eastAsia="ja-JP"/>
        </w:rPr>
      </w:pPr>
      <w:bookmarkStart w:id="421" w:name="_Ref501290289"/>
      <w:bookmarkStart w:id="422" w:name="_Toc504229461"/>
      <w:bookmarkStart w:id="423" w:name="_Toc501293711"/>
      <w:r>
        <w:t xml:space="preserve">Table </w:t>
      </w:r>
      <w:r w:rsidR="00686267">
        <w:t>4</w:t>
      </w:r>
      <w:r w:rsidR="005B2850">
        <w:t>0</w:t>
      </w:r>
      <w:r w:rsidR="00686267">
        <w:t>:</w:t>
      </w:r>
      <w:bookmarkEnd w:id="421"/>
      <w:r>
        <w:t xml:space="preserve"> </w:t>
      </w:r>
      <w:r w:rsidRPr="00B9231E">
        <w:rPr>
          <w:lang w:eastAsia="ja-JP"/>
        </w:rPr>
        <w:t xml:space="preserve">Summary of </w:t>
      </w:r>
      <w:r w:rsidR="008A2A93">
        <w:rPr>
          <w:lang w:eastAsia="ja-JP"/>
        </w:rPr>
        <w:t>s</w:t>
      </w:r>
      <w:r w:rsidR="008A2A93" w:rsidRPr="00B9231E">
        <w:rPr>
          <w:lang w:eastAsia="ja-JP"/>
        </w:rPr>
        <w:t xml:space="preserve">ubjects </w:t>
      </w:r>
      <w:r w:rsidRPr="00B9231E">
        <w:rPr>
          <w:lang w:eastAsia="ja-JP"/>
        </w:rPr>
        <w:t xml:space="preserve">with </w:t>
      </w:r>
      <w:r w:rsidR="008A2A93">
        <w:rPr>
          <w:lang w:eastAsia="ja-JP"/>
        </w:rPr>
        <w:t>u</w:t>
      </w:r>
      <w:r w:rsidR="008A2A93" w:rsidRPr="00B9231E">
        <w:rPr>
          <w:lang w:eastAsia="ja-JP"/>
        </w:rPr>
        <w:t xml:space="preserve">nsuccessful </w:t>
      </w:r>
      <w:r w:rsidR="008A2A93">
        <w:rPr>
          <w:lang w:eastAsia="ja-JP"/>
        </w:rPr>
        <w:t>c</w:t>
      </w:r>
      <w:r w:rsidR="008A2A93" w:rsidRPr="00B9231E">
        <w:rPr>
          <w:lang w:eastAsia="ja-JP"/>
        </w:rPr>
        <w:t xml:space="preserve">linical </w:t>
      </w:r>
      <w:r w:rsidR="008A2A93">
        <w:rPr>
          <w:lang w:eastAsia="ja-JP"/>
        </w:rPr>
        <w:t>r</w:t>
      </w:r>
      <w:r w:rsidR="008A2A93" w:rsidRPr="00B9231E">
        <w:rPr>
          <w:lang w:eastAsia="ja-JP"/>
        </w:rPr>
        <w:t xml:space="preserve">esponse </w:t>
      </w:r>
      <w:r w:rsidRPr="00B9231E">
        <w:rPr>
          <w:lang w:eastAsia="ja-JP"/>
        </w:rPr>
        <w:t>(Study 006)</w:t>
      </w:r>
      <w:bookmarkEnd w:id="422"/>
      <w:bookmarkEnd w:id="423"/>
    </w:p>
    <w:p w14:paraId="0DAACF68" w14:textId="77777777" w:rsidR="006B4DC1" w:rsidRDefault="006B4DC1" w:rsidP="006B4DC1">
      <w:pPr>
        <w:rPr>
          <w:lang w:eastAsia="ja-JP"/>
        </w:rPr>
      </w:pPr>
      <w:r w:rsidRPr="003505BD">
        <w:rPr>
          <w:noProof/>
          <w:lang w:eastAsia="en-AU"/>
        </w:rPr>
        <w:drawing>
          <wp:inline distT="0" distB="0" distL="0" distR="0" wp14:anchorId="6D07C374" wp14:editId="2F77FCF0">
            <wp:extent cx="5731510" cy="1299073"/>
            <wp:effectExtent l="0" t="0" r="2540" b="0"/>
            <wp:docPr id="89" name="Picture 89" descr="Summary of Subjects with Unsuccessful Clinical Response (Study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5731510" cy="1299073"/>
                    </a:xfrm>
                    <a:prstGeom prst="rect">
                      <a:avLst/>
                    </a:prstGeom>
                    <a:noFill/>
                    <a:ln>
                      <a:noFill/>
                    </a:ln>
                  </pic:spPr>
                </pic:pic>
              </a:graphicData>
            </a:graphic>
          </wp:inline>
        </w:drawing>
      </w:r>
    </w:p>
    <w:p w14:paraId="6CE377E9" w14:textId="3BF19809" w:rsidR="008A1A1C" w:rsidRDefault="008A1A1C" w:rsidP="008A1A1C">
      <w:pPr>
        <w:rPr>
          <w:lang w:eastAsia="ja-JP"/>
        </w:rPr>
      </w:pPr>
      <w:r>
        <w:rPr>
          <w:lang w:eastAsia="ja-JP"/>
        </w:rPr>
        <w:t>Study 006 included a population of 216 adolescents (ages 12</w:t>
      </w:r>
      <w:r w:rsidR="00C91D0A">
        <w:rPr>
          <w:lang w:eastAsia="ja-JP"/>
        </w:rPr>
        <w:t xml:space="preserve"> to </w:t>
      </w:r>
      <w:r>
        <w:rPr>
          <w:lang w:eastAsia="ja-JP"/>
        </w:rPr>
        <w:t>17) who received tafenoquine loading doses of 25, 50, 100, or 200 mg daily x 3 days. Overall, the adolescents showed good efficacy results for doses above 25 mg/day, with 100% prophylactic success at the 200 mg dose and only slightly lower efficacy for 100 mg (96.2%) and 50 mg (98.0%).</w:t>
      </w:r>
    </w:p>
    <w:bookmarkEnd w:id="404"/>
    <w:bookmarkEnd w:id="405"/>
    <w:p w14:paraId="6D7C0926" w14:textId="77777777" w:rsidR="00F1528F" w:rsidRDefault="008A1A1C" w:rsidP="00E730B4">
      <w:pPr>
        <w:pStyle w:val="Heading4"/>
        <w:numPr>
          <w:ilvl w:val="2"/>
          <w:numId w:val="7"/>
        </w:numPr>
      </w:pPr>
      <w:r>
        <w:t>Study 030</w:t>
      </w:r>
    </w:p>
    <w:p w14:paraId="4A77D909" w14:textId="6522B3D9" w:rsidR="007B0EBB" w:rsidRDefault="008A1A1C" w:rsidP="008A1A1C">
      <w:r>
        <w:rPr>
          <w:lang w:eastAsia="ja-JP"/>
        </w:rPr>
        <w:t xml:space="preserve">This was a </w:t>
      </w:r>
      <w:r w:rsidR="00404803">
        <w:rPr>
          <w:lang w:eastAsia="ja-JP"/>
        </w:rPr>
        <w:t>randomised</w:t>
      </w:r>
      <w:r>
        <w:rPr>
          <w:lang w:eastAsia="ja-JP"/>
        </w:rPr>
        <w:t xml:space="preserve">, </w:t>
      </w:r>
      <w:r w:rsidR="00404803">
        <w:rPr>
          <w:lang w:eastAsia="ja-JP"/>
        </w:rPr>
        <w:t>double blind</w:t>
      </w:r>
      <w:r>
        <w:rPr>
          <w:lang w:eastAsia="ja-JP"/>
        </w:rPr>
        <w:t>, placebo controlled evaluation of weekly tafenoquine compared to mefloquine for chemo</w:t>
      </w:r>
      <w:r w:rsidR="004C149F">
        <w:rPr>
          <w:lang w:eastAsia="ja-JP"/>
        </w:rPr>
        <w:t>-</w:t>
      </w:r>
      <w:r>
        <w:rPr>
          <w:lang w:eastAsia="ja-JP"/>
        </w:rPr>
        <w:t xml:space="preserve">suppression of </w:t>
      </w:r>
      <w:r w:rsidR="004C149F">
        <w:rPr>
          <w:lang w:eastAsia="ja-JP"/>
        </w:rPr>
        <w:t>Pf</w:t>
      </w:r>
      <w:r>
        <w:rPr>
          <w:lang w:eastAsia="ja-JP"/>
        </w:rPr>
        <w:t xml:space="preserve"> in Western Kenya, to evaluate the chemoprophylactic efficacy of weekly tafenoquine in preventing P</w:t>
      </w:r>
      <w:r w:rsidR="004C149F">
        <w:rPr>
          <w:lang w:eastAsia="ja-JP"/>
        </w:rPr>
        <w:t xml:space="preserve">f </w:t>
      </w:r>
      <w:r>
        <w:rPr>
          <w:lang w:eastAsia="ja-JP"/>
        </w:rPr>
        <w:t>parasit</w:t>
      </w:r>
      <w:r w:rsidR="00C65DEF">
        <w:rPr>
          <w:lang w:eastAsia="ja-JP"/>
        </w:rPr>
        <w:t>a</w:t>
      </w:r>
      <w:r>
        <w:rPr>
          <w:lang w:eastAsia="ja-JP"/>
        </w:rPr>
        <w:t>emia post-initial parasite clearance. The study further aimed to assess the safety, tolerability and population PK of tafenoquine compared with placebo and mefloquine.</w:t>
      </w:r>
    </w:p>
    <w:p w14:paraId="72CE0D33" w14:textId="77777777" w:rsidR="008A1A1C" w:rsidRDefault="008A1A1C" w:rsidP="008A1A1C">
      <w:pPr>
        <w:rPr>
          <w:lang w:eastAsia="ja-JP"/>
        </w:rPr>
      </w:pPr>
      <w:r>
        <w:t>Healthy volunteers of either sex aged between 18 and 55 years planning to reside in the study area for the entire study period of approximately 70 weeks were eligible for entry into the study.</w:t>
      </w:r>
    </w:p>
    <w:p w14:paraId="65DD630C" w14:textId="7F5A880F" w:rsidR="008A1A1C" w:rsidRDefault="008A1A1C" w:rsidP="008A1A1C">
      <w:pPr>
        <w:rPr>
          <w:lang w:eastAsia="ja-JP"/>
        </w:rPr>
      </w:pPr>
      <w:r>
        <w:rPr>
          <w:lang w:eastAsia="ja-JP"/>
        </w:rPr>
        <w:lastRenderedPageBreak/>
        <w:t>Participants (N = 36) were treated for 3 days with halofantrine to clear any existing parasit</w:t>
      </w:r>
      <w:r w:rsidR="00C65DEF">
        <w:rPr>
          <w:lang w:eastAsia="ja-JP"/>
        </w:rPr>
        <w:t>a</w:t>
      </w:r>
      <w:r>
        <w:rPr>
          <w:lang w:eastAsia="ja-JP"/>
        </w:rPr>
        <w:t xml:space="preserve">emia then </w:t>
      </w:r>
      <w:r w:rsidR="00404803">
        <w:rPr>
          <w:lang w:eastAsia="ja-JP"/>
        </w:rPr>
        <w:t>randomised</w:t>
      </w:r>
      <w:r>
        <w:rPr>
          <w:lang w:eastAsia="ja-JP"/>
        </w:rPr>
        <w:t xml:space="preserve"> into one of three treatment arms (tafenoquine 200 mg once daily for 3 days, followed by tafenoquine 200 mg once weekly for 24 weeks; mefloquine 250 mg once daily for 3 days, followed by mefloquine 250 mg once weekly for 24 weeks; or placebo). Samples for PK analysis were collected on Day 2 (6 to 12 hours after third loading dose) and at Weeks 4, 8, 16, 17 and 28. All tafenoquine plasma concentrations were &gt; 100</w:t>
      </w:r>
      <w:r w:rsidR="00122529">
        <w:rPr>
          <w:lang w:eastAsia="ja-JP"/>
        </w:rPr>
        <w:t xml:space="preserve"> ng/mL</w:t>
      </w:r>
      <w:r>
        <w:rPr>
          <w:lang w:eastAsia="ja-JP"/>
        </w:rPr>
        <w:t xml:space="preserve"> following the loading doses and weekly dosing up to 4 weeks after the first loading dose. Plasma concentrations observed in subjects who failed on treatment and those who did not fail were similar during both loading dosing and during prophylactic treatment.</w:t>
      </w:r>
    </w:p>
    <w:p w14:paraId="792DB792" w14:textId="77777777" w:rsidR="004C149F" w:rsidRDefault="008A1A1C" w:rsidP="004C149F">
      <w:pPr>
        <w:pStyle w:val="Heading5"/>
      </w:pPr>
      <w:bookmarkStart w:id="424" w:name="_Toc416353722"/>
      <w:bookmarkStart w:id="425" w:name="_Toc290888506"/>
      <w:r>
        <w:t xml:space="preserve">Efficacy </w:t>
      </w:r>
      <w:r w:rsidR="007B0EBB">
        <w:t>p</w:t>
      </w:r>
      <w:r>
        <w:t>arameters</w:t>
      </w:r>
    </w:p>
    <w:p w14:paraId="69E851AD" w14:textId="0ABC2BF5" w:rsidR="008A1A1C" w:rsidRDefault="008A1A1C" w:rsidP="008A1A1C">
      <w:r>
        <w:t xml:space="preserve">The primary efficacy variable was prophylactic outcome (success/failure) at the end of the prophylactic treatment phase (time of last dose, Week 24, plus 7 days); prophylactic outcome was based on absence/presence of asexual stage parasites of any Plasmodium species on a single blood smear. The secondary efficacy variables were: number of subjects with two consecutive positive smears during prophylactic treatment; number of subjects with a first positive smear (Pf species only) during prophylactic treatment; time to first positive smear; time to two consecutive positive smears. (Secondary efficacy analyses from results during the safety </w:t>
      </w:r>
      <w:r w:rsidRPr="00545E77">
        <w:t>Follow-up period were not performed due to the high early withdrawal rate from the study</w:t>
      </w:r>
      <w:r w:rsidR="00C65DEF" w:rsidRPr="00545E77">
        <w:t xml:space="preserve"> due to false-positive malaria microscopy</w:t>
      </w:r>
      <w:r w:rsidRPr="00545E77">
        <w:t>)</w:t>
      </w:r>
      <w:r w:rsidR="00C65DEF" w:rsidRPr="00530A97">
        <w:t>.</w:t>
      </w:r>
    </w:p>
    <w:p w14:paraId="10923A95" w14:textId="6FEF1790" w:rsidR="004C149F" w:rsidRDefault="008A1A1C" w:rsidP="004C149F">
      <w:pPr>
        <w:pStyle w:val="Heading5"/>
      </w:pPr>
      <w:r>
        <w:t xml:space="preserve">Statistical </w:t>
      </w:r>
      <w:r w:rsidR="00C91D0A">
        <w:t>methods</w:t>
      </w:r>
    </w:p>
    <w:p w14:paraId="54DE2CB6" w14:textId="567DA3B9" w:rsidR="00F1528F" w:rsidRDefault="008A1A1C" w:rsidP="008A1A1C">
      <w:r>
        <w:t>The primary efficacy analysis was based on a calculation of the PE of tafenoquine, defined as (1</w:t>
      </w:r>
      <w:r w:rsidR="004C149F">
        <w:t>;</w:t>
      </w:r>
      <w:r>
        <w:t xml:space="preserve"> relative risk of developing parasit</w:t>
      </w:r>
      <w:r w:rsidR="00C65DEF">
        <w:t>a</w:t>
      </w:r>
      <w:r>
        <w:t>emia with tafenoquine: placebo) x 100%, and 95.2% CI were constructed for the relative risk using Koopmans</w:t>
      </w:r>
      <w:r w:rsidR="00B319AC">
        <w:t>’</w:t>
      </w:r>
      <w:r>
        <w:t xml:space="preserve"> method.</w:t>
      </w:r>
    </w:p>
    <w:p w14:paraId="6A662000" w14:textId="257A46CF" w:rsidR="008A1A1C" w:rsidRDefault="008A1A1C" w:rsidP="008A1A1C">
      <w:r>
        <w:t>The PEs of tafenoquine and mefloquine based on the secondary endpoints were also calculated, together with 95% CI. Kaplan-Meier survival curves were produced for time to parasit</w:t>
      </w:r>
      <w:r w:rsidR="00C65DEF">
        <w:t>a</w:t>
      </w:r>
      <w:r>
        <w:t>emia for both first positive smear and two consecutive positive smears.</w:t>
      </w:r>
    </w:p>
    <w:p w14:paraId="6AE690B1" w14:textId="45AC691F" w:rsidR="004C149F" w:rsidRDefault="008A1A1C" w:rsidP="004C149F">
      <w:pPr>
        <w:pStyle w:val="Heading5"/>
      </w:pPr>
      <w:r>
        <w:t xml:space="preserve">Withdrawals </w:t>
      </w:r>
      <w:r w:rsidR="00C91D0A">
        <w:t xml:space="preserve">due </w:t>
      </w:r>
      <w:r>
        <w:t xml:space="preserve">to </w:t>
      </w:r>
      <w:r w:rsidR="00C91D0A">
        <w:t>adverse experiences</w:t>
      </w:r>
    </w:p>
    <w:p w14:paraId="2A49B756" w14:textId="5EABCED5" w:rsidR="00855CA9" w:rsidRDefault="008A1A1C" w:rsidP="008A1A1C">
      <w:r>
        <w:t>Thirteen subjects had AEs recorded as leading to withdrawal: 10 (3.3%) during the prophylaxis treatment phase and five (1.6%) during Follow-up (two subjects had events during both phases). Most of these withdrawals were due to apparent parasit</w:t>
      </w:r>
      <w:r w:rsidR="00C65DEF">
        <w:t>a</w:t>
      </w:r>
      <w:r>
        <w:t>emia, with the reason for withdrawal from the study being given as ‘insufficient therapeutic effect’</w:t>
      </w:r>
      <w:r w:rsidR="00FD726B">
        <w:t>.</w:t>
      </w:r>
    </w:p>
    <w:p w14:paraId="690B1A68" w14:textId="77777777" w:rsidR="008A1A1C" w:rsidRDefault="008A1A1C" w:rsidP="00855CA9">
      <w:pPr>
        <w:pStyle w:val="Heading5"/>
      </w:pPr>
      <w:r>
        <w:t xml:space="preserve">Efficacy </w:t>
      </w:r>
      <w:r w:rsidR="007B0EBB">
        <w:t>r</w:t>
      </w:r>
      <w:r>
        <w:t>esu</w:t>
      </w:r>
      <w:r w:rsidR="007B0EBB">
        <w:t>lts</w:t>
      </w:r>
    </w:p>
    <w:p w14:paraId="6A010283" w14:textId="7D1E8A2F" w:rsidR="004C149F" w:rsidRDefault="008A1A1C" w:rsidP="00855CA9">
      <w:pPr>
        <w:pStyle w:val="Heading6"/>
      </w:pPr>
      <w:r>
        <w:t xml:space="preserve">High </w:t>
      </w:r>
      <w:r w:rsidR="00C91D0A">
        <w:t>failure rate</w:t>
      </w:r>
    </w:p>
    <w:p w14:paraId="43CA49A9" w14:textId="2CFEDF7A" w:rsidR="008A1A1C" w:rsidRDefault="008A1A1C" w:rsidP="008A1A1C">
      <w:r>
        <w:t>Early in the study, it became apparent that the failure rate was higher than would be expected for the design including two effective chemoprophylactic treatment arms. Th</w:t>
      </w:r>
      <w:r w:rsidR="00855CA9">
        <w:t>e</w:t>
      </w:r>
      <w:r>
        <w:t xml:space="preserve"> failure rate lead</w:t>
      </w:r>
      <w:r w:rsidR="00B319AC">
        <w:t>s</w:t>
      </w:r>
      <w:r>
        <w:t xml:space="preserve"> to a series of investigations into the possible cause, and the setting-up of an Independent Data Monitoring Committee (IDMC), to assess whether it was appropriate to continue the study. A re-read of a sample of study slides by two separate, experienced, slide-reading cent</w:t>
      </w:r>
      <w:r w:rsidR="00855CA9">
        <w:t>res</w:t>
      </w:r>
      <w:r>
        <w:t>, the Naval Medical Research Unit-2 (NAMRU-2), Jakarta, and the Australian Army Malaria Institute, Brisbane, suggested high rates of false positives were being identified at the study site. In parallel, and in concert with this conclusion, the IDMC conducted an unblinding of parasit</w:t>
      </w:r>
      <w:r w:rsidR="00C65DEF">
        <w:t>a</w:t>
      </w:r>
      <w:r>
        <w:t>emia results from the cent</w:t>
      </w:r>
      <w:r w:rsidR="00855CA9">
        <w:t>re</w:t>
      </w:r>
      <w:r>
        <w:t xml:space="preserve"> and identified low apparent PE for both tafenoquine and mefloquine groups. The IDMC concluded that the study should continue in order to meet the secondary objectives of evaluating the long-term safety and efficacy of tafenoquine.</w:t>
      </w:r>
    </w:p>
    <w:p w14:paraId="4278ABB7" w14:textId="77777777" w:rsidR="008A1A1C" w:rsidRPr="005B2850" w:rsidRDefault="008A1A1C" w:rsidP="008A1A1C">
      <w:r>
        <w:t xml:space="preserve">It is assumed that the re-reading done by NAMRU-2 were correct, for all re-read slides the sensitivity (the proportion of true positives correctly identified by USAMRU-K) was 86.1% (31/36) and the specificity (the proportion of true negatives correctly identified) was 69.8% (507/726). The overall concordance rate was 70.6% (538/762), with the negative concordance </w:t>
      </w:r>
      <w:r>
        <w:lastRenderedPageBreak/>
        <w:t>rate being 99% (507/</w:t>
      </w:r>
      <w:r w:rsidRPr="005B2850">
        <w:t xml:space="preserve">512) and the positive concordance rate being only 12.4% (31/250). This correlation is shown in </w:t>
      </w:r>
      <w:r w:rsidR="00686267" w:rsidRPr="005B2850">
        <w:t>Table 4</w:t>
      </w:r>
      <w:r w:rsidR="005B2850" w:rsidRPr="005B2850">
        <w:t>1</w:t>
      </w:r>
      <w:r w:rsidRPr="005B2850">
        <w:t>. With such a low positive concordance results, the efficacy results and analyses from this study cannot be considered meaningful.</w:t>
      </w:r>
    </w:p>
    <w:p w14:paraId="2A6064B9" w14:textId="77777777" w:rsidR="006B4DC1" w:rsidRPr="005B2850" w:rsidRDefault="006B4DC1" w:rsidP="00686267">
      <w:pPr>
        <w:pStyle w:val="Tabletitle"/>
        <w:rPr>
          <w:lang w:val="en-US"/>
        </w:rPr>
      </w:pPr>
      <w:r w:rsidRPr="005B2850">
        <w:t xml:space="preserve">Table </w:t>
      </w:r>
      <w:r w:rsidR="00686267" w:rsidRPr="005B2850">
        <w:t>4</w:t>
      </w:r>
      <w:r w:rsidR="005B2850" w:rsidRPr="005B2850">
        <w:t>1</w:t>
      </w:r>
      <w:r w:rsidR="00686267" w:rsidRPr="005B2850">
        <w:t>:</w:t>
      </w:r>
      <w:r w:rsidRPr="005B2850">
        <w:t xml:space="preserve"> Correlation of second reading of blood slides in </w:t>
      </w:r>
      <w:r w:rsidR="00686267" w:rsidRPr="005B2850">
        <w:t>S</w:t>
      </w:r>
      <w:r w:rsidRPr="005B2850">
        <w:t>tudy 030</w:t>
      </w:r>
    </w:p>
    <w:p w14:paraId="4F04CD7F" w14:textId="77777777" w:rsidR="006B4DC1" w:rsidRPr="005B2850" w:rsidRDefault="006B4DC1" w:rsidP="0010343C">
      <w:pPr>
        <w:rPr>
          <w:lang w:val="en-US"/>
        </w:rPr>
      </w:pPr>
      <w:r w:rsidRPr="005B2850">
        <w:rPr>
          <w:noProof/>
          <w:lang w:eastAsia="en-AU"/>
        </w:rPr>
        <w:drawing>
          <wp:inline distT="0" distB="0" distL="0" distR="0" wp14:anchorId="4674A81E" wp14:editId="292F50F7">
            <wp:extent cx="5731510" cy="1076960"/>
            <wp:effectExtent l="0" t="0" r="2540" b="8890"/>
            <wp:docPr id="90" name="Picture 90" descr="Correlation of second reading of blood slides in Study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5731510" cy="1076960"/>
                    </a:xfrm>
                    <a:prstGeom prst="rect">
                      <a:avLst/>
                    </a:prstGeom>
                    <a:noFill/>
                    <a:ln>
                      <a:noFill/>
                    </a:ln>
                  </pic:spPr>
                </pic:pic>
              </a:graphicData>
            </a:graphic>
          </wp:inline>
        </w:drawing>
      </w:r>
    </w:p>
    <w:p w14:paraId="064C5523" w14:textId="2B8189E5" w:rsidR="00855CA9" w:rsidRPr="005B2850" w:rsidRDefault="008A1A1C" w:rsidP="00855CA9">
      <w:pPr>
        <w:pStyle w:val="Heading5"/>
      </w:pPr>
      <w:r w:rsidRPr="005B2850">
        <w:t xml:space="preserve">Primary </w:t>
      </w:r>
      <w:r w:rsidR="00C91D0A">
        <w:t>e</w:t>
      </w:r>
      <w:r w:rsidR="00C91D0A" w:rsidRPr="005B2850">
        <w:t xml:space="preserve">fficacy </w:t>
      </w:r>
      <w:r w:rsidR="00C91D0A">
        <w:t>v</w:t>
      </w:r>
      <w:r w:rsidR="00C91D0A" w:rsidRPr="005B2850">
        <w:t>ariable</w:t>
      </w:r>
    </w:p>
    <w:p w14:paraId="396AC495" w14:textId="77777777" w:rsidR="008A1A1C" w:rsidRDefault="008A1A1C" w:rsidP="008A1A1C">
      <w:r w:rsidRPr="005B2850">
        <w:t>Prophylactic outcome and PE based on first positive smear (all species), original reading. As expected following the slide-reading errors, PEs for both tafenoquine and mefloquine relative to placebo are low (</w:t>
      </w:r>
      <w:r w:rsidR="00686267" w:rsidRPr="005B2850">
        <w:t>Table 4</w:t>
      </w:r>
      <w:r w:rsidR="005B2850" w:rsidRPr="005B2850">
        <w:t>2</w:t>
      </w:r>
      <w:r w:rsidRPr="005B2850">
        <w:t>).</w:t>
      </w:r>
    </w:p>
    <w:p w14:paraId="500449B1" w14:textId="4EE2DB8E" w:rsidR="006B4DC1" w:rsidRDefault="006B4DC1" w:rsidP="00686267">
      <w:pPr>
        <w:pStyle w:val="Tabletitle"/>
      </w:pPr>
      <w:r>
        <w:t xml:space="preserve">Table </w:t>
      </w:r>
      <w:r w:rsidR="00686267">
        <w:t>4</w:t>
      </w:r>
      <w:r w:rsidR="005B2850">
        <w:t>2</w:t>
      </w:r>
      <w:r w:rsidR="00686267">
        <w:t>:</w:t>
      </w:r>
      <w:r>
        <w:t xml:space="preserve"> </w:t>
      </w:r>
      <w:r w:rsidRPr="00B9231E">
        <w:t xml:space="preserve">Prophylactic </w:t>
      </w:r>
      <w:r w:rsidR="00C91D0A">
        <w:t>o</w:t>
      </w:r>
      <w:r w:rsidR="00C91D0A" w:rsidRPr="00B9231E">
        <w:t>utcome</w:t>
      </w:r>
      <w:r w:rsidRPr="00B9231E">
        <w:t xml:space="preserve">, Study 030 </w:t>
      </w:r>
      <w:r w:rsidR="00C91D0A">
        <w:t>ITT</w:t>
      </w:r>
      <w:r w:rsidRPr="00B9231E">
        <w:t xml:space="preserve"> </w:t>
      </w:r>
      <w:r w:rsidR="00C91D0A">
        <w:t>p</w:t>
      </w:r>
      <w:r w:rsidR="00C91D0A" w:rsidRPr="00B9231E">
        <w:t>opulation</w:t>
      </w:r>
      <w:r w:rsidR="00C91D0A">
        <w:t xml:space="preserve"> </w:t>
      </w:r>
      <w:r>
        <w:t>(these results are probably inaccurate)</w:t>
      </w:r>
    </w:p>
    <w:p w14:paraId="4F8BE2AB" w14:textId="77777777" w:rsidR="006B4DC1" w:rsidRDefault="006B4DC1" w:rsidP="006B4DC1">
      <w:r w:rsidRPr="0005591E">
        <w:rPr>
          <w:noProof/>
          <w:lang w:eastAsia="en-AU"/>
        </w:rPr>
        <w:drawing>
          <wp:inline distT="0" distB="0" distL="0" distR="0" wp14:anchorId="4E53D6C1" wp14:editId="1741DC0A">
            <wp:extent cx="5731510" cy="2093293"/>
            <wp:effectExtent l="0" t="0" r="2540" b="2540"/>
            <wp:docPr id="91" name="Picture 91" descr="Prophylactic Outcome, Study 030 Intent-to-Treat Population (these results are probably inaccu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5731510" cy="2093293"/>
                    </a:xfrm>
                    <a:prstGeom prst="rect">
                      <a:avLst/>
                    </a:prstGeom>
                    <a:noFill/>
                    <a:ln>
                      <a:noFill/>
                    </a:ln>
                  </pic:spPr>
                </pic:pic>
              </a:graphicData>
            </a:graphic>
          </wp:inline>
        </w:drawing>
      </w:r>
    </w:p>
    <w:p w14:paraId="44838C05" w14:textId="1E492F98" w:rsidR="006B4DC1" w:rsidRPr="0005591E" w:rsidRDefault="006B4DC1" w:rsidP="006B4DC1">
      <w:pPr>
        <w:rPr>
          <w:sz w:val="18"/>
          <w:szCs w:val="18"/>
        </w:rPr>
      </w:pPr>
      <w:proofErr w:type="gramStart"/>
      <w:r w:rsidRPr="0005591E">
        <w:rPr>
          <w:sz w:val="18"/>
          <w:szCs w:val="18"/>
        </w:rPr>
        <w:t>a</w:t>
      </w:r>
      <w:proofErr w:type="gramEnd"/>
      <w:r w:rsidRPr="0005591E">
        <w:rPr>
          <w:sz w:val="18"/>
          <w:szCs w:val="18"/>
        </w:rPr>
        <w:t xml:space="preserve"> Total success is defined as [known successes + assumed successes].</w:t>
      </w:r>
      <w:r>
        <w:rPr>
          <w:sz w:val="18"/>
          <w:szCs w:val="18"/>
        </w:rPr>
        <w:t xml:space="preserve"> </w:t>
      </w:r>
      <w:r w:rsidRPr="0005591E">
        <w:rPr>
          <w:sz w:val="18"/>
          <w:szCs w:val="18"/>
        </w:rPr>
        <w:t>b Known success is defined as when the subject had negative smears up to and including Week 24.</w:t>
      </w:r>
      <w:r>
        <w:rPr>
          <w:sz w:val="18"/>
          <w:szCs w:val="18"/>
        </w:rPr>
        <w:t xml:space="preserve"> </w:t>
      </w:r>
      <w:proofErr w:type="gramStart"/>
      <w:r w:rsidRPr="0005591E">
        <w:rPr>
          <w:sz w:val="18"/>
          <w:szCs w:val="18"/>
        </w:rPr>
        <w:t>c</w:t>
      </w:r>
      <w:proofErr w:type="gramEnd"/>
      <w:r w:rsidRPr="0005591E">
        <w:rPr>
          <w:sz w:val="18"/>
          <w:szCs w:val="18"/>
        </w:rPr>
        <w:t xml:space="preserve"> Assumed success is defined as subject had negative smears throughout the study but withdrew prior to Week 24</w:t>
      </w:r>
      <w:r>
        <w:rPr>
          <w:sz w:val="18"/>
          <w:szCs w:val="18"/>
        </w:rPr>
        <w:t xml:space="preserve"> </w:t>
      </w:r>
      <w:r w:rsidRPr="0005591E">
        <w:rPr>
          <w:sz w:val="18"/>
          <w:szCs w:val="18"/>
        </w:rPr>
        <w:t>d Protective efficacy relative to placebo based on failure rate. CI</w:t>
      </w:r>
      <w:r w:rsidR="00B319AC">
        <w:rPr>
          <w:sz w:val="18"/>
          <w:szCs w:val="18"/>
        </w:rPr>
        <w:t>:</w:t>
      </w:r>
      <w:r w:rsidRPr="0005591E">
        <w:rPr>
          <w:sz w:val="18"/>
          <w:szCs w:val="18"/>
        </w:rPr>
        <w:t xml:space="preserve"> confidence interval; N</w:t>
      </w:r>
      <w:r w:rsidR="00B319AC">
        <w:rPr>
          <w:sz w:val="18"/>
          <w:szCs w:val="18"/>
        </w:rPr>
        <w:t>:</w:t>
      </w:r>
      <w:r w:rsidRPr="0005591E">
        <w:rPr>
          <w:sz w:val="18"/>
          <w:szCs w:val="18"/>
        </w:rPr>
        <w:t xml:space="preserve"> number; PE</w:t>
      </w:r>
      <w:r w:rsidR="00B319AC">
        <w:rPr>
          <w:sz w:val="18"/>
          <w:szCs w:val="18"/>
        </w:rPr>
        <w:t>:</w:t>
      </w:r>
      <w:r w:rsidRPr="0005591E">
        <w:rPr>
          <w:sz w:val="18"/>
          <w:szCs w:val="18"/>
        </w:rPr>
        <w:t xml:space="preserve"> protective efficacy.</w:t>
      </w:r>
    </w:p>
    <w:p w14:paraId="059F63C0" w14:textId="56A0C981" w:rsidR="00855CA9" w:rsidRDefault="008A1A1C" w:rsidP="00855CA9">
      <w:pPr>
        <w:pStyle w:val="Heading5"/>
      </w:pPr>
      <w:r>
        <w:t xml:space="preserve">Secondary </w:t>
      </w:r>
      <w:r w:rsidR="00C91D0A">
        <w:t>efficacy variables</w:t>
      </w:r>
    </w:p>
    <w:p w14:paraId="4EC27E9D" w14:textId="77777777" w:rsidR="00F1528F" w:rsidRDefault="008A1A1C" w:rsidP="008A1A1C">
      <w:r>
        <w:t>PE based on two consecutive positive smears (all species). Protective efficacies are higher using this endpoint but cannot be regarded as a valid result due to slide-reading errors. The results for protective efficacy of tafenoquine based on Pf only were similar to those for any species. The time to first positive smear and two consecu</w:t>
      </w:r>
      <w:r w:rsidR="00855CA9">
        <w:t>tive positive smears is summaris</w:t>
      </w:r>
      <w:r>
        <w:t xml:space="preserve">ed below for the </w:t>
      </w:r>
      <w:r w:rsidR="007B0EBB">
        <w:t>ITT</w:t>
      </w:r>
      <w:r>
        <w:t xml:space="preserve"> population.</w:t>
      </w:r>
    </w:p>
    <w:p w14:paraId="168019EA" w14:textId="77777777" w:rsidR="00F1528F" w:rsidRDefault="008A1A1C" w:rsidP="008A1A1C">
      <w:r>
        <w:t>Although there was a statistically significant difference between the survival curves for the tafenoquine and placebo groups for the time to first positive smear and the time to two consecutive positive smears (p &lt; 0.01), the results may not be valid as almost all subjects had at least one positive smear during the study.</w:t>
      </w:r>
    </w:p>
    <w:p w14:paraId="4B6EE76B" w14:textId="77777777" w:rsidR="008A1A1C" w:rsidRDefault="00855CA9" w:rsidP="00855CA9">
      <w:pPr>
        <w:pStyle w:val="Heading5"/>
      </w:pPr>
      <w:r>
        <w:t>Conclusions</w:t>
      </w:r>
    </w:p>
    <w:p w14:paraId="78B0E3A9" w14:textId="77777777" w:rsidR="00F1528F" w:rsidRDefault="008A1A1C" w:rsidP="008A1A1C">
      <w:r>
        <w:t xml:space="preserve">A failure of the slide-reading process in this study led to uncertainty in assessment of the primary objective </w:t>
      </w:r>
      <w:r w:rsidR="00785076">
        <w:t>that is,</w:t>
      </w:r>
      <w:r>
        <w:t xml:space="preserve"> determining the chemoprophylactic efficacy of tafenoquine against Pf infection.</w:t>
      </w:r>
    </w:p>
    <w:p w14:paraId="351ACAE6" w14:textId="77777777" w:rsidR="008A1A1C" w:rsidRDefault="008A1A1C" w:rsidP="00E730B4">
      <w:pPr>
        <w:pStyle w:val="Heading4"/>
        <w:numPr>
          <w:ilvl w:val="2"/>
          <w:numId w:val="7"/>
        </w:numPr>
      </w:pPr>
      <w:bookmarkStart w:id="426" w:name="_Ref504139084"/>
      <w:bookmarkEnd w:id="424"/>
      <w:bookmarkEnd w:id="425"/>
      <w:r>
        <w:lastRenderedPageBreak/>
        <w:t xml:space="preserve">Study </w:t>
      </w:r>
      <w:r w:rsidRPr="00855CA9">
        <w:t>044</w:t>
      </w:r>
      <w:bookmarkEnd w:id="426"/>
    </w:p>
    <w:p w14:paraId="5FE6A0CF" w14:textId="614CFD8C" w:rsidR="008A1A1C" w:rsidRDefault="008A1A1C" w:rsidP="008A1A1C">
      <w:pPr>
        <w:rPr>
          <w:lang w:eastAsia="ja-JP"/>
        </w:rPr>
      </w:pPr>
      <w:r>
        <w:rPr>
          <w:lang w:eastAsia="ja-JP"/>
        </w:rPr>
        <w:t xml:space="preserve">Study 044 was a </w:t>
      </w:r>
      <w:r w:rsidR="00404803">
        <w:rPr>
          <w:lang w:eastAsia="ja-JP"/>
        </w:rPr>
        <w:t>randomised</w:t>
      </w:r>
      <w:r>
        <w:rPr>
          <w:lang w:eastAsia="ja-JP"/>
        </w:rPr>
        <w:t xml:space="preserve">, </w:t>
      </w:r>
      <w:r w:rsidR="00404803">
        <w:rPr>
          <w:lang w:eastAsia="ja-JP"/>
        </w:rPr>
        <w:t>double blind</w:t>
      </w:r>
      <w:r>
        <w:rPr>
          <w:lang w:eastAsia="ja-JP"/>
        </w:rPr>
        <w:t>, placebo</w:t>
      </w:r>
      <w:r w:rsidR="00F1528F">
        <w:rPr>
          <w:lang w:eastAsia="ja-JP"/>
        </w:rPr>
        <w:t xml:space="preserve"> controlled</w:t>
      </w:r>
      <w:r>
        <w:rPr>
          <w:lang w:eastAsia="ja-JP"/>
        </w:rPr>
        <w:t xml:space="preserve"> study to evaluate the efficacy, tolerability, safety and PK of tafenoquine for Pf and Pf prophylaxis in Thai</w:t>
      </w:r>
      <w:r w:rsidR="00C31C6E">
        <w:rPr>
          <w:lang w:eastAsia="ja-JP"/>
        </w:rPr>
        <w:t xml:space="preserve"> </w:t>
      </w:r>
      <w:r>
        <w:rPr>
          <w:lang w:eastAsia="ja-JP"/>
        </w:rPr>
        <w:t>soldiers. Tafenoquine (400 mg base daily for 3 days followed by 400 mg base monthly for 5 consecutive months) was compared to placebo. All participants were male soldiers in the Royal Thai Armed Forces. All participants were presumptively treated for malarial infection with artesunate for 3 days plus doxycycline for 7 days prior to study start. One hundred and four (104) participants were assigned to the tafenoquine 400 mg monthly prophylaxis group (loading plus monthly administration). Thirty-one participants were administered placebo during the study, all of whom contracted malaria. The 31 placebo participants were re</w:t>
      </w:r>
      <w:r w:rsidR="007B0EBB">
        <w:rPr>
          <w:lang w:eastAsia="ja-JP"/>
        </w:rPr>
        <w:t>-</w:t>
      </w:r>
      <w:r w:rsidR="00473B40">
        <w:rPr>
          <w:lang w:eastAsia="ja-JP"/>
        </w:rPr>
        <w:t>treated</w:t>
      </w:r>
      <w:r>
        <w:rPr>
          <w:lang w:eastAsia="ja-JP"/>
        </w:rPr>
        <w:t xml:space="preserve"> with artesunate and doxycycline and given a loading dose of tafenoquine, 400 mg daily for 3 days, followed by tafenoquine 400 mg weekly for prophylaxis.</w:t>
      </w:r>
    </w:p>
    <w:p w14:paraId="2DB41B70" w14:textId="77777777" w:rsidR="00855CA9" w:rsidRDefault="008A1A1C" w:rsidP="00855CA9">
      <w:pPr>
        <w:pStyle w:val="Heading5"/>
        <w:rPr>
          <w:lang w:eastAsia="ja-JP"/>
        </w:rPr>
      </w:pPr>
      <w:r>
        <w:rPr>
          <w:lang w:eastAsia="ja-JP"/>
        </w:rPr>
        <w:t>Results</w:t>
      </w:r>
    </w:p>
    <w:p w14:paraId="718D634A" w14:textId="016DDD64" w:rsidR="008A1A1C" w:rsidRDefault="008A1A1C" w:rsidP="008A1A1C">
      <w:r>
        <w:t xml:space="preserve">Efficacy </w:t>
      </w:r>
      <w:r w:rsidR="00B319AC">
        <w:t>(</w:t>
      </w:r>
      <w:r>
        <w:t>ITT</w:t>
      </w:r>
      <w:r w:rsidR="00B319AC">
        <w:t>)</w:t>
      </w:r>
      <w:r>
        <w:t xml:space="preserve"> population were subjects who received at least one dose of </w:t>
      </w:r>
      <w:r w:rsidR="00404803">
        <w:t>double blind</w:t>
      </w:r>
      <w:r>
        <w:t xml:space="preserve"> study medication and had at least one on-therapy assessment of parasit</w:t>
      </w:r>
      <w:r w:rsidR="00C31C6E">
        <w:t>a</w:t>
      </w:r>
      <w:r>
        <w:t>emia (blood smear).</w:t>
      </w:r>
    </w:p>
    <w:p w14:paraId="5826F249" w14:textId="2CF96A49" w:rsidR="00855CA9" w:rsidRDefault="008A1A1C" w:rsidP="00855CA9">
      <w:pPr>
        <w:pStyle w:val="Heading6"/>
      </w:pPr>
      <w:r>
        <w:t xml:space="preserve">Primary </w:t>
      </w:r>
      <w:r w:rsidR="00C91D0A">
        <w:t>efficacy variable</w:t>
      </w:r>
    </w:p>
    <w:p w14:paraId="6929C3A4" w14:textId="010FC19C" w:rsidR="008A1A1C" w:rsidRDefault="008A1A1C" w:rsidP="008A1A1C">
      <w:r>
        <w:t xml:space="preserve">Tafenoquine was highly efficacious in preventing Pf and </w:t>
      </w:r>
      <w:proofErr w:type="gramStart"/>
      <w:r>
        <w:t>Pv</w:t>
      </w:r>
      <w:proofErr w:type="gramEnd"/>
      <w:r>
        <w:t xml:space="preserve"> malaria during the </w:t>
      </w:r>
      <w:r w:rsidR="00404803">
        <w:t>double blind</w:t>
      </w:r>
      <w:r>
        <w:t xml:space="preserve"> treatment phase. There was one treatment failure on tafenoquine compared with 30 treatment failures on placebo. The failure on tafenoquine occurred 35 days after the most recent monthly dose (second monthly dose) due to the subject missing their scheduled </w:t>
      </w:r>
      <w:r w:rsidR="00C31C6E">
        <w:t xml:space="preserve">monthly </w:t>
      </w:r>
      <w:r>
        <w:t xml:space="preserve">dosing day; at this point PK analysis showed that the serum levels were particularly low in this individual. The PE based on cumulative malaria attack rate relative to placebo is shown in </w:t>
      </w:r>
      <w:r w:rsidR="00686267">
        <w:t>Table 4</w:t>
      </w:r>
      <w:r w:rsidR="005B2850">
        <w:t>3</w:t>
      </w:r>
      <w:r w:rsidR="007B0EBB">
        <w:t>.</w:t>
      </w:r>
    </w:p>
    <w:p w14:paraId="5DEB5B01" w14:textId="77777777" w:rsidR="0010343C" w:rsidRDefault="006B4DC1" w:rsidP="00686267">
      <w:pPr>
        <w:pStyle w:val="Tabletitle"/>
      </w:pPr>
      <w:bookmarkStart w:id="427" w:name="_Ref501290705"/>
      <w:bookmarkStart w:id="428" w:name="_Toc504229464"/>
      <w:bookmarkStart w:id="429" w:name="_Toc501293715"/>
      <w:r>
        <w:t>Table</w:t>
      </w:r>
      <w:r w:rsidR="00686267">
        <w:t xml:space="preserve"> 4</w:t>
      </w:r>
      <w:bookmarkEnd w:id="427"/>
      <w:r w:rsidR="005B2850">
        <w:t>3</w:t>
      </w:r>
      <w:r w:rsidR="00686267">
        <w:t>:</w:t>
      </w:r>
      <w:r>
        <w:t xml:space="preserve"> </w:t>
      </w:r>
      <w:r w:rsidRPr="003F3599">
        <w:t xml:space="preserve">Protective </w:t>
      </w:r>
      <w:r w:rsidR="00C91D0A">
        <w:t>e</w:t>
      </w:r>
      <w:r w:rsidR="00C91D0A" w:rsidRPr="003F3599">
        <w:t xml:space="preserve">fficacy </w:t>
      </w:r>
      <w:r w:rsidRPr="003F3599">
        <w:t xml:space="preserve">of </w:t>
      </w:r>
      <w:r w:rsidR="00C91D0A">
        <w:t>t</w:t>
      </w:r>
      <w:r w:rsidR="00C91D0A" w:rsidRPr="003F3599">
        <w:t xml:space="preserve">afenoquine </w:t>
      </w:r>
      <w:r w:rsidR="00C91D0A">
        <w:t>r</w:t>
      </w:r>
      <w:r w:rsidR="00C91D0A" w:rsidRPr="003F3599">
        <w:t xml:space="preserve">elative </w:t>
      </w:r>
      <w:r w:rsidR="00C91D0A">
        <w:t>t</w:t>
      </w:r>
      <w:r w:rsidR="00C91D0A" w:rsidRPr="003F3599">
        <w:t xml:space="preserve">o </w:t>
      </w:r>
      <w:r w:rsidR="00C91D0A">
        <w:t>p</w:t>
      </w:r>
      <w:r w:rsidR="00C91D0A" w:rsidRPr="003F3599">
        <w:t>lacebo</w:t>
      </w:r>
      <w:r w:rsidR="00C91D0A">
        <w:t xml:space="preserve"> </w:t>
      </w:r>
      <w:r>
        <w:t>in Study 044</w:t>
      </w:r>
    </w:p>
    <w:p w14:paraId="024364B7" w14:textId="290F17BF" w:rsidR="006B4DC1" w:rsidRDefault="006B4DC1" w:rsidP="0010343C">
      <w:r w:rsidRPr="008D5AF6">
        <w:rPr>
          <w:noProof/>
          <w:lang w:eastAsia="en-AU"/>
        </w:rPr>
        <w:drawing>
          <wp:inline distT="0" distB="0" distL="0" distR="0" wp14:anchorId="39C0AC95" wp14:editId="54A329F9">
            <wp:extent cx="4822354" cy="2096894"/>
            <wp:effectExtent l="0" t="0" r="0" b="0"/>
            <wp:docPr id="23" name="Picture 23" descr="Protective Efficacy of Tafenoquine Relative to Placebo in Study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4825733" cy="2098363"/>
                    </a:xfrm>
                    <a:prstGeom prst="rect">
                      <a:avLst/>
                    </a:prstGeom>
                    <a:noFill/>
                    <a:ln>
                      <a:noFill/>
                    </a:ln>
                  </pic:spPr>
                </pic:pic>
              </a:graphicData>
            </a:graphic>
          </wp:inline>
        </w:drawing>
      </w:r>
      <w:bookmarkEnd w:id="428"/>
      <w:bookmarkEnd w:id="429"/>
    </w:p>
    <w:p w14:paraId="6E7B76CD" w14:textId="261355B3" w:rsidR="006B4DC1" w:rsidRPr="001C7066" w:rsidRDefault="006B4DC1" w:rsidP="006B4DC1">
      <w:pPr>
        <w:rPr>
          <w:sz w:val="18"/>
          <w:szCs w:val="18"/>
        </w:rPr>
      </w:pPr>
      <w:r w:rsidRPr="001C7066">
        <w:rPr>
          <w:sz w:val="18"/>
          <w:szCs w:val="18"/>
        </w:rPr>
        <w:t xml:space="preserve">*Mixed parasitemia counted as both </w:t>
      </w:r>
      <w:r>
        <w:rPr>
          <w:sz w:val="18"/>
          <w:szCs w:val="18"/>
        </w:rPr>
        <w:t xml:space="preserve">Pf </w:t>
      </w:r>
      <w:r w:rsidRPr="001C7066">
        <w:rPr>
          <w:sz w:val="18"/>
          <w:szCs w:val="18"/>
        </w:rPr>
        <w:t xml:space="preserve">and </w:t>
      </w:r>
      <w:proofErr w:type="gramStart"/>
      <w:r>
        <w:rPr>
          <w:sz w:val="18"/>
          <w:szCs w:val="18"/>
        </w:rPr>
        <w:t>Pv</w:t>
      </w:r>
      <w:proofErr w:type="gramEnd"/>
      <w:r w:rsidRPr="001C7066">
        <w:rPr>
          <w:sz w:val="18"/>
          <w:szCs w:val="18"/>
        </w:rPr>
        <w:t xml:space="preserve"> in calculations of cumulative malaria attack rate and protective efficacy. CI</w:t>
      </w:r>
      <w:r w:rsidR="00B319AC">
        <w:rPr>
          <w:sz w:val="18"/>
          <w:szCs w:val="18"/>
        </w:rPr>
        <w:t>:</w:t>
      </w:r>
      <w:r w:rsidRPr="001C7066">
        <w:rPr>
          <w:sz w:val="18"/>
          <w:szCs w:val="18"/>
        </w:rPr>
        <w:t xml:space="preserve"> confidence interval; N</w:t>
      </w:r>
      <w:r w:rsidR="00B319AC">
        <w:rPr>
          <w:sz w:val="18"/>
          <w:szCs w:val="18"/>
        </w:rPr>
        <w:t>:</w:t>
      </w:r>
      <w:r w:rsidRPr="001C7066">
        <w:rPr>
          <w:sz w:val="18"/>
          <w:szCs w:val="18"/>
        </w:rPr>
        <w:t xml:space="preserve"> number.</w:t>
      </w:r>
    </w:p>
    <w:p w14:paraId="11898AC4" w14:textId="77777777" w:rsidR="00F1528F" w:rsidRDefault="008A1A1C" w:rsidP="008A1A1C">
      <w:r>
        <w:t>Calculating PE based on cumulative malaria incidence density had a minimal effect on these values, either for all or individual species. Similarly, excluding three possible cases of relapsing Pv malaria from the placebo group resulted in little effect on calculated PEs of 96% (81%, 99%) against both species together, 100% (56%, 100%) for Pf and 95% (70%, 90%) for Pv alone. No study subjects going on to receive weekly 400 mg tafenoquine went on to experience a failure of prophylaxis.</w:t>
      </w:r>
    </w:p>
    <w:p w14:paraId="649D4829" w14:textId="77777777" w:rsidR="008A1A1C" w:rsidRDefault="008A1A1C" w:rsidP="00E730B4">
      <w:pPr>
        <w:pStyle w:val="Heading4"/>
        <w:numPr>
          <w:ilvl w:val="2"/>
          <w:numId w:val="7"/>
        </w:numPr>
      </w:pPr>
      <w:r>
        <w:t>Study TAF112582</w:t>
      </w:r>
    </w:p>
    <w:p w14:paraId="00E62743" w14:textId="77777777" w:rsidR="008A1A1C" w:rsidRDefault="008A1A1C" w:rsidP="008A1A1C">
      <w:pPr>
        <w:rPr>
          <w:lang w:eastAsia="ja-JP"/>
        </w:rPr>
      </w:pPr>
      <w:r>
        <w:rPr>
          <w:lang w:eastAsia="ja-JP"/>
        </w:rPr>
        <w:t xml:space="preserve">Study TAF112582 was a </w:t>
      </w:r>
      <w:r w:rsidR="00404803">
        <w:rPr>
          <w:lang w:eastAsia="ja-JP"/>
        </w:rPr>
        <w:t>double blind</w:t>
      </w:r>
      <w:r>
        <w:rPr>
          <w:lang w:eastAsia="ja-JP"/>
        </w:rPr>
        <w:t xml:space="preserve">, </w:t>
      </w:r>
      <w:r w:rsidR="00404803">
        <w:rPr>
          <w:lang w:eastAsia="ja-JP"/>
        </w:rPr>
        <w:t>randomised</w:t>
      </w:r>
      <w:r>
        <w:rPr>
          <w:lang w:eastAsia="ja-JP"/>
        </w:rPr>
        <w:t>, parallel</w:t>
      </w:r>
      <w:r w:rsidR="00FA3C56">
        <w:rPr>
          <w:lang w:eastAsia="ja-JP"/>
        </w:rPr>
        <w:t xml:space="preserve"> </w:t>
      </w:r>
      <w:r>
        <w:rPr>
          <w:lang w:eastAsia="ja-JP"/>
        </w:rPr>
        <w:t xml:space="preserve">group, active controlled Phase II clinical study conducted to evaluate the efficacy, safety and tolerability of tafenoquine in participants with </w:t>
      </w:r>
      <w:proofErr w:type="gramStart"/>
      <w:r>
        <w:rPr>
          <w:lang w:eastAsia="ja-JP"/>
        </w:rPr>
        <w:t>P</w:t>
      </w:r>
      <w:r w:rsidR="00FA3C56">
        <w:rPr>
          <w:lang w:eastAsia="ja-JP"/>
        </w:rPr>
        <w:t>v</w:t>
      </w:r>
      <w:proofErr w:type="gramEnd"/>
      <w:r>
        <w:rPr>
          <w:lang w:eastAsia="ja-JP"/>
        </w:rPr>
        <w:t xml:space="preserve"> malaria. Specifically, the study investigated the radical cure efficacy of </w:t>
      </w:r>
      <w:proofErr w:type="gramStart"/>
      <w:r>
        <w:rPr>
          <w:lang w:eastAsia="ja-JP"/>
        </w:rPr>
        <w:t>Pv</w:t>
      </w:r>
      <w:proofErr w:type="gramEnd"/>
      <w:r>
        <w:rPr>
          <w:lang w:eastAsia="ja-JP"/>
        </w:rPr>
        <w:t xml:space="preserve"> </w:t>
      </w:r>
      <w:r>
        <w:rPr>
          <w:lang w:eastAsia="ja-JP"/>
        </w:rPr>
        <w:lastRenderedPageBreak/>
        <w:t xml:space="preserve">malaria. Weight, sex and race were investigated as potential covariates of CL/F and central volume of distribution (V2/F). The study was conducted in seven </w:t>
      </w:r>
      <w:r w:rsidR="00855CA9">
        <w:rPr>
          <w:lang w:eastAsia="ja-JP"/>
        </w:rPr>
        <w:t>centre</w:t>
      </w:r>
      <w:r>
        <w:rPr>
          <w:lang w:eastAsia="ja-JP"/>
        </w:rPr>
        <w:t>s across Brazil, Peru, Thailand and India. All participants were pre</w:t>
      </w:r>
      <w:r w:rsidR="00855CA9">
        <w:rPr>
          <w:lang w:eastAsia="ja-JP"/>
        </w:rPr>
        <w:t>-</w:t>
      </w:r>
      <w:r w:rsidR="00473B40">
        <w:rPr>
          <w:lang w:eastAsia="ja-JP"/>
        </w:rPr>
        <w:t>treated</w:t>
      </w:r>
      <w:r>
        <w:rPr>
          <w:lang w:eastAsia="ja-JP"/>
        </w:rPr>
        <w:t xml:space="preserve"> with single 600 mg chloroquine doses on Days 1 and 2, followed by a single dose of 300 mg chloroquine on Day 3. A total of 329 participants were randomly assigned to a treatment group for coincident tafenoquine dosing in parallel. These were:</w:t>
      </w:r>
    </w:p>
    <w:p w14:paraId="187CEB11" w14:textId="77777777" w:rsidR="00F1528F" w:rsidRDefault="008A1A1C" w:rsidP="00855CA9">
      <w:pPr>
        <w:pStyle w:val="ListBullet"/>
        <w:rPr>
          <w:lang w:eastAsia="ja-JP"/>
        </w:rPr>
      </w:pPr>
      <w:r>
        <w:rPr>
          <w:lang w:eastAsia="ja-JP"/>
        </w:rPr>
        <w:t>55 participants ; 50 mg tafenoquine single dose Day 1 or 2,</w:t>
      </w:r>
    </w:p>
    <w:p w14:paraId="0B52A7B9" w14:textId="77777777" w:rsidR="00F1528F" w:rsidRDefault="008A1A1C" w:rsidP="00855CA9">
      <w:pPr>
        <w:pStyle w:val="ListBullet"/>
        <w:rPr>
          <w:lang w:eastAsia="ja-JP"/>
        </w:rPr>
      </w:pPr>
      <w:r>
        <w:rPr>
          <w:lang w:eastAsia="ja-JP"/>
        </w:rPr>
        <w:t>55 participants; 100 mg tafenoquine single dose Day 1 or 2,</w:t>
      </w:r>
    </w:p>
    <w:p w14:paraId="7CF91A31" w14:textId="77777777" w:rsidR="00F1528F" w:rsidRDefault="008A1A1C" w:rsidP="00855CA9">
      <w:pPr>
        <w:pStyle w:val="ListBullet"/>
        <w:rPr>
          <w:lang w:eastAsia="ja-JP"/>
        </w:rPr>
      </w:pPr>
      <w:r>
        <w:rPr>
          <w:lang w:eastAsia="ja-JP"/>
        </w:rPr>
        <w:t>57 participants; 300 mg tafenoquine single dose Day 1 or 2,</w:t>
      </w:r>
    </w:p>
    <w:p w14:paraId="7B6EB1E9" w14:textId="77777777" w:rsidR="00F1528F" w:rsidRDefault="008A1A1C" w:rsidP="00855CA9">
      <w:pPr>
        <w:pStyle w:val="ListBullet"/>
        <w:rPr>
          <w:lang w:eastAsia="ja-JP"/>
        </w:rPr>
      </w:pPr>
      <w:r>
        <w:rPr>
          <w:lang w:eastAsia="ja-JP"/>
        </w:rPr>
        <w:t>57 participants; 600 mg tafenoquine single dose Day 1 or 2, 56 participants),</w:t>
      </w:r>
    </w:p>
    <w:p w14:paraId="60AC33A6" w14:textId="77777777" w:rsidR="00F1528F" w:rsidRDefault="008A1A1C" w:rsidP="00855CA9">
      <w:pPr>
        <w:pStyle w:val="ListBullet"/>
        <w:rPr>
          <w:lang w:eastAsia="ja-JP"/>
        </w:rPr>
      </w:pPr>
      <w:r>
        <w:rPr>
          <w:lang w:eastAsia="ja-JP"/>
        </w:rPr>
        <w:t>50 participant; primaquine dosing (15 mg primaquine once daily Days 2 to 15,</w:t>
      </w:r>
    </w:p>
    <w:p w14:paraId="494658D2" w14:textId="77777777" w:rsidR="00F1528F" w:rsidRDefault="008A1A1C" w:rsidP="00855CA9">
      <w:pPr>
        <w:pStyle w:val="ListBullet"/>
        <w:rPr>
          <w:lang w:eastAsia="ja-JP"/>
        </w:rPr>
      </w:pPr>
      <w:r>
        <w:rPr>
          <w:lang w:eastAsia="ja-JP"/>
        </w:rPr>
        <w:t>54 participants no additional treatment.</w:t>
      </w:r>
    </w:p>
    <w:p w14:paraId="2ACA513F" w14:textId="77777777" w:rsidR="008A1A1C" w:rsidRDefault="008A1A1C" w:rsidP="008A1A1C">
      <w:pPr>
        <w:rPr>
          <w:lang w:eastAsia="ja-JP"/>
        </w:rPr>
      </w:pPr>
      <w:r>
        <w:rPr>
          <w:lang w:eastAsia="ja-JP"/>
        </w:rPr>
        <w:t>Between 25% and 50% of participants in each treatment group were female. Samples for PK analysis were obtained during two sampling windows 4 to 8 hours and 24 to 48 hours after tafenoquine dosing and on Days 8, 29 and 60. C</w:t>
      </w:r>
      <w:r>
        <w:rPr>
          <w:vertAlign w:val="subscript"/>
          <w:lang w:eastAsia="ja-JP"/>
        </w:rPr>
        <w:t>max</w:t>
      </w:r>
      <w:r>
        <w:rPr>
          <w:lang w:eastAsia="ja-JP"/>
        </w:rPr>
        <w:t>, T</w:t>
      </w:r>
      <w:r>
        <w:rPr>
          <w:vertAlign w:val="subscript"/>
        </w:rPr>
        <w:t>max</w:t>
      </w:r>
      <w:r>
        <w:rPr>
          <w:lang w:eastAsia="ja-JP"/>
        </w:rPr>
        <w:t xml:space="preserve"> and </w:t>
      </w:r>
      <w:r w:rsidR="00855CA9">
        <w:rPr>
          <w:lang w:eastAsia="ja-JP"/>
        </w:rPr>
        <w:t>t</w:t>
      </w:r>
      <w:r w:rsidR="00855CA9" w:rsidRPr="00855CA9">
        <w:rPr>
          <w:vertAlign w:val="subscript"/>
          <w:lang w:eastAsia="ja-JP"/>
        </w:rPr>
        <w:t>½</w:t>
      </w:r>
      <w:r>
        <w:rPr>
          <w:lang w:eastAsia="ja-JP"/>
        </w:rPr>
        <w:t xml:space="preserve"> were not reported.</w:t>
      </w:r>
    </w:p>
    <w:p w14:paraId="2E9BB960" w14:textId="77777777" w:rsidR="00855CA9" w:rsidRDefault="008A1A1C" w:rsidP="00855CA9">
      <w:pPr>
        <w:pStyle w:val="Heading5"/>
        <w:rPr>
          <w:lang w:eastAsia="ja-JP"/>
        </w:rPr>
      </w:pPr>
      <w:r>
        <w:rPr>
          <w:lang w:eastAsia="ja-JP"/>
        </w:rPr>
        <w:t>Results</w:t>
      </w:r>
    </w:p>
    <w:p w14:paraId="27236966" w14:textId="1ABC1CA1" w:rsidR="00F1528F" w:rsidRDefault="008A1A1C" w:rsidP="008A1A1C">
      <w:pPr>
        <w:rPr>
          <w:lang w:eastAsia="ja-JP"/>
        </w:rPr>
      </w:pPr>
      <w:r>
        <w:rPr>
          <w:lang w:eastAsia="ja-JP"/>
        </w:rPr>
        <w:t>Fifty</w:t>
      </w:r>
      <w:r w:rsidR="00C91D0A">
        <w:rPr>
          <w:lang w:eastAsia="ja-JP"/>
        </w:rPr>
        <w:t xml:space="preserve"> </w:t>
      </w:r>
      <w:r>
        <w:rPr>
          <w:lang w:eastAsia="ja-JP"/>
        </w:rPr>
        <w:t>two (52) of 164 participants had recurrence of parasit</w:t>
      </w:r>
      <w:r w:rsidR="00C31C6E">
        <w:rPr>
          <w:lang w:eastAsia="ja-JP"/>
        </w:rPr>
        <w:t>a</w:t>
      </w:r>
      <w:r>
        <w:rPr>
          <w:lang w:eastAsia="ja-JP"/>
        </w:rPr>
        <w:t>emia within 6 months after initial clearance. A logistic regression analysis correlated AUC with relapse status, such that probability of being relapse free at 6 months increased by 51% for each 25 unit increase in AUC above 54.5 μg h/mL.</w:t>
      </w:r>
    </w:p>
    <w:p w14:paraId="148F3983" w14:textId="77777777" w:rsidR="008A1A1C" w:rsidRDefault="008A1A1C" w:rsidP="008A1A1C">
      <w:pPr>
        <w:rPr>
          <w:lang w:eastAsia="ja-JP"/>
        </w:rPr>
      </w:pPr>
      <w:r>
        <w:rPr>
          <w:lang w:eastAsia="ja-JP"/>
        </w:rPr>
        <w:t>A final time-to-event model was used to simulate the survival probability for subjects receiving a single 200 mg dose of tafenoquine (a dose level not administered in Study TAF112582</w:t>
      </w:r>
      <w:r w:rsidR="00FA3C56">
        <w:rPr>
          <w:lang w:eastAsia="ja-JP"/>
        </w:rPr>
        <w:t>)</w:t>
      </w:r>
      <w:r>
        <w:rPr>
          <w:lang w:eastAsia="ja-JP"/>
        </w:rPr>
        <w:t>. The predicted probability of being relapse</w:t>
      </w:r>
      <w:r w:rsidR="00855CA9">
        <w:rPr>
          <w:lang w:eastAsia="ja-JP"/>
        </w:rPr>
        <w:t xml:space="preserve"> </w:t>
      </w:r>
      <w:r>
        <w:rPr>
          <w:lang w:eastAsia="ja-JP"/>
        </w:rPr>
        <w:t>free at 6 months for a single 200 mg dose was 70% (95% CI: 60% to 81%) which is slightly less than the relapse free efficacy at 6 months observed for primaquine 15 mg once daily for 14 days (77.3%) in the current study.</w:t>
      </w:r>
    </w:p>
    <w:p w14:paraId="559E06B1" w14:textId="7A32C31A" w:rsidR="008A1A1C" w:rsidRDefault="008A1A1C" w:rsidP="00E730B4">
      <w:pPr>
        <w:pStyle w:val="Heading4"/>
        <w:numPr>
          <w:ilvl w:val="2"/>
          <w:numId w:val="7"/>
        </w:numPr>
      </w:pPr>
      <w:r>
        <w:t>Evaluator commentary</w:t>
      </w:r>
      <w:r w:rsidR="00855CA9">
        <w:t xml:space="preserve"> on </w:t>
      </w:r>
      <w:r w:rsidR="00C91D0A">
        <w:t>o</w:t>
      </w:r>
      <w:r w:rsidR="00C91D0A" w:rsidRPr="00855CA9">
        <w:t>ther</w:t>
      </w:r>
      <w:r w:rsidR="00C91D0A">
        <w:t xml:space="preserve"> </w:t>
      </w:r>
      <w:r>
        <w:t>efficacy studies</w:t>
      </w:r>
    </w:p>
    <w:p w14:paraId="2A73A5AB" w14:textId="0C5C289E" w:rsidR="008A1A1C" w:rsidRDefault="008A1A1C" w:rsidP="008A1A1C">
      <w:pPr>
        <w:rPr>
          <w:lang w:eastAsia="ja-JP"/>
        </w:rPr>
      </w:pPr>
      <w:bookmarkStart w:id="430" w:name="_Toc432080726"/>
      <w:bookmarkStart w:id="431" w:name="_Toc432079153"/>
      <w:bookmarkStart w:id="432" w:name="_Toc421005271"/>
      <w:bookmarkStart w:id="433" w:name="_Toc416353723"/>
      <w:bookmarkStart w:id="434" w:name="_Toc290888507"/>
      <w:bookmarkStart w:id="435" w:name="_Toc272414656"/>
      <w:bookmarkStart w:id="436" w:name="_Toc241374312"/>
      <w:r>
        <w:rPr>
          <w:lang w:eastAsia="ja-JP"/>
        </w:rPr>
        <w:t>None of the evaluable supportive studies match the dose/frequency exactly of the requested dose and indication</w:t>
      </w:r>
      <w:r w:rsidR="00C31C6E">
        <w:rPr>
          <w:lang w:eastAsia="ja-JP"/>
        </w:rPr>
        <w:t xml:space="preserve"> for chemoprophylaxis</w:t>
      </w:r>
      <w:r>
        <w:rPr>
          <w:lang w:eastAsia="ja-JP"/>
        </w:rPr>
        <w:t xml:space="preserve">. In Study 058, this was a treatment study which did not meet its primary outcome in terms of comparing tafenoquine to chloroquine for </w:t>
      </w:r>
      <w:proofErr w:type="gramStart"/>
      <w:r>
        <w:rPr>
          <w:lang w:eastAsia="ja-JP"/>
        </w:rPr>
        <w:t>Pv</w:t>
      </w:r>
      <w:proofErr w:type="gramEnd"/>
      <w:r>
        <w:rPr>
          <w:lang w:eastAsia="ja-JP"/>
        </w:rPr>
        <w:t xml:space="preserve"> treatment. It was slower in terms of fever resolution and parasite clearance. But prevention of relapse was good in the tafenoquine group (out to 4 months), after a loading dose alone. Supportive efficacy data is provided from Studies 049 (post-exposure prophylaxis in returned soldiers from Timor given a 3 day loading dose only) and 047 (relapse prevention in Thailand, using different doses of tafenoquine), which also showed equivalence of tafenoquine to standard regimens and 044 (prophylaxis in Thai soldiers) which used only a loading dose. </w:t>
      </w:r>
      <w:r w:rsidR="00855CA9">
        <w:rPr>
          <w:lang w:eastAsia="ja-JP"/>
        </w:rPr>
        <w:t>Study</w:t>
      </w:r>
      <w:r w:rsidR="00C91D0A">
        <w:rPr>
          <w:lang w:eastAsia="ja-JP"/>
        </w:rPr>
        <w:t> </w:t>
      </w:r>
      <w:r>
        <w:rPr>
          <w:lang w:eastAsia="ja-JP"/>
        </w:rPr>
        <w:t xml:space="preserve">TAF112582 also used only a loading dose for relapse prevention in endemic countries after treatment of </w:t>
      </w:r>
      <w:proofErr w:type="gramStart"/>
      <w:r>
        <w:rPr>
          <w:lang w:eastAsia="ja-JP"/>
        </w:rPr>
        <w:t>Pv</w:t>
      </w:r>
      <w:proofErr w:type="gramEnd"/>
      <w:r>
        <w:rPr>
          <w:lang w:eastAsia="ja-JP"/>
        </w:rPr>
        <w:t xml:space="preserve"> (and not the recommend</w:t>
      </w:r>
      <w:r w:rsidR="00855CA9">
        <w:rPr>
          <w:lang w:eastAsia="ja-JP"/>
        </w:rPr>
        <w:t>ed dose). Early challenge (PD) S</w:t>
      </w:r>
      <w:r>
        <w:rPr>
          <w:lang w:eastAsia="ja-JP"/>
        </w:rPr>
        <w:t xml:space="preserve">tudies 053 and 054 have already been discussed and the challenge </w:t>
      </w:r>
      <w:r w:rsidR="00855CA9">
        <w:rPr>
          <w:lang w:eastAsia="ja-JP"/>
        </w:rPr>
        <w:t>S</w:t>
      </w:r>
      <w:r>
        <w:rPr>
          <w:lang w:eastAsia="ja-JP"/>
        </w:rPr>
        <w:t>tudy</w:t>
      </w:r>
      <w:r w:rsidR="00C91D0A">
        <w:rPr>
          <w:lang w:eastAsia="ja-JP"/>
        </w:rPr>
        <w:t> </w:t>
      </w:r>
      <w:r>
        <w:rPr>
          <w:lang w:eastAsia="ja-JP"/>
        </w:rPr>
        <w:t>TQ</w:t>
      </w:r>
      <w:r w:rsidR="00C91D0A">
        <w:rPr>
          <w:lang w:eastAsia="ja-JP"/>
        </w:rPr>
        <w:noBreakHyphen/>
      </w:r>
      <w:r>
        <w:rPr>
          <w:lang w:eastAsia="ja-JP"/>
        </w:rPr>
        <w:t xml:space="preserve">2016-02. The challenge </w:t>
      </w:r>
      <w:r w:rsidR="00855CA9">
        <w:rPr>
          <w:lang w:eastAsia="ja-JP"/>
        </w:rPr>
        <w:t>S</w:t>
      </w:r>
      <w:r>
        <w:rPr>
          <w:lang w:eastAsia="ja-JP"/>
        </w:rPr>
        <w:t>tudy TQ-2016-02 is a very good tight study which showed excellent efficacy of tafenoquine versus placebo, but it is impossible to extrapolate this data precisely to the real world environment. Study 006 was not well powered to show protection greater than placebo and used only loading doses. Study 030 has uninterpretable efficacy results because of the high rate of false positives in initial testing and should be ignored.</w:t>
      </w:r>
    </w:p>
    <w:p w14:paraId="31A76425" w14:textId="77777777" w:rsidR="008A1A1C" w:rsidRDefault="008A1A1C" w:rsidP="00FB2482">
      <w:pPr>
        <w:pStyle w:val="Heading3"/>
      </w:pPr>
      <w:bookmarkStart w:id="437" w:name="_Toc501809152"/>
      <w:bookmarkStart w:id="438" w:name="_Toc504229378"/>
      <w:bookmarkStart w:id="439" w:name="_Toc12520290"/>
      <w:r>
        <w:lastRenderedPageBreak/>
        <w:t xml:space="preserve">Analyses performed </w:t>
      </w:r>
      <w:r w:rsidRPr="00855CA9">
        <w:t>across</w:t>
      </w:r>
      <w:r>
        <w:t xml:space="preserve"> trials: pooled and </w:t>
      </w:r>
      <w:proofErr w:type="gramStart"/>
      <w:r>
        <w:t>meta</w:t>
      </w:r>
      <w:proofErr w:type="gramEnd"/>
      <w:r>
        <w:t xml:space="preserve"> analyses</w:t>
      </w:r>
      <w:bookmarkEnd w:id="430"/>
      <w:bookmarkEnd w:id="431"/>
      <w:bookmarkEnd w:id="432"/>
      <w:bookmarkEnd w:id="433"/>
      <w:bookmarkEnd w:id="434"/>
      <w:bookmarkEnd w:id="435"/>
      <w:bookmarkEnd w:id="436"/>
      <w:bookmarkEnd w:id="437"/>
      <w:bookmarkEnd w:id="438"/>
      <w:bookmarkEnd w:id="439"/>
    </w:p>
    <w:p w14:paraId="7DB99CCE" w14:textId="77777777" w:rsidR="00F1528F" w:rsidRDefault="008A1A1C" w:rsidP="00855CA9">
      <w:pPr>
        <w:pStyle w:val="Heading4"/>
      </w:pPr>
      <w:r>
        <w:t xml:space="preserve">Results </w:t>
      </w:r>
      <w:r w:rsidR="00855CA9">
        <w:t>r</w:t>
      </w:r>
      <w:r>
        <w:t xml:space="preserve">elevant to </w:t>
      </w:r>
      <w:r w:rsidR="00855CA9">
        <w:t>p</w:t>
      </w:r>
      <w:r>
        <w:t>rophylaxis</w:t>
      </w:r>
    </w:p>
    <w:p w14:paraId="54C181F9" w14:textId="77777777" w:rsidR="008A1A1C" w:rsidRDefault="008A1A1C" w:rsidP="00855CA9">
      <w:pPr>
        <w:rPr>
          <w:lang w:eastAsia="ja-JP"/>
        </w:rPr>
      </w:pPr>
      <w:r>
        <w:rPr>
          <w:lang w:eastAsia="ja-JP"/>
        </w:rPr>
        <w:t xml:space="preserve">Efficacy data based on attack rates for all studies using full prophylactic regimens of tafenoquine (loading dose followed by weekly/monthly dosing) are summarised </w:t>
      </w:r>
      <w:r w:rsidRPr="00C31C6E">
        <w:rPr>
          <w:lang w:eastAsia="ja-JP"/>
        </w:rPr>
        <w:t xml:space="preserve">in </w:t>
      </w:r>
      <w:r w:rsidR="00686267" w:rsidRPr="00C31C6E">
        <w:rPr>
          <w:lang w:eastAsia="ja-JP"/>
        </w:rPr>
        <w:t>Table 4</w:t>
      </w:r>
      <w:r w:rsidR="005B2850" w:rsidRPr="00C31C6E">
        <w:rPr>
          <w:lang w:eastAsia="ja-JP"/>
        </w:rPr>
        <w:t>4</w:t>
      </w:r>
      <w:r w:rsidRPr="00FD726B">
        <w:rPr>
          <w:lang w:eastAsia="ja-JP"/>
        </w:rPr>
        <w:t>.</w:t>
      </w:r>
    </w:p>
    <w:p w14:paraId="1EA4001B" w14:textId="08C112C3" w:rsidR="006B4DC1" w:rsidRPr="0018387D" w:rsidRDefault="006B4DC1" w:rsidP="006B4DC1">
      <w:pPr>
        <w:pStyle w:val="Tabletitle"/>
      </w:pPr>
      <w:r>
        <w:t xml:space="preserve">Table </w:t>
      </w:r>
      <w:r w:rsidR="00686267">
        <w:t>4</w:t>
      </w:r>
      <w:r w:rsidR="005B2850">
        <w:t>4</w:t>
      </w:r>
      <w:r w:rsidR="00686267">
        <w:t>:</w:t>
      </w:r>
      <w:r>
        <w:t xml:space="preserve"> </w:t>
      </w:r>
      <w:r w:rsidRPr="0018387D">
        <w:t xml:space="preserve">Comparison of </w:t>
      </w:r>
      <w:r w:rsidR="00C91D0A">
        <w:t>e</w:t>
      </w:r>
      <w:r w:rsidR="00C91D0A" w:rsidRPr="0018387D">
        <w:t xml:space="preserve">fficacy </w:t>
      </w:r>
      <w:r w:rsidR="00C91D0A">
        <w:t>r</w:t>
      </w:r>
      <w:r w:rsidR="00C91D0A" w:rsidRPr="0018387D">
        <w:t xml:space="preserve">esults </w:t>
      </w:r>
      <w:r w:rsidRPr="0018387D">
        <w:t xml:space="preserve">across </w:t>
      </w:r>
      <w:r w:rsidR="00C91D0A">
        <w:t>s</w:t>
      </w:r>
      <w:r w:rsidR="00C91D0A" w:rsidRPr="0018387D">
        <w:t>tudies</w:t>
      </w:r>
    </w:p>
    <w:tbl>
      <w:tblPr>
        <w:tblStyle w:val="TableTGAblue"/>
        <w:tblW w:w="5000" w:type="pct"/>
        <w:tblLayout w:type="fixed"/>
        <w:tblLook w:val="00A0" w:firstRow="1" w:lastRow="0" w:firstColumn="1" w:lastColumn="0" w:noHBand="0" w:noVBand="0"/>
      </w:tblPr>
      <w:tblGrid>
        <w:gridCol w:w="957"/>
        <w:gridCol w:w="1418"/>
        <w:gridCol w:w="1702"/>
        <w:gridCol w:w="991"/>
        <w:gridCol w:w="1845"/>
        <w:gridCol w:w="1133"/>
        <w:gridCol w:w="1196"/>
      </w:tblGrid>
      <w:tr w:rsidR="00FA3C56" w:rsidRPr="006B4DC1" w14:paraId="52032E84" w14:textId="77777777" w:rsidTr="00FA3C56">
        <w:trPr>
          <w:cnfStyle w:val="100000000000" w:firstRow="1" w:lastRow="0" w:firstColumn="0" w:lastColumn="0" w:oddVBand="0" w:evenVBand="0" w:oddHBand="0" w:evenHBand="0" w:firstRowFirstColumn="0" w:firstRowLastColumn="0" w:lastRowFirstColumn="0" w:lastRowLastColumn="0"/>
          <w:cantSplit/>
          <w:trHeight w:val="870"/>
          <w:tblHeader/>
        </w:trPr>
        <w:tc>
          <w:tcPr>
            <w:cnfStyle w:val="001000000000" w:firstRow="0" w:lastRow="0" w:firstColumn="1" w:lastColumn="0" w:oddVBand="0" w:evenVBand="0" w:oddHBand="0" w:evenHBand="0" w:firstRowFirstColumn="0" w:firstRowLastColumn="0" w:lastRowFirstColumn="0" w:lastRowLastColumn="0"/>
            <w:tcW w:w="518" w:type="pct"/>
          </w:tcPr>
          <w:p w14:paraId="14A4CCB3" w14:textId="77777777" w:rsidR="006B4DC1" w:rsidRPr="006B4DC1" w:rsidRDefault="006B4DC1" w:rsidP="00FD726B">
            <w:pPr>
              <w:ind w:left="0"/>
              <w:rPr>
                <w:sz w:val="20"/>
                <w:szCs w:val="20"/>
              </w:rPr>
            </w:pPr>
            <w:r w:rsidRPr="006B4DC1">
              <w:rPr>
                <w:sz w:val="20"/>
                <w:szCs w:val="20"/>
              </w:rPr>
              <w:t>Study</w:t>
            </w:r>
          </w:p>
        </w:tc>
        <w:tc>
          <w:tcPr>
            <w:tcW w:w="767" w:type="pct"/>
          </w:tcPr>
          <w:p w14:paraId="114DAE0C" w14:textId="71F972DE"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 xml:space="preserve">Analysis </w:t>
            </w:r>
            <w:r w:rsidR="00C91D0A">
              <w:rPr>
                <w:sz w:val="20"/>
                <w:szCs w:val="20"/>
              </w:rPr>
              <w:t>s</w:t>
            </w:r>
            <w:r w:rsidR="00C91D0A" w:rsidRPr="006B4DC1">
              <w:rPr>
                <w:sz w:val="20"/>
                <w:szCs w:val="20"/>
              </w:rPr>
              <w:t>et</w:t>
            </w:r>
          </w:p>
        </w:tc>
        <w:tc>
          <w:tcPr>
            <w:tcW w:w="921" w:type="pct"/>
          </w:tcPr>
          <w:p w14:paraId="6C1AAC9E" w14:textId="77777777"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Treatment</w:t>
            </w:r>
          </w:p>
        </w:tc>
        <w:tc>
          <w:tcPr>
            <w:tcW w:w="536" w:type="pct"/>
          </w:tcPr>
          <w:p w14:paraId="565D1452" w14:textId="77777777"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N</w:t>
            </w:r>
          </w:p>
        </w:tc>
        <w:tc>
          <w:tcPr>
            <w:tcW w:w="998" w:type="pct"/>
          </w:tcPr>
          <w:p w14:paraId="4BE16F6C" w14:textId="09D43881"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 xml:space="preserve">No. of </w:t>
            </w:r>
            <w:r w:rsidR="00C91D0A">
              <w:rPr>
                <w:sz w:val="20"/>
                <w:szCs w:val="20"/>
              </w:rPr>
              <w:t>p</w:t>
            </w:r>
            <w:r w:rsidR="00C91D0A" w:rsidRPr="006B4DC1">
              <w:rPr>
                <w:sz w:val="20"/>
                <w:szCs w:val="20"/>
              </w:rPr>
              <w:t xml:space="preserve">rophylactic </w:t>
            </w:r>
            <w:r w:rsidR="00C91D0A">
              <w:rPr>
                <w:sz w:val="20"/>
                <w:szCs w:val="20"/>
              </w:rPr>
              <w:t>f</w:t>
            </w:r>
            <w:r w:rsidR="00C91D0A" w:rsidRPr="006B4DC1">
              <w:rPr>
                <w:sz w:val="20"/>
                <w:szCs w:val="20"/>
              </w:rPr>
              <w:t>ailures</w:t>
            </w:r>
          </w:p>
        </w:tc>
        <w:tc>
          <w:tcPr>
            <w:tcW w:w="613" w:type="pct"/>
          </w:tcPr>
          <w:p w14:paraId="227C4FB6" w14:textId="77777777"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 Fail (95% CI)</w:t>
            </w:r>
          </w:p>
        </w:tc>
        <w:tc>
          <w:tcPr>
            <w:tcW w:w="647" w:type="pct"/>
          </w:tcPr>
          <w:p w14:paraId="373D9ED5" w14:textId="2D8869DB" w:rsidR="006B4DC1" w:rsidRPr="006B4DC1" w:rsidRDefault="006B4DC1" w:rsidP="00FD726B">
            <w:pPr>
              <w:ind w:left="0"/>
              <w:cnfStyle w:val="100000000000" w:firstRow="1" w:lastRow="0" w:firstColumn="0" w:lastColumn="0" w:oddVBand="0" w:evenVBand="0" w:oddHBand="0" w:evenHBand="0" w:firstRowFirstColumn="0" w:firstRowLastColumn="0" w:lastRowFirstColumn="0" w:lastRowLastColumn="0"/>
              <w:rPr>
                <w:sz w:val="20"/>
                <w:szCs w:val="20"/>
              </w:rPr>
            </w:pPr>
            <w:r w:rsidRPr="006B4DC1">
              <w:rPr>
                <w:sz w:val="20"/>
                <w:szCs w:val="20"/>
              </w:rPr>
              <w:t>%</w:t>
            </w:r>
            <w:r w:rsidRPr="006B4DC1">
              <w:rPr>
                <w:bCs/>
                <w:sz w:val="20"/>
                <w:szCs w:val="20"/>
              </w:rPr>
              <w:t xml:space="preserve">PE </w:t>
            </w:r>
            <w:r w:rsidR="00FA3C56">
              <w:rPr>
                <w:bCs/>
                <w:sz w:val="20"/>
                <w:szCs w:val="20"/>
              </w:rPr>
              <w:t>(</w:t>
            </w:r>
            <w:r w:rsidRPr="006B4DC1">
              <w:rPr>
                <w:sz w:val="20"/>
                <w:szCs w:val="20"/>
              </w:rPr>
              <w:t>95%</w:t>
            </w:r>
            <w:r w:rsidR="00C91D0A">
              <w:rPr>
                <w:sz w:val="20"/>
                <w:szCs w:val="20"/>
              </w:rPr>
              <w:t xml:space="preserve"> </w:t>
            </w:r>
            <w:r w:rsidRPr="006B4DC1">
              <w:rPr>
                <w:sz w:val="20"/>
                <w:szCs w:val="20"/>
              </w:rPr>
              <w:t>CI)</w:t>
            </w:r>
          </w:p>
        </w:tc>
      </w:tr>
      <w:tr w:rsidR="00FA3C56" w:rsidRPr="006B4DC1" w14:paraId="2CEFB1C0"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5F1C4F53" w14:textId="77777777" w:rsidR="006B4DC1" w:rsidRPr="006B4DC1" w:rsidRDefault="006B4DC1" w:rsidP="006B4DC1">
            <w:pPr>
              <w:rPr>
                <w:sz w:val="20"/>
                <w:szCs w:val="20"/>
              </w:rPr>
            </w:pPr>
            <w:r w:rsidRPr="006B4DC1">
              <w:rPr>
                <w:sz w:val="20"/>
                <w:szCs w:val="20"/>
              </w:rPr>
              <w:t>043</w:t>
            </w:r>
            <w:bookmarkStart w:id="440" w:name="_TNC1BD8C8F1003E45CD99A198363C10E8F2"/>
            <w:r w:rsidRPr="006B4DC1">
              <w:rPr>
                <w:rStyle w:val="C-TableCallout"/>
                <w:sz w:val="20"/>
                <w:szCs w:val="20"/>
              </w:rPr>
              <w:fldChar w:fldCharType="begin"/>
            </w:r>
            <w:r w:rsidRPr="006B4DC1">
              <w:rPr>
                <w:rStyle w:val="C-TableCallout"/>
                <w:sz w:val="20"/>
                <w:szCs w:val="20"/>
              </w:rPr>
              <w:instrText xml:space="preserve"> LISTNUM TableNoteAlpha \* MERGEFORMAT \s1</w:instrText>
            </w:r>
            <w:r w:rsidRPr="006B4DC1">
              <w:rPr>
                <w:rStyle w:val="C-TableCallout"/>
                <w:sz w:val="20"/>
                <w:szCs w:val="20"/>
              </w:rPr>
              <w:fldChar w:fldCharType="end">
                <w:numberingChange w:id="441" w:author="HART, Anna" w:date="2019-02-21T12:30:00Z" w:original="(i)"/>
              </w:fldChar>
            </w:r>
            <w:bookmarkEnd w:id="440"/>
          </w:p>
        </w:tc>
        <w:tc>
          <w:tcPr>
            <w:tcW w:w="767" w:type="pct"/>
            <w:noWrap/>
          </w:tcPr>
          <w:p w14:paraId="5C1C070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ITT</w:t>
            </w:r>
          </w:p>
        </w:tc>
        <w:tc>
          <w:tcPr>
            <w:tcW w:w="921" w:type="pct"/>
            <w:noWrap/>
          </w:tcPr>
          <w:p w14:paraId="3A469C9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Placebo</w:t>
            </w:r>
          </w:p>
        </w:tc>
        <w:tc>
          <w:tcPr>
            <w:tcW w:w="536" w:type="pct"/>
            <w:noWrap/>
          </w:tcPr>
          <w:p w14:paraId="41F323A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59</w:t>
            </w:r>
          </w:p>
        </w:tc>
        <w:tc>
          <w:tcPr>
            <w:tcW w:w="998" w:type="pct"/>
            <w:noWrap/>
          </w:tcPr>
          <w:p w14:paraId="27AB97BC"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54</w:t>
            </w:r>
          </w:p>
        </w:tc>
        <w:tc>
          <w:tcPr>
            <w:tcW w:w="613" w:type="pct"/>
          </w:tcPr>
          <w:p w14:paraId="7CE8C78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92 (82–96)</w:t>
            </w:r>
          </w:p>
        </w:tc>
        <w:tc>
          <w:tcPr>
            <w:tcW w:w="647" w:type="pct"/>
            <w:noWrap/>
          </w:tcPr>
          <w:p w14:paraId="093AB99F"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76008909"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282D3F1" w14:textId="77777777" w:rsidR="006B4DC1" w:rsidRPr="006B4DC1" w:rsidRDefault="006B4DC1" w:rsidP="006B4DC1">
            <w:pPr>
              <w:rPr>
                <w:sz w:val="20"/>
                <w:szCs w:val="20"/>
              </w:rPr>
            </w:pPr>
          </w:p>
        </w:tc>
        <w:tc>
          <w:tcPr>
            <w:tcW w:w="767" w:type="pct"/>
            <w:noWrap/>
          </w:tcPr>
          <w:p w14:paraId="70097913"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3676B46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w:t>
            </w:r>
          </w:p>
        </w:tc>
        <w:tc>
          <w:tcPr>
            <w:tcW w:w="536" w:type="pct"/>
            <w:noWrap/>
          </w:tcPr>
          <w:p w14:paraId="02F3D6EC"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53</w:t>
            </w:r>
          </w:p>
        </w:tc>
        <w:tc>
          <w:tcPr>
            <w:tcW w:w="998" w:type="pct"/>
            <w:noWrap/>
          </w:tcPr>
          <w:p w14:paraId="5F88C6B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7</w:t>
            </w:r>
          </w:p>
        </w:tc>
        <w:tc>
          <w:tcPr>
            <w:tcW w:w="613" w:type="pct"/>
          </w:tcPr>
          <w:p w14:paraId="1D3D4AE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13 (7–25)</w:t>
            </w:r>
          </w:p>
        </w:tc>
        <w:tc>
          <w:tcPr>
            <w:tcW w:w="647" w:type="pct"/>
            <w:noWrap/>
          </w:tcPr>
          <w:p w14:paraId="536F75A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86 (73–93)</w:t>
            </w:r>
          </w:p>
        </w:tc>
      </w:tr>
      <w:tr w:rsidR="00FA3C56" w:rsidRPr="006B4DC1" w14:paraId="0164899E"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D961F86" w14:textId="77777777" w:rsidR="006B4DC1" w:rsidRPr="006B4DC1" w:rsidRDefault="006B4DC1" w:rsidP="006B4DC1">
            <w:pPr>
              <w:rPr>
                <w:sz w:val="20"/>
                <w:szCs w:val="20"/>
              </w:rPr>
            </w:pPr>
            <w:r w:rsidRPr="006B4DC1">
              <w:rPr>
                <w:sz w:val="20"/>
                <w:szCs w:val="20"/>
              </w:rPr>
              <w:t>044</w:t>
            </w:r>
          </w:p>
        </w:tc>
        <w:tc>
          <w:tcPr>
            <w:tcW w:w="767" w:type="pct"/>
            <w:noWrap/>
          </w:tcPr>
          <w:p w14:paraId="534417E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ITT</w:t>
            </w:r>
          </w:p>
        </w:tc>
        <w:tc>
          <w:tcPr>
            <w:tcW w:w="921" w:type="pct"/>
            <w:noWrap/>
          </w:tcPr>
          <w:p w14:paraId="7655793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Placebo</w:t>
            </w:r>
          </w:p>
        </w:tc>
        <w:tc>
          <w:tcPr>
            <w:tcW w:w="536" w:type="pct"/>
            <w:noWrap/>
          </w:tcPr>
          <w:p w14:paraId="481828B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101</w:t>
            </w:r>
          </w:p>
        </w:tc>
        <w:tc>
          <w:tcPr>
            <w:tcW w:w="998" w:type="pct"/>
            <w:noWrap/>
          </w:tcPr>
          <w:p w14:paraId="61DDF5ED"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30</w:t>
            </w:r>
            <w:bookmarkStart w:id="442" w:name="_TNCCAEF3C2FEFFF4F7AB756453275EAFE4E"/>
            <w:r w:rsidRPr="006B4DC1">
              <w:rPr>
                <w:rStyle w:val="C-TableCallout"/>
                <w:sz w:val="20"/>
                <w:szCs w:val="20"/>
              </w:rPr>
              <w:fldChar w:fldCharType="begin"/>
            </w:r>
            <w:r w:rsidRPr="006B4DC1">
              <w:rPr>
                <w:rStyle w:val="C-TableCallout"/>
                <w:sz w:val="20"/>
                <w:szCs w:val="20"/>
              </w:rPr>
              <w:instrText xml:space="preserve"> LISTNUM TableNoteAlpha \* MERGEFORMAT </w:instrText>
            </w:r>
            <w:r w:rsidRPr="006B4DC1">
              <w:rPr>
                <w:rStyle w:val="C-TableCallout"/>
                <w:sz w:val="20"/>
                <w:szCs w:val="20"/>
              </w:rPr>
              <w:fldChar w:fldCharType="end">
                <w:numberingChange w:id="443" w:author="Mark Reid" w:date="2018-10-18T09:18:00Z" w:original="(ii)"/>
              </w:fldChar>
            </w:r>
            <w:bookmarkEnd w:id="442"/>
          </w:p>
        </w:tc>
        <w:tc>
          <w:tcPr>
            <w:tcW w:w="613" w:type="pct"/>
          </w:tcPr>
          <w:p w14:paraId="1B3066F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30 (22–39)</w:t>
            </w:r>
          </w:p>
        </w:tc>
        <w:tc>
          <w:tcPr>
            <w:tcW w:w="647" w:type="pct"/>
            <w:noWrap/>
          </w:tcPr>
          <w:p w14:paraId="2AEA810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2B2FC8C2"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9001BFD" w14:textId="77777777" w:rsidR="006B4DC1" w:rsidRPr="006B4DC1" w:rsidRDefault="006B4DC1" w:rsidP="006B4DC1">
            <w:pPr>
              <w:rPr>
                <w:sz w:val="20"/>
                <w:szCs w:val="20"/>
              </w:rPr>
            </w:pPr>
          </w:p>
        </w:tc>
        <w:tc>
          <w:tcPr>
            <w:tcW w:w="767" w:type="pct"/>
            <w:noWrap/>
          </w:tcPr>
          <w:p w14:paraId="643E651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48BA1BAF"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400 mg Monthly</w:t>
            </w:r>
          </w:p>
        </w:tc>
        <w:tc>
          <w:tcPr>
            <w:tcW w:w="536" w:type="pct"/>
            <w:noWrap/>
          </w:tcPr>
          <w:p w14:paraId="26C4DA6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104</w:t>
            </w:r>
          </w:p>
        </w:tc>
        <w:tc>
          <w:tcPr>
            <w:tcW w:w="998" w:type="pct"/>
            <w:noWrap/>
          </w:tcPr>
          <w:p w14:paraId="68FB3C0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w:t>
            </w:r>
            <w:r w:rsidRPr="006B4DC1">
              <w:rPr>
                <w:szCs w:val="22"/>
              </w:rPr>
              <w:fldChar w:fldCharType="begin"/>
            </w:r>
            <w:r w:rsidRPr="006B4DC1">
              <w:rPr>
                <w:sz w:val="20"/>
                <w:szCs w:val="20"/>
              </w:rPr>
              <w:instrText xml:space="preserve"> REF _TNCCAEF3C2FEFFF4F7AB756453275EAFE4E  \* MERGEFORMAT </w:instrText>
            </w:r>
            <w:r w:rsidRPr="006B4DC1">
              <w:rPr>
                <w:szCs w:val="22"/>
              </w:rPr>
              <w:fldChar w:fldCharType="separate"/>
            </w:r>
            <w:r w:rsidR="009F5426">
              <w:rPr>
                <w:rStyle w:val="C-TableCallout"/>
                <w:sz w:val="20"/>
                <w:szCs w:val="20"/>
              </w:rPr>
              <w:t>(ii)</w:t>
            </w:r>
            <w:r w:rsidRPr="006B4DC1">
              <w:rPr>
                <w:rStyle w:val="C-TableCallout"/>
                <w:sz w:val="20"/>
                <w:szCs w:val="20"/>
              </w:rPr>
              <w:fldChar w:fldCharType="end"/>
            </w:r>
          </w:p>
        </w:tc>
        <w:tc>
          <w:tcPr>
            <w:tcW w:w="613" w:type="pct"/>
          </w:tcPr>
          <w:p w14:paraId="093A51C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 (0–5)</w:t>
            </w:r>
          </w:p>
        </w:tc>
        <w:tc>
          <w:tcPr>
            <w:tcW w:w="647" w:type="pct"/>
            <w:noWrap/>
          </w:tcPr>
          <w:p w14:paraId="1D60F1FA"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97 (82 –99)</w:t>
            </w:r>
          </w:p>
        </w:tc>
      </w:tr>
      <w:tr w:rsidR="00FA3C56" w:rsidRPr="006B4DC1" w14:paraId="73AE5230"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63357225" w14:textId="77777777" w:rsidR="006B4DC1" w:rsidRPr="006B4DC1" w:rsidRDefault="006B4DC1" w:rsidP="006B4DC1">
            <w:pPr>
              <w:rPr>
                <w:sz w:val="20"/>
                <w:szCs w:val="20"/>
              </w:rPr>
            </w:pPr>
            <w:r w:rsidRPr="006B4DC1">
              <w:rPr>
                <w:sz w:val="20"/>
                <w:szCs w:val="20"/>
              </w:rPr>
              <w:t>045</w:t>
            </w:r>
          </w:p>
        </w:tc>
        <w:tc>
          <w:tcPr>
            <w:tcW w:w="767" w:type="pct"/>
            <w:noWrap/>
          </w:tcPr>
          <w:p w14:paraId="1468F413"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ITT</w:t>
            </w:r>
          </w:p>
        </w:tc>
        <w:tc>
          <w:tcPr>
            <w:tcW w:w="921" w:type="pct"/>
            <w:noWrap/>
          </w:tcPr>
          <w:p w14:paraId="19682F5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Placebo</w:t>
            </w:r>
          </w:p>
        </w:tc>
        <w:tc>
          <w:tcPr>
            <w:tcW w:w="536" w:type="pct"/>
            <w:noWrap/>
          </w:tcPr>
          <w:p w14:paraId="4CEC8CB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94</w:t>
            </w:r>
          </w:p>
        </w:tc>
        <w:tc>
          <w:tcPr>
            <w:tcW w:w="998" w:type="pct"/>
            <w:noWrap/>
          </w:tcPr>
          <w:p w14:paraId="29DF5B9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86</w:t>
            </w:r>
          </w:p>
        </w:tc>
        <w:tc>
          <w:tcPr>
            <w:tcW w:w="613" w:type="pct"/>
          </w:tcPr>
          <w:p w14:paraId="78C892A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92 (84–96)</w:t>
            </w:r>
          </w:p>
        </w:tc>
        <w:tc>
          <w:tcPr>
            <w:tcW w:w="647" w:type="pct"/>
            <w:noWrap/>
          </w:tcPr>
          <w:p w14:paraId="41AF0DB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2154AB7B"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193EF6E" w14:textId="77777777" w:rsidR="006B4DC1" w:rsidRPr="006B4DC1" w:rsidRDefault="006B4DC1" w:rsidP="006B4DC1">
            <w:pPr>
              <w:rPr>
                <w:sz w:val="20"/>
                <w:szCs w:val="20"/>
              </w:rPr>
            </w:pPr>
          </w:p>
        </w:tc>
        <w:tc>
          <w:tcPr>
            <w:tcW w:w="767" w:type="pct"/>
            <w:noWrap/>
          </w:tcPr>
          <w:p w14:paraId="2355095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1053C87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25 mg</w:t>
            </w:r>
          </w:p>
        </w:tc>
        <w:tc>
          <w:tcPr>
            <w:tcW w:w="536" w:type="pct"/>
            <w:noWrap/>
          </w:tcPr>
          <w:p w14:paraId="793E4040"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93</w:t>
            </w:r>
          </w:p>
        </w:tc>
        <w:tc>
          <w:tcPr>
            <w:tcW w:w="998" w:type="pct"/>
            <w:noWrap/>
          </w:tcPr>
          <w:p w14:paraId="6433D69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58</w:t>
            </w:r>
          </w:p>
        </w:tc>
        <w:tc>
          <w:tcPr>
            <w:tcW w:w="613" w:type="pct"/>
          </w:tcPr>
          <w:p w14:paraId="33BC405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62 (52–72)</w:t>
            </w:r>
          </w:p>
        </w:tc>
        <w:tc>
          <w:tcPr>
            <w:tcW w:w="647" w:type="pct"/>
            <w:noWrap/>
          </w:tcPr>
          <w:p w14:paraId="57FD092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32 (20–43)</w:t>
            </w:r>
          </w:p>
        </w:tc>
      </w:tr>
      <w:tr w:rsidR="00FA3C56" w:rsidRPr="006B4DC1" w14:paraId="215CAC20"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48435BC2" w14:textId="77777777" w:rsidR="006B4DC1" w:rsidRPr="006B4DC1" w:rsidRDefault="006B4DC1" w:rsidP="006B4DC1">
            <w:pPr>
              <w:rPr>
                <w:sz w:val="20"/>
                <w:szCs w:val="20"/>
              </w:rPr>
            </w:pPr>
          </w:p>
        </w:tc>
        <w:tc>
          <w:tcPr>
            <w:tcW w:w="767" w:type="pct"/>
            <w:noWrap/>
          </w:tcPr>
          <w:p w14:paraId="5B2405A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0FF9D24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50 mg</w:t>
            </w:r>
          </w:p>
        </w:tc>
        <w:tc>
          <w:tcPr>
            <w:tcW w:w="536" w:type="pct"/>
            <w:noWrap/>
          </w:tcPr>
          <w:p w14:paraId="7E03C16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91</w:t>
            </w:r>
          </w:p>
        </w:tc>
        <w:tc>
          <w:tcPr>
            <w:tcW w:w="998" w:type="pct"/>
            <w:noWrap/>
          </w:tcPr>
          <w:p w14:paraId="711EA82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13</w:t>
            </w:r>
          </w:p>
        </w:tc>
        <w:tc>
          <w:tcPr>
            <w:tcW w:w="613" w:type="pct"/>
          </w:tcPr>
          <w:p w14:paraId="40262BE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14 (9–23)</w:t>
            </w:r>
          </w:p>
        </w:tc>
        <w:tc>
          <w:tcPr>
            <w:tcW w:w="647" w:type="pct"/>
            <w:noWrap/>
          </w:tcPr>
          <w:p w14:paraId="136EEBE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84 (75–91)</w:t>
            </w:r>
          </w:p>
        </w:tc>
      </w:tr>
      <w:tr w:rsidR="00FA3C56" w:rsidRPr="006B4DC1" w14:paraId="463998D6"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7B440BBB" w14:textId="77777777" w:rsidR="006B4DC1" w:rsidRPr="006B4DC1" w:rsidRDefault="006B4DC1" w:rsidP="006B4DC1">
            <w:pPr>
              <w:rPr>
                <w:sz w:val="20"/>
                <w:szCs w:val="20"/>
              </w:rPr>
            </w:pPr>
          </w:p>
        </w:tc>
        <w:tc>
          <w:tcPr>
            <w:tcW w:w="767" w:type="pct"/>
            <w:noWrap/>
          </w:tcPr>
          <w:p w14:paraId="7C83096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4A0CBA0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100 mg</w:t>
            </w:r>
          </w:p>
        </w:tc>
        <w:tc>
          <w:tcPr>
            <w:tcW w:w="536" w:type="pct"/>
            <w:noWrap/>
          </w:tcPr>
          <w:p w14:paraId="6549003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94</w:t>
            </w:r>
          </w:p>
        </w:tc>
        <w:tc>
          <w:tcPr>
            <w:tcW w:w="998" w:type="pct"/>
            <w:noWrap/>
          </w:tcPr>
          <w:p w14:paraId="3C9968B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11</w:t>
            </w:r>
          </w:p>
        </w:tc>
        <w:tc>
          <w:tcPr>
            <w:tcW w:w="613" w:type="pct"/>
          </w:tcPr>
          <w:p w14:paraId="6452F33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12 (7–20)</w:t>
            </w:r>
          </w:p>
        </w:tc>
        <w:tc>
          <w:tcPr>
            <w:tcW w:w="647" w:type="pct"/>
            <w:noWrap/>
          </w:tcPr>
          <w:p w14:paraId="5D48A04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87 (78–93)</w:t>
            </w:r>
          </w:p>
        </w:tc>
      </w:tr>
      <w:tr w:rsidR="00FA3C56" w:rsidRPr="006B4DC1" w14:paraId="09602440"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2AA929CD" w14:textId="77777777" w:rsidR="006B4DC1" w:rsidRPr="006B4DC1" w:rsidRDefault="006B4DC1" w:rsidP="006B4DC1">
            <w:pPr>
              <w:rPr>
                <w:sz w:val="20"/>
                <w:szCs w:val="20"/>
              </w:rPr>
            </w:pPr>
          </w:p>
        </w:tc>
        <w:tc>
          <w:tcPr>
            <w:tcW w:w="767" w:type="pct"/>
            <w:noWrap/>
          </w:tcPr>
          <w:p w14:paraId="36B5721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69E5D2C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w:t>
            </w:r>
          </w:p>
        </w:tc>
        <w:tc>
          <w:tcPr>
            <w:tcW w:w="536" w:type="pct"/>
            <w:noWrap/>
          </w:tcPr>
          <w:p w14:paraId="30D4565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91</w:t>
            </w:r>
          </w:p>
        </w:tc>
        <w:tc>
          <w:tcPr>
            <w:tcW w:w="998" w:type="pct"/>
            <w:noWrap/>
          </w:tcPr>
          <w:p w14:paraId="5D0121F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12</w:t>
            </w:r>
          </w:p>
        </w:tc>
        <w:tc>
          <w:tcPr>
            <w:tcW w:w="613" w:type="pct"/>
          </w:tcPr>
          <w:p w14:paraId="0F81032F"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13 (8–22)</w:t>
            </w:r>
          </w:p>
        </w:tc>
        <w:tc>
          <w:tcPr>
            <w:tcW w:w="647" w:type="pct"/>
            <w:noWrap/>
          </w:tcPr>
          <w:p w14:paraId="6363DE9D"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86 (76–92)</w:t>
            </w:r>
          </w:p>
        </w:tc>
      </w:tr>
      <w:tr w:rsidR="00FA3C56" w:rsidRPr="006B4DC1" w14:paraId="2B5ED7EC"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485B5E5A" w14:textId="77777777" w:rsidR="006B4DC1" w:rsidRPr="006B4DC1" w:rsidRDefault="006B4DC1" w:rsidP="006B4DC1">
            <w:pPr>
              <w:rPr>
                <w:sz w:val="20"/>
                <w:szCs w:val="20"/>
              </w:rPr>
            </w:pPr>
          </w:p>
        </w:tc>
        <w:tc>
          <w:tcPr>
            <w:tcW w:w="767" w:type="pct"/>
            <w:noWrap/>
          </w:tcPr>
          <w:p w14:paraId="743F77E3"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41E72D7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Mefloquine 250 mg</w:t>
            </w:r>
          </w:p>
        </w:tc>
        <w:tc>
          <w:tcPr>
            <w:tcW w:w="536" w:type="pct"/>
            <w:noWrap/>
          </w:tcPr>
          <w:p w14:paraId="5CC7D43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46</w:t>
            </w:r>
          </w:p>
        </w:tc>
        <w:tc>
          <w:tcPr>
            <w:tcW w:w="998" w:type="pct"/>
            <w:noWrap/>
          </w:tcPr>
          <w:p w14:paraId="792545B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6</w:t>
            </w:r>
          </w:p>
        </w:tc>
        <w:tc>
          <w:tcPr>
            <w:tcW w:w="613" w:type="pct"/>
          </w:tcPr>
          <w:p w14:paraId="25EFF0AB"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13 (6–26)</w:t>
            </w:r>
          </w:p>
        </w:tc>
        <w:tc>
          <w:tcPr>
            <w:tcW w:w="647" w:type="pct"/>
            <w:noWrap/>
          </w:tcPr>
          <w:p w14:paraId="00F0A7B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86 (72–93)</w:t>
            </w:r>
          </w:p>
        </w:tc>
      </w:tr>
      <w:tr w:rsidR="00FA3C56" w:rsidRPr="006B4DC1" w14:paraId="51FFC4B2"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708E344D" w14:textId="77777777" w:rsidR="006B4DC1" w:rsidRPr="006B4DC1" w:rsidRDefault="006B4DC1" w:rsidP="006B4DC1">
            <w:pPr>
              <w:rPr>
                <w:sz w:val="20"/>
                <w:szCs w:val="20"/>
              </w:rPr>
            </w:pPr>
            <w:r w:rsidRPr="006B4DC1">
              <w:rPr>
                <w:sz w:val="20"/>
                <w:szCs w:val="20"/>
              </w:rPr>
              <w:t>030</w:t>
            </w:r>
          </w:p>
        </w:tc>
        <w:tc>
          <w:tcPr>
            <w:tcW w:w="767" w:type="pct"/>
            <w:noWrap/>
          </w:tcPr>
          <w:p w14:paraId="1A7962D3"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mITT</w:t>
            </w:r>
          </w:p>
        </w:tc>
        <w:tc>
          <w:tcPr>
            <w:tcW w:w="921" w:type="pct"/>
            <w:noWrap/>
          </w:tcPr>
          <w:p w14:paraId="3DD109A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Placebo</w:t>
            </w:r>
          </w:p>
        </w:tc>
        <w:tc>
          <w:tcPr>
            <w:tcW w:w="536" w:type="pct"/>
            <w:noWrap/>
          </w:tcPr>
          <w:p w14:paraId="176C0CB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93</w:t>
            </w:r>
          </w:p>
        </w:tc>
        <w:tc>
          <w:tcPr>
            <w:tcW w:w="998" w:type="pct"/>
            <w:noWrap/>
          </w:tcPr>
          <w:p w14:paraId="273048B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32</w:t>
            </w:r>
          </w:p>
        </w:tc>
        <w:tc>
          <w:tcPr>
            <w:tcW w:w="613" w:type="pct"/>
          </w:tcPr>
          <w:p w14:paraId="0262102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34 (26–45)</w:t>
            </w:r>
          </w:p>
        </w:tc>
        <w:tc>
          <w:tcPr>
            <w:tcW w:w="647" w:type="pct"/>
            <w:noWrap/>
          </w:tcPr>
          <w:p w14:paraId="0711D40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058CF979"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5C29BB51" w14:textId="77777777" w:rsidR="006B4DC1" w:rsidRPr="006B4DC1" w:rsidRDefault="006B4DC1" w:rsidP="006B4DC1">
            <w:pPr>
              <w:rPr>
                <w:sz w:val="20"/>
                <w:szCs w:val="20"/>
              </w:rPr>
            </w:pPr>
          </w:p>
        </w:tc>
        <w:tc>
          <w:tcPr>
            <w:tcW w:w="767" w:type="pct"/>
            <w:noWrap/>
          </w:tcPr>
          <w:p w14:paraId="4803FB1A"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5BC4E4C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w:t>
            </w:r>
          </w:p>
        </w:tc>
        <w:tc>
          <w:tcPr>
            <w:tcW w:w="536" w:type="pct"/>
            <w:noWrap/>
          </w:tcPr>
          <w:p w14:paraId="2B89289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99</w:t>
            </w:r>
          </w:p>
        </w:tc>
        <w:tc>
          <w:tcPr>
            <w:tcW w:w="998" w:type="pct"/>
            <w:noWrap/>
          </w:tcPr>
          <w:p w14:paraId="47E80113"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w:t>
            </w:r>
          </w:p>
        </w:tc>
        <w:tc>
          <w:tcPr>
            <w:tcW w:w="613" w:type="pct"/>
          </w:tcPr>
          <w:p w14:paraId="2A7E214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 (1–7)</w:t>
            </w:r>
          </w:p>
        </w:tc>
        <w:tc>
          <w:tcPr>
            <w:tcW w:w="647" w:type="pct"/>
            <w:noWrap/>
          </w:tcPr>
          <w:p w14:paraId="43CF5F6F"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94 ( 89 – 97)</w:t>
            </w:r>
          </w:p>
        </w:tc>
      </w:tr>
      <w:tr w:rsidR="00FA3C56" w:rsidRPr="006B4DC1" w14:paraId="73087533"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C4B49C3" w14:textId="77777777" w:rsidR="006B4DC1" w:rsidRPr="006B4DC1" w:rsidRDefault="006B4DC1" w:rsidP="006B4DC1">
            <w:pPr>
              <w:rPr>
                <w:sz w:val="20"/>
                <w:szCs w:val="20"/>
              </w:rPr>
            </w:pPr>
          </w:p>
        </w:tc>
        <w:tc>
          <w:tcPr>
            <w:tcW w:w="767" w:type="pct"/>
            <w:noWrap/>
          </w:tcPr>
          <w:p w14:paraId="3F59772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663D380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Mefloquine 250 mg</w:t>
            </w:r>
          </w:p>
        </w:tc>
        <w:tc>
          <w:tcPr>
            <w:tcW w:w="536" w:type="pct"/>
            <w:noWrap/>
          </w:tcPr>
          <w:p w14:paraId="559A95F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96</w:t>
            </w:r>
          </w:p>
        </w:tc>
        <w:tc>
          <w:tcPr>
            <w:tcW w:w="998" w:type="pct"/>
            <w:noWrap/>
          </w:tcPr>
          <w:p w14:paraId="26772A00"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w:t>
            </w:r>
          </w:p>
        </w:tc>
        <w:tc>
          <w:tcPr>
            <w:tcW w:w="613" w:type="pct"/>
          </w:tcPr>
          <w:p w14:paraId="4493079C"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 (1–7)</w:t>
            </w:r>
          </w:p>
        </w:tc>
        <w:tc>
          <w:tcPr>
            <w:tcW w:w="647" w:type="pct"/>
            <w:noWrap/>
          </w:tcPr>
          <w:p w14:paraId="5797BBB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94 ( 89– 99)</w:t>
            </w:r>
          </w:p>
        </w:tc>
      </w:tr>
      <w:tr w:rsidR="00FA3C56" w:rsidRPr="006B4DC1" w14:paraId="77106BAB"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2685280E" w14:textId="77777777" w:rsidR="006B4DC1" w:rsidRPr="006B4DC1" w:rsidRDefault="006B4DC1" w:rsidP="006B4DC1">
            <w:pPr>
              <w:rPr>
                <w:sz w:val="20"/>
                <w:szCs w:val="20"/>
              </w:rPr>
            </w:pPr>
            <w:r w:rsidRPr="006B4DC1">
              <w:rPr>
                <w:sz w:val="20"/>
                <w:szCs w:val="20"/>
              </w:rPr>
              <w:t>033</w:t>
            </w:r>
          </w:p>
        </w:tc>
        <w:tc>
          <w:tcPr>
            <w:tcW w:w="767" w:type="pct"/>
            <w:noWrap/>
          </w:tcPr>
          <w:p w14:paraId="5D5E64BF"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PP</w:t>
            </w:r>
          </w:p>
        </w:tc>
        <w:tc>
          <w:tcPr>
            <w:tcW w:w="921" w:type="pct"/>
            <w:noWrap/>
          </w:tcPr>
          <w:p w14:paraId="094BCE0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w:t>
            </w:r>
          </w:p>
        </w:tc>
        <w:tc>
          <w:tcPr>
            <w:tcW w:w="536" w:type="pct"/>
            <w:noWrap/>
          </w:tcPr>
          <w:p w14:paraId="3C2C9A5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462</w:t>
            </w:r>
          </w:p>
        </w:tc>
        <w:tc>
          <w:tcPr>
            <w:tcW w:w="998" w:type="pct"/>
            <w:noWrap/>
          </w:tcPr>
          <w:p w14:paraId="16290E3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0</w:t>
            </w:r>
          </w:p>
        </w:tc>
        <w:tc>
          <w:tcPr>
            <w:tcW w:w="613" w:type="pct"/>
          </w:tcPr>
          <w:p w14:paraId="4012FFF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0 (0–1)</w:t>
            </w:r>
          </w:p>
        </w:tc>
        <w:tc>
          <w:tcPr>
            <w:tcW w:w="647" w:type="pct"/>
            <w:noWrap/>
          </w:tcPr>
          <w:p w14:paraId="33F2721C"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74EEA435"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4BFF749C" w14:textId="77777777" w:rsidR="006B4DC1" w:rsidRPr="006B4DC1" w:rsidRDefault="006B4DC1" w:rsidP="006B4DC1">
            <w:pPr>
              <w:rPr>
                <w:sz w:val="20"/>
                <w:szCs w:val="20"/>
              </w:rPr>
            </w:pPr>
          </w:p>
        </w:tc>
        <w:tc>
          <w:tcPr>
            <w:tcW w:w="767" w:type="pct"/>
            <w:noWrap/>
          </w:tcPr>
          <w:p w14:paraId="2229575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p>
        </w:tc>
        <w:tc>
          <w:tcPr>
            <w:tcW w:w="921" w:type="pct"/>
            <w:noWrap/>
          </w:tcPr>
          <w:p w14:paraId="2707A5A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Mefloquine 250 mg</w:t>
            </w:r>
          </w:p>
        </w:tc>
        <w:tc>
          <w:tcPr>
            <w:tcW w:w="536" w:type="pct"/>
            <w:noWrap/>
          </w:tcPr>
          <w:p w14:paraId="6B6BC33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153</w:t>
            </w:r>
          </w:p>
        </w:tc>
        <w:tc>
          <w:tcPr>
            <w:tcW w:w="998" w:type="pct"/>
            <w:noWrap/>
          </w:tcPr>
          <w:p w14:paraId="202D58B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0</w:t>
            </w:r>
          </w:p>
        </w:tc>
        <w:tc>
          <w:tcPr>
            <w:tcW w:w="613" w:type="pct"/>
          </w:tcPr>
          <w:p w14:paraId="06B0693A"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0 (0–2)</w:t>
            </w:r>
          </w:p>
        </w:tc>
        <w:tc>
          <w:tcPr>
            <w:tcW w:w="647" w:type="pct"/>
            <w:noWrap/>
          </w:tcPr>
          <w:p w14:paraId="38C1914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6C9F2948"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021E828A" w14:textId="77777777" w:rsidR="006B4DC1" w:rsidRPr="006B4DC1" w:rsidRDefault="006B4DC1" w:rsidP="006B4DC1">
            <w:pPr>
              <w:rPr>
                <w:sz w:val="20"/>
                <w:szCs w:val="20"/>
              </w:rPr>
            </w:pPr>
            <w:r w:rsidRPr="006B4DC1">
              <w:rPr>
                <w:sz w:val="20"/>
                <w:szCs w:val="20"/>
              </w:rPr>
              <w:t>043045</w:t>
            </w:r>
            <w:r w:rsidRPr="006B4DC1">
              <w:rPr>
                <w:sz w:val="20"/>
                <w:szCs w:val="20"/>
              </w:rPr>
              <w:br/>
              <w:t>030</w:t>
            </w:r>
          </w:p>
        </w:tc>
        <w:tc>
          <w:tcPr>
            <w:tcW w:w="767" w:type="pct"/>
            <w:noWrap/>
          </w:tcPr>
          <w:p w14:paraId="6782903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(As Above)</w:t>
            </w:r>
          </w:p>
        </w:tc>
        <w:tc>
          <w:tcPr>
            <w:tcW w:w="921" w:type="pct"/>
            <w:noWrap/>
          </w:tcPr>
          <w:p w14:paraId="16E3950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Placebo</w:t>
            </w:r>
          </w:p>
        </w:tc>
        <w:tc>
          <w:tcPr>
            <w:tcW w:w="536" w:type="pct"/>
            <w:noWrap/>
          </w:tcPr>
          <w:p w14:paraId="33D81DFB"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246</w:t>
            </w:r>
          </w:p>
        </w:tc>
        <w:tc>
          <w:tcPr>
            <w:tcW w:w="998" w:type="pct"/>
            <w:noWrap/>
          </w:tcPr>
          <w:p w14:paraId="0502FF2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172</w:t>
            </w:r>
          </w:p>
        </w:tc>
        <w:tc>
          <w:tcPr>
            <w:tcW w:w="613" w:type="pct"/>
            <w:noWrap/>
          </w:tcPr>
          <w:p w14:paraId="5F02396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70 (64–75)</w:t>
            </w:r>
          </w:p>
        </w:tc>
        <w:tc>
          <w:tcPr>
            <w:tcW w:w="647" w:type="pct"/>
            <w:noWrap/>
          </w:tcPr>
          <w:p w14:paraId="736108E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r w:rsidR="00FA3C56" w:rsidRPr="006B4DC1" w14:paraId="4AC7D691"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30FFA52B" w14:textId="77777777" w:rsidR="006B4DC1" w:rsidRPr="006B4DC1" w:rsidRDefault="006B4DC1" w:rsidP="006B4DC1">
            <w:pPr>
              <w:rPr>
                <w:sz w:val="20"/>
                <w:szCs w:val="20"/>
              </w:rPr>
            </w:pPr>
          </w:p>
        </w:tc>
        <w:tc>
          <w:tcPr>
            <w:tcW w:w="767" w:type="pct"/>
            <w:noWrap/>
          </w:tcPr>
          <w:p w14:paraId="5A703FC1"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(As Above)</w:t>
            </w:r>
          </w:p>
        </w:tc>
        <w:tc>
          <w:tcPr>
            <w:tcW w:w="921" w:type="pct"/>
            <w:noWrap/>
          </w:tcPr>
          <w:p w14:paraId="1F4AC6DA"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w:t>
            </w:r>
          </w:p>
        </w:tc>
        <w:tc>
          <w:tcPr>
            <w:tcW w:w="536" w:type="pct"/>
            <w:noWrap/>
          </w:tcPr>
          <w:p w14:paraId="12BB56B7"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243</w:t>
            </w:r>
          </w:p>
        </w:tc>
        <w:tc>
          <w:tcPr>
            <w:tcW w:w="998" w:type="pct"/>
            <w:noWrap/>
          </w:tcPr>
          <w:p w14:paraId="37FA62D4"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19</w:t>
            </w:r>
          </w:p>
        </w:tc>
        <w:tc>
          <w:tcPr>
            <w:tcW w:w="613" w:type="pct"/>
            <w:noWrap/>
          </w:tcPr>
          <w:p w14:paraId="1BAE2946"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 (5–12)</w:t>
            </w:r>
          </w:p>
        </w:tc>
        <w:tc>
          <w:tcPr>
            <w:tcW w:w="647" w:type="pct"/>
            <w:noWrap/>
          </w:tcPr>
          <w:p w14:paraId="03721622"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89 ( 85 – 93)</w:t>
            </w:r>
          </w:p>
        </w:tc>
      </w:tr>
      <w:tr w:rsidR="00FA3C56" w:rsidRPr="006B4DC1" w14:paraId="29EF3219" w14:textId="77777777" w:rsidTr="00FA3C56">
        <w:trPr>
          <w:trHeight w:val="255"/>
        </w:trPr>
        <w:tc>
          <w:tcPr>
            <w:cnfStyle w:val="001000000000" w:firstRow="0" w:lastRow="0" w:firstColumn="1" w:lastColumn="0" w:oddVBand="0" w:evenVBand="0" w:oddHBand="0" w:evenHBand="0" w:firstRowFirstColumn="0" w:firstRowLastColumn="0" w:lastRowFirstColumn="0" w:lastRowLastColumn="0"/>
            <w:tcW w:w="518" w:type="pct"/>
            <w:noWrap/>
          </w:tcPr>
          <w:p w14:paraId="6F7F45B3" w14:textId="77777777" w:rsidR="006B4DC1" w:rsidRPr="006B4DC1" w:rsidRDefault="006B4DC1" w:rsidP="006B4DC1">
            <w:pPr>
              <w:rPr>
                <w:sz w:val="20"/>
                <w:szCs w:val="20"/>
              </w:rPr>
            </w:pPr>
            <w:r w:rsidRPr="006B4DC1">
              <w:rPr>
                <w:sz w:val="20"/>
                <w:szCs w:val="20"/>
              </w:rPr>
              <w:t>044033</w:t>
            </w:r>
          </w:p>
        </w:tc>
        <w:tc>
          <w:tcPr>
            <w:tcW w:w="767" w:type="pct"/>
            <w:noWrap/>
          </w:tcPr>
          <w:p w14:paraId="00A1D9BE"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(As Above)</w:t>
            </w:r>
          </w:p>
        </w:tc>
        <w:tc>
          <w:tcPr>
            <w:tcW w:w="921" w:type="pct"/>
            <w:noWrap/>
          </w:tcPr>
          <w:p w14:paraId="5C2B0F49"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Tafenoquine 200 mg /400 mg</w:t>
            </w:r>
          </w:p>
        </w:tc>
        <w:tc>
          <w:tcPr>
            <w:tcW w:w="536" w:type="pct"/>
            <w:noWrap/>
          </w:tcPr>
          <w:p w14:paraId="7AF64560"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566</w:t>
            </w:r>
          </w:p>
        </w:tc>
        <w:tc>
          <w:tcPr>
            <w:tcW w:w="998" w:type="pct"/>
            <w:noWrap/>
          </w:tcPr>
          <w:p w14:paraId="54D061B8"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1</w:t>
            </w:r>
          </w:p>
        </w:tc>
        <w:tc>
          <w:tcPr>
            <w:tcW w:w="613" w:type="pct"/>
            <w:noWrap/>
          </w:tcPr>
          <w:p w14:paraId="5941B4C5"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&lt;1</w:t>
            </w:r>
          </w:p>
        </w:tc>
        <w:tc>
          <w:tcPr>
            <w:tcW w:w="647" w:type="pct"/>
            <w:noWrap/>
          </w:tcPr>
          <w:p w14:paraId="48C0DD1B" w14:textId="77777777" w:rsidR="006B4DC1" w:rsidRPr="006B4DC1" w:rsidRDefault="006B4DC1" w:rsidP="006B4DC1">
            <w:pPr>
              <w:cnfStyle w:val="000000000000" w:firstRow="0" w:lastRow="0" w:firstColumn="0" w:lastColumn="0" w:oddVBand="0" w:evenVBand="0" w:oddHBand="0" w:evenHBand="0" w:firstRowFirstColumn="0" w:firstRowLastColumn="0" w:lastRowFirstColumn="0" w:lastRowLastColumn="0"/>
              <w:rPr>
                <w:sz w:val="20"/>
                <w:szCs w:val="20"/>
              </w:rPr>
            </w:pPr>
            <w:r w:rsidRPr="006B4DC1">
              <w:rPr>
                <w:sz w:val="20"/>
                <w:szCs w:val="20"/>
              </w:rPr>
              <w:t>–</w:t>
            </w:r>
          </w:p>
        </w:tc>
      </w:tr>
    </w:tbl>
    <w:p w14:paraId="5861A207" w14:textId="7A20B95B" w:rsidR="00F1528F" w:rsidRDefault="008A1A1C" w:rsidP="00855CA9">
      <w:r>
        <w:rPr>
          <w:iCs/>
        </w:rPr>
        <w:t xml:space="preserve">In </w:t>
      </w:r>
      <w:r w:rsidR="00F1528F">
        <w:rPr>
          <w:iCs/>
        </w:rPr>
        <w:t>Phase III</w:t>
      </w:r>
      <w:r>
        <w:rPr>
          <w:iCs/>
        </w:rPr>
        <w:t xml:space="preserve"> trials (</w:t>
      </w:r>
      <w:r w:rsidR="00855CA9">
        <w:rPr>
          <w:iCs/>
        </w:rPr>
        <w:t>S</w:t>
      </w:r>
      <w:r>
        <w:rPr>
          <w:iCs/>
        </w:rPr>
        <w:t>tudies 045 and 033) against the positive comparator mefloquine</w:t>
      </w:r>
      <w:r>
        <w:rPr>
          <w:iCs/>
          <w:color w:val="000080"/>
        </w:rPr>
        <w:t>,</w:t>
      </w:r>
      <w:r>
        <w:rPr>
          <w:iCs/>
        </w:rPr>
        <w:t xml:space="preserve"> point estimates of efficacy of tafenoquine</w:t>
      </w:r>
      <w:r w:rsidR="00404803">
        <w:rPr>
          <w:iCs/>
        </w:rPr>
        <w:t xml:space="preserve"> versus </w:t>
      </w:r>
      <w:r>
        <w:rPr>
          <w:iCs/>
        </w:rPr>
        <w:t>comparator were essentially the same within each study</w:t>
      </w:r>
      <w:r>
        <w:rPr>
          <w:iCs/>
          <w:color w:val="800000"/>
        </w:rPr>
        <w:t xml:space="preserve">. </w:t>
      </w:r>
      <w:r>
        <w:rPr>
          <w:lang w:eastAsia="en-AU"/>
        </w:rPr>
        <w:t xml:space="preserve">In Study 045 for </w:t>
      </w:r>
      <w:r w:rsidRPr="00855CA9">
        <w:rPr>
          <w:lang w:eastAsia="en-AU"/>
        </w:rPr>
        <w:t>Pf</w:t>
      </w:r>
      <w:r>
        <w:rPr>
          <w:lang w:eastAsia="en-AU"/>
        </w:rPr>
        <w:t xml:space="preserve"> in </w:t>
      </w:r>
      <w:r w:rsidR="00C31C6E">
        <w:rPr>
          <w:lang w:eastAsia="en-AU"/>
        </w:rPr>
        <w:t xml:space="preserve">African </w:t>
      </w:r>
      <w:r>
        <w:rPr>
          <w:lang w:eastAsia="en-AU"/>
        </w:rPr>
        <w:t xml:space="preserve">semi-immunes, PE compared to placebo was 86% for </w:t>
      </w:r>
      <w:r>
        <w:t>tafenoquine</w:t>
      </w:r>
      <w:r>
        <w:rPr>
          <w:lang w:eastAsia="en-AU"/>
        </w:rPr>
        <w:t xml:space="preserve"> and 86% for mefloquine. </w:t>
      </w:r>
      <w:r>
        <w:t>Tafenoquine</w:t>
      </w:r>
      <w:r>
        <w:rPr>
          <w:lang w:eastAsia="en-AU"/>
        </w:rPr>
        <w:t xml:space="preserve"> was statistically non-inferior to mefloquine. In </w:t>
      </w:r>
      <w:r w:rsidR="009720A8">
        <w:rPr>
          <w:lang w:eastAsia="en-AU"/>
        </w:rPr>
        <w:t>Study 0</w:t>
      </w:r>
      <w:r>
        <w:rPr>
          <w:lang w:eastAsia="en-AU"/>
        </w:rPr>
        <w:t>33</w:t>
      </w:r>
      <w:r w:rsidR="00FA3C56">
        <w:rPr>
          <w:lang w:eastAsia="en-AU"/>
        </w:rPr>
        <w:t xml:space="preserve"> </w:t>
      </w:r>
      <w:r>
        <w:rPr>
          <w:lang w:eastAsia="en-AU"/>
        </w:rPr>
        <w:t xml:space="preserve">primarily for </w:t>
      </w:r>
      <w:proofErr w:type="gramStart"/>
      <w:r w:rsidRPr="00855CA9">
        <w:rPr>
          <w:lang w:eastAsia="en-AU"/>
        </w:rPr>
        <w:t>Pv</w:t>
      </w:r>
      <w:proofErr w:type="gramEnd"/>
      <w:r>
        <w:rPr>
          <w:i/>
          <w:lang w:eastAsia="en-AU"/>
        </w:rPr>
        <w:t xml:space="preserve"> </w:t>
      </w:r>
      <w:r>
        <w:rPr>
          <w:lang w:eastAsia="en-AU"/>
        </w:rPr>
        <w:t>but also with some calculated incidence of</w:t>
      </w:r>
      <w:r>
        <w:rPr>
          <w:i/>
          <w:lang w:eastAsia="en-AU"/>
        </w:rPr>
        <w:t xml:space="preserve"> </w:t>
      </w:r>
      <w:r w:rsidRPr="00855CA9">
        <w:rPr>
          <w:lang w:eastAsia="en-AU"/>
        </w:rPr>
        <w:t>Pf</w:t>
      </w:r>
      <w:r>
        <w:rPr>
          <w:i/>
          <w:lang w:eastAsia="en-AU"/>
        </w:rPr>
        <w:t xml:space="preserve"> </w:t>
      </w:r>
      <w:r>
        <w:rPr>
          <w:lang w:eastAsia="en-AU"/>
        </w:rPr>
        <w:t>i</w:t>
      </w:r>
      <w:r>
        <w:t xml:space="preserve">n </w:t>
      </w:r>
      <w:r w:rsidR="00C31C6E">
        <w:t xml:space="preserve">Australian </w:t>
      </w:r>
      <w:r>
        <w:t>non-immunes, the full prophylactic regimen of tafenoquine had efficacy identical to that of the standard mefloquine comparator: no subject had parasit</w:t>
      </w:r>
      <w:r w:rsidR="00C31C6E">
        <w:t>a</w:t>
      </w:r>
      <w:r>
        <w:t xml:space="preserve">emia in either group over 6 months of prophylaxis. Historic control data indicate that 7.9% of subjects would have become infected (6.9% with </w:t>
      </w:r>
      <w:proofErr w:type="gramStart"/>
      <w:r w:rsidRPr="00855CA9">
        <w:t>Pv</w:t>
      </w:r>
      <w:proofErr w:type="gramEnd"/>
      <w:r w:rsidRPr="00855CA9">
        <w:t>,</w:t>
      </w:r>
      <w:r>
        <w:t xml:space="preserve"> 1.0% with </w:t>
      </w:r>
      <w:r w:rsidRPr="00855CA9">
        <w:t>Pf</w:t>
      </w:r>
      <w:r>
        <w:t xml:space="preserve">) under those conditions. Tafenoquine was statistically non-inferior to mefloquine of subjects would have become infected (6.9% with </w:t>
      </w:r>
      <w:proofErr w:type="gramStart"/>
      <w:r w:rsidRPr="00855CA9">
        <w:t>Pv</w:t>
      </w:r>
      <w:proofErr w:type="gramEnd"/>
      <w:r w:rsidRPr="00855CA9">
        <w:t xml:space="preserve">, </w:t>
      </w:r>
      <w:r>
        <w:t xml:space="preserve">1.0% with </w:t>
      </w:r>
      <w:r w:rsidRPr="00855CA9">
        <w:t>Pf)</w:t>
      </w:r>
      <w:r>
        <w:t xml:space="preserve"> under those conditions.</w:t>
      </w:r>
    </w:p>
    <w:p w14:paraId="3491C22E" w14:textId="4CF93D4A" w:rsidR="006B4DC1" w:rsidRDefault="008A1A1C" w:rsidP="00855CA9">
      <w:r>
        <w:t xml:space="preserve">Male versus female results from clinical studies are shown in </w:t>
      </w:r>
      <w:r w:rsidR="00686267">
        <w:t>Table 4</w:t>
      </w:r>
      <w:r w:rsidR="005B2850">
        <w:t>5</w:t>
      </w:r>
      <w:r w:rsidR="009F5426">
        <w:t>.</w:t>
      </w:r>
    </w:p>
    <w:p w14:paraId="56D33E2B" w14:textId="63ABDF0D" w:rsidR="006B4DC1" w:rsidRPr="003F3599" w:rsidRDefault="006B4DC1" w:rsidP="005F37D6">
      <w:pPr>
        <w:pStyle w:val="Tabletitle"/>
        <w:keepLines/>
      </w:pPr>
      <w:bookmarkStart w:id="444" w:name="_Ref501290945"/>
      <w:bookmarkStart w:id="445" w:name="_Toc461038010"/>
      <w:bookmarkStart w:id="446" w:name="_Toc476549725"/>
      <w:bookmarkStart w:id="447" w:name="_Toc504229466"/>
      <w:bookmarkStart w:id="448" w:name="_Toc501293717"/>
      <w:r>
        <w:lastRenderedPageBreak/>
        <w:t xml:space="preserve">Table </w:t>
      </w:r>
      <w:r w:rsidR="003F0ECA">
        <w:t>4</w:t>
      </w:r>
      <w:r w:rsidR="005B2850">
        <w:t>5</w:t>
      </w:r>
      <w:r w:rsidR="003F0ECA">
        <w:t>:</w:t>
      </w:r>
      <w:bookmarkEnd w:id="444"/>
      <w:r w:rsidRPr="003F3599">
        <w:t xml:space="preserve"> Efficacy of </w:t>
      </w:r>
      <w:r w:rsidR="00C91D0A">
        <w:t>t</w:t>
      </w:r>
      <w:r w:rsidR="00C91D0A" w:rsidRPr="003F3599">
        <w:t xml:space="preserve">afenoquine </w:t>
      </w:r>
      <w:r w:rsidRPr="003F3599">
        <w:t xml:space="preserve">of </w:t>
      </w:r>
      <w:r w:rsidR="00C91D0A">
        <w:t>m</w:t>
      </w:r>
      <w:r w:rsidR="00C91D0A" w:rsidRPr="003F3599">
        <w:t xml:space="preserve">ales </w:t>
      </w:r>
      <w:r w:rsidRPr="003F3599">
        <w:t>v</w:t>
      </w:r>
      <w:r w:rsidR="00C91D0A">
        <w:t>ersu</w:t>
      </w:r>
      <w:r w:rsidRPr="003F3599">
        <w:t xml:space="preserve">s </w:t>
      </w:r>
      <w:r w:rsidR="00C91D0A">
        <w:t>f</w:t>
      </w:r>
      <w:r w:rsidR="00C91D0A" w:rsidRPr="003F3599">
        <w:t xml:space="preserve">emales </w:t>
      </w:r>
      <w:r w:rsidRPr="003F3599">
        <w:t xml:space="preserve">in </w:t>
      </w:r>
      <w:r w:rsidR="00C91D0A" w:rsidRPr="003F3599">
        <w:t>primary analytic populations</w:t>
      </w:r>
      <w:bookmarkEnd w:id="445"/>
      <w:bookmarkEnd w:id="446"/>
      <w:bookmarkEnd w:id="447"/>
      <w:bookmarkEnd w:id="448"/>
    </w:p>
    <w:tbl>
      <w:tblPr>
        <w:tblStyle w:val="TableTGAblue"/>
        <w:tblW w:w="5000" w:type="pct"/>
        <w:tblLayout w:type="fixed"/>
        <w:tblLook w:val="00A0" w:firstRow="1" w:lastRow="0" w:firstColumn="1" w:lastColumn="0" w:noHBand="0" w:noVBand="0"/>
      </w:tblPr>
      <w:tblGrid>
        <w:gridCol w:w="1788"/>
        <w:gridCol w:w="1592"/>
        <w:gridCol w:w="1410"/>
        <w:gridCol w:w="183"/>
        <w:gridCol w:w="1373"/>
        <w:gridCol w:w="220"/>
        <w:gridCol w:w="1338"/>
        <w:gridCol w:w="157"/>
        <w:gridCol w:w="1181"/>
      </w:tblGrid>
      <w:tr w:rsidR="006B4DC1" w:rsidRPr="009F5426" w14:paraId="03EDDF63" w14:textId="77777777" w:rsidTr="009F54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7" w:type="pct"/>
          </w:tcPr>
          <w:p w14:paraId="0104E133" w14:textId="5B842756" w:rsidR="006B4DC1" w:rsidRPr="009F5426" w:rsidRDefault="006B4DC1" w:rsidP="009F5426">
            <w:pPr>
              <w:keepNext/>
              <w:keepLines/>
              <w:rPr>
                <w:sz w:val="18"/>
                <w:szCs w:val="18"/>
              </w:rPr>
            </w:pPr>
            <w:r w:rsidRPr="009F5426">
              <w:rPr>
                <w:sz w:val="18"/>
                <w:szCs w:val="18"/>
              </w:rPr>
              <w:t>Baseline</w:t>
            </w:r>
            <w:r w:rsidR="009F5426" w:rsidRPr="009F5426">
              <w:rPr>
                <w:sz w:val="18"/>
                <w:szCs w:val="18"/>
              </w:rPr>
              <w:t xml:space="preserve"> </w:t>
            </w:r>
            <w:r w:rsidRPr="009F5426">
              <w:rPr>
                <w:sz w:val="18"/>
                <w:szCs w:val="18"/>
              </w:rPr>
              <w:t>Characteristic</w:t>
            </w:r>
            <w:r w:rsidR="001206BA" w:rsidRPr="009F5426">
              <w:rPr>
                <w:sz w:val="18"/>
                <w:szCs w:val="18"/>
              </w:rPr>
              <w:t>*</w:t>
            </w:r>
          </w:p>
        </w:tc>
        <w:tc>
          <w:tcPr>
            <w:tcW w:w="861" w:type="pct"/>
          </w:tcPr>
          <w:p w14:paraId="33401262" w14:textId="36810AA0" w:rsidR="006B4DC1" w:rsidRPr="009F5426" w:rsidRDefault="006B4DC1" w:rsidP="009F5426">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9F5426">
              <w:rPr>
                <w:sz w:val="18"/>
                <w:szCs w:val="18"/>
              </w:rPr>
              <w:t>Prophylactic African Studies</w:t>
            </w:r>
            <w:r w:rsidR="009F5426" w:rsidRPr="009F5426">
              <w:rPr>
                <w:sz w:val="18"/>
                <w:szCs w:val="18"/>
              </w:rPr>
              <w:t xml:space="preserve"> </w:t>
            </w:r>
            <w:r w:rsidRPr="009F5426">
              <w:rPr>
                <w:sz w:val="18"/>
                <w:szCs w:val="18"/>
              </w:rPr>
              <w:t>006 / 043 / 045 / 030</w:t>
            </w:r>
          </w:p>
        </w:tc>
        <w:tc>
          <w:tcPr>
            <w:tcW w:w="862" w:type="pct"/>
            <w:gridSpan w:val="2"/>
          </w:tcPr>
          <w:p w14:paraId="3C0DFD90" w14:textId="52AD926A" w:rsidR="006B4DC1" w:rsidRPr="009F5426" w:rsidRDefault="006B4DC1" w:rsidP="009F5426">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9F5426">
              <w:rPr>
                <w:sz w:val="18"/>
                <w:szCs w:val="18"/>
              </w:rPr>
              <w:t>Prophylactic SE Asia / Oceania Studies</w:t>
            </w:r>
            <w:r w:rsidR="009F5426" w:rsidRPr="009F5426">
              <w:rPr>
                <w:sz w:val="18"/>
                <w:szCs w:val="18"/>
              </w:rPr>
              <w:t xml:space="preserve"> </w:t>
            </w:r>
            <w:r w:rsidRPr="009F5426">
              <w:rPr>
                <w:sz w:val="18"/>
                <w:szCs w:val="18"/>
              </w:rPr>
              <w:t>044 / 033</w:t>
            </w:r>
          </w:p>
        </w:tc>
        <w:tc>
          <w:tcPr>
            <w:tcW w:w="862" w:type="pct"/>
            <w:gridSpan w:val="2"/>
          </w:tcPr>
          <w:p w14:paraId="7FC558FC" w14:textId="71EB352E" w:rsidR="006B4DC1" w:rsidRPr="009F5426" w:rsidRDefault="006B4DC1" w:rsidP="009F5426">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9F5426">
              <w:rPr>
                <w:sz w:val="18"/>
                <w:szCs w:val="18"/>
              </w:rPr>
              <w:t>All Field Prophylactic Studies Using Loading Plus Weekly Dosing</w:t>
            </w:r>
            <w:r w:rsidR="009F5426" w:rsidRPr="009F5426">
              <w:rPr>
                <w:sz w:val="18"/>
                <w:szCs w:val="18"/>
              </w:rPr>
              <w:t xml:space="preserve"> </w:t>
            </w:r>
            <w:r w:rsidRPr="009F5426">
              <w:rPr>
                <w:sz w:val="18"/>
                <w:szCs w:val="18"/>
              </w:rPr>
              <w:t>043 / 044 / 045 / 030 / 033</w:t>
            </w:r>
          </w:p>
        </w:tc>
        <w:tc>
          <w:tcPr>
            <w:tcW w:w="809" w:type="pct"/>
            <w:gridSpan w:val="2"/>
          </w:tcPr>
          <w:p w14:paraId="50F3B1A2" w14:textId="057FF13F" w:rsidR="006B4DC1" w:rsidRPr="009F5426" w:rsidRDefault="006B4DC1" w:rsidP="009F5426">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9F5426">
              <w:rPr>
                <w:i/>
                <w:sz w:val="18"/>
                <w:szCs w:val="18"/>
              </w:rPr>
              <w:t>P</w:t>
            </w:r>
            <w:r w:rsidR="00FA3C56" w:rsidRPr="009F5426">
              <w:rPr>
                <w:i/>
                <w:sz w:val="18"/>
                <w:szCs w:val="18"/>
              </w:rPr>
              <w:t>v</w:t>
            </w:r>
            <w:r w:rsidRPr="009F5426">
              <w:rPr>
                <w:sz w:val="18"/>
                <w:szCs w:val="18"/>
              </w:rPr>
              <w:t xml:space="preserve"> Hypnozoite and Blood Stage Treatment Studies</w:t>
            </w:r>
            <w:r w:rsidR="009F5426" w:rsidRPr="009F5426">
              <w:rPr>
                <w:sz w:val="18"/>
                <w:szCs w:val="18"/>
              </w:rPr>
              <w:t xml:space="preserve"> </w:t>
            </w:r>
            <w:r w:rsidRPr="009F5426">
              <w:rPr>
                <w:sz w:val="18"/>
                <w:szCs w:val="18"/>
              </w:rPr>
              <w:t>047 / 049 / 058</w:t>
            </w:r>
          </w:p>
        </w:tc>
        <w:tc>
          <w:tcPr>
            <w:tcW w:w="639" w:type="pct"/>
          </w:tcPr>
          <w:p w14:paraId="2FF277E2" w14:textId="4EEDC4D4" w:rsidR="006B4DC1" w:rsidRPr="009F5426" w:rsidRDefault="006B4DC1" w:rsidP="009F5426">
            <w:pPr>
              <w:keepNext/>
              <w:keepLines/>
              <w:cnfStyle w:val="100000000000" w:firstRow="1" w:lastRow="0" w:firstColumn="0" w:lastColumn="0" w:oddVBand="0" w:evenVBand="0" w:oddHBand="0" w:evenHBand="0" w:firstRowFirstColumn="0" w:firstRowLastColumn="0" w:lastRowFirstColumn="0" w:lastRowLastColumn="0"/>
              <w:rPr>
                <w:sz w:val="18"/>
                <w:szCs w:val="18"/>
              </w:rPr>
            </w:pPr>
            <w:r w:rsidRPr="009F5426">
              <w:rPr>
                <w:sz w:val="18"/>
                <w:szCs w:val="18"/>
              </w:rPr>
              <w:t>All Field Efficacy Studies</w:t>
            </w:r>
            <w:r w:rsidR="009F5426" w:rsidRPr="009F5426">
              <w:rPr>
                <w:sz w:val="18"/>
                <w:szCs w:val="18"/>
              </w:rPr>
              <w:t xml:space="preserve"> </w:t>
            </w:r>
            <w:r w:rsidRPr="009F5426">
              <w:rPr>
                <w:sz w:val="18"/>
                <w:szCs w:val="18"/>
              </w:rPr>
              <w:t>006 / 043 / 030 / 044 / 033 / 047 / 049 / 058</w:t>
            </w:r>
          </w:p>
        </w:tc>
      </w:tr>
      <w:tr w:rsidR="006B4DC1" w:rsidRPr="009F5426" w14:paraId="210943A3" w14:textId="77777777" w:rsidTr="009F5426">
        <w:tc>
          <w:tcPr>
            <w:cnfStyle w:val="001000000000" w:firstRow="0" w:lastRow="0" w:firstColumn="1" w:lastColumn="0" w:oddVBand="0" w:evenVBand="0" w:oddHBand="0" w:evenHBand="0" w:firstRowFirstColumn="0" w:firstRowLastColumn="0" w:lastRowFirstColumn="0" w:lastRowLastColumn="0"/>
            <w:tcW w:w="5000" w:type="pct"/>
            <w:gridSpan w:val="9"/>
          </w:tcPr>
          <w:p w14:paraId="579F9AFA" w14:textId="77777777" w:rsidR="006B4DC1" w:rsidRPr="009F5426" w:rsidRDefault="006B4DC1" w:rsidP="005F37D6">
            <w:pPr>
              <w:keepNext/>
              <w:keepLines/>
              <w:rPr>
                <w:b/>
                <w:color w:val="000000"/>
                <w:sz w:val="18"/>
                <w:szCs w:val="18"/>
              </w:rPr>
            </w:pPr>
            <w:r w:rsidRPr="009F5426">
              <w:rPr>
                <w:b/>
                <w:color w:val="000000"/>
                <w:sz w:val="18"/>
                <w:szCs w:val="18"/>
              </w:rPr>
              <w:t>Efficacy in Males</w:t>
            </w:r>
          </w:p>
        </w:tc>
      </w:tr>
      <w:tr w:rsidR="006B4DC1" w:rsidRPr="009F5426" w14:paraId="2DD24303" w14:textId="77777777" w:rsidTr="009F5426">
        <w:tc>
          <w:tcPr>
            <w:cnfStyle w:val="001000000000" w:firstRow="0" w:lastRow="0" w:firstColumn="1" w:lastColumn="0" w:oddVBand="0" w:evenVBand="0" w:oddHBand="0" w:evenHBand="0" w:firstRowFirstColumn="0" w:firstRowLastColumn="0" w:lastRowFirstColumn="0" w:lastRowLastColumn="0"/>
            <w:tcW w:w="967" w:type="pct"/>
          </w:tcPr>
          <w:p w14:paraId="7B747D62" w14:textId="77777777" w:rsidR="006B4DC1" w:rsidRPr="009F5426" w:rsidRDefault="006B4DC1" w:rsidP="006B4DC1">
            <w:pPr>
              <w:rPr>
                <w:color w:val="000000"/>
                <w:sz w:val="18"/>
                <w:szCs w:val="18"/>
              </w:rPr>
            </w:pPr>
            <w:r w:rsidRPr="009F5426">
              <w:rPr>
                <w:color w:val="000000"/>
                <w:sz w:val="18"/>
                <w:szCs w:val="18"/>
              </w:rPr>
              <w:t>Number of</w:t>
            </w:r>
          </w:p>
        </w:tc>
        <w:tc>
          <w:tcPr>
            <w:tcW w:w="861" w:type="pct"/>
          </w:tcPr>
          <w:p w14:paraId="3EFB0925"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564</w:t>
            </w:r>
          </w:p>
        </w:tc>
        <w:tc>
          <w:tcPr>
            <w:tcW w:w="763" w:type="pct"/>
          </w:tcPr>
          <w:p w14:paraId="3F9AA3B0"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571</w:t>
            </w:r>
          </w:p>
        </w:tc>
        <w:tc>
          <w:tcPr>
            <w:tcW w:w="842" w:type="pct"/>
            <w:gridSpan w:val="2"/>
          </w:tcPr>
          <w:p w14:paraId="2A866936"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983</w:t>
            </w:r>
          </w:p>
        </w:tc>
        <w:tc>
          <w:tcPr>
            <w:tcW w:w="843" w:type="pct"/>
            <w:gridSpan w:val="2"/>
          </w:tcPr>
          <w:p w14:paraId="017F0108"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1043</w:t>
            </w:r>
          </w:p>
        </w:tc>
        <w:tc>
          <w:tcPr>
            <w:tcW w:w="724" w:type="pct"/>
            <w:gridSpan w:val="2"/>
          </w:tcPr>
          <w:p w14:paraId="00573D2B"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2178</w:t>
            </w:r>
          </w:p>
        </w:tc>
      </w:tr>
      <w:tr w:rsidR="006B4DC1" w:rsidRPr="009F5426" w14:paraId="086A5F2C" w14:textId="77777777" w:rsidTr="009F5426">
        <w:tc>
          <w:tcPr>
            <w:cnfStyle w:val="001000000000" w:firstRow="0" w:lastRow="0" w:firstColumn="1" w:lastColumn="0" w:oddVBand="0" w:evenVBand="0" w:oddHBand="0" w:evenHBand="0" w:firstRowFirstColumn="0" w:firstRowLastColumn="0" w:lastRowFirstColumn="0" w:lastRowLastColumn="0"/>
            <w:tcW w:w="967" w:type="pct"/>
          </w:tcPr>
          <w:p w14:paraId="76618564" w14:textId="77777777" w:rsidR="006B4DC1" w:rsidRPr="009F5426" w:rsidRDefault="006B4DC1" w:rsidP="006B4DC1">
            <w:pPr>
              <w:rPr>
                <w:color w:val="000000"/>
                <w:sz w:val="18"/>
                <w:szCs w:val="18"/>
              </w:rPr>
            </w:pPr>
            <w:r w:rsidRPr="009F5426">
              <w:rPr>
                <w:color w:val="000000"/>
                <w:sz w:val="18"/>
                <w:szCs w:val="18"/>
              </w:rPr>
              <w:t>Failure, N (%)</w:t>
            </w:r>
          </w:p>
        </w:tc>
        <w:tc>
          <w:tcPr>
            <w:tcW w:w="861" w:type="pct"/>
          </w:tcPr>
          <w:p w14:paraId="164743B8"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103 (18.3)</w:t>
            </w:r>
          </w:p>
        </w:tc>
        <w:tc>
          <w:tcPr>
            <w:tcW w:w="763" w:type="pct"/>
          </w:tcPr>
          <w:p w14:paraId="46FD9D05"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 (0.2)</w:t>
            </w:r>
          </w:p>
        </w:tc>
        <w:tc>
          <w:tcPr>
            <w:tcW w:w="842" w:type="pct"/>
            <w:gridSpan w:val="2"/>
          </w:tcPr>
          <w:p w14:paraId="0A7DA4FB"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95 (9.7)</w:t>
            </w:r>
          </w:p>
        </w:tc>
        <w:tc>
          <w:tcPr>
            <w:tcW w:w="843" w:type="pct"/>
            <w:gridSpan w:val="2"/>
          </w:tcPr>
          <w:p w14:paraId="112EF4B2"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53 (5.1)</w:t>
            </w:r>
          </w:p>
        </w:tc>
        <w:tc>
          <w:tcPr>
            <w:tcW w:w="724" w:type="pct"/>
            <w:gridSpan w:val="2"/>
          </w:tcPr>
          <w:p w14:paraId="516E1D64"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157 (7.2)</w:t>
            </w:r>
          </w:p>
        </w:tc>
      </w:tr>
      <w:tr w:rsidR="006B4DC1" w:rsidRPr="009F5426" w14:paraId="51B104A3" w14:textId="77777777" w:rsidTr="009F5426">
        <w:tc>
          <w:tcPr>
            <w:cnfStyle w:val="001000000000" w:firstRow="0" w:lastRow="0" w:firstColumn="1" w:lastColumn="0" w:oddVBand="0" w:evenVBand="0" w:oddHBand="0" w:evenHBand="0" w:firstRowFirstColumn="0" w:firstRowLastColumn="0" w:lastRowFirstColumn="0" w:lastRowLastColumn="0"/>
            <w:tcW w:w="5000" w:type="pct"/>
            <w:gridSpan w:val="9"/>
          </w:tcPr>
          <w:p w14:paraId="73D1C64A" w14:textId="77777777" w:rsidR="006B4DC1" w:rsidRPr="009F5426" w:rsidRDefault="006B4DC1" w:rsidP="006B4DC1">
            <w:pPr>
              <w:rPr>
                <w:b/>
                <w:color w:val="000000"/>
                <w:sz w:val="18"/>
                <w:szCs w:val="18"/>
              </w:rPr>
            </w:pPr>
            <w:r w:rsidRPr="009F5426">
              <w:rPr>
                <w:b/>
                <w:color w:val="000000"/>
                <w:sz w:val="18"/>
                <w:szCs w:val="18"/>
              </w:rPr>
              <w:t>Efficacy in Females</w:t>
            </w:r>
          </w:p>
        </w:tc>
      </w:tr>
      <w:tr w:rsidR="006B4DC1" w:rsidRPr="009F5426" w14:paraId="77BE14D3" w14:textId="77777777" w:rsidTr="009F5426">
        <w:tc>
          <w:tcPr>
            <w:cnfStyle w:val="001000000000" w:firstRow="0" w:lastRow="0" w:firstColumn="1" w:lastColumn="0" w:oddVBand="0" w:evenVBand="0" w:oddHBand="0" w:evenHBand="0" w:firstRowFirstColumn="0" w:firstRowLastColumn="0" w:lastRowFirstColumn="0" w:lastRowLastColumn="0"/>
            <w:tcW w:w="967" w:type="pct"/>
          </w:tcPr>
          <w:p w14:paraId="0F0BAF85" w14:textId="77777777" w:rsidR="006B4DC1" w:rsidRPr="009F5426" w:rsidRDefault="006B4DC1" w:rsidP="006B4DC1">
            <w:pPr>
              <w:rPr>
                <w:color w:val="000000"/>
                <w:sz w:val="18"/>
                <w:szCs w:val="18"/>
              </w:rPr>
            </w:pPr>
            <w:r w:rsidRPr="009F5426">
              <w:rPr>
                <w:color w:val="000000"/>
                <w:sz w:val="18"/>
                <w:szCs w:val="18"/>
              </w:rPr>
              <w:t>Number of</w:t>
            </w:r>
          </w:p>
        </w:tc>
        <w:tc>
          <w:tcPr>
            <w:tcW w:w="861" w:type="pct"/>
          </w:tcPr>
          <w:p w14:paraId="4E592DAC"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414</w:t>
            </w:r>
          </w:p>
        </w:tc>
        <w:tc>
          <w:tcPr>
            <w:tcW w:w="763" w:type="pct"/>
          </w:tcPr>
          <w:p w14:paraId="4E3A0DB4"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14</w:t>
            </w:r>
          </w:p>
        </w:tc>
        <w:tc>
          <w:tcPr>
            <w:tcW w:w="842" w:type="pct"/>
            <w:gridSpan w:val="2"/>
          </w:tcPr>
          <w:p w14:paraId="242C93A6"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248</w:t>
            </w:r>
          </w:p>
        </w:tc>
        <w:tc>
          <w:tcPr>
            <w:tcW w:w="843" w:type="pct"/>
            <w:gridSpan w:val="2"/>
          </w:tcPr>
          <w:p w14:paraId="5D29184D"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104</w:t>
            </w:r>
          </w:p>
        </w:tc>
        <w:tc>
          <w:tcPr>
            <w:tcW w:w="723" w:type="pct"/>
            <w:gridSpan w:val="2"/>
          </w:tcPr>
          <w:p w14:paraId="0C962961"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532</w:t>
            </w:r>
          </w:p>
        </w:tc>
      </w:tr>
      <w:tr w:rsidR="006B4DC1" w:rsidRPr="009F5426" w14:paraId="25B4C175" w14:textId="77777777" w:rsidTr="009F5426">
        <w:tc>
          <w:tcPr>
            <w:cnfStyle w:val="001000000000" w:firstRow="0" w:lastRow="0" w:firstColumn="1" w:lastColumn="0" w:oddVBand="0" w:evenVBand="0" w:oddHBand="0" w:evenHBand="0" w:firstRowFirstColumn="0" w:firstRowLastColumn="0" w:lastRowFirstColumn="0" w:lastRowLastColumn="0"/>
            <w:tcW w:w="967" w:type="pct"/>
          </w:tcPr>
          <w:p w14:paraId="5231D165" w14:textId="77777777" w:rsidR="006B4DC1" w:rsidRPr="009F5426" w:rsidRDefault="006B4DC1" w:rsidP="006B4DC1">
            <w:pPr>
              <w:rPr>
                <w:color w:val="000000"/>
                <w:sz w:val="18"/>
                <w:szCs w:val="18"/>
              </w:rPr>
            </w:pPr>
            <w:r w:rsidRPr="009F5426">
              <w:rPr>
                <w:color w:val="000000"/>
                <w:sz w:val="18"/>
                <w:szCs w:val="18"/>
              </w:rPr>
              <w:t>Failure, N (%)</w:t>
            </w:r>
          </w:p>
        </w:tc>
        <w:tc>
          <w:tcPr>
            <w:tcW w:w="861" w:type="pct"/>
          </w:tcPr>
          <w:p w14:paraId="5C3AFB83"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41 (9.9)</w:t>
            </w:r>
          </w:p>
        </w:tc>
        <w:tc>
          <w:tcPr>
            <w:tcW w:w="763" w:type="pct"/>
          </w:tcPr>
          <w:p w14:paraId="5DCFB90A"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0(0)</w:t>
            </w:r>
          </w:p>
        </w:tc>
        <w:tc>
          <w:tcPr>
            <w:tcW w:w="842" w:type="pct"/>
            <w:gridSpan w:val="2"/>
          </w:tcPr>
          <w:p w14:paraId="04FA966B"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31 (12.5)</w:t>
            </w:r>
          </w:p>
        </w:tc>
        <w:tc>
          <w:tcPr>
            <w:tcW w:w="843" w:type="pct"/>
            <w:gridSpan w:val="2"/>
          </w:tcPr>
          <w:p w14:paraId="1C693BEC"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1 (1.0)</w:t>
            </w:r>
          </w:p>
        </w:tc>
        <w:tc>
          <w:tcPr>
            <w:tcW w:w="723" w:type="pct"/>
            <w:gridSpan w:val="2"/>
          </w:tcPr>
          <w:p w14:paraId="0C2C974B" w14:textId="77777777" w:rsidR="006B4DC1" w:rsidRPr="009F5426" w:rsidRDefault="006B4DC1" w:rsidP="006B4DC1">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F5426">
              <w:rPr>
                <w:color w:val="000000"/>
                <w:sz w:val="18"/>
                <w:szCs w:val="18"/>
              </w:rPr>
              <w:t>42 (7.9)</w:t>
            </w:r>
          </w:p>
        </w:tc>
      </w:tr>
    </w:tbl>
    <w:p w14:paraId="226E7B99" w14:textId="77777777" w:rsidR="006B4DC1" w:rsidRPr="009F5426" w:rsidRDefault="001206BA" w:rsidP="006B4DC1">
      <w:pPr>
        <w:pStyle w:val="C-TableFootnote"/>
        <w:rPr>
          <w:rFonts w:asciiTheme="minorHAnsi" w:hAnsiTheme="minorHAnsi"/>
          <w:sz w:val="18"/>
          <w:szCs w:val="18"/>
        </w:rPr>
      </w:pPr>
      <w:r w:rsidRPr="009F5426">
        <w:rPr>
          <w:rFonts w:asciiTheme="minorHAnsi" w:hAnsiTheme="minorHAnsi"/>
          <w:sz w:val="18"/>
          <w:szCs w:val="18"/>
        </w:rPr>
        <w:t>*</w:t>
      </w:r>
      <w:r w:rsidR="006B4DC1" w:rsidRPr="009F5426">
        <w:rPr>
          <w:rFonts w:asciiTheme="minorHAnsi" w:hAnsiTheme="minorHAnsi"/>
          <w:sz w:val="18"/>
          <w:szCs w:val="18"/>
        </w:rPr>
        <w:t xml:space="preserve">The primary analytic populations for each study were: 006 – ITT known data set population; 043 – ITT population; 044 – ITT population; 045 – ITT population; 030 – mITT population; 033 – PP population; 047 – ITT population; 049 – ITT population; 058 – PP population. </w:t>
      </w:r>
    </w:p>
    <w:p w14:paraId="03886B1C" w14:textId="4ECB816E" w:rsidR="008A1A1C" w:rsidRDefault="008A1A1C" w:rsidP="00855CA9">
      <w:r>
        <w:t>Few subjects of high weight were included in the clinical studies in this dossier. In Study 045, mean weight in each dosing group between tafenoquine 50 mg and tafenoquine 200 mg was 54 kg to 57 kg (males) and 45 kg to 50 kg (females). These narrow weight ranges mean that subjects in the 50 mg dose group received approximately 1 mg/kg each dose for both males and females and subjects in the 200 mg dose group received approximately 4 mg/kg each dose for both males and females. In spite of the difference in dosing on a weight basis, PE was almost the same: 84% in the 50 mg dose group and 86% in the 200 mg dose group. The comparative efficacy between subjects receiving 1 mg/kg each dose and 4 mg/kg each dose in Study 045 suggests that even subjects weighing 100 kg, who would receive 2 mg/kg each dose with the proposed prophylactic regimen of 200 mg each dose, would not be more likely to fail than a 65 kg person who would receive 3 mg/kg each dose.</w:t>
      </w:r>
      <w:r>
        <w:rPr>
          <w:bCs/>
        </w:rPr>
        <w:t xml:space="preserve"> </w:t>
      </w:r>
      <w:r>
        <w:t>In the final model based on clinical data from Studies 001, 002, 003, 004, 005, 014, 015, 033, 044, and 058, tafenoquine 200 mg once daily for 3 days followed by tafenoquine 200 mg weekly generated plasma tafenoquine concentrations &gt; 80</w:t>
      </w:r>
      <w:r w:rsidR="00122529">
        <w:t xml:space="preserve"> ng/mL</w:t>
      </w:r>
      <w:r>
        <w:t xml:space="preserve"> immediately after the loading dose in 95% of individuals and in all individuals post-first trough. The simulated tafenoquine concentration was sustained </w:t>
      </w:r>
      <w:proofErr w:type="gramStart"/>
      <w:r>
        <w:t>above 80</w:t>
      </w:r>
      <w:r w:rsidR="00122529">
        <w:t xml:space="preserve"> ng/mL</w:t>
      </w:r>
      <w:r>
        <w:t xml:space="preserve"> irrespective of weight (or meal schedule or age)</w:t>
      </w:r>
      <w:proofErr w:type="gramEnd"/>
      <w:r>
        <w:t>.</w:t>
      </w:r>
      <w:bookmarkStart w:id="449" w:name="_Toc476549667"/>
    </w:p>
    <w:p w14:paraId="2381D270" w14:textId="77777777" w:rsidR="00F1528F" w:rsidRDefault="008A1A1C" w:rsidP="00855CA9">
      <w:pPr>
        <w:pStyle w:val="Heading4"/>
      </w:pPr>
      <w:r>
        <w:t xml:space="preserve">Summary of </w:t>
      </w:r>
      <w:r w:rsidR="00855CA9">
        <w:t>p</w:t>
      </w:r>
      <w:r>
        <w:t xml:space="preserve">ost-exposure </w:t>
      </w:r>
      <w:r w:rsidR="00855CA9">
        <w:t>s</w:t>
      </w:r>
      <w:r>
        <w:t>tudies</w:t>
      </w:r>
      <w:bookmarkEnd w:id="449"/>
    </w:p>
    <w:p w14:paraId="4672CE2E" w14:textId="72CA63F2" w:rsidR="008A1A1C" w:rsidRDefault="008A1A1C" w:rsidP="00855CA9">
      <w:pPr>
        <w:rPr>
          <w:b/>
        </w:rPr>
      </w:pPr>
      <w:r>
        <w:t xml:space="preserve">Data from </w:t>
      </w:r>
      <w:r w:rsidR="00855CA9">
        <w:t>S</w:t>
      </w:r>
      <w:r>
        <w:t>tudies 033, 047, 049, and</w:t>
      </w:r>
      <w:r>
        <w:rPr>
          <w:color w:val="FF0000"/>
        </w:rPr>
        <w:t xml:space="preserve"> </w:t>
      </w:r>
      <w:r>
        <w:t xml:space="preserve">058 shows that the tafenoquine anticipated clinical regimen is as effective as the standard course of primaquine in preventing </w:t>
      </w:r>
      <w:proofErr w:type="gramStart"/>
      <w:r w:rsidRPr="00855CA9">
        <w:t>Pv</w:t>
      </w:r>
      <w:proofErr w:type="gramEnd"/>
      <w:r w:rsidRPr="00855CA9">
        <w:t xml:space="preserve"> </w:t>
      </w:r>
      <w:r>
        <w:t>relapse. Data also comes from the DETECTIVE study publication (Study TAF112582) in which several tafenoquine dosing regimens were compared to primaquine</w:t>
      </w:r>
      <w:r w:rsidR="00FA3C56">
        <w:t>.</w:t>
      </w:r>
      <w:r>
        <w:rPr>
          <w:vertAlign w:val="superscript"/>
        </w:rPr>
        <w:t>6</w:t>
      </w:r>
      <w:r>
        <w:t xml:space="preserve"> The ability to eliminate asexual blood stages is one of the four types of studies suggested by the FDA malaria guidance</w:t>
      </w:r>
      <w:r>
        <w:rPr>
          <w:vertAlign w:val="superscript"/>
        </w:rPr>
        <w:t>4</w:t>
      </w:r>
      <w:r>
        <w:t xml:space="preserve"> to support the prophylactic indication.</w:t>
      </w:r>
    </w:p>
    <w:p w14:paraId="3D5C9D18" w14:textId="77777777" w:rsidR="008A1A1C" w:rsidRDefault="008A1A1C" w:rsidP="00FB2482">
      <w:pPr>
        <w:pStyle w:val="Heading3"/>
      </w:pPr>
      <w:bookmarkStart w:id="450" w:name="_Toc501809155"/>
      <w:bookmarkStart w:id="451" w:name="_Toc504229381"/>
      <w:bookmarkStart w:id="452" w:name="_Toc432080727"/>
      <w:bookmarkStart w:id="453" w:name="_Toc432079154"/>
      <w:bookmarkStart w:id="454" w:name="_Toc421005272"/>
      <w:bookmarkStart w:id="455" w:name="_Toc416353724"/>
      <w:bookmarkStart w:id="456" w:name="_Toc290888508"/>
      <w:bookmarkStart w:id="457" w:name="_Toc272414657"/>
      <w:bookmarkStart w:id="458" w:name="_Ref271126605"/>
      <w:bookmarkStart w:id="459" w:name="_Toc12520291"/>
      <w:r>
        <w:lastRenderedPageBreak/>
        <w:t>Evaluator’s conclusions on clinical efficacy</w:t>
      </w:r>
      <w:bookmarkEnd w:id="450"/>
      <w:bookmarkEnd w:id="451"/>
      <w:bookmarkEnd w:id="452"/>
      <w:bookmarkEnd w:id="453"/>
      <w:bookmarkEnd w:id="454"/>
      <w:bookmarkEnd w:id="455"/>
      <w:bookmarkEnd w:id="456"/>
      <w:bookmarkEnd w:id="457"/>
      <w:bookmarkEnd w:id="458"/>
      <w:bookmarkEnd w:id="459"/>
    </w:p>
    <w:p w14:paraId="25036827" w14:textId="70F07788" w:rsidR="00F1528F" w:rsidRDefault="008A1A1C" w:rsidP="00855CA9">
      <w:pPr>
        <w:rPr>
          <w:lang w:eastAsia="ja-JP"/>
        </w:rPr>
      </w:pPr>
      <w:r>
        <w:rPr>
          <w:lang w:eastAsia="ja-JP"/>
        </w:rPr>
        <w:t xml:space="preserve">There are a variety of clinical efficacy studies, Study 033 was originally submitted as the pivotal study for the indication requested. Study 045 was added to provide additional </w:t>
      </w:r>
      <w:r w:rsidR="00C31C6E">
        <w:rPr>
          <w:lang w:eastAsia="ja-JP"/>
        </w:rPr>
        <w:t xml:space="preserve">supporting </w:t>
      </w:r>
      <w:r>
        <w:rPr>
          <w:lang w:eastAsia="ja-JP"/>
        </w:rPr>
        <w:t xml:space="preserve">data in semi-immunes. The other studies are supportive and include both immune and non-immune individuals. The data from the other studies is discussed above and although there is good </w:t>
      </w:r>
      <w:r w:rsidRPr="00FD726B">
        <w:rPr>
          <w:lang w:eastAsia="ja-JP"/>
        </w:rPr>
        <w:t xml:space="preserve">evidence of efficacy of tafenoquine similar to </w:t>
      </w:r>
      <w:r w:rsidR="00C31C6E" w:rsidRPr="00FD726B">
        <w:rPr>
          <w:lang w:eastAsia="ja-JP"/>
        </w:rPr>
        <w:t xml:space="preserve">weekly </w:t>
      </w:r>
      <w:r w:rsidRPr="00FD726B">
        <w:rPr>
          <w:lang w:eastAsia="ja-JP"/>
        </w:rPr>
        <w:t xml:space="preserve">standard of care for prophylaxis (except </w:t>
      </w:r>
      <w:r w:rsidR="00C91D0A" w:rsidRPr="00FD726B">
        <w:rPr>
          <w:lang w:eastAsia="ja-JP"/>
        </w:rPr>
        <w:t xml:space="preserve">Study </w:t>
      </w:r>
      <w:r w:rsidRPr="00FD726B">
        <w:rPr>
          <w:lang w:eastAsia="ja-JP"/>
        </w:rPr>
        <w:t>030), the supportive studies all used different dosage regimens and so can</w:t>
      </w:r>
      <w:r w:rsidR="00855CA9" w:rsidRPr="00FD726B">
        <w:rPr>
          <w:lang w:eastAsia="ja-JP"/>
        </w:rPr>
        <w:t>no</w:t>
      </w:r>
      <w:r w:rsidRPr="00FD726B">
        <w:rPr>
          <w:lang w:eastAsia="ja-JP"/>
        </w:rPr>
        <w:t xml:space="preserve">t be used to exactly support the proposed regimen. Even the most recent challenge study, although it shows very good efficacy, it is </w:t>
      </w:r>
      <w:r w:rsidR="00C31C6E" w:rsidRPr="00FD726B">
        <w:rPr>
          <w:lang w:eastAsia="ja-JP"/>
        </w:rPr>
        <w:t>in a laboratory setting not a field environment</w:t>
      </w:r>
      <w:r w:rsidRPr="00FD726B">
        <w:rPr>
          <w:lang w:eastAsia="ja-JP"/>
        </w:rPr>
        <w:t xml:space="preserve">. Study 033 is the only </w:t>
      </w:r>
      <w:r w:rsidR="008F6867" w:rsidRPr="00FD726B">
        <w:rPr>
          <w:lang w:eastAsia="ja-JP"/>
        </w:rPr>
        <w:t xml:space="preserve">study </w:t>
      </w:r>
      <w:r w:rsidRPr="00FD726B">
        <w:rPr>
          <w:lang w:eastAsia="ja-JP"/>
        </w:rPr>
        <w:t>that specifically reflects the main</w:t>
      </w:r>
      <w:r>
        <w:rPr>
          <w:lang w:eastAsia="ja-JP"/>
        </w:rPr>
        <w:t xml:space="preserve"> situation for use of this drug in Australia (non-immunes going to endemic countries). Only Study 033 reflects the relevant population and usage being requested and the size of this study is quite small and homogenous, not necessarily reflective of Australian non-immunes travelling to endemic areas. Study 049 also shows efficacy post-exposure prophylaxis (after return from an endemic area).</w:t>
      </w:r>
    </w:p>
    <w:p w14:paraId="0EBF701F" w14:textId="692D5496" w:rsidR="008A1A1C" w:rsidRDefault="008A1A1C" w:rsidP="00855CA9">
      <w:pPr>
        <w:rPr>
          <w:lang w:eastAsia="ja-JP"/>
        </w:rPr>
      </w:pPr>
      <w:r>
        <w:rPr>
          <w:lang w:eastAsia="ja-JP"/>
        </w:rPr>
        <w:t xml:space="preserve">Study 045 shows efficacy in a semi-immune group (in whom it is used after malaria eradication therapy). And Study 043 also shows efficacy in semi-immunes when used for prophylaxis, although this is a dose ranging study and the numbers of participants treated with the same dose as currently being recommended is small. </w:t>
      </w:r>
      <w:r w:rsidR="00855CA9">
        <w:rPr>
          <w:lang w:eastAsia="ja-JP"/>
        </w:rPr>
        <w:t xml:space="preserve">Study </w:t>
      </w:r>
      <w:r>
        <w:rPr>
          <w:lang w:eastAsia="ja-JP"/>
        </w:rPr>
        <w:t>T</w:t>
      </w:r>
      <w:r w:rsidR="008F6867">
        <w:rPr>
          <w:lang w:eastAsia="ja-JP"/>
        </w:rPr>
        <w:t>Q</w:t>
      </w:r>
      <w:r>
        <w:rPr>
          <w:lang w:eastAsia="ja-JP"/>
        </w:rPr>
        <w:t>-2016-02 is a powerful study in terms of showing the prophylactic efficacy of tafenoquine against Pf, but in a very controlled exposure setting. Study 058 was unable to show it primary efficacy outcome</w:t>
      </w:r>
      <w:r w:rsidR="00FA3C56">
        <w:rPr>
          <w:lang w:eastAsia="ja-JP"/>
        </w:rPr>
        <w:t>;</w:t>
      </w:r>
      <w:r>
        <w:rPr>
          <w:lang w:eastAsia="ja-JP"/>
        </w:rPr>
        <w:t xml:space="preserve"> tafenoquine was inferior in primary treatment of </w:t>
      </w:r>
      <w:proofErr w:type="gramStart"/>
      <w:r>
        <w:rPr>
          <w:lang w:eastAsia="ja-JP"/>
        </w:rPr>
        <w:t>Pv</w:t>
      </w:r>
      <w:proofErr w:type="gramEnd"/>
      <w:r>
        <w:rPr>
          <w:lang w:eastAsia="ja-JP"/>
        </w:rPr>
        <w:t xml:space="preserve"> but did show good prophylactic efficacy (a secondary outcome).</w:t>
      </w:r>
    </w:p>
    <w:p w14:paraId="613D0178" w14:textId="77777777" w:rsidR="008A1A1C" w:rsidRDefault="008A1A1C" w:rsidP="00855CA9">
      <w:pPr>
        <w:rPr>
          <w:lang w:eastAsia="ja-JP"/>
        </w:rPr>
      </w:pPr>
      <w:r>
        <w:rPr>
          <w:lang w:eastAsia="ja-JP"/>
        </w:rPr>
        <w:t xml:space="preserve">Although Pf and </w:t>
      </w:r>
      <w:proofErr w:type="gramStart"/>
      <w:r>
        <w:rPr>
          <w:lang w:eastAsia="ja-JP"/>
        </w:rPr>
        <w:t>Pv</w:t>
      </w:r>
      <w:proofErr w:type="gramEnd"/>
      <w:r>
        <w:rPr>
          <w:lang w:eastAsia="ja-JP"/>
        </w:rPr>
        <w:t xml:space="preserve"> are the most commonly acquired forms of malaria from South East Asia, in the field studies, it is impossible to comment as to the efficacy of tafenoquine against the different forms seen globally.</w:t>
      </w:r>
    </w:p>
    <w:p w14:paraId="7C6E38E0" w14:textId="77777777" w:rsidR="008A1A1C" w:rsidRDefault="008A1A1C" w:rsidP="00855CA9">
      <w:pPr>
        <w:rPr>
          <w:lang w:eastAsia="ja-JP"/>
        </w:rPr>
      </w:pPr>
      <w:r>
        <w:rPr>
          <w:lang w:eastAsia="ja-JP"/>
        </w:rPr>
        <w:t>Other issues include the unreliability of the efficacy data from Study 030 because of overcalling of positive smears and only a low correlation with expert review of blood smears for malaria diagnosis with a specificity of less than 70%.</w:t>
      </w:r>
    </w:p>
    <w:p w14:paraId="2B88D2E0" w14:textId="77777777" w:rsidR="008A1A1C" w:rsidRDefault="008A1A1C" w:rsidP="00E730B4">
      <w:pPr>
        <w:pStyle w:val="Heading2"/>
        <w:numPr>
          <w:ilvl w:val="0"/>
          <w:numId w:val="7"/>
        </w:numPr>
      </w:pPr>
      <w:bookmarkStart w:id="460" w:name="_Toc501809156"/>
      <w:bookmarkStart w:id="461" w:name="_Toc504229382"/>
      <w:bookmarkStart w:id="462" w:name="_Toc12520292"/>
      <w:r>
        <w:t>Clinical safety</w:t>
      </w:r>
      <w:bookmarkEnd w:id="460"/>
      <w:bookmarkEnd w:id="461"/>
      <w:bookmarkEnd w:id="462"/>
    </w:p>
    <w:p w14:paraId="3B0EABA0" w14:textId="77777777" w:rsidR="008A1A1C" w:rsidRDefault="008A1A1C" w:rsidP="00FB2482">
      <w:pPr>
        <w:pStyle w:val="Heading3"/>
      </w:pPr>
      <w:bookmarkStart w:id="463" w:name="_Toc501809157"/>
      <w:bookmarkStart w:id="464" w:name="_Toc504229383"/>
      <w:bookmarkStart w:id="465" w:name="_Toc432080729"/>
      <w:bookmarkStart w:id="466" w:name="_Toc432079156"/>
      <w:bookmarkStart w:id="467" w:name="_Toc421005274"/>
      <w:bookmarkStart w:id="468" w:name="_Toc416353726"/>
      <w:bookmarkStart w:id="469" w:name="_Toc290888510"/>
      <w:bookmarkStart w:id="470" w:name="_Toc272414659"/>
      <w:bookmarkStart w:id="471" w:name="_Toc12520293"/>
      <w:r>
        <w:t>Studies providing evaluable safety data</w:t>
      </w:r>
      <w:bookmarkEnd w:id="463"/>
      <w:bookmarkEnd w:id="464"/>
      <w:bookmarkEnd w:id="465"/>
      <w:bookmarkEnd w:id="466"/>
      <w:bookmarkEnd w:id="467"/>
      <w:bookmarkEnd w:id="468"/>
      <w:bookmarkEnd w:id="469"/>
      <w:bookmarkEnd w:id="470"/>
      <w:bookmarkEnd w:id="471"/>
    </w:p>
    <w:p w14:paraId="3CDAE135" w14:textId="70313BCA" w:rsidR="008A1A1C" w:rsidRDefault="008A1A1C" w:rsidP="00855CA9">
      <w:pPr>
        <w:rPr>
          <w:lang w:eastAsia="ja-JP"/>
        </w:rPr>
      </w:pPr>
      <w:r>
        <w:rPr>
          <w:lang w:eastAsia="ja-JP"/>
        </w:rPr>
        <w:t>Tafenoquine has undergone clinical evaluation under a variety of development programs, including malaria chemoprophylaxis, post-exposure prophylaxis, malaria treatment, and malaria relapse prevention. All of the efficacy studies and a number of the PK studies (</w:t>
      </w:r>
      <w:r w:rsidR="00C91D0A">
        <w:rPr>
          <w:lang w:eastAsia="ja-JP"/>
        </w:rPr>
        <w:t>Studies </w:t>
      </w:r>
      <w:r>
        <w:rPr>
          <w:lang w:eastAsia="ja-JP"/>
        </w:rPr>
        <w:t>050</w:t>
      </w:r>
      <w:r w:rsidR="00C91D0A">
        <w:rPr>
          <w:lang w:eastAsia="ja-JP"/>
        </w:rPr>
        <w:t xml:space="preserve"> and</w:t>
      </w:r>
      <w:r>
        <w:rPr>
          <w:lang w:eastAsia="ja-JP"/>
        </w:rPr>
        <w:t xml:space="preserve"> 051) also collect</w:t>
      </w:r>
      <w:r w:rsidR="005B2850">
        <w:rPr>
          <w:lang w:eastAsia="ja-JP"/>
        </w:rPr>
        <w:t>ed tolerability and safety data</w:t>
      </w:r>
      <w:r>
        <w:rPr>
          <w:lang w:eastAsia="ja-JP"/>
        </w:rPr>
        <w:t xml:space="preserve">. The safety </w:t>
      </w:r>
      <w:r w:rsidR="00855CA9">
        <w:rPr>
          <w:lang w:eastAsia="ja-JP"/>
        </w:rPr>
        <w:t>S</w:t>
      </w:r>
      <w:r>
        <w:rPr>
          <w:lang w:eastAsia="ja-JP"/>
        </w:rPr>
        <w:t>tudies 001 and 057 are outlined below.</w:t>
      </w:r>
    </w:p>
    <w:p w14:paraId="33FE7E0E" w14:textId="77777777" w:rsidR="008A1A1C" w:rsidRDefault="008A1A1C" w:rsidP="00E730B4">
      <w:pPr>
        <w:pStyle w:val="Heading4"/>
        <w:numPr>
          <w:ilvl w:val="2"/>
          <w:numId w:val="7"/>
        </w:numPr>
      </w:pPr>
      <w:bookmarkStart w:id="472" w:name="_Toc432080730"/>
      <w:bookmarkStart w:id="473" w:name="_Toc432079157"/>
      <w:bookmarkStart w:id="474" w:name="_Toc421005275"/>
      <w:r>
        <w:t xml:space="preserve">Pivotal studies that assessed safety as the sole </w:t>
      </w:r>
      <w:r w:rsidRPr="00855CA9">
        <w:t>primary</w:t>
      </w:r>
      <w:r>
        <w:t xml:space="preserve"> outcome</w:t>
      </w:r>
      <w:bookmarkEnd w:id="472"/>
      <w:bookmarkEnd w:id="473"/>
      <w:bookmarkEnd w:id="474"/>
    </w:p>
    <w:p w14:paraId="4536A3B8" w14:textId="332235B0" w:rsidR="008A1A1C" w:rsidRDefault="00C91D0A" w:rsidP="008A1A1C">
      <w:pPr>
        <w:rPr>
          <w:lang w:eastAsia="ja-JP"/>
        </w:rPr>
      </w:pPr>
      <w:bookmarkStart w:id="475" w:name="_Toc432080731"/>
      <w:bookmarkStart w:id="476" w:name="_Toc432079158"/>
      <w:bookmarkStart w:id="477" w:name="_Toc421005276"/>
      <w:bookmarkStart w:id="478" w:name="_Ref268776745"/>
      <w:r>
        <w:rPr>
          <w:lang w:eastAsia="ja-JP"/>
        </w:rPr>
        <w:t>Not applicable.</w:t>
      </w:r>
    </w:p>
    <w:p w14:paraId="5C33B25E" w14:textId="77777777" w:rsidR="008A1A1C" w:rsidRDefault="008A1A1C" w:rsidP="00E730B4">
      <w:pPr>
        <w:pStyle w:val="Heading4"/>
        <w:numPr>
          <w:ilvl w:val="2"/>
          <w:numId w:val="7"/>
        </w:numPr>
      </w:pPr>
      <w:r>
        <w:t>Pivotal and/or main efficacy studies</w:t>
      </w:r>
      <w:bookmarkEnd w:id="475"/>
      <w:bookmarkEnd w:id="476"/>
      <w:bookmarkEnd w:id="477"/>
      <w:bookmarkEnd w:id="478"/>
    </w:p>
    <w:p w14:paraId="464EA8E6" w14:textId="392B4084" w:rsidR="008A1A1C" w:rsidRDefault="008A1A1C" w:rsidP="00965D70">
      <w:bookmarkStart w:id="479" w:name="_Toc432080732"/>
      <w:bookmarkStart w:id="480" w:name="_Toc432079159"/>
      <w:bookmarkStart w:id="481" w:name="_Toc421005277"/>
      <w:r>
        <w:t xml:space="preserve">There are a variety of different dosing regimens used and the efficacy study safety data has been pooled into a </w:t>
      </w:r>
      <w:r w:rsidRPr="005B2850">
        <w:t>shorter term use, the anticipated clinical regimen (ACR) and also an ‘</w:t>
      </w:r>
      <w:r w:rsidR="00C91D0A" w:rsidRPr="005B2850">
        <w:t xml:space="preserve">extended dosing safety set’ </w:t>
      </w:r>
      <w:r w:rsidRPr="005B2850">
        <w:t xml:space="preserve">as shown in </w:t>
      </w:r>
      <w:r w:rsidR="003F0ECA" w:rsidRPr="005B2850">
        <w:t>Table 4</w:t>
      </w:r>
      <w:r w:rsidR="005B2850" w:rsidRPr="005B2850">
        <w:t>6</w:t>
      </w:r>
      <w:r w:rsidRPr="005B2850">
        <w:t xml:space="preserve">. The </w:t>
      </w:r>
      <w:r w:rsidR="00C91D0A" w:rsidRPr="005B2850">
        <w:t xml:space="preserve">extended dosing safety set </w:t>
      </w:r>
      <w:r w:rsidRPr="005B2850">
        <w:t xml:space="preserve">was comprised of the majority of malaria prophylaxis studies </w:t>
      </w:r>
      <w:r w:rsidR="00C91D0A">
        <w:t>(</w:t>
      </w:r>
      <w:r w:rsidRPr="005B2850">
        <w:t xml:space="preserve">Studies 030, 033, 043, 044 (placebo group only) and 045 plus the </w:t>
      </w:r>
      <w:r w:rsidR="00F1528F" w:rsidRPr="005B2850">
        <w:t>Phase I</w:t>
      </w:r>
      <w:r w:rsidRPr="005B2850">
        <w:t xml:space="preserve"> </w:t>
      </w:r>
      <w:r w:rsidR="00C91D0A" w:rsidRPr="005B2850">
        <w:t xml:space="preserve">renal-ocular safety study </w:t>
      </w:r>
      <w:r w:rsidRPr="005B2850">
        <w:t xml:space="preserve">(Study 057). Studies 030, 033, 043, 045, and 057 employed the </w:t>
      </w:r>
      <w:r w:rsidR="00C91D0A">
        <w:t>t</w:t>
      </w:r>
      <w:r w:rsidR="00C91D0A" w:rsidRPr="005B2850">
        <w:t xml:space="preserve">afenoquine </w:t>
      </w:r>
      <w:r w:rsidRPr="005B2850">
        <w:t>ACR. The numbers of subjects in the tafenoquine ACR were 825, the number of placebo subjects was 396, and the</w:t>
      </w:r>
      <w:r>
        <w:t xml:space="preserve"> number of subjects taking active comparator mefloquine in those studies w</w:t>
      </w:r>
      <w:r w:rsidR="00965D70">
        <w:t>as</w:t>
      </w:r>
      <w:r>
        <w:t xml:space="preserve"> 309. The weekly dosage duration ranged from 10 to 26 weeks. </w:t>
      </w:r>
      <w:r>
        <w:lastRenderedPageBreak/>
        <w:t>Safety evaluations focused on parameters that previous clinical experience with primaquine or non-clinical data with tafenoquine suggested might be seen clinically: nausea, abdominal pain, diarrhoea, gastroesophageal reflux disease (GORD), flatulence, headache, dizziness, dysgeusia, and insomnia. In addition, new types of AEs that were documented at higher doses than the ACR included anaemia, thrombocytop</w:t>
      </w:r>
      <w:r w:rsidR="00C91D0A">
        <w:t>a</w:t>
      </w:r>
      <w:r>
        <w:t>enia, haemolysis, increased meth</w:t>
      </w:r>
      <w:r w:rsidR="00E730B4">
        <w:t>a</w:t>
      </w:r>
      <w:r>
        <w:t>emoglobin</w:t>
      </w:r>
      <w:r w:rsidR="00E730B4">
        <w:t>a</w:t>
      </w:r>
      <w:r>
        <w:t xml:space="preserve">emia, and keratopathy. </w:t>
      </w:r>
      <w:r w:rsidR="003F0ECA">
        <w:t>Table 4</w:t>
      </w:r>
      <w:r w:rsidR="005B2850">
        <w:t>6</w:t>
      </w:r>
      <w:r>
        <w:t xml:space="preserve"> outlines the contributions of each of the studies to safety analysis sets.</w:t>
      </w:r>
    </w:p>
    <w:p w14:paraId="52B256D8" w14:textId="4B56C817" w:rsidR="0052594D" w:rsidRDefault="0052594D" w:rsidP="003F0ECA">
      <w:pPr>
        <w:pStyle w:val="Tabletitle"/>
      </w:pPr>
      <w:bookmarkStart w:id="482" w:name="_Ref501291055"/>
      <w:bookmarkStart w:id="483" w:name="_Toc504229467"/>
      <w:bookmarkStart w:id="484" w:name="_Toc501293718"/>
      <w:r>
        <w:t>Table</w:t>
      </w:r>
      <w:r w:rsidR="003F0ECA">
        <w:t xml:space="preserve"> 4</w:t>
      </w:r>
      <w:bookmarkEnd w:id="482"/>
      <w:r w:rsidR="005B2850">
        <w:t>6</w:t>
      </w:r>
      <w:r w:rsidR="003F0ECA">
        <w:t>:</w:t>
      </w:r>
      <w:r>
        <w:t xml:space="preserve"> </w:t>
      </w:r>
      <w:r w:rsidRPr="003F3599">
        <w:t xml:space="preserve">Pooled </w:t>
      </w:r>
      <w:r w:rsidR="00C91D0A" w:rsidRPr="003F3599">
        <w:t>analysis groups of clinical trials</w:t>
      </w:r>
      <w:r w:rsidR="00C91D0A">
        <w:t>;</w:t>
      </w:r>
      <w:r w:rsidR="00C91D0A" w:rsidRPr="003F3599">
        <w:t xml:space="preserve"> safety analysis of tafenoquine</w:t>
      </w:r>
      <w:bookmarkEnd w:id="483"/>
      <w:bookmarkEnd w:id="484"/>
    </w:p>
    <w:tbl>
      <w:tblPr>
        <w:tblStyle w:val="TableTGAblue"/>
        <w:tblW w:w="0" w:type="auto"/>
        <w:tblLayout w:type="fixed"/>
        <w:tblLook w:val="04A0" w:firstRow="1" w:lastRow="0" w:firstColumn="1" w:lastColumn="0" w:noHBand="0" w:noVBand="1"/>
      </w:tblPr>
      <w:tblGrid>
        <w:gridCol w:w="3080"/>
        <w:gridCol w:w="3081"/>
        <w:gridCol w:w="3081"/>
      </w:tblGrid>
      <w:tr w:rsidR="002464CB" w14:paraId="2E4DC03F" w14:textId="77777777" w:rsidTr="009D4859">
        <w:trPr>
          <w:cnfStyle w:val="100000000000" w:firstRow="1" w:lastRow="0" w:firstColumn="0" w:lastColumn="0" w:oddVBand="0" w:evenVBand="0" w:oddHBand="0" w:evenHBand="0" w:firstRowFirstColumn="0" w:firstRowLastColumn="0" w:lastRowFirstColumn="0" w:lastRowLastColumn="0"/>
          <w:cantSplit/>
          <w:trHeight w:val="349"/>
          <w:tblHeader/>
        </w:trPr>
        <w:tc>
          <w:tcPr>
            <w:cnfStyle w:val="001000000000" w:firstRow="0" w:lastRow="0" w:firstColumn="1" w:lastColumn="0" w:oddVBand="0" w:evenVBand="0" w:oddHBand="0" w:evenHBand="0" w:firstRowFirstColumn="0" w:firstRowLastColumn="0" w:lastRowFirstColumn="0" w:lastRowLastColumn="0"/>
            <w:tcW w:w="3080" w:type="dxa"/>
          </w:tcPr>
          <w:p w14:paraId="014A14DD" w14:textId="77777777" w:rsidR="002464CB" w:rsidRPr="002464CB" w:rsidRDefault="002464CB" w:rsidP="002464CB">
            <w:pPr>
              <w:rPr>
                <w:b w:val="0"/>
                <w:sz w:val="20"/>
                <w:szCs w:val="20"/>
              </w:rPr>
            </w:pPr>
            <w:r w:rsidRPr="002464CB">
              <w:rPr>
                <w:sz w:val="20"/>
                <w:szCs w:val="20"/>
              </w:rPr>
              <w:t>Pooled Analysis Group</w:t>
            </w:r>
          </w:p>
        </w:tc>
        <w:tc>
          <w:tcPr>
            <w:tcW w:w="3081" w:type="dxa"/>
          </w:tcPr>
          <w:p w14:paraId="120F153D" w14:textId="77777777" w:rsidR="002464CB" w:rsidRPr="002464CB" w:rsidRDefault="002464CB" w:rsidP="002464CB">
            <w:pPr>
              <w:cnfStyle w:val="100000000000" w:firstRow="1" w:lastRow="0" w:firstColumn="0" w:lastColumn="0" w:oddVBand="0" w:evenVBand="0" w:oddHBand="0" w:evenHBand="0" w:firstRowFirstColumn="0" w:firstRowLastColumn="0" w:lastRowFirstColumn="0" w:lastRowLastColumn="0"/>
              <w:rPr>
                <w:b w:val="0"/>
                <w:sz w:val="20"/>
                <w:szCs w:val="20"/>
              </w:rPr>
            </w:pPr>
            <w:r w:rsidRPr="002464CB">
              <w:rPr>
                <w:sz w:val="20"/>
                <w:szCs w:val="20"/>
              </w:rPr>
              <w:t>Population of Analysis Group</w:t>
            </w:r>
          </w:p>
        </w:tc>
        <w:tc>
          <w:tcPr>
            <w:tcW w:w="3081" w:type="dxa"/>
          </w:tcPr>
          <w:p w14:paraId="67AE8C6B" w14:textId="77777777" w:rsidR="002464CB" w:rsidRPr="002464CB" w:rsidRDefault="002464CB" w:rsidP="002464CB">
            <w:pPr>
              <w:cnfStyle w:val="100000000000" w:firstRow="1" w:lastRow="0" w:firstColumn="0" w:lastColumn="0" w:oddVBand="0" w:evenVBand="0" w:oddHBand="0" w:evenHBand="0" w:firstRowFirstColumn="0" w:firstRowLastColumn="0" w:lastRowFirstColumn="0" w:lastRowLastColumn="0"/>
              <w:rPr>
                <w:b w:val="0"/>
                <w:sz w:val="20"/>
                <w:szCs w:val="20"/>
              </w:rPr>
            </w:pPr>
            <w:r w:rsidRPr="002464CB">
              <w:rPr>
                <w:sz w:val="20"/>
                <w:szCs w:val="20"/>
              </w:rPr>
              <w:t>Studies Contributing</w:t>
            </w:r>
          </w:p>
        </w:tc>
      </w:tr>
      <w:tr w:rsidR="002464CB" w14:paraId="2576B557" w14:textId="77777777" w:rsidTr="002464CB">
        <w:trPr>
          <w:trHeight w:val="1269"/>
        </w:trPr>
        <w:tc>
          <w:tcPr>
            <w:cnfStyle w:val="001000000000" w:firstRow="0" w:lastRow="0" w:firstColumn="1" w:lastColumn="0" w:oddVBand="0" w:evenVBand="0" w:oddHBand="0" w:evenHBand="0" w:firstRowFirstColumn="0" w:firstRowLastColumn="0" w:lastRowFirstColumn="0" w:lastRowLastColumn="0"/>
            <w:tcW w:w="3080" w:type="dxa"/>
          </w:tcPr>
          <w:p w14:paraId="77D50B2C" w14:textId="77777777" w:rsidR="002464CB" w:rsidRPr="002464CB" w:rsidRDefault="002464CB" w:rsidP="002464CB">
            <w:pPr>
              <w:rPr>
                <w:sz w:val="20"/>
                <w:szCs w:val="20"/>
              </w:rPr>
            </w:pPr>
            <w:r w:rsidRPr="002464CB">
              <w:rPr>
                <w:sz w:val="20"/>
                <w:szCs w:val="20"/>
              </w:rPr>
              <w:t>Short Term Exposure Data Set</w:t>
            </w:r>
          </w:p>
        </w:tc>
        <w:tc>
          <w:tcPr>
            <w:tcW w:w="3081" w:type="dxa"/>
          </w:tcPr>
          <w:p w14:paraId="6D71C641" w14:textId="0302B10D"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Subjects receiving daily tafenoquine for a period of only 1-3 days. Group includes the majority of Phase I studies and 4 Phase II studies. Study doses ranged from 2 mg (single dose) to 500 mg daily x 3 days.</w:t>
            </w:r>
          </w:p>
        </w:tc>
        <w:tc>
          <w:tcPr>
            <w:tcW w:w="3081" w:type="dxa"/>
          </w:tcPr>
          <w:p w14:paraId="78490CA3" w14:textId="45A81B3B"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003, 006, 014, 022, 040, 043, 047, 049, 050, 052, 053, 058</w:t>
            </w:r>
          </w:p>
        </w:tc>
      </w:tr>
      <w:tr w:rsidR="002464CB" w14:paraId="540550D1" w14:textId="77777777" w:rsidTr="002464CB">
        <w:trPr>
          <w:trHeight w:val="1568"/>
        </w:trPr>
        <w:tc>
          <w:tcPr>
            <w:cnfStyle w:val="001000000000" w:firstRow="0" w:lastRow="0" w:firstColumn="1" w:lastColumn="0" w:oddVBand="0" w:evenVBand="0" w:oddHBand="0" w:evenHBand="0" w:firstRowFirstColumn="0" w:firstRowLastColumn="0" w:lastRowFirstColumn="0" w:lastRowLastColumn="0"/>
            <w:tcW w:w="3080" w:type="dxa"/>
          </w:tcPr>
          <w:p w14:paraId="5EEDB60F" w14:textId="6375C962" w:rsidR="002464CB" w:rsidRPr="002464CB" w:rsidRDefault="002464CB" w:rsidP="002464CB">
            <w:pPr>
              <w:rPr>
                <w:sz w:val="20"/>
                <w:szCs w:val="20"/>
              </w:rPr>
            </w:pPr>
            <w:r w:rsidRPr="002464CB">
              <w:rPr>
                <w:w w:val="99"/>
                <w:sz w:val="20"/>
                <w:szCs w:val="20"/>
                <w:vertAlign w:val="superscript"/>
              </w:rPr>
              <w:t>a</w:t>
            </w:r>
            <w:r w:rsidRPr="002464CB">
              <w:rPr>
                <w:sz w:val="20"/>
                <w:szCs w:val="20"/>
              </w:rPr>
              <w:t>Clinical Use Studies</w:t>
            </w:r>
          </w:p>
        </w:tc>
        <w:tc>
          <w:tcPr>
            <w:tcW w:w="3081" w:type="dxa"/>
          </w:tcPr>
          <w:p w14:paraId="7F23A55D" w14:textId="7D8FF9EF"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 xml:space="preserve">Phase II-III prophylaxis and treatment studies (006, 030, 033, 043, 044, 045, </w:t>
            </w:r>
            <w:r w:rsidR="00B319AC" w:rsidRPr="002464CB">
              <w:rPr>
                <w:sz w:val="20"/>
                <w:szCs w:val="20"/>
              </w:rPr>
              <w:t>and 049</w:t>
            </w:r>
            <w:r w:rsidRPr="002464CB">
              <w:rPr>
                <w:sz w:val="20"/>
                <w:szCs w:val="20"/>
              </w:rPr>
              <w:t>) plus Phase I Study 057 (the Renal-ocular Safety Study) which utilised</w:t>
            </w:r>
            <w:r>
              <w:rPr>
                <w:sz w:val="20"/>
                <w:szCs w:val="20"/>
              </w:rPr>
              <w:t xml:space="preserve"> </w:t>
            </w:r>
            <w:r w:rsidRPr="002464CB">
              <w:rPr>
                <w:sz w:val="20"/>
                <w:szCs w:val="20"/>
              </w:rPr>
              <w:t>the ACR of Tafenoquine.</w:t>
            </w:r>
          </w:p>
        </w:tc>
        <w:tc>
          <w:tcPr>
            <w:tcW w:w="3081" w:type="dxa"/>
          </w:tcPr>
          <w:p w14:paraId="2F57BD48" w14:textId="1DCE7C39"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006, 030, 033, 043, 044, 045, 049, 057 and 058</w:t>
            </w:r>
          </w:p>
        </w:tc>
      </w:tr>
      <w:tr w:rsidR="002464CB" w14:paraId="0246540E" w14:textId="77777777" w:rsidTr="002464CB">
        <w:trPr>
          <w:trHeight w:val="3810"/>
        </w:trPr>
        <w:tc>
          <w:tcPr>
            <w:cnfStyle w:val="001000000000" w:firstRow="0" w:lastRow="0" w:firstColumn="1" w:lastColumn="0" w:oddVBand="0" w:evenVBand="0" w:oddHBand="0" w:evenHBand="0" w:firstRowFirstColumn="0" w:firstRowLastColumn="0" w:lastRowFirstColumn="0" w:lastRowLastColumn="0"/>
            <w:tcW w:w="3080" w:type="dxa"/>
          </w:tcPr>
          <w:p w14:paraId="2A88A7BE" w14:textId="4542C112" w:rsidR="002464CB" w:rsidRPr="002464CB" w:rsidRDefault="002464CB" w:rsidP="002464CB">
            <w:pPr>
              <w:rPr>
                <w:sz w:val="20"/>
                <w:szCs w:val="20"/>
              </w:rPr>
            </w:pPr>
            <w:r w:rsidRPr="002464CB">
              <w:rPr>
                <w:w w:val="99"/>
                <w:sz w:val="20"/>
                <w:szCs w:val="20"/>
                <w:vertAlign w:val="superscript"/>
              </w:rPr>
              <w:t xml:space="preserve">b </w:t>
            </w:r>
            <w:r w:rsidRPr="002464CB">
              <w:rPr>
                <w:sz w:val="20"/>
                <w:szCs w:val="20"/>
              </w:rPr>
              <w:t>Extended Dosing Safety Set</w:t>
            </w:r>
          </w:p>
        </w:tc>
        <w:tc>
          <w:tcPr>
            <w:tcW w:w="3081" w:type="dxa"/>
          </w:tcPr>
          <w:p w14:paraId="5797E463" w14:textId="1B4FE581"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Subjects receiving a 3 day loading dose of tafenoquine followed by weekly or monthly exposure in controlled trials. All studies that utilised extended (weekly or monthly) dosing regimens of tafenoquine were included in this group, including the anticipated clinical regimen (ACR). Group consists of the majority of Malaria Prophylaxis Studies (Studies 030, 033, 043, 044, and 045) and the Phase I Renal-ocular Safety Study (Study 057).</w:t>
            </w:r>
          </w:p>
        </w:tc>
        <w:tc>
          <w:tcPr>
            <w:tcW w:w="3081" w:type="dxa"/>
          </w:tcPr>
          <w:p w14:paraId="15F56592" w14:textId="776B2A91" w:rsidR="002464CB" w:rsidRPr="002464CB" w:rsidRDefault="002464CB" w:rsidP="002464CB">
            <w:pPr>
              <w:cnfStyle w:val="000000000000" w:firstRow="0" w:lastRow="0" w:firstColumn="0" w:lastColumn="0" w:oddVBand="0" w:evenVBand="0" w:oddHBand="0" w:evenHBand="0" w:firstRowFirstColumn="0" w:firstRowLastColumn="0" w:lastRowFirstColumn="0" w:lastRowLastColumn="0"/>
              <w:rPr>
                <w:sz w:val="20"/>
                <w:szCs w:val="20"/>
              </w:rPr>
            </w:pPr>
            <w:r w:rsidRPr="002464CB">
              <w:rPr>
                <w:sz w:val="20"/>
                <w:szCs w:val="20"/>
              </w:rPr>
              <w:t>030, 033, 043, 044, 045, 057</w:t>
            </w:r>
          </w:p>
        </w:tc>
      </w:tr>
    </w:tbl>
    <w:p w14:paraId="7A2BDE26" w14:textId="4EDBD3C3" w:rsidR="00AC517F" w:rsidRDefault="002464CB" w:rsidP="00AC517F">
      <w:pPr>
        <w:pStyle w:val="TableDescription"/>
      </w:pPr>
      <w:proofErr w:type="gramStart"/>
      <w:r>
        <w:rPr>
          <w:position w:val="8"/>
          <w:sz w:val="14"/>
        </w:rPr>
        <w:t>a</w:t>
      </w:r>
      <w:proofErr w:type="gramEnd"/>
      <w:r>
        <w:rPr>
          <w:position w:val="8"/>
          <w:sz w:val="14"/>
        </w:rPr>
        <w:t xml:space="preserve"> </w:t>
      </w:r>
      <w:r>
        <w:t xml:space="preserve">Included studies relevant to tafenoquine dose response. </w:t>
      </w:r>
      <w:r>
        <w:rPr>
          <w:position w:val="8"/>
          <w:sz w:val="14"/>
        </w:rPr>
        <w:t xml:space="preserve">b </w:t>
      </w:r>
      <w:r>
        <w:t xml:space="preserve">Included all comparator controlled studies that </w:t>
      </w:r>
      <w:r w:rsidR="00C91D0A">
        <w:t xml:space="preserve">utilised </w:t>
      </w:r>
      <w:r>
        <w:t xml:space="preserve">the tafenoquine anticipated clinical regimen (ACR) of 200 mg daily for 3 days followed by once weekly dosing of 100 mg for up to 26 </w:t>
      </w:r>
      <w:r w:rsidRPr="00AC517F">
        <w:t>weeks.</w:t>
      </w:r>
      <w:bookmarkStart w:id="485" w:name="_Toc501809158"/>
      <w:bookmarkStart w:id="486" w:name="_Toc504229384"/>
      <w:bookmarkStart w:id="487" w:name="_Toc432080733"/>
      <w:bookmarkStart w:id="488" w:name="_Toc432079160"/>
      <w:bookmarkStart w:id="489" w:name="_Toc421005283"/>
      <w:bookmarkStart w:id="490" w:name="_Toc416353727"/>
      <w:bookmarkStart w:id="491" w:name="_Toc290888511"/>
      <w:bookmarkStart w:id="492" w:name="_Toc272414660"/>
      <w:bookmarkStart w:id="493" w:name="_Ref271195841"/>
      <w:bookmarkStart w:id="494" w:name="_Ref271195835"/>
      <w:bookmarkStart w:id="495" w:name="_Ref269204367"/>
      <w:bookmarkEnd w:id="479"/>
      <w:bookmarkEnd w:id="480"/>
      <w:bookmarkEnd w:id="481"/>
    </w:p>
    <w:p w14:paraId="75DD3DE4" w14:textId="7FF64E7D" w:rsidR="008A1A1C" w:rsidRDefault="008A1A1C" w:rsidP="00AC517F">
      <w:pPr>
        <w:pStyle w:val="Heading3"/>
      </w:pPr>
      <w:bookmarkStart w:id="496" w:name="_Toc12520294"/>
      <w:r>
        <w:lastRenderedPageBreak/>
        <w:t xml:space="preserve">Studies </w:t>
      </w:r>
      <w:r w:rsidR="00AC517F">
        <w:t>with</w:t>
      </w:r>
      <w:r>
        <w:t xml:space="preserve"> safety as the sole primary outcome</w:t>
      </w:r>
      <w:bookmarkEnd w:id="485"/>
      <w:bookmarkEnd w:id="486"/>
      <w:bookmarkEnd w:id="487"/>
      <w:bookmarkEnd w:id="488"/>
      <w:bookmarkEnd w:id="489"/>
      <w:bookmarkEnd w:id="490"/>
      <w:bookmarkEnd w:id="491"/>
      <w:bookmarkEnd w:id="492"/>
      <w:bookmarkEnd w:id="493"/>
      <w:bookmarkEnd w:id="494"/>
      <w:bookmarkEnd w:id="495"/>
      <w:bookmarkEnd w:id="496"/>
    </w:p>
    <w:p w14:paraId="439C3BAE" w14:textId="77777777" w:rsidR="00F1528F" w:rsidRDefault="008A1A1C" w:rsidP="00965D70">
      <w:pPr>
        <w:pStyle w:val="Heading4"/>
      </w:pPr>
      <w:r>
        <w:t>Study TAF110027</w:t>
      </w:r>
    </w:p>
    <w:p w14:paraId="5BAA52C2" w14:textId="0C2580AD" w:rsidR="008A1A1C" w:rsidRDefault="008A1A1C" w:rsidP="00965D70">
      <w:pPr>
        <w:rPr>
          <w:lang w:eastAsia="ja-JP"/>
        </w:rPr>
      </w:pPr>
      <w:r>
        <w:rPr>
          <w:lang w:eastAsia="ja-JP"/>
        </w:rPr>
        <w:t xml:space="preserve">This was a </w:t>
      </w:r>
      <w:r w:rsidR="00965D70">
        <w:rPr>
          <w:lang w:eastAsia="ja-JP"/>
        </w:rPr>
        <w:t>P</w:t>
      </w:r>
      <w:r>
        <w:rPr>
          <w:lang w:eastAsia="ja-JP"/>
        </w:rPr>
        <w:t xml:space="preserve">hase </w:t>
      </w:r>
      <w:r w:rsidR="00965D70">
        <w:rPr>
          <w:lang w:eastAsia="ja-JP"/>
        </w:rPr>
        <w:t>I</w:t>
      </w:r>
      <w:r>
        <w:rPr>
          <w:lang w:eastAsia="ja-JP"/>
        </w:rPr>
        <w:t xml:space="preserve"> study to investigate the haemolytic potential of tafenoquine in healthy female subjects with </w:t>
      </w:r>
      <w:r w:rsidR="00FA3C56">
        <w:rPr>
          <w:lang w:eastAsia="ja-JP"/>
        </w:rPr>
        <w:t>G6PDD</w:t>
      </w:r>
      <w:r>
        <w:rPr>
          <w:lang w:eastAsia="ja-JP"/>
        </w:rPr>
        <w:t xml:space="preserve"> and the safety and tolerability of tafenoquine in acute </w:t>
      </w:r>
      <w:proofErr w:type="gramStart"/>
      <w:r w:rsidR="00965D70">
        <w:rPr>
          <w:lang w:eastAsia="ja-JP"/>
        </w:rPr>
        <w:t>Pv</w:t>
      </w:r>
      <w:proofErr w:type="gramEnd"/>
      <w:r>
        <w:rPr>
          <w:lang w:eastAsia="ja-JP"/>
        </w:rPr>
        <w:t xml:space="preserve"> malaria patients with </w:t>
      </w:r>
      <w:r w:rsidR="00965D70">
        <w:rPr>
          <w:lang w:eastAsia="ja-JP"/>
        </w:rPr>
        <w:t>G6PD</w:t>
      </w:r>
      <w:r w:rsidR="00122529">
        <w:rPr>
          <w:lang w:eastAsia="ja-JP"/>
        </w:rPr>
        <w:t>D</w:t>
      </w:r>
      <w:r>
        <w:rPr>
          <w:lang w:eastAsia="ja-JP"/>
        </w:rPr>
        <w:t xml:space="preserve">. </w:t>
      </w:r>
      <w:proofErr w:type="gramStart"/>
      <w:r>
        <w:rPr>
          <w:lang w:eastAsia="ja-JP"/>
        </w:rPr>
        <w:t xml:space="preserve">Conducted between July 2009 </w:t>
      </w:r>
      <w:r w:rsidR="00B319AC">
        <w:rPr>
          <w:lang w:eastAsia="ja-JP"/>
        </w:rPr>
        <w:t>and</w:t>
      </w:r>
      <w:r>
        <w:rPr>
          <w:lang w:eastAsia="ja-JP"/>
        </w:rPr>
        <w:t xml:space="preserve"> April 2013 at two </w:t>
      </w:r>
      <w:r w:rsidR="00855CA9">
        <w:rPr>
          <w:lang w:eastAsia="ja-JP"/>
        </w:rPr>
        <w:t>centre</w:t>
      </w:r>
      <w:r>
        <w:rPr>
          <w:lang w:eastAsia="ja-JP"/>
        </w:rPr>
        <w:t>s in Thailand</w:t>
      </w:r>
      <w:r w:rsidR="00C91D0A">
        <w:rPr>
          <w:lang w:eastAsia="ja-JP"/>
        </w:rPr>
        <w:t>.</w:t>
      </w:r>
      <w:proofErr w:type="gramEnd"/>
    </w:p>
    <w:p w14:paraId="3035C06F" w14:textId="6257C704" w:rsidR="00965D70" w:rsidRDefault="008A1A1C" w:rsidP="00965D70">
      <w:pPr>
        <w:pStyle w:val="Heading5"/>
        <w:rPr>
          <w:lang w:eastAsia="ja-JP"/>
        </w:rPr>
      </w:pPr>
      <w:r>
        <w:rPr>
          <w:lang w:eastAsia="ja-JP"/>
        </w:rPr>
        <w:t xml:space="preserve">Study </w:t>
      </w:r>
      <w:r w:rsidR="00C91D0A">
        <w:rPr>
          <w:lang w:eastAsia="ja-JP"/>
        </w:rPr>
        <w:t>design</w:t>
      </w:r>
    </w:p>
    <w:p w14:paraId="192421A4" w14:textId="2E3DA76F" w:rsidR="008A1A1C" w:rsidRDefault="008A1A1C" w:rsidP="00965D70">
      <w:pPr>
        <w:rPr>
          <w:lang w:eastAsia="ja-JP"/>
        </w:rPr>
      </w:pPr>
      <w:r>
        <w:rPr>
          <w:lang w:eastAsia="ja-JP"/>
        </w:rPr>
        <w:t>This was an open</w:t>
      </w:r>
      <w:r w:rsidR="00965D70">
        <w:rPr>
          <w:lang w:eastAsia="ja-JP"/>
        </w:rPr>
        <w:t xml:space="preserve"> </w:t>
      </w:r>
      <w:r>
        <w:rPr>
          <w:lang w:eastAsia="ja-JP"/>
        </w:rPr>
        <w:t>label, single dose, dos</w:t>
      </w:r>
      <w:r w:rsidR="008F6867">
        <w:rPr>
          <w:lang w:eastAsia="ja-JP"/>
        </w:rPr>
        <w:t>e</w:t>
      </w:r>
      <w:r>
        <w:rPr>
          <w:lang w:eastAsia="ja-JP"/>
        </w:rPr>
        <w:t xml:space="preserve">-escalation study using a stepwise risk exposure approach. The haemolytic potential of </w:t>
      </w:r>
      <w:r w:rsidR="00774249">
        <w:rPr>
          <w:lang w:eastAsia="ja-JP"/>
        </w:rPr>
        <w:t>tafenoquine (</w:t>
      </w:r>
      <w:r>
        <w:rPr>
          <w:lang w:eastAsia="ja-JP"/>
        </w:rPr>
        <w:t>TQ</w:t>
      </w:r>
      <w:r w:rsidR="00774249">
        <w:rPr>
          <w:lang w:eastAsia="ja-JP"/>
        </w:rPr>
        <w:t>)</w:t>
      </w:r>
      <w:r>
        <w:rPr>
          <w:lang w:eastAsia="ja-JP"/>
        </w:rPr>
        <w:t xml:space="preserve"> was assessed and the dose-response relationship investigated in G6PD heterozygous (WHO Class Ill variant) female healthy volunteers (without the influence of disease</w:t>
      </w:r>
      <w:r w:rsidR="00965D70">
        <w:rPr>
          <w:lang w:eastAsia="ja-JP"/>
        </w:rPr>
        <w:t xml:space="preserve"> </w:t>
      </w:r>
      <w:r>
        <w:rPr>
          <w:lang w:eastAsia="ja-JP"/>
        </w:rPr>
        <w:t xml:space="preserve">related confounding factors). </w:t>
      </w:r>
      <w:r w:rsidR="00156D9E">
        <w:rPr>
          <w:lang w:eastAsia="ja-JP"/>
        </w:rPr>
        <w:t>G6PD</w:t>
      </w:r>
      <w:r w:rsidR="00122529">
        <w:rPr>
          <w:lang w:eastAsia="ja-JP"/>
        </w:rPr>
        <w:t>-</w:t>
      </w:r>
      <w:r>
        <w:rPr>
          <w:lang w:eastAsia="ja-JP"/>
        </w:rPr>
        <w:t>normal female healthy volunteers were enrolled as the control with both groups receiving TQ (</w:t>
      </w:r>
      <w:r w:rsidR="00404803">
        <w:rPr>
          <w:lang w:eastAsia="ja-JP"/>
        </w:rPr>
        <w:t>that is,</w:t>
      </w:r>
      <w:r>
        <w:rPr>
          <w:lang w:eastAsia="ja-JP"/>
        </w:rPr>
        <w:t xml:space="preserve"> no placebo was used). The HND was defined as the highest dose of TQ at which no more than two out of six subjects experienced a dose limiting toxicity (DLT; defined as a ≥2.5 g/dL decline in Hb </w:t>
      </w:r>
      <w:r w:rsidR="00382EC1">
        <w:rPr>
          <w:lang w:eastAsia="ja-JP"/>
        </w:rPr>
        <w:t>(</w:t>
      </w:r>
      <w:r>
        <w:rPr>
          <w:lang w:eastAsia="ja-JP"/>
        </w:rPr>
        <w:t>or Hct decline of 7.5</w:t>
      </w:r>
      <w:r w:rsidR="00382EC1">
        <w:rPr>
          <w:lang w:eastAsia="ja-JP"/>
        </w:rPr>
        <w:t xml:space="preserve">%) </w:t>
      </w:r>
      <w:r>
        <w:rPr>
          <w:lang w:eastAsia="ja-JP"/>
        </w:rPr>
        <w:t>from baseline or any clinically significant signs and symptoms. For the dose escalation phase, G6PD heterozygous female healthy volunteers with enzyme activity range 40 to 60% of the site median normal value were recruited. Once the HND had been defined, additional cohorts exploring the haemolytic potential of TQ in G6PD</w:t>
      </w:r>
      <w:r w:rsidR="00122529">
        <w:rPr>
          <w:lang w:eastAsia="ja-JP"/>
        </w:rPr>
        <w:t>D</w:t>
      </w:r>
      <w:r>
        <w:rPr>
          <w:lang w:eastAsia="ja-JP"/>
        </w:rPr>
        <w:t xml:space="preserve"> heterozygous females with 61 to 80% and 81%+ enzyme activity of the site median normal value were recruited in parallel. The mean of the Hb/Hct values obtained on Day -1 and Day 1 (prior to TQ dosing) was considered the baseline value. If more than two out of six G6PD</w:t>
      </w:r>
      <w:r w:rsidR="00122529">
        <w:rPr>
          <w:lang w:eastAsia="ja-JP"/>
        </w:rPr>
        <w:t>D</w:t>
      </w:r>
      <w:r>
        <w:rPr>
          <w:lang w:eastAsia="ja-JP"/>
        </w:rPr>
        <w:t xml:space="preserve"> subjects experience a DLT at a given dose level, dose escalation was stopped. The TQ dose could have been adjusted either up or down (</w:t>
      </w:r>
      <w:r w:rsidR="00404803">
        <w:rPr>
          <w:lang w:eastAsia="ja-JP"/>
        </w:rPr>
        <w:t>that is,</w:t>
      </w:r>
      <w:r>
        <w:rPr>
          <w:lang w:eastAsia="ja-JP"/>
        </w:rPr>
        <w:t xml:space="preserve"> intermediate dose levels could be assessed) until the HND had been determined (maximum dose 600 mg). This phase of the study also assessed the haemolytic potential of </w:t>
      </w:r>
      <w:r w:rsidR="00122529">
        <w:rPr>
          <w:lang w:eastAsia="ja-JP"/>
        </w:rPr>
        <w:t>primaquine</w:t>
      </w:r>
      <w:r>
        <w:rPr>
          <w:lang w:eastAsia="ja-JP"/>
        </w:rPr>
        <w:t xml:space="preserve"> 15 mg OD x14 days, when given to G6P</w:t>
      </w:r>
      <w:r w:rsidR="00122529">
        <w:rPr>
          <w:lang w:eastAsia="ja-JP"/>
        </w:rPr>
        <w:t>D</w:t>
      </w:r>
      <w:r>
        <w:rPr>
          <w:lang w:eastAsia="ja-JP"/>
        </w:rPr>
        <w:t>-normal and G6PD</w:t>
      </w:r>
      <w:r w:rsidR="00122529">
        <w:rPr>
          <w:lang w:eastAsia="ja-JP"/>
        </w:rPr>
        <w:t>D</w:t>
      </w:r>
      <w:r>
        <w:rPr>
          <w:lang w:eastAsia="ja-JP"/>
        </w:rPr>
        <w:t xml:space="preserve"> (with 40 to 60% enzyme activity) heterozygous females as a control arm. Following screening, subjects were treated on Day 1 (Day 1 to Day 14 for </w:t>
      </w:r>
      <w:r w:rsidR="00122529">
        <w:rPr>
          <w:lang w:eastAsia="ja-JP"/>
        </w:rPr>
        <w:t>primaquine</w:t>
      </w:r>
      <w:r>
        <w:rPr>
          <w:lang w:eastAsia="ja-JP"/>
        </w:rPr>
        <w:t xml:space="preserve"> cohort) with daily assessments up to and including Day 14, and follow-up assessments on Day 21, Day 28 and Day</w:t>
      </w:r>
      <w:r w:rsidR="00382EC1">
        <w:rPr>
          <w:lang w:eastAsia="ja-JP"/>
        </w:rPr>
        <w:t> </w:t>
      </w:r>
      <w:r>
        <w:rPr>
          <w:lang w:eastAsia="ja-JP"/>
        </w:rPr>
        <w:t>56.</w:t>
      </w:r>
    </w:p>
    <w:p w14:paraId="1A2B56B7" w14:textId="77777777" w:rsidR="00965D70" w:rsidRDefault="008A1A1C" w:rsidP="00965D70">
      <w:pPr>
        <w:pStyle w:val="Heading5"/>
        <w:rPr>
          <w:lang w:eastAsia="ja-JP"/>
        </w:rPr>
      </w:pPr>
      <w:r>
        <w:rPr>
          <w:lang w:eastAsia="ja-JP"/>
        </w:rPr>
        <w:t>Treatment</w:t>
      </w:r>
    </w:p>
    <w:p w14:paraId="0BAA5E8F" w14:textId="4C5F9A68" w:rsidR="008A1A1C" w:rsidRDefault="008A1A1C" w:rsidP="00965D70">
      <w:pPr>
        <w:rPr>
          <w:lang w:eastAsia="ja-JP"/>
        </w:rPr>
      </w:pPr>
      <w:r>
        <w:rPr>
          <w:lang w:eastAsia="ja-JP"/>
        </w:rPr>
        <w:t xml:space="preserve">For the dose escalation phase, proposed total TQ doses of 100 mg, 200 mg, 300 mg, 400 mg, and 600 mg (doses less than 100 mg or intermediate dose levels could have been assessed) were planned, to be administered as a single dose. Once the HND had been defined, subsequent cohorts comprised a single dose of TQ (HND) and </w:t>
      </w:r>
      <w:r w:rsidR="00122529">
        <w:rPr>
          <w:lang w:eastAsia="ja-JP"/>
        </w:rPr>
        <w:t>primaquine</w:t>
      </w:r>
      <w:r>
        <w:rPr>
          <w:lang w:eastAsia="ja-JP"/>
        </w:rPr>
        <w:t xml:space="preserve"> 15 mg x</w:t>
      </w:r>
      <w:r w:rsidR="00382EC1">
        <w:rPr>
          <w:lang w:eastAsia="ja-JP"/>
        </w:rPr>
        <w:t xml:space="preserve"> </w:t>
      </w:r>
      <w:r>
        <w:rPr>
          <w:lang w:eastAsia="ja-JP"/>
        </w:rPr>
        <w:t>14 days were included in the PK</w:t>
      </w:r>
    </w:p>
    <w:p w14:paraId="21FA50A5" w14:textId="0E4D2871" w:rsidR="00965D70" w:rsidRDefault="008A1A1C" w:rsidP="00965D70">
      <w:pPr>
        <w:pStyle w:val="Heading5"/>
        <w:rPr>
          <w:lang w:eastAsia="ja-JP"/>
        </w:rPr>
      </w:pPr>
      <w:r>
        <w:rPr>
          <w:lang w:eastAsia="ja-JP"/>
        </w:rPr>
        <w:t xml:space="preserve">Study </w:t>
      </w:r>
      <w:r w:rsidR="00382EC1">
        <w:rPr>
          <w:lang w:eastAsia="ja-JP"/>
        </w:rPr>
        <w:t>population</w:t>
      </w:r>
    </w:p>
    <w:p w14:paraId="1AF4825D" w14:textId="77777777" w:rsidR="008A1A1C" w:rsidRDefault="008A1A1C" w:rsidP="00965D70">
      <w:pPr>
        <w:rPr>
          <w:lang w:eastAsia="ja-JP"/>
        </w:rPr>
      </w:pPr>
      <w:r>
        <w:rPr>
          <w:lang w:eastAsia="ja-JP"/>
        </w:rPr>
        <w:t>Females between 18 and 45 years of age, inclusive, who were non-pregnant, non-lactating and of non-child bearing potential were eligible for inclusion. All subjects were required to have WHO class I</w:t>
      </w:r>
      <w:r w:rsidR="00122529">
        <w:rPr>
          <w:lang w:eastAsia="ja-JP"/>
        </w:rPr>
        <w:t>II</w:t>
      </w:r>
      <w:r>
        <w:rPr>
          <w:lang w:eastAsia="ja-JP"/>
        </w:rPr>
        <w:t xml:space="preserve"> G6PD</w:t>
      </w:r>
      <w:r w:rsidR="00122529">
        <w:rPr>
          <w:lang w:eastAsia="ja-JP"/>
        </w:rPr>
        <w:t>D</w:t>
      </w:r>
      <w:r>
        <w:rPr>
          <w:lang w:eastAsia="ja-JP"/>
        </w:rPr>
        <w:t xml:space="preserve"> or </w:t>
      </w:r>
      <w:r w:rsidR="00156D9E">
        <w:rPr>
          <w:lang w:eastAsia="ja-JP"/>
        </w:rPr>
        <w:t>G6PD</w:t>
      </w:r>
      <w:r w:rsidR="00122529">
        <w:rPr>
          <w:lang w:eastAsia="ja-JP"/>
        </w:rPr>
        <w:t>-</w:t>
      </w:r>
      <w:r>
        <w:rPr>
          <w:lang w:eastAsia="ja-JP"/>
        </w:rPr>
        <w:t>normal status prior to TQ dosing. G6PD</w:t>
      </w:r>
      <w:r w:rsidR="00122529">
        <w:rPr>
          <w:lang w:eastAsia="ja-JP"/>
        </w:rPr>
        <w:t>D</w:t>
      </w:r>
      <w:r>
        <w:rPr>
          <w:lang w:eastAsia="ja-JP"/>
        </w:rPr>
        <w:t xml:space="preserve"> subjects (WHO class Ill variant) were required to be heterozygous with 40% to 60% enzyme activity of the site median normal value (minimum 2.2 IU/g Hb) in the dose escalation and </w:t>
      </w:r>
      <w:r w:rsidR="00122529">
        <w:rPr>
          <w:lang w:eastAsia="ja-JP"/>
        </w:rPr>
        <w:t>primaquine</w:t>
      </w:r>
      <w:r>
        <w:rPr>
          <w:lang w:eastAsia="ja-JP"/>
        </w:rPr>
        <w:t xml:space="preserve"> cohorts. </w:t>
      </w:r>
      <w:r w:rsidR="00156D9E">
        <w:rPr>
          <w:lang w:eastAsia="ja-JP"/>
        </w:rPr>
        <w:t>G6PD</w:t>
      </w:r>
      <w:r w:rsidR="00122529">
        <w:rPr>
          <w:lang w:eastAsia="ja-JP"/>
        </w:rPr>
        <w:t>-</w:t>
      </w:r>
      <w:r>
        <w:rPr>
          <w:lang w:eastAsia="ja-JP"/>
        </w:rPr>
        <w:t xml:space="preserve">normal subjects must have had &gt;80% enzyme activity of the site median normal value in the dose escalation and </w:t>
      </w:r>
      <w:r w:rsidR="00122529">
        <w:rPr>
          <w:lang w:eastAsia="ja-JP"/>
        </w:rPr>
        <w:t>primaquine</w:t>
      </w:r>
      <w:r>
        <w:rPr>
          <w:lang w:eastAsia="ja-JP"/>
        </w:rPr>
        <w:t xml:space="preserve"> cohorts. Once the HND was defined, G6PD</w:t>
      </w:r>
      <w:r w:rsidR="00122529">
        <w:rPr>
          <w:lang w:eastAsia="ja-JP"/>
        </w:rPr>
        <w:t>D</w:t>
      </w:r>
      <w:r>
        <w:rPr>
          <w:lang w:eastAsia="ja-JP"/>
        </w:rPr>
        <w:t xml:space="preserve"> subjects (WHO class III variant) were required to be heterozygous with either 61% to 80% or 81%+ enzyme activity of the site median normal value in the subsequent TQ cohorts.</w:t>
      </w:r>
    </w:p>
    <w:p w14:paraId="3139FB02" w14:textId="77777777" w:rsidR="00965D70" w:rsidRDefault="008A1A1C" w:rsidP="00965D70">
      <w:pPr>
        <w:pStyle w:val="Heading5"/>
        <w:rPr>
          <w:lang w:eastAsia="ja-JP"/>
        </w:rPr>
      </w:pPr>
      <w:r>
        <w:rPr>
          <w:lang w:eastAsia="ja-JP"/>
        </w:rPr>
        <w:t>Conclusion</w:t>
      </w:r>
    </w:p>
    <w:p w14:paraId="185F51AC" w14:textId="77777777" w:rsidR="008A1A1C" w:rsidRDefault="008A1A1C" w:rsidP="00965D70">
      <w:pPr>
        <w:rPr>
          <w:lang w:eastAsia="ja-JP"/>
        </w:rPr>
      </w:pPr>
      <w:r>
        <w:rPr>
          <w:lang w:eastAsia="ja-JP"/>
        </w:rPr>
        <w:t xml:space="preserve">This Phase I dose escalation study successfully recruited three cohorts of controls and Class Ill heterozygous deficient healthy volunteer females (40 to 60% enzymatic activity) and has identified 300 mg as the highest tolerated TQ dose in this population. Despite Hb declines of up </w:t>
      </w:r>
      <w:r>
        <w:rPr>
          <w:lang w:eastAsia="ja-JP"/>
        </w:rPr>
        <w:lastRenderedPageBreak/>
        <w:t xml:space="preserve">to 30 g/L (nadirs between Day 6 and Day 14), no specific AEs relating to anaemia were reported in the TQ 300 mg cohort. In addition, in subjects with the same level of G6PD activity daily dosing of </w:t>
      </w:r>
      <w:r w:rsidR="00122529">
        <w:rPr>
          <w:lang w:eastAsia="ja-JP"/>
        </w:rPr>
        <w:t>primaquine</w:t>
      </w:r>
      <w:r>
        <w:rPr>
          <w:lang w:eastAsia="ja-JP"/>
        </w:rPr>
        <w:t xml:space="preserve"> (15 mg) demonstrated similar levels of Hb decline, with only one subject completing the full 14</w:t>
      </w:r>
      <w:r w:rsidR="00473B40">
        <w:rPr>
          <w:lang w:eastAsia="ja-JP"/>
        </w:rPr>
        <w:t xml:space="preserve"> day</w:t>
      </w:r>
      <w:r>
        <w:rPr>
          <w:lang w:eastAsia="ja-JP"/>
        </w:rPr>
        <w:t xml:space="preserve"> dosing course. In the 13 heterozygous G6PD</w:t>
      </w:r>
      <w:r w:rsidR="00122529">
        <w:rPr>
          <w:lang w:eastAsia="ja-JP"/>
        </w:rPr>
        <w:t>D</w:t>
      </w:r>
      <w:r>
        <w:rPr>
          <w:lang w:eastAsia="ja-JP"/>
        </w:rPr>
        <w:t xml:space="preserve"> females who were dosed with TQ 200 mg, there appeared to be a weak association between enzyme activity and Hb decline.</w:t>
      </w:r>
    </w:p>
    <w:p w14:paraId="1BCCF413" w14:textId="77777777" w:rsidR="008A1A1C" w:rsidRDefault="008A1A1C" w:rsidP="00FD726B">
      <w:pPr>
        <w:pStyle w:val="Heading4"/>
      </w:pPr>
      <w:r>
        <w:t>Study 057</w:t>
      </w:r>
    </w:p>
    <w:p w14:paraId="20BC4669" w14:textId="4A853D40" w:rsidR="008A1A1C" w:rsidRDefault="008A1A1C" w:rsidP="00965D70">
      <w:pPr>
        <w:rPr>
          <w:rFonts w:asciiTheme="minorHAnsi" w:hAnsiTheme="minorHAnsi"/>
          <w:lang w:eastAsia="ja-JP"/>
        </w:rPr>
      </w:pPr>
      <w:r>
        <w:rPr>
          <w:lang w:eastAsia="ja-JP"/>
        </w:rPr>
        <w:t xml:space="preserve">This was a </w:t>
      </w:r>
      <w:r w:rsidR="00404803">
        <w:rPr>
          <w:lang w:eastAsia="ja-JP"/>
        </w:rPr>
        <w:t>randomised</w:t>
      </w:r>
      <w:r>
        <w:rPr>
          <w:lang w:eastAsia="ja-JP"/>
        </w:rPr>
        <w:t xml:space="preserve">, </w:t>
      </w:r>
      <w:r w:rsidR="00404803">
        <w:rPr>
          <w:lang w:eastAsia="ja-JP"/>
        </w:rPr>
        <w:t>double blind</w:t>
      </w:r>
      <w:r>
        <w:rPr>
          <w:lang w:eastAsia="ja-JP"/>
        </w:rPr>
        <w:t>, placebo</w:t>
      </w:r>
      <w:r w:rsidR="00F1528F">
        <w:rPr>
          <w:lang w:eastAsia="ja-JP"/>
        </w:rPr>
        <w:t xml:space="preserve"> controlled</w:t>
      </w:r>
      <w:r>
        <w:rPr>
          <w:lang w:eastAsia="ja-JP"/>
        </w:rPr>
        <w:t xml:space="preserve"> study to evaluate the safety and tolerability, specifically renal and ophthalmic effects, of tafenoquine 200 mg for 6 months, in healthy volunteers. This Phase I study assessed renal and ophthalmic safety of tafenoquine versus placebo, administered for a period of 24 weeks to healthy volunteers. The results of the primary renal analysis, which assessed the mean change from Baseline in glomerular filtration rate (GFR), demonstrated non-inferiority of tafenoquine relative to placebo, and these results were supported by both sensitivity analyses. The results of the primary ophthalmic analysis, which assessed night vision via the </w:t>
      </w:r>
      <w:r w:rsidR="00382EC1">
        <w:rPr>
          <w:lang w:eastAsia="ja-JP"/>
        </w:rPr>
        <w:t xml:space="preserve">forward light scatter test </w:t>
      </w:r>
      <w:r>
        <w:rPr>
          <w:lang w:eastAsia="ja-JP"/>
        </w:rPr>
        <w:t>(FLST) showed un</w:t>
      </w:r>
      <w:r w:rsidR="00965D70">
        <w:rPr>
          <w:lang w:eastAsia="ja-JP"/>
        </w:rPr>
        <w:t>-</w:t>
      </w:r>
      <w:r>
        <w:rPr>
          <w:lang w:eastAsia="ja-JP"/>
        </w:rPr>
        <w:t>impairment of night vision in the tafenoquine group and this finding was supported by one of the two sensitivity analyses. No subject in the study had abnormal laboratory values indicative of potential haemolysis. Tafenoquine was well tolerated by the subjects in this study, as evidenced by the low rate of withdrawal from treatment/study due to AEs. The adjusted mean GFR increased from Baseline to Week 24 in both treatment groups. The results of this analysis demonstrate that tafenoquine is non-inferior to placebo, since the lower boundary of the CI for the treatment difference (-0.168 mL/s/1.73 m</w:t>
      </w:r>
      <w:r w:rsidRPr="00965D70">
        <w:rPr>
          <w:vertAlign w:val="superscript"/>
          <w:lang w:eastAsia="ja-JP"/>
        </w:rPr>
        <w:t>2</w:t>
      </w:r>
      <w:r>
        <w:rPr>
          <w:lang w:eastAsia="ja-JP"/>
        </w:rPr>
        <w:t xml:space="preserve">) is greater than the non-inferiority margin of </w:t>
      </w:r>
      <w:r w:rsidR="00382EC1">
        <w:rPr>
          <w:lang w:eastAsia="ja-JP"/>
        </w:rPr>
        <w:noBreakHyphen/>
      </w:r>
      <w:r>
        <w:rPr>
          <w:lang w:eastAsia="ja-JP"/>
        </w:rPr>
        <w:t>0.247 mL/s/1.73 m</w:t>
      </w:r>
      <w:r w:rsidRPr="00965D70">
        <w:rPr>
          <w:vertAlign w:val="superscript"/>
          <w:lang w:eastAsia="ja-JP"/>
        </w:rPr>
        <w:t>2</w:t>
      </w:r>
      <w:r>
        <w:rPr>
          <w:lang w:eastAsia="ja-JP"/>
        </w:rPr>
        <w:t xml:space="preserve">. </w:t>
      </w:r>
      <w:r>
        <w:rPr>
          <w:rFonts w:asciiTheme="minorHAnsi" w:eastAsia="TimesNewRoman" w:hAnsiTheme="minorHAnsi" w:cs="TimesNewRoman"/>
          <w:color w:val="000000"/>
        </w:rPr>
        <w:t xml:space="preserve">The results of the primary ophthalmic safety analysis using the </w:t>
      </w:r>
      <w:r w:rsidR="00382EC1">
        <w:rPr>
          <w:rFonts w:asciiTheme="minorHAnsi" w:eastAsia="TimesNewRoman" w:hAnsiTheme="minorHAnsi" w:cs="TimesNewRoman"/>
          <w:color w:val="000000"/>
        </w:rPr>
        <w:t>modified observed case</w:t>
      </w:r>
      <w:r>
        <w:rPr>
          <w:rFonts w:asciiTheme="minorHAnsi" w:eastAsia="TimesNewRoman" w:hAnsiTheme="minorHAnsi" w:cs="TimesNewRoman"/>
          <w:color w:val="000000"/>
        </w:rPr>
        <w:t xml:space="preserve"> dataset clearly show that night vision, as assessed via the FLST, was un</w:t>
      </w:r>
      <w:r w:rsidR="00965D70">
        <w:rPr>
          <w:rFonts w:asciiTheme="minorHAnsi" w:eastAsia="TimesNewRoman" w:hAnsiTheme="minorHAnsi" w:cs="TimesNewRoman"/>
          <w:color w:val="000000"/>
        </w:rPr>
        <w:t>-</w:t>
      </w:r>
      <w:r>
        <w:rPr>
          <w:rFonts w:asciiTheme="minorHAnsi" w:eastAsia="TimesNewRoman" w:hAnsiTheme="minorHAnsi" w:cs="TimesNewRoman"/>
          <w:color w:val="000000"/>
        </w:rPr>
        <w:t>impaired in the tafenoquine</w:t>
      </w:r>
      <w:r w:rsidR="00473B40">
        <w:rPr>
          <w:rFonts w:asciiTheme="minorHAnsi" w:eastAsia="TimesNewRoman" w:hAnsiTheme="minorHAnsi" w:cs="TimesNewRoman"/>
          <w:color w:val="000000"/>
        </w:rPr>
        <w:t xml:space="preserve"> treated</w:t>
      </w:r>
      <w:r>
        <w:rPr>
          <w:rFonts w:asciiTheme="minorHAnsi" w:eastAsia="TimesNewRoman" w:hAnsiTheme="minorHAnsi" w:cs="TimesNewRoman"/>
          <w:color w:val="000000"/>
        </w:rPr>
        <w:t xml:space="preserve"> group, since the lower bound of the one-sided 95% Clopper-Pearson Exact CI was greater than 90%.</w:t>
      </w:r>
    </w:p>
    <w:p w14:paraId="71E5E4E3" w14:textId="77777777" w:rsidR="008A1A1C" w:rsidRDefault="008A1A1C" w:rsidP="00FB2482">
      <w:pPr>
        <w:pStyle w:val="Heading3"/>
      </w:pPr>
      <w:bookmarkStart w:id="497" w:name="_Toc241374318"/>
      <w:bookmarkStart w:id="498" w:name="_Ref271196630"/>
      <w:bookmarkStart w:id="499" w:name="_Toc272414662"/>
      <w:bookmarkStart w:id="500" w:name="_Toc290888526"/>
      <w:bookmarkStart w:id="501" w:name="_Toc416353742"/>
      <w:bookmarkStart w:id="502" w:name="_Toc421005285"/>
      <w:bookmarkStart w:id="503" w:name="_Toc432079162"/>
      <w:bookmarkStart w:id="504" w:name="_Toc432080735"/>
      <w:bookmarkStart w:id="505" w:name="_Toc504229385"/>
      <w:bookmarkStart w:id="506" w:name="_Toc501809159"/>
      <w:bookmarkStart w:id="507" w:name="_Toc12520295"/>
      <w:r w:rsidRPr="00545B14">
        <w:t>Patient exposure</w:t>
      </w:r>
      <w:bookmarkEnd w:id="497"/>
      <w:bookmarkEnd w:id="498"/>
      <w:bookmarkEnd w:id="499"/>
      <w:bookmarkEnd w:id="500"/>
      <w:bookmarkEnd w:id="501"/>
      <w:bookmarkEnd w:id="502"/>
      <w:bookmarkEnd w:id="503"/>
      <w:bookmarkEnd w:id="504"/>
      <w:bookmarkEnd w:id="505"/>
      <w:bookmarkEnd w:id="506"/>
      <w:bookmarkEnd w:id="507"/>
    </w:p>
    <w:p w14:paraId="1B8AC1E4" w14:textId="77777777" w:rsidR="008A1A1C" w:rsidRPr="002A1986" w:rsidRDefault="008A1A1C" w:rsidP="008A1A1C">
      <w:pPr>
        <w:rPr>
          <w:lang w:eastAsia="ja-JP"/>
        </w:rPr>
      </w:pPr>
      <w:r>
        <w:rPr>
          <w:lang w:eastAsia="ja-JP"/>
        </w:rPr>
        <w:t xml:space="preserve">The safety database included in this dossier for tafenoquine includes data from 3184 subjects who were exposed to tafenoquine, of whom 825 (most of which were healthy volunteers) were administered the ACR of 200 mg daily for 3 consecutive days, followed by 200 mg once weekly for up to 6 months. Supportive information regarding the safety of tafenoquine is primarily drawn from healthy volunteers (not only in </w:t>
      </w:r>
      <w:r w:rsidR="00F1528F">
        <w:rPr>
          <w:lang w:eastAsia="ja-JP"/>
        </w:rPr>
        <w:t>Phase I</w:t>
      </w:r>
      <w:r>
        <w:rPr>
          <w:lang w:eastAsia="ja-JP"/>
        </w:rPr>
        <w:t xml:space="preserve"> studies but also in </w:t>
      </w:r>
      <w:r w:rsidR="00F1528F">
        <w:rPr>
          <w:lang w:eastAsia="ja-JP"/>
        </w:rPr>
        <w:t>Phase II</w:t>
      </w:r>
      <w:r>
        <w:rPr>
          <w:lang w:eastAsia="ja-JP"/>
        </w:rPr>
        <w:t>-</w:t>
      </w:r>
      <w:r w:rsidR="00965D70">
        <w:rPr>
          <w:lang w:eastAsia="ja-JP"/>
        </w:rPr>
        <w:t>III</w:t>
      </w:r>
      <w:r>
        <w:rPr>
          <w:lang w:eastAsia="ja-JP"/>
        </w:rPr>
        <w:t xml:space="preserve"> prophylaxis studies), with prophylaxis populations including subjects with varying levels of inherent malaria immunity (non-immune Australian military personnel to semi-immune African residents). In these studies, safety was assessed through vital sign measurements, monitoring of clinical signs/symptoms, physical examinations, clinical laboratory testing, and monitoring of AEs. Selected studies have also included targeted assessments for effects on renal, ocular, pulmonary, or cardiac function, as well as for methemoglobin level.</w:t>
      </w:r>
    </w:p>
    <w:p w14:paraId="353D112F" w14:textId="77777777" w:rsidR="008A1A1C" w:rsidRDefault="008A1A1C" w:rsidP="00965D70">
      <w:pPr>
        <w:pStyle w:val="Tabletitle"/>
      </w:pPr>
      <w:bookmarkStart w:id="508" w:name="_Toc504229425"/>
      <w:bookmarkStart w:id="509" w:name="_Toc501293675"/>
      <w:r>
        <w:t xml:space="preserve">Table </w:t>
      </w:r>
      <w:r w:rsidR="003F0ECA">
        <w:t>4</w:t>
      </w:r>
      <w:r w:rsidR="005B2850">
        <w:t>7</w:t>
      </w:r>
      <w:r w:rsidR="003F0ECA">
        <w:t>:</w:t>
      </w:r>
      <w:r>
        <w:t xml:space="preserve"> </w:t>
      </w:r>
      <w:r w:rsidRPr="008A132D">
        <w:t xml:space="preserve">Exposure to </w:t>
      </w:r>
      <w:r>
        <w:t xml:space="preserve">tafenoquine </w:t>
      </w:r>
      <w:r w:rsidRPr="008A132D">
        <w:t xml:space="preserve">and </w:t>
      </w:r>
      <w:r>
        <w:t>comparators in clinical studies</w:t>
      </w:r>
      <w:bookmarkEnd w:id="508"/>
      <w:bookmarkEnd w:id="509"/>
    </w:p>
    <w:tbl>
      <w:tblPr>
        <w:tblStyle w:val="TableGrid"/>
        <w:tblW w:w="9464" w:type="dxa"/>
        <w:tblLayout w:type="fixed"/>
        <w:tblLook w:val="04A0" w:firstRow="1" w:lastRow="0" w:firstColumn="1" w:lastColumn="0" w:noHBand="0" w:noVBand="1"/>
      </w:tblPr>
      <w:tblGrid>
        <w:gridCol w:w="1838"/>
        <w:gridCol w:w="1247"/>
        <w:gridCol w:w="142"/>
        <w:gridCol w:w="879"/>
        <w:gridCol w:w="1418"/>
        <w:gridCol w:w="1388"/>
        <w:gridCol w:w="1418"/>
        <w:gridCol w:w="1134"/>
      </w:tblGrid>
      <w:tr w:rsidR="00530A97" w:rsidRPr="00530A97" w14:paraId="442F98CD" w14:textId="77777777" w:rsidTr="002464CB">
        <w:trPr>
          <w:cantSplit/>
          <w:trHeight w:val="593"/>
          <w:tblHeader/>
        </w:trPr>
        <w:tc>
          <w:tcPr>
            <w:tcW w:w="1838" w:type="dxa"/>
            <w:vMerge w:val="restart"/>
            <w:shd w:val="clear" w:color="auto" w:fill="006DA7" w:themeFill="accent3"/>
          </w:tcPr>
          <w:p w14:paraId="02C90B40" w14:textId="77777777" w:rsidR="008A1A1C" w:rsidRPr="002464CB" w:rsidRDefault="008A1A1C" w:rsidP="00530A97">
            <w:pPr>
              <w:rPr>
                <w:b/>
                <w:color w:val="FFFFFF" w:themeColor="background1"/>
                <w:sz w:val="18"/>
                <w:szCs w:val="18"/>
              </w:rPr>
            </w:pPr>
            <w:r w:rsidRPr="002464CB">
              <w:rPr>
                <w:b/>
                <w:color w:val="FFFFFF" w:themeColor="background1"/>
                <w:sz w:val="18"/>
                <w:szCs w:val="18"/>
              </w:rPr>
              <w:t>Study type/</w:t>
            </w:r>
            <w:r w:rsidRPr="002464CB">
              <w:rPr>
                <w:b/>
                <w:color w:val="FFFFFF" w:themeColor="background1"/>
                <w:sz w:val="18"/>
                <w:szCs w:val="18"/>
              </w:rPr>
              <w:br/>
              <w:t>Indication</w:t>
            </w:r>
          </w:p>
        </w:tc>
        <w:tc>
          <w:tcPr>
            <w:tcW w:w="5074" w:type="dxa"/>
            <w:gridSpan w:val="5"/>
            <w:shd w:val="clear" w:color="auto" w:fill="006DA7" w:themeFill="accent3"/>
          </w:tcPr>
          <w:p w14:paraId="75C13B30" w14:textId="77777777" w:rsidR="008A1A1C" w:rsidRPr="002464CB" w:rsidRDefault="008A1A1C" w:rsidP="00530A97">
            <w:pPr>
              <w:rPr>
                <w:b/>
                <w:color w:val="FFFFFF" w:themeColor="background1"/>
                <w:sz w:val="18"/>
                <w:szCs w:val="18"/>
              </w:rPr>
            </w:pPr>
            <w:r w:rsidRPr="002464CB">
              <w:rPr>
                <w:b/>
                <w:color w:val="FFFFFF" w:themeColor="background1"/>
                <w:sz w:val="18"/>
                <w:szCs w:val="18"/>
              </w:rPr>
              <w:t>Controlled studies</w:t>
            </w:r>
          </w:p>
        </w:tc>
        <w:tc>
          <w:tcPr>
            <w:tcW w:w="1418" w:type="dxa"/>
            <w:shd w:val="clear" w:color="auto" w:fill="006DA7" w:themeFill="accent3"/>
          </w:tcPr>
          <w:p w14:paraId="11088F56" w14:textId="77777777" w:rsidR="008A1A1C" w:rsidRPr="002464CB" w:rsidRDefault="008A1A1C" w:rsidP="00530A97">
            <w:pPr>
              <w:rPr>
                <w:b/>
                <w:color w:val="FFFFFF" w:themeColor="background1"/>
                <w:sz w:val="18"/>
                <w:szCs w:val="18"/>
              </w:rPr>
            </w:pPr>
            <w:r w:rsidRPr="002464CB">
              <w:rPr>
                <w:b/>
                <w:color w:val="FFFFFF" w:themeColor="background1"/>
                <w:sz w:val="18"/>
                <w:szCs w:val="18"/>
              </w:rPr>
              <w:t>Uncontrolled</w:t>
            </w:r>
          </w:p>
          <w:p w14:paraId="106F9A35" w14:textId="77777777" w:rsidR="008A1A1C" w:rsidRPr="002464CB" w:rsidRDefault="008A1A1C" w:rsidP="00530A97">
            <w:pPr>
              <w:rPr>
                <w:b/>
                <w:color w:val="FFFFFF" w:themeColor="background1"/>
                <w:sz w:val="18"/>
                <w:szCs w:val="18"/>
              </w:rPr>
            </w:pPr>
            <w:r w:rsidRPr="002464CB">
              <w:rPr>
                <w:b/>
                <w:color w:val="FFFFFF" w:themeColor="background1"/>
                <w:sz w:val="18"/>
                <w:szCs w:val="18"/>
              </w:rPr>
              <w:t>studies</w:t>
            </w:r>
          </w:p>
        </w:tc>
        <w:tc>
          <w:tcPr>
            <w:tcW w:w="1134" w:type="dxa"/>
            <w:vMerge w:val="restart"/>
            <w:shd w:val="clear" w:color="auto" w:fill="006DA7" w:themeFill="accent3"/>
          </w:tcPr>
          <w:p w14:paraId="247B8D11" w14:textId="77777777" w:rsidR="008A1A1C" w:rsidRPr="002464CB" w:rsidRDefault="008A1A1C" w:rsidP="00530A97">
            <w:pPr>
              <w:rPr>
                <w:b/>
                <w:color w:val="FFFFFF" w:themeColor="background1"/>
                <w:sz w:val="18"/>
                <w:szCs w:val="18"/>
              </w:rPr>
            </w:pPr>
            <w:r w:rsidRPr="002464CB">
              <w:rPr>
                <w:b/>
                <w:color w:val="FFFFFF" w:themeColor="background1"/>
                <w:sz w:val="18"/>
                <w:szCs w:val="18"/>
              </w:rPr>
              <w:t>Total</w:t>
            </w:r>
          </w:p>
          <w:p w14:paraId="32DF864A" w14:textId="77777777" w:rsidR="008A1A1C" w:rsidRPr="002464CB" w:rsidRDefault="008A1A1C" w:rsidP="00530A97">
            <w:pPr>
              <w:rPr>
                <w:b/>
                <w:color w:val="FFFFFF" w:themeColor="background1"/>
                <w:sz w:val="18"/>
                <w:szCs w:val="18"/>
              </w:rPr>
            </w:pPr>
            <w:r w:rsidRPr="002464CB">
              <w:rPr>
                <w:b/>
                <w:color w:val="FFFFFF" w:themeColor="background1"/>
                <w:sz w:val="18"/>
                <w:szCs w:val="18"/>
              </w:rPr>
              <w:t xml:space="preserve">Medicine </w:t>
            </w:r>
          </w:p>
        </w:tc>
      </w:tr>
      <w:tr w:rsidR="00530A97" w:rsidRPr="00530A97" w14:paraId="0DA2B473" w14:textId="77777777" w:rsidTr="002464CB">
        <w:trPr>
          <w:cantSplit/>
          <w:tblHeader/>
        </w:trPr>
        <w:tc>
          <w:tcPr>
            <w:tcW w:w="1838" w:type="dxa"/>
            <w:vMerge/>
            <w:shd w:val="clear" w:color="auto" w:fill="006DA7" w:themeFill="accent3"/>
          </w:tcPr>
          <w:p w14:paraId="7105DB18" w14:textId="77777777" w:rsidR="008A1A1C" w:rsidRPr="00ED6B5B" w:rsidRDefault="008A1A1C" w:rsidP="00530A97">
            <w:pPr>
              <w:rPr>
                <w:b/>
                <w:color w:val="FFFFFF" w:themeColor="background1"/>
                <w:sz w:val="18"/>
                <w:szCs w:val="18"/>
              </w:rPr>
            </w:pPr>
          </w:p>
        </w:tc>
        <w:tc>
          <w:tcPr>
            <w:tcW w:w="1389" w:type="dxa"/>
            <w:gridSpan w:val="2"/>
            <w:shd w:val="clear" w:color="auto" w:fill="00517D" w:themeFill="accent3" w:themeFillShade="BF"/>
          </w:tcPr>
          <w:p w14:paraId="08B313C5" w14:textId="77777777" w:rsidR="008A1A1C" w:rsidRPr="00ED6B5B" w:rsidRDefault="008A1A1C" w:rsidP="00530A97">
            <w:pPr>
              <w:rPr>
                <w:b/>
                <w:color w:val="FFFFFF" w:themeColor="background1"/>
                <w:sz w:val="18"/>
                <w:szCs w:val="18"/>
              </w:rPr>
            </w:pPr>
            <w:r w:rsidRPr="00ED6B5B">
              <w:rPr>
                <w:b/>
                <w:color w:val="FFFFFF" w:themeColor="background1"/>
                <w:sz w:val="18"/>
                <w:szCs w:val="18"/>
              </w:rPr>
              <w:t>Tafenoquine</w:t>
            </w:r>
          </w:p>
        </w:tc>
        <w:tc>
          <w:tcPr>
            <w:tcW w:w="879" w:type="dxa"/>
            <w:shd w:val="clear" w:color="auto" w:fill="00517D" w:themeFill="accent3" w:themeFillShade="BF"/>
          </w:tcPr>
          <w:p w14:paraId="590A1D58" w14:textId="77777777" w:rsidR="008A1A1C" w:rsidRPr="00ED6B5B" w:rsidRDefault="008A1A1C" w:rsidP="00530A97">
            <w:pPr>
              <w:rPr>
                <w:b/>
                <w:color w:val="FFFFFF" w:themeColor="background1"/>
                <w:sz w:val="18"/>
                <w:szCs w:val="18"/>
              </w:rPr>
            </w:pPr>
            <w:r w:rsidRPr="00ED6B5B">
              <w:rPr>
                <w:b/>
                <w:color w:val="FFFFFF" w:themeColor="background1"/>
                <w:sz w:val="18"/>
                <w:szCs w:val="18"/>
              </w:rPr>
              <w:t>Placebo</w:t>
            </w:r>
          </w:p>
        </w:tc>
        <w:tc>
          <w:tcPr>
            <w:tcW w:w="1418" w:type="dxa"/>
            <w:shd w:val="clear" w:color="auto" w:fill="00517D" w:themeFill="accent3" w:themeFillShade="BF"/>
          </w:tcPr>
          <w:p w14:paraId="74149C52" w14:textId="77777777" w:rsidR="008A1A1C" w:rsidRPr="00ED6B5B" w:rsidRDefault="008A1A1C" w:rsidP="00530A97">
            <w:pPr>
              <w:rPr>
                <w:b/>
                <w:color w:val="FFFFFF" w:themeColor="background1"/>
                <w:sz w:val="18"/>
                <w:szCs w:val="18"/>
              </w:rPr>
            </w:pPr>
            <w:r w:rsidRPr="00ED6B5B">
              <w:rPr>
                <w:b/>
                <w:color w:val="FFFFFF" w:themeColor="background1"/>
                <w:sz w:val="18"/>
                <w:szCs w:val="18"/>
              </w:rPr>
              <w:t>Mefloquine</w:t>
            </w:r>
          </w:p>
        </w:tc>
        <w:tc>
          <w:tcPr>
            <w:tcW w:w="1388" w:type="dxa"/>
            <w:shd w:val="clear" w:color="auto" w:fill="00517D" w:themeFill="accent3" w:themeFillShade="BF"/>
          </w:tcPr>
          <w:p w14:paraId="55BDF072" w14:textId="77777777" w:rsidR="008A1A1C" w:rsidRPr="00ED6B5B" w:rsidRDefault="008A1A1C" w:rsidP="00530A97">
            <w:pPr>
              <w:rPr>
                <w:b/>
                <w:color w:val="FFFFFF" w:themeColor="background1"/>
                <w:sz w:val="18"/>
                <w:szCs w:val="18"/>
              </w:rPr>
            </w:pPr>
            <w:r w:rsidRPr="00ED6B5B">
              <w:rPr>
                <w:b/>
                <w:color w:val="FFFFFF" w:themeColor="background1"/>
                <w:sz w:val="18"/>
                <w:szCs w:val="18"/>
              </w:rPr>
              <w:t>Primaquine</w:t>
            </w:r>
          </w:p>
        </w:tc>
        <w:tc>
          <w:tcPr>
            <w:tcW w:w="1418" w:type="dxa"/>
            <w:shd w:val="clear" w:color="auto" w:fill="00517D" w:themeFill="accent3" w:themeFillShade="BF"/>
          </w:tcPr>
          <w:p w14:paraId="72BE2C96" w14:textId="77777777" w:rsidR="008A1A1C" w:rsidRPr="00ED6B5B" w:rsidRDefault="008A1A1C" w:rsidP="00530A97">
            <w:pPr>
              <w:rPr>
                <w:b/>
                <w:color w:val="FFFFFF" w:themeColor="background1"/>
                <w:sz w:val="18"/>
                <w:szCs w:val="18"/>
              </w:rPr>
            </w:pPr>
            <w:r w:rsidRPr="00ED6B5B">
              <w:rPr>
                <w:b/>
                <w:color w:val="FFFFFF" w:themeColor="background1"/>
                <w:sz w:val="18"/>
                <w:szCs w:val="18"/>
              </w:rPr>
              <w:t>Tafenoquine</w:t>
            </w:r>
          </w:p>
        </w:tc>
        <w:tc>
          <w:tcPr>
            <w:tcW w:w="1134" w:type="dxa"/>
            <w:vMerge/>
            <w:shd w:val="clear" w:color="auto" w:fill="006DA7" w:themeFill="accent3"/>
          </w:tcPr>
          <w:p w14:paraId="04C17B45" w14:textId="77777777" w:rsidR="008A1A1C" w:rsidRPr="00ED6B5B" w:rsidRDefault="008A1A1C" w:rsidP="00530A97">
            <w:pPr>
              <w:rPr>
                <w:b/>
                <w:color w:val="FFFFFF" w:themeColor="background1"/>
                <w:sz w:val="18"/>
                <w:szCs w:val="18"/>
              </w:rPr>
            </w:pPr>
          </w:p>
        </w:tc>
      </w:tr>
      <w:tr w:rsidR="008A1A1C" w:rsidRPr="00965D70" w14:paraId="33057FCF" w14:textId="77777777" w:rsidTr="00965D70">
        <w:tc>
          <w:tcPr>
            <w:tcW w:w="1838" w:type="dxa"/>
          </w:tcPr>
          <w:p w14:paraId="35F163F7" w14:textId="77777777" w:rsidR="008A1A1C" w:rsidRPr="00530A97" w:rsidRDefault="008A1A1C" w:rsidP="00530A97">
            <w:pPr>
              <w:rPr>
                <w:sz w:val="18"/>
                <w:szCs w:val="18"/>
              </w:rPr>
            </w:pPr>
            <w:r w:rsidRPr="00530A97">
              <w:rPr>
                <w:sz w:val="18"/>
                <w:szCs w:val="18"/>
              </w:rPr>
              <w:t>Clinical pharmacology</w:t>
            </w:r>
          </w:p>
          <w:p w14:paraId="0894B973" w14:textId="77777777" w:rsidR="008A1A1C" w:rsidRPr="00530A97" w:rsidRDefault="008A1A1C" w:rsidP="00530A97">
            <w:pPr>
              <w:rPr>
                <w:sz w:val="18"/>
                <w:szCs w:val="18"/>
              </w:rPr>
            </w:pPr>
            <w:r w:rsidRPr="00530A97">
              <w:rPr>
                <w:sz w:val="18"/>
                <w:szCs w:val="18"/>
              </w:rPr>
              <w:t>050</w:t>
            </w:r>
          </w:p>
          <w:p w14:paraId="4C9B2587" w14:textId="77777777" w:rsidR="008A1A1C" w:rsidRPr="00530A97" w:rsidRDefault="008A1A1C" w:rsidP="00530A97">
            <w:pPr>
              <w:rPr>
                <w:sz w:val="18"/>
                <w:szCs w:val="18"/>
              </w:rPr>
            </w:pPr>
            <w:r w:rsidRPr="00530A97">
              <w:rPr>
                <w:sz w:val="18"/>
                <w:szCs w:val="18"/>
              </w:rPr>
              <w:lastRenderedPageBreak/>
              <w:t>003</w:t>
            </w:r>
          </w:p>
          <w:p w14:paraId="76FB8115" w14:textId="77777777" w:rsidR="00F1528F" w:rsidRPr="00530A97" w:rsidRDefault="008A1A1C" w:rsidP="00530A97">
            <w:pPr>
              <w:rPr>
                <w:sz w:val="18"/>
                <w:szCs w:val="18"/>
              </w:rPr>
            </w:pPr>
            <w:r w:rsidRPr="00530A97">
              <w:rPr>
                <w:sz w:val="18"/>
                <w:szCs w:val="18"/>
              </w:rPr>
              <w:t>022</w:t>
            </w:r>
          </w:p>
          <w:p w14:paraId="2994090D" w14:textId="77777777" w:rsidR="008A1A1C" w:rsidRPr="00530A97" w:rsidRDefault="008A1A1C" w:rsidP="00530A97">
            <w:pPr>
              <w:rPr>
                <w:sz w:val="18"/>
                <w:szCs w:val="18"/>
              </w:rPr>
            </w:pPr>
            <w:r w:rsidRPr="00530A97">
              <w:rPr>
                <w:sz w:val="18"/>
                <w:szCs w:val="18"/>
              </w:rPr>
              <w:t>TQ-2016-01</w:t>
            </w:r>
          </w:p>
          <w:p w14:paraId="2F2C0C78" w14:textId="77777777" w:rsidR="008A1A1C" w:rsidRPr="00530A97" w:rsidRDefault="008A1A1C" w:rsidP="00530A97">
            <w:pPr>
              <w:rPr>
                <w:sz w:val="18"/>
                <w:szCs w:val="18"/>
              </w:rPr>
            </w:pPr>
            <w:r w:rsidRPr="00530A97">
              <w:rPr>
                <w:sz w:val="18"/>
                <w:szCs w:val="18"/>
              </w:rPr>
              <w:t>014</w:t>
            </w:r>
          </w:p>
          <w:p w14:paraId="47E71BC7" w14:textId="77777777" w:rsidR="008A1A1C" w:rsidRPr="00530A97" w:rsidRDefault="008A1A1C" w:rsidP="00530A97">
            <w:pPr>
              <w:rPr>
                <w:sz w:val="18"/>
                <w:szCs w:val="18"/>
              </w:rPr>
            </w:pPr>
            <w:r w:rsidRPr="00530A97">
              <w:rPr>
                <w:sz w:val="18"/>
                <w:szCs w:val="18"/>
              </w:rPr>
              <w:t>057</w:t>
            </w:r>
          </w:p>
          <w:p w14:paraId="08218660" w14:textId="77777777" w:rsidR="008A1A1C" w:rsidRPr="00530A97" w:rsidRDefault="008A1A1C" w:rsidP="00530A97">
            <w:pPr>
              <w:rPr>
                <w:sz w:val="18"/>
                <w:szCs w:val="18"/>
              </w:rPr>
            </w:pPr>
            <w:r w:rsidRPr="00530A97">
              <w:rPr>
                <w:sz w:val="18"/>
                <w:szCs w:val="18"/>
              </w:rPr>
              <w:t>015</w:t>
            </w:r>
          </w:p>
          <w:p w14:paraId="092CC5A1" w14:textId="77777777" w:rsidR="008A1A1C" w:rsidRPr="00530A97" w:rsidRDefault="008A1A1C" w:rsidP="00530A97">
            <w:pPr>
              <w:rPr>
                <w:sz w:val="18"/>
                <w:szCs w:val="18"/>
              </w:rPr>
            </w:pPr>
            <w:r w:rsidRPr="00530A97">
              <w:rPr>
                <w:sz w:val="18"/>
                <w:szCs w:val="18"/>
              </w:rPr>
              <w:t>040</w:t>
            </w:r>
          </w:p>
          <w:p w14:paraId="15A6602C" w14:textId="77777777" w:rsidR="008A1A1C" w:rsidRPr="00530A97" w:rsidRDefault="008A1A1C" w:rsidP="00530A97">
            <w:pPr>
              <w:rPr>
                <w:sz w:val="18"/>
                <w:szCs w:val="18"/>
              </w:rPr>
            </w:pPr>
            <w:r w:rsidRPr="00530A97">
              <w:rPr>
                <w:sz w:val="18"/>
                <w:szCs w:val="18"/>
              </w:rPr>
              <w:t>Study TAF106491</w:t>
            </w:r>
          </w:p>
        </w:tc>
        <w:tc>
          <w:tcPr>
            <w:tcW w:w="1389" w:type="dxa"/>
            <w:gridSpan w:val="2"/>
          </w:tcPr>
          <w:p w14:paraId="2AC431AE" w14:textId="77777777" w:rsidR="008A1A1C" w:rsidRPr="00530A97" w:rsidRDefault="008A1A1C" w:rsidP="00530A97">
            <w:pPr>
              <w:rPr>
                <w:sz w:val="18"/>
                <w:szCs w:val="18"/>
              </w:rPr>
            </w:pPr>
          </w:p>
          <w:p w14:paraId="43B2B4CE" w14:textId="77777777" w:rsidR="008A1A1C" w:rsidRPr="00530A97" w:rsidRDefault="008A1A1C" w:rsidP="00530A97">
            <w:pPr>
              <w:rPr>
                <w:sz w:val="18"/>
                <w:szCs w:val="18"/>
              </w:rPr>
            </w:pPr>
          </w:p>
          <w:p w14:paraId="39CF1F73" w14:textId="77777777" w:rsidR="008A1A1C" w:rsidRPr="00530A97" w:rsidRDefault="008A1A1C" w:rsidP="00530A97">
            <w:pPr>
              <w:rPr>
                <w:sz w:val="18"/>
                <w:szCs w:val="18"/>
              </w:rPr>
            </w:pPr>
            <w:r w:rsidRPr="00530A97">
              <w:rPr>
                <w:sz w:val="18"/>
                <w:szCs w:val="18"/>
              </w:rPr>
              <w:t>45</w:t>
            </w:r>
          </w:p>
          <w:p w14:paraId="59F645BC" w14:textId="77777777" w:rsidR="008A1A1C" w:rsidRPr="00530A97" w:rsidRDefault="008A1A1C" w:rsidP="00530A97">
            <w:pPr>
              <w:rPr>
                <w:sz w:val="18"/>
                <w:szCs w:val="18"/>
              </w:rPr>
            </w:pPr>
          </w:p>
          <w:p w14:paraId="57DE17A9" w14:textId="77777777" w:rsidR="008A1A1C" w:rsidRPr="00530A97" w:rsidRDefault="008A1A1C" w:rsidP="00530A97">
            <w:pPr>
              <w:rPr>
                <w:sz w:val="18"/>
                <w:szCs w:val="18"/>
              </w:rPr>
            </w:pPr>
          </w:p>
          <w:p w14:paraId="7E3E8A7A" w14:textId="77777777" w:rsidR="008A1A1C" w:rsidRPr="00530A97" w:rsidRDefault="008A1A1C" w:rsidP="00530A97">
            <w:pPr>
              <w:rPr>
                <w:sz w:val="18"/>
                <w:szCs w:val="18"/>
              </w:rPr>
            </w:pPr>
            <w:r w:rsidRPr="00530A97">
              <w:rPr>
                <w:sz w:val="18"/>
                <w:szCs w:val="18"/>
              </w:rPr>
              <w:t>70</w:t>
            </w:r>
          </w:p>
          <w:p w14:paraId="40537397" w14:textId="77777777" w:rsidR="00F1528F" w:rsidRPr="00530A97" w:rsidRDefault="00F1528F" w:rsidP="00530A97">
            <w:pPr>
              <w:rPr>
                <w:sz w:val="18"/>
                <w:szCs w:val="18"/>
              </w:rPr>
            </w:pPr>
          </w:p>
          <w:p w14:paraId="5C8638B4" w14:textId="77777777" w:rsidR="008A1A1C" w:rsidRPr="00530A97" w:rsidRDefault="008A1A1C" w:rsidP="00530A97">
            <w:pPr>
              <w:rPr>
                <w:sz w:val="18"/>
                <w:szCs w:val="18"/>
              </w:rPr>
            </w:pPr>
            <w:r w:rsidRPr="00530A97">
              <w:rPr>
                <w:sz w:val="18"/>
                <w:szCs w:val="18"/>
              </w:rPr>
              <w:t>81</w:t>
            </w:r>
          </w:p>
          <w:p w14:paraId="243A2ADB" w14:textId="77777777" w:rsidR="008A1A1C" w:rsidRPr="00530A97" w:rsidRDefault="008A1A1C" w:rsidP="00530A97">
            <w:pPr>
              <w:rPr>
                <w:sz w:val="18"/>
                <w:szCs w:val="18"/>
              </w:rPr>
            </w:pPr>
          </w:p>
          <w:p w14:paraId="668AE8C0" w14:textId="77777777" w:rsidR="008A1A1C" w:rsidRPr="00530A97" w:rsidRDefault="008A1A1C" w:rsidP="00530A97">
            <w:pPr>
              <w:rPr>
                <w:sz w:val="18"/>
                <w:szCs w:val="18"/>
              </w:rPr>
            </w:pPr>
          </w:p>
        </w:tc>
        <w:tc>
          <w:tcPr>
            <w:tcW w:w="879" w:type="dxa"/>
          </w:tcPr>
          <w:p w14:paraId="7A0FFBBE" w14:textId="77777777" w:rsidR="008A1A1C" w:rsidRPr="00530A97" w:rsidRDefault="008A1A1C" w:rsidP="00530A97">
            <w:pPr>
              <w:rPr>
                <w:sz w:val="18"/>
                <w:szCs w:val="18"/>
              </w:rPr>
            </w:pPr>
          </w:p>
          <w:p w14:paraId="52399ABD" w14:textId="77777777" w:rsidR="008A1A1C" w:rsidRPr="00530A97" w:rsidRDefault="008A1A1C" w:rsidP="00530A97">
            <w:pPr>
              <w:rPr>
                <w:sz w:val="18"/>
                <w:szCs w:val="18"/>
              </w:rPr>
            </w:pPr>
          </w:p>
          <w:p w14:paraId="06F22219" w14:textId="77777777" w:rsidR="008A1A1C" w:rsidRPr="00530A97" w:rsidRDefault="008A1A1C" w:rsidP="00530A97">
            <w:pPr>
              <w:rPr>
                <w:sz w:val="18"/>
                <w:szCs w:val="18"/>
              </w:rPr>
            </w:pPr>
            <w:r w:rsidRPr="00530A97">
              <w:rPr>
                <w:sz w:val="18"/>
                <w:szCs w:val="18"/>
              </w:rPr>
              <w:t>30</w:t>
            </w:r>
          </w:p>
          <w:p w14:paraId="1212DFF8" w14:textId="77777777" w:rsidR="008A1A1C" w:rsidRPr="00530A97" w:rsidRDefault="008A1A1C" w:rsidP="00530A97">
            <w:pPr>
              <w:rPr>
                <w:sz w:val="18"/>
                <w:szCs w:val="18"/>
              </w:rPr>
            </w:pPr>
          </w:p>
          <w:p w14:paraId="7926DA1F" w14:textId="77777777" w:rsidR="008A1A1C" w:rsidRPr="00530A97" w:rsidRDefault="008A1A1C" w:rsidP="00530A97">
            <w:pPr>
              <w:rPr>
                <w:sz w:val="18"/>
                <w:szCs w:val="18"/>
              </w:rPr>
            </w:pPr>
          </w:p>
          <w:p w14:paraId="628ADDD5" w14:textId="77777777" w:rsidR="008A1A1C" w:rsidRPr="00530A97" w:rsidRDefault="008A1A1C" w:rsidP="00530A97">
            <w:pPr>
              <w:rPr>
                <w:sz w:val="18"/>
                <w:szCs w:val="18"/>
              </w:rPr>
            </w:pPr>
          </w:p>
          <w:p w14:paraId="046D16EA" w14:textId="77777777" w:rsidR="008A1A1C" w:rsidRPr="00530A97" w:rsidRDefault="008A1A1C" w:rsidP="00530A97">
            <w:pPr>
              <w:rPr>
                <w:sz w:val="18"/>
                <w:szCs w:val="18"/>
              </w:rPr>
            </w:pPr>
          </w:p>
          <w:p w14:paraId="6814BD03" w14:textId="77777777" w:rsidR="008A1A1C" w:rsidRPr="00530A97" w:rsidRDefault="008A1A1C" w:rsidP="00530A97">
            <w:pPr>
              <w:rPr>
                <w:sz w:val="18"/>
                <w:szCs w:val="18"/>
              </w:rPr>
            </w:pPr>
            <w:r w:rsidRPr="00530A97">
              <w:rPr>
                <w:sz w:val="18"/>
                <w:szCs w:val="18"/>
              </w:rPr>
              <w:t>59</w:t>
            </w:r>
          </w:p>
        </w:tc>
        <w:tc>
          <w:tcPr>
            <w:tcW w:w="1418" w:type="dxa"/>
          </w:tcPr>
          <w:p w14:paraId="7EA40A28" w14:textId="77777777" w:rsidR="008A1A1C" w:rsidRPr="00530A97" w:rsidRDefault="008A1A1C" w:rsidP="00530A97">
            <w:pPr>
              <w:rPr>
                <w:sz w:val="18"/>
                <w:szCs w:val="18"/>
              </w:rPr>
            </w:pPr>
          </w:p>
        </w:tc>
        <w:tc>
          <w:tcPr>
            <w:tcW w:w="1388" w:type="dxa"/>
          </w:tcPr>
          <w:p w14:paraId="76269A36" w14:textId="77777777" w:rsidR="008A1A1C" w:rsidRPr="00530A97" w:rsidRDefault="008A1A1C" w:rsidP="00530A97">
            <w:pPr>
              <w:rPr>
                <w:sz w:val="18"/>
                <w:szCs w:val="18"/>
              </w:rPr>
            </w:pPr>
          </w:p>
        </w:tc>
        <w:tc>
          <w:tcPr>
            <w:tcW w:w="1418" w:type="dxa"/>
          </w:tcPr>
          <w:p w14:paraId="41F70938" w14:textId="77777777" w:rsidR="008A1A1C" w:rsidRPr="00530A97" w:rsidRDefault="008A1A1C" w:rsidP="00530A97">
            <w:pPr>
              <w:rPr>
                <w:sz w:val="18"/>
                <w:szCs w:val="18"/>
              </w:rPr>
            </w:pPr>
          </w:p>
          <w:p w14:paraId="3D299012" w14:textId="77777777" w:rsidR="008A1A1C" w:rsidRPr="00530A97" w:rsidRDefault="008A1A1C" w:rsidP="00530A97">
            <w:pPr>
              <w:rPr>
                <w:sz w:val="18"/>
                <w:szCs w:val="18"/>
              </w:rPr>
            </w:pPr>
          </w:p>
          <w:p w14:paraId="7E88DD80" w14:textId="77777777" w:rsidR="008A1A1C" w:rsidRPr="00530A97" w:rsidRDefault="008A1A1C" w:rsidP="00530A97">
            <w:pPr>
              <w:rPr>
                <w:sz w:val="18"/>
                <w:szCs w:val="18"/>
              </w:rPr>
            </w:pPr>
          </w:p>
          <w:p w14:paraId="63A664F8" w14:textId="77777777" w:rsidR="008A1A1C" w:rsidRPr="00530A97" w:rsidRDefault="008A1A1C" w:rsidP="00530A97">
            <w:pPr>
              <w:rPr>
                <w:sz w:val="18"/>
                <w:szCs w:val="18"/>
              </w:rPr>
            </w:pPr>
            <w:r w:rsidRPr="00530A97">
              <w:rPr>
                <w:sz w:val="18"/>
                <w:szCs w:val="18"/>
              </w:rPr>
              <w:lastRenderedPageBreak/>
              <w:t>32</w:t>
            </w:r>
          </w:p>
          <w:p w14:paraId="017C6679" w14:textId="77777777" w:rsidR="008A1A1C" w:rsidRPr="00530A97" w:rsidRDefault="008A1A1C" w:rsidP="00530A97">
            <w:pPr>
              <w:rPr>
                <w:sz w:val="18"/>
                <w:szCs w:val="18"/>
              </w:rPr>
            </w:pPr>
            <w:r w:rsidRPr="00530A97">
              <w:rPr>
                <w:sz w:val="18"/>
                <w:szCs w:val="18"/>
              </w:rPr>
              <w:t>20</w:t>
            </w:r>
          </w:p>
          <w:p w14:paraId="1C73E469" w14:textId="77777777" w:rsidR="008A1A1C" w:rsidRPr="00530A97" w:rsidRDefault="008A1A1C" w:rsidP="00530A97">
            <w:pPr>
              <w:rPr>
                <w:sz w:val="18"/>
                <w:szCs w:val="18"/>
              </w:rPr>
            </w:pPr>
          </w:p>
          <w:p w14:paraId="250E4951" w14:textId="77777777" w:rsidR="008A1A1C" w:rsidRPr="00530A97" w:rsidRDefault="008A1A1C" w:rsidP="00530A97">
            <w:pPr>
              <w:rPr>
                <w:sz w:val="18"/>
                <w:szCs w:val="18"/>
              </w:rPr>
            </w:pPr>
            <w:r w:rsidRPr="00530A97">
              <w:rPr>
                <w:sz w:val="18"/>
                <w:szCs w:val="18"/>
              </w:rPr>
              <w:t>48</w:t>
            </w:r>
          </w:p>
          <w:p w14:paraId="301F7E1C" w14:textId="77777777" w:rsidR="008A1A1C" w:rsidRPr="00530A97" w:rsidRDefault="008A1A1C" w:rsidP="00530A97">
            <w:pPr>
              <w:rPr>
                <w:sz w:val="18"/>
                <w:szCs w:val="18"/>
              </w:rPr>
            </w:pPr>
          </w:p>
          <w:p w14:paraId="4335B38D" w14:textId="77777777" w:rsidR="008A1A1C" w:rsidRPr="00530A97" w:rsidRDefault="008A1A1C" w:rsidP="00530A97">
            <w:pPr>
              <w:rPr>
                <w:sz w:val="18"/>
                <w:szCs w:val="18"/>
              </w:rPr>
            </w:pPr>
            <w:r w:rsidRPr="00530A97">
              <w:rPr>
                <w:sz w:val="18"/>
                <w:szCs w:val="18"/>
              </w:rPr>
              <w:t>34</w:t>
            </w:r>
          </w:p>
          <w:p w14:paraId="7E361354" w14:textId="77777777" w:rsidR="008A1A1C" w:rsidRPr="00530A97" w:rsidRDefault="008A1A1C" w:rsidP="00530A97">
            <w:pPr>
              <w:rPr>
                <w:sz w:val="18"/>
                <w:szCs w:val="18"/>
              </w:rPr>
            </w:pPr>
            <w:r w:rsidRPr="00530A97">
              <w:rPr>
                <w:sz w:val="18"/>
                <w:szCs w:val="18"/>
              </w:rPr>
              <w:t>28</w:t>
            </w:r>
          </w:p>
          <w:p w14:paraId="7B9083A2" w14:textId="77777777" w:rsidR="008A1A1C" w:rsidRPr="00530A97" w:rsidRDefault="008A1A1C" w:rsidP="00530A97">
            <w:pPr>
              <w:rPr>
                <w:sz w:val="18"/>
                <w:szCs w:val="18"/>
              </w:rPr>
            </w:pPr>
            <w:r w:rsidRPr="00530A97">
              <w:rPr>
                <w:sz w:val="18"/>
                <w:szCs w:val="18"/>
              </w:rPr>
              <w:t>70</w:t>
            </w:r>
          </w:p>
        </w:tc>
        <w:tc>
          <w:tcPr>
            <w:tcW w:w="1134" w:type="dxa"/>
          </w:tcPr>
          <w:p w14:paraId="7216E372" w14:textId="77777777" w:rsidR="008A1A1C" w:rsidRPr="00530A97" w:rsidRDefault="008A1A1C" w:rsidP="00530A97">
            <w:pPr>
              <w:rPr>
                <w:sz w:val="18"/>
                <w:szCs w:val="18"/>
              </w:rPr>
            </w:pPr>
          </w:p>
          <w:p w14:paraId="73208785" w14:textId="77777777" w:rsidR="008A1A1C" w:rsidRPr="00530A97" w:rsidRDefault="008A1A1C" w:rsidP="00530A97">
            <w:pPr>
              <w:rPr>
                <w:sz w:val="18"/>
                <w:szCs w:val="18"/>
              </w:rPr>
            </w:pPr>
          </w:p>
          <w:p w14:paraId="41FBE3F1" w14:textId="77777777" w:rsidR="008A1A1C" w:rsidRPr="00530A97" w:rsidRDefault="008A1A1C" w:rsidP="00530A97">
            <w:pPr>
              <w:rPr>
                <w:sz w:val="18"/>
                <w:szCs w:val="18"/>
              </w:rPr>
            </w:pPr>
            <w:r w:rsidRPr="00530A97">
              <w:rPr>
                <w:sz w:val="18"/>
                <w:szCs w:val="18"/>
              </w:rPr>
              <w:t>75</w:t>
            </w:r>
          </w:p>
          <w:p w14:paraId="77645A4E" w14:textId="77777777" w:rsidR="008A1A1C" w:rsidRPr="00530A97" w:rsidRDefault="008A1A1C" w:rsidP="00530A97">
            <w:pPr>
              <w:rPr>
                <w:sz w:val="18"/>
                <w:szCs w:val="18"/>
              </w:rPr>
            </w:pPr>
            <w:r w:rsidRPr="00530A97">
              <w:rPr>
                <w:sz w:val="18"/>
                <w:szCs w:val="18"/>
              </w:rPr>
              <w:lastRenderedPageBreak/>
              <w:t>32</w:t>
            </w:r>
          </w:p>
          <w:p w14:paraId="5FE966A8" w14:textId="77777777" w:rsidR="008A1A1C" w:rsidRPr="00530A97" w:rsidRDefault="008A1A1C" w:rsidP="00530A97">
            <w:pPr>
              <w:rPr>
                <w:sz w:val="18"/>
                <w:szCs w:val="18"/>
              </w:rPr>
            </w:pPr>
            <w:r w:rsidRPr="00530A97">
              <w:rPr>
                <w:sz w:val="18"/>
                <w:szCs w:val="18"/>
              </w:rPr>
              <w:t>20</w:t>
            </w:r>
          </w:p>
          <w:p w14:paraId="181432D8" w14:textId="77777777" w:rsidR="008A1A1C" w:rsidRPr="00530A97" w:rsidRDefault="008A1A1C" w:rsidP="00530A97">
            <w:pPr>
              <w:rPr>
                <w:sz w:val="18"/>
                <w:szCs w:val="18"/>
              </w:rPr>
            </w:pPr>
            <w:r w:rsidRPr="00530A97">
              <w:rPr>
                <w:sz w:val="18"/>
                <w:szCs w:val="18"/>
              </w:rPr>
              <w:t>70</w:t>
            </w:r>
          </w:p>
          <w:p w14:paraId="59EF4CF4" w14:textId="77777777" w:rsidR="008A1A1C" w:rsidRPr="00530A97" w:rsidRDefault="008A1A1C" w:rsidP="00530A97">
            <w:pPr>
              <w:rPr>
                <w:sz w:val="18"/>
                <w:szCs w:val="18"/>
              </w:rPr>
            </w:pPr>
            <w:r w:rsidRPr="00530A97">
              <w:rPr>
                <w:sz w:val="18"/>
                <w:szCs w:val="18"/>
              </w:rPr>
              <w:t>48</w:t>
            </w:r>
          </w:p>
          <w:p w14:paraId="4C68073A" w14:textId="77777777" w:rsidR="008A1A1C" w:rsidRPr="00530A97" w:rsidRDefault="008A1A1C" w:rsidP="00530A97">
            <w:pPr>
              <w:rPr>
                <w:sz w:val="18"/>
                <w:szCs w:val="18"/>
              </w:rPr>
            </w:pPr>
            <w:r w:rsidRPr="00530A97">
              <w:rPr>
                <w:sz w:val="18"/>
                <w:szCs w:val="18"/>
              </w:rPr>
              <w:t>140</w:t>
            </w:r>
          </w:p>
          <w:p w14:paraId="4DEA2D10" w14:textId="77777777" w:rsidR="008A1A1C" w:rsidRPr="00530A97" w:rsidRDefault="008A1A1C" w:rsidP="00530A97">
            <w:pPr>
              <w:rPr>
                <w:sz w:val="18"/>
                <w:szCs w:val="18"/>
              </w:rPr>
            </w:pPr>
            <w:r w:rsidRPr="00530A97">
              <w:rPr>
                <w:sz w:val="18"/>
                <w:szCs w:val="18"/>
              </w:rPr>
              <w:t>34</w:t>
            </w:r>
          </w:p>
          <w:p w14:paraId="2BCF955B" w14:textId="77777777" w:rsidR="008A1A1C" w:rsidRPr="00530A97" w:rsidRDefault="008A1A1C" w:rsidP="00530A97">
            <w:pPr>
              <w:rPr>
                <w:sz w:val="18"/>
                <w:szCs w:val="18"/>
              </w:rPr>
            </w:pPr>
            <w:r w:rsidRPr="00530A97">
              <w:rPr>
                <w:sz w:val="18"/>
                <w:szCs w:val="18"/>
              </w:rPr>
              <w:t>28</w:t>
            </w:r>
          </w:p>
          <w:p w14:paraId="55A19607" w14:textId="77777777" w:rsidR="008A1A1C" w:rsidRPr="00530A97" w:rsidRDefault="008A1A1C" w:rsidP="00530A97">
            <w:pPr>
              <w:rPr>
                <w:sz w:val="18"/>
                <w:szCs w:val="18"/>
              </w:rPr>
            </w:pPr>
            <w:r w:rsidRPr="00530A97">
              <w:rPr>
                <w:sz w:val="18"/>
                <w:szCs w:val="18"/>
              </w:rPr>
              <w:t>70</w:t>
            </w:r>
          </w:p>
        </w:tc>
      </w:tr>
      <w:tr w:rsidR="008A1A1C" w:rsidRPr="00965D70" w14:paraId="19321E34" w14:textId="77777777" w:rsidTr="00965D70">
        <w:tc>
          <w:tcPr>
            <w:tcW w:w="1838" w:type="dxa"/>
          </w:tcPr>
          <w:p w14:paraId="7504E5F0" w14:textId="77777777" w:rsidR="008A1A1C" w:rsidRPr="00530A97" w:rsidRDefault="008A1A1C" w:rsidP="00530A97">
            <w:pPr>
              <w:rPr>
                <w:sz w:val="18"/>
                <w:szCs w:val="18"/>
              </w:rPr>
            </w:pPr>
            <w:r w:rsidRPr="00530A97">
              <w:rPr>
                <w:sz w:val="18"/>
                <w:szCs w:val="18"/>
              </w:rPr>
              <w:lastRenderedPageBreak/>
              <w:t>Dose finding</w:t>
            </w:r>
          </w:p>
          <w:p w14:paraId="57F61BCD" w14:textId="77777777" w:rsidR="008A1A1C" w:rsidRPr="00530A97" w:rsidRDefault="008A1A1C" w:rsidP="00530A97">
            <w:pPr>
              <w:rPr>
                <w:sz w:val="18"/>
                <w:szCs w:val="18"/>
              </w:rPr>
            </w:pPr>
            <w:r w:rsidRPr="00530A97">
              <w:rPr>
                <w:sz w:val="18"/>
                <w:szCs w:val="18"/>
              </w:rPr>
              <w:t>052</w:t>
            </w:r>
          </w:p>
          <w:p w14:paraId="17956BCE" w14:textId="77777777" w:rsidR="008A1A1C" w:rsidRPr="00530A97" w:rsidRDefault="008A1A1C" w:rsidP="00530A97">
            <w:pPr>
              <w:rPr>
                <w:sz w:val="18"/>
                <w:szCs w:val="18"/>
              </w:rPr>
            </w:pPr>
            <w:r w:rsidRPr="00530A97">
              <w:rPr>
                <w:sz w:val="18"/>
                <w:szCs w:val="18"/>
              </w:rPr>
              <w:t>051</w:t>
            </w:r>
          </w:p>
        </w:tc>
        <w:tc>
          <w:tcPr>
            <w:tcW w:w="1389" w:type="dxa"/>
            <w:gridSpan w:val="2"/>
          </w:tcPr>
          <w:p w14:paraId="5A5579A1" w14:textId="77777777" w:rsidR="008A1A1C" w:rsidRPr="00530A97" w:rsidRDefault="008A1A1C" w:rsidP="00530A97">
            <w:pPr>
              <w:rPr>
                <w:sz w:val="18"/>
                <w:szCs w:val="18"/>
              </w:rPr>
            </w:pPr>
          </w:p>
          <w:p w14:paraId="1C27ED62" w14:textId="77777777" w:rsidR="008A1A1C" w:rsidRPr="00530A97" w:rsidRDefault="008A1A1C" w:rsidP="00530A97">
            <w:pPr>
              <w:rPr>
                <w:sz w:val="18"/>
                <w:szCs w:val="18"/>
              </w:rPr>
            </w:pPr>
            <w:r w:rsidRPr="00530A97">
              <w:rPr>
                <w:sz w:val="18"/>
                <w:szCs w:val="18"/>
              </w:rPr>
              <w:t>18</w:t>
            </w:r>
          </w:p>
          <w:p w14:paraId="42CA7E8D" w14:textId="77777777" w:rsidR="008A1A1C" w:rsidRPr="00530A97" w:rsidRDefault="008A1A1C" w:rsidP="00530A97">
            <w:pPr>
              <w:rPr>
                <w:sz w:val="18"/>
                <w:szCs w:val="18"/>
              </w:rPr>
            </w:pPr>
            <w:r w:rsidRPr="00530A97">
              <w:rPr>
                <w:sz w:val="18"/>
                <w:szCs w:val="18"/>
              </w:rPr>
              <w:t>36</w:t>
            </w:r>
          </w:p>
        </w:tc>
        <w:tc>
          <w:tcPr>
            <w:tcW w:w="879" w:type="dxa"/>
          </w:tcPr>
          <w:p w14:paraId="6D65B8AB" w14:textId="77777777" w:rsidR="008A1A1C" w:rsidRPr="00530A97" w:rsidRDefault="008A1A1C" w:rsidP="00530A97">
            <w:pPr>
              <w:rPr>
                <w:sz w:val="18"/>
                <w:szCs w:val="18"/>
              </w:rPr>
            </w:pPr>
          </w:p>
        </w:tc>
        <w:tc>
          <w:tcPr>
            <w:tcW w:w="1418" w:type="dxa"/>
          </w:tcPr>
          <w:p w14:paraId="726A62F7" w14:textId="77777777" w:rsidR="008A1A1C" w:rsidRPr="00530A97" w:rsidRDefault="008A1A1C" w:rsidP="00530A97">
            <w:pPr>
              <w:rPr>
                <w:sz w:val="18"/>
                <w:szCs w:val="18"/>
              </w:rPr>
            </w:pPr>
          </w:p>
        </w:tc>
        <w:tc>
          <w:tcPr>
            <w:tcW w:w="1388" w:type="dxa"/>
          </w:tcPr>
          <w:p w14:paraId="76639ED4" w14:textId="77777777" w:rsidR="008A1A1C" w:rsidRPr="00530A97" w:rsidRDefault="008A1A1C" w:rsidP="00530A97">
            <w:pPr>
              <w:rPr>
                <w:sz w:val="18"/>
                <w:szCs w:val="18"/>
              </w:rPr>
            </w:pPr>
          </w:p>
          <w:p w14:paraId="66D12A04" w14:textId="77777777" w:rsidR="008A1A1C" w:rsidRPr="00530A97" w:rsidRDefault="008A1A1C" w:rsidP="00530A97">
            <w:pPr>
              <w:rPr>
                <w:sz w:val="18"/>
                <w:szCs w:val="18"/>
              </w:rPr>
            </w:pPr>
          </w:p>
          <w:p w14:paraId="0145D72A" w14:textId="77777777" w:rsidR="008A1A1C" w:rsidRPr="00530A97" w:rsidRDefault="008A1A1C" w:rsidP="00530A97">
            <w:pPr>
              <w:rPr>
                <w:sz w:val="18"/>
                <w:szCs w:val="18"/>
              </w:rPr>
            </w:pPr>
            <w:r w:rsidRPr="00530A97">
              <w:rPr>
                <w:sz w:val="18"/>
                <w:szCs w:val="18"/>
              </w:rPr>
              <w:t>12</w:t>
            </w:r>
          </w:p>
        </w:tc>
        <w:tc>
          <w:tcPr>
            <w:tcW w:w="1418" w:type="dxa"/>
          </w:tcPr>
          <w:p w14:paraId="6F5C1576" w14:textId="77777777" w:rsidR="008A1A1C" w:rsidRPr="00530A97" w:rsidRDefault="008A1A1C" w:rsidP="00530A97">
            <w:pPr>
              <w:rPr>
                <w:sz w:val="18"/>
                <w:szCs w:val="18"/>
              </w:rPr>
            </w:pPr>
          </w:p>
        </w:tc>
        <w:tc>
          <w:tcPr>
            <w:tcW w:w="1134" w:type="dxa"/>
          </w:tcPr>
          <w:p w14:paraId="3AB03A58" w14:textId="77777777" w:rsidR="008A1A1C" w:rsidRPr="00530A97" w:rsidRDefault="008A1A1C" w:rsidP="00530A97">
            <w:pPr>
              <w:rPr>
                <w:sz w:val="18"/>
                <w:szCs w:val="18"/>
              </w:rPr>
            </w:pPr>
          </w:p>
          <w:p w14:paraId="15BB0555" w14:textId="77777777" w:rsidR="008A1A1C" w:rsidRPr="00530A97" w:rsidRDefault="008A1A1C" w:rsidP="00530A97">
            <w:pPr>
              <w:rPr>
                <w:sz w:val="18"/>
                <w:szCs w:val="18"/>
              </w:rPr>
            </w:pPr>
            <w:r w:rsidRPr="00530A97">
              <w:rPr>
                <w:sz w:val="18"/>
                <w:szCs w:val="18"/>
              </w:rPr>
              <w:t>18</w:t>
            </w:r>
          </w:p>
          <w:p w14:paraId="42C84CAB" w14:textId="77777777" w:rsidR="008A1A1C" w:rsidRPr="00530A97" w:rsidRDefault="008A1A1C" w:rsidP="00530A97">
            <w:pPr>
              <w:rPr>
                <w:sz w:val="18"/>
                <w:szCs w:val="18"/>
              </w:rPr>
            </w:pPr>
            <w:r w:rsidRPr="00530A97">
              <w:rPr>
                <w:sz w:val="18"/>
                <w:szCs w:val="18"/>
              </w:rPr>
              <w:t>48</w:t>
            </w:r>
          </w:p>
        </w:tc>
      </w:tr>
      <w:tr w:rsidR="008A1A1C" w:rsidRPr="00965D70" w14:paraId="1A3D2818" w14:textId="77777777" w:rsidTr="00965D70">
        <w:tc>
          <w:tcPr>
            <w:tcW w:w="1838" w:type="dxa"/>
          </w:tcPr>
          <w:p w14:paraId="32BD81D0" w14:textId="77777777" w:rsidR="008A1A1C" w:rsidRPr="00530A97" w:rsidRDefault="00F1528F" w:rsidP="00530A97">
            <w:pPr>
              <w:rPr>
                <w:sz w:val="18"/>
                <w:szCs w:val="18"/>
              </w:rPr>
            </w:pPr>
            <w:r w:rsidRPr="00530A97">
              <w:rPr>
                <w:sz w:val="18"/>
                <w:szCs w:val="18"/>
              </w:rPr>
              <w:t>Phase I</w:t>
            </w:r>
            <w:r w:rsidR="008A1A1C" w:rsidRPr="00530A97">
              <w:rPr>
                <w:sz w:val="18"/>
                <w:szCs w:val="18"/>
              </w:rPr>
              <w:t xml:space="preserve"> malaria challenge</w:t>
            </w:r>
          </w:p>
        </w:tc>
        <w:tc>
          <w:tcPr>
            <w:tcW w:w="1389" w:type="dxa"/>
            <w:gridSpan w:val="2"/>
          </w:tcPr>
          <w:p w14:paraId="2B29E8FF" w14:textId="77777777" w:rsidR="008A1A1C" w:rsidRPr="00530A97" w:rsidRDefault="008A1A1C" w:rsidP="00530A97">
            <w:pPr>
              <w:rPr>
                <w:sz w:val="18"/>
                <w:szCs w:val="18"/>
              </w:rPr>
            </w:pPr>
          </w:p>
        </w:tc>
        <w:tc>
          <w:tcPr>
            <w:tcW w:w="879" w:type="dxa"/>
          </w:tcPr>
          <w:p w14:paraId="01DC4FB7" w14:textId="77777777" w:rsidR="008A1A1C" w:rsidRPr="00530A97" w:rsidRDefault="008A1A1C" w:rsidP="00530A97">
            <w:pPr>
              <w:rPr>
                <w:sz w:val="18"/>
                <w:szCs w:val="18"/>
              </w:rPr>
            </w:pPr>
          </w:p>
        </w:tc>
        <w:tc>
          <w:tcPr>
            <w:tcW w:w="1418" w:type="dxa"/>
          </w:tcPr>
          <w:p w14:paraId="7BEAC11F" w14:textId="77777777" w:rsidR="008A1A1C" w:rsidRPr="00530A97" w:rsidRDefault="008A1A1C" w:rsidP="00530A97">
            <w:pPr>
              <w:rPr>
                <w:sz w:val="18"/>
                <w:szCs w:val="18"/>
              </w:rPr>
            </w:pPr>
          </w:p>
        </w:tc>
        <w:tc>
          <w:tcPr>
            <w:tcW w:w="1388" w:type="dxa"/>
          </w:tcPr>
          <w:p w14:paraId="77FFB174" w14:textId="77777777" w:rsidR="008A1A1C" w:rsidRPr="00530A97" w:rsidRDefault="008A1A1C" w:rsidP="00530A97">
            <w:pPr>
              <w:rPr>
                <w:sz w:val="18"/>
                <w:szCs w:val="18"/>
              </w:rPr>
            </w:pPr>
          </w:p>
        </w:tc>
        <w:tc>
          <w:tcPr>
            <w:tcW w:w="1418" w:type="dxa"/>
          </w:tcPr>
          <w:p w14:paraId="2747B557" w14:textId="77777777" w:rsidR="008A1A1C" w:rsidRPr="00530A97" w:rsidRDefault="008A1A1C" w:rsidP="00530A97">
            <w:pPr>
              <w:rPr>
                <w:sz w:val="18"/>
                <w:szCs w:val="18"/>
              </w:rPr>
            </w:pPr>
          </w:p>
        </w:tc>
        <w:tc>
          <w:tcPr>
            <w:tcW w:w="1134" w:type="dxa"/>
          </w:tcPr>
          <w:p w14:paraId="05048A60" w14:textId="77777777" w:rsidR="008A1A1C" w:rsidRPr="00530A97" w:rsidRDefault="008A1A1C" w:rsidP="00530A97">
            <w:pPr>
              <w:rPr>
                <w:sz w:val="18"/>
                <w:szCs w:val="18"/>
              </w:rPr>
            </w:pPr>
          </w:p>
        </w:tc>
      </w:tr>
      <w:tr w:rsidR="008A1A1C" w:rsidRPr="00965D70" w14:paraId="73EC385C" w14:textId="77777777" w:rsidTr="00965D70">
        <w:tc>
          <w:tcPr>
            <w:tcW w:w="1838" w:type="dxa"/>
          </w:tcPr>
          <w:p w14:paraId="3737E26F" w14:textId="77777777" w:rsidR="008A1A1C" w:rsidRPr="00530A97" w:rsidRDefault="008A1A1C" w:rsidP="00530A97">
            <w:pPr>
              <w:rPr>
                <w:sz w:val="18"/>
                <w:szCs w:val="18"/>
              </w:rPr>
            </w:pPr>
            <w:r w:rsidRPr="00530A97">
              <w:rPr>
                <w:sz w:val="18"/>
                <w:szCs w:val="18"/>
              </w:rPr>
              <w:t>Single dose</w:t>
            </w:r>
          </w:p>
          <w:p w14:paraId="75F67B43" w14:textId="77777777" w:rsidR="008A1A1C" w:rsidRPr="00530A97" w:rsidRDefault="008A1A1C" w:rsidP="00530A97">
            <w:pPr>
              <w:rPr>
                <w:sz w:val="18"/>
                <w:szCs w:val="18"/>
              </w:rPr>
            </w:pPr>
            <w:r w:rsidRPr="00530A97">
              <w:rPr>
                <w:sz w:val="18"/>
                <w:szCs w:val="18"/>
              </w:rPr>
              <w:t>053</w:t>
            </w:r>
          </w:p>
        </w:tc>
        <w:tc>
          <w:tcPr>
            <w:tcW w:w="1389" w:type="dxa"/>
            <w:gridSpan w:val="2"/>
          </w:tcPr>
          <w:p w14:paraId="0BE3A95C" w14:textId="77777777" w:rsidR="008A1A1C" w:rsidRPr="00530A97" w:rsidRDefault="008A1A1C" w:rsidP="00530A97">
            <w:pPr>
              <w:rPr>
                <w:sz w:val="18"/>
                <w:szCs w:val="18"/>
              </w:rPr>
            </w:pPr>
            <w:r w:rsidRPr="00530A97">
              <w:rPr>
                <w:sz w:val="18"/>
                <w:szCs w:val="18"/>
              </w:rPr>
              <w:t>6</w:t>
            </w:r>
          </w:p>
        </w:tc>
        <w:tc>
          <w:tcPr>
            <w:tcW w:w="879" w:type="dxa"/>
          </w:tcPr>
          <w:p w14:paraId="37E4F72E" w14:textId="77777777" w:rsidR="008A1A1C" w:rsidRPr="00530A97" w:rsidRDefault="008A1A1C" w:rsidP="00530A97">
            <w:pPr>
              <w:rPr>
                <w:sz w:val="18"/>
                <w:szCs w:val="18"/>
              </w:rPr>
            </w:pPr>
            <w:r w:rsidRPr="00530A97">
              <w:rPr>
                <w:sz w:val="18"/>
                <w:szCs w:val="18"/>
              </w:rPr>
              <w:t>6</w:t>
            </w:r>
          </w:p>
        </w:tc>
        <w:tc>
          <w:tcPr>
            <w:tcW w:w="1418" w:type="dxa"/>
          </w:tcPr>
          <w:p w14:paraId="65EB617F" w14:textId="77777777" w:rsidR="008A1A1C" w:rsidRPr="00530A97" w:rsidRDefault="008A1A1C" w:rsidP="00530A97">
            <w:pPr>
              <w:rPr>
                <w:sz w:val="18"/>
                <w:szCs w:val="18"/>
              </w:rPr>
            </w:pPr>
          </w:p>
        </w:tc>
        <w:tc>
          <w:tcPr>
            <w:tcW w:w="1388" w:type="dxa"/>
          </w:tcPr>
          <w:p w14:paraId="12083169" w14:textId="77777777" w:rsidR="008A1A1C" w:rsidRPr="00530A97" w:rsidRDefault="008A1A1C" w:rsidP="00530A97">
            <w:pPr>
              <w:rPr>
                <w:sz w:val="18"/>
                <w:szCs w:val="18"/>
              </w:rPr>
            </w:pPr>
          </w:p>
        </w:tc>
        <w:tc>
          <w:tcPr>
            <w:tcW w:w="1418" w:type="dxa"/>
          </w:tcPr>
          <w:p w14:paraId="5F5C4EAD" w14:textId="77777777" w:rsidR="008A1A1C" w:rsidRPr="00530A97" w:rsidRDefault="008A1A1C" w:rsidP="00530A97">
            <w:pPr>
              <w:rPr>
                <w:sz w:val="18"/>
                <w:szCs w:val="18"/>
              </w:rPr>
            </w:pPr>
          </w:p>
        </w:tc>
        <w:tc>
          <w:tcPr>
            <w:tcW w:w="1134" w:type="dxa"/>
          </w:tcPr>
          <w:p w14:paraId="73433243" w14:textId="77777777" w:rsidR="008A1A1C" w:rsidRPr="00530A97" w:rsidRDefault="008A1A1C" w:rsidP="00530A97">
            <w:pPr>
              <w:rPr>
                <w:sz w:val="18"/>
                <w:szCs w:val="18"/>
              </w:rPr>
            </w:pPr>
            <w:r w:rsidRPr="00530A97">
              <w:rPr>
                <w:sz w:val="18"/>
                <w:szCs w:val="18"/>
              </w:rPr>
              <w:t>12</w:t>
            </w:r>
          </w:p>
        </w:tc>
      </w:tr>
      <w:tr w:rsidR="008A1A1C" w:rsidRPr="00965D70" w14:paraId="0CB1E981" w14:textId="77777777" w:rsidTr="00965D70">
        <w:tc>
          <w:tcPr>
            <w:tcW w:w="1838" w:type="dxa"/>
          </w:tcPr>
          <w:p w14:paraId="483B23B9" w14:textId="77777777" w:rsidR="008A1A1C" w:rsidRPr="00530A97" w:rsidRDefault="008A1A1C" w:rsidP="00530A97">
            <w:pPr>
              <w:rPr>
                <w:sz w:val="18"/>
                <w:szCs w:val="18"/>
              </w:rPr>
            </w:pPr>
            <w:r w:rsidRPr="00530A97">
              <w:rPr>
                <w:sz w:val="18"/>
                <w:szCs w:val="18"/>
              </w:rPr>
              <w:t>Multiple dose</w:t>
            </w:r>
          </w:p>
          <w:p w14:paraId="1FD64541" w14:textId="77777777" w:rsidR="008A1A1C" w:rsidRPr="00530A97" w:rsidRDefault="008A1A1C" w:rsidP="00530A97">
            <w:pPr>
              <w:rPr>
                <w:sz w:val="18"/>
                <w:szCs w:val="18"/>
              </w:rPr>
            </w:pPr>
            <w:r w:rsidRPr="00530A97">
              <w:rPr>
                <w:sz w:val="18"/>
                <w:szCs w:val="18"/>
              </w:rPr>
              <w:t>054</w:t>
            </w:r>
          </w:p>
          <w:p w14:paraId="7A2B884E" w14:textId="77777777" w:rsidR="008A1A1C" w:rsidRPr="00530A97" w:rsidRDefault="008A1A1C" w:rsidP="00530A97">
            <w:pPr>
              <w:rPr>
                <w:sz w:val="18"/>
                <w:szCs w:val="18"/>
              </w:rPr>
            </w:pPr>
            <w:r w:rsidRPr="00530A97">
              <w:rPr>
                <w:sz w:val="18"/>
                <w:szCs w:val="18"/>
              </w:rPr>
              <w:t>TQ-2016-02</w:t>
            </w:r>
          </w:p>
        </w:tc>
        <w:tc>
          <w:tcPr>
            <w:tcW w:w="1389" w:type="dxa"/>
            <w:gridSpan w:val="2"/>
          </w:tcPr>
          <w:p w14:paraId="7319134A" w14:textId="77777777" w:rsidR="008A1A1C" w:rsidRPr="00530A97" w:rsidRDefault="008A1A1C" w:rsidP="00530A97">
            <w:pPr>
              <w:rPr>
                <w:sz w:val="18"/>
                <w:szCs w:val="18"/>
              </w:rPr>
            </w:pPr>
            <w:r w:rsidRPr="00530A97">
              <w:rPr>
                <w:sz w:val="18"/>
                <w:szCs w:val="18"/>
              </w:rPr>
              <w:t>10</w:t>
            </w:r>
          </w:p>
          <w:p w14:paraId="240600EF" w14:textId="77777777" w:rsidR="008A1A1C" w:rsidRPr="00530A97" w:rsidRDefault="008A1A1C" w:rsidP="00530A97">
            <w:pPr>
              <w:rPr>
                <w:sz w:val="18"/>
                <w:szCs w:val="18"/>
              </w:rPr>
            </w:pPr>
            <w:r w:rsidRPr="00530A97">
              <w:rPr>
                <w:sz w:val="18"/>
                <w:szCs w:val="18"/>
              </w:rPr>
              <w:t>16</w:t>
            </w:r>
          </w:p>
        </w:tc>
        <w:tc>
          <w:tcPr>
            <w:tcW w:w="879" w:type="dxa"/>
          </w:tcPr>
          <w:p w14:paraId="155E9ED4" w14:textId="77777777" w:rsidR="008A1A1C" w:rsidRPr="00530A97" w:rsidRDefault="008A1A1C" w:rsidP="00530A97">
            <w:pPr>
              <w:rPr>
                <w:sz w:val="18"/>
                <w:szCs w:val="18"/>
              </w:rPr>
            </w:pPr>
            <w:r w:rsidRPr="00530A97">
              <w:rPr>
                <w:sz w:val="18"/>
                <w:szCs w:val="18"/>
              </w:rPr>
              <w:t>10</w:t>
            </w:r>
          </w:p>
          <w:p w14:paraId="69FFE1DC" w14:textId="77777777" w:rsidR="008A1A1C" w:rsidRPr="00530A97" w:rsidRDefault="008A1A1C" w:rsidP="00530A97">
            <w:pPr>
              <w:rPr>
                <w:sz w:val="18"/>
                <w:szCs w:val="18"/>
              </w:rPr>
            </w:pPr>
            <w:r w:rsidRPr="00530A97">
              <w:rPr>
                <w:sz w:val="18"/>
                <w:szCs w:val="18"/>
              </w:rPr>
              <w:t>16</w:t>
            </w:r>
          </w:p>
        </w:tc>
        <w:tc>
          <w:tcPr>
            <w:tcW w:w="1418" w:type="dxa"/>
          </w:tcPr>
          <w:p w14:paraId="1888B3A1" w14:textId="77777777" w:rsidR="008A1A1C" w:rsidRPr="00530A97" w:rsidRDefault="008A1A1C" w:rsidP="00530A97">
            <w:pPr>
              <w:rPr>
                <w:sz w:val="18"/>
                <w:szCs w:val="18"/>
              </w:rPr>
            </w:pPr>
          </w:p>
        </w:tc>
        <w:tc>
          <w:tcPr>
            <w:tcW w:w="1388" w:type="dxa"/>
          </w:tcPr>
          <w:p w14:paraId="4F5FE0E2" w14:textId="77777777" w:rsidR="008A1A1C" w:rsidRPr="00530A97" w:rsidRDefault="008A1A1C" w:rsidP="00530A97">
            <w:pPr>
              <w:rPr>
                <w:sz w:val="18"/>
                <w:szCs w:val="18"/>
              </w:rPr>
            </w:pPr>
          </w:p>
        </w:tc>
        <w:tc>
          <w:tcPr>
            <w:tcW w:w="1418" w:type="dxa"/>
          </w:tcPr>
          <w:p w14:paraId="2C431D30" w14:textId="77777777" w:rsidR="008A1A1C" w:rsidRPr="00530A97" w:rsidRDefault="008A1A1C" w:rsidP="00530A97">
            <w:pPr>
              <w:rPr>
                <w:sz w:val="18"/>
                <w:szCs w:val="18"/>
              </w:rPr>
            </w:pPr>
          </w:p>
        </w:tc>
        <w:tc>
          <w:tcPr>
            <w:tcW w:w="1134" w:type="dxa"/>
          </w:tcPr>
          <w:p w14:paraId="25C3812C" w14:textId="77777777" w:rsidR="008A1A1C" w:rsidRPr="00530A97" w:rsidRDefault="008A1A1C" w:rsidP="00530A97">
            <w:pPr>
              <w:rPr>
                <w:sz w:val="18"/>
                <w:szCs w:val="18"/>
              </w:rPr>
            </w:pPr>
            <w:r w:rsidRPr="00530A97">
              <w:rPr>
                <w:sz w:val="18"/>
                <w:szCs w:val="18"/>
              </w:rPr>
              <w:t>20</w:t>
            </w:r>
          </w:p>
          <w:p w14:paraId="583F3A71" w14:textId="77777777" w:rsidR="008A1A1C" w:rsidRPr="00530A97" w:rsidRDefault="008A1A1C" w:rsidP="00530A97">
            <w:pPr>
              <w:rPr>
                <w:sz w:val="18"/>
                <w:szCs w:val="18"/>
              </w:rPr>
            </w:pPr>
            <w:r w:rsidRPr="00530A97">
              <w:rPr>
                <w:sz w:val="18"/>
                <w:szCs w:val="18"/>
              </w:rPr>
              <w:t>32</w:t>
            </w:r>
          </w:p>
        </w:tc>
      </w:tr>
      <w:tr w:rsidR="008A1A1C" w:rsidRPr="00965D70" w14:paraId="222656B6" w14:textId="77777777" w:rsidTr="00965D70">
        <w:tc>
          <w:tcPr>
            <w:tcW w:w="1838" w:type="dxa"/>
          </w:tcPr>
          <w:p w14:paraId="5FD26691" w14:textId="77777777" w:rsidR="008A1A1C" w:rsidRPr="00530A97" w:rsidRDefault="008A1A1C" w:rsidP="00FD726B">
            <w:pPr>
              <w:keepNext/>
              <w:rPr>
                <w:sz w:val="18"/>
                <w:szCs w:val="18"/>
                <w:lang w:eastAsia="en-US"/>
              </w:rPr>
            </w:pPr>
            <w:r w:rsidRPr="00530A97">
              <w:rPr>
                <w:sz w:val="18"/>
                <w:szCs w:val="18"/>
              </w:rPr>
              <w:t xml:space="preserve">Total </w:t>
            </w:r>
          </w:p>
        </w:tc>
        <w:tc>
          <w:tcPr>
            <w:tcW w:w="1389" w:type="dxa"/>
            <w:gridSpan w:val="2"/>
          </w:tcPr>
          <w:p w14:paraId="25B5B998" w14:textId="77777777" w:rsidR="008A1A1C" w:rsidRPr="00530A97" w:rsidRDefault="008A1A1C" w:rsidP="00530A97">
            <w:pPr>
              <w:rPr>
                <w:sz w:val="18"/>
                <w:szCs w:val="18"/>
              </w:rPr>
            </w:pPr>
            <w:r w:rsidRPr="00530A97">
              <w:rPr>
                <w:sz w:val="18"/>
                <w:szCs w:val="18"/>
              </w:rPr>
              <w:t>282</w:t>
            </w:r>
          </w:p>
        </w:tc>
        <w:tc>
          <w:tcPr>
            <w:tcW w:w="879" w:type="dxa"/>
          </w:tcPr>
          <w:p w14:paraId="479DCBCB" w14:textId="77777777" w:rsidR="008A1A1C" w:rsidRPr="00530A97" w:rsidRDefault="008A1A1C" w:rsidP="00530A97">
            <w:pPr>
              <w:rPr>
                <w:sz w:val="18"/>
                <w:szCs w:val="18"/>
              </w:rPr>
            </w:pPr>
            <w:r w:rsidRPr="00530A97">
              <w:rPr>
                <w:sz w:val="18"/>
                <w:szCs w:val="18"/>
              </w:rPr>
              <w:t>121</w:t>
            </w:r>
          </w:p>
        </w:tc>
        <w:tc>
          <w:tcPr>
            <w:tcW w:w="1418" w:type="dxa"/>
          </w:tcPr>
          <w:p w14:paraId="0BA000D8" w14:textId="77777777" w:rsidR="008A1A1C" w:rsidRPr="00530A97" w:rsidRDefault="008A1A1C" w:rsidP="00530A97">
            <w:pPr>
              <w:rPr>
                <w:sz w:val="18"/>
                <w:szCs w:val="18"/>
              </w:rPr>
            </w:pPr>
          </w:p>
        </w:tc>
        <w:tc>
          <w:tcPr>
            <w:tcW w:w="1388" w:type="dxa"/>
          </w:tcPr>
          <w:p w14:paraId="144D06A2" w14:textId="77777777" w:rsidR="008A1A1C" w:rsidRPr="00530A97" w:rsidRDefault="008A1A1C" w:rsidP="00530A97">
            <w:pPr>
              <w:rPr>
                <w:sz w:val="18"/>
                <w:szCs w:val="18"/>
              </w:rPr>
            </w:pPr>
            <w:r w:rsidRPr="00530A97">
              <w:rPr>
                <w:sz w:val="18"/>
                <w:szCs w:val="18"/>
              </w:rPr>
              <w:t>12</w:t>
            </w:r>
          </w:p>
        </w:tc>
        <w:tc>
          <w:tcPr>
            <w:tcW w:w="1418" w:type="dxa"/>
          </w:tcPr>
          <w:p w14:paraId="6A04361D" w14:textId="77777777" w:rsidR="008A1A1C" w:rsidRPr="00530A97" w:rsidRDefault="008A1A1C" w:rsidP="00530A97">
            <w:pPr>
              <w:rPr>
                <w:sz w:val="18"/>
                <w:szCs w:val="18"/>
              </w:rPr>
            </w:pPr>
            <w:r w:rsidRPr="00530A97">
              <w:rPr>
                <w:sz w:val="18"/>
                <w:szCs w:val="18"/>
              </w:rPr>
              <w:t>232</w:t>
            </w:r>
          </w:p>
        </w:tc>
        <w:tc>
          <w:tcPr>
            <w:tcW w:w="1134" w:type="dxa"/>
          </w:tcPr>
          <w:p w14:paraId="3E9CD864" w14:textId="77777777" w:rsidR="008A1A1C" w:rsidRPr="00530A97" w:rsidRDefault="008A1A1C" w:rsidP="00530A97">
            <w:pPr>
              <w:rPr>
                <w:sz w:val="18"/>
                <w:szCs w:val="18"/>
              </w:rPr>
            </w:pPr>
          </w:p>
        </w:tc>
      </w:tr>
      <w:tr w:rsidR="008A1A1C" w:rsidRPr="00965D70" w14:paraId="50A82C0D" w14:textId="77777777" w:rsidTr="00965D70">
        <w:tc>
          <w:tcPr>
            <w:tcW w:w="4106" w:type="dxa"/>
            <w:gridSpan w:val="4"/>
          </w:tcPr>
          <w:p w14:paraId="33D94A8D" w14:textId="77777777" w:rsidR="008A1A1C" w:rsidRPr="00530A97" w:rsidRDefault="00F1528F" w:rsidP="00530A97">
            <w:pPr>
              <w:rPr>
                <w:sz w:val="18"/>
                <w:szCs w:val="18"/>
              </w:rPr>
            </w:pPr>
            <w:r w:rsidRPr="00530A97">
              <w:rPr>
                <w:sz w:val="18"/>
                <w:szCs w:val="18"/>
              </w:rPr>
              <w:t>Phase II</w:t>
            </w:r>
            <w:r w:rsidR="008A1A1C" w:rsidRPr="00530A97">
              <w:rPr>
                <w:sz w:val="18"/>
                <w:szCs w:val="18"/>
              </w:rPr>
              <w:t xml:space="preserve"> and </w:t>
            </w:r>
            <w:r w:rsidR="00965D70" w:rsidRPr="00530A97">
              <w:rPr>
                <w:sz w:val="18"/>
                <w:szCs w:val="18"/>
              </w:rPr>
              <w:t>III</w:t>
            </w:r>
            <w:r w:rsidR="008A1A1C" w:rsidRPr="00530A97">
              <w:rPr>
                <w:sz w:val="18"/>
                <w:szCs w:val="18"/>
              </w:rPr>
              <w:t xml:space="preserve"> Indication </w:t>
            </w:r>
          </w:p>
        </w:tc>
        <w:tc>
          <w:tcPr>
            <w:tcW w:w="1418" w:type="dxa"/>
          </w:tcPr>
          <w:p w14:paraId="320DD32C" w14:textId="77777777" w:rsidR="008A1A1C" w:rsidRPr="00530A97" w:rsidRDefault="008A1A1C" w:rsidP="00530A97">
            <w:pPr>
              <w:rPr>
                <w:sz w:val="18"/>
                <w:szCs w:val="18"/>
              </w:rPr>
            </w:pPr>
          </w:p>
        </w:tc>
        <w:tc>
          <w:tcPr>
            <w:tcW w:w="1388" w:type="dxa"/>
          </w:tcPr>
          <w:p w14:paraId="576B118E" w14:textId="77777777" w:rsidR="008A1A1C" w:rsidRPr="00530A97" w:rsidRDefault="008A1A1C" w:rsidP="00530A97">
            <w:pPr>
              <w:rPr>
                <w:sz w:val="18"/>
                <w:szCs w:val="18"/>
              </w:rPr>
            </w:pPr>
          </w:p>
        </w:tc>
        <w:tc>
          <w:tcPr>
            <w:tcW w:w="1418" w:type="dxa"/>
          </w:tcPr>
          <w:p w14:paraId="418D54DE" w14:textId="77777777" w:rsidR="008A1A1C" w:rsidRPr="00530A97" w:rsidRDefault="008A1A1C" w:rsidP="00530A97">
            <w:pPr>
              <w:rPr>
                <w:sz w:val="18"/>
                <w:szCs w:val="18"/>
              </w:rPr>
            </w:pPr>
          </w:p>
        </w:tc>
        <w:tc>
          <w:tcPr>
            <w:tcW w:w="1134" w:type="dxa"/>
          </w:tcPr>
          <w:p w14:paraId="65FDB225" w14:textId="77777777" w:rsidR="008A1A1C" w:rsidRPr="00530A97" w:rsidRDefault="008A1A1C" w:rsidP="00530A97">
            <w:pPr>
              <w:rPr>
                <w:sz w:val="18"/>
                <w:szCs w:val="18"/>
              </w:rPr>
            </w:pPr>
          </w:p>
        </w:tc>
      </w:tr>
      <w:tr w:rsidR="008A1A1C" w:rsidRPr="00965D70" w14:paraId="308C773B" w14:textId="77777777" w:rsidTr="00965D70">
        <w:tc>
          <w:tcPr>
            <w:tcW w:w="1838" w:type="dxa"/>
          </w:tcPr>
          <w:p w14:paraId="5EAEDD2A" w14:textId="77777777" w:rsidR="008A1A1C" w:rsidRPr="00530A97" w:rsidRDefault="008A1A1C" w:rsidP="00530A97">
            <w:pPr>
              <w:rPr>
                <w:sz w:val="18"/>
                <w:szCs w:val="18"/>
              </w:rPr>
            </w:pPr>
            <w:r w:rsidRPr="00530A97">
              <w:rPr>
                <w:sz w:val="18"/>
                <w:szCs w:val="18"/>
              </w:rPr>
              <w:t>Malaria prophylaxis</w:t>
            </w:r>
          </w:p>
          <w:p w14:paraId="75678A6B" w14:textId="77777777" w:rsidR="00F1528F" w:rsidRPr="00530A97" w:rsidRDefault="008A1A1C" w:rsidP="00530A97">
            <w:pPr>
              <w:rPr>
                <w:sz w:val="18"/>
                <w:szCs w:val="18"/>
              </w:rPr>
            </w:pPr>
            <w:r w:rsidRPr="00530A97">
              <w:rPr>
                <w:sz w:val="18"/>
                <w:szCs w:val="18"/>
              </w:rPr>
              <w:t>006</w:t>
            </w:r>
          </w:p>
          <w:p w14:paraId="203615DF" w14:textId="77777777" w:rsidR="00F1528F" w:rsidRPr="00530A97" w:rsidRDefault="008A1A1C" w:rsidP="00530A97">
            <w:pPr>
              <w:rPr>
                <w:sz w:val="18"/>
                <w:szCs w:val="18"/>
              </w:rPr>
            </w:pPr>
            <w:r w:rsidRPr="00530A97">
              <w:rPr>
                <w:sz w:val="18"/>
                <w:szCs w:val="18"/>
              </w:rPr>
              <w:t>030</w:t>
            </w:r>
          </w:p>
          <w:p w14:paraId="55F1CE2C" w14:textId="77777777" w:rsidR="00F1528F" w:rsidRPr="00530A97" w:rsidRDefault="008A1A1C" w:rsidP="00530A97">
            <w:pPr>
              <w:rPr>
                <w:sz w:val="18"/>
                <w:szCs w:val="18"/>
              </w:rPr>
            </w:pPr>
            <w:r w:rsidRPr="00530A97">
              <w:rPr>
                <w:sz w:val="18"/>
                <w:szCs w:val="18"/>
              </w:rPr>
              <w:t>033</w:t>
            </w:r>
          </w:p>
          <w:p w14:paraId="387F56BC" w14:textId="77777777" w:rsidR="00F1528F" w:rsidRPr="00530A97" w:rsidRDefault="008A1A1C" w:rsidP="00530A97">
            <w:pPr>
              <w:rPr>
                <w:sz w:val="18"/>
                <w:szCs w:val="18"/>
              </w:rPr>
            </w:pPr>
            <w:r w:rsidRPr="00530A97">
              <w:rPr>
                <w:sz w:val="18"/>
                <w:szCs w:val="18"/>
              </w:rPr>
              <w:t>043</w:t>
            </w:r>
          </w:p>
          <w:p w14:paraId="082F4198" w14:textId="77777777" w:rsidR="00F1528F" w:rsidRPr="00530A97" w:rsidRDefault="008A1A1C" w:rsidP="00530A97">
            <w:pPr>
              <w:rPr>
                <w:sz w:val="18"/>
                <w:szCs w:val="18"/>
              </w:rPr>
            </w:pPr>
            <w:r w:rsidRPr="00530A97">
              <w:rPr>
                <w:sz w:val="18"/>
                <w:szCs w:val="18"/>
              </w:rPr>
              <w:t>044</w:t>
            </w:r>
          </w:p>
          <w:p w14:paraId="17F408C9" w14:textId="77777777" w:rsidR="00F1528F" w:rsidRPr="00530A97" w:rsidRDefault="008A1A1C" w:rsidP="00530A97">
            <w:pPr>
              <w:rPr>
                <w:sz w:val="18"/>
                <w:szCs w:val="18"/>
              </w:rPr>
            </w:pPr>
            <w:r w:rsidRPr="00530A97">
              <w:rPr>
                <w:sz w:val="18"/>
                <w:szCs w:val="18"/>
              </w:rPr>
              <w:t>045</w:t>
            </w:r>
          </w:p>
          <w:p w14:paraId="0801D313" w14:textId="77777777" w:rsidR="008A1A1C" w:rsidRPr="00530A97" w:rsidRDefault="008A1A1C" w:rsidP="00530A97">
            <w:pPr>
              <w:rPr>
                <w:sz w:val="18"/>
                <w:szCs w:val="18"/>
              </w:rPr>
            </w:pPr>
          </w:p>
        </w:tc>
        <w:tc>
          <w:tcPr>
            <w:tcW w:w="1247" w:type="dxa"/>
          </w:tcPr>
          <w:p w14:paraId="490B4164" w14:textId="77777777" w:rsidR="008A1A1C" w:rsidRPr="00530A97" w:rsidRDefault="008A1A1C" w:rsidP="00530A97">
            <w:pPr>
              <w:rPr>
                <w:sz w:val="18"/>
                <w:szCs w:val="18"/>
              </w:rPr>
            </w:pPr>
          </w:p>
          <w:p w14:paraId="4FD869BA" w14:textId="77777777" w:rsidR="008A1A1C" w:rsidRPr="00530A97" w:rsidRDefault="008A1A1C" w:rsidP="00530A97">
            <w:pPr>
              <w:rPr>
                <w:sz w:val="18"/>
                <w:szCs w:val="18"/>
              </w:rPr>
            </w:pPr>
            <w:r w:rsidRPr="00530A97">
              <w:rPr>
                <w:sz w:val="18"/>
                <w:szCs w:val="18"/>
              </w:rPr>
              <w:t>205</w:t>
            </w:r>
          </w:p>
          <w:p w14:paraId="3C5CDA97" w14:textId="77777777" w:rsidR="008A1A1C" w:rsidRPr="00530A97" w:rsidRDefault="008A1A1C" w:rsidP="00530A97">
            <w:pPr>
              <w:rPr>
                <w:sz w:val="18"/>
                <w:szCs w:val="18"/>
              </w:rPr>
            </w:pPr>
            <w:r w:rsidRPr="00530A97">
              <w:rPr>
                <w:sz w:val="18"/>
                <w:szCs w:val="18"/>
              </w:rPr>
              <w:t>100</w:t>
            </w:r>
          </w:p>
          <w:p w14:paraId="513A9A69" w14:textId="77777777" w:rsidR="008A1A1C" w:rsidRPr="00530A97" w:rsidRDefault="008A1A1C" w:rsidP="00530A97">
            <w:pPr>
              <w:rPr>
                <w:sz w:val="18"/>
                <w:szCs w:val="18"/>
              </w:rPr>
            </w:pPr>
            <w:r w:rsidRPr="00530A97">
              <w:rPr>
                <w:sz w:val="18"/>
                <w:szCs w:val="18"/>
              </w:rPr>
              <w:t>492</w:t>
            </w:r>
          </w:p>
          <w:p w14:paraId="504299E4" w14:textId="77777777" w:rsidR="008A1A1C" w:rsidRPr="00530A97" w:rsidRDefault="008A1A1C" w:rsidP="00530A97">
            <w:pPr>
              <w:rPr>
                <w:sz w:val="18"/>
                <w:szCs w:val="18"/>
              </w:rPr>
            </w:pPr>
            <w:r w:rsidRPr="00530A97">
              <w:rPr>
                <w:sz w:val="18"/>
                <w:szCs w:val="18"/>
              </w:rPr>
              <w:t>109</w:t>
            </w:r>
          </w:p>
          <w:p w14:paraId="2616A150" w14:textId="77777777" w:rsidR="008A1A1C" w:rsidRPr="00530A97" w:rsidRDefault="008A1A1C" w:rsidP="00530A97">
            <w:pPr>
              <w:rPr>
                <w:sz w:val="18"/>
                <w:szCs w:val="18"/>
              </w:rPr>
            </w:pPr>
            <w:r w:rsidRPr="00530A97">
              <w:rPr>
                <w:sz w:val="18"/>
                <w:szCs w:val="18"/>
              </w:rPr>
              <w:t>104</w:t>
            </w:r>
          </w:p>
          <w:p w14:paraId="4D37399A" w14:textId="77777777" w:rsidR="008A1A1C" w:rsidRPr="00530A97" w:rsidRDefault="008A1A1C" w:rsidP="00530A97">
            <w:pPr>
              <w:rPr>
                <w:sz w:val="18"/>
                <w:szCs w:val="18"/>
              </w:rPr>
            </w:pPr>
            <w:r w:rsidRPr="00530A97">
              <w:rPr>
                <w:sz w:val="18"/>
                <w:szCs w:val="18"/>
              </w:rPr>
              <w:t>369</w:t>
            </w:r>
          </w:p>
        </w:tc>
        <w:tc>
          <w:tcPr>
            <w:tcW w:w="1021" w:type="dxa"/>
            <w:gridSpan w:val="2"/>
          </w:tcPr>
          <w:p w14:paraId="5AA9A3FB" w14:textId="77777777" w:rsidR="008A1A1C" w:rsidRPr="00530A97" w:rsidRDefault="008A1A1C" w:rsidP="00530A97">
            <w:pPr>
              <w:rPr>
                <w:sz w:val="18"/>
                <w:szCs w:val="18"/>
              </w:rPr>
            </w:pPr>
          </w:p>
          <w:p w14:paraId="3904C89F" w14:textId="77777777" w:rsidR="008A1A1C" w:rsidRPr="00530A97" w:rsidRDefault="008A1A1C" w:rsidP="00530A97">
            <w:pPr>
              <w:rPr>
                <w:sz w:val="18"/>
                <w:szCs w:val="18"/>
              </w:rPr>
            </w:pPr>
            <w:r w:rsidRPr="00530A97">
              <w:rPr>
                <w:sz w:val="18"/>
                <w:szCs w:val="18"/>
              </w:rPr>
              <w:t>205</w:t>
            </w:r>
          </w:p>
          <w:p w14:paraId="07915FF2" w14:textId="77777777" w:rsidR="008A1A1C" w:rsidRPr="00530A97" w:rsidRDefault="008A1A1C" w:rsidP="00530A97">
            <w:pPr>
              <w:rPr>
                <w:sz w:val="18"/>
                <w:szCs w:val="18"/>
              </w:rPr>
            </w:pPr>
            <w:r w:rsidRPr="00530A97">
              <w:rPr>
                <w:sz w:val="18"/>
                <w:szCs w:val="18"/>
              </w:rPr>
              <w:t>100</w:t>
            </w:r>
          </w:p>
          <w:p w14:paraId="6F1A74C5" w14:textId="77777777" w:rsidR="008A1A1C" w:rsidRPr="00530A97" w:rsidRDefault="008A1A1C" w:rsidP="00530A97">
            <w:pPr>
              <w:rPr>
                <w:sz w:val="18"/>
                <w:szCs w:val="18"/>
              </w:rPr>
            </w:pPr>
          </w:p>
          <w:p w14:paraId="64FE89B3" w14:textId="77777777" w:rsidR="008A1A1C" w:rsidRPr="00530A97" w:rsidRDefault="008A1A1C" w:rsidP="00530A97">
            <w:pPr>
              <w:rPr>
                <w:sz w:val="18"/>
                <w:szCs w:val="18"/>
              </w:rPr>
            </w:pPr>
            <w:r w:rsidRPr="00530A97">
              <w:rPr>
                <w:sz w:val="18"/>
                <w:szCs w:val="18"/>
              </w:rPr>
              <w:t>101</w:t>
            </w:r>
          </w:p>
          <w:p w14:paraId="13F573AB" w14:textId="77777777" w:rsidR="008A1A1C" w:rsidRPr="00530A97" w:rsidRDefault="008A1A1C" w:rsidP="00530A97">
            <w:pPr>
              <w:rPr>
                <w:sz w:val="18"/>
                <w:szCs w:val="18"/>
              </w:rPr>
            </w:pPr>
            <w:r w:rsidRPr="00530A97">
              <w:rPr>
                <w:sz w:val="18"/>
                <w:szCs w:val="18"/>
              </w:rPr>
              <w:t>104</w:t>
            </w:r>
          </w:p>
        </w:tc>
        <w:tc>
          <w:tcPr>
            <w:tcW w:w="1418" w:type="dxa"/>
          </w:tcPr>
          <w:p w14:paraId="4A632037" w14:textId="77777777" w:rsidR="008A1A1C" w:rsidRPr="00530A97" w:rsidRDefault="008A1A1C" w:rsidP="00530A97">
            <w:pPr>
              <w:rPr>
                <w:sz w:val="18"/>
                <w:szCs w:val="18"/>
              </w:rPr>
            </w:pPr>
          </w:p>
          <w:p w14:paraId="57D7C78E" w14:textId="77777777" w:rsidR="008A1A1C" w:rsidRPr="00530A97" w:rsidRDefault="008A1A1C" w:rsidP="00530A97">
            <w:pPr>
              <w:rPr>
                <w:sz w:val="18"/>
                <w:szCs w:val="18"/>
              </w:rPr>
            </w:pPr>
          </w:p>
          <w:p w14:paraId="0C0F69CE" w14:textId="77777777" w:rsidR="008A1A1C" w:rsidRPr="00530A97" w:rsidRDefault="008A1A1C" w:rsidP="00530A97">
            <w:pPr>
              <w:rPr>
                <w:sz w:val="18"/>
                <w:szCs w:val="18"/>
              </w:rPr>
            </w:pPr>
            <w:r w:rsidRPr="00530A97">
              <w:rPr>
                <w:sz w:val="18"/>
                <w:szCs w:val="18"/>
              </w:rPr>
              <w:t>100</w:t>
            </w:r>
          </w:p>
          <w:p w14:paraId="465AC7CC" w14:textId="77777777" w:rsidR="008A1A1C" w:rsidRPr="00530A97" w:rsidRDefault="008A1A1C" w:rsidP="00530A97">
            <w:pPr>
              <w:rPr>
                <w:sz w:val="18"/>
                <w:szCs w:val="18"/>
              </w:rPr>
            </w:pPr>
            <w:r w:rsidRPr="00530A97">
              <w:rPr>
                <w:sz w:val="18"/>
                <w:szCs w:val="18"/>
              </w:rPr>
              <w:t>162</w:t>
            </w:r>
          </w:p>
          <w:p w14:paraId="23AFAD49" w14:textId="77777777" w:rsidR="008A1A1C" w:rsidRPr="00530A97" w:rsidRDefault="008A1A1C" w:rsidP="00530A97">
            <w:pPr>
              <w:rPr>
                <w:sz w:val="18"/>
                <w:szCs w:val="18"/>
              </w:rPr>
            </w:pPr>
          </w:p>
          <w:p w14:paraId="25978AA2" w14:textId="77777777" w:rsidR="008A1A1C" w:rsidRPr="00530A97" w:rsidRDefault="008A1A1C" w:rsidP="00530A97">
            <w:pPr>
              <w:rPr>
                <w:sz w:val="18"/>
                <w:szCs w:val="18"/>
              </w:rPr>
            </w:pPr>
          </w:p>
          <w:p w14:paraId="41AE3CC5" w14:textId="77777777" w:rsidR="008A1A1C" w:rsidRPr="00530A97" w:rsidRDefault="008A1A1C" w:rsidP="00530A97">
            <w:pPr>
              <w:rPr>
                <w:sz w:val="18"/>
                <w:szCs w:val="18"/>
              </w:rPr>
            </w:pPr>
            <w:r w:rsidRPr="00530A97">
              <w:rPr>
                <w:sz w:val="18"/>
                <w:szCs w:val="18"/>
              </w:rPr>
              <w:t>140</w:t>
            </w:r>
          </w:p>
        </w:tc>
        <w:tc>
          <w:tcPr>
            <w:tcW w:w="1388" w:type="dxa"/>
          </w:tcPr>
          <w:p w14:paraId="545E3C30" w14:textId="77777777" w:rsidR="008A1A1C" w:rsidRPr="00530A97" w:rsidRDefault="008A1A1C" w:rsidP="00530A97">
            <w:pPr>
              <w:rPr>
                <w:sz w:val="18"/>
                <w:szCs w:val="18"/>
              </w:rPr>
            </w:pPr>
          </w:p>
        </w:tc>
        <w:tc>
          <w:tcPr>
            <w:tcW w:w="1418" w:type="dxa"/>
          </w:tcPr>
          <w:p w14:paraId="3E37E97C" w14:textId="77777777" w:rsidR="008A1A1C" w:rsidRPr="00530A97" w:rsidRDefault="008A1A1C" w:rsidP="00530A97">
            <w:pPr>
              <w:rPr>
                <w:sz w:val="18"/>
                <w:szCs w:val="18"/>
              </w:rPr>
            </w:pPr>
          </w:p>
        </w:tc>
        <w:tc>
          <w:tcPr>
            <w:tcW w:w="1134" w:type="dxa"/>
          </w:tcPr>
          <w:p w14:paraId="0205110B" w14:textId="77777777" w:rsidR="008A1A1C" w:rsidRPr="00530A97" w:rsidRDefault="008A1A1C" w:rsidP="00530A97">
            <w:pPr>
              <w:rPr>
                <w:sz w:val="18"/>
                <w:szCs w:val="18"/>
              </w:rPr>
            </w:pPr>
          </w:p>
          <w:p w14:paraId="176B820E" w14:textId="77777777" w:rsidR="008A1A1C" w:rsidRPr="00530A97" w:rsidRDefault="008A1A1C" w:rsidP="00530A97">
            <w:pPr>
              <w:rPr>
                <w:sz w:val="18"/>
                <w:szCs w:val="18"/>
              </w:rPr>
            </w:pPr>
            <w:r w:rsidRPr="00530A97">
              <w:rPr>
                <w:sz w:val="18"/>
                <w:szCs w:val="18"/>
              </w:rPr>
              <w:t>410</w:t>
            </w:r>
          </w:p>
          <w:p w14:paraId="12690944" w14:textId="77777777" w:rsidR="008A1A1C" w:rsidRPr="00530A97" w:rsidRDefault="008A1A1C" w:rsidP="00530A97">
            <w:pPr>
              <w:rPr>
                <w:sz w:val="18"/>
                <w:szCs w:val="18"/>
              </w:rPr>
            </w:pPr>
            <w:r w:rsidRPr="00530A97">
              <w:rPr>
                <w:sz w:val="18"/>
                <w:szCs w:val="18"/>
              </w:rPr>
              <w:t>300</w:t>
            </w:r>
          </w:p>
          <w:p w14:paraId="62952654" w14:textId="77777777" w:rsidR="008A1A1C" w:rsidRPr="00530A97" w:rsidRDefault="008A1A1C" w:rsidP="00530A97">
            <w:pPr>
              <w:rPr>
                <w:sz w:val="18"/>
                <w:szCs w:val="18"/>
              </w:rPr>
            </w:pPr>
            <w:r w:rsidRPr="00530A97">
              <w:rPr>
                <w:sz w:val="18"/>
                <w:szCs w:val="18"/>
              </w:rPr>
              <w:t>654</w:t>
            </w:r>
          </w:p>
          <w:p w14:paraId="0EEC604D" w14:textId="77777777" w:rsidR="008A1A1C" w:rsidRPr="00530A97" w:rsidRDefault="008A1A1C" w:rsidP="00530A97">
            <w:pPr>
              <w:rPr>
                <w:sz w:val="18"/>
                <w:szCs w:val="18"/>
              </w:rPr>
            </w:pPr>
            <w:r w:rsidRPr="00530A97">
              <w:rPr>
                <w:sz w:val="18"/>
                <w:szCs w:val="18"/>
              </w:rPr>
              <w:t>210</w:t>
            </w:r>
          </w:p>
          <w:p w14:paraId="1D372026" w14:textId="77777777" w:rsidR="008A1A1C" w:rsidRPr="00530A97" w:rsidRDefault="008A1A1C" w:rsidP="00530A97">
            <w:pPr>
              <w:rPr>
                <w:sz w:val="18"/>
                <w:szCs w:val="18"/>
              </w:rPr>
            </w:pPr>
            <w:r w:rsidRPr="00530A97">
              <w:rPr>
                <w:sz w:val="18"/>
                <w:szCs w:val="18"/>
              </w:rPr>
              <w:t>208</w:t>
            </w:r>
          </w:p>
          <w:p w14:paraId="66D911CB" w14:textId="77777777" w:rsidR="008A1A1C" w:rsidRPr="00530A97" w:rsidRDefault="008A1A1C" w:rsidP="00530A97">
            <w:pPr>
              <w:rPr>
                <w:sz w:val="18"/>
                <w:szCs w:val="18"/>
              </w:rPr>
            </w:pPr>
            <w:r w:rsidRPr="00530A97">
              <w:rPr>
                <w:sz w:val="18"/>
                <w:szCs w:val="18"/>
              </w:rPr>
              <w:t>509</w:t>
            </w:r>
          </w:p>
        </w:tc>
      </w:tr>
      <w:tr w:rsidR="008A1A1C" w:rsidRPr="00965D70" w14:paraId="4AB53F4E" w14:textId="77777777" w:rsidTr="00965D70">
        <w:tc>
          <w:tcPr>
            <w:tcW w:w="1838" w:type="dxa"/>
          </w:tcPr>
          <w:p w14:paraId="17C6EE26" w14:textId="77777777" w:rsidR="008A1A1C" w:rsidRPr="00530A97" w:rsidRDefault="008A1A1C" w:rsidP="00530A97">
            <w:pPr>
              <w:rPr>
                <w:sz w:val="18"/>
                <w:szCs w:val="18"/>
              </w:rPr>
            </w:pPr>
            <w:r w:rsidRPr="00530A97">
              <w:rPr>
                <w:sz w:val="18"/>
                <w:szCs w:val="18"/>
              </w:rPr>
              <w:t>Post-exposure prophylaxis</w:t>
            </w:r>
          </w:p>
          <w:p w14:paraId="45AAE7DE" w14:textId="77777777" w:rsidR="008A1A1C" w:rsidRPr="00530A97" w:rsidRDefault="008A1A1C" w:rsidP="00530A97">
            <w:pPr>
              <w:rPr>
                <w:sz w:val="18"/>
                <w:szCs w:val="18"/>
              </w:rPr>
            </w:pPr>
            <w:r w:rsidRPr="00530A97">
              <w:rPr>
                <w:sz w:val="18"/>
                <w:szCs w:val="18"/>
              </w:rPr>
              <w:t>049</w:t>
            </w:r>
          </w:p>
        </w:tc>
        <w:tc>
          <w:tcPr>
            <w:tcW w:w="1247" w:type="dxa"/>
          </w:tcPr>
          <w:p w14:paraId="488E151A" w14:textId="77777777" w:rsidR="008A1A1C" w:rsidRPr="00530A97" w:rsidRDefault="008A1A1C" w:rsidP="00530A97">
            <w:pPr>
              <w:rPr>
                <w:sz w:val="18"/>
                <w:szCs w:val="18"/>
              </w:rPr>
            </w:pPr>
          </w:p>
          <w:p w14:paraId="0DCC5E0A" w14:textId="77777777" w:rsidR="008A1A1C" w:rsidRPr="00530A97" w:rsidRDefault="008A1A1C" w:rsidP="00530A97">
            <w:pPr>
              <w:rPr>
                <w:sz w:val="18"/>
                <w:szCs w:val="18"/>
              </w:rPr>
            </w:pPr>
            <w:r w:rsidRPr="00530A97">
              <w:rPr>
                <w:sz w:val="18"/>
                <w:szCs w:val="18"/>
              </w:rPr>
              <w:t>1013</w:t>
            </w:r>
          </w:p>
        </w:tc>
        <w:tc>
          <w:tcPr>
            <w:tcW w:w="1021" w:type="dxa"/>
            <w:gridSpan w:val="2"/>
          </w:tcPr>
          <w:p w14:paraId="74406611" w14:textId="77777777" w:rsidR="008A1A1C" w:rsidRPr="00530A97" w:rsidRDefault="008A1A1C" w:rsidP="00530A97">
            <w:pPr>
              <w:rPr>
                <w:sz w:val="18"/>
                <w:szCs w:val="18"/>
              </w:rPr>
            </w:pPr>
          </w:p>
        </w:tc>
        <w:tc>
          <w:tcPr>
            <w:tcW w:w="1418" w:type="dxa"/>
          </w:tcPr>
          <w:p w14:paraId="6598A278" w14:textId="77777777" w:rsidR="008A1A1C" w:rsidRPr="00530A97" w:rsidRDefault="008A1A1C" w:rsidP="00530A97">
            <w:pPr>
              <w:rPr>
                <w:sz w:val="18"/>
                <w:szCs w:val="18"/>
              </w:rPr>
            </w:pPr>
          </w:p>
        </w:tc>
        <w:tc>
          <w:tcPr>
            <w:tcW w:w="1388" w:type="dxa"/>
          </w:tcPr>
          <w:p w14:paraId="2B9DBF05" w14:textId="77777777" w:rsidR="008A1A1C" w:rsidRPr="00530A97" w:rsidRDefault="008A1A1C" w:rsidP="00530A97">
            <w:pPr>
              <w:rPr>
                <w:sz w:val="18"/>
                <w:szCs w:val="18"/>
              </w:rPr>
            </w:pPr>
          </w:p>
          <w:p w14:paraId="5DB5EC18" w14:textId="77777777" w:rsidR="008A1A1C" w:rsidRPr="00530A97" w:rsidRDefault="008A1A1C" w:rsidP="00530A97">
            <w:pPr>
              <w:rPr>
                <w:sz w:val="18"/>
                <w:szCs w:val="18"/>
              </w:rPr>
            </w:pPr>
            <w:r w:rsidRPr="00530A97">
              <w:rPr>
                <w:sz w:val="18"/>
                <w:szCs w:val="18"/>
              </w:rPr>
              <w:t>499</w:t>
            </w:r>
          </w:p>
        </w:tc>
        <w:tc>
          <w:tcPr>
            <w:tcW w:w="1418" w:type="dxa"/>
          </w:tcPr>
          <w:p w14:paraId="272F4749" w14:textId="77777777" w:rsidR="008A1A1C" w:rsidRPr="00530A97" w:rsidRDefault="008A1A1C" w:rsidP="00530A97">
            <w:pPr>
              <w:rPr>
                <w:sz w:val="18"/>
                <w:szCs w:val="18"/>
              </w:rPr>
            </w:pPr>
          </w:p>
        </w:tc>
        <w:tc>
          <w:tcPr>
            <w:tcW w:w="1134" w:type="dxa"/>
          </w:tcPr>
          <w:p w14:paraId="5BCE8AF1" w14:textId="77777777" w:rsidR="008A1A1C" w:rsidRPr="00530A97" w:rsidRDefault="008A1A1C" w:rsidP="00530A97">
            <w:pPr>
              <w:rPr>
                <w:sz w:val="18"/>
                <w:szCs w:val="18"/>
              </w:rPr>
            </w:pPr>
          </w:p>
          <w:p w14:paraId="1DB52E13" w14:textId="77777777" w:rsidR="008A1A1C" w:rsidRPr="00530A97" w:rsidRDefault="008A1A1C" w:rsidP="00530A97">
            <w:pPr>
              <w:rPr>
                <w:sz w:val="18"/>
                <w:szCs w:val="18"/>
              </w:rPr>
            </w:pPr>
            <w:r w:rsidRPr="00530A97">
              <w:rPr>
                <w:sz w:val="18"/>
                <w:szCs w:val="18"/>
              </w:rPr>
              <w:t>1512</w:t>
            </w:r>
          </w:p>
        </w:tc>
      </w:tr>
      <w:tr w:rsidR="008A1A1C" w:rsidRPr="00965D70" w14:paraId="4FBB0B08" w14:textId="77777777" w:rsidTr="00965D70">
        <w:tc>
          <w:tcPr>
            <w:tcW w:w="1838" w:type="dxa"/>
          </w:tcPr>
          <w:p w14:paraId="264A7A37" w14:textId="77777777" w:rsidR="008A1A1C" w:rsidRPr="00530A97" w:rsidRDefault="008A1A1C" w:rsidP="00530A97">
            <w:pPr>
              <w:rPr>
                <w:sz w:val="18"/>
                <w:szCs w:val="18"/>
              </w:rPr>
            </w:pPr>
            <w:r w:rsidRPr="00530A97">
              <w:rPr>
                <w:sz w:val="18"/>
                <w:szCs w:val="18"/>
              </w:rPr>
              <w:t>P</w:t>
            </w:r>
            <w:r w:rsidR="00965D70" w:rsidRPr="00530A97">
              <w:rPr>
                <w:sz w:val="18"/>
                <w:szCs w:val="18"/>
              </w:rPr>
              <w:t>v</w:t>
            </w:r>
            <w:r w:rsidRPr="00530A97">
              <w:rPr>
                <w:sz w:val="18"/>
                <w:szCs w:val="18"/>
              </w:rPr>
              <w:t xml:space="preserve"> treatment</w:t>
            </w:r>
          </w:p>
          <w:p w14:paraId="123F5285" w14:textId="77777777" w:rsidR="008A1A1C" w:rsidRPr="00530A97" w:rsidRDefault="008A1A1C" w:rsidP="00530A97">
            <w:pPr>
              <w:rPr>
                <w:sz w:val="18"/>
                <w:szCs w:val="18"/>
              </w:rPr>
            </w:pPr>
            <w:r w:rsidRPr="00530A97">
              <w:rPr>
                <w:sz w:val="18"/>
                <w:szCs w:val="18"/>
              </w:rPr>
              <w:lastRenderedPageBreak/>
              <w:t>047</w:t>
            </w:r>
          </w:p>
          <w:p w14:paraId="224D772F" w14:textId="77777777" w:rsidR="008A1A1C" w:rsidRPr="00530A97" w:rsidRDefault="008A1A1C" w:rsidP="00530A97">
            <w:pPr>
              <w:rPr>
                <w:sz w:val="18"/>
                <w:szCs w:val="18"/>
              </w:rPr>
            </w:pPr>
            <w:r w:rsidRPr="00530A97">
              <w:rPr>
                <w:sz w:val="18"/>
                <w:szCs w:val="18"/>
              </w:rPr>
              <w:t>058</w:t>
            </w:r>
          </w:p>
        </w:tc>
        <w:tc>
          <w:tcPr>
            <w:tcW w:w="1247" w:type="dxa"/>
          </w:tcPr>
          <w:p w14:paraId="10E208C3" w14:textId="77777777" w:rsidR="008A1A1C" w:rsidRPr="00530A97" w:rsidRDefault="008A1A1C" w:rsidP="00530A97">
            <w:pPr>
              <w:rPr>
                <w:sz w:val="18"/>
                <w:szCs w:val="18"/>
              </w:rPr>
            </w:pPr>
            <w:r w:rsidRPr="00530A97">
              <w:rPr>
                <w:sz w:val="18"/>
                <w:szCs w:val="18"/>
              </w:rPr>
              <w:lastRenderedPageBreak/>
              <w:t>81</w:t>
            </w:r>
          </w:p>
          <w:p w14:paraId="4A76EDA4" w14:textId="77777777" w:rsidR="008A1A1C" w:rsidRPr="00530A97" w:rsidRDefault="008A1A1C" w:rsidP="00530A97">
            <w:pPr>
              <w:rPr>
                <w:sz w:val="18"/>
                <w:szCs w:val="18"/>
              </w:rPr>
            </w:pPr>
            <w:r w:rsidRPr="00530A97">
              <w:rPr>
                <w:sz w:val="18"/>
                <w:szCs w:val="18"/>
              </w:rPr>
              <w:lastRenderedPageBreak/>
              <w:t>46</w:t>
            </w:r>
          </w:p>
        </w:tc>
        <w:tc>
          <w:tcPr>
            <w:tcW w:w="1021" w:type="dxa"/>
            <w:gridSpan w:val="2"/>
          </w:tcPr>
          <w:p w14:paraId="4F878D63" w14:textId="77777777" w:rsidR="008A1A1C" w:rsidRPr="00530A97" w:rsidRDefault="008A1A1C" w:rsidP="00530A97">
            <w:pPr>
              <w:rPr>
                <w:sz w:val="18"/>
                <w:szCs w:val="18"/>
              </w:rPr>
            </w:pPr>
          </w:p>
        </w:tc>
        <w:tc>
          <w:tcPr>
            <w:tcW w:w="1418" w:type="dxa"/>
          </w:tcPr>
          <w:p w14:paraId="1E47DC85" w14:textId="77777777" w:rsidR="008A1A1C" w:rsidRPr="00530A97" w:rsidRDefault="008A1A1C" w:rsidP="00530A97">
            <w:pPr>
              <w:rPr>
                <w:sz w:val="18"/>
                <w:szCs w:val="18"/>
              </w:rPr>
            </w:pPr>
          </w:p>
        </w:tc>
        <w:tc>
          <w:tcPr>
            <w:tcW w:w="1388" w:type="dxa"/>
          </w:tcPr>
          <w:p w14:paraId="45E38DB8" w14:textId="77777777" w:rsidR="008A1A1C" w:rsidRPr="00530A97" w:rsidRDefault="008A1A1C" w:rsidP="00530A97">
            <w:pPr>
              <w:rPr>
                <w:sz w:val="18"/>
                <w:szCs w:val="18"/>
              </w:rPr>
            </w:pPr>
            <w:r w:rsidRPr="00530A97">
              <w:rPr>
                <w:sz w:val="18"/>
                <w:szCs w:val="18"/>
              </w:rPr>
              <w:t>34</w:t>
            </w:r>
          </w:p>
          <w:p w14:paraId="45C0968C" w14:textId="77777777" w:rsidR="008A1A1C" w:rsidRPr="00530A97" w:rsidRDefault="008A1A1C" w:rsidP="00530A97">
            <w:pPr>
              <w:rPr>
                <w:sz w:val="18"/>
                <w:szCs w:val="18"/>
              </w:rPr>
            </w:pPr>
            <w:r w:rsidRPr="00530A97">
              <w:rPr>
                <w:sz w:val="18"/>
                <w:szCs w:val="18"/>
              </w:rPr>
              <w:lastRenderedPageBreak/>
              <w:t>24</w:t>
            </w:r>
          </w:p>
        </w:tc>
        <w:tc>
          <w:tcPr>
            <w:tcW w:w="1418" w:type="dxa"/>
          </w:tcPr>
          <w:p w14:paraId="085C5660" w14:textId="77777777" w:rsidR="008A1A1C" w:rsidRPr="00530A97" w:rsidRDefault="008A1A1C" w:rsidP="00530A97">
            <w:pPr>
              <w:rPr>
                <w:sz w:val="18"/>
                <w:szCs w:val="18"/>
              </w:rPr>
            </w:pPr>
          </w:p>
        </w:tc>
        <w:tc>
          <w:tcPr>
            <w:tcW w:w="1134" w:type="dxa"/>
          </w:tcPr>
          <w:p w14:paraId="596A485C" w14:textId="77777777" w:rsidR="008A1A1C" w:rsidRPr="00530A97" w:rsidRDefault="008A1A1C" w:rsidP="00530A97">
            <w:pPr>
              <w:rPr>
                <w:sz w:val="18"/>
                <w:szCs w:val="18"/>
              </w:rPr>
            </w:pPr>
            <w:r w:rsidRPr="00530A97">
              <w:rPr>
                <w:sz w:val="18"/>
                <w:szCs w:val="18"/>
              </w:rPr>
              <w:t>115</w:t>
            </w:r>
          </w:p>
          <w:p w14:paraId="5D66E70F" w14:textId="77777777" w:rsidR="008A1A1C" w:rsidRPr="00530A97" w:rsidRDefault="008A1A1C" w:rsidP="00530A97">
            <w:pPr>
              <w:rPr>
                <w:sz w:val="18"/>
                <w:szCs w:val="18"/>
              </w:rPr>
            </w:pPr>
            <w:r w:rsidRPr="00530A97">
              <w:rPr>
                <w:sz w:val="18"/>
                <w:szCs w:val="18"/>
              </w:rPr>
              <w:lastRenderedPageBreak/>
              <w:t>70</w:t>
            </w:r>
          </w:p>
        </w:tc>
      </w:tr>
      <w:tr w:rsidR="008A1A1C" w:rsidRPr="00965D70" w14:paraId="6FEB5F81" w14:textId="77777777" w:rsidTr="00965D70">
        <w:tc>
          <w:tcPr>
            <w:tcW w:w="1838" w:type="dxa"/>
          </w:tcPr>
          <w:p w14:paraId="55A310EA" w14:textId="77777777" w:rsidR="008A1A1C" w:rsidRPr="00530A97" w:rsidRDefault="008A1A1C" w:rsidP="00530A97">
            <w:pPr>
              <w:rPr>
                <w:sz w:val="18"/>
                <w:szCs w:val="18"/>
              </w:rPr>
            </w:pPr>
            <w:r w:rsidRPr="00530A97">
              <w:rPr>
                <w:sz w:val="18"/>
                <w:szCs w:val="18"/>
              </w:rPr>
              <w:lastRenderedPageBreak/>
              <w:t>TOTAL</w:t>
            </w:r>
          </w:p>
        </w:tc>
        <w:tc>
          <w:tcPr>
            <w:tcW w:w="1247" w:type="dxa"/>
          </w:tcPr>
          <w:p w14:paraId="6BCCC722" w14:textId="77777777" w:rsidR="008A1A1C" w:rsidRPr="00530A97" w:rsidRDefault="008A1A1C" w:rsidP="00530A97">
            <w:pPr>
              <w:rPr>
                <w:sz w:val="18"/>
                <w:szCs w:val="18"/>
              </w:rPr>
            </w:pPr>
            <w:r w:rsidRPr="00530A97">
              <w:rPr>
                <w:sz w:val="18"/>
                <w:szCs w:val="18"/>
              </w:rPr>
              <w:t>2519</w:t>
            </w:r>
          </w:p>
        </w:tc>
        <w:tc>
          <w:tcPr>
            <w:tcW w:w="1021" w:type="dxa"/>
            <w:gridSpan w:val="2"/>
          </w:tcPr>
          <w:p w14:paraId="2A00534C" w14:textId="77777777" w:rsidR="008A1A1C" w:rsidRPr="00530A97" w:rsidRDefault="008A1A1C" w:rsidP="00530A97">
            <w:pPr>
              <w:rPr>
                <w:sz w:val="18"/>
                <w:szCs w:val="18"/>
              </w:rPr>
            </w:pPr>
            <w:r w:rsidRPr="00530A97">
              <w:rPr>
                <w:sz w:val="18"/>
                <w:szCs w:val="18"/>
              </w:rPr>
              <w:t>530</w:t>
            </w:r>
          </w:p>
        </w:tc>
        <w:tc>
          <w:tcPr>
            <w:tcW w:w="1418" w:type="dxa"/>
          </w:tcPr>
          <w:p w14:paraId="69884C78" w14:textId="77777777" w:rsidR="008A1A1C" w:rsidRPr="00530A97" w:rsidRDefault="008A1A1C" w:rsidP="00530A97">
            <w:pPr>
              <w:rPr>
                <w:sz w:val="18"/>
                <w:szCs w:val="18"/>
              </w:rPr>
            </w:pPr>
            <w:r w:rsidRPr="00530A97">
              <w:rPr>
                <w:sz w:val="18"/>
                <w:szCs w:val="18"/>
              </w:rPr>
              <w:t>402</w:t>
            </w:r>
          </w:p>
        </w:tc>
        <w:tc>
          <w:tcPr>
            <w:tcW w:w="1388" w:type="dxa"/>
          </w:tcPr>
          <w:p w14:paraId="2CEA8AD6" w14:textId="77777777" w:rsidR="008A1A1C" w:rsidRPr="00530A97" w:rsidRDefault="008A1A1C" w:rsidP="00530A97">
            <w:pPr>
              <w:rPr>
                <w:sz w:val="18"/>
                <w:szCs w:val="18"/>
              </w:rPr>
            </w:pPr>
            <w:r w:rsidRPr="00530A97">
              <w:rPr>
                <w:sz w:val="18"/>
                <w:szCs w:val="18"/>
              </w:rPr>
              <w:t>557</w:t>
            </w:r>
          </w:p>
        </w:tc>
        <w:tc>
          <w:tcPr>
            <w:tcW w:w="1418" w:type="dxa"/>
          </w:tcPr>
          <w:p w14:paraId="3CDCF528" w14:textId="77777777" w:rsidR="008A1A1C" w:rsidRPr="00530A97" w:rsidRDefault="008A1A1C" w:rsidP="00530A97">
            <w:pPr>
              <w:rPr>
                <w:sz w:val="18"/>
                <w:szCs w:val="18"/>
              </w:rPr>
            </w:pPr>
          </w:p>
        </w:tc>
        <w:tc>
          <w:tcPr>
            <w:tcW w:w="1134" w:type="dxa"/>
          </w:tcPr>
          <w:p w14:paraId="03B5C8F7" w14:textId="77777777" w:rsidR="008A1A1C" w:rsidRPr="00530A97" w:rsidRDefault="008A1A1C" w:rsidP="00530A97">
            <w:pPr>
              <w:rPr>
                <w:sz w:val="18"/>
                <w:szCs w:val="18"/>
              </w:rPr>
            </w:pPr>
          </w:p>
        </w:tc>
      </w:tr>
    </w:tbl>
    <w:p w14:paraId="33BBC569" w14:textId="77777777" w:rsidR="008A1A1C" w:rsidRPr="00965D70" w:rsidRDefault="008A1A1C" w:rsidP="00965D70">
      <w:pPr>
        <w:pStyle w:val="TableDescription"/>
      </w:pPr>
      <w:r w:rsidRPr="00C37A1D">
        <w:t>* Control = Comparator</w:t>
      </w:r>
    </w:p>
    <w:p w14:paraId="45911633" w14:textId="77777777" w:rsidR="008A1A1C" w:rsidRPr="005B2850" w:rsidRDefault="008A1A1C" w:rsidP="00965D70">
      <w:pPr>
        <w:pStyle w:val="Heading4"/>
      </w:pPr>
      <w:r w:rsidRPr="005B2850">
        <w:t>Short</w:t>
      </w:r>
      <w:r w:rsidR="00965D70" w:rsidRPr="005B2850">
        <w:t xml:space="preserve"> term exposure da</w:t>
      </w:r>
      <w:r w:rsidRPr="005B2850">
        <w:t xml:space="preserve">taset Safety of the 200 mg </w:t>
      </w:r>
      <w:r w:rsidR="00965D70" w:rsidRPr="005B2850">
        <w:t>l</w:t>
      </w:r>
      <w:r w:rsidRPr="005B2850">
        <w:t xml:space="preserve">oading </w:t>
      </w:r>
      <w:r w:rsidR="00965D70" w:rsidRPr="005B2850">
        <w:t>d</w:t>
      </w:r>
      <w:r w:rsidRPr="005B2850">
        <w:t>ose</w:t>
      </w:r>
    </w:p>
    <w:p w14:paraId="6A0D802F" w14:textId="77777777" w:rsidR="008A1A1C" w:rsidRDefault="008A1A1C" w:rsidP="008A1A1C">
      <w:r w:rsidRPr="005B2850">
        <w:t xml:space="preserve">The Short-Term Exposure Studies </w:t>
      </w:r>
      <w:r w:rsidR="0052594D" w:rsidRPr="005B2850">
        <w:t>(</w:t>
      </w:r>
      <w:r w:rsidR="003F0ECA" w:rsidRPr="005B2850">
        <w:t>Table 4</w:t>
      </w:r>
      <w:r w:rsidR="005B2850" w:rsidRPr="005B2850">
        <w:t>8</w:t>
      </w:r>
      <w:r w:rsidRPr="005B2850">
        <w:t>) included a total of 12 studies (Studies 003, 006, 014, 022, 040, 043, 047, 049, 050, 052, 053, and 058) that had dosage groups in which tafenoquine was administered to subjects for periods ranging from 1-7 days. Of these 12 studies, there were 6 studies in which a specific dose of tafenoquine was administered as a single dose only (Studies 003, 022, 047, 050, 052, 053), 7 studies where tafenoquine dosing was administered for 3 days (Studies 006, 014, 040, 043, 047, 049, 058), and one study where dosing duration was 7 days (Study 047). Exposure for 4 studies (Studie</w:t>
      </w:r>
      <w:r w:rsidR="00FA3C56">
        <w:t>s 006, 043, 049, and 058) utilis</w:t>
      </w:r>
      <w:r w:rsidRPr="005B2850">
        <w:t xml:space="preserve">ing these doses is presented in </w:t>
      </w:r>
      <w:r w:rsidR="003F0ECA" w:rsidRPr="005B2850">
        <w:t xml:space="preserve">Tables </w:t>
      </w:r>
      <w:r w:rsidR="005B2850" w:rsidRPr="005B2850">
        <w:t>49-</w:t>
      </w:r>
      <w:r w:rsidR="003F0ECA" w:rsidRPr="005B2850">
        <w:t>50</w:t>
      </w:r>
      <w:r w:rsidRPr="005B2850">
        <w:t xml:space="preserve">. In these pooled studies, a total of 491 subjects were exposed to the 200 mg loading dose, while 713 were exposed to the 400 mg loading dose. An additional 161 subjects received 400 mg daily as a split dose of 200 mg BID. The most common adverse events reported in this group are summarised in </w:t>
      </w:r>
      <w:r w:rsidR="003F0ECA" w:rsidRPr="005B2850">
        <w:t>Table 5</w:t>
      </w:r>
      <w:r w:rsidR="005B2850" w:rsidRPr="005B2850">
        <w:t>0</w:t>
      </w:r>
      <w:r w:rsidRPr="005B2850">
        <w:t xml:space="preserve"> and were similar to the ACR set. The clinical studies that used the ACR and drug exposure are summarised in </w:t>
      </w:r>
      <w:r w:rsidR="003F0ECA" w:rsidRPr="005B2850">
        <w:t>Table 5</w:t>
      </w:r>
      <w:r w:rsidR="005B2850" w:rsidRPr="005B2850">
        <w:t>1</w:t>
      </w:r>
      <w:r w:rsidRPr="005B2850">
        <w:t>.</w:t>
      </w:r>
    </w:p>
    <w:p w14:paraId="22FB8D3A" w14:textId="33017B43" w:rsidR="0052594D" w:rsidRPr="003F3599" w:rsidRDefault="0052594D" w:rsidP="003F0ECA">
      <w:pPr>
        <w:pStyle w:val="Tabletitle"/>
      </w:pPr>
      <w:bookmarkStart w:id="510" w:name="_Ref501291157"/>
      <w:bookmarkStart w:id="511" w:name="_Toc504229468"/>
      <w:bookmarkStart w:id="512" w:name="_Toc501293719"/>
      <w:r>
        <w:t xml:space="preserve">Table </w:t>
      </w:r>
      <w:r w:rsidR="003F0ECA">
        <w:t>4</w:t>
      </w:r>
      <w:bookmarkEnd w:id="510"/>
      <w:r w:rsidR="005B2850">
        <w:t>8</w:t>
      </w:r>
      <w:r w:rsidR="003F0ECA">
        <w:t>:</w:t>
      </w:r>
      <w:r>
        <w:t xml:space="preserve"> </w:t>
      </w:r>
      <w:r w:rsidRPr="003F3599">
        <w:t xml:space="preserve">Numbers of </w:t>
      </w:r>
      <w:r w:rsidR="00382EC1">
        <w:t>s</w:t>
      </w:r>
      <w:r w:rsidR="00382EC1" w:rsidRPr="003F3599">
        <w:t xml:space="preserve">ubjects </w:t>
      </w:r>
      <w:r w:rsidR="00382EC1">
        <w:t>e</w:t>
      </w:r>
      <w:r w:rsidR="00382EC1" w:rsidRPr="003F3599">
        <w:t xml:space="preserve">xposed </w:t>
      </w:r>
      <w:r w:rsidRPr="003F3599">
        <w:t xml:space="preserve">to </w:t>
      </w:r>
      <w:r w:rsidR="00382EC1">
        <w:t>t</w:t>
      </w:r>
      <w:r w:rsidR="00382EC1" w:rsidRPr="003F3599">
        <w:t>afenoquine</w:t>
      </w:r>
      <w:r w:rsidR="00382EC1">
        <w:t>;</w:t>
      </w:r>
      <w:r w:rsidR="00382EC1" w:rsidRPr="003F3599">
        <w:t xml:space="preserve"> short-term exposure dataset</w:t>
      </w:r>
      <w:bookmarkEnd w:id="511"/>
      <w:bookmarkEnd w:id="512"/>
    </w:p>
    <w:p w14:paraId="2765B11B" w14:textId="33E7733F" w:rsidR="0052594D" w:rsidRDefault="005F37D6" w:rsidP="0052594D">
      <w:r>
        <w:rPr>
          <w:noProof/>
          <w:lang w:eastAsia="en-AU"/>
        </w:rPr>
        <w:drawing>
          <wp:inline distT="0" distB="0" distL="0" distR="0" wp14:anchorId="513D1A44" wp14:editId="0BEA720A">
            <wp:extent cx="4208930" cy="3532623"/>
            <wp:effectExtent l="0" t="0" r="1270" b="0"/>
            <wp:docPr id="6" name="Picture 6" descr="Numbers of subjects exposed to tafenoquine; short-term exposur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06243" cy="3530368"/>
                    </a:xfrm>
                    <a:prstGeom prst="rect">
                      <a:avLst/>
                    </a:prstGeom>
                  </pic:spPr>
                </pic:pic>
              </a:graphicData>
            </a:graphic>
          </wp:inline>
        </w:drawing>
      </w:r>
    </w:p>
    <w:p w14:paraId="034813C8" w14:textId="748B9D9C" w:rsidR="0052594D" w:rsidRDefault="0052594D" w:rsidP="003F0ECA">
      <w:pPr>
        <w:pStyle w:val="Tabletitle"/>
      </w:pPr>
      <w:bookmarkStart w:id="513" w:name="_Ref501291251"/>
      <w:bookmarkStart w:id="514" w:name="_Toc504229469"/>
      <w:bookmarkStart w:id="515" w:name="_Toc501293720"/>
      <w:r>
        <w:lastRenderedPageBreak/>
        <w:t xml:space="preserve">Table </w:t>
      </w:r>
      <w:r w:rsidR="005B2850">
        <w:t>49</w:t>
      </w:r>
      <w:r w:rsidR="003F0ECA">
        <w:t>:</w:t>
      </w:r>
      <w:bookmarkEnd w:id="513"/>
      <w:r>
        <w:t xml:space="preserve"> </w:t>
      </w:r>
      <w:r w:rsidRPr="003F3599">
        <w:t xml:space="preserve">Short-term </w:t>
      </w:r>
      <w:r w:rsidR="00382EC1">
        <w:t>s</w:t>
      </w:r>
      <w:r w:rsidR="00382EC1" w:rsidRPr="003F3599">
        <w:t>tudies</w:t>
      </w:r>
      <w:r w:rsidR="00382EC1">
        <w:t>;</w:t>
      </w:r>
      <w:r w:rsidR="00382EC1" w:rsidRPr="003F3599">
        <w:t xml:space="preserve"> tafenoquine drug exposure</w:t>
      </w:r>
      <w:bookmarkEnd w:id="514"/>
      <w:bookmarkEnd w:id="515"/>
    </w:p>
    <w:p w14:paraId="7F2B9141" w14:textId="77777777" w:rsidR="0052594D" w:rsidRDefault="0052594D" w:rsidP="0052594D">
      <w:r w:rsidRPr="00E04FA0">
        <w:rPr>
          <w:noProof/>
          <w:lang w:eastAsia="en-AU"/>
        </w:rPr>
        <w:drawing>
          <wp:inline distT="0" distB="0" distL="0" distR="0" wp14:anchorId="3B34449B" wp14:editId="5B563930">
            <wp:extent cx="4948518" cy="2558878"/>
            <wp:effectExtent l="0" t="0" r="5080" b="0"/>
            <wp:docPr id="69" name="Picture 69" descr="Short-term Studies: Tafenoquine Drug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4958403" cy="2563989"/>
                    </a:xfrm>
                    <a:prstGeom prst="rect">
                      <a:avLst/>
                    </a:prstGeom>
                    <a:noFill/>
                    <a:ln>
                      <a:noFill/>
                    </a:ln>
                  </pic:spPr>
                </pic:pic>
              </a:graphicData>
            </a:graphic>
          </wp:inline>
        </w:drawing>
      </w:r>
    </w:p>
    <w:p w14:paraId="5730DEBB" w14:textId="77777777" w:rsidR="000E2807" w:rsidRDefault="0052594D" w:rsidP="009D4859">
      <w:pPr>
        <w:pStyle w:val="Tabletitle"/>
        <w:keepNext w:val="0"/>
      </w:pPr>
      <w:bookmarkStart w:id="516" w:name="_Ref501291566"/>
      <w:bookmarkStart w:id="517" w:name="_Toc504229470"/>
      <w:bookmarkStart w:id="518" w:name="_Toc501293721"/>
      <w:r>
        <w:t xml:space="preserve">Table </w:t>
      </w:r>
      <w:r w:rsidR="003F0ECA">
        <w:t>5</w:t>
      </w:r>
      <w:r w:rsidR="005B2850">
        <w:t>0</w:t>
      </w:r>
      <w:r w:rsidR="003F0ECA">
        <w:t>:</w:t>
      </w:r>
      <w:bookmarkEnd w:id="516"/>
      <w:r>
        <w:t xml:space="preserve"> </w:t>
      </w:r>
      <w:r w:rsidRPr="003F3599">
        <w:t>AEs reported in the short term used studies</w:t>
      </w:r>
    </w:p>
    <w:p w14:paraId="0628EC4F" w14:textId="08DD8C38" w:rsidR="004439FE" w:rsidRPr="00382EC1" w:rsidRDefault="0052594D" w:rsidP="000E2807">
      <w:r w:rsidRPr="00E04FA0">
        <w:rPr>
          <w:noProof/>
          <w:lang w:eastAsia="en-AU"/>
        </w:rPr>
        <w:drawing>
          <wp:inline distT="0" distB="0" distL="0" distR="0" wp14:anchorId="2026CE32" wp14:editId="0BC11102">
            <wp:extent cx="4949660" cy="4605251"/>
            <wp:effectExtent l="0" t="0" r="3810" b="5080"/>
            <wp:docPr id="67" name="Picture 67" descr="AEs reported in the short term us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4961663" cy="4616419"/>
                    </a:xfrm>
                    <a:prstGeom prst="rect">
                      <a:avLst/>
                    </a:prstGeom>
                    <a:noFill/>
                    <a:ln>
                      <a:noFill/>
                    </a:ln>
                  </pic:spPr>
                </pic:pic>
              </a:graphicData>
            </a:graphic>
          </wp:inline>
        </w:drawing>
      </w:r>
      <w:bookmarkEnd w:id="517"/>
      <w:bookmarkEnd w:id="518"/>
    </w:p>
    <w:p w14:paraId="6AFE4E7D" w14:textId="098D3CD9" w:rsidR="004439FE" w:rsidRPr="004439FE" w:rsidRDefault="004439FE" w:rsidP="004439FE">
      <w:pPr>
        <w:pStyle w:val="Tabletitle"/>
      </w:pPr>
      <w:r>
        <w:lastRenderedPageBreak/>
        <w:t xml:space="preserve">Table 50 </w:t>
      </w:r>
      <w:r w:rsidR="00382EC1">
        <w:t>(</w:t>
      </w:r>
      <w:r>
        <w:t>continued</w:t>
      </w:r>
      <w:r w:rsidR="00382EC1">
        <w:t>)</w:t>
      </w:r>
      <w:r>
        <w:t xml:space="preserve">: </w:t>
      </w:r>
      <w:r w:rsidRPr="003F3599">
        <w:t>AEs reported in the short term used studies</w:t>
      </w:r>
    </w:p>
    <w:p w14:paraId="39160FAA" w14:textId="77777777" w:rsidR="0052594D" w:rsidRDefault="0052594D" w:rsidP="000E2807">
      <w:r w:rsidRPr="00E04FA0">
        <w:rPr>
          <w:noProof/>
          <w:lang w:eastAsia="en-AU"/>
        </w:rPr>
        <w:drawing>
          <wp:inline distT="0" distB="0" distL="0" distR="0" wp14:anchorId="08B64017" wp14:editId="0FE755EF">
            <wp:extent cx="5020887" cy="6298748"/>
            <wp:effectExtent l="0" t="0" r="8890" b="6985"/>
            <wp:docPr id="68" name="Picture 68" descr="Table 50 (continued): AEs reported in the short term us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5020265" cy="6297967"/>
                    </a:xfrm>
                    <a:prstGeom prst="rect">
                      <a:avLst/>
                    </a:prstGeom>
                    <a:noFill/>
                    <a:ln>
                      <a:noFill/>
                    </a:ln>
                  </pic:spPr>
                </pic:pic>
              </a:graphicData>
            </a:graphic>
          </wp:inline>
        </w:drawing>
      </w:r>
    </w:p>
    <w:p w14:paraId="1E63C926" w14:textId="475157A0" w:rsidR="0052594D" w:rsidRPr="003F3599" w:rsidRDefault="0052594D" w:rsidP="003F0ECA">
      <w:pPr>
        <w:pStyle w:val="Tabletitle"/>
      </w:pPr>
      <w:bookmarkStart w:id="519" w:name="_Ref501291877"/>
      <w:bookmarkStart w:id="520" w:name="_Toc504229471"/>
      <w:bookmarkStart w:id="521" w:name="_Toc501293722"/>
      <w:r>
        <w:lastRenderedPageBreak/>
        <w:t xml:space="preserve">Table </w:t>
      </w:r>
      <w:r w:rsidR="003F0ECA">
        <w:t>5</w:t>
      </w:r>
      <w:r w:rsidR="005B2850">
        <w:t>1</w:t>
      </w:r>
      <w:r w:rsidR="003F0ECA">
        <w:t>:</w:t>
      </w:r>
      <w:bookmarkEnd w:id="519"/>
      <w:r>
        <w:t xml:space="preserve"> </w:t>
      </w:r>
      <w:r w:rsidRPr="003F3599">
        <w:t xml:space="preserve">Drug </w:t>
      </w:r>
      <w:r w:rsidR="00382EC1">
        <w:t>e</w:t>
      </w:r>
      <w:r w:rsidR="00382EC1" w:rsidRPr="003F3599">
        <w:t xml:space="preserve">xposure </w:t>
      </w:r>
      <w:r w:rsidRPr="003F3599">
        <w:t xml:space="preserve">in </w:t>
      </w:r>
      <w:r w:rsidR="00382EC1">
        <w:t>s</w:t>
      </w:r>
      <w:r w:rsidR="00382EC1" w:rsidRPr="003F3599">
        <w:t xml:space="preserve">tudies </w:t>
      </w:r>
      <w:r w:rsidRPr="003F3599">
        <w:t xml:space="preserve">that </w:t>
      </w:r>
      <w:r w:rsidR="00382EC1">
        <w:t>u</w:t>
      </w:r>
      <w:r w:rsidR="00382EC1" w:rsidRPr="003F3599">
        <w:t>tili</w:t>
      </w:r>
      <w:r w:rsidR="00382EC1">
        <w:t>s</w:t>
      </w:r>
      <w:r w:rsidR="00382EC1" w:rsidRPr="003F3599">
        <w:t xml:space="preserve">ed </w:t>
      </w:r>
      <w:r w:rsidRPr="003F3599">
        <w:t xml:space="preserve">the </w:t>
      </w:r>
      <w:r w:rsidR="00382EC1">
        <w:t>t</w:t>
      </w:r>
      <w:r w:rsidR="00382EC1" w:rsidRPr="003F3599">
        <w:t xml:space="preserve">afenoquine </w:t>
      </w:r>
      <w:r w:rsidRPr="003F3599">
        <w:t xml:space="preserve">ACR: </w:t>
      </w:r>
      <w:r w:rsidR="00382EC1">
        <w:t>t</w:t>
      </w:r>
      <w:r w:rsidR="00382EC1" w:rsidRPr="003F3599">
        <w:t xml:space="preserve">afenoquine </w:t>
      </w:r>
      <w:r w:rsidRPr="003F3599">
        <w:t xml:space="preserve">ACR, </w:t>
      </w:r>
      <w:r w:rsidR="00382EC1">
        <w:t>p</w:t>
      </w:r>
      <w:r w:rsidR="00382EC1" w:rsidRPr="003F3599">
        <w:t>lacebo</w:t>
      </w:r>
      <w:r w:rsidRPr="003F3599">
        <w:t xml:space="preserve">, and </w:t>
      </w:r>
      <w:r w:rsidR="00382EC1">
        <w:t>m</w:t>
      </w:r>
      <w:r w:rsidR="00382EC1" w:rsidRPr="003F3599">
        <w:t xml:space="preserve">efloquine </w:t>
      </w:r>
      <w:bookmarkEnd w:id="520"/>
      <w:bookmarkEnd w:id="521"/>
      <w:r w:rsidR="00382EC1">
        <w:t>g</w:t>
      </w:r>
      <w:r w:rsidR="00382EC1" w:rsidRPr="003F3599">
        <w:t>roups</w:t>
      </w:r>
    </w:p>
    <w:p w14:paraId="752868DB" w14:textId="77777777" w:rsidR="0052594D" w:rsidRDefault="0052594D" w:rsidP="0052594D">
      <w:r w:rsidRPr="00E04FA0">
        <w:rPr>
          <w:noProof/>
          <w:lang w:eastAsia="en-AU"/>
        </w:rPr>
        <w:drawing>
          <wp:inline distT="0" distB="0" distL="0" distR="0" wp14:anchorId="7759AB25" wp14:editId="096DD3D5">
            <wp:extent cx="4876800" cy="2568628"/>
            <wp:effectExtent l="0" t="0" r="0" b="3175"/>
            <wp:docPr id="70" name="Picture 70" descr="Drug Exposure in Studies that Utilized the Tafenoquine ACR: Tafenoquine ACR, Placebo, and Mefloquin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4878528" cy="2569538"/>
                    </a:xfrm>
                    <a:prstGeom prst="rect">
                      <a:avLst/>
                    </a:prstGeom>
                    <a:noFill/>
                    <a:ln>
                      <a:noFill/>
                    </a:ln>
                  </pic:spPr>
                </pic:pic>
              </a:graphicData>
            </a:graphic>
          </wp:inline>
        </w:drawing>
      </w:r>
    </w:p>
    <w:p w14:paraId="2A4B8049" w14:textId="77777777" w:rsidR="008A1A1C" w:rsidRPr="00545B14" w:rsidRDefault="008A1A1C" w:rsidP="00FB2482">
      <w:pPr>
        <w:pStyle w:val="Heading3"/>
      </w:pPr>
      <w:bookmarkStart w:id="522" w:name="_Toc241374319"/>
      <w:bookmarkStart w:id="523" w:name="_Ref271044764"/>
      <w:bookmarkStart w:id="524" w:name="_Toc272414663"/>
      <w:bookmarkStart w:id="525" w:name="_Toc290888527"/>
      <w:bookmarkStart w:id="526" w:name="_Toc416353743"/>
      <w:bookmarkStart w:id="527" w:name="_Toc421005286"/>
      <w:bookmarkStart w:id="528" w:name="_Toc432079163"/>
      <w:bookmarkStart w:id="529" w:name="_Toc432080736"/>
      <w:bookmarkStart w:id="530" w:name="_Toc504229386"/>
      <w:bookmarkStart w:id="531" w:name="_Toc501809160"/>
      <w:bookmarkStart w:id="532" w:name="_Toc12520296"/>
      <w:r w:rsidRPr="00545B14">
        <w:t>Adverse events</w:t>
      </w:r>
      <w:bookmarkEnd w:id="522"/>
      <w:bookmarkEnd w:id="523"/>
      <w:bookmarkEnd w:id="524"/>
      <w:bookmarkEnd w:id="525"/>
      <w:bookmarkEnd w:id="526"/>
      <w:bookmarkEnd w:id="527"/>
      <w:bookmarkEnd w:id="528"/>
      <w:bookmarkEnd w:id="529"/>
      <w:bookmarkEnd w:id="530"/>
      <w:bookmarkEnd w:id="531"/>
      <w:bookmarkEnd w:id="532"/>
    </w:p>
    <w:p w14:paraId="2D854B8F" w14:textId="77777777" w:rsidR="008A1A1C" w:rsidRPr="00545B14" w:rsidRDefault="008A1A1C" w:rsidP="00EC0ADC">
      <w:pPr>
        <w:pStyle w:val="Heading4"/>
      </w:pPr>
      <w:bookmarkStart w:id="533" w:name="_Ref272317284"/>
      <w:bookmarkStart w:id="534" w:name="_Ref272333565"/>
      <w:bookmarkStart w:id="535" w:name="_Toc272414664"/>
      <w:bookmarkStart w:id="536" w:name="_Toc290888528"/>
      <w:bookmarkStart w:id="537" w:name="_Toc416353744"/>
      <w:bookmarkStart w:id="538" w:name="_Toc421005287"/>
      <w:bookmarkStart w:id="539" w:name="_Toc432079164"/>
      <w:bookmarkStart w:id="540" w:name="_Toc432080737"/>
      <w:r w:rsidRPr="00545B14">
        <w:t xml:space="preserve">All adverse events (irrespective of relationship to study </w:t>
      </w:r>
      <w:r w:rsidRPr="00EC0ADC">
        <w:t>treatment</w:t>
      </w:r>
      <w:r w:rsidRPr="00545B14">
        <w:t>)</w:t>
      </w:r>
      <w:bookmarkEnd w:id="533"/>
      <w:bookmarkEnd w:id="534"/>
      <w:bookmarkEnd w:id="535"/>
      <w:bookmarkEnd w:id="536"/>
      <w:bookmarkEnd w:id="537"/>
      <w:bookmarkEnd w:id="538"/>
      <w:bookmarkEnd w:id="539"/>
      <w:bookmarkEnd w:id="540"/>
    </w:p>
    <w:p w14:paraId="6DB07B06" w14:textId="77777777" w:rsidR="008A1A1C" w:rsidRDefault="008A1A1C" w:rsidP="00EC0ADC">
      <w:pPr>
        <w:pStyle w:val="Heading5"/>
      </w:pPr>
      <w:r w:rsidRPr="00073FEC">
        <w:t>Integrated safety analyses</w:t>
      </w:r>
      <w:r>
        <w:t xml:space="preserve"> of the ACR</w:t>
      </w:r>
    </w:p>
    <w:p w14:paraId="266C795C" w14:textId="77777777" w:rsidR="008A1A1C" w:rsidRDefault="008A1A1C" w:rsidP="00EC0ADC">
      <w:r w:rsidRPr="0074166C">
        <w:t>The most commonly occurring AEs evaluated in 825 subjects receiving the ACR for tafenoquine with an incidence &gt; 10% of subjects that were numerically greater than placebo include gastrointestinal AEs of diarrhoea, gastroenteritis, and nasopharyngitis and the musculoskeletal system AE of back pain (</w:t>
      </w:r>
      <w:r w:rsidR="003F0ECA">
        <w:t>Table 5</w:t>
      </w:r>
      <w:r w:rsidR="005B2850">
        <w:t>2</w:t>
      </w:r>
      <w:r w:rsidRPr="0074166C">
        <w:t>). When the study of deployed soldiers (Study 033) was not included in the combined analysis of 333 subjects, diarrhoea was no longer of greater incidence when compared to placebo</w:t>
      </w:r>
      <w:r w:rsidR="00473B40">
        <w:t xml:space="preserve"> treated</w:t>
      </w:r>
      <w:r w:rsidRPr="0074166C">
        <w:t xml:space="preserve"> subjects.</w:t>
      </w:r>
    </w:p>
    <w:p w14:paraId="2A7892B8" w14:textId="4AE1ECE2" w:rsidR="0052594D" w:rsidRPr="00EB341F" w:rsidRDefault="0052594D" w:rsidP="003F0ECA">
      <w:pPr>
        <w:pStyle w:val="Tabletitle"/>
      </w:pPr>
      <w:bookmarkStart w:id="541" w:name="_Ref501293159"/>
      <w:bookmarkStart w:id="542" w:name="_Toc504229473"/>
      <w:bookmarkStart w:id="543" w:name="_Toc501293724"/>
      <w:r>
        <w:t xml:space="preserve">Table </w:t>
      </w:r>
      <w:r w:rsidR="003F0ECA">
        <w:t>5</w:t>
      </w:r>
      <w:bookmarkEnd w:id="541"/>
      <w:r w:rsidR="005B2850">
        <w:t>2</w:t>
      </w:r>
      <w:r w:rsidR="003F0ECA">
        <w:t>:</w:t>
      </w:r>
      <w:r>
        <w:t xml:space="preserve"> </w:t>
      </w:r>
      <w:r w:rsidRPr="003F3599">
        <w:t xml:space="preserve">Incidence of </w:t>
      </w:r>
      <w:r w:rsidR="00382EC1" w:rsidRPr="003F3599">
        <w:t>adverse reactions in studies of tafenoquine administered as a loading dose</w:t>
      </w:r>
      <w:r w:rsidRPr="003F3599">
        <w:t xml:space="preserve"> of 200 mg </w:t>
      </w:r>
      <w:r w:rsidR="00382EC1" w:rsidRPr="003F3599">
        <w:t>daily for three days then weekly up to 6 months in ≥ 10% of patients and numerically greater than placebo</w:t>
      </w:r>
      <w:bookmarkEnd w:id="542"/>
      <w:bookmarkEnd w:id="543"/>
    </w:p>
    <w:tbl>
      <w:tblPr>
        <w:tblStyle w:val="TableTGAblue"/>
        <w:tblW w:w="5000" w:type="pct"/>
        <w:tblLook w:val="00A0" w:firstRow="1" w:lastRow="0" w:firstColumn="1" w:lastColumn="0" w:noHBand="0" w:noVBand="0"/>
      </w:tblPr>
      <w:tblGrid>
        <w:gridCol w:w="1960"/>
        <w:gridCol w:w="2240"/>
        <w:gridCol w:w="2389"/>
        <w:gridCol w:w="2653"/>
      </w:tblGrid>
      <w:tr w:rsidR="0052594D" w:rsidRPr="00C6046C" w14:paraId="2E31E46E" w14:textId="77777777" w:rsidTr="003F0ECA">
        <w:trPr>
          <w:cnfStyle w:val="100000000000" w:firstRow="1" w:lastRow="0" w:firstColumn="0" w:lastColumn="0" w:oddVBand="0" w:evenVBand="0" w:oddHBand="0" w:evenHBand="0" w:firstRowFirstColumn="0" w:firstRowLastColumn="0" w:lastRowFirstColumn="0" w:lastRowLastColumn="0"/>
          <w:cantSplit/>
          <w:trHeight w:val="1065"/>
          <w:tblHeader/>
        </w:trPr>
        <w:tc>
          <w:tcPr>
            <w:cnfStyle w:val="001000000000" w:firstRow="0" w:lastRow="0" w:firstColumn="1" w:lastColumn="0" w:oddVBand="0" w:evenVBand="0" w:oddHBand="0" w:evenHBand="0" w:firstRowFirstColumn="0" w:firstRowLastColumn="0" w:lastRowFirstColumn="0" w:lastRowLastColumn="0"/>
            <w:tcW w:w="1049" w:type="pct"/>
          </w:tcPr>
          <w:p w14:paraId="6EA15D94" w14:textId="169B72CA" w:rsidR="0052594D" w:rsidRPr="003F0ECA" w:rsidRDefault="0052594D" w:rsidP="00382EC1">
            <w:pPr>
              <w:rPr>
                <w:sz w:val="20"/>
                <w:szCs w:val="20"/>
              </w:rPr>
            </w:pPr>
            <w:r w:rsidRPr="003F0ECA">
              <w:rPr>
                <w:sz w:val="20"/>
                <w:szCs w:val="20"/>
              </w:rPr>
              <w:t xml:space="preserve">Adverse </w:t>
            </w:r>
            <w:r w:rsidR="00382EC1">
              <w:rPr>
                <w:sz w:val="20"/>
                <w:szCs w:val="20"/>
              </w:rPr>
              <w:t>r</w:t>
            </w:r>
            <w:r w:rsidR="00382EC1" w:rsidRPr="003F0ECA">
              <w:rPr>
                <w:sz w:val="20"/>
                <w:szCs w:val="20"/>
              </w:rPr>
              <w:t>eaction</w:t>
            </w:r>
          </w:p>
        </w:tc>
        <w:tc>
          <w:tcPr>
            <w:tcW w:w="1216" w:type="pct"/>
          </w:tcPr>
          <w:p w14:paraId="3F8FF492"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Tafenoquine (N=825) 200 mg loading then weekly</w:t>
            </w:r>
          </w:p>
          <w:p w14:paraId="10A65DFB"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Studies 030, 033, 043, 045, 057</w:t>
            </w:r>
          </w:p>
        </w:tc>
        <w:tc>
          <w:tcPr>
            <w:tcW w:w="1296" w:type="pct"/>
          </w:tcPr>
          <w:p w14:paraId="597030F6"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Tafenoquine (N=333) 200 mg loading then weekly</w:t>
            </w:r>
          </w:p>
          <w:p w14:paraId="401331D9"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Studies 030, 043, 045, 057</w:t>
            </w:r>
          </w:p>
        </w:tc>
        <w:tc>
          <w:tcPr>
            <w:tcW w:w="1440" w:type="pct"/>
          </w:tcPr>
          <w:p w14:paraId="3B6C1B90"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Placebo (N=396)</w:t>
            </w:r>
          </w:p>
          <w:p w14:paraId="3D6A32F6" w14:textId="77777777" w:rsidR="0052594D" w:rsidRPr="003F0ECA" w:rsidRDefault="0052594D" w:rsidP="003F0ECA">
            <w:pPr>
              <w:cnfStyle w:val="100000000000" w:firstRow="1" w:lastRow="0" w:firstColumn="0" w:lastColumn="0" w:oddVBand="0" w:evenVBand="0" w:oddHBand="0" w:evenHBand="0" w:firstRowFirstColumn="0" w:firstRowLastColumn="0" w:lastRowFirstColumn="0" w:lastRowLastColumn="0"/>
              <w:rPr>
                <w:sz w:val="20"/>
                <w:szCs w:val="20"/>
              </w:rPr>
            </w:pPr>
            <w:r w:rsidRPr="003F0ECA">
              <w:rPr>
                <w:sz w:val="20"/>
                <w:szCs w:val="20"/>
              </w:rPr>
              <w:t>Studies 030, 043, 044, 045, 057</w:t>
            </w:r>
          </w:p>
        </w:tc>
      </w:tr>
      <w:tr w:rsidR="0052594D" w:rsidRPr="00C6046C" w14:paraId="731F9C0C" w14:textId="77777777" w:rsidTr="003F0ECA">
        <w:trPr>
          <w:trHeight w:val="264"/>
        </w:trPr>
        <w:tc>
          <w:tcPr>
            <w:cnfStyle w:val="001000000000" w:firstRow="0" w:lastRow="0" w:firstColumn="1" w:lastColumn="0" w:oddVBand="0" w:evenVBand="0" w:oddHBand="0" w:evenHBand="0" w:firstRowFirstColumn="0" w:firstRowLastColumn="0" w:lastRowFirstColumn="0" w:lastRowLastColumn="0"/>
            <w:tcW w:w="1049" w:type="pct"/>
          </w:tcPr>
          <w:p w14:paraId="4B151A5D" w14:textId="584987CC" w:rsidR="0052594D" w:rsidRPr="003F0ECA" w:rsidRDefault="0052594D" w:rsidP="003F0ECA">
            <w:pPr>
              <w:rPr>
                <w:sz w:val="20"/>
                <w:szCs w:val="20"/>
              </w:rPr>
            </w:pPr>
            <w:r w:rsidRPr="003F0ECA">
              <w:rPr>
                <w:sz w:val="20"/>
                <w:szCs w:val="20"/>
              </w:rPr>
              <w:t>Diarrh</w:t>
            </w:r>
            <w:r w:rsidR="00382EC1">
              <w:rPr>
                <w:sz w:val="20"/>
                <w:szCs w:val="20"/>
              </w:rPr>
              <w:t>o</w:t>
            </w:r>
            <w:r w:rsidRPr="003F0ECA">
              <w:rPr>
                <w:sz w:val="20"/>
                <w:szCs w:val="20"/>
              </w:rPr>
              <w:t>ea</w:t>
            </w:r>
          </w:p>
        </w:tc>
        <w:tc>
          <w:tcPr>
            <w:tcW w:w="1216" w:type="pct"/>
          </w:tcPr>
          <w:p w14:paraId="03A149CA"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105 (12.7%)</w:t>
            </w:r>
          </w:p>
        </w:tc>
        <w:tc>
          <w:tcPr>
            <w:tcW w:w="1296" w:type="pct"/>
          </w:tcPr>
          <w:p w14:paraId="5D98825A"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16 (4.8%)</w:t>
            </w:r>
          </w:p>
        </w:tc>
        <w:tc>
          <w:tcPr>
            <w:tcW w:w="1440" w:type="pct"/>
          </w:tcPr>
          <w:p w14:paraId="3ECDAAD6"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23 (5.8%)</w:t>
            </w:r>
          </w:p>
        </w:tc>
      </w:tr>
      <w:tr w:rsidR="0052594D" w:rsidRPr="00C6046C" w14:paraId="57F5EBD6" w14:textId="77777777" w:rsidTr="003F0ECA">
        <w:trPr>
          <w:trHeight w:val="264"/>
        </w:trPr>
        <w:tc>
          <w:tcPr>
            <w:cnfStyle w:val="001000000000" w:firstRow="0" w:lastRow="0" w:firstColumn="1" w:lastColumn="0" w:oddVBand="0" w:evenVBand="0" w:oddHBand="0" w:evenHBand="0" w:firstRowFirstColumn="0" w:firstRowLastColumn="0" w:lastRowFirstColumn="0" w:lastRowLastColumn="0"/>
            <w:tcW w:w="1049" w:type="pct"/>
          </w:tcPr>
          <w:p w14:paraId="1EB25D11" w14:textId="77777777" w:rsidR="0052594D" w:rsidRPr="003F0ECA" w:rsidRDefault="0052594D" w:rsidP="003F0ECA">
            <w:pPr>
              <w:rPr>
                <w:sz w:val="20"/>
                <w:szCs w:val="20"/>
              </w:rPr>
            </w:pPr>
            <w:r w:rsidRPr="003F0ECA">
              <w:rPr>
                <w:sz w:val="20"/>
                <w:szCs w:val="20"/>
              </w:rPr>
              <w:t>Gastroenteritis</w:t>
            </w:r>
          </w:p>
        </w:tc>
        <w:tc>
          <w:tcPr>
            <w:tcW w:w="1216" w:type="pct"/>
          </w:tcPr>
          <w:p w14:paraId="3BA90D73"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209 (25.3%)</w:t>
            </w:r>
          </w:p>
        </w:tc>
        <w:tc>
          <w:tcPr>
            <w:tcW w:w="1296" w:type="pct"/>
          </w:tcPr>
          <w:p w14:paraId="5F75B810"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26 (7.8%)</w:t>
            </w:r>
          </w:p>
        </w:tc>
        <w:tc>
          <w:tcPr>
            <w:tcW w:w="1440" w:type="pct"/>
          </w:tcPr>
          <w:p w14:paraId="42231BFF"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17 (4.3%)</w:t>
            </w:r>
          </w:p>
        </w:tc>
      </w:tr>
      <w:tr w:rsidR="0052594D" w:rsidRPr="00C6046C" w14:paraId="64EE9083" w14:textId="77777777" w:rsidTr="003F0ECA">
        <w:trPr>
          <w:trHeight w:val="264"/>
        </w:trPr>
        <w:tc>
          <w:tcPr>
            <w:cnfStyle w:val="001000000000" w:firstRow="0" w:lastRow="0" w:firstColumn="1" w:lastColumn="0" w:oddVBand="0" w:evenVBand="0" w:oddHBand="0" w:evenHBand="0" w:firstRowFirstColumn="0" w:firstRowLastColumn="0" w:lastRowFirstColumn="0" w:lastRowLastColumn="0"/>
            <w:tcW w:w="1049" w:type="pct"/>
          </w:tcPr>
          <w:p w14:paraId="106567A8" w14:textId="77777777" w:rsidR="0052594D" w:rsidRPr="003F0ECA" w:rsidRDefault="0052594D" w:rsidP="003F0ECA">
            <w:pPr>
              <w:rPr>
                <w:sz w:val="20"/>
                <w:szCs w:val="20"/>
              </w:rPr>
            </w:pPr>
            <w:r w:rsidRPr="003F0ECA">
              <w:rPr>
                <w:sz w:val="20"/>
                <w:szCs w:val="20"/>
              </w:rPr>
              <w:t>Nasopharyngitis</w:t>
            </w:r>
          </w:p>
        </w:tc>
        <w:tc>
          <w:tcPr>
            <w:tcW w:w="1216" w:type="pct"/>
          </w:tcPr>
          <w:p w14:paraId="1D4655A0"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108 (13.1%)</w:t>
            </w:r>
          </w:p>
        </w:tc>
        <w:tc>
          <w:tcPr>
            <w:tcW w:w="1296" w:type="pct"/>
          </w:tcPr>
          <w:p w14:paraId="2E4F9A71"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11 (3.3%)</w:t>
            </w:r>
          </w:p>
        </w:tc>
        <w:tc>
          <w:tcPr>
            <w:tcW w:w="1440" w:type="pct"/>
          </w:tcPr>
          <w:p w14:paraId="3EE4A72F"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9 (2.3%)</w:t>
            </w:r>
          </w:p>
        </w:tc>
      </w:tr>
      <w:tr w:rsidR="0052594D" w:rsidRPr="00C6046C" w14:paraId="7E251FE3" w14:textId="77777777" w:rsidTr="003F0ECA">
        <w:trPr>
          <w:trHeight w:val="264"/>
        </w:trPr>
        <w:tc>
          <w:tcPr>
            <w:cnfStyle w:val="001000000000" w:firstRow="0" w:lastRow="0" w:firstColumn="1" w:lastColumn="0" w:oddVBand="0" w:evenVBand="0" w:oddHBand="0" w:evenHBand="0" w:firstRowFirstColumn="0" w:firstRowLastColumn="0" w:lastRowFirstColumn="0" w:lastRowLastColumn="0"/>
            <w:tcW w:w="1049" w:type="pct"/>
          </w:tcPr>
          <w:p w14:paraId="2F2AD4A5" w14:textId="77777777" w:rsidR="0052594D" w:rsidRPr="003F0ECA" w:rsidRDefault="0052594D" w:rsidP="003F0ECA">
            <w:pPr>
              <w:rPr>
                <w:sz w:val="20"/>
                <w:szCs w:val="20"/>
              </w:rPr>
            </w:pPr>
            <w:r w:rsidRPr="003F0ECA">
              <w:rPr>
                <w:sz w:val="20"/>
                <w:szCs w:val="20"/>
              </w:rPr>
              <w:t>Back pain</w:t>
            </w:r>
          </w:p>
        </w:tc>
        <w:tc>
          <w:tcPr>
            <w:tcW w:w="1216" w:type="pct"/>
          </w:tcPr>
          <w:p w14:paraId="192C9CBA"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116 (14.1%)</w:t>
            </w:r>
          </w:p>
        </w:tc>
        <w:tc>
          <w:tcPr>
            <w:tcW w:w="1296" w:type="pct"/>
          </w:tcPr>
          <w:p w14:paraId="5F855CCA"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47 (14.1%)</w:t>
            </w:r>
          </w:p>
        </w:tc>
        <w:tc>
          <w:tcPr>
            <w:tcW w:w="1440" w:type="pct"/>
          </w:tcPr>
          <w:p w14:paraId="1A45ADB1" w14:textId="77777777" w:rsidR="0052594D" w:rsidRPr="003F0ECA" w:rsidRDefault="0052594D" w:rsidP="003F0ECA">
            <w:pPr>
              <w:cnfStyle w:val="000000000000" w:firstRow="0" w:lastRow="0" w:firstColumn="0" w:lastColumn="0" w:oddVBand="0" w:evenVBand="0" w:oddHBand="0" w:evenHBand="0" w:firstRowFirstColumn="0" w:firstRowLastColumn="0" w:lastRowFirstColumn="0" w:lastRowLastColumn="0"/>
              <w:rPr>
                <w:sz w:val="20"/>
                <w:szCs w:val="20"/>
              </w:rPr>
            </w:pPr>
            <w:r w:rsidRPr="003F0ECA">
              <w:rPr>
                <w:sz w:val="20"/>
                <w:szCs w:val="20"/>
              </w:rPr>
              <w:t>26 (6.6%)</w:t>
            </w:r>
          </w:p>
        </w:tc>
      </w:tr>
    </w:tbl>
    <w:p w14:paraId="71453755" w14:textId="6C1B203B" w:rsidR="008A1A1C" w:rsidRDefault="008A1A1C" w:rsidP="00EC0ADC">
      <w:r w:rsidRPr="0074166C">
        <w:t xml:space="preserve">AEs occurring in ≥1% of subjects in the </w:t>
      </w:r>
      <w:r w:rsidR="00382EC1">
        <w:t>t</w:t>
      </w:r>
      <w:r w:rsidR="00382EC1" w:rsidRPr="0074166C">
        <w:t xml:space="preserve">afenoquine </w:t>
      </w:r>
      <w:r w:rsidRPr="0074166C">
        <w:t xml:space="preserve">ACR group and at a greater incidence than in the </w:t>
      </w:r>
      <w:r w:rsidR="00382EC1">
        <w:t>p</w:t>
      </w:r>
      <w:r w:rsidR="00382EC1" w:rsidRPr="0074166C">
        <w:t xml:space="preserve">lacebo </w:t>
      </w:r>
      <w:r w:rsidRPr="0074166C">
        <w:t xml:space="preserve">group were the following: diarrhoea, GORD, vomiting, chest pain, seasonal allergy, body tinea, motion sickness, keratopathy, gastroenteritis, impetigo, nasopharyngitis, </w:t>
      </w:r>
      <w:r w:rsidRPr="0074166C">
        <w:lastRenderedPageBreak/>
        <w:t xml:space="preserve">otitis externa, </w:t>
      </w:r>
      <w:r w:rsidRPr="005B2850">
        <w:t>sinusitis, tinea infection, tinea pedis, tonsillitis, viral infection, arthropod bite, heat illness, joint injury, laceration, ligament sprain, muscle strain, soft tissue injury, thermal burn, arthralgia, back pain, neck pain, lethargy, insomnia, oropharyngeal pain, heat rash, ingrown nail, and rash (</w:t>
      </w:r>
      <w:r w:rsidR="003F0ECA" w:rsidRPr="005B2850">
        <w:t>Table 5</w:t>
      </w:r>
      <w:r w:rsidR="005B2850" w:rsidRPr="005B2850">
        <w:t>3</w:t>
      </w:r>
      <w:r w:rsidRPr="005B2850">
        <w:t>). The incidence of AEs in the combined studies without the study that included deployed soldiers, were lower than when the Study 033 data was included, and in some cases lower than the placebo group</w:t>
      </w:r>
      <w:r w:rsidRPr="0074166C">
        <w:t>.</w:t>
      </w:r>
    </w:p>
    <w:p w14:paraId="07689911" w14:textId="67B058C3" w:rsidR="0052594D" w:rsidRPr="003F3599" w:rsidRDefault="0052594D" w:rsidP="008D769C">
      <w:pPr>
        <w:pStyle w:val="Tabletitle"/>
      </w:pPr>
      <w:bookmarkStart w:id="544" w:name="_Ref501293370"/>
      <w:bookmarkStart w:id="545" w:name="_Toc476549727"/>
      <w:bookmarkStart w:id="546" w:name="_Toc504229474"/>
      <w:bookmarkStart w:id="547" w:name="_Toc501293725"/>
      <w:r>
        <w:t xml:space="preserve">Table </w:t>
      </w:r>
      <w:r w:rsidR="003F0ECA">
        <w:t>5</w:t>
      </w:r>
      <w:r w:rsidR="005B2850">
        <w:t>3</w:t>
      </w:r>
      <w:r w:rsidR="003F0ECA">
        <w:t>:</w:t>
      </w:r>
      <w:bookmarkEnd w:id="544"/>
      <w:r>
        <w:t xml:space="preserve"> </w:t>
      </w:r>
      <w:r w:rsidRPr="003F3599">
        <w:t xml:space="preserve">Adverse </w:t>
      </w:r>
      <w:r w:rsidR="00382EC1">
        <w:t>e</w:t>
      </w:r>
      <w:r w:rsidR="00382EC1" w:rsidRPr="003F3599">
        <w:t xml:space="preserve">vents </w:t>
      </w:r>
      <w:r w:rsidRPr="003F3599">
        <w:t xml:space="preserve">occurring in ≥1% of </w:t>
      </w:r>
      <w:r w:rsidR="00382EC1" w:rsidRPr="003F3599">
        <w:t xml:space="preserve">subjects in the tafenoquine </w:t>
      </w:r>
      <w:r w:rsidRPr="003F3599">
        <w:t xml:space="preserve">ACR </w:t>
      </w:r>
      <w:r w:rsidR="00382EC1" w:rsidRPr="003F3599">
        <w:t>group and with an incidence numerically greater than in the placebo group</w:t>
      </w:r>
      <w:bookmarkEnd w:id="545"/>
      <w:bookmarkEnd w:id="546"/>
      <w:bookmarkEnd w:id="547"/>
    </w:p>
    <w:tbl>
      <w:tblPr>
        <w:tblStyle w:val="TableTGAblue"/>
        <w:tblW w:w="5000" w:type="pct"/>
        <w:tblLook w:val="00A0" w:firstRow="1" w:lastRow="0" w:firstColumn="1" w:lastColumn="0" w:noHBand="0" w:noVBand="0"/>
      </w:tblPr>
      <w:tblGrid>
        <w:gridCol w:w="2068"/>
        <w:gridCol w:w="2516"/>
        <w:gridCol w:w="2516"/>
        <w:gridCol w:w="2142"/>
      </w:tblGrid>
      <w:tr w:rsidR="0052594D" w:rsidRPr="008D769C" w14:paraId="0504708D" w14:textId="77777777" w:rsidTr="008D769C">
        <w:trPr>
          <w:cnfStyle w:val="100000000000" w:firstRow="1" w:lastRow="0" w:firstColumn="0" w:lastColumn="0" w:oddVBand="0" w:evenVBand="0" w:oddHBand="0" w:evenHBand="0" w:firstRowFirstColumn="0" w:firstRowLastColumn="0" w:lastRowFirstColumn="0" w:lastRowLastColumn="0"/>
          <w:cantSplit/>
          <w:trHeight w:val="917"/>
          <w:tblHeader/>
        </w:trPr>
        <w:tc>
          <w:tcPr>
            <w:cnfStyle w:val="001000000000" w:firstRow="0" w:lastRow="0" w:firstColumn="1" w:lastColumn="0" w:oddVBand="0" w:evenVBand="0" w:oddHBand="0" w:evenHBand="0" w:firstRowFirstColumn="0" w:firstRowLastColumn="0" w:lastRowFirstColumn="0" w:lastRowLastColumn="0"/>
            <w:tcW w:w="1118" w:type="pct"/>
          </w:tcPr>
          <w:p w14:paraId="52C4C4EA" w14:textId="734A2F3E" w:rsidR="0052594D" w:rsidRPr="008D769C" w:rsidRDefault="0052594D" w:rsidP="00382EC1">
            <w:pPr>
              <w:rPr>
                <w:sz w:val="20"/>
                <w:szCs w:val="20"/>
              </w:rPr>
            </w:pPr>
            <w:r w:rsidRPr="008D769C">
              <w:rPr>
                <w:sz w:val="20"/>
                <w:szCs w:val="20"/>
              </w:rPr>
              <w:br w:type="page"/>
              <w:t xml:space="preserve">Adverse </w:t>
            </w:r>
            <w:r w:rsidR="00382EC1">
              <w:rPr>
                <w:sz w:val="20"/>
                <w:szCs w:val="20"/>
              </w:rPr>
              <w:t>r</w:t>
            </w:r>
            <w:r w:rsidR="00382EC1" w:rsidRPr="008D769C">
              <w:rPr>
                <w:sz w:val="20"/>
                <w:szCs w:val="20"/>
              </w:rPr>
              <w:t>eaction</w:t>
            </w:r>
          </w:p>
        </w:tc>
        <w:tc>
          <w:tcPr>
            <w:tcW w:w="1361" w:type="pct"/>
          </w:tcPr>
          <w:p w14:paraId="61C3377F" w14:textId="77777777" w:rsidR="0052594D" w:rsidRPr="008D769C" w:rsidRDefault="0052594D" w:rsidP="008D769C">
            <w:pPr>
              <w:cnfStyle w:val="100000000000" w:firstRow="1" w:lastRow="0" w:firstColumn="0" w:lastColumn="0" w:oddVBand="0" w:evenVBand="0" w:oddHBand="0" w:evenHBand="0" w:firstRowFirstColumn="0" w:firstRowLastColumn="0" w:lastRowFirstColumn="0" w:lastRowLastColumn="0"/>
              <w:rPr>
                <w:sz w:val="20"/>
                <w:szCs w:val="20"/>
              </w:rPr>
            </w:pPr>
            <w:r w:rsidRPr="008D769C">
              <w:rPr>
                <w:sz w:val="20"/>
                <w:szCs w:val="20"/>
              </w:rPr>
              <w:t>Tafenoquine (N=825) 200 mg loading then weekly</w:t>
            </w:r>
            <w:r w:rsidRPr="008D769C">
              <w:rPr>
                <w:sz w:val="20"/>
                <w:szCs w:val="20"/>
              </w:rPr>
              <w:br/>
              <w:t>Studies 030, 033, 043, 045, 057</w:t>
            </w:r>
          </w:p>
        </w:tc>
        <w:tc>
          <w:tcPr>
            <w:tcW w:w="1361" w:type="pct"/>
          </w:tcPr>
          <w:p w14:paraId="1934F1F5" w14:textId="77777777" w:rsidR="0052594D" w:rsidRPr="008D769C" w:rsidRDefault="0052594D" w:rsidP="008D769C">
            <w:pPr>
              <w:cnfStyle w:val="100000000000" w:firstRow="1" w:lastRow="0" w:firstColumn="0" w:lastColumn="0" w:oddVBand="0" w:evenVBand="0" w:oddHBand="0" w:evenHBand="0" w:firstRowFirstColumn="0" w:firstRowLastColumn="0" w:lastRowFirstColumn="0" w:lastRowLastColumn="0"/>
              <w:rPr>
                <w:sz w:val="20"/>
                <w:szCs w:val="20"/>
              </w:rPr>
            </w:pPr>
            <w:r w:rsidRPr="008D769C">
              <w:rPr>
                <w:sz w:val="20"/>
                <w:szCs w:val="20"/>
              </w:rPr>
              <w:t>Tafenoquine (N=333) 200 mg loading then weekly</w:t>
            </w:r>
            <w:r w:rsidRPr="008D769C">
              <w:rPr>
                <w:sz w:val="20"/>
                <w:szCs w:val="20"/>
              </w:rPr>
              <w:br/>
              <w:t>Studies 030, 043, 045, 057</w:t>
            </w:r>
          </w:p>
        </w:tc>
        <w:tc>
          <w:tcPr>
            <w:tcW w:w="1159" w:type="pct"/>
          </w:tcPr>
          <w:p w14:paraId="1F331049" w14:textId="77777777" w:rsidR="0052594D" w:rsidRPr="008D769C" w:rsidRDefault="0052594D" w:rsidP="008D769C">
            <w:pPr>
              <w:cnfStyle w:val="100000000000" w:firstRow="1" w:lastRow="0" w:firstColumn="0" w:lastColumn="0" w:oddVBand="0" w:evenVBand="0" w:oddHBand="0" w:evenHBand="0" w:firstRowFirstColumn="0" w:firstRowLastColumn="0" w:lastRowFirstColumn="0" w:lastRowLastColumn="0"/>
              <w:rPr>
                <w:sz w:val="20"/>
                <w:szCs w:val="20"/>
              </w:rPr>
            </w:pPr>
            <w:r w:rsidRPr="008D769C">
              <w:rPr>
                <w:sz w:val="20"/>
                <w:szCs w:val="20"/>
              </w:rPr>
              <w:t>Placebo (N=396)</w:t>
            </w:r>
            <w:r w:rsidRPr="008D769C">
              <w:rPr>
                <w:sz w:val="20"/>
                <w:szCs w:val="20"/>
              </w:rPr>
              <w:br/>
              <w:t>Studies 030, 043, 044, 045, 057</w:t>
            </w:r>
          </w:p>
        </w:tc>
      </w:tr>
      <w:tr w:rsidR="0052594D" w:rsidRPr="008D769C" w14:paraId="5B9C9662"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165E9543" w14:textId="77777777" w:rsidR="0052594D" w:rsidRPr="008D769C" w:rsidRDefault="0052594D" w:rsidP="008D769C">
            <w:pPr>
              <w:rPr>
                <w:sz w:val="20"/>
                <w:szCs w:val="20"/>
              </w:rPr>
            </w:pPr>
            <w:r w:rsidRPr="008D769C">
              <w:rPr>
                <w:sz w:val="20"/>
                <w:szCs w:val="20"/>
              </w:rPr>
              <w:t>Gastroenteritis</w:t>
            </w:r>
          </w:p>
        </w:tc>
        <w:tc>
          <w:tcPr>
            <w:tcW w:w="1361" w:type="pct"/>
          </w:tcPr>
          <w:p w14:paraId="4590DC1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209 (25.3%)</w:t>
            </w:r>
          </w:p>
        </w:tc>
        <w:tc>
          <w:tcPr>
            <w:tcW w:w="1361" w:type="pct"/>
          </w:tcPr>
          <w:p w14:paraId="61594E40"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26 (7.8%)</w:t>
            </w:r>
          </w:p>
        </w:tc>
        <w:tc>
          <w:tcPr>
            <w:tcW w:w="1159" w:type="pct"/>
          </w:tcPr>
          <w:p w14:paraId="3A1BE7E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(4.3%)</w:t>
            </w:r>
          </w:p>
        </w:tc>
      </w:tr>
      <w:tr w:rsidR="0052594D" w:rsidRPr="008D769C" w14:paraId="42C2CD04" w14:textId="77777777" w:rsidTr="008D769C">
        <w:trPr>
          <w:trHeight w:val="197"/>
        </w:trPr>
        <w:tc>
          <w:tcPr>
            <w:cnfStyle w:val="001000000000" w:firstRow="0" w:lastRow="0" w:firstColumn="1" w:lastColumn="0" w:oddVBand="0" w:evenVBand="0" w:oddHBand="0" w:evenHBand="0" w:firstRowFirstColumn="0" w:firstRowLastColumn="0" w:lastRowFirstColumn="0" w:lastRowLastColumn="0"/>
            <w:tcW w:w="1118" w:type="pct"/>
          </w:tcPr>
          <w:p w14:paraId="2142050C" w14:textId="77777777" w:rsidR="0052594D" w:rsidRPr="008D769C" w:rsidRDefault="0052594D" w:rsidP="008D769C">
            <w:pPr>
              <w:rPr>
                <w:sz w:val="20"/>
                <w:szCs w:val="20"/>
              </w:rPr>
            </w:pPr>
            <w:r w:rsidRPr="008D769C">
              <w:rPr>
                <w:sz w:val="20"/>
                <w:szCs w:val="20"/>
              </w:rPr>
              <w:t>Back pain</w:t>
            </w:r>
          </w:p>
        </w:tc>
        <w:tc>
          <w:tcPr>
            <w:tcW w:w="1361" w:type="pct"/>
          </w:tcPr>
          <w:p w14:paraId="7CC84FD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116 (14.1%)</w:t>
            </w:r>
          </w:p>
        </w:tc>
        <w:tc>
          <w:tcPr>
            <w:tcW w:w="1361" w:type="pct"/>
          </w:tcPr>
          <w:p w14:paraId="2BAC951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47 (14.1%)</w:t>
            </w:r>
          </w:p>
        </w:tc>
        <w:tc>
          <w:tcPr>
            <w:tcW w:w="1159" w:type="pct"/>
          </w:tcPr>
          <w:p w14:paraId="16E0A26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26 (6.6%)</w:t>
            </w:r>
          </w:p>
        </w:tc>
      </w:tr>
      <w:tr w:rsidR="0052594D" w:rsidRPr="008D769C" w14:paraId="2EFD3FCB"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463FE181" w14:textId="77777777" w:rsidR="0052594D" w:rsidRPr="008D769C" w:rsidRDefault="0052594D" w:rsidP="008D769C">
            <w:pPr>
              <w:rPr>
                <w:sz w:val="20"/>
                <w:szCs w:val="20"/>
              </w:rPr>
            </w:pPr>
            <w:r w:rsidRPr="008D769C">
              <w:rPr>
                <w:sz w:val="20"/>
                <w:szCs w:val="20"/>
              </w:rPr>
              <w:t>Nasopharyngitis</w:t>
            </w:r>
          </w:p>
        </w:tc>
        <w:tc>
          <w:tcPr>
            <w:tcW w:w="1361" w:type="pct"/>
          </w:tcPr>
          <w:p w14:paraId="1BBADD8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108 (13.1%)</w:t>
            </w:r>
          </w:p>
        </w:tc>
        <w:tc>
          <w:tcPr>
            <w:tcW w:w="1361" w:type="pct"/>
          </w:tcPr>
          <w:p w14:paraId="6AD1E281"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11 (3.3%)</w:t>
            </w:r>
          </w:p>
        </w:tc>
        <w:tc>
          <w:tcPr>
            <w:tcW w:w="1159" w:type="pct"/>
          </w:tcPr>
          <w:p w14:paraId="10EB53D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9 (2.3%)</w:t>
            </w:r>
          </w:p>
        </w:tc>
      </w:tr>
      <w:tr w:rsidR="0052594D" w:rsidRPr="008D769C" w14:paraId="567738D6"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448527E9" w14:textId="15C613E3" w:rsidR="0052594D" w:rsidRPr="008D769C" w:rsidRDefault="0052594D" w:rsidP="008D769C">
            <w:pPr>
              <w:rPr>
                <w:sz w:val="20"/>
                <w:szCs w:val="20"/>
              </w:rPr>
            </w:pPr>
            <w:r w:rsidRPr="008D769C">
              <w:rPr>
                <w:sz w:val="20"/>
                <w:szCs w:val="20"/>
              </w:rPr>
              <w:t>Diarrh</w:t>
            </w:r>
            <w:r w:rsidR="00B319AC">
              <w:rPr>
                <w:sz w:val="20"/>
                <w:szCs w:val="20"/>
              </w:rPr>
              <w:t>o</w:t>
            </w:r>
            <w:r w:rsidRPr="008D769C">
              <w:rPr>
                <w:sz w:val="20"/>
                <w:szCs w:val="20"/>
              </w:rPr>
              <w:t>ea</w:t>
            </w:r>
          </w:p>
        </w:tc>
        <w:tc>
          <w:tcPr>
            <w:tcW w:w="1361" w:type="pct"/>
          </w:tcPr>
          <w:p w14:paraId="4358F55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105 (12.7%)</w:t>
            </w:r>
          </w:p>
        </w:tc>
        <w:tc>
          <w:tcPr>
            <w:tcW w:w="1361" w:type="pct"/>
          </w:tcPr>
          <w:p w14:paraId="46C86FA2"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16 (4.8%)</w:t>
            </w:r>
          </w:p>
        </w:tc>
        <w:tc>
          <w:tcPr>
            <w:tcW w:w="1159" w:type="pct"/>
          </w:tcPr>
          <w:p w14:paraId="126F64B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23 (5.8%)</w:t>
            </w:r>
          </w:p>
        </w:tc>
      </w:tr>
      <w:tr w:rsidR="0052594D" w:rsidRPr="008D769C" w14:paraId="057405A5"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36CC55B7" w14:textId="77777777" w:rsidR="0052594D" w:rsidRPr="008D769C" w:rsidRDefault="0052594D" w:rsidP="008D769C">
            <w:pPr>
              <w:rPr>
                <w:sz w:val="20"/>
                <w:szCs w:val="20"/>
              </w:rPr>
            </w:pPr>
            <w:r w:rsidRPr="008D769C">
              <w:rPr>
                <w:sz w:val="20"/>
                <w:szCs w:val="20"/>
              </w:rPr>
              <w:t>Keratopathy</w:t>
            </w:r>
            <w:r w:rsidRPr="008D769C">
              <w:rPr>
                <w:color w:val="FF0000"/>
                <w:sz w:val="20"/>
                <w:szCs w:val="20"/>
              </w:rPr>
              <w:t>*</w:t>
            </w:r>
          </w:p>
        </w:tc>
        <w:tc>
          <w:tcPr>
            <w:tcW w:w="1361" w:type="pct"/>
          </w:tcPr>
          <w:p w14:paraId="58011D81"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68 (8.2%)</w:t>
            </w:r>
          </w:p>
        </w:tc>
        <w:tc>
          <w:tcPr>
            <w:tcW w:w="1361" w:type="pct"/>
          </w:tcPr>
          <w:p w14:paraId="3DD5B767"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c>
          <w:tcPr>
            <w:tcW w:w="1159" w:type="pct"/>
          </w:tcPr>
          <w:p w14:paraId="4AE9C69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61EA178D" w14:textId="77777777" w:rsidTr="008D769C">
        <w:trPr>
          <w:trHeight w:val="197"/>
        </w:trPr>
        <w:tc>
          <w:tcPr>
            <w:cnfStyle w:val="001000000000" w:firstRow="0" w:lastRow="0" w:firstColumn="1" w:lastColumn="0" w:oddVBand="0" w:evenVBand="0" w:oddHBand="0" w:evenHBand="0" w:firstRowFirstColumn="0" w:firstRowLastColumn="0" w:lastRowFirstColumn="0" w:lastRowLastColumn="0"/>
            <w:tcW w:w="1118" w:type="pct"/>
          </w:tcPr>
          <w:p w14:paraId="4F09314E" w14:textId="77777777" w:rsidR="0052594D" w:rsidRPr="008D769C" w:rsidRDefault="0052594D" w:rsidP="008D769C">
            <w:pPr>
              <w:rPr>
                <w:sz w:val="20"/>
                <w:szCs w:val="20"/>
              </w:rPr>
            </w:pPr>
            <w:r w:rsidRPr="008D769C">
              <w:rPr>
                <w:sz w:val="20"/>
                <w:szCs w:val="20"/>
              </w:rPr>
              <w:t>Soft tissue injury</w:t>
            </w:r>
          </w:p>
        </w:tc>
        <w:tc>
          <w:tcPr>
            <w:tcW w:w="1361" w:type="pct"/>
          </w:tcPr>
          <w:p w14:paraId="2EB5572D"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62 (7.5%)</w:t>
            </w:r>
          </w:p>
        </w:tc>
        <w:tc>
          <w:tcPr>
            <w:tcW w:w="1361" w:type="pct"/>
          </w:tcPr>
          <w:p w14:paraId="7DDE2B0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(0.6%)</w:t>
            </w:r>
          </w:p>
        </w:tc>
        <w:tc>
          <w:tcPr>
            <w:tcW w:w="1159" w:type="pct"/>
          </w:tcPr>
          <w:p w14:paraId="4F25383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47F63C86" w14:textId="77777777" w:rsidTr="008D769C">
        <w:trPr>
          <w:trHeight w:val="170"/>
        </w:trPr>
        <w:tc>
          <w:tcPr>
            <w:cnfStyle w:val="001000000000" w:firstRow="0" w:lastRow="0" w:firstColumn="1" w:lastColumn="0" w:oddVBand="0" w:evenVBand="0" w:oddHBand="0" w:evenHBand="0" w:firstRowFirstColumn="0" w:firstRowLastColumn="0" w:lastRowFirstColumn="0" w:lastRowLastColumn="0"/>
            <w:tcW w:w="1118" w:type="pct"/>
          </w:tcPr>
          <w:p w14:paraId="6C96754E" w14:textId="77777777" w:rsidR="0052594D" w:rsidRPr="008D769C" w:rsidRDefault="0052594D" w:rsidP="008D769C">
            <w:pPr>
              <w:rPr>
                <w:sz w:val="20"/>
                <w:szCs w:val="20"/>
              </w:rPr>
            </w:pPr>
            <w:r w:rsidRPr="008D769C">
              <w:rPr>
                <w:sz w:val="20"/>
                <w:szCs w:val="20"/>
              </w:rPr>
              <w:t>Arthralgia</w:t>
            </w:r>
          </w:p>
        </w:tc>
        <w:tc>
          <w:tcPr>
            <w:tcW w:w="1361" w:type="pct"/>
          </w:tcPr>
          <w:p w14:paraId="631F1F8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61 (7.4%)</w:t>
            </w:r>
          </w:p>
        </w:tc>
        <w:tc>
          <w:tcPr>
            <w:tcW w:w="1361" w:type="pct"/>
          </w:tcPr>
          <w:p w14:paraId="3C0A6BE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14 (4.2%)</w:t>
            </w:r>
          </w:p>
        </w:tc>
        <w:tc>
          <w:tcPr>
            <w:tcW w:w="1159" w:type="pct"/>
          </w:tcPr>
          <w:p w14:paraId="76DAEE5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15 (3.8%)</w:t>
            </w:r>
          </w:p>
        </w:tc>
      </w:tr>
      <w:tr w:rsidR="0052594D" w:rsidRPr="008D769C" w14:paraId="00087108" w14:textId="77777777" w:rsidTr="008D769C">
        <w:trPr>
          <w:trHeight w:val="215"/>
        </w:trPr>
        <w:tc>
          <w:tcPr>
            <w:cnfStyle w:val="001000000000" w:firstRow="0" w:lastRow="0" w:firstColumn="1" w:lastColumn="0" w:oddVBand="0" w:evenVBand="0" w:oddHBand="0" w:evenHBand="0" w:firstRowFirstColumn="0" w:firstRowLastColumn="0" w:lastRowFirstColumn="0" w:lastRowLastColumn="0"/>
            <w:tcW w:w="1118" w:type="pct"/>
          </w:tcPr>
          <w:p w14:paraId="4C7CAE15" w14:textId="77777777" w:rsidR="0052594D" w:rsidRPr="008D769C" w:rsidRDefault="0052594D" w:rsidP="008D769C">
            <w:pPr>
              <w:rPr>
                <w:sz w:val="20"/>
                <w:szCs w:val="20"/>
              </w:rPr>
            </w:pPr>
            <w:r w:rsidRPr="008D769C">
              <w:rPr>
                <w:sz w:val="20"/>
                <w:szCs w:val="20"/>
              </w:rPr>
              <w:t>Heat rash</w:t>
            </w:r>
          </w:p>
        </w:tc>
        <w:tc>
          <w:tcPr>
            <w:tcW w:w="1361" w:type="pct"/>
          </w:tcPr>
          <w:p w14:paraId="662F277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53 (6.4%)</w:t>
            </w:r>
          </w:p>
        </w:tc>
        <w:tc>
          <w:tcPr>
            <w:tcW w:w="1361" w:type="pct"/>
          </w:tcPr>
          <w:p w14:paraId="3A09867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c>
          <w:tcPr>
            <w:tcW w:w="1159" w:type="pct"/>
          </w:tcPr>
          <w:p w14:paraId="1A77C68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3FC410CD"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5EE4EBAA" w14:textId="77777777" w:rsidR="0052594D" w:rsidRPr="008D769C" w:rsidRDefault="0052594D" w:rsidP="008D769C">
            <w:pPr>
              <w:rPr>
                <w:sz w:val="20"/>
                <w:szCs w:val="20"/>
              </w:rPr>
            </w:pPr>
            <w:r w:rsidRPr="008D769C">
              <w:rPr>
                <w:sz w:val="20"/>
                <w:szCs w:val="20"/>
              </w:rPr>
              <w:t>Viral infection</w:t>
            </w:r>
          </w:p>
        </w:tc>
        <w:tc>
          <w:tcPr>
            <w:tcW w:w="1361" w:type="pct"/>
          </w:tcPr>
          <w:p w14:paraId="0F31B59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48 (5.8%)</w:t>
            </w:r>
          </w:p>
        </w:tc>
        <w:tc>
          <w:tcPr>
            <w:tcW w:w="1361" w:type="pct"/>
          </w:tcPr>
          <w:p w14:paraId="011071B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8 (2.4%)</w:t>
            </w:r>
          </w:p>
        </w:tc>
        <w:tc>
          <w:tcPr>
            <w:tcW w:w="1159" w:type="pct"/>
          </w:tcPr>
          <w:p w14:paraId="6EE77017"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 (1.5%)</w:t>
            </w:r>
          </w:p>
        </w:tc>
      </w:tr>
      <w:tr w:rsidR="0052594D" w:rsidRPr="008D769C" w14:paraId="31989564" w14:textId="77777777" w:rsidTr="008D769C">
        <w:trPr>
          <w:trHeight w:val="197"/>
        </w:trPr>
        <w:tc>
          <w:tcPr>
            <w:cnfStyle w:val="001000000000" w:firstRow="0" w:lastRow="0" w:firstColumn="1" w:lastColumn="0" w:oddVBand="0" w:evenVBand="0" w:oddHBand="0" w:evenHBand="0" w:firstRowFirstColumn="0" w:firstRowLastColumn="0" w:lastRowFirstColumn="0" w:lastRowLastColumn="0"/>
            <w:tcW w:w="1118" w:type="pct"/>
          </w:tcPr>
          <w:p w14:paraId="5FC563CF" w14:textId="77777777" w:rsidR="0052594D" w:rsidRPr="008D769C" w:rsidRDefault="0052594D" w:rsidP="008D769C">
            <w:pPr>
              <w:rPr>
                <w:sz w:val="20"/>
                <w:szCs w:val="20"/>
              </w:rPr>
            </w:pPr>
            <w:r w:rsidRPr="008D769C">
              <w:rPr>
                <w:sz w:val="20"/>
                <w:szCs w:val="20"/>
              </w:rPr>
              <w:t>Laceration</w:t>
            </w:r>
          </w:p>
        </w:tc>
        <w:tc>
          <w:tcPr>
            <w:tcW w:w="1361" w:type="pct"/>
          </w:tcPr>
          <w:p w14:paraId="3292E626"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37 (4.5%)</w:t>
            </w:r>
          </w:p>
        </w:tc>
        <w:tc>
          <w:tcPr>
            <w:tcW w:w="1361" w:type="pct"/>
          </w:tcPr>
          <w:p w14:paraId="48941380"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8 (2.4%)</w:t>
            </w:r>
          </w:p>
        </w:tc>
        <w:tc>
          <w:tcPr>
            <w:tcW w:w="1159" w:type="pct"/>
          </w:tcPr>
          <w:p w14:paraId="73BCEB37"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 (1.5%)</w:t>
            </w:r>
          </w:p>
        </w:tc>
      </w:tr>
      <w:tr w:rsidR="0052594D" w:rsidRPr="008D769C" w14:paraId="3D1BA69E" w14:textId="77777777" w:rsidTr="008D769C">
        <w:trPr>
          <w:trHeight w:val="179"/>
        </w:trPr>
        <w:tc>
          <w:tcPr>
            <w:cnfStyle w:val="001000000000" w:firstRow="0" w:lastRow="0" w:firstColumn="1" w:lastColumn="0" w:oddVBand="0" w:evenVBand="0" w:oddHBand="0" w:evenHBand="0" w:firstRowFirstColumn="0" w:firstRowLastColumn="0" w:lastRowFirstColumn="0" w:lastRowLastColumn="0"/>
            <w:tcW w:w="1118" w:type="pct"/>
          </w:tcPr>
          <w:p w14:paraId="45A7F345" w14:textId="77777777" w:rsidR="0052594D" w:rsidRPr="008D769C" w:rsidRDefault="0052594D" w:rsidP="008D769C">
            <w:pPr>
              <w:rPr>
                <w:sz w:val="20"/>
                <w:szCs w:val="20"/>
              </w:rPr>
            </w:pPr>
            <w:r w:rsidRPr="008D769C">
              <w:rPr>
                <w:sz w:val="20"/>
                <w:szCs w:val="20"/>
              </w:rPr>
              <w:t>Vomiting</w:t>
            </w:r>
          </w:p>
        </w:tc>
        <w:tc>
          <w:tcPr>
            <w:tcW w:w="1361" w:type="pct"/>
          </w:tcPr>
          <w:p w14:paraId="572C850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31 (3.8%)</w:t>
            </w:r>
          </w:p>
        </w:tc>
        <w:tc>
          <w:tcPr>
            <w:tcW w:w="1361" w:type="pct"/>
          </w:tcPr>
          <w:p w14:paraId="61F7DA52"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7 (2.1%)</w:t>
            </w:r>
          </w:p>
        </w:tc>
        <w:tc>
          <w:tcPr>
            <w:tcW w:w="1159" w:type="pct"/>
          </w:tcPr>
          <w:p w14:paraId="7C7F5CE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6 (1.5%)</w:t>
            </w:r>
          </w:p>
        </w:tc>
      </w:tr>
      <w:tr w:rsidR="0052594D" w:rsidRPr="008D769C" w14:paraId="3BF7DB52" w14:textId="77777777" w:rsidTr="008D769C">
        <w:trPr>
          <w:trHeight w:val="318"/>
        </w:trPr>
        <w:tc>
          <w:tcPr>
            <w:cnfStyle w:val="001000000000" w:firstRow="0" w:lastRow="0" w:firstColumn="1" w:lastColumn="0" w:oddVBand="0" w:evenVBand="0" w:oddHBand="0" w:evenHBand="0" w:firstRowFirstColumn="0" w:firstRowLastColumn="0" w:lastRowFirstColumn="0" w:lastRowLastColumn="0"/>
            <w:tcW w:w="1118" w:type="pct"/>
          </w:tcPr>
          <w:p w14:paraId="68D3C4C0" w14:textId="77777777" w:rsidR="0052594D" w:rsidRPr="008D769C" w:rsidRDefault="0052594D" w:rsidP="008D769C">
            <w:pPr>
              <w:rPr>
                <w:sz w:val="20"/>
                <w:szCs w:val="20"/>
              </w:rPr>
            </w:pPr>
            <w:r w:rsidRPr="008D769C">
              <w:rPr>
                <w:sz w:val="20"/>
                <w:szCs w:val="20"/>
              </w:rPr>
              <w:t>Oropharyngeal pain</w:t>
            </w:r>
          </w:p>
        </w:tc>
        <w:tc>
          <w:tcPr>
            <w:tcW w:w="1361" w:type="pct"/>
          </w:tcPr>
          <w:p w14:paraId="1F2FF34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30 (3.6%)</w:t>
            </w:r>
          </w:p>
        </w:tc>
        <w:tc>
          <w:tcPr>
            <w:tcW w:w="1361" w:type="pct"/>
          </w:tcPr>
          <w:p w14:paraId="0D9502D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18 (5.4%)</w:t>
            </w:r>
          </w:p>
        </w:tc>
        <w:tc>
          <w:tcPr>
            <w:tcW w:w="1159" w:type="pct"/>
          </w:tcPr>
          <w:p w14:paraId="289A212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12 (3.0%)</w:t>
            </w:r>
          </w:p>
        </w:tc>
      </w:tr>
      <w:tr w:rsidR="0052594D" w:rsidRPr="008D769C" w14:paraId="7FA4F2DE"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2EA5AB10" w14:textId="77777777" w:rsidR="0052594D" w:rsidRPr="008D769C" w:rsidRDefault="0052594D" w:rsidP="008D769C">
            <w:pPr>
              <w:rPr>
                <w:sz w:val="20"/>
                <w:szCs w:val="20"/>
              </w:rPr>
            </w:pPr>
            <w:r w:rsidRPr="008D769C">
              <w:rPr>
                <w:sz w:val="20"/>
                <w:szCs w:val="20"/>
              </w:rPr>
              <w:t>Tonsillitis</w:t>
            </w:r>
          </w:p>
        </w:tc>
        <w:tc>
          <w:tcPr>
            <w:tcW w:w="1361" w:type="pct"/>
          </w:tcPr>
          <w:p w14:paraId="24A0493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27 (3.3%)</w:t>
            </w:r>
          </w:p>
        </w:tc>
        <w:tc>
          <w:tcPr>
            <w:tcW w:w="1361" w:type="pct"/>
          </w:tcPr>
          <w:p w14:paraId="3425E35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11 (3.3%)</w:t>
            </w:r>
          </w:p>
        </w:tc>
        <w:tc>
          <w:tcPr>
            <w:tcW w:w="1159" w:type="pct"/>
          </w:tcPr>
          <w:p w14:paraId="2C8EDC4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(0.5%)</w:t>
            </w:r>
          </w:p>
        </w:tc>
      </w:tr>
      <w:tr w:rsidR="0052594D" w:rsidRPr="008D769C" w14:paraId="219C335E" w14:textId="77777777" w:rsidTr="008D769C">
        <w:trPr>
          <w:trHeight w:val="125"/>
        </w:trPr>
        <w:tc>
          <w:tcPr>
            <w:cnfStyle w:val="001000000000" w:firstRow="0" w:lastRow="0" w:firstColumn="1" w:lastColumn="0" w:oddVBand="0" w:evenVBand="0" w:oddHBand="0" w:evenHBand="0" w:firstRowFirstColumn="0" w:firstRowLastColumn="0" w:lastRowFirstColumn="0" w:lastRowLastColumn="0"/>
            <w:tcW w:w="1118" w:type="pct"/>
          </w:tcPr>
          <w:p w14:paraId="76062A80" w14:textId="77777777" w:rsidR="0052594D" w:rsidRPr="008D769C" w:rsidRDefault="0052594D" w:rsidP="008D769C">
            <w:pPr>
              <w:rPr>
                <w:sz w:val="20"/>
                <w:szCs w:val="20"/>
              </w:rPr>
            </w:pPr>
            <w:r w:rsidRPr="008D769C">
              <w:rPr>
                <w:sz w:val="20"/>
                <w:szCs w:val="20"/>
              </w:rPr>
              <w:t>Rash</w:t>
            </w:r>
          </w:p>
        </w:tc>
        <w:tc>
          <w:tcPr>
            <w:tcW w:w="1361" w:type="pct"/>
          </w:tcPr>
          <w:p w14:paraId="65997A71"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25 (3.0%)</w:t>
            </w:r>
          </w:p>
        </w:tc>
        <w:tc>
          <w:tcPr>
            <w:tcW w:w="1361" w:type="pct"/>
          </w:tcPr>
          <w:p w14:paraId="4BFB2A5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 (1.5%)</w:t>
            </w:r>
          </w:p>
        </w:tc>
        <w:tc>
          <w:tcPr>
            <w:tcW w:w="1159" w:type="pct"/>
          </w:tcPr>
          <w:p w14:paraId="7D9393D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(0.5%)</w:t>
            </w:r>
          </w:p>
        </w:tc>
      </w:tr>
      <w:tr w:rsidR="0052594D" w:rsidRPr="008D769C" w14:paraId="77CCF7D2"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006B6BE7" w14:textId="77777777" w:rsidR="0052594D" w:rsidRPr="008D769C" w:rsidRDefault="0052594D" w:rsidP="008D769C">
            <w:pPr>
              <w:rPr>
                <w:sz w:val="20"/>
                <w:szCs w:val="20"/>
              </w:rPr>
            </w:pPr>
            <w:r w:rsidRPr="008D769C">
              <w:rPr>
                <w:sz w:val="20"/>
                <w:szCs w:val="20"/>
              </w:rPr>
              <w:t>Tinea pedis</w:t>
            </w:r>
          </w:p>
        </w:tc>
        <w:tc>
          <w:tcPr>
            <w:tcW w:w="1361" w:type="pct"/>
          </w:tcPr>
          <w:p w14:paraId="34172CB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24 (2.9%)</w:t>
            </w:r>
          </w:p>
        </w:tc>
        <w:tc>
          <w:tcPr>
            <w:tcW w:w="1361" w:type="pct"/>
          </w:tcPr>
          <w:p w14:paraId="781B8AB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c>
          <w:tcPr>
            <w:tcW w:w="1159" w:type="pct"/>
          </w:tcPr>
          <w:p w14:paraId="53A4E40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1D87696C"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0D4C293B" w14:textId="77777777" w:rsidR="0052594D" w:rsidRPr="008D769C" w:rsidRDefault="0052594D" w:rsidP="008D769C">
            <w:pPr>
              <w:rPr>
                <w:sz w:val="20"/>
                <w:szCs w:val="20"/>
              </w:rPr>
            </w:pPr>
            <w:r w:rsidRPr="008D769C">
              <w:rPr>
                <w:sz w:val="20"/>
                <w:szCs w:val="20"/>
              </w:rPr>
              <w:t>Lethargy</w:t>
            </w:r>
          </w:p>
        </w:tc>
        <w:tc>
          <w:tcPr>
            <w:tcW w:w="1361" w:type="pct"/>
          </w:tcPr>
          <w:p w14:paraId="3DD66C50"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24 (2.9%)</w:t>
            </w:r>
          </w:p>
        </w:tc>
        <w:tc>
          <w:tcPr>
            <w:tcW w:w="1361" w:type="pct"/>
          </w:tcPr>
          <w:p w14:paraId="66061586"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 (0.3%)</w:t>
            </w:r>
          </w:p>
        </w:tc>
        <w:tc>
          <w:tcPr>
            <w:tcW w:w="1159" w:type="pct"/>
          </w:tcPr>
          <w:p w14:paraId="12749511"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2A767B72"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6EE40935" w14:textId="77777777" w:rsidR="0052594D" w:rsidRPr="008D769C" w:rsidRDefault="0052594D" w:rsidP="008D769C">
            <w:pPr>
              <w:rPr>
                <w:sz w:val="20"/>
                <w:szCs w:val="20"/>
              </w:rPr>
            </w:pPr>
            <w:r w:rsidRPr="008D769C">
              <w:rPr>
                <w:sz w:val="20"/>
                <w:szCs w:val="20"/>
              </w:rPr>
              <w:t>Motion sickness</w:t>
            </w:r>
          </w:p>
        </w:tc>
        <w:tc>
          <w:tcPr>
            <w:tcW w:w="1361" w:type="pct"/>
          </w:tcPr>
          <w:p w14:paraId="3D42203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21 (2.5%)</w:t>
            </w:r>
          </w:p>
        </w:tc>
        <w:tc>
          <w:tcPr>
            <w:tcW w:w="1361" w:type="pct"/>
          </w:tcPr>
          <w:p w14:paraId="2CDA3EBD"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c>
          <w:tcPr>
            <w:tcW w:w="1159" w:type="pct"/>
          </w:tcPr>
          <w:p w14:paraId="4BA595F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3EAD3BA4" w14:textId="77777777" w:rsidTr="008D769C">
        <w:trPr>
          <w:trHeight w:val="170"/>
        </w:trPr>
        <w:tc>
          <w:tcPr>
            <w:cnfStyle w:val="001000000000" w:firstRow="0" w:lastRow="0" w:firstColumn="1" w:lastColumn="0" w:oddVBand="0" w:evenVBand="0" w:oddHBand="0" w:evenHBand="0" w:firstRowFirstColumn="0" w:firstRowLastColumn="0" w:lastRowFirstColumn="0" w:lastRowLastColumn="0"/>
            <w:tcW w:w="1118" w:type="pct"/>
          </w:tcPr>
          <w:p w14:paraId="1E6A9B09" w14:textId="77777777" w:rsidR="0052594D" w:rsidRPr="008D769C" w:rsidRDefault="0052594D" w:rsidP="008D769C">
            <w:pPr>
              <w:rPr>
                <w:sz w:val="20"/>
                <w:szCs w:val="20"/>
              </w:rPr>
            </w:pPr>
            <w:r w:rsidRPr="008D769C">
              <w:rPr>
                <w:sz w:val="20"/>
                <w:szCs w:val="20"/>
              </w:rPr>
              <w:t>Joint injury</w:t>
            </w:r>
          </w:p>
        </w:tc>
        <w:tc>
          <w:tcPr>
            <w:tcW w:w="1361" w:type="pct"/>
          </w:tcPr>
          <w:p w14:paraId="7ACA5AD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21 (2.5%)</w:t>
            </w:r>
          </w:p>
        </w:tc>
        <w:tc>
          <w:tcPr>
            <w:tcW w:w="1361" w:type="pct"/>
          </w:tcPr>
          <w:p w14:paraId="400C019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 (0.9%)</w:t>
            </w:r>
          </w:p>
        </w:tc>
        <w:tc>
          <w:tcPr>
            <w:tcW w:w="1159" w:type="pct"/>
          </w:tcPr>
          <w:p w14:paraId="27A6A24D"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3CED5A48"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16D5C9FD" w14:textId="77777777" w:rsidR="0052594D" w:rsidRPr="008D769C" w:rsidRDefault="0052594D" w:rsidP="008D769C">
            <w:pPr>
              <w:rPr>
                <w:sz w:val="20"/>
                <w:szCs w:val="20"/>
              </w:rPr>
            </w:pPr>
            <w:r w:rsidRPr="008D769C">
              <w:rPr>
                <w:sz w:val="20"/>
                <w:szCs w:val="20"/>
              </w:rPr>
              <w:t>Seasonal allergy</w:t>
            </w:r>
          </w:p>
        </w:tc>
        <w:tc>
          <w:tcPr>
            <w:tcW w:w="1361" w:type="pct"/>
          </w:tcPr>
          <w:p w14:paraId="22B2A65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20 (2.4%)</w:t>
            </w:r>
          </w:p>
        </w:tc>
        <w:tc>
          <w:tcPr>
            <w:tcW w:w="1361" w:type="pct"/>
          </w:tcPr>
          <w:p w14:paraId="3AA4DAC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 (0.3%)</w:t>
            </w:r>
          </w:p>
        </w:tc>
        <w:tc>
          <w:tcPr>
            <w:tcW w:w="1159" w:type="pct"/>
          </w:tcPr>
          <w:p w14:paraId="616A0FC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64536A02" w14:textId="77777777" w:rsidTr="008D769C">
        <w:trPr>
          <w:trHeight w:val="215"/>
        </w:trPr>
        <w:tc>
          <w:tcPr>
            <w:cnfStyle w:val="001000000000" w:firstRow="0" w:lastRow="0" w:firstColumn="1" w:lastColumn="0" w:oddVBand="0" w:evenVBand="0" w:oddHBand="0" w:evenHBand="0" w:firstRowFirstColumn="0" w:firstRowLastColumn="0" w:lastRowFirstColumn="0" w:lastRowLastColumn="0"/>
            <w:tcW w:w="1118" w:type="pct"/>
          </w:tcPr>
          <w:p w14:paraId="78AD4D13" w14:textId="77777777" w:rsidR="0052594D" w:rsidRPr="008D769C" w:rsidRDefault="0052594D" w:rsidP="008D769C">
            <w:pPr>
              <w:rPr>
                <w:sz w:val="20"/>
                <w:szCs w:val="20"/>
              </w:rPr>
            </w:pPr>
            <w:r w:rsidRPr="008D769C">
              <w:rPr>
                <w:sz w:val="20"/>
                <w:szCs w:val="20"/>
              </w:rPr>
              <w:lastRenderedPageBreak/>
              <w:t>Chest pain</w:t>
            </w:r>
          </w:p>
        </w:tc>
        <w:tc>
          <w:tcPr>
            <w:tcW w:w="1361" w:type="pct"/>
          </w:tcPr>
          <w:p w14:paraId="2B72D8B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18 (2.2%)</w:t>
            </w:r>
          </w:p>
        </w:tc>
        <w:tc>
          <w:tcPr>
            <w:tcW w:w="1361" w:type="pct"/>
          </w:tcPr>
          <w:p w14:paraId="6FF01C2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(5.1%)</w:t>
            </w:r>
          </w:p>
        </w:tc>
        <w:tc>
          <w:tcPr>
            <w:tcW w:w="1159" w:type="pct"/>
          </w:tcPr>
          <w:p w14:paraId="6975B952"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 (1.3%)</w:t>
            </w:r>
          </w:p>
        </w:tc>
      </w:tr>
      <w:tr w:rsidR="0052594D" w:rsidRPr="008D769C" w14:paraId="1CFC4A3E"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6F16CC27" w14:textId="77777777" w:rsidR="0052594D" w:rsidRPr="008D769C" w:rsidRDefault="0052594D" w:rsidP="008D769C">
            <w:pPr>
              <w:rPr>
                <w:sz w:val="20"/>
                <w:szCs w:val="20"/>
              </w:rPr>
            </w:pPr>
            <w:r w:rsidRPr="008D769C">
              <w:rPr>
                <w:sz w:val="20"/>
                <w:szCs w:val="20"/>
              </w:rPr>
              <w:t>Body tinea</w:t>
            </w:r>
          </w:p>
        </w:tc>
        <w:tc>
          <w:tcPr>
            <w:tcW w:w="1361" w:type="pct"/>
          </w:tcPr>
          <w:p w14:paraId="58A2F6E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(2.1%)</w:t>
            </w:r>
          </w:p>
        </w:tc>
        <w:tc>
          <w:tcPr>
            <w:tcW w:w="1361" w:type="pct"/>
          </w:tcPr>
          <w:p w14:paraId="7EE76DD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 (1.5%)</w:t>
            </w:r>
          </w:p>
        </w:tc>
        <w:tc>
          <w:tcPr>
            <w:tcW w:w="1159" w:type="pct"/>
          </w:tcPr>
          <w:p w14:paraId="0F6E7E9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4 (1.0%)</w:t>
            </w:r>
          </w:p>
        </w:tc>
      </w:tr>
      <w:tr w:rsidR="0052594D" w:rsidRPr="008D769C" w14:paraId="2823CE39"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15B8F402" w14:textId="77777777" w:rsidR="0052594D" w:rsidRPr="008D769C" w:rsidRDefault="0052594D" w:rsidP="008D769C">
            <w:pPr>
              <w:rPr>
                <w:sz w:val="20"/>
                <w:szCs w:val="20"/>
              </w:rPr>
            </w:pPr>
            <w:r w:rsidRPr="008D769C">
              <w:rPr>
                <w:sz w:val="20"/>
                <w:szCs w:val="20"/>
              </w:rPr>
              <w:t>Sinusitis</w:t>
            </w:r>
          </w:p>
        </w:tc>
        <w:tc>
          <w:tcPr>
            <w:tcW w:w="1361" w:type="pct"/>
          </w:tcPr>
          <w:p w14:paraId="7375AF2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(2.1%)</w:t>
            </w:r>
          </w:p>
        </w:tc>
        <w:tc>
          <w:tcPr>
            <w:tcW w:w="1361" w:type="pct"/>
          </w:tcPr>
          <w:p w14:paraId="04CCDDA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 (1.5%)</w:t>
            </w:r>
          </w:p>
        </w:tc>
        <w:tc>
          <w:tcPr>
            <w:tcW w:w="1159" w:type="pct"/>
          </w:tcPr>
          <w:p w14:paraId="426141BD"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(0.5%)</w:t>
            </w:r>
          </w:p>
        </w:tc>
      </w:tr>
      <w:tr w:rsidR="0052594D" w:rsidRPr="008D769C" w14:paraId="1659C3E7" w14:textId="77777777" w:rsidTr="008D769C">
        <w:trPr>
          <w:trHeight w:val="170"/>
        </w:trPr>
        <w:tc>
          <w:tcPr>
            <w:cnfStyle w:val="001000000000" w:firstRow="0" w:lastRow="0" w:firstColumn="1" w:lastColumn="0" w:oddVBand="0" w:evenVBand="0" w:oddHBand="0" w:evenHBand="0" w:firstRowFirstColumn="0" w:firstRowLastColumn="0" w:lastRowFirstColumn="0" w:lastRowLastColumn="0"/>
            <w:tcW w:w="1118" w:type="pct"/>
          </w:tcPr>
          <w:p w14:paraId="00AB1D07" w14:textId="77777777" w:rsidR="0052594D" w:rsidRPr="008D769C" w:rsidRDefault="0052594D" w:rsidP="008D769C">
            <w:pPr>
              <w:rPr>
                <w:sz w:val="20"/>
                <w:szCs w:val="20"/>
              </w:rPr>
            </w:pPr>
            <w:r w:rsidRPr="008D769C">
              <w:rPr>
                <w:sz w:val="20"/>
                <w:szCs w:val="20"/>
              </w:rPr>
              <w:t>Muscle strain</w:t>
            </w:r>
          </w:p>
        </w:tc>
        <w:tc>
          <w:tcPr>
            <w:tcW w:w="1361" w:type="pct"/>
          </w:tcPr>
          <w:p w14:paraId="3F85517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(2.1%)</w:t>
            </w:r>
          </w:p>
        </w:tc>
        <w:tc>
          <w:tcPr>
            <w:tcW w:w="1361" w:type="pct"/>
          </w:tcPr>
          <w:p w14:paraId="7893E7D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 (0.9%)</w:t>
            </w:r>
          </w:p>
        </w:tc>
        <w:tc>
          <w:tcPr>
            <w:tcW w:w="1159" w:type="pct"/>
          </w:tcPr>
          <w:p w14:paraId="5D335BE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(0.5%)</w:t>
            </w:r>
          </w:p>
        </w:tc>
      </w:tr>
      <w:tr w:rsidR="0052594D" w:rsidRPr="008D769C" w14:paraId="6D057242" w14:textId="77777777" w:rsidTr="008D769C">
        <w:trPr>
          <w:trHeight w:val="188"/>
        </w:trPr>
        <w:tc>
          <w:tcPr>
            <w:cnfStyle w:val="001000000000" w:firstRow="0" w:lastRow="0" w:firstColumn="1" w:lastColumn="0" w:oddVBand="0" w:evenVBand="0" w:oddHBand="0" w:evenHBand="0" w:firstRowFirstColumn="0" w:firstRowLastColumn="0" w:lastRowFirstColumn="0" w:lastRowLastColumn="0"/>
            <w:tcW w:w="1118" w:type="pct"/>
          </w:tcPr>
          <w:p w14:paraId="0CBD289F" w14:textId="77777777" w:rsidR="0052594D" w:rsidRPr="008D769C" w:rsidRDefault="0052594D" w:rsidP="008D769C">
            <w:pPr>
              <w:rPr>
                <w:sz w:val="20"/>
                <w:szCs w:val="20"/>
              </w:rPr>
            </w:pPr>
            <w:r w:rsidRPr="008D769C">
              <w:rPr>
                <w:sz w:val="20"/>
                <w:szCs w:val="20"/>
              </w:rPr>
              <w:t>Neck pain</w:t>
            </w:r>
          </w:p>
        </w:tc>
        <w:tc>
          <w:tcPr>
            <w:tcW w:w="1361" w:type="pct"/>
          </w:tcPr>
          <w:p w14:paraId="4FCC1BFA"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17 (2.1%)</w:t>
            </w:r>
          </w:p>
        </w:tc>
        <w:tc>
          <w:tcPr>
            <w:tcW w:w="1361" w:type="pct"/>
          </w:tcPr>
          <w:p w14:paraId="645A12D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5 (1.5%)</w:t>
            </w:r>
          </w:p>
        </w:tc>
        <w:tc>
          <w:tcPr>
            <w:tcW w:w="1159" w:type="pct"/>
          </w:tcPr>
          <w:p w14:paraId="6E91DE2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4 (1.0%)</w:t>
            </w:r>
          </w:p>
        </w:tc>
      </w:tr>
      <w:tr w:rsidR="0052594D" w:rsidRPr="008D769C" w14:paraId="37AF6A5C" w14:textId="77777777" w:rsidTr="008D769C">
        <w:trPr>
          <w:trHeight w:val="269"/>
        </w:trPr>
        <w:tc>
          <w:tcPr>
            <w:cnfStyle w:val="001000000000" w:firstRow="0" w:lastRow="0" w:firstColumn="1" w:lastColumn="0" w:oddVBand="0" w:evenVBand="0" w:oddHBand="0" w:evenHBand="0" w:firstRowFirstColumn="0" w:firstRowLastColumn="0" w:lastRowFirstColumn="0" w:lastRowLastColumn="0"/>
            <w:tcW w:w="1118" w:type="pct"/>
          </w:tcPr>
          <w:p w14:paraId="04FD4F62" w14:textId="77777777" w:rsidR="0052594D" w:rsidRPr="008D769C" w:rsidRDefault="0052594D" w:rsidP="008D769C">
            <w:pPr>
              <w:rPr>
                <w:sz w:val="20"/>
                <w:szCs w:val="20"/>
              </w:rPr>
            </w:pPr>
            <w:r w:rsidRPr="008D769C">
              <w:rPr>
                <w:sz w:val="20"/>
                <w:szCs w:val="20"/>
              </w:rPr>
              <w:t>GORD</w:t>
            </w:r>
          </w:p>
        </w:tc>
        <w:tc>
          <w:tcPr>
            <w:tcW w:w="1361" w:type="pct"/>
          </w:tcPr>
          <w:p w14:paraId="04DB0A64"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14 (1.7%)</w:t>
            </w:r>
          </w:p>
        </w:tc>
        <w:tc>
          <w:tcPr>
            <w:tcW w:w="1361" w:type="pct"/>
          </w:tcPr>
          <w:p w14:paraId="622A631C"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 (0.3%)</w:t>
            </w:r>
          </w:p>
        </w:tc>
        <w:tc>
          <w:tcPr>
            <w:tcW w:w="1159" w:type="pct"/>
          </w:tcPr>
          <w:p w14:paraId="0F291FA3"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 (0.3%)</w:t>
            </w:r>
          </w:p>
        </w:tc>
      </w:tr>
      <w:tr w:rsidR="0052594D" w:rsidRPr="008D769C" w14:paraId="16CC7E8B" w14:textId="77777777" w:rsidTr="008D769C">
        <w:trPr>
          <w:trHeight w:val="143"/>
        </w:trPr>
        <w:tc>
          <w:tcPr>
            <w:cnfStyle w:val="001000000000" w:firstRow="0" w:lastRow="0" w:firstColumn="1" w:lastColumn="0" w:oddVBand="0" w:evenVBand="0" w:oddHBand="0" w:evenHBand="0" w:firstRowFirstColumn="0" w:firstRowLastColumn="0" w:lastRowFirstColumn="0" w:lastRowLastColumn="0"/>
            <w:tcW w:w="1118" w:type="pct"/>
          </w:tcPr>
          <w:p w14:paraId="5F902376" w14:textId="77777777" w:rsidR="0052594D" w:rsidRPr="008D769C" w:rsidRDefault="0052594D" w:rsidP="008D769C">
            <w:pPr>
              <w:rPr>
                <w:sz w:val="20"/>
                <w:szCs w:val="20"/>
              </w:rPr>
            </w:pPr>
            <w:r w:rsidRPr="008D769C">
              <w:rPr>
                <w:sz w:val="20"/>
                <w:szCs w:val="20"/>
              </w:rPr>
              <w:t>Thermal burn</w:t>
            </w:r>
          </w:p>
        </w:tc>
        <w:tc>
          <w:tcPr>
            <w:tcW w:w="1361" w:type="pct"/>
          </w:tcPr>
          <w:p w14:paraId="37AD501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10 (1.2%)</w:t>
            </w:r>
          </w:p>
        </w:tc>
        <w:tc>
          <w:tcPr>
            <w:tcW w:w="1361" w:type="pct"/>
          </w:tcPr>
          <w:p w14:paraId="0EE7581B"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 (0.3%)</w:t>
            </w:r>
          </w:p>
        </w:tc>
        <w:tc>
          <w:tcPr>
            <w:tcW w:w="1159" w:type="pct"/>
          </w:tcPr>
          <w:p w14:paraId="5C2BC90A"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0826230F"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3E1F6247" w14:textId="77777777" w:rsidR="0052594D" w:rsidRPr="008D769C" w:rsidRDefault="0052594D" w:rsidP="008D769C">
            <w:pPr>
              <w:rPr>
                <w:sz w:val="20"/>
                <w:szCs w:val="20"/>
              </w:rPr>
            </w:pPr>
            <w:r w:rsidRPr="008D769C">
              <w:rPr>
                <w:sz w:val="20"/>
                <w:szCs w:val="20"/>
              </w:rPr>
              <w:t>Insomnia</w:t>
            </w:r>
          </w:p>
        </w:tc>
        <w:tc>
          <w:tcPr>
            <w:tcW w:w="1361" w:type="pct"/>
          </w:tcPr>
          <w:p w14:paraId="550A1815"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10 (1.2%)</w:t>
            </w:r>
          </w:p>
        </w:tc>
        <w:tc>
          <w:tcPr>
            <w:tcW w:w="1361" w:type="pct"/>
          </w:tcPr>
          <w:p w14:paraId="7F4AB2B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(0.6%)</w:t>
            </w:r>
          </w:p>
        </w:tc>
        <w:tc>
          <w:tcPr>
            <w:tcW w:w="1159" w:type="pct"/>
          </w:tcPr>
          <w:p w14:paraId="6FB83069"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3 (0.8%)</w:t>
            </w:r>
          </w:p>
        </w:tc>
      </w:tr>
      <w:tr w:rsidR="0052594D" w:rsidRPr="008D769C" w14:paraId="23DACE5F"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3A1BB41E" w14:textId="77777777" w:rsidR="0052594D" w:rsidRPr="008D769C" w:rsidRDefault="0052594D" w:rsidP="008D769C">
            <w:pPr>
              <w:rPr>
                <w:sz w:val="20"/>
                <w:szCs w:val="20"/>
              </w:rPr>
            </w:pPr>
            <w:r w:rsidRPr="008D769C">
              <w:rPr>
                <w:sz w:val="20"/>
                <w:szCs w:val="20"/>
              </w:rPr>
              <w:t>Impetigo</w:t>
            </w:r>
          </w:p>
        </w:tc>
        <w:tc>
          <w:tcPr>
            <w:tcW w:w="1361" w:type="pct"/>
          </w:tcPr>
          <w:p w14:paraId="53D9A92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8 (1.0%)</w:t>
            </w:r>
          </w:p>
        </w:tc>
        <w:tc>
          <w:tcPr>
            <w:tcW w:w="1361" w:type="pct"/>
          </w:tcPr>
          <w:p w14:paraId="603C3216"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c>
          <w:tcPr>
            <w:tcW w:w="1159" w:type="pct"/>
          </w:tcPr>
          <w:p w14:paraId="005A50CF"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r w:rsidR="0052594D" w:rsidRPr="008D769C" w14:paraId="0474CD10" w14:textId="77777777" w:rsidTr="008D769C">
        <w:trPr>
          <w:trHeight w:val="300"/>
        </w:trPr>
        <w:tc>
          <w:tcPr>
            <w:cnfStyle w:val="001000000000" w:firstRow="0" w:lastRow="0" w:firstColumn="1" w:lastColumn="0" w:oddVBand="0" w:evenVBand="0" w:oddHBand="0" w:evenHBand="0" w:firstRowFirstColumn="0" w:firstRowLastColumn="0" w:lastRowFirstColumn="0" w:lastRowLastColumn="0"/>
            <w:tcW w:w="1118" w:type="pct"/>
          </w:tcPr>
          <w:p w14:paraId="1C2BDCB2" w14:textId="77777777" w:rsidR="0052594D" w:rsidRPr="008D769C" w:rsidRDefault="0052594D" w:rsidP="008D769C">
            <w:pPr>
              <w:rPr>
                <w:sz w:val="20"/>
                <w:szCs w:val="20"/>
              </w:rPr>
            </w:pPr>
            <w:r w:rsidRPr="008D769C">
              <w:rPr>
                <w:sz w:val="20"/>
                <w:szCs w:val="20"/>
              </w:rPr>
              <w:t>Tinea infection</w:t>
            </w:r>
          </w:p>
        </w:tc>
        <w:tc>
          <w:tcPr>
            <w:tcW w:w="1361" w:type="pct"/>
          </w:tcPr>
          <w:p w14:paraId="59BE53C8"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9 (1.1%)</w:t>
            </w:r>
          </w:p>
        </w:tc>
        <w:tc>
          <w:tcPr>
            <w:tcW w:w="1361" w:type="pct"/>
          </w:tcPr>
          <w:p w14:paraId="75A1058E"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2 (0.6%)</w:t>
            </w:r>
          </w:p>
        </w:tc>
        <w:tc>
          <w:tcPr>
            <w:tcW w:w="1159" w:type="pct"/>
          </w:tcPr>
          <w:p w14:paraId="3D5F19FD" w14:textId="77777777" w:rsidR="0052594D" w:rsidRPr="008D769C" w:rsidRDefault="0052594D" w:rsidP="008D769C">
            <w:pPr>
              <w:cnfStyle w:val="000000000000" w:firstRow="0" w:lastRow="0" w:firstColumn="0" w:lastColumn="0" w:oddVBand="0" w:evenVBand="0" w:oddHBand="0" w:evenHBand="0" w:firstRowFirstColumn="0" w:firstRowLastColumn="0" w:lastRowFirstColumn="0" w:lastRowLastColumn="0"/>
              <w:rPr>
                <w:sz w:val="20"/>
                <w:szCs w:val="20"/>
              </w:rPr>
            </w:pPr>
            <w:r w:rsidRPr="008D769C">
              <w:rPr>
                <w:sz w:val="20"/>
                <w:szCs w:val="20"/>
              </w:rPr>
              <w:t>0</w:t>
            </w:r>
          </w:p>
        </w:tc>
      </w:tr>
    </w:tbl>
    <w:p w14:paraId="0FEBA39A" w14:textId="40AA1EB1" w:rsidR="0052594D" w:rsidRPr="009F7B68" w:rsidRDefault="0052594D" w:rsidP="008D769C">
      <w:pPr>
        <w:pStyle w:val="TableDescription"/>
      </w:pPr>
      <w:r>
        <w:t>GORD</w:t>
      </w:r>
      <w:r w:rsidRPr="009F7B68">
        <w:t xml:space="preserve">= </w:t>
      </w:r>
      <w:r w:rsidR="009D4859" w:rsidRPr="009D4936">
        <w:t>Gastro-oesophageal reflux disorder</w:t>
      </w:r>
    </w:p>
    <w:p w14:paraId="5DEFF4AE" w14:textId="77777777" w:rsidR="008A1A1C" w:rsidRPr="00073FEC" w:rsidRDefault="008A1A1C" w:rsidP="00EC0ADC">
      <w:pPr>
        <w:pStyle w:val="Heading5"/>
      </w:pPr>
      <w:r w:rsidRPr="00073FEC">
        <w:t>Other studies</w:t>
      </w:r>
    </w:p>
    <w:p w14:paraId="598A97B8" w14:textId="77777777" w:rsidR="008A1A1C" w:rsidRDefault="008A1A1C" w:rsidP="00FA3C56">
      <w:pPr>
        <w:pStyle w:val="ListBullet"/>
        <w:numPr>
          <w:ilvl w:val="0"/>
          <w:numId w:val="0"/>
        </w:numPr>
        <w:ind w:left="360" w:hanging="360"/>
      </w:pPr>
      <w:r w:rsidRPr="005B2D9D">
        <w:t>Pooled with the extended dose data set.</w:t>
      </w:r>
      <w:bookmarkStart w:id="548" w:name="_Ref272333567"/>
      <w:bookmarkStart w:id="549" w:name="_Toc272414665"/>
      <w:bookmarkStart w:id="550" w:name="_Toc290888529"/>
      <w:bookmarkStart w:id="551" w:name="_Toc416353745"/>
      <w:bookmarkStart w:id="552" w:name="_Toc421005288"/>
      <w:bookmarkStart w:id="553" w:name="_Toc432079165"/>
      <w:bookmarkStart w:id="554" w:name="_Toc432080738"/>
    </w:p>
    <w:p w14:paraId="34EB45E3" w14:textId="77777777" w:rsidR="008A1A1C" w:rsidRDefault="008A1A1C" w:rsidP="00EC0ADC">
      <w:pPr>
        <w:pStyle w:val="Heading4"/>
      </w:pPr>
      <w:r w:rsidRPr="00545B14">
        <w:t>Treatment</w:t>
      </w:r>
      <w:r>
        <w:t xml:space="preserve"> </w:t>
      </w:r>
      <w:r w:rsidRPr="00545B14">
        <w:t>related adverse events (</w:t>
      </w:r>
      <w:r w:rsidRPr="00EC0ADC">
        <w:t>adverse</w:t>
      </w:r>
      <w:r w:rsidRPr="00545B14">
        <w:t xml:space="preserve"> drug reactions)</w:t>
      </w:r>
      <w:bookmarkEnd w:id="548"/>
      <w:bookmarkEnd w:id="549"/>
      <w:bookmarkEnd w:id="550"/>
      <w:bookmarkEnd w:id="551"/>
      <w:bookmarkEnd w:id="552"/>
      <w:bookmarkEnd w:id="553"/>
      <w:bookmarkEnd w:id="554"/>
    </w:p>
    <w:p w14:paraId="40E4D95A" w14:textId="77777777" w:rsidR="008A1A1C" w:rsidRDefault="008A1A1C" w:rsidP="00EC0ADC">
      <w:pPr>
        <w:pStyle w:val="Heading5"/>
      </w:pPr>
      <w:r w:rsidRPr="00073FEC">
        <w:t>Integrated safety analyses</w:t>
      </w:r>
      <w:r>
        <w:t xml:space="preserve"> of ACR</w:t>
      </w:r>
    </w:p>
    <w:p w14:paraId="26731AE7" w14:textId="59A2F7AE" w:rsidR="00F1528F" w:rsidRDefault="008A1A1C" w:rsidP="008A1A1C">
      <w:r>
        <w:t xml:space="preserve">The </w:t>
      </w:r>
      <w:r w:rsidR="00382EC1">
        <w:t xml:space="preserve">tafenoquine </w:t>
      </w:r>
      <w:r>
        <w:t xml:space="preserve">ACR contains data from a number of different types of study populations. Comparisons of specific subgroups within pooled </w:t>
      </w:r>
      <w:r w:rsidR="00382EC1">
        <w:t xml:space="preserve">tafenoquine </w:t>
      </w:r>
      <w:r>
        <w:t xml:space="preserve">ACR studies allows for the assessment of safety outcomes in subjects who received the </w:t>
      </w:r>
      <w:r w:rsidR="00382EC1">
        <w:t xml:space="preserve">tafenoquine </w:t>
      </w:r>
      <w:r>
        <w:t>ACR with no malaria pre-treatment medications (Studies 033 and 057) versus subjects who received the ACR after pre-treatments (subjects in three African studies</w:t>
      </w:r>
      <w:r w:rsidR="00EC0ADC">
        <w:t>;</w:t>
      </w:r>
      <w:r>
        <w:t xml:space="preserve"> Studies 030, 043, and 045). Also, within the group of subjects who received the ACR, analyses of AEs in deployed military subjects (Study</w:t>
      </w:r>
      <w:r w:rsidR="00382EC1">
        <w:t> </w:t>
      </w:r>
      <w:r>
        <w:t>033) versus non-deployed subjects (Studies 030, 043, 045, and 057) allows for gauging the impact of unique deployment</w:t>
      </w:r>
      <w:r w:rsidR="00EC0ADC">
        <w:t xml:space="preserve"> related</w:t>
      </w:r>
      <w:r>
        <w:t xml:space="preserve"> extrinsic factors.</w:t>
      </w:r>
    </w:p>
    <w:p w14:paraId="28DBD527" w14:textId="3F32E5F4" w:rsidR="00F1528F" w:rsidRDefault="008A1A1C" w:rsidP="008A1A1C">
      <w:r w:rsidRPr="00E04FA0">
        <w:t xml:space="preserve">Overall, the </w:t>
      </w:r>
      <w:r w:rsidR="00382EC1">
        <w:t>t</w:t>
      </w:r>
      <w:r w:rsidR="00382EC1" w:rsidRPr="00E04FA0">
        <w:t xml:space="preserve">afenoquine </w:t>
      </w:r>
      <w:r w:rsidRPr="00E04FA0">
        <w:t>ACR was safe and</w:t>
      </w:r>
      <w:r>
        <w:t xml:space="preserve"> fairly</w:t>
      </w:r>
      <w:r w:rsidRPr="00E04FA0">
        <w:t xml:space="preserve"> well tolerated.</w:t>
      </w:r>
      <w:r>
        <w:t xml:space="preserve"> The majority (73.9%) of AEs in the </w:t>
      </w:r>
      <w:r w:rsidR="00382EC1">
        <w:t xml:space="preserve">tafenoquine </w:t>
      </w:r>
      <w:r>
        <w:t xml:space="preserve">ACR group were considered ‘unrelated’ to the study drug. Of the 26.1% of AEs that were considered ‘related’ to tafenoquine, 399 of 464 (86%) were considered ‘unlikely’ related. Only 8.6% AEs in the </w:t>
      </w:r>
      <w:r w:rsidR="00382EC1">
        <w:t xml:space="preserve">tafenoquine </w:t>
      </w:r>
      <w:r>
        <w:t>ACR group were considered ‘possibly’ or ‘probably’ related to the study drug. No AE was considered ‘definitely’ related to tafenoquine.</w:t>
      </w:r>
    </w:p>
    <w:p w14:paraId="148D0CB7" w14:textId="7139B3A2" w:rsidR="008A1A1C" w:rsidRDefault="008A1A1C" w:rsidP="008A1A1C">
      <w:r>
        <w:t>As with primaquine, gastrointestinal AEs (diarrh</w:t>
      </w:r>
      <w:r w:rsidR="00EC0ADC">
        <w:t>o</w:t>
      </w:r>
      <w:r>
        <w:t xml:space="preserve">ea, GORD, vomiting) occurred in subjects who received the </w:t>
      </w:r>
      <w:r w:rsidR="00382EC1">
        <w:t xml:space="preserve">tafenoquine </w:t>
      </w:r>
      <w:r>
        <w:t>ACR. Gastrointestinal AEs rarely lead to discontinuation of tafenoquine dosing. Also, similar to primaquine, tafenoquine showed some risk for haematological AEs, including anaemia, meth</w:t>
      </w:r>
      <w:r w:rsidR="00EC0ADC">
        <w:t>a</w:t>
      </w:r>
      <w:r>
        <w:t>emoglobin</w:t>
      </w:r>
      <w:r w:rsidR="00EC0ADC">
        <w:t>a</w:t>
      </w:r>
      <w:r>
        <w:t>emia, and haemolytic anaemia (in individuals with G6PD</w:t>
      </w:r>
      <w:r w:rsidR="00122529">
        <w:t>D</w:t>
      </w:r>
      <w:r>
        <w:t xml:space="preserve">). Mild decreases in haemoglobin were seen with </w:t>
      </w:r>
      <w:r w:rsidR="00382EC1">
        <w:t xml:space="preserve">tafenoquine </w:t>
      </w:r>
      <w:r>
        <w:t>exposure, but this effect had no appreciable cli</w:t>
      </w:r>
      <w:r w:rsidR="00FA3C56">
        <w:t>nical impact at the doses utilis</w:t>
      </w:r>
      <w:r>
        <w:t xml:space="preserve">ed in the </w:t>
      </w:r>
      <w:r w:rsidR="00382EC1">
        <w:t xml:space="preserve">tafenoquine </w:t>
      </w:r>
      <w:r>
        <w:t xml:space="preserve">ACR. In only 0.4% of </w:t>
      </w:r>
      <w:r>
        <w:lastRenderedPageBreak/>
        <w:t>the ACR population did a decrease in haemoglobin lead to treatment discontinuation</w:t>
      </w:r>
      <w:r w:rsidR="00B319AC">
        <w:t>;</w:t>
      </w:r>
      <w:r>
        <w:t xml:space="preserve"> a percentage that was only marginally higher than in the Placebo group (0.3%). In subjects who received the </w:t>
      </w:r>
      <w:r w:rsidR="00382EC1">
        <w:t xml:space="preserve">tafenoquine </w:t>
      </w:r>
      <w:r>
        <w:t xml:space="preserve">ACR, methemoglobin levels ≥1% </w:t>
      </w:r>
      <w:proofErr w:type="gramStart"/>
      <w:r>
        <w:t>were</w:t>
      </w:r>
      <w:proofErr w:type="gramEnd"/>
      <w:r>
        <w:t xml:space="preserve"> commonly seen but no subject developed levels ≥ 10%. Haemolytic anaemia occurred only rarely in the </w:t>
      </w:r>
      <w:r w:rsidR="00382EC1">
        <w:t xml:space="preserve">tafenoquine </w:t>
      </w:r>
      <w:r>
        <w:t xml:space="preserve">ACR group, affecting 2 (0.2%) subjects. Overall, no haematological AEs that occurred at an incidence ≥1% in the </w:t>
      </w:r>
      <w:r w:rsidR="00382EC1">
        <w:t xml:space="preserve">tafenoquine </w:t>
      </w:r>
      <w:r>
        <w:t xml:space="preserve">ACR group had a higher incidence than in the </w:t>
      </w:r>
      <w:r w:rsidR="00382EC1">
        <w:t xml:space="preserve">placebo </w:t>
      </w:r>
      <w:r>
        <w:t>group.</w:t>
      </w:r>
    </w:p>
    <w:p w14:paraId="022D9044" w14:textId="77777777" w:rsidR="008A1A1C" w:rsidRPr="00073FEC" w:rsidRDefault="008A1A1C" w:rsidP="00E730B4">
      <w:pPr>
        <w:pStyle w:val="Heading5"/>
        <w:numPr>
          <w:ilvl w:val="3"/>
          <w:numId w:val="7"/>
        </w:numPr>
      </w:pPr>
      <w:bookmarkStart w:id="555" w:name="_Toc241374320"/>
      <w:bookmarkStart w:id="556" w:name="_Ref272333507"/>
      <w:bookmarkStart w:id="557" w:name="_Toc272414666"/>
      <w:bookmarkStart w:id="558" w:name="_Toc290888530"/>
      <w:bookmarkStart w:id="559" w:name="_Toc416353746"/>
      <w:bookmarkStart w:id="560" w:name="_Toc421005289"/>
      <w:bookmarkStart w:id="561" w:name="_Toc432079166"/>
      <w:bookmarkStart w:id="562" w:name="_Toc432080739"/>
      <w:r w:rsidRPr="00073FEC">
        <w:t>Pivotal and/or main efficacy studies</w:t>
      </w:r>
    </w:p>
    <w:p w14:paraId="290434A1" w14:textId="77777777" w:rsidR="008A1A1C" w:rsidRDefault="008A1A1C" w:rsidP="008A1A1C">
      <w:r>
        <w:t>In Study 033 a</w:t>
      </w:r>
      <w:r w:rsidRPr="00B14AFE">
        <w:t xml:space="preserve"> total of 66 subjects (13.4%) in the tafenoquine group and 19 (11.7%) in the mefloquine group had AEs in the prophylactic phase with a suspected/probable relationship to study treatment. The most commonly reported events were nausea and vertigo (&lt; 3%). No other event occurred in ≥ 2% of subjects in either treatment group.</w:t>
      </w:r>
    </w:p>
    <w:p w14:paraId="2163D99D" w14:textId="77777777" w:rsidR="008A1A1C" w:rsidRDefault="008A1A1C" w:rsidP="00EC0ADC">
      <w:pPr>
        <w:pStyle w:val="Heading4"/>
      </w:pPr>
      <w:r w:rsidRPr="00545B14">
        <w:t>Deaths and other serious adverse events</w:t>
      </w:r>
      <w:bookmarkEnd w:id="555"/>
      <w:bookmarkEnd w:id="556"/>
      <w:bookmarkEnd w:id="557"/>
      <w:bookmarkEnd w:id="558"/>
      <w:bookmarkEnd w:id="559"/>
      <w:bookmarkEnd w:id="560"/>
      <w:bookmarkEnd w:id="561"/>
      <w:bookmarkEnd w:id="562"/>
    </w:p>
    <w:p w14:paraId="0EA00D57" w14:textId="77777777" w:rsidR="008A1A1C" w:rsidRPr="002B7B05" w:rsidRDefault="008A1A1C" w:rsidP="00EC0ADC">
      <w:pPr>
        <w:pStyle w:val="Heading5"/>
      </w:pPr>
      <w:r>
        <w:t>I</w:t>
      </w:r>
      <w:r w:rsidRPr="002B7B05">
        <w:t>ntegrated safety analyses</w:t>
      </w:r>
    </w:p>
    <w:p w14:paraId="2D2C8A03" w14:textId="0A45885A" w:rsidR="008A1A1C" w:rsidRPr="005B2850" w:rsidRDefault="008A1A1C" w:rsidP="00EC0ADC">
      <w:pPr>
        <w:rPr>
          <w:lang w:eastAsia="ja-JP"/>
        </w:rPr>
      </w:pPr>
      <w:r w:rsidRPr="00447AAB">
        <w:rPr>
          <w:lang w:eastAsia="ja-JP"/>
        </w:rPr>
        <w:t xml:space="preserve">In subjects who received the </w:t>
      </w:r>
      <w:r w:rsidR="00382EC1">
        <w:rPr>
          <w:lang w:eastAsia="ja-JP"/>
        </w:rPr>
        <w:t>t</w:t>
      </w:r>
      <w:r w:rsidR="00382EC1" w:rsidRPr="00447AAB">
        <w:rPr>
          <w:lang w:eastAsia="ja-JP"/>
        </w:rPr>
        <w:t xml:space="preserve">afenoquine </w:t>
      </w:r>
      <w:r w:rsidRPr="00447AAB">
        <w:rPr>
          <w:lang w:eastAsia="ja-JP"/>
        </w:rPr>
        <w:t>ACR, almost half of all reported AEs were graded as mild (48.6%), while 29.9% were moderate, and 4.0% were severe.</w:t>
      </w:r>
      <w:r>
        <w:rPr>
          <w:lang w:eastAsia="ja-JP"/>
        </w:rPr>
        <w:t xml:space="preserve"> No deaths occurred among the </w:t>
      </w:r>
      <w:r w:rsidR="00382EC1">
        <w:rPr>
          <w:lang w:eastAsia="ja-JP"/>
        </w:rPr>
        <w:t xml:space="preserve">tafenoquine </w:t>
      </w:r>
      <w:r>
        <w:rPr>
          <w:lang w:eastAsia="ja-JP"/>
        </w:rPr>
        <w:t>ACR population. A total of 49 serious adverse events (SAEs) were reported, affecting 5.7% of subjects; however, only 2.7% of subjects experienced an SAE that was considered ‘treatment</w:t>
      </w:r>
      <w:r w:rsidR="00EC0ADC">
        <w:rPr>
          <w:lang w:eastAsia="ja-JP"/>
        </w:rPr>
        <w:t xml:space="preserve"> related</w:t>
      </w:r>
      <w:r>
        <w:rPr>
          <w:lang w:eastAsia="ja-JP"/>
        </w:rPr>
        <w:t>’ (conservatively defined</w:t>
      </w:r>
      <w:r w:rsidR="00421A5C">
        <w:rPr>
          <w:lang w:eastAsia="ja-JP"/>
        </w:rPr>
        <w:t xml:space="preserve"> by the sponsor</w:t>
      </w:r>
      <w:r>
        <w:rPr>
          <w:lang w:eastAsia="ja-JP"/>
        </w:rPr>
        <w:t xml:space="preserve"> to include those considered ‘unlikely related’). A large proportion of SAEs, 20 of 47, were sporadic infections that affected 1 to 3 subjects with each type of infection. This finding likely reflected the higher risk for infections among deployed military subjects in Study 033. Among the 22 subjects who reported a treatment</w:t>
      </w:r>
      <w:r w:rsidR="00EC0ADC">
        <w:rPr>
          <w:lang w:eastAsia="ja-JP"/>
        </w:rPr>
        <w:t xml:space="preserve"> related</w:t>
      </w:r>
      <w:r>
        <w:rPr>
          <w:lang w:eastAsia="ja-JP"/>
        </w:rPr>
        <w:t xml:space="preserve"> SAE, 7 developed an eye disorder, 5 had a decreased GFR, 4 had an infection or infestation, 3 had a gastrointestinal disorder, 2 had a nervous system disorder, and 1 had a blood and lymphatic tissue disorder. </w:t>
      </w:r>
      <w:r w:rsidRPr="00E04FA0">
        <w:rPr>
          <w:lang w:eastAsia="ja-JP"/>
        </w:rPr>
        <w:t xml:space="preserve">Compared with the </w:t>
      </w:r>
      <w:r w:rsidR="00382EC1">
        <w:rPr>
          <w:lang w:eastAsia="ja-JP"/>
        </w:rPr>
        <w:t>m</w:t>
      </w:r>
      <w:r w:rsidR="00382EC1" w:rsidRPr="00E04FA0">
        <w:rPr>
          <w:lang w:eastAsia="ja-JP"/>
        </w:rPr>
        <w:t xml:space="preserve">efloquine </w:t>
      </w:r>
      <w:r w:rsidRPr="00E04FA0">
        <w:rPr>
          <w:lang w:eastAsia="ja-JP"/>
        </w:rPr>
        <w:t xml:space="preserve">group, subjects in the </w:t>
      </w:r>
      <w:r w:rsidR="00382EC1">
        <w:rPr>
          <w:lang w:eastAsia="ja-JP"/>
        </w:rPr>
        <w:t>t</w:t>
      </w:r>
      <w:r w:rsidR="00382EC1" w:rsidRPr="00E04FA0">
        <w:rPr>
          <w:lang w:eastAsia="ja-JP"/>
        </w:rPr>
        <w:t xml:space="preserve">afenoquine </w:t>
      </w:r>
      <w:r w:rsidRPr="00E04FA0">
        <w:rPr>
          <w:lang w:eastAsia="ja-JP"/>
        </w:rPr>
        <w:t>ACR group experienced</w:t>
      </w:r>
      <w:r>
        <w:rPr>
          <w:lang w:eastAsia="ja-JP"/>
        </w:rPr>
        <w:t xml:space="preserve"> lower levels of mild AEs (52.8% </w:t>
      </w:r>
      <w:r w:rsidR="00382EC1">
        <w:rPr>
          <w:lang w:eastAsia="ja-JP"/>
        </w:rPr>
        <w:t xml:space="preserve">mefloquine </w:t>
      </w:r>
      <w:r>
        <w:rPr>
          <w:lang w:eastAsia="ja-JP"/>
        </w:rPr>
        <w:t xml:space="preserve">versus 48.6% </w:t>
      </w:r>
      <w:r w:rsidR="00382EC1">
        <w:rPr>
          <w:lang w:eastAsia="ja-JP"/>
        </w:rPr>
        <w:t>t</w:t>
      </w:r>
      <w:r w:rsidR="00382EC1" w:rsidRPr="005B2850">
        <w:rPr>
          <w:lang w:eastAsia="ja-JP"/>
        </w:rPr>
        <w:t xml:space="preserve">afenoquine </w:t>
      </w:r>
      <w:r w:rsidRPr="005B2850">
        <w:rPr>
          <w:lang w:eastAsia="ja-JP"/>
        </w:rPr>
        <w:t xml:space="preserve">ACR). Percentages of subjects with moderate or severe AEs were slightly higher in the </w:t>
      </w:r>
      <w:r w:rsidR="00382EC1">
        <w:rPr>
          <w:lang w:eastAsia="ja-JP"/>
        </w:rPr>
        <w:t>t</w:t>
      </w:r>
      <w:r w:rsidR="00382EC1" w:rsidRPr="005B2850">
        <w:rPr>
          <w:lang w:eastAsia="ja-JP"/>
        </w:rPr>
        <w:t xml:space="preserve">afenoquine </w:t>
      </w:r>
      <w:r w:rsidRPr="005B2850">
        <w:rPr>
          <w:lang w:eastAsia="ja-JP"/>
        </w:rPr>
        <w:t xml:space="preserve">ACR group than in the </w:t>
      </w:r>
      <w:r w:rsidR="00382EC1">
        <w:rPr>
          <w:lang w:eastAsia="ja-JP"/>
        </w:rPr>
        <w:t>m</w:t>
      </w:r>
      <w:r w:rsidR="00382EC1" w:rsidRPr="005B2850">
        <w:rPr>
          <w:lang w:eastAsia="ja-JP"/>
        </w:rPr>
        <w:t xml:space="preserve">efloquine </w:t>
      </w:r>
      <w:r w:rsidRPr="005B2850">
        <w:rPr>
          <w:lang w:eastAsia="ja-JP"/>
        </w:rPr>
        <w:t>group (29.9%</w:t>
      </w:r>
      <w:r w:rsidR="00404803" w:rsidRPr="005B2850">
        <w:rPr>
          <w:lang w:eastAsia="ja-JP"/>
        </w:rPr>
        <w:t xml:space="preserve"> versus </w:t>
      </w:r>
      <w:r w:rsidRPr="005B2850">
        <w:rPr>
          <w:lang w:eastAsia="ja-JP"/>
        </w:rPr>
        <w:t>26.2% and 4.0%</w:t>
      </w:r>
      <w:r w:rsidR="00404803" w:rsidRPr="005B2850">
        <w:rPr>
          <w:lang w:eastAsia="ja-JP"/>
        </w:rPr>
        <w:t xml:space="preserve"> versus </w:t>
      </w:r>
      <w:r w:rsidRPr="005B2850">
        <w:rPr>
          <w:lang w:eastAsia="ja-JP"/>
        </w:rPr>
        <w:t xml:space="preserve">1.6%, respectively). However, 3.3% of subjects in the </w:t>
      </w:r>
      <w:r w:rsidR="001534E5">
        <w:rPr>
          <w:lang w:eastAsia="ja-JP"/>
        </w:rPr>
        <w:t>p</w:t>
      </w:r>
      <w:r w:rsidR="001534E5" w:rsidRPr="005B2850">
        <w:rPr>
          <w:lang w:eastAsia="ja-JP"/>
        </w:rPr>
        <w:t xml:space="preserve">lacebo </w:t>
      </w:r>
      <w:r w:rsidRPr="005B2850">
        <w:rPr>
          <w:lang w:eastAsia="ja-JP"/>
        </w:rPr>
        <w:t>group also had severe AEs (</w:t>
      </w:r>
      <w:r w:rsidR="003F0ECA" w:rsidRPr="005B2850">
        <w:rPr>
          <w:lang w:eastAsia="ja-JP"/>
        </w:rPr>
        <w:t>Table 5</w:t>
      </w:r>
      <w:r w:rsidR="005B2850" w:rsidRPr="005B2850">
        <w:rPr>
          <w:lang w:eastAsia="ja-JP"/>
        </w:rPr>
        <w:t>4</w:t>
      </w:r>
      <w:r w:rsidRPr="005B2850">
        <w:rPr>
          <w:lang w:eastAsia="ja-JP"/>
        </w:rPr>
        <w:t>).</w:t>
      </w:r>
    </w:p>
    <w:p w14:paraId="20B772E7" w14:textId="5AA39AA7" w:rsidR="00A02C1A" w:rsidRDefault="00A02C1A" w:rsidP="003F0ECA">
      <w:pPr>
        <w:pStyle w:val="Tabletitle"/>
        <w:rPr>
          <w:lang w:eastAsia="ja-JP"/>
        </w:rPr>
      </w:pPr>
      <w:bookmarkStart w:id="563" w:name="_Ref501293529"/>
      <w:bookmarkStart w:id="564" w:name="_Toc504229475"/>
      <w:bookmarkStart w:id="565" w:name="_Toc501293726"/>
      <w:r w:rsidRPr="005B2850">
        <w:t xml:space="preserve">Table </w:t>
      </w:r>
      <w:r w:rsidR="003F0ECA" w:rsidRPr="005B2850">
        <w:t>5</w:t>
      </w:r>
      <w:r w:rsidR="005B2850" w:rsidRPr="005B2850">
        <w:t>4</w:t>
      </w:r>
      <w:r w:rsidR="003F0ECA" w:rsidRPr="005B2850">
        <w:t>:</w:t>
      </w:r>
      <w:bookmarkEnd w:id="563"/>
      <w:r w:rsidRPr="005B2850">
        <w:t xml:space="preserve"> </w:t>
      </w:r>
      <w:r w:rsidRPr="005B2850">
        <w:rPr>
          <w:lang w:eastAsia="ja-JP"/>
        </w:rPr>
        <w:t xml:space="preserve">Summary of </w:t>
      </w:r>
      <w:r w:rsidR="00382EC1">
        <w:rPr>
          <w:lang w:eastAsia="ja-JP"/>
        </w:rPr>
        <w:t>a</w:t>
      </w:r>
      <w:r w:rsidR="00382EC1" w:rsidRPr="005B2850">
        <w:rPr>
          <w:lang w:eastAsia="ja-JP"/>
        </w:rPr>
        <w:t xml:space="preserve">dverse </w:t>
      </w:r>
      <w:r w:rsidR="00382EC1">
        <w:rPr>
          <w:lang w:eastAsia="ja-JP"/>
        </w:rPr>
        <w:t>e</w:t>
      </w:r>
      <w:r w:rsidR="00382EC1" w:rsidRPr="005B2850">
        <w:rPr>
          <w:lang w:eastAsia="ja-JP"/>
        </w:rPr>
        <w:t xml:space="preserve">vents </w:t>
      </w:r>
      <w:r w:rsidRPr="005B2850">
        <w:rPr>
          <w:lang w:eastAsia="ja-JP"/>
        </w:rPr>
        <w:t xml:space="preserve">by </w:t>
      </w:r>
      <w:r w:rsidR="00382EC1">
        <w:rPr>
          <w:lang w:eastAsia="ja-JP"/>
        </w:rPr>
        <w:t>s</w:t>
      </w:r>
      <w:r w:rsidR="00382EC1" w:rsidRPr="005B2850">
        <w:rPr>
          <w:lang w:eastAsia="ja-JP"/>
        </w:rPr>
        <w:t>everity</w:t>
      </w:r>
      <w:r w:rsidR="00382EC1">
        <w:rPr>
          <w:lang w:eastAsia="ja-JP"/>
        </w:rPr>
        <w:t>; t</w:t>
      </w:r>
      <w:r w:rsidRPr="005B2850">
        <w:rPr>
          <w:lang w:eastAsia="ja-JP"/>
        </w:rPr>
        <w:t>afenoquine ACR v</w:t>
      </w:r>
      <w:r w:rsidR="00FA3C56">
        <w:rPr>
          <w:lang w:eastAsia="ja-JP"/>
        </w:rPr>
        <w:t>ersu</w:t>
      </w:r>
      <w:r w:rsidRPr="005B2850">
        <w:rPr>
          <w:lang w:eastAsia="ja-JP"/>
        </w:rPr>
        <w:t xml:space="preserve">s </w:t>
      </w:r>
      <w:r w:rsidR="00382EC1">
        <w:rPr>
          <w:lang w:eastAsia="ja-JP"/>
        </w:rPr>
        <w:t>p</w:t>
      </w:r>
      <w:r w:rsidR="00382EC1" w:rsidRPr="005B2850">
        <w:rPr>
          <w:lang w:eastAsia="ja-JP"/>
        </w:rPr>
        <w:t xml:space="preserve">lacebo </w:t>
      </w:r>
      <w:r w:rsidRPr="005B2850">
        <w:rPr>
          <w:lang w:eastAsia="ja-JP"/>
        </w:rPr>
        <w:t xml:space="preserve">and </w:t>
      </w:r>
      <w:bookmarkEnd w:id="564"/>
      <w:bookmarkEnd w:id="565"/>
      <w:r w:rsidR="00382EC1">
        <w:rPr>
          <w:lang w:eastAsia="ja-JP"/>
        </w:rPr>
        <w:t>m</w:t>
      </w:r>
      <w:r w:rsidR="00382EC1" w:rsidRPr="005B2850">
        <w:rPr>
          <w:lang w:eastAsia="ja-JP"/>
        </w:rPr>
        <w:t>efloquine</w:t>
      </w:r>
    </w:p>
    <w:p w14:paraId="38BFCB47" w14:textId="77777777" w:rsidR="00A02C1A" w:rsidRDefault="00A02C1A" w:rsidP="00A02C1A">
      <w:pPr>
        <w:rPr>
          <w:lang w:eastAsia="ja-JP"/>
        </w:rPr>
      </w:pPr>
      <w:r w:rsidRPr="00E04FA0">
        <w:rPr>
          <w:noProof/>
          <w:lang w:eastAsia="en-AU"/>
        </w:rPr>
        <w:drawing>
          <wp:inline distT="0" distB="0" distL="0" distR="0" wp14:anchorId="30132324" wp14:editId="55643DC3">
            <wp:extent cx="5327650" cy="2802020"/>
            <wp:effectExtent l="0" t="0" r="6350" b="0"/>
            <wp:docPr id="71" name="Picture 71" descr="Summary of Adverse Events by Severity: Tafenoquine ACR vs Placebo and Meflo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5342089" cy="2809614"/>
                    </a:xfrm>
                    <a:prstGeom prst="rect">
                      <a:avLst/>
                    </a:prstGeom>
                    <a:noFill/>
                    <a:ln>
                      <a:noFill/>
                    </a:ln>
                  </pic:spPr>
                </pic:pic>
              </a:graphicData>
            </a:graphic>
          </wp:inline>
        </w:drawing>
      </w:r>
    </w:p>
    <w:p w14:paraId="30E647F3" w14:textId="22F77F96" w:rsidR="008A1A1C" w:rsidRDefault="008A1A1C" w:rsidP="008A1A1C">
      <w:pPr>
        <w:rPr>
          <w:lang w:eastAsia="ja-JP"/>
        </w:rPr>
      </w:pPr>
      <w:r>
        <w:rPr>
          <w:lang w:eastAsia="ja-JP"/>
        </w:rPr>
        <w:lastRenderedPageBreak/>
        <w:t>Although 49 (5.7%) of subjects in the Tafenoquine ACR group experienced an SAE, only 22 (2.7%) of these were considered treatment</w:t>
      </w:r>
      <w:r w:rsidR="00EC0ADC">
        <w:rPr>
          <w:lang w:eastAsia="ja-JP"/>
        </w:rPr>
        <w:t xml:space="preserve"> </w:t>
      </w:r>
      <w:r>
        <w:rPr>
          <w:lang w:eastAsia="ja-JP"/>
        </w:rPr>
        <w:t>related. In tafenoquine studies, treatment</w:t>
      </w:r>
      <w:r w:rsidR="00EC0ADC">
        <w:rPr>
          <w:lang w:eastAsia="ja-JP"/>
        </w:rPr>
        <w:t xml:space="preserve"> </w:t>
      </w:r>
      <w:r>
        <w:rPr>
          <w:lang w:eastAsia="ja-JP"/>
        </w:rPr>
        <w:t>related AEs were defined very conservatively</w:t>
      </w:r>
      <w:r w:rsidR="00421A5C">
        <w:rPr>
          <w:lang w:eastAsia="ja-JP"/>
        </w:rPr>
        <w:t xml:space="preserve"> by the sponsor</w:t>
      </w:r>
      <w:r>
        <w:rPr>
          <w:lang w:eastAsia="ja-JP"/>
        </w:rPr>
        <w:t xml:space="preserve"> to include even those AEs that were assessed as ‘unlikely’ but possibly related to tafenoquine. Among the 22 subjects with treatment</w:t>
      </w:r>
      <w:r w:rsidR="00EC0ADC">
        <w:rPr>
          <w:lang w:eastAsia="ja-JP"/>
        </w:rPr>
        <w:t xml:space="preserve"> related</w:t>
      </w:r>
      <w:r>
        <w:rPr>
          <w:lang w:eastAsia="ja-JP"/>
        </w:rPr>
        <w:t xml:space="preserve"> SAEs, the most commonly reported SAE was an eye disorder. Eye disorders accounted for 7 of the 22 treatment</w:t>
      </w:r>
      <w:r w:rsidR="00EC0ADC">
        <w:rPr>
          <w:lang w:eastAsia="ja-JP"/>
        </w:rPr>
        <w:t xml:space="preserve"> related</w:t>
      </w:r>
      <w:r>
        <w:rPr>
          <w:lang w:eastAsia="ja-JP"/>
        </w:rPr>
        <w:t xml:space="preserve"> SAEs, with the most frequently reported eye disorder being </w:t>
      </w:r>
      <w:r w:rsidR="00421A5C">
        <w:rPr>
          <w:lang w:eastAsia="ja-JP"/>
        </w:rPr>
        <w:t xml:space="preserve">vortex </w:t>
      </w:r>
      <w:r>
        <w:rPr>
          <w:lang w:eastAsia="ja-JP"/>
        </w:rPr>
        <w:t xml:space="preserve">keratopathy </w:t>
      </w:r>
      <w:r w:rsidR="00421A5C">
        <w:rPr>
          <w:lang w:eastAsia="ja-JP"/>
        </w:rPr>
        <w:t xml:space="preserve">(corneal deposits) </w:t>
      </w:r>
      <w:r>
        <w:rPr>
          <w:lang w:eastAsia="ja-JP"/>
        </w:rPr>
        <w:t>(5 subjects). After eye disorders, the next most common treatment</w:t>
      </w:r>
      <w:r w:rsidR="00EC0ADC">
        <w:rPr>
          <w:lang w:eastAsia="ja-JP"/>
        </w:rPr>
        <w:t xml:space="preserve"> related</w:t>
      </w:r>
      <w:r>
        <w:rPr>
          <w:lang w:eastAsia="ja-JP"/>
        </w:rPr>
        <w:t xml:space="preserve"> SAE was decreased GFR, which occurred in 5 subjects. Other treatment</w:t>
      </w:r>
      <w:r w:rsidR="00EC0ADC">
        <w:rPr>
          <w:lang w:eastAsia="ja-JP"/>
        </w:rPr>
        <w:t xml:space="preserve"> related</w:t>
      </w:r>
      <w:r>
        <w:rPr>
          <w:lang w:eastAsia="ja-JP"/>
        </w:rPr>
        <w:t xml:space="preserve"> SAEs were the following: infections and infestations (4 subjects); gastrointestinal disorders (3 subjects); nervous system disorders (2 subjects) and blood and lymphatic tissue disorders (1 subject). No SAE was considered to be related to tafenoquine in the following categories:</w:t>
      </w:r>
      <w:r w:rsidR="00FA3C56">
        <w:rPr>
          <w:lang w:eastAsia="ja-JP"/>
        </w:rPr>
        <w:t xml:space="preserve"> P</w:t>
      </w:r>
      <w:r>
        <w:rPr>
          <w:lang w:eastAsia="ja-JP"/>
        </w:rPr>
        <w:t xml:space="preserve">sychiatric disorders; </w:t>
      </w:r>
      <w:r w:rsidR="00FA3C56">
        <w:rPr>
          <w:lang w:eastAsia="ja-JP"/>
        </w:rPr>
        <w:t>S</w:t>
      </w:r>
      <w:r>
        <w:rPr>
          <w:lang w:eastAsia="ja-JP"/>
        </w:rPr>
        <w:t xml:space="preserve">kin and subcutaneous tissue disorders, or </w:t>
      </w:r>
      <w:r w:rsidR="00FA3C56">
        <w:rPr>
          <w:lang w:eastAsia="ja-JP"/>
        </w:rPr>
        <w:t>General disorders and A</w:t>
      </w:r>
      <w:r>
        <w:rPr>
          <w:lang w:eastAsia="ja-JP"/>
        </w:rPr>
        <w:t>dministration site conditions.</w:t>
      </w:r>
    </w:p>
    <w:p w14:paraId="0D62F100" w14:textId="77777777" w:rsidR="008A1A1C" w:rsidRPr="00073FEC" w:rsidRDefault="008A1A1C" w:rsidP="00E730B4">
      <w:pPr>
        <w:pStyle w:val="Heading5"/>
        <w:numPr>
          <w:ilvl w:val="3"/>
          <w:numId w:val="7"/>
        </w:numPr>
      </w:pPr>
      <w:bookmarkStart w:id="566" w:name="_Toc241374325"/>
      <w:bookmarkStart w:id="567" w:name="_Ref272333477"/>
      <w:bookmarkStart w:id="568" w:name="_Toc272414667"/>
      <w:bookmarkStart w:id="569" w:name="_Toc290888531"/>
      <w:bookmarkStart w:id="570" w:name="_Toc416353747"/>
      <w:bookmarkStart w:id="571" w:name="_Toc421005290"/>
      <w:bookmarkStart w:id="572" w:name="_Toc432079167"/>
      <w:bookmarkStart w:id="573" w:name="_Toc432080740"/>
      <w:r w:rsidRPr="00073FEC">
        <w:t>Pivotal and/or main efficacy studies</w:t>
      </w:r>
    </w:p>
    <w:p w14:paraId="27C43790" w14:textId="59683761" w:rsidR="008A1A1C" w:rsidRDefault="008A1A1C" w:rsidP="00EC0ADC">
      <w:pPr>
        <w:rPr>
          <w:lang w:eastAsia="ja-JP"/>
        </w:rPr>
      </w:pPr>
      <w:r>
        <w:rPr>
          <w:lang w:eastAsia="ja-JP"/>
        </w:rPr>
        <w:t>A total of 23 subjects experienced SAEs during the prophylactic phase: 18/492 (3.7%) subjects in the tafenoquine group and 5/162 (3.1%) subjects in the mefloquine group. In addition, 10 subjects experienced SAEs during the relapse Follow-up phase; 8/492 (l.6%) subjects in the tafenoquine/placebo group and 2/162 (1.2%) subjects in the mefloquine/primaquine group. In seven subjects (all in the tafenoquine group) the SAEs had a suspected relationship to study treatment. Two subjects had gastrointestinal symptoms: one with abdominal pain and one with abdominal pain and diarrh</w:t>
      </w:r>
      <w:r w:rsidR="00EC0ADC">
        <w:rPr>
          <w:lang w:eastAsia="ja-JP"/>
        </w:rPr>
        <w:t>o</w:t>
      </w:r>
      <w:r>
        <w:rPr>
          <w:lang w:eastAsia="ja-JP"/>
        </w:rPr>
        <w:t>ea. Five subjects had eye abnormalities; these subjects (specifically vortex keratopathy</w:t>
      </w:r>
      <w:r w:rsidR="00421A5C">
        <w:rPr>
          <w:lang w:eastAsia="ja-JP"/>
        </w:rPr>
        <w:t xml:space="preserve"> </w:t>
      </w:r>
      <w:r w:rsidR="00382EC1">
        <w:rPr>
          <w:lang w:eastAsia="ja-JP"/>
        </w:rPr>
        <w:t>(</w:t>
      </w:r>
      <w:r w:rsidR="00421A5C">
        <w:rPr>
          <w:lang w:eastAsia="ja-JP"/>
        </w:rPr>
        <w:t>corneal deposits</w:t>
      </w:r>
      <w:r w:rsidR="00382EC1">
        <w:rPr>
          <w:lang w:eastAsia="ja-JP"/>
        </w:rPr>
        <w:t>)</w:t>
      </w:r>
      <w:r>
        <w:rPr>
          <w:lang w:eastAsia="ja-JP"/>
        </w:rPr>
        <w:t>) were in the first cohort in which this eye abnorm</w:t>
      </w:r>
      <w:r w:rsidR="00FA3C56">
        <w:rPr>
          <w:lang w:eastAsia="ja-JP"/>
        </w:rPr>
        <w:t>ality was detected</w:t>
      </w:r>
      <w:r w:rsidR="00421A5C">
        <w:rPr>
          <w:lang w:eastAsia="ja-JP"/>
        </w:rPr>
        <w:t xml:space="preserve"> during human clinical trials</w:t>
      </w:r>
      <w:r w:rsidR="00FA3C56">
        <w:rPr>
          <w:lang w:eastAsia="ja-JP"/>
        </w:rPr>
        <w:t>. The randomis</w:t>
      </w:r>
      <w:r>
        <w:rPr>
          <w:lang w:eastAsia="ja-JP"/>
        </w:rPr>
        <w:t>ation code was broken on these subjects, as well as the three cases of retinal disorder detected at the same time. Because the vortex keratopathy was regarded as a new significant finding, related to tafenoquine treatment, they were reported</w:t>
      </w:r>
      <w:r w:rsidR="00AD6325">
        <w:rPr>
          <w:rStyle w:val="FootnoteReference"/>
          <w:lang w:eastAsia="ja-JP"/>
        </w:rPr>
        <w:footnoteReference w:id="12"/>
      </w:r>
      <w:r>
        <w:rPr>
          <w:lang w:eastAsia="ja-JP"/>
        </w:rPr>
        <w:t xml:space="preserve"> and became the subject of a 15</w:t>
      </w:r>
      <w:r w:rsidR="00473B40">
        <w:rPr>
          <w:lang w:eastAsia="ja-JP"/>
        </w:rPr>
        <w:t xml:space="preserve"> day</w:t>
      </w:r>
      <w:r>
        <w:rPr>
          <w:lang w:eastAsia="ja-JP"/>
        </w:rPr>
        <w:t xml:space="preserve"> Investigational New Drug (IND) Safety Report. Later safety updates were provided as data became available. Further eye AEs did not meet the criteria for an SAE. Subjects with corneal deposits were followed up beyond the scheduled 3</w:t>
      </w:r>
      <w:r w:rsidR="00404803">
        <w:rPr>
          <w:lang w:eastAsia="ja-JP"/>
        </w:rPr>
        <w:t xml:space="preserve"> month</w:t>
      </w:r>
      <w:r>
        <w:rPr>
          <w:lang w:eastAsia="ja-JP"/>
        </w:rPr>
        <w:t xml:space="preserve"> Follow-up visit during the relapse Follow up. At each Follow-up, corneal deposits were noted to have improved, with all subjects having resolved within 1 year of stopping study medication.</w:t>
      </w:r>
    </w:p>
    <w:p w14:paraId="2D944962" w14:textId="77777777" w:rsidR="008A1A1C" w:rsidRPr="00545B14" w:rsidRDefault="008A1A1C" w:rsidP="00EC0ADC">
      <w:pPr>
        <w:pStyle w:val="Heading4"/>
      </w:pPr>
      <w:r w:rsidRPr="00545B14">
        <w:t>Discontinuation</w:t>
      </w:r>
      <w:r>
        <w:t>s</w:t>
      </w:r>
      <w:r w:rsidRPr="00545B14">
        <w:t xml:space="preserve"> due to adverse events</w:t>
      </w:r>
      <w:bookmarkEnd w:id="566"/>
      <w:bookmarkEnd w:id="567"/>
      <w:bookmarkEnd w:id="568"/>
      <w:bookmarkEnd w:id="569"/>
      <w:bookmarkEnd w:id="570"/>
      <w:bookmarkEnd w:id="571"/>
      <w:bookmarkEnd w:id="572"/>
      <w:bookmarkEnd w:id="573"/>
    </w:p>
    <w:p w14:paraId="2CD005AD" w14:textId="77777777" w:rsidR="008A1A1C" w:rsidRDefault="008A1A1C" w:rsidP="00EC0ADC">
      <w:pPr>
        <w:pStyle w:val="Heading5"/>
      </w:pPr>
      <w:r>
        <w:t>I</w:t>
      </w:r>
      <w:r w:rsidRPr="002B7B05">
        <w:t>ntegrated safety analyses</w:t>
      </w:r>
    </w:p>
    <w:p w14:paraId="437685DB" w14:textId="73FF3B64" w:rsidR="00E730B4" w:rsidRDefault="008A1A1C" w:rsidP="008A1A1C">
      <w:r>
        <w:t xml:space="preserve">In the </w:t>
      </w:r>
      <w:r w:rsidR="00382EC1">
        <w:t xml:space="preserve">tafenoquine </w:t>
      </w:r>
      <w:r>
        <w:t xml:space="preserve">ACR group, 34 subjects (4.1% of the population) developed an AE that led to treatment discontinuation, compared to 10 subjects (2.5%) of the </w:t>
      </w:r>
      <w:r w:rsidR="00382EC1">
        <w:t xml:space="preserve">placebo </w:t>
      </w:r>
      <w:r>
        <w:t>group. The most common AEs leading to treatment discontinuation were ‘Investigations’ AEs (11 subjects or 32.4% of all discontinued subjects), including increased ALT (6 subjects), decreased haemoglobin (3 subjects), and decreased glomerular filtration rate (GFR) (2 subjects). Other reasons were unlikely related to study drug and were injuries, poisoning, and procedural complications (6 subjects or17.6% of all discontinued subjects) and infections and infestations (6 subjects or 17.6% of all discontinued subjects).</w:t>
      </w:r>
      <w:bookmarkStart w:id="574" w:name="_Toc241374321"/>
      <w:bookmarkStart w:id="575" w:name="_Ref271044780"/>
      <w:bookmarkStart w:id="576" w:name="_Ref271196640"/>
      <w:bookmarkStart w:id="577" w:name="_Ref272333085"/>
      <w:bookmarkStart w:id="578" w:name="_Toc272414668"/>
      <w:bookmarkStart w:id="579" w:name="_Toc290888532"/>
      <w:bookmarkStart w:id="580" w:name="_Toc416353748"/>
      <w:bookmarkStart w:id="581" w:name="_Toc421005291"/>
      <w:bookmarkStart w:id="582" w:name="_Toc432079168"/>
      <w:bookmarkStart w:id="583" w:name="_Toc432080741"/>
      <w:bookmarkStart w:id="584" w:name="_Toc504229387"/>
      <w:bookmarkStart w:id="585" w:name="_Toc501809161"/>
    </w:p>
    <w:p w14:paraId="34F9EB64" w14:textId="77777777" w:rsidR="008A1A1C" w:rsidRPr="00545B14" w:rsidRDefault="008A1A1C" w:rsidP="00FB2482">
      <w:pPr>
        <w:pStyle w:val="Heading3"/>
      </w:pPr>
      <w:bookmarkStart w:id="586" w:name="_Toc12520297"/>
      <w:r>
        <w:lastRenderedPageBreak/>
        <w:t xml:space="preserve">Evaluation of issues </w:t>
      </w:r>
      <w:bookmarkEnd w:id="574"/>
      <w:bookmarkEnd w:id="575"/>
      <w:bookmarkEnd w:id="576"/>
      <w:bookmarkEnd w:id="577"/>
      <w:bookmarkEnd w:id="578"/>
      <w:bookmarkEnd w:id="579"/>
      <w:bookmarkEnd w:id="580"/>
      <w:bookmarkEnd w:id="581"/>
      <w:r>
        <w:t>with possible regulatory impact</w:t>
      </w:r>
      <w:bookmarkEnd w:id="582"/>
      <w:bookmarkEnd w:id="583"/>
      <w:bookmarkEnd w:id="584"/>
      <w:bookmarkEnd w:id="585"/>
      <w:bookmarkEnd w:id="586"/>
    </w:p>
    <w:p w14:paraId="72C82415" w14:textId="77777777" w:rsidR="008A1A1C" w:rsidRPr="00545B14" w:rsidRDefault="008A1A1C" w:rsidP="00EC0ADC">
      <w:pPr>
        <w:pStyle w:val="Heading4"/>
      </w:pPr>
      <w:bookmarkStart w:id="587" w:name="_Toc272414669"/>
      <w:bookmarkStart w:id="588" w:name="_Toc290888533"/>
      <w:bookmarkStart w:id="589" w:name="_Toc416353749"/>
      <w:bookmarkStart w:id="590" w:name="_Toc421005292"/>
      <w:bookmarkStart w:id="591" w:name="_Toc432079169"/>
      <w:bookmarkStart w:id="592" w:name="_Toc432080742"/>
      <w:r w:rsidRPr="00545B14">
        <w:t>Liver function</w:t>
      </w:r>
      <w:bookmarkEnd w:id="587"/>
      <w:bookmarkEnd w:id="588"/>
      <w:bookmarkEnd w:id="589"/>
      <w:bookmarkEnd w:id="590"/>
      <w:r>
        <w:t xml:space="preserve"> and liver toxicity</w:t>
      </w:r>
      <w:bookmarkEnd w:id="591"/>
      <w:bookmarkEnd w:id="592"/>
    </w:p>
    <w:p w14:paraId="031D21C9" w14:textId="77777777" w:rsidR="008A1A1C" w:rsidRDefault="008A1A1C" w:rsidP="00EC0ADC">
      <w:pPr>
        <w:pStyle w:val="Heading5"/>
      </w:pPr>
      <w:r>
        <w:t>I</w:t>
      </w:r>
      <w:r w:rsidRPr="002B7B05">
        <w:t>ntegrated safety analyses</w:t>
      </w:r>
    </w:p>
    <w:p w14:paraId="0FA5BBB8" w14:textId="7FF6D502" w:rsidR="008A1A1C" w:rsidRDefault="008A1A1C" w:rsidP="008A1A1C">
      <w:r w:rsidRPr="00EC2DA7">
        <w:t xml:space="preserve">Six subjects in the </w:t>
      </w:r>
      <w:r w:rsidR="001534E5">
        <w:t>t</w:t>
      </w:r>
      <w:r w:rsidR="001534E5" w:rsidRPr="00EC2DA7">
        <w:t xml:space="preserve">afenoquine </w:t>
      </w:r>
      <w:r w:rsidRPr="00EC2DA7">
        <w:t xml:space="preserve">ACR group of Study 045 were discontinued due to ALT elevations, which removed any subject from study participation for any minor ALT elevations. For the overall </w:t>
      </w:r>
      <w:r w:rsidR="001534E5">
        <w:t>t</w:t>
      </w:r>
      <w:r w:rsidR="001534E5" w:rsidRPr="00EC2DA7">
        <w:t xml:space="preserve">afenoquine </w:t>
      </w:r>
      <w:r w:rsidRPr="00EC2DA7">
        <w:t xml:space="preserve">ACR population, elevations in ALT were reported in 1.5% of the </w:t>
      </w:r>
      <w:r w:rsidR="001534E5">
        <w:t>t</w:t>
      </w:r>
      <w:r w:rsidR="001534E5" w:rsidRPr="00EC2DA7">
        <w:t xml:space="preserve">afenoquine </w:t>
      </w:r>
      <w:r w:rsidRPr="00EC2DA7">
        <w:t xml:space="preserve">ACR group, which was exactly the same percentage as in the Placebo group. </w:t>
      </w:r>
      <w:r>
        <w:t xml:space="preserve">No hepatic SAEs were reported in the </w:t>
      </w:r>
      <w:r w:rsidR="001534E5">
        <w:t xml:space="preserve">tafenoquine </w:t>
      </w:r>
      <w:r>
        <w:t>ACR group and no hepatic AEs occurred at a frequency ≥1% in that population. For 4 of these 6 subjects, repeat ALT values were available for the period after tafenoquine was discontinued,</w:t>
      </w:r>
      <w:r w:rsidR="00EC0ADC">
        <w:t xml:space="preserve"> and all 4 subjects had normalis</w:t>
      </w:r>
      <w:r>
        <w:t>ed ALT by study’s end.</w:t>
      </w:r>
      <w:bookmarkStart w:id="593" w:name="_Toc272414670"/>
      <w:bookmarkStart w:id="594" w:name="_Toc290888534"/>
      <w:bookmarkStart w:id="595" w:name="_Toc416353750"/>
      <w:bookmarkStart w:id="596" w:name="_Toc421005293"/>
      <w:bookmarkStart w:id="597" w:name="_Toc432079170"/>
      <w:bookmarkStart w:id="598" w:name="_Toc432080743"/>
    </w:p>
    <w:p w14:paraId="641F2EF3" w14:textId="77777777" w:rsidR="008A1A1C" w:rsidRPr="00545B14" w:rsidRDefault="008A1A1C" w:rsidP="00EC0ADC">
      <w:pPr>
        <w:pStyle w:val="Heading4"/>
      </w:pPr>
      <w:r>
        <w:t xml:space="preserve">Renal </w:t>
      </w:r>
      <w:r w:rsidRPr="00545B14">
        <w:t>function</w:t>
      </w:r>
      <w:bookmarkEnd w:id="593"/>
      <w:bookmarkEnd w:id="594"/>
      <w:bookmarkEnd w:id="595"/>
      <w:bookmarkEnd w:id="596"/>
      <w:r>
        <w:t xml:space="preserve"> and renal toxicity</w:t>
      </w:r>
      <w:bookmarkEnd w:id="597"/>
      <w:bookmarkEnd w:id="598"/>
    </w:p>
    <w:p w14:paraId="1B591E76" w14:textId="77777777" w:rsidR="008A1A1C" w:rsidRPr="002B7B05" w:rsidRDefault="008A1A1C" w:rsidP="00EC0ADC">
      <w:pPr>
        <w:pStyle w:val="Heading5"/>
      </w:pPr>
      <w:r>
        <w:t>I</w:t>
      </w:r>
      <w:r w:rsidRPr="002B7B05">
        <w:t>ntegrated safety analyses</w:t>
      </w:r>
    </w:p>
    <w:p w14:paraId="44F243D9" w14:textId="12F57C26" w:rsidR="008A1A1C" w:rsidRDefault="008A1A1C" w:rsidP="008A1A1C">
      <w:pPr>
        <w:rPr>
          <w:lang w:eastAsia="ja-JP"/>
        </w:rPr>
      </w:pPr>
      <w:r w:rsidRPr="00EC2DA7">
        <w:t xml:space="preserve">No renal AEs were reported at incidences ≥1%, in the </w:t>
      </w:r>
      <w:r w:rsidR="001534E5">
        <w:t>t</w:t>
      </w:r>
      <w:r w:rsidR="001534E5" w:rsidRPr="00EC2DA7">
        <w:t xml:space="preserve">afenoquine </w:t>
      </w:r>
      <w:r w:rsidRPr="00EC2DA7">
        <w:t xml:space="preserve">ACR group. Although decreased GFR was reported as an SAE in 5 (0.6%) subjects in the </w:t>
      </w:r>
      <w:r w:rsidR="001534E5">
        <w:t>t</w:t>
      </w:r>
      <w:r w:rsidR="001534E5" w:rsidRPr="00EC2DA7">
        <w:t xml:space="preserve">afenoquine </w:t>
      </w:r>
      <w:r w:rsidRPr="00EC2DA7">
        <w:t xml:space="preserve">ACR group, this percentage was comparable to </w:t>
      </w:r>
      <w:r w:rsidR="001534E5">
        <w:t>p</w:t>
      </w:r>
      <w:r w:rsidR="001534E5" w:rsidRPr="00EC2DA7">
        <w:t xml:space="preserve">lacebo </w:t>
      </w:r>
      <w:r w:rsidRPr="00EC2DA7">
        <w:t xml:space="preserve">(0.5%). When comparing the </w:t>
      </w:r>
      <w:r w:rsidR="001534E5">
        <w:t>t</w:t>
      </w:r>
      <w:r w:rsidR="001534E5" w:rsidRPr="00EC2DA7">
        <w:t xml:space="preserve">afenoquine </w:t>
      </w:r>
      <w:r w:rsidRPr="00EC2DA7">
        <w:t xml:space="preserve">ACR to </w:t>
      </w:r>
      <w:r w:rsidR="001534E5">
        <w:t>p</w:t>
      </w:r>
      <w:r w:rsidR="001534E5" w:rsidRPr="00EC2DA7">
        <w:t xml:space="preserve">lacebo </w:t>
      </w:r>
      <w:r w:rsidRPr="00EC2DA7">
        <w:t xml:space="preserve">in Study 057 (the targeted </w:t>
      </w:r>
      <w:r>
        <w:t>‘</w:t>
      </w:r>
      <w:r w:rsidRPr="00EC2DA7">
        <w:t>renal-ocular safety</w:t>
      </w:r>
      <w:r>
        <w:t>’</w:t>
      </w:r>
      <w:r w:rsidRPr="00EC2DA7">
        <w:t xml:space="preserve"> study), the </w:t>
      </w:r>
      <w:r w:rsidR="001534E5">
        <w:t>t</w:t>
      </w:r>
      <w:r w:rsidR="001534E5" w:rsidRPr="00EC2DA7">
        <w:t xml:space="preserve">afenoquine </w:t>
      </w:r>
      <w:r w:rsidRPr="00EC2DA7">
        <w:t>ACR was equivalent to Placebo (based on not inferiority comparisons) with respect</w:t>
      </w:r>
      <w:r>
        <w:rPr>
          <w:lang w:eastAsia="ja-JP"/>
        </w:rPr>
        <w:t xml:space="preserve"> to the study’s primary endpoint (mean change from baseline GFR at 24 weeks). Also, no notable differences were observed between the </w:t>
      </w:r>
      <w:r w:rsidR="001534E5">
        <w:rPr>
          <w:lang w:eastAsia="ja-JP"/>
        </w:rPr>
        <w:t xml:space="preserve">tafenoquine </w:t>
      </w:r>
      <w:r>
        <w:rPr>
          <w:lang w:eastAsia="ja-JP"/>
        </w:rPr>
        <w:t>ACR and Placebo for multiple secondary renal endpoints.</w:t>
      </w:r>
    </w:p>
    <w:p w14:paraId="1D21B167" w14:textId="77777777" w:rsidR="008A1A1C" w:rsidRDefault="008A1A1C" w:rsidP="00EC0ADC">
      <w:pPr>
        <w:pStyle w:val="Heading4"/>
      </w:pPr>
      <w:bookmarkStart w:id="599" w:name="_Toc272414671"/>
      <w:bookmarkStart w:id="600" w:name="_Toc290888535"/>
      <w:bookmarkStart w:id="601" w:name="_Toc416353751"/>
      <w:bookmarkStart w:id="602" w:name="_Toc421005294"/>
      <w:bookmarkStart w:id="603" w:name="_Toc432079171"/>
      <w:bookmarkStart w:id="604" w:name="_Toc432080744"/>
      <w:r w:rsidRPr="00545B14">
        <w:t>Other clinical chemistry</w:t>
      </w:r>
      <w:bookmarkEnd w:id="599"/>
      <w:bookmarkEnd w:id="600"/>
      <w:bookmarkEnd w:id="601"/>
      <w:bookmarkEnd w:id="602"/>
      <w:bookmarkEnd w:id="603"/>
      <w:bookmarkEnd w:id="604"/>
    </w:p>
    <w:p w14:paraId="309F8087" w14:textId="0CE8BD37" w:rsidR="008A1A1C" w:rsidRDefault="001534E5" w:rsidP="008A1A1C">
      <w:pPr>
        <w:rPr>
          <w:lang w:eastAsia="ja-JP"/>
        </w:rPr>
      </w:pPr>
      <w:bookmarkStart w:id="605" w:name="_Toc272414672"/>
      <w:bookmarkStart w:id="606" w:name="_Toc290888536"/>
      <w:bookmarkStart w:id="607" w:name="_Toc416353752"/>
      <w:bookmarkStart w:id="608" w:name="_Toc421005295"/>
      <w:bookmarkStart w:id="609" w:name="_Toc432079172"/>
      <w:bookmarkStart w:id="610" w:name="_Toc432080745"/>
      <w:r>
        <w:rPr>
          <w:lang w:eastAsia="ja-JP"/>
        </w:rPr>
        <w:t xml:space="preserve">Not </w:t>
      </w:r>
      <w:r w:rsidR="00B319AC">
        <w:rPr>
          <w:lang w:eastAsia="ja-JP"/>
        </w:rPr>
        <w:t>applicable</w:t>
      </w:r>
      <w:r>
        <w:rPr>
          <w:lang w:eastAsia="ja-JP"/>
        </w:rPr>
        <w:t>.</w:t>
      </w:r>
    </w:p>
    <w:p w14:paraId="72129926" w14:textId="77777777" w:rsidR="008A1A1C" w:rsidRPr="00545B14" w:rsidRDefault="008A1A1C" w:rsidP="00EC0ADC">
      <w:pPr>
        <w:pStyle w:val="Heading4"/>
      </w:pPr>
      <w:r w:rsidRPr="00545B14">
        <w:t>Haematology</w:t>
      </w:r>
      <w:bookmarkEnd w:id="605"/>
      <w:bookmarkEnd w:id="606"/>
      <w:bookmarkEnd w:id="607"/>
      <w:bookmarkEnd w:id="608"/>
      <w:r>
        <w:t xml:space="preserve"> and haematological toxicity</w:t>
      </w:r>
      <w:bookmarkEnd w:id="609"/>
      <w:bookmarkEnd w:id="610"/>
    </w:p>
    <w:p w14:paraId="4E8A4C67" w14:textId="77777777" w:rsidR="008A1A1C" w:rsidRPr="002B7B05" w:rsidRDefault="008A1A1C" w:rsidP="00EC0ADC">
      <w:pPr>
        <w:pStyle w:val="Heading5"/>
      </w:pPr>
      <w:r>
        <w:t>I</w:t>
      </w:r>
      <w:r w:rsidRPr="002B7B05">
        <w:t>ntegrated safety analyses</w:t>
      </w:r>
    </w:p>
    <w:p w14:paraId="2AA1E02A" w14:textId="51814CA2" w:rsidR="008A1A1C" w:rsidRDefault="008A1A1C" w:rsidP="008A1A1C">
      <w:pPr>
        <w:rPr>
          <w:lang w:eastAsia="ja-JP"/>
        </w:rPr>
      </w:pPr>
      <w:r w:rsidRPr="00EC0ADC">
        <w:t>Haemoglobin frequently decreases by 0.66 g/dL</w:t>
      </w:r>
      <w:r w:rsidR="00EC0ADC">
        <w:t>;</w:t>
      </w:r>
      <w:r w:rsidRPr="00EC0ADC">
        <w:t xml:space="preserve"> about 60% of study participants. In only 3 subjects (0.4% of the ACR population) did a decrease in haemoglobin lead to discontinuation of tafenoquine </w:t>
      </w:r>
      <w:proofErr w:type="gramStart"/>
      <w:r w:rsidRPr="00EC0ADC">
        <w:t>dosing.</w:t>
      </w:r>
      <w:proofErr w:type="gramEnd"/>
      <w:r w:rsidRPr="00EC0ADC">
        <w:t xml:space="preserve"> This 0.4% percentage was only marginally higher than in the Placebo group (0.3%). Overall, any trend for decline in haemoglobin during tafenoquine</w:t>
      </w:r>
      <w:r>
        <w:rPr>
          <w:lang w:eastAsia="ja-JP"/>
        </w:rPr>
        <w:t xml:space="preserve"> dosing had no appreciable cli</w:t>
      </w:r>
      <w:r w:rsidR="00EC0ADC">
        <w:rPr>
          <w:lang w:eastAsia="ja-JP"/>
        </w:rPr>
        <w:t>nical impact at the doses utilis</w:t>
      </w:r>
      <w:r>
        <w:rPr>
          <w:lang w:eastAsia="ja-JP"/>
        </w:rPr>
        <w:t xml:space="preserve">ed in the </w:t>
      </w:r>
      <w:r w:rsidR="001534E5">
        <w:rPr>
          <w:lang w:eastAsia="ja-JP"/>
        </w:rPr>
        <w:t xml:space="preserve">tafenoquine </w:t>
      </w:r>
      <w:r>
        <w:rPr>
          <w:lang w:eastAsia="ja-JP"/>
        </w:rPr>
        <w:t xml:space="preserve">ACR. A summary of haematological effects is shown in </w:t>
      </w:r>
      <w:r w:rsidR="003F0ECA">
        <w:rPr>
          <w:lang w:eastAsia="ja-JP"/>
        </w:rPr>
        <w:t>Table 5</w:t>
      </w:r>
      <w:r w:rsidR="005B2850">
        <w:rPr>
          <w:lang w:eastAsia="ja-JP"/>
        </w:rPr>
        <w:t>5</w:t>
      </w:r>
      <w:r w:rsidR="00FA3C56">
        <w:rPr>
          <w:lang w:eastAsia="ja-JP"/>
        </w:rPr>
        <w:t>.</w:t>
      </w:r>
    </w:p>
    <w:p w14:paraId="1F216F72" w14:textId="000FF1A1" w:rsidR="00A02C1A" w:rsidRPr="003F3599" w:rsidRDefault="00A02C1A" w:rsidP="008D769C">
      <w:pPr>
        <w:pStyle w:val="Tabletitle"/>
      </w:pPr>
      <w:bookmarkStart w:id="611" w:name="_Ref501542533"/>
      <w:bookmarkStart w:id="612" w:name="_Toc504229477"/>
      <w:r>
        <w:t xml:space="preserve">Table </w:t>
      </w:r>
      <w:r w:rsidR="003F0ECA">
        <w:t>5</w:t>
      </w:r>
      <w:r w:rsidR="005B2850">
        <w:t>5</w:t>
      </w:r>
      <w:r w:rsidR="003F0ECA">
        <w:t>:</w:t>
      </w:r>
      <w:bookmarkEnd w:id="611"/>
      <w:r>
        <w:t xml:space="preserve"> </w:t>
      </w:r>
      <w:r w:rsidRPr="003F3599">
        <w:t xml:space="preserve">Incidence of </w:t>
      </w:r>
      <w:r w:rsidR="001534E5">
        <w:t>s</w:t>
      </w:r>
      <w:r w:rsidR="001534E5" w:rsidRPr="003F3599">
        <w:t xml:space="preserve">pecific </w:t>
      </w:r>
      <w:r w:rsidR="001534E5">
        <w:t>h</w:t>
      </w:r>
      <w:r w:rsidR="001534E5" w:rsidRPr="003F3599">
        <w:t xml:space="preserve">aematological </w:t>
      </w:r>
      <w:r w:rsidR="001534E5">
        <w:t>f</w:t>
      </w:r>
      <w:r w:rsidR="001534E5" w:rsidRPr="003F3599">
        <w:t>indings</w:t>
      </w:r>
      <w:r w:rsidRPr="003F3599">
        <w:t xml:space="preserve">: </w:t>
      </w:r>
      <w:r w:rsidR="001534E5">
        <w:t>t</w:t>
      </w:r>
      <w:r w:rsidR="001534E5" w:rsidRPr="003F3599">
        <w:t xml:space="preserve">afenoquine </w:t>
      </w:r>
      <w:r w:rsidRPr="003F3599">
        <w:t xml:space="preserve">ACR </w:t>
      </w:r>
      <w:r w:rsidR="001534E5">
        <w:t>g</w:t>
      </w:r>
      <w:r w:rsidR="001534E5" w:rsidRPr="003F3599">
        <w:t xml:space="preserve">roup </w:t>
      </w:r>
      <w:r w:rsidRPr="003F3599">
        <w:t>v</w:t>
      </w:r>
      <w:r w:rsidR="001534E5">
        <w:t>ersu</w:t>
      </w:r>
      <w:r w:rsidRPr="003F3599">
        <w:t xml:space="preserve">s </w:t>
      </w:r>
      <w:bookmarkEnd w:id="612"/>
      <w:r w:rsidR="001534E5">
        <w:t>p</w:t>
      </w:r>
      <w:r w:rsidR="001534E5" w:rsidRPr="003F3599">
        <w:t>lacebo</w:t>
      </w:r>
    </w:p>
    <w:p w14:paraId="60BD2721" w14:textId="77777777" w:rsidR="00A02C1A" w:rsidRDefault="00A02C1A" w:rsidP="00A02C1A">
      <w:r w:rsidRPr="007343AA">
        <w:rPr>
          <w:noProof/>
          <w:lang w:eastAsia="en-AU"/>
        </w:rPr>
        <w:drawing>
          <wp:inline distT="0" distB="0" distL="0" distR="0" wp14:anchorId="1EC8D940" wp14:editId="01A24234">
            <wp:extent cx="5731510" cy="2325908"/>
            <wp:effectExtent l="0" t="0" r="2540" b="0"/>
            <wp:docPr id="9" name="Picture 9" descr="Incidence of Specific Haematological Findings: Tafenoquine ACR Group v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5731510" cy="2325908"/>
                    </a:xfrm>
                    <a:prstGeom prst="rect">
                      <a:avLst/>
                    </a:prstGeom>
                    <a:noFill/>
                    <a:ln>
                      <a:noFill/>
                    </a:ln>
                  </pic:spPr>
                </pic:pic>
              </a:graphicData>
            </a:graphic>
          </wp:inline>
        </w:drawing>
      </w:r>
    </w:p>
    <w:p w14:paraId="5392F81A" w14:textId="77777777" w:rsidR="00A02C1A" w:rsidRPr="003F3599" w:rsidRDefault="00A02C1A" w:rsidP="00A13E98">
      <w:pPr>
        <w:pStyle w:val="TableDescription"/>
      </w:pPr>
      <w:proofErr w:type="gramStart"/>
      <w:r w:rsidRPr="003F3599">
        <w:lastRenderedPageBreak/>
        <w:t>a</w:t>
      </w:r>
      <w:proofErr w:type="gramEnd"/>
      <w:r w:rsidRPr="003F3599">
        <w:t xml:space="preserve"> Percentages are based on the total number of subjects in the treatment group. </w:t>
      </w:r>
      <w:proofErr w:type="gramStart"/>
      <w:r w:rsidRPr="003F3599">
        <w:t>b</w:t>
      </w:r>
      <w:proofErr w:type="gramEnd"/>
      <w:r w:rsidRPr="003F3599">
        <w:t xml:space="preserve"> Haemolytic anaemia was defined as a ≥15% decrease from Baseline in haemoglobin or haematocrit, together with a ≥50% decrease from Baseline in haptoglobin. </w:t>
      </w:r>
      <w:proofErr w:type="gramStart"/>
      <w:r w:rsidRPr="003F3599">
        <w:t>c</w:t>
      </w:r>
      <w:proofErr w:type="gramEnd"/>
      <w:r w:rsidRPr="003F3599">
        <w:t xml:space="preserve"> Only studies 033 and 043 contributed data to the incidence of methemoglobin ≥1%.</w:t>
      </w:r>
    </w:p>
    <w:p w14:paraId="4844D27D" w14:textId="4307429F" w:rsidR="00F1528F" w:rsidRDefault="008A1A1C" w:rsidP="008A1A1C">
      <w:pPr>
        <w:rPr>
          <w:lang w:eastAsia="ja-JP"/>
        </w:rPr>
      </w:pPr>
      <w:r>
        <w:rPr>
          <w:lang w:eastAsia="ja-JP"/>
        </w:rPr>
        <w:t>As with primaquine, increased meth</w:t>
      </w:r>
      <w:r w:rsidR="001534E5">
        <w:rPr>
          <w:lang w:eastAsia="ja-JP"/>
        </w:rPr>
        <w:t>a</w:t>
      </w:r>
      <w:r>
        <w:rPr>
          <w:lang w:eastAsia="ja-JP"/>
        </w:rPr>
        <w:t>emoglobin levels can occur with tafenoquine. In normal individuals, enzymes inside RBCs typically maintain physiological concentrations of meth</w:t>
      </w:r>
      <w:r w:rsidR="001534E5">
        <w:rPr>
          <w:lang w:eastAsia="ja-JP"/>
        </w:rPr>
        <w:t>a</w:t>
      </w:r>
      <w:r>
        <w:rPr>
          <w:lang w:eastAsia="ja-JP"/>
        </w:rPr>
        <w:t>emoglobin at approximately 1</w:t>
      </w:r>
      <w:r w:rsidR="001534E5">
        <w:rPr>
          <w:lang w:eastAsia="ja-JP"/>
        </w:rPr>
        <w:t xml:space="preserve"> to </w:t>
      </w:r>
      <w:r>
        <w:rPr>
          <w:lang w:eastAsia="ja-JP"/>
        </w:rPr>
        <w:t>2%, and meth</w:t>
      </w:r>
      <w:r w:rsidR="001534E5">
        <w:rPr>
          <w:lang w:eastAsia="ja-JP"/>
        </w:rPr>
        <w:t>a</w:t>
      </w:r>
      <w:r>
        <w:rPr>
          <w:lang w:eastAsia="ja-JP"/>
        </w:rPr>
        <w:t>emoglobin levels of 1%</w:t>
      </w:r>
      <w:r w:rsidR="001534E5">
        <w:rPr>
          <w:lang w:eastAsia="ja-JP"/>
        </w:rPr>
        <w:t xml:space="preserve"> to </w:t>
      </w:r>
      <w:r>
        <w:rPr>
          <w:lang w:eastAsia="ja-JP"/>
        </w:rPr>
        <w:t>3% are usually asymptomatic. Higher meth</w:t>
      </w:r>
      <w:r w:rsidR="001534E5">
        <w:rPr>
          <w:lang w:eastAsia="ja-JP"/>
        </w:rPr>
        <w:t>a</w:t>
      </w:r>
      <w:r>
        <w:rPr>
          <w:lang w:eastAsia="ja-JP"/>
        </w:rPr>
        <w:t xml:space="preserve">emoglobin levels of 3%-15% may also be asymptomatic; however, at levels above 15%, symptoms usually occur. Among subjects who received the </w:t>
      </w:r>
      <w:r w:rsidR="001534E5">
        <w:rPr>
          <w:lang w:eastAsia="ja-JP"/>
        </w:rPr>
        <w:t xml:space="preserve">tafenoquine </w:t>
      </w:r>
      <w:r>
        <w:rPr>
          <w:lang w:eastAsia="ja-JP"/>
        </w:rPr>
        <w:t>ACR, meth</w:t>
      </w:r>
      <w:r w:rsidR="001534E5">
        <w:rPr>
          <w:lang w:eastAsia="ja-JP"/>
        </w:rPr>
        <w:t>a</w:t>
      </w:r>
      <w:r>
        <w:rPr>
          <w:lang w:eastAsia="ja-JP"/>
        </w:rPr>
        <w:t>emoglobin levels ≥1% were observed in 13.9% of subjects, indicating that meth</w:t>
      </w:r>
      <w:r w:rsidR="001534E5">
        <w:rPr>
          <w:lang w:eastAsia="ja-JP"/>
        </w:rPr>
        <w:t>a</w:t>
      </w:r>
      <w:r>
        <w:rPr>
          <w:lang w:eastAsia="ja-JP"/>
        </w:rPr>
        <w:t>emoglobin levels may have mildly exceeded the physiological norm. However, no subject developed meth</w:t>
      </w:r>
      <w:r w:rsidR="001534E5">
        <w:rPr>
          <w:lang w:eastAsia="ja-JP"/>
        </w:rPr>
        <w:t>a</w:t>
      </w:r>
      <w:r>
        <w:rPr>
          <w:lang w:eastAsia="ja-JP"/>
        </w:rPr>
        <w:t>emoglobin levels ≥ 10%.</w:t>
      </w:r>
    </w:p>
    <w:p w14:paraId="134BE579" w14:textId="0893A9A1" w:rsidR="00F1528F" w:rsidRDefault="008A1A1C" w:rsidP="008A1A1C">
      <w:r>
        <w:rPr>
          <w:lang w:eastAsia="ja-JP"/>
        </w:rPr>
        <w:t xml:space="preserve">Haemolytic anaemia occurred only rarely in the </w:t>
      </w:r>
      <w:r w:rsidR="001534E5">
        <w:rPr>
          <w:lang w:eastAsia="ja-JP"/>
        </w:rPr>
        <w:t xml:space="preserve">tafenoquine </w:t>
      </w:r>
      <w:r>
        <w:rPr>
          <w:lang w:eastAsia="ja-JP"/>
        </w:rPr>
        <w:t>ACR group, affecting 2 (0.2%) subjects.</w:t>
      </w:r>
    </w:p>
    <w:p w14:paraId="61AF0130" w14:textId="43D301D6" w:rsidR="008A1A1C" w:rsidRDefault="008A1A1C" w:rsidP="008A1A1C">
      <w:pPr>
        <w:rPr>
          <w:lang w:eastAsia="ja-JP"/>
        </w:rPr>
      </w:pPr>
      <w:r>
        <w:rPr>
          <w:lang w:eastAsia="ja-JP"/>
        </w:rPr>
        <w:t xml:space="preserve">Haematological AEs leading to study discontinuation were decreased haemoglobin, reported in 3 (0.4%) caused by haemolytic anaemia in 2 (0.2%) of subjects in the </w:t>
      </w:r>
      <w:r w:rsidR="001534E5">
        <w:rPr>
          <w:lang w:eastAsia="ja-JP"/>
        </w:rPr>
        <w:t xml:space="preserve">tafenoquine </w:t>
      </w:r>
      <w:r>
        <w:rPr>
          <w:lang w:eastAsia="ja-JP"/>
        </w:rPr>
        <w:t>ACR group. In all 3 withdrawals due to decreased haemoglobin occurred in Study 045 all 3 cases, the decrease in haemoglobin was considered mild and ‘non-serious’, did not require treatment, and resolved in 28</w:t>
      </w:r>
      <w:r w:rsidR="001534E5">
        <w:rPr>
          <w:lang w:eastAsia="ja-JP"/>
        </w:rPr>
        <w:t xml:space="preserve"> to </w:t>
      </w:r>
      <w:r>
        <w:rPr>
          <w:lang w:eastAsia="ja-JP"/>
        </w:rPr>
        <w:t>50 days.</w:t>
      </w:r>
    </w:p>
    <w:p w14:paraId="11CD6B0D" w14:textId="6C85D063" w:rsidR="008A1A1C" w:rsidRDefault="008A1A1C" w:rsidP="008A1A1C">
      <w:pPr>
        <w:rPr>
          <w:lang w:eastAsia="ja-JP"/>
        </w:rPr>
      </w:pPr>
      <w:r>
        <w:rPr>
          <w:lang w:eastAsia="ja-JP"/>
        </w:rPr>
        <w:t>Withdrawals dues to haemolytic anaemia occurred in one subject in each of Study 030 and Study 057. Neither subject required treatment and anaemia resolved in both subjects within</w:t>
      </w:r>
      <w:r w:rsidR="00AF1D79">
        <w:rPr>
          <w:lang w:eastAsia="ja-JP"/>
        </w:rPr>
        <w:t xml:space="preserve"> </w:t>
      </w:r>
      <w:r>
        <w:rPr>
          <w:lang w:eastAsia="ja-JP"/>
        </w:rPr>
        <w:t xml:space="preserve">1 month. Although 3 haematological AEs occurred at incidences ≥1% in the </w:t>
      </w:r>
      <w:r w:rsidR="001534E5">
        <w:rPr>
          <w:lang w:eastAsia="ja-JP"/>
        </w:rPr>
        <w:t xml:space="preserve">tafenoquine </w:t>
      </w:r>
      <w:r>
        <w:rPr>
          <w:lang w:eastAsia="ja-JP"/>
        </w:rPr>
        <w:t>ACR group (anaemia, leucocytosis, and thrombocytop</w:t>
      </w:r>
      <w:r w:rsidR="001534E5">
        <w:rPr>
          <w:lang w:eastAsia="ja-JP"/>
        </w:rPr>
        <w:t>a</w:t>
      </w:r>
      <w:r>
        <w:rPr>
          <w:lang w:eastAsia="ja-JP"/>
        </w:rPr>
        <w:t>enia), none had a higher incidence than in the Placebo group. Similar to what was seen for gastrointestinal AEs, although mild decreases in haemoglobin and mild increases in meth</w:t>
      </w:r>
      <w:r w:rsidR="001534E5">
        <w:rPr>
          <w:lang w:eastAsia="ja-JP"/>
        </w:rPr>
        <w:t>a</w:t>
      </w:r>
      <w:r>
        <w:rPr>
          <w:lang w:eastAsia="ja-JP"/>
        </w:rPr>
        <w:t xml:space="preserve">emoglobin were seen in the </w:t>
      </w:r>
      <w:r w:rsidR="001534E5">
        <w:rPr>
          <w:lang w:eastAsia="ja-JP"/>
        </w:rPr>
        <w:t xml:space="preserve">tafenoquine </w:t>
      </w:r>
      <w:r>
        <w:rPr>
          <w:lang w:eastAsia="ja-JP"/>
        </w:rPr>
        <w:t>ACR group, these effects rarely led to discontinuation of tafenoquine dosing.</w:t>
      </w:r>
    </w:p>
    <w:p w14:paraId="109098AF" w14:textId="77777777" w:rsidR="008A1A1C" w:rsidRPr="00545B14" w:rsidRDefault="008A1A1C" w:rsidP="00EC0ADC">
      <w:pPr>
        <w:pStyle w:val="Heading4"/>
      </w:pPr>
      <w:bookmarkStart w:id="613" w:name="_Toc272414674"/>
      <w:bookmarkStart w:id="614" w:name="_Toc290888538"/>
      <w:bookmarkStart w:id="615" w:name="_Toc416353753"/>
      <w:bookmarkStart w:id="616" w:name="_Toc421005296"/>
      <w:bookmarkStart w:id="617" w:name="_Toc432079173"/>
      <w:bookmarkStart w:id="618" w:name="_Toc432080746"/>
      <w:r w:rsidRPr="00545B14">
        <w:t>Other laboratory test</w:t>
      </w:r>
      <w:bookmarkEnd w:id="613"/>
      <w:bookmarkEnd w:id="614"/>
      <w:bookmarkEnd w:id="615"/>
      <w:bookmarkEnd w:id="616"/>
      <w:bookmarkEnd w:id="617"/>
      <w:bookmarkEnd w:id="618"/>
      <w:r>
        <w:t>s</w:t>
      </w:r>
    </w:p>
    <w:p w14:paraId="163E2594" w14:textId="6498450C" w:rsidR="008A1A1C" w:rsidRDefault="001534E5" w:rsidP="008A1A1C">
      <w:pPr>
        <w:rPr>
          <w:lang w:eastAsia="ja-JP"/>
        </w:rPr>
      </w:pPr>
      <w:bookmarkStart w:id="619" w:name="_Toc272414675"/>
      <w:bookmarkStart w:id="620" w:name="_Toc290888539"/>
      <w:bookmarkStart w:id="621" w:name="_Toc416353754"/>
      <w:bookmarkStart w:id="622" w:name="_Toc421005297"/>
      <w:bookmarkStart w:id="623" w:name="_Toc432079174"/>
      <w:bookmarkStart w:id="624" w:name="_Toc432080747"/>
      <w:r>
        <w:rPr>
          <w:lang w:eastAsia="ja-JP"/>
        </w:rPr>
        <w:t>Not applicable.</w:t>
      </w:r>
    </w:p>
    <w:p w14:paraId="6934547D" w14:textId="77777777" w:rsidR="008A1A1C" w:rsidRPr="00545B14" w:rsidRDefault="008A1A1C" w:rsidP="00EC0ADC">
      <w:pPr>
        <w:pStyle w:val="Heading4"/>
      </w:pPr>
      <w:r w:rsidRPr="00545B14">
        <w:t>Electrocardiograph</w:t>
      </w:r>
      <w:bookmarkEnd w:id="619"/>
      <w:bookmarkEnd w:id="620"/>
      <w:bookmarkEnd w:id="621"/>
      <w:bookmarkEnd w:id="622"/>
      <w:r>
        <w:t xml:space="preserve"> findings and cardiovascular safety</w:t>
      </w:r>
      <w:bookmarkEnd w:id="623"/>
      <w:bookmarkEnd w:id="624"/>
    </w:p>
    <w:p w14:paraId="179A2251" w14:textId="77777777" w:rsidR="008A1A1C" w:rsidRDefault="008A1A1C" w:rsidP="00EC0ADC">
      <w:pPr>
        <w:pStyle w:val="Heading5"/>
      </w:pPr>
      <w:r>
        <w:t>I</w:t>
      </w:r>
      <w:r w:rsidRPr="002B7B05">
        <w:t>ntegrated safety analyses</w:t>
      </w:r>
    </w:p>
    <w:p w14:paraId="0F234E47" w14:textId="57AFA0AD" w:rsidR="008A1A1C" w:rsidRPr="001E499C" w:rsidRDefault="008A1A1C" w:rsidP="008A1A1C">
      <w:r>
        <w:t xml:space="preserve">As an analogue of primaquine, there is the possibility that tafenoquine could share </w:t>
      </w:r>
      <w:r w:rsidR="00E730B4">
        <w:t xml:space="preserve">the risk of cardiac side effects of </w:t>
      </w:r>
      <w:r>
        <w:t xml:space="preserve">primaquine, including cardiac arrhythmia and prolongation of the QT interval on ECG. Among human subjects who received the </w:t>
      </w:r>
      <w:r w:rsidR="001534E5">
        <w:t xml:space="preserve">tafenoquine </w:t>
      </w:r>
      <w:r>
        <w:t>ACR (n=825) in 5 pooled clinical trials (Studies 030, 033, 043, 045</w:t>
      </w:r>
      <w:r w:rsidR="001534E5">
        <w:t xml:space="preserve"> and</w:t>
      </w:r>
      <w:r>
        <w:t xml:space="preserve"> 057) there were no reported cardiac SAEs and no study discontinuations due to cardiac AEs. Furthermore, no cardiac AEs occurred at an incidence ≥1% in subjects who received the </w:t>
      </w:r>
      <w:r w:rsidR="001534E5">
        <w:t xml:space="preserve">tafenoquine </w:t>
      </w:r>
      <w:r>
        <w:t>ACR. In a non-sponsor clinical study (</w:t>
      </w:r>
      <w:r w:rsidR="001534E5">
        <w:t xml:space="preserve">Study </w:t>
      </w:r>
      <w:r>
        <w:t>TAF114582, n=260), there was no effect on corrected QT (QTcF) prolongation after a single tafenoquine dose of 300 mg or 600 mg. However, a mean 6.6</w:t>
      </w:r>
      <w:r w:rsidR="001534E5">
        <w:t> </w:t>
      </w:r>
      <w:r w:rsidR="00EC0ADC">
        <w:t xml:space="preserve">ms </w:t>
      </w:r>
      <w:r>
        <w:t xml:space="preserve">prolongation of QTcF compared to </w:t>
      </w:r>
      <w:r w:rsidR="001534E5">
        <w:t xml:space="preserve">placebo </w:t>
      </w:r>
      <w:r>
        <w:t>was seen at 72 hours post-final</w:t>
      </w:r>
      <w:r w:rsidR="009720A8">
        <w:t xml:space="preserve"> dose</w:t>
      </w:r>
      <w:r>
        <w:t xml:space="preserve"> in a group that received a total tafenoquine dose of 1200 mg over 3 days</w:t>
      </w:r>
      <w:r w:rsidR="00FA3C56">
        <w:t xml:space="preserve"> (tafenoquine 400 mg x</w:t>
      </w:r>
      <w:r w:rsidR="001534E5">
        <w:t> </w:t>
      </w:r>
      <w:r w:rsidR="00FA3C56">
        <w:t>3</w:t>
      </w:r>
      <w:r w:rsidR="001534E5">
        <w:t> </w:t>
      </w:r>
      <w:r w:rsidR="00FA3C56">
        <w:t>days).</w:t>
      </w:r>
    </w:p>
    <w:p w14:paraId="587EACE5" w14:textId="77777777" w:rsidR="008A1A1C" w:rsidRPr="00545B14" w:rsidRDefault="008A1A1C" w:rsidP="00EC0ADC">
      <w:pPr>
        <w:pStyle w:val="Heading4"/>
      </w:pPr>
      <w:bookmarkStart w:id="625" w:name="_Toc272414676"/>
      <w:bookmarkStart w:id="626" w:name="_Toc290888540"/>
      <w:bookmarkStart w:id="627" w:name="_Toc416353755"/>
      <w:bookmarkStart w:id="628" w:name="_Toc421005298"/>
      <w:bookmarkStart w:id="629" w:name="_Toc432079175"/>
      <w:bookmarkStart w:id="630" w:name="_Toc432080748"/>
      <w:r w:rsidRPr="00545B14">
        <w:t>Vital signs</w:t>
      </w:r>
      <w:bookmarkEnd w:id="625"/>
      <w:bookmarkEnd w:id="626"/>
      <w:bookmarkEnd w:id="627"/>
      <w:bookmarkEnd w:id="628"/>
      <w:r>
        <w:t xml:space="preserve"> and clinical examination findings</w:t>
      </w:r>
      <w:bookmarkEnd w:id="629"/>
      <w:bookmarkEnd w:id="630"/>
    </w:p>
    <w:p w14:paraId="0EBBA263" w14:textId="77777777" w:rsidR="008A1A1C" w:rsidRPr="002B7B05" w:rsidRDefault="008A1A1C" w:rsidP="00EC0ADC">
      <w:pPr>
        <w:pStyle w:val="Heading5"/>
      </w:pPr>
      <w:r>
        <w:t>I</w:t>
      </w:r>
      <w:r w:rsidRPr="002B7B05">
        <w:t>ntegrated safety analyses</w:t>
      </w:r>
    </w:p>
    <w:p w14:paraId="4F517798" w14:textId="054952CC" w:rsidR="008A1A1C" w:rsidRDefault="001534E5" w:rsidP="008A1A1C">
      <w:pPr>
        <w:rPr>
          <w:lang w:eastAsia="ja-JP"/>
        </w:rPr>
      </w:pPr>
      <w:bookmarkStart w:id="631" w:name="_Toc432079176"/>
      <w:bookmarkStart w:id="632" w:name="_Toc432080749"/>
      <w:r>
        <w:rPr>
          <w:lang w:eastAsia="ja-JP"/>
        </w:rPr>
        <w:t>Not applicable.</w:t>
      </w:r>
    </w:p>
    <w:p w14:paraId="0365F4F0" w14:textId="77777777" w:rsidR="008A1A1C" w:rsidRDefault="008A1A1C" w:rsidP="00EC0ADC">
      <w:pPr>
        <w:pStyle w:val="Heading4"/>
      </w:pPr>
      <w:r>
        <w:t>Immunogenicity and immunological events</w:t>
      </w:r>
      <w:bookmarkEnd w:id="631"/>
      <w:bookmarkEnd w:id="632"/>
    </w:p>
    <w:p w14:paraId="7972522F" w14:textId="77777777" w:rsidR="008A1A1C" w:rsidRPr="002B7B05" w:rsidRDefault="008A1A1C" w:rsidP="00EC0ADC">
      <w:pPr>
        <w:pStyle w:val="Heading5"/>
      </w:pPr>
      <w:r>
        <w:t>I</w:t>
      </w:r>
      <w:r w:rsidRPr="002B7B05">
        <w:t>ntegrated safety analyses</w:t>
      </w:r>
    </w:p>
    <w:p w14:paraId="46507F2D" w14:textId="77777777" w:rsidR="001534E5" w:rsidRDefault="001534E5" w:rsidP="001534E5">
      <w:pPr>
        <w:rPr>
          <w:lang w:eastAsia="ja-JP"/>
        </w:rPr>
      </w:pPr>
      <w:bookmarkStart w:id="633" w:name="_Toc432079177"/>
      <w:bookmarkStart w:id="634" w:name="_Toc432080750"/>
      <w:r>
        <w:rPr>
          <w:lang w:eastAsia="ja-JP"/>
        </w:rPr>
        <w:t>Not applicable.</w:t>
      </w:r>
    </w:p>
    <w:p w14:paraId="566B4349" w14:textId="77777777" w:rsidR="008A1A1C" w:rsidRPr="00E7113A" w:rsidRDefault="008A1A1C" w:rsidP="00EC0ADC">
      <w:pPr>
        <w:pStyle w:val="Heading4"/>
      </w:pPr>
      <w:r w:rsidRPr="00E7113A">
        <w:lastRenderedPageBreak/>
        <w:t>Serious skin reactions</w:t>
      </w:r>
      <w:bookmarkEnd w:id="633"/>
      <w:bookmarkEnd w:id="634"/>
    </w:p>
    <w:p w14:paraId="6C012E52" w14:textId="77777777" w:rsidR="008A1A1C" w:rsidRPr="0044289B" w:rsidRDefault="008A1A1C" w:rsidP="00EC0ADC">
      <w:pPr>
        <w:pStyle w:val="Heading5"/>
      </w:pPr>
      <w:r w:rsidRPr="0044289B">
        <w:t>Integrated safety analyses</w:t>
      </w:r>
    </w:p>
    <w:p w14:paraId="2DC8EE10" w14:textId="77777777" w:rsidR="001534E5" w:rsidRDefault="001534E5" w:rsidP="001534E5">
      <w:pPr>
        <w:rPr>
          <w:lang w:eastAsia="ja-JP"/>
        </w:rPr>
      </w:pPr>
      <w:bookmarkStart w:id="635" w:name="_Toc272414678"/>
      <w:bookmarkStart w:id="636" w:name="_Toc290888542"/>
      <w:bookmarkStart w:id="637" w:name="_Toc416353757"/>
      <w:bookmarkStart w:id="638" w:name="_Toc421005300"/>
      <w:bookmarkStart w:id="639" w:name="_Toc432079178"/>
      <w:bookmarkStart w:id="640" w:name="_Toc432080751"/>
      <w:r>
        <w:rPr>
          <w:lang w:eastAsia="ja-JP"/>
        </w:rPr>
        <w:t>Not applicable.</w:t>
      </w:r>
    </w:p>
    <w:p w14:paraId="2D923945" w14:textId="77777777" w:rsidR="008A1A1C" w:rsidRPr="00545B14" w:rsidRDefault="008A1A1C" w:rsidP="00EC0ADC">
      <w:pPr>
        <w:pStyle w:val="Heading4"/>
      </w:pPr>
      <w:r w:rsidRPr="00545B14">
        <w:t>Other safety parameter</w:t>
      </w:r>
      <w:bookmarkEnd w:id="635"/>
      <w:bookmarkEnd w:id="636"/>
      <w:bookmarkEnd w:id="637"/>
      <w:bookmarkEnd w:id="638"/>
      <w:bookmarkEnd w:id="639"/>
      <w:bookmarkEnd w:id="640"/>
      <w:r>
        <w:t>s</w:t>
      </w:r>
    </w:p>
    <w:p w14:paraId="5DABD558" w14:textId="77777777" w:rsidR="008A1A1C" w:rsidRDefault="008A1A1C" w:rsidP="00EC0ADC">
      <w:pPr>
        <w:pStyle w:val="Heading5"/>
      </w:pPr>
      <w:r>
        <w:t>I</w:t>
      </w:r>
      <w:r w:rsidRPr="002B7B05">
        <w:t>ntegrated safety analyses</w:t>
      </w:r>
    </w:p>
    <w:p w14:paraId="24248389" w14:textId="77777777" w:rsidR="00F1528F" w:rsidRDefault="008A1A1C" w:rsidP="00EC0ADC">
      <w:pPr>
        <w:pStyle w:val="Heading6"/>
      </w:pPr>
      <w:r w:rsidRPr="001736FC">
        <w:t>Ocular</w:t>
      </w:r>
    </w:p>
    <w:p w14:paraId="27D6EE32" w14:textId="051C4ED9" w:rsidR="00F1528F" w:rsidRDefault="008A1A1C" w:rsidP="008A1A1C">
      <w:r>
        <w:t xml:space="preserve">Overall, </w:t>
      </w:r>
      <w:r w:rsidR="00AF1D79">
        <w:t xml:space="preserve">vortex </w:t>
      </w:r>
      <w:r>
        <w:t xml:space="preserve">keratopathy </w:t>
      </w:r>
      <w:r w:rsidR="00AF1D79">
        <w:t xml:space="preserve">(corneal deposits) </w:t>
      </w:r>
      <w:r>
        <w:t xml:space="preserve">was reported as an SAE in 0.6% of subjects in the </w:t>
      </w:r>
      <w:r w:rsidR="001534E5">
        <w:t xml:space="preserve">tafenoquine </w:t>
      </w:r>
      <w:r>
        <w:t xml:space="preserve">ACR group. </w:t>
      </w:r>
      <w:proofErr w:type="gramStart"/>
      <w:r>
        <w:t xml:space="preserve">In addition, the SAE of ‘retinal disorders’ occurred in 0.2% of subjects who received the </w:t>
      </w:r>
      <w:r w:rsidR="001534E5">
        <w:t xml:space="preserve">tafenoquine </w:t>
      </w:r>
      <w:r>
        <w:t>ACR</w:t>
      </w:r>
      <w:r w:rsidR="00B319AC">
        <w:t>;</w:t>
      </w:r>
      <w:r>
        <w:t xml:space="preserve"> a slightly lower incidence than was seen in the </w:t>
      </w:r>
      <w:r w:rsidR="001534E5">
        <w:t xml:space="preserve">mefloquine </w:t>
      </w:r>
      <w:r>
        <w:t>group (0.3%).</w:t>
      </w:r>
      <w:proofErr w:type="gramEnd"/>
      <w:r>
        <w:t xml:space="preserve"> Eye disorders that occurred at incidences ≥1% in the </w:t>
      </w:r>
      <w:r w:rsidR="001534E5">
        <w:t xml:space="preserve">tafenoquine </w:t>
      </w:r>
      <w:r>
        <w:t xml:space="preserve">ACR group were conjunctivitis and </w:t>
      </w:r>
      <w:r w:rsidR="00AF1D79">
        <w:t xml:space="preserve">vortex </w:t>
      </w:r>
      <w:r>
        <w:t>keratopathy</w:t>
      </w:r>
      <w:r w:rsidR="00AF1D79">
        <w:t xml:space="preserve"> (corneal deposits)</w:t>
      </w:r>
      <w:r>
        <w:t xml:space="preserve">. Conjunctivitis occurred at a lower incidence (2.9%) than in the </w:t>
      </w:r>
      <w:r w:rsidR="001534E5">
        <w:t xml:space="preserve">placebo </w:t>
      </w:r>
      <w:r>
        <w:t>population (4.5%).</w:t>
      </w:r>
    </w:p>
    <w:p w14:paraId="7B7CBC51" w14:textId="584BA573" w:rsidR="00F1528F" w:rsidRDefault="00AF1D79" w:rsidP="00EC0ADC">
      <w:r>
        <w:t>Vortex k</w:t>
      </w:r>
      <w:r w:rsidR="008A1A1C">
        <w:t xml:space="preserve">eratopathy was noted in early clinical studies of tafenoquine at daily doses higher than the 200 mg daily employed in the Tafenoquine ACR. Subsequently, 74 of the 492 subjects in the </w:t>
      </w:r>
      <w:r w:rsidR="001534E5">
        <w:t xml:space="preserve">tafenoquine </w:t>
      </w:r>
      <w:r w:rsidR="008A1A1C">
        <w:t>ACR group of Study 033 underwent more detailed ophthalmic assessments, specifically examining for vortex keratopathy. Fundoscopic examinations revealed abnormalities (</w:t>
      </w:r>
      <w:r w:rsidR="00EC0ADC">
        <w:t xml:space="preserve">such as </w:t>
      </w:r>
      <w:r w:rsidR="008A1A1C">
        <w:t xml:space="preserve">granularity/pigmentation of retinal pigment epithelium, hard drusen) in 27 of 69 (39.1%) </w:t>
      </w:r>
      <w:r w:rsidR="001534E5">
        <w:t xml:space="preserve">tafenoquine </w:t>
      </w:r>
      <w:r w:rsidR="008A1A1C">
        <w:t xml:space="preserve">ACR subjects and in 4 of 17 (23.5%) </w:t>
      </w:r>
      <w:r w:rsidR="00E730B4">
        <w:t xml:space="preserve">of </w:t>
      </w:r>
      <w:r w:rsidR="001534E5">
        <w:t xml:space="preserve">mefloquine </w:t>
      </w:r>
      <w:r w:rsidR="008A1A1C">
        <w:t xml:space="preserve">subjects. Vision was not affected in any of these individuals. Among the subjects with retinal findings, fundus fluorescein angiograms (FFA) were performed in 15 of the 31 cases and were considered abnormal in 4 of 14 (28.6%) of the </w:t>
      </w:r>
      <w:r w:rsidR="001534E5">
        <w:t xml:space="preserve">tafenoquine </w:t>
      </w:r>
      <w:r w:rsidR="008A1A1C">
        <w:t xml:space="preserve">ACR subjects and in 1of 1 (100%) </w:t>
      </w:r>
      <w:r w:rsidR="001534E5">
        <w:t xml:space="preserve">mefloquine </w:t>
      </w:r>
      <w:r w:rsidR="008A1A1C">
        <w:t xml:space="preserve">subjects. </w:t>
      </w:r>
      <w:proofErr w:type="gramStart"/>
      <w:r w:rsidR="008A1A1C">
        <w:t xml:space="preserve">By the end of the study’s prophylactic period, 69 (93.2%) of the 74 subjects </w:t>
      </w:r>
      <w:r w:rsidR="003B00ED">
        <w:t>known to have developed</w:t>
      </w:r>
      <w:r w:rsidR="008A1A1C">
        <w:t xml:space="preserve"> keratopathy.</w:t>
      </w:r>
      <w:proofErr w:type="gramEnd"/>
      <w:r w:rsidR="008A1A1C">
        <w:t xml:space="preserve"> However, there were no changes in tests of visual fields, visual acuity, or colour vision in these subjects, and all subjects experienced complete resolution of their </w:t>
      </w:r>
      <w:r w:rsidR="003B00ED">
        <w:t xml:space="preserve">vortex </w:t>
      </w:r>
      <w:r w:rsidR="008A1A1C">
        <w:t>keratopathy</w:t>
      </w:r>
      <w:r w:rsidR="003B00ED">
        <w:t xml:space="preserve"> (corneal deposits)</w:t>
      </w:r>
      <w:r w:rsidR="008A1A1C">
        <w:t xml:space="preserve"> within 1 year after the end of tafenoquine dosing. An expert ophthalmology advisory board reviewed the ophthalmologic findings from Study 033 and concluded that the observed corneal changes were benign and fully reversible. As a follow-up to Study 033, Study 057 was designed to assess the ophthalmic safety of the Tafenoquine ACR compared to placebo. Although there was no evidence in this study that exposure to tafenoquine had an adverse effect on the retina, treatment-emergent corneal changes in one or both eyes were observed in a greater proportion of subjects receiving the Tafenoquine ACR (21.4%) than in subjects receiving placebo (12.5%). They did not impact vision, and they resolved within 1 year in all cases.</w:t>
      </w:r>
    </w:p>
    <w:p w14:paraId="7B516C8E" w14:textId="77777777" w:rsidR="008A1A1C" w:rsidRPr="001736FC" w:rsidRDefault="008A1A1C" w:rsidP="00EC0ADC">
      <w:pPr>
        <w:pStyle w:val="Heading6"/>
      </w:pPr>
      <w:r w:rsidRPr="001736FC">
        <w:t>Neuropsychiatric</w:t>
      </w:r>
    </w:p>
    <w:p w14:paraId="7DBE6A9C" w14:textId="326018D7" w:rsidR="008A1A1C" w:rsidRDefault="008A1A1C" w:rsidP="008A1A1C">
      <w:r>
        <w:t xml:space="preserve">Nervous system disorders of headache, dizziness, or lethargy affected ≥1% of the </w:t>
      </w:r>
      <w:r w:rsidR="00D50B7A">
        <w:t xml:space="preserve">tafenoquine </w:t>
      </w:r>
      <w:r>
        <w:t xml:space="preserve">ACR population; however, only lethargy occurred at a higher incidence (2.9%) than in the Placebo group (0%). Motion sickness was reported in 21 (2.5%) subjects in the </w:t>
      </w:r>
      <w:r w:rsidR="00D50B7A">
        <w:t xml:space="preserve">tafenoquine </w:t>
      </w:r>
      <w:r>
        <w:t xml:space="preserve">ACR population. All these cases occurred among deployed military personnel in Study 033. The subjects’ deployment could have influenced their risk </w:t>
      </w:r>
      <w:r w:rsidR="00EC0ADC">
        <w:t>for this AE, as it is a recognis</w:t>
      </w:r>
      <w:r>
        <w:t>ed problem among mobili</w:t>
      </w:r>
      <w:r w:rsidR="00EC0ADC">
        <w:t>s</w:t>
      </w:r>
      <w:r>
        <w:t>ed military populations. Also, the use of concomitant antiparasitic medications (albendazole and ivermectin) in this study could have contributed to causing or exacerbating motion sickness.</w:t>
      </w:r>
    </w:p>
    <w:p w14:paraId="0D0CD996" w14:textId="5EB8983A" w:rsidR="00F1528F" w:rsidRDefault="008A1A1C" w:rsidP="00EC0ADC">
      <w:r>
        <w:t xml:space="preserve">One psychiatric AE occurred at an incidence ≥1% in the </w:t>
      </w:r>
      <w:r w:rsidR="00D50B7A">
        <w:t xml:space="preserve">tafenoquine </w:t>
      </w:r>
      <w:r>
        <w:t xml:space="preserve">ACR group. This was insomnia, which affected 1.2% of subjects in the </w:t>
      </w:r>
      <w:r w:rsidR="00D50B7A">
        <w:t xml:space="preserve">tafenoquine </w:t>
      </w:r>
      <w:r>
        <w:t xml:space="preserve">ACR group. Because the comparator drug </w:t>
      </w:r>
      <w:r w:rsidR="00D50B7A">
        <w:t xml:space="preserve">mefloquine </w:t>
      </w:r>
      <w:r>
        <w:t xml:space="preserve">carries a risk for psychiatric side effects, the AE profile of </w:t>
      </w:r>
      <w:r w:rsidR="00D50B7A">
        <w:t xml:space="preserve">tafenoquine </w:t>
      </w:r>
      <w:r>
        <w:t xml:space="preserve">was examined in greater depth for AEs that occurred at low incidences &lt;1%. Overall, subjects in the </w:t>
      </w:r>
      <w:r w:rsidR="00D50B7A">
        <w:t xml:space="preserve">tafenoquine </w:t>
      </w:r>
      <w:r>
        <w:t xml:space="preserve">ACR group and the </w:t>
      </w:r>
      <w:r w:rsidR="00D50B7A">
        <w:t xml:space="preserve">mefloquine </w:t>
      </w:r>
      <w:r>
        <w:t xml:space="preserve">group had comparable incidences of these relatively rare psychiatric AEs, and both of these groups had higher incidences of rare psychiatric AEs than did Placebo subjects. Rare psychiatric AEs that occurred </w:t>
      </w:r>
      <w:r>
        <w:lastRenderedPageBreak/>
        <w:t xml:space="preserve">in </w:t>
      </w:r>
      <w:r w:rsidR="0049096D">
        <w:t xml:space="preserve">tafenoquine </w:t>
      </w:r>
      <w:r>
        <w:t xml:space="preserve">ACR subjects but not in the Placebo group included: abnormal </w:t>
      </w:r>
      <w:r w:rsidR="00E730B4">
        <w:t>dreams</w:t>
      </w:r>
      <w:r>
        <w:t xml:space="preserve"> sleep disorder, nightmare, depression, agitation, anxiety disorder, euphoric mood, bipolar disorder, depressed mood, neurosis, panic attack, </w:t>
      </w:r>
      <w:proofErr w:type="gramStart"/>
      <w:r>
        <w:t>stress</w:t>
      </w:r>
      <w:proofErr w:type="gramEnd"/>
      <w:r>
        <w:t xml:space="preserve"> and suicide attempt.</w:t>
      </w:r>
      <w:r w:rsidR="00AD6325">
        <w:rPr>
          <w:rStyle w:val="FootnoteReference"/>
        </w:rPr>
        <w:footnoteReference w:id="13"/>
      </w:r>
      <w:r w:rsidR="0013672F">
        <w:t xml:space="preserve"> </w:t>
      </w:r>
      <w:r>
        <w:t xml:space="preserve">Of these, the majority affected only 1 or 2 subjects. Notably, both the </w:t>
      </w:r>
      <w:r w:rsidR="0049096D">
        <w:t xml:space="preserve">tafenoquine </w:t>
      </w:r>
      <w:r>
        <w:t xml:space="preserve">ACR group and the </w:t>
      </w:r>
      <w:r w:rsidR="0049096D">
        <w:t xml:space="preserve">mefloquine </w:t>
      </w:r>
      <w:r>
        <w:t xml:space="preserve">group included military populations in Study 033 that were exposed to hostile environments, which may have increased their risk for psychiatric AEs. There was also no placebo group in </w:t>
      </w:r>
      <w:r w:rsidR="009720A8">
        <w:t>Study</w:t>
      </w:r>
      <w:r w:rsidR="0049096D">
        <w:t> </w:t>
      </w:r>
      <w:r w:rsidR="009720A8">
        <w:t>0</w:t>
      </w:r>
      <w:r>
        <w:t>33</w:t>
      </w:r>
      <w:r w:rsidR="0049096D">
        <w:t>;</w:t>
      </w:r>
      <w:r w:rsidR="00AD6325">
        <w:rPr>
          <w:rStyle w:val="FootnoteReference"/>
        </w:rPr>
        <w:footnoteReference w:id="14"/>
      </w:r>
      <w:r>
        <w:t xml:space="preserve"> so the incidence of rare psychiatric AEs in the tafenoquine (and mefloquine) groups cannot be compared to placebo to determine their relative incidence.</w:t>
      </w:r>
    </w:p>
    <w:p w14:paraId="41040D29" w14:textId="10718139" w:rsidR="00F1528F" w:rsidRDefault="008A1A1C" w:rsidP="008A1A1C">
      <w:r>
        <w:t>A review of psychiatric AE data from Study 033 revealed that subjects in that study had a unique psychiatric AE profile compared to subjects in other Tafenoquine ACR studies. They also reported much higher rates of deployment</w:t>
      </w:r>
      <w:r w:rsidR="00EC0ADC">
        <w:t xml:space="preserve"> related</w:t>
      </w:r>
      <w:r>
        <w:t xml:space="preserve"> injuries, which were ultimately captured in the safety database as AEs in the </w:t>
      </w:r>
      <w:r w:rsidR="0049096D">
        <w:t>t</w:t>
      </w:r>
      <w:r>
        <w:t>afenoquine ACR group (almost all of these AEs were assessed as ‘not related’ to tafenoquine). Unique deployment</w:t>
      </w:r>
      <w:r w:rsidR="00EC0ADC">
        <w:t xml:space="preserve"> related</w:t>
      </w:r>
      <w:r>
        <w:t xml:space="preserve"> psychological stressors and combat</w:t>
      </w:r>
      <w:r w:rsidR="00EC0ADC">
        <w:t xml:space="preserve"> related</w:t>
      </w:r>
      <w:r>
        <w:t xml:space="preserve"> injuries were among the influential ‘extrinsic factors’ to which subjects in Study 033 were exposed but which did not affect subjects in other </w:t>
      </w:r>
      <w:r w:rsidR="0049096D">
        <w:t xml:space="preserve">tafenoquine </w:t>
      </w:r>
      <w:r>
        <w:t>ACR studies. The influence of deployment</w:t>
      </w:r>
      <w:r w:rsidR="00EC0ADC">
        <w:t xml:space="preserve"> related</w:t>
      </w:r>
      <w:r>
        <w:t xml:space="preserve"> extrinsic factors on the military population of Study 033 is evidenced by differences in the AE profile of tafenoquine in that study versus other </w:t>
      </w:r>
      <w:r w:rsidR="0049096D">
        <w:t xml:space="preserve">tafenoquine </w:t>
      </w:r>
      <w:r>
        <w:t>ACR studies. Deployed ADF subjects had a higher incidence of AEs compared to non-deployed subjects for all AE categories.</w:t>
      </w:r>
    </w:p>
    <w:p w14:paraId="5379A42D" w14:textId="77777777" w:rsidR="008A1A1C" w:rsidRPr="00545B14" w:rsidRDefault="008A1A1C" w:rsidP="00FB2482">
      <w:pPr>
        <w:pStyle w:val="Heading3"/>
      </w:pPr>
      <w:bookmarkStart w:id="641" w:name="_Toc272414686"/>
      <w:bookmarkStart w:id="642" w:name="_Ref273005527"/>
      <w:bookmarkStart w:id="643" w:name="_Toc290888550"/>
      <w:bookmarkStart w:id="644" w:name="_Toc416353765"/>
      <w:bookmarkStart w:id="645" w:name="_Toc421005308"/>
      <w:bookmarkStart w:id="646" w:name="_Toc432079179"/>
      <w:bookmarkStart w:id="647" w:name="_Toc432080752"/>
      <w:bookmarkStart w:id="648" w:name="_Toc504229388"/>
      <w:bookmarkStart w:id="649" w:name="_Toc501809162"/>
      <w:bookmarkStart w:id="650" w:name="_Toc12520298"/>
      <w:r w:rsidRPr="00545B14">
        <w:t>Other safety issues</w:t>
      </w:r>
      <w:bookmarkEnd w:id="641"/>
      <w:bookmarkEnd w:id="642"/>
      <w:bookmarkEnd w:id="643"/>
      <w:bookmarkEnd w:id="644"/>
      <w:bookmarkEnd w:id="645"/>
      <w:bookmarkEnd w:id="646"/>
      <w:bookmarkEnd w:id="647"/>
      <w:bookmarkEnd w:id="648"/>
      <w:bookmarkEnd w:id="649"/>
      <w:bookmarkEnd w:id="650"/>
    </w:p>
    <w:p w14:paraId="7C9C3AB8" w14:textId="77777777" w:rsidR="008A1A1C" w:rsidRDefault="008A1A1C" w:rsidP="00EC0ADC">
      <w:pPr>
        <w:pStyle w:val="Heading4"/>
      </w:pPr>
      <w:bookmarkStart w:id="651" w:name="_Toc241374322"/>
      <w:bookmarkStart w:id="652" w:name="_Ref272331212"/>
      <w:bookmarkStart w:id="653" w:name="_Toc272414687"/>
      <w:bookmarkStart w:id="654" w:name="_Toc290888551"/>
      <w:bookmarkStart w:id="655" w:name="_Toc416353766"/>
      <w:bookmarkStart w:id="656" w:name="_Toc421005309"/>
      <w:bookmarkStart w:id="657" w:name="_Toc432079180"/>
      <w:bookmarkStart w:id="658" w:name="_Toc432080753"/>
      <w:bookmarkStart w:id="659" w:name="_Ref501206100"/>
      <w:r w:rsidRPr="00545B14">
        <w:t>Safety in special populations</w:t>
      </w:r>
      <w:bookmarkEnd w:id="651"/>
      <w:bookmarkEnd w:id="652"/>
      <w:bookmarkEnd w:id="653"/>
      <w:bookmarkEnd w:id="654"/>
      <w:bookmarkEnd w:id="655"/>
      <w:bookmarkEnd w:id="656"/>
      <w:bookmarkEnd w:id="657"/>
      <w:bookmarkEnd w:id="658"/>
      <w:bookmarkEnd w:id="659"/>
    </w:p>
    <w:p w14:paraId="1085A606" w14:textId="77777777" w:rsidR="008A1A1C" w:rsidRPr="00586762" w:rsidRDefault="008A1A1C" w:rsidP="00EC0ADC">
      <w:pPr>
        <w:pStyle w:val="Heading5"/>
        <w:rPr>
          <w:lang w:eastAsia="ja-JP"/>
        </w:rPr>
      </w:pPr>
      <w:r w:rsidRPr="00586762">
        <w:rPr>
          <w:lang w:eastAsia="ja-JP"/>
        </w:rPr>
        <w:t>Adolescent Subjects</w:t>
      </w:r>
    </w:p>
    <w:p w14:paraId="723EED59" w14:textId="511EBD79" w:rsidR="008A1A1C" w:rsidRDefault="008A1A1C" w:rsidP="008A1A1C">
      <w:pPr>
        <w:rPr>
          <w:lang w:eastAsia="ja-JP"/>
        </w:rPr>
      </w:pPr>
      <w:r>
        <w:rPr>
          <w:lang w:eastAsia="ja-JP"/>
        </w:rPr>
        <w:t>Dosing regimens consisted of the following: single dose only (Studies 036 and 047); 3</w:t>
      </w:r>
      <w:r w:rsidR="00473B40">
        <w:rPr>
          <w:lang w:eastAsia="ja-JP"/>
        </w:rPr>
        <w:t xml:space="preserve"> day</w:t>
      </w:r>
      <w:r>
        <w:rPr>
          <w:lang w:eastAsia="ja-JP"/>
        </w:rPr>
        <w:t xml:space="preserve"> loading dose regimens (Studies 006 and 043); a 2</w:t>
      </w:r>
      <w:r w:rsidR="00404803">
        <w:rPr>
          <w:lang w:eastAsia="ja-JP"/>
        </w:rPr>
        <w:t xml:space="preserve"> week</w:t>
      </w:r>
      <w:r>
        <w:rPr>
          <w:lang w:eastAsia="ja-JP"/>
        </w:rPr>
        <w:t xml:space="preserve"> regimen (Study 047); and loading doses followed by extended weekly dosing (Studies 030 and 045). The highest daily dose by weight (11.2 mg/kg) was received by a 17</w:t>
      </w:r>
      <w:r w:rsidR="00EC0ADC">
        <w:rPr>
          <w:lang w:eastAsia="ja-JP"/>
        </w:rPr>
        <w:t xml:space="preserve"> </w:t>
      </w:r>
      <w:r>
        <w:rPr>
          <w:lang w:eastAsia="ja-JP"/>
        </w:rPr>
        <w:t>year</w:t>
      </w:r>
      <w:r w:rsidR="00EC0ADC">
        <w:rPr>
          <w:lang w:eastAsia="ja-JP"/>
        </w:rPr>
        <w:t xml:space="preserve"> </w:t>
      </w:r>
      <w:r>
        <w:rPr>
          <w:lang w:eastAsia="ja-JP"/>
        </w:rPr>
        <w:t>old male (in Study 047) who was administered a 500 mg single dose and who experienced abdominal discomfort and loose stools, both of which resolved. One adolescent was withdrawn from the clinical studies due to an AE with potential relationship to tafenoquine, an elevated ALT (151 U/L) at Day 31 after receiving low</w:t>
      </w:r>
      <w:r w:rsidR="009720A8">
        <w:rPr>
          <w:lang w:eastAsia="ja-JP"/>
        </w:rPr>
        <w:t xml:space="preserve"> dose</w:t>
      </w:r>
      <w:r>
        <w:rPr>
          <w:lang w:eastAsia="ja-JP"/>
        </w:rPr>
        <w:t xml:space="preserve"> tafenoquine (25 mg/day x 3 days then weekly) in Study 045. In Study 036, the single </w:t>
      </w:r>
      <w:r w:rsidR="00EC0ADC">
        <w:rPr>
          <w:lang w:eastAsia="ja-JP"/>
        </w:rPr>
        <w:t>young</w:t>
      </w:r>
      <w:r>
        <w:rPr>
          <w:lang w:eastAsia="ja-JP"/>
        </w:rPr>
        <w:t xml:space="preserve"> girl who received tafenoquine (dose 15 mg or 1 mg/kg) in that study developed ‘moderate’ meth</w:t>
      </w:r>
      <w:r w:rsidR="00156D9E">
        <w:rPr>
          <w:lang w:eastAsia="ja-JP"/>
        </w:rPr>
        <w:t>a</w:t>
      </w:r>
      <w:r>
        <w:rPr>
          <w:lang w:eastAsia="ja-JP"/>
        </w:rPr>
        <w:t>emoglobin</w:t>
      </w:r>
      <w:r w:rsidR="00156D9E">
        <w:rPr>
          <w:lang w:eastAsia="ja-JP"/>
        </w:rPr>
        <w:t>a</w:t>
      </w:r>
      <w:r>
        <w:rPr>
          <w:lang w:eastAsia="ja-JP"/>
        </w:rPr>
        <w:t>emia (11%) on Study Day 2, which increased to 14.5% on Day 4, and 17.8% on Day 7. The girl also showed mild dizziness and mild cyanosis of the lips and fingernails on Day 4 that resolved spontaneously within 1 day. The study was suspended</w:t>
      </w:r>
      <w:r w:rsidR="0013672F">
        <w:rPr>
          <w:lang w:eastAsia="ja-JP"/>
        </w:rPr>
        <w:t xml:space="preserve"> to allow investigation of the ophthalmic findings in Study 033 </w:t>
      </w:r>
      <w:r>
        <w:rPr>
          <w:lang w:eastAsia="ja-JP"/>
        </w:rPr>
        <w:t>soon after. So, the numbers involved do not raise any red flags or give us sufficient data to make any conclusions.</w:t>
      </w:r>
    </w:p>
    <w:p w14:paraId="73245FDF" w14:textId="23579F1B" w:rsidR="008A1A1C" w:rsidRDefault="008A1A1C" w:rsidP="008A1A1C">
      <w:pPr>
        <w:rPr>
          <w:lang w:eastAsia="ja-JP"/>
        </w:rPr>
      </w:pPr>
      <w:r>
        <w:rPr>
          <w:lang w:eastAsia="ja-JP"/>
        </w:rPr>
        <w:t>Study 006 included a population of 216 adolescents (ages 12</w:t>
      </w:r>
      <w:r w:rsidR="0049096D">
        <w:rPr>
          <w:lang w:eastAsia="ja-JP"/>
        </w:rPr>
        <w:t xml:space="preserve"> to </w:t>
      </w:r>
      <w:r>
        <w:rPr>
          <w:lang w:eastAsia="ja-JP"/>
        </w:rPr>
        <w:t xml:space="preserve">17) who received tafenoquine loading doses of 25, 50, 100, or 200 mg daily x 3 days. The safety findings also were satisfactory, with no withdrawals or SAEs related to tafenoquine. Although rates of non-serious AEs increased with increasing tafenoquine dosage, there was no clear dose relationship for individual AEs, except possibly for abdominal pain (which might be anticipated based on </w:t>
      </w:r>
      <w:r w:rsidR="00E730B4">
        <w:rPr>
          <w:lang w:eastAsia="ja-JP"/>
        </w:rPr>
        <w:t xml:space="preserve">the known </w:t>
      </w:r>
      <w:r>
        <w:rPr>
          <w:lang w:eastAsia="ja-JP"/>
        </w:rPr>
        <w:t>gastrointestinal AE profile</w:t>
      </w:r>
      <w:r w:rsidR="00E730B4">
        <w:rPr>
          <w:lang w:eastAsia="ja-JP"/>
        </w:rPr>
        <w:t xml:space="preserve"> of tafenoquine</w:t>
      </w:r>
      <w:r>
        <w:rPr>
          <w:lang w:eastAsia="ja-JP"/>
        </w:rPr>
        <w:t>).</w:t>
      </w:r>
    </w:p>
    <w:p w14:paraId="557EE79F" w14:textId="77777777" w:rsidR="008A1A1C" w:rsidRPr="00586762" w:rsidRDefault="008A1A1C" w:rsidP="00156D9E">
      <w:pPr>
        <w:pStyle w:val="Heading5"/>
        <w:rPr>
          <w:lang w:eastAsia="ja-JP"/>
        </w:rPr>
      </w:pPr>
      <w:r w:rsidRPr="00586762">
        <w:rPr>
          <w:lang w:eastAsia="ja-JP"/>
        </w:rPr>
        <w:lastRenderedPageBreak/>
        <w:t xml:space="preserve">Geriatric </w:t>
      </w:r>
      <w:r w:rsidR="00156D9E">
        <w:rPr>
          <w:lang w:eastAsia="ja-JP"/>
        </w:rPr>
        <w:t>s</w:t>
      </w:r>
      <w:r w:rsidRPr="00586762">
        <w:rPr>
          <w:lang w:eastAsia="ja-JP"/>
        </w:rPr>
        <w:t>ubjects</w:t>
      </w:r>
    </w:p>
    <w:p w14:paraId="0088911D" w14:textId="77777777" w:rsidR="008A1A1C" w:rsidRDefault="008A1A1C" w:rsidP="008A1A1C">
      <w:pPr>
        <w:rPr>
          <w:lang w:eastAsia="ja-JP"/>
        </w:rPr>
      </w:pPr>
      <w:r>
        <w:rPr>
          <w:lang w:eastAsia="ja-JP"/>
        </w:rPr>
        <w:t xml:space="preserve">Only one subject over age 65 received tafenoquine in any of the </w:t>
      </w:r>
      <w:r w:rsidR="00156D9E">
        <w:rPr>
          <w:lang w:eastAsia="ja-JP"/>
        </w:rPr>
        <w:t>s</w:t>
      </w:r>
      <w:r>
        <w:rPr>
          <w:lang w:eastAsia="ja-JP"/>
        </w:rPr>
        <w:t>ponsor’s clinical trials. She successfully completed the study and experienced no adverse events.</w:t>
      </w:r>
    </w:p>
    <w:p w14:paraId="1233AA8E" w14:textId="67CC991E" w:rsidR="008A1A1C" w:rsidRPr="00586762" w:rsidRDefault="008A1A1C" w:rsidP="00156D9E">
      <w:pPr>
        <w:pStyle w:val="Heading5"/>
        <w:rPr>
          <w:lang w:eastAsia="ja-JP"/>
        </w:rPr>
      </w:pPr>
      <w:r w:rsidRPr="00586762">
        <w:rPr>
          <w:lang w:eastAsia="ja-JP"/>
        </w:rPr>
        <w:t>Race/</w:t>
      </w:r>
      <w:r w:rsidR="00156D9E">
        <w:rPr>
          <w:lang w:eastAsia="ja-JP"/>
        </w:rPr>
        <w:t>e</w:t>
      </w:r>
      <w:r w:rsidRPr="00586762">
        <w:rPr>
          <w:lang w:eastAsia="ja-JP"/>
        </w:rPr>
        <w:t>thnicity</w:t>
      </w:r>
    </w:p>
    <w:p w14:paraId="6322B2B9" w14:textId="3128B6AE" w:rsidR="008A1A1C" w:rsidRDefault="008A1A1C" w:rsidP="008A1A1C">
      <w:pPr>
        <w:rPr>
          <w:lang w:eastAsia="ja-JP"/>
        </w:rPr>
      </w:pPr>
      <w:r>
        <w:rPr>
          <w:lang w:eastAsia="ja-JP"/>
        </w:rPr>
        <w:t>Tafenoquine safety data were not segregated by race/ethnicity</w:t>
      </w:r>
      <w:r w:rsidR="0013672F">
        <w:rPr>
          <w:lang w:eastAsia="ja-JP"/>
        </w:rPr>
        <w:t>.</w:t>
      </w:r>
    </w:p>
    <w:p w14:paraId="452F3DD5" w14:textId="77777777" w:rsidR="008A1A1C" w:rsidRPr="00586762" w:rsidRDefault="008A1A1C" w:rsidP="00156D9E">
      <w:pPr>
        <w:pStyle w:val="Heading5"/>
        <w:rPr>
          <w:lang w:eastAsia="ja-JP"/>
        </w:rPr>
      </w:pPr>
      <w:r w:rsidRPr="00586762">
        <w:rPr>
          <w:lang w:eastAsia="ja-JP"/>
        </w:rPr>
        <w:t>Glucose-6-</w:t>
      </w:r>
      <w:r w:rsidR="00156D9E">
        <w:rPr>
          <w:lang w:eastAsia="ja-JP"/>
        </w:rPr>
        <w:t>p</w:t>
      </w:r>
      <w:r w:rsidRPr="00586762">
        <w:rPr>
          <w:lang w:eastAsia="ja-JP"/>
        </w:rPr>
        <w:t xml:space="preserve">hosphate </w:t>
      </w:r>
      <w:r w:rsidR="00156D9E">
        <w:rPr>
          <w:lang w:eastAsia="ja-JP"/>
        </w:rPr>
        <w:t>d</w:t>
      </w:r>
      <w:r w:rsidRPr="00586762">
        <w:rPr>
          <w:lang w:eastAsia="ja-JP"/>
        </w:rPr>
        <w:t xml:space="preserve">ehydrogenase (G6PD) </w:t>
      </w:r>
      <w:r w:rsidR="00156D9E">
        <w:rPr>
          <w:lang w:eastAsia="ja-JP"/>
        </w:rPr>
        <w:t>d</w:t>
      </w:r>
      <w:r w:rsidRPr="00586762">
        <w:rPr>
          <w:lang w:eastAsia="ja-JP"/>
        </w:rPr>
        <w:t>eficiency</w:t>
      </w:r>
    </w:p>
    <w:p w14:paraId="4063F5A3" w14:textId="65F2DD25" w:rsidR="008A1A1C" w:rsidRDefault="008A1A1C" w:rsidP="008A1A1C">
      <w:pPr>
        <w:rPr>
          <w:lang w:eastAsia="ja-JP"/>
        </w:rPr>
      </w:pPr>
      <w:r>
        <w:rPr>
          <w:lang w:eastAsia="ja-JP"/>
        </w:rPr>
        <w:t>G6PD</w:t>
      </w:r>
      <w:r w:rsidR="00122529">
        <w:rPr>
          <w:lang w:eastAsia="ja-JP"/>
        </w:rPr>
        <w:t>D</w:t>
      </w:r>
      <w:r>
        <w:rPr>
          <w:lang w:eastAsia="ja-JP"/>
        </w:rPr>
        <w:t xml:space="preserve"> individuals are at risk of haemolysis when exposed to tafenoquine. Although almost all tafenoquine studies have excluded subjects with G6PD</w:t>
      </w:r>
      <w:r w:rsidR="00122529">
        <w:rPr>
          <w:lang w:eastAsia="ja-JP"/>
        </w:rPr>
        <w:t>D</w:t>
      </w:r>
      <w:r>
        <w:rPr>
          <w:lang w:eastAsia="ja-JP"/>
        </w:rPr>
        <w:t>, 8 subjects with G6PD</w:t>
      </w:r>
      <w:r w:rsidR="00122529">
        <w:rPr>
          <w:lang w:eastAsia="ja-JP"/>
        </w:rPr>
        <w:t>D</w:t>
      </w:r>
      <w:r>
        <w:rPr>
          <w:lang w:eastAsia="ja-JP"/>
        </w:rPr>
        <w:t xml:space="preserve"> or other h</w:t>
      </w:r>
      <w:r w:rsidR="00156D9E">
        <w:rPr>
          <w:lang w:eastAsia="ja-JP"/>
        </w:rPr>
        <w:t>a</w:t>
      </w:r>
      <w:r>
        <w:rPr>
          <w:lang w:eastAsia="ja-JP"/>
        </w:rPr>
        <w:t>emoglobinopathies were inadvertently recruited in 5 of the tafenoquine clinical trials and received tafenoquine regimens. Many of the subjects showed no signs or symptoms of haemolysis, and any who were symptomatic ultimately recovered, typically after receiving outpatient oral treatments. Only one subject</w:t>
      </w:r>
      <w:r w:rsidR="00156D9E">
        <w:rPr>
          <w:lang w:eastAsia="ja-JP"/>
        </w:rPr>
        <w:t xml:space="preserve"> (Study 043) required hospitalis</w:t>
      </w:r>
      <w:r>
        <w:rPr>
          <w:lang w:eastAsia="ja-JP"/>
        </w:rPr>
        <w:t>ation and transfusions. This subject had received 400 mg tafenoquine in the 3</w:t>
      </w:r>
      <w:r w:rsidR="00473B40">
        <w:rPr>
          <w:lang w:eastAsia="ja-JP"/>
        </w:rPr>
        <w:t xml:space="preserve"> day</w:t>
      </w:r>
      <w:r>
        <w:rPr>
          <w:lang w:eastAsia="ja-JP"/>
        </w:rPr>
        <w:t xml:space="preserve"> load</w:t>
      </w:r>
      <w:r w:rsidR="00156D9E">
        <w:rPr>
          <w:lang w:eastAsia="ja-JP"/>
        </w:rPr>
        <w:t xml:space="preserve"> </w:t>
      </w:r>
      <w:r>
        <w:rPr>
          <w:lang w:eastAsia="ja-JP"/>
        </w:rPr>
        <w:t xml:space="preserve">only group, a dose that is twice that of the 200 mg loading dose used in the </w:t>
      </w:r>
      <w:r w:rsidR="0049096D">
        <w:rPr>
          <w:lang w:eastAsia="ja-JP"/>
        </w:rPr>
        <w:t xml:space="preserve">tafenoquine </w:t>
      </w:r>
      <w:r>
        <w:rPr>
          <w:lang w:eastAsia="ja-JP"/>
        </w:rPr>
        <w:t>ACR. Some of these subjects had initial negative genotypic testing for G6PD and were phenotypically negative. The only study specifically designed to investigate the use of tafenoquine in people with G6PD</w:t>
      </w:r>
      <w:r w:rsidR="00122529">
        <w:rPr>
          <w:lang w:eastAsia="ja-JP"/>
        </w:rPr>
        <w:t>D</w:t>
      </w:r>
      <w:r>
        <w:rPr>
          <w:lang w:eastAsia="ja-JP"/>
        </w:rPr>
        <w:t xml:space="preserve"> (</w:t>
      </w:r>
      <w:r w:rsidR="0049096D">
        <w:rPr>
          <w:lang w:eastAsia="ja-JP"/>
        </w:rPr>
        <w:t xml:space="preserve">Study </w:t>
      </w:r>
      <w:r>
        <w:rPr>
          <w:lang w:eastAsia="ja-JP"/>
        </w:rPr>
        <w:t>001) did not recruit and was abandoned.</w:t>
      </w:r>
    </w:p>
    <w:p w14:paraId="55D33F36" w14:textId="77777777" w:rsidR="008A1A1C" w:rsidRPr="006F65BA" w:rsidRDefault="008A1A1C" w:rsidP="00156D9E">
      <w:pPr>
        <w:pStyle w:val="Heading5"/>
        <w:rPr>
          <w:lang w:eastAsia="ja-JP"/>
        </w:rPr>
      </w:pPr>
      <w:r w:rsidRPr="006F65BA">
        <w:rPr>
          <w:lang w:eastAsia="ja-JP"/>
        </w:rPr>
        <w:t xml:space="preserve">Psychiatric </w:t>
      </w:r>
      <w:r w:rsidR="00156D9E">
        <w:rPr>
          <w:lang w:eastAsia="ja-JP"/>
        </w:rPr>
        <w:t>h</w:t>
      </w:r>
      <w:r w:rsidRPr="006F65BA">
        <w:rPr>
          <w:lang w:eastAsia="ja-JP"/>
        </w:rPr>
        <w:t>istory</w:t>
      </w:r>
    </w:p>
    <w:p w14:paraId="242CE205" w14:textId="2A09908F" w:rsidR="00F1528F" w:rsidRDefault="008A1A1C" w:rsidP="008A1A1C">
      <w:pPr>
        <w:rPr>
          <w:lang w:eastAsia="ja-JP"/>
        </w:rPr>
      </w:pPr>
      <w:r>
        <w:rPr>
          <w:lang w:eastAsia="ja-JP"/>
        </w:rPr>
        <w:t>Early clinical trials of tafenoquine did not exclude subjects based on previous psychiatric history. However, once it was identified that mefloquine carried a risk for psychiatric AEs any tafenoquine trial with a mefloquine comparator included a psychiatric exclusion. There were 6 subjects with known or suspected psychiatric history at baseline among 21 clinical trials of tafenoquine prior to 2013. Four of these subjects experienced neuropsychiatric AEs, while two subjects did not. In 3 of these 4 cases the AE was considered to be either unrelated or remotely related to tafenoquine. One episode of psychosis was considered ‘possibly’ related to tafenoquine, although the subject had an undisclosed history of two prior psychiatric admissions.</w:t>
      </w:r>
    </w:p>
    <w:p w14:paraId="68E7A6C4" w14:textId="77777777" w:rsidR="008A1A1C" w:rsidRPr="006F65BA" w:rsidRDefault="008A1A1C" w:rsidP="00156D9E">
      <w:pPr>
        <w:pStyle w:val="Heading5"/>
        <w:rPr>
          <w:lang w:eastAsia="ja-JP"/>
        </w:rPr>
      </w:pPr>
      <w:r w:rsidRPr="006F65BA">
        <w:rPr>
          <w:lang w:eastAsia="ja-JP"/>
        </w:rPr>
        <w:t xml:space="preserve">Effect of </w:t>
      </w:r>
      <w:r w:rsidR="00156D9E">
        <w:rPr>
          <w:lang w:eastAsia="ja-JP"/>
        </w:rPr>
        <w:t>m</w:t>
      </w:r>
      <w:r w:rsidRPr="006F65BA">
        <w:rPr>
          <w:lang w:eastAsia="ja-JP"/>
        </w:rPr>
        <w:t xml:space="preserve">ilitary </w:t>
      </w:r>
      <w:r w:rsidR="00156D9E">
        <w:rPr>
          <w:lang w:eastAsia="ja-JP"/>
        </w:rPr>
        <w:t>d</w:t>
      </w:r>
      <w:r w:rsidRPr="006F65BA">
        <w:rPr>
          <w:lang w:eastAsia="ja-JP"/>
        </w:rPr>
        <w:t>eployment</w:t>
      </w:r>
    </w:p>
    <w:p w14:paraId="19F59BF3" w14:textId="781D3B9E" w:rsidR="008A1A1C" w:rsidRDefault="008A1A1C" w:rsidP="008A1A1C">
      <w:pPr>
        <w:rPr>
          <w:lang w:eastAsia="ja-JP"/>
        </w:rPr>
      </w:pPr>
      <w:r>
        <w:rPr>
          <w:lang w:eastAsia="ja-JP"/>
        </w:rPr>
        <w:t>For specific AEs, the increased incidence in deployed ADF subjects</w:t>
      </w:r>
      <w:r w:rsidR="00404803">
        <w:rPr>
          <w:lang w:eastAsia="ja-JP"/>
        </w:rPr>
        <w:t xml:space="preserve"> versus </w:t>
      </w:r>
      <w:r>
        <w:rPr>
          <w:lang w:eastAsia="ja-JP"/>
        </w:rPr>
        <w:t>non-deployed subjects was evident for: motion sickness (4.3%</w:t>
      </w:r>
      <w:r w:rsidR="00404803">
        <w:rPr>
          <w:lang w:eastAsia="ja-JP"/>
        </w:rPr>
        <w:t xml:space="preserve"> versus </w:t>
      </w:r>
      <w:r>
        <w:rPr>
          <w:lang w:eastAsia="ja-JP"/>
        </w:rPr>
        <w:t>0%); gastroenteritis (37.2%</w:t>
      </w:r>
      <w:r w:rsidR="00404803">
        <w:rPr>
          <w:lang w:eastAsia="ja-JP"/>
        </w:rPr>
        <w:t xml:space="preserve"> versus </w:t>
      </w:r>
      <w:r>
        <w:rPr>
          <w:lang w:eastAsia="ja-JP"/>
        </w:rPr>
        <w:t>7.8%), nasopharyngitis (19.7%</w:t>
      </w:r>
      <w:r w:rsidR="00404803">
        <w:rPr>
          <w:lang w:eastAsia="ja-JP"/>
        </w:rPr>
        <w:t xml:space="preserve"> versus </w:t>
      </w:r>
      <w:r>
        <w:rPr>
          <w:lang w:eastAsia="ja-JP"/>
        </w:rPr>
        <w:t>3.3%), tinea pedis (4.9%</w:t>
      </w:r>
      <w:r w:rsidR="00404803">
        <w:rPr>
          <w:lang w:eastAsia="ja-JP"/>
        </w:rPr>
        <w:t xml:space="preserve"> versus </w:t>
      </w:r>
      <w:r>
        <w:rPr>
          <w:lang w:eastAsia="ja-JP"/>
        </w:rPr>
        <w:t>0%), diarrh</w:t>
      </w:r>
      <w:r w:rsidR="00156D9E">
        <w:rPr>
          <w:lang w:eastAsia="ja-JP"/>
        </w:rPr>
        <w:t>o</w:t>
      </w:r>
      <w:r>
        <w:rPr>
          <w:lang w:eastAsia="ja-JP"/>
        </w:rPr>
        <w:t>ea (18.1%</w:t>
      </w:r>
      <w:r w:rsidR="00404803">
        <w:rPr>
          <w:lang w:eastAsia="ja-JP"/>
        </w:rPr>
        <w:t xml:space="preserve"> versus </w:t>
      </w:r>
      <w:r>
        <w:rPr>
          <w:lang w:eastAsia="ja-JP"/>
        </w:rPr>
        <w:t>4.8%), soft tissue injury (12.2%</w:t>
      </w:r>
      <w:r w:rsidR="00404803">
        <w:rPr>
          <w:lang w:eastAsia="ja-JP"/>
        </w:rPr>
        <w:t xml:space="preserve"> versus </w:t>
      </w:r>
      <w:r>
        <w:rPr>
          <w:lang w:eastAsia="ja-JP"/>
        </w:rPr>
        <w:t>0.6%), joint injury (3.7%</w:t>
      </w:r>
      <w:r w:rsidR="00404803">
        <w:rPr>
          <w:lang w:eastAsia="ja-JP"/>
        </w:rPr>
        <w:t xml:space="preserve"> versus </w:t>
      </w:r>
      <w:r>
        <w:rPr>
          <w:lang w:eastAsia="ja-JP"/>
        </w:rPr>
        <w:t>0.9%), laceration (5.9%</w:t>
      </w:r>
      <w:r w:rsidR="00404803">
        <w:rPr>
          <w:lang w:eastAsia="ja-JP"/>
        </w:rPr>
        <w:t xml:space="preserve"> versus </w:t>
      </w:r>
      <w:r>
        <w:rPr>
          <w:lang w:eastAsia="ja-JP"/>
        </w:rPr>
        <w:t>2.4%), joint injury (3.7%</w:t>
      </w:r>
      <w:r w:rsidR="00404803">
        <w:rPr>
          <w:lang w:eastAsia="ja-JP"/>
        </w:rPr>
        <w:t xml:space="preserve"> versus </w:t>
      </w:r>
      <w:r>
        <w:rPr>
          <w:lang w:eastAsia="ja-JP"/>
        </w:rPr>
        <w:t>0.9%), muscle strain (2.8%</w:t>
      </w:r>
      <w:r w:rsidR="00404803">
        <w:rPr>
          <w:lang w:eastAsia="ja-JP"/>
        </w:rPr>
        <w:t xml:space="preserve"> versus </w:t>
      </w:r>
      <w:r>
        <w:rPr>
          <w:lang w:eastAsia="ja-JP"/>
        </w:rPr>
        <w:t>0.9%), arthropod bite (2.4%</w:t>
      </w:r>
      <w:r w:rsidR="00404803">
        <w:rPr>
          <w:lang w:eastAsia="ja-JP"/>
        </w:rPr>
        <w:t xml:space="preserve"> versus </w:t>
      </w:r>
      <w:r>
        <w:rPr>
          <w:lang w:eastAsia="ja-JP"/>
        </w:rPr>
        <w:t>0.6%), heat illness (2.2%</w:t>
      </w:r>
      <w:r w:rsidR="00404803">
        <w:rPr>
          <w:lang w:eastAsia="ja-JP"/>
        </w:rPr>
        <w:t xml:space="preserve"> versus </w:t>
      </w:r>
      <w:r>
        <w:rPr>
          <w:lang w:eastAsia="ja-JP"/>
        </w:rPr>
        <w:t>0%), thermal burn (1.8%</w:t>
      </w:r>
      <w:r w:rsidR="00404803">
        <w:rPr>
          <w:lang w:eastAsia="ja-JP"/>
        </w:rPr>
        <w:t xml:space="preserve"> versus </w:t>
      </w:r>
      <w:r>
        <w:rPr>
          <w:lang w:eastAsia="ja-JP"/>
        </w:rPr>
        <w:t>0.3%), insomnia (1.6%</w:t>
      </w:r>
      <w:r w:rsidR="00404803">
        <w:rPr>
          <w:lang w:eastAsia="ja-JP"/>
        </w:rPr>
        <w:t xml:space="preserve"> versus </w:t>
      </w:r>
      <w:r>
        <w:rPr>
          <w:lang w:eastAsia="ja-JP"/>
        </w:rPr>
        <w:t>0.6%), and abnormal dreams or nightmares (1.6%</w:t>
      </w:r>
      <w:r w:rsidR="00404803">
        <w:rPr>
          <w:lang w:eastAsia="ja-JP"/>
        </w:rPr>
        <w:t xml:space="preserve"> versus </w:t>
      </w:r>
      <w:r>
        <w:rPr>
          <w:lang w:eastAsia="ja-JP"/>
        </w:rPr>
        <w:t>0%). Overall, the AE profile of deployed ADF subjects who received the Tafenoquine ACR reflected the impacts of the following extrinsic factors: the subjects’ susceptibility to travel</w:t>
      </w:r>
      <w:r w:rsidR="00156D9E">
        <w:rPr>
          <w:lang w:eastAsia="ja-JP"/>
        </w:rPr>
        <w:t>l</w:t>
      </w:r>
      <w:r>
        <w:rPr>
          <w:lang w:eastAsia="ja-JP"/>
        </w:rPr>
        <w:t>ers’ illnesses (gastroenteritis, diarrh</w:t>
      </w:r>
      <w:r w:rsidR="00156D9E">
        <w:rPr>
          <w:lang w:eastAsia="ja-JP"/>
        </w:rPr>
        <w:t>o</w:t>
      </w:r>
      <w:r>
        <w:rPr>
          <w:lang w:eastAsia="ja-JP"/>
        </w:rPr>
        <w:t>ea, nasopharyngitis); the jungle setting (tinea pedis, heat illness, arthropod bite); physical encounters with a hostile enemy (soft tissue injury, laceration, joint injury, muscle strain, thermal burn), and the stress of peacekeeping operations (insomnia, abnormal dreams, nightmares).</w:t>
      </w:r>
      <w:r w:rsidR="0013672F">
        <w:rPr>
          <w:lang w:eastAsia="ja-JP"/>
        </w:rPr>
        <w:t xml:space="preserve"> </w:t>
      </w:r>
      <w:r>
        <w:rPr>
          <w:lang w:eastAsia="ja-JP"/>
        </w:rPr>
        <w:t>These findings are consistent with evidence from other studies in military populations that showed that the adverse effect profiles of antimalarial drugs were negatively impacted by deployment, especially combat deployment.</w:t>
      </w:r>
    </w:p>
    <w:p w14:paraId="7E6C7E95" w14:textId="77777777" w:rsidR="008A1A1C" w:rsidRDefault="008A1A1C" w:rsidP="00156D9E">
      <w:pPr>
        <w:pStyle w:val="Heading4"/>
      </w:pPr>
      <w:bookmarkStart w:id="660" w:name="_Toc241374324"/>
      <w:bookmarkStart w:id="661" w:name="_Ref272331214"/>
      <w:bookmarkStart w:id="662" w:name="_Toc272414688"/>
      <w:bookmarkStart w:id="663" w:name="_Toc290888552"/>
      <w:bookmarkStart w:id="664" w:name="_Toc416353767"/>
      <w:bookmarkStart w:id="665" w:name="_Toc421005310"/>
      <w:bookmarkStart w:id="666" w:name="_Toc432079181"/>
      <w:bookmarkStart w:id="667" w:name="_Toc432080754"/>
      <w:r w:rsidRPr="00545B14">
        <w:t xml:space="preserve">Safety related to </w:t>
      </w:r>
      <w:r w:rsidRPr="00156D9E">
        <w:t>drug</w:t>
      </w:r>
      <w:r w:rsidRPr="00545B14">
        <w:t>-drug interactions and other interactions</w:t>
      </w:r>
      <w:bookmarkEnd w:id="660"/>
      <w:bookmarkEnd w:id="661"/>
      <w:bookmarkEnd w:id="662"/>
      <w:bookmarkEnd w:id="663"/>
      <w:bookmarkEnd w:id="664"/>
      <w:bookmarkEnd w:id="665"/>
      <w:bookmarkEnd w:id="666"/>
      <w:bookmarkEnd w:id="667"/>
    </w:p>
    <w:p w14:paraId="23411B02" w14:textId="77777777" w:rsidR="008A1A1C" w:rsidRDefault="008A1A1C" w:rsidP="008A1A1C">
      <w:pPr>
        <w:rPr>
          <w:lang w:eastAsia="ja-JP"/>
        </w:rPr>
      </w:pPr>
      <w:bookmarkStart w:id="668" w:name="_Toc241374326"/>
      <w:bookmarkStart w:id="669" w:name="_Ref272333048"/>
      <w:bookmarkStart w:id="670" w:name="_Toc272414679"/>
      <w:bookmarkStart w:id="671" w:name="_Toc290888543"/>
      <w:bookmarkStart w:id="672" w:name="_Toc416353758"/>
      <w:bookmarkStart w:id="673" w:name="_Toc421005301"/>
      <w:bookmarkStart w:id="674" w:name="_Toc432079182"/>
      <w:bookmarkStart w:id="675" w:name="_Toc432080755"/>
      <w:r>
        <w:rPr>
          <w:lang w:eastAsia="ja-JP"/>
        </w:rPr>
        <w:t>No specific data reported.</w:t>
      </w:r>
    </w:p>
    <w:p w14:paraId="13B5DF64" w14:textId="77777777" w:rsidR="008A1A1C" w:rsidRPr="00E4342F" w:rsidRDefault="008A1A1C" w:rsidP="00FB2482">
      <w:pPr>
        <w:pStyle w:val="Heading3"/>
      </w:pPr>
      <w:bookmarkStart w:id="676" w:name="_Toc504229389"/>
      <w:bookmarkStart w:id="677" w:name="_Toc501809163"/>
      <w:bookmarkStart w:id="678" w:name="_Toc12520299"/>
      <w:r w:rsidRPr="00E4342F">
        <w:lastRenderedPageBreak/>
        <w:t>Post</w:t>
      </w:r>
      <w:r>
        <w:t xml:space="preserve"> </w:t>
      </w:r>
      <w:r w:rsidRPr="00E4342F">
        <w:t>marketing experience</w:t>
      </w:r>
      <w:bookmarkEnd w:id="668"/>
      <w:bookmarkEnd w:id="669"/>
      <w:bookmarkEnd w:id="670"/>
      <w:bookmarkEnd w:id="671"/>
      <w:bookmarkEnd w:id="672"/>
      <w:bookmarkEnd w:id="673"/>
      <w:bookmarkEnd w:id="674"/>
      <w:bookmarkEnd w:id="675"/>
      <w:bookmarkEnd w:id="676"/>
      <w:bookmarkEnd w:id="677"/>
      <w:bookmarkEnd w:id="678"/>
    </w:p>
    <w:p w14:paraId="4347B3A1" w14:textId="77777777" w:rsidR="008A1A1C" w:rsidRDefault="008A1A1C" w:rsidP="008A1A1C">
      <w:pPr>
        <w:rPr>
          <w:lang w:eastAsia="ja-JP"/>
        </w:rPr>
      </w:pPr>
      <w:bookmarkStart w:id="679" w:name="_Toc241374328"/>
      <w:bookmarkStart w:id="680" w:name="_Toc272414691"/>
      <w:bookmarkStart w:id="681" w:name="_Toc290888555"/>
      <w:bookmarkStart w:id="682" w:name="_Toc416353770"/>
      <w:bookmarkStart w:id="683" w:name="_Toc421005312"/>
      <w:bookmarkStart w:id="684" w:name="_Toc432079183"/>
      <w:bookmarkStart w:id="685" w:name="_Toc432080756"/>
      <w:r>
        <w:rPr>
          <w:lang w:eastAsia="ja-JP"/>
        </w:rPr>
        <w:t>None reported.</w:t>
      </w:r>
    </w:p>
    <w:p w14:paraId="30C2F916" w14:textId="77777777" w:rsidR="008A1A1C" w:rsidRPr="00E4342F" w:rsidRDefault="008A1A1C" w:rsidP="00FB2482">
      <w:pPr>
        <w:pStyle w:val="Heading3"/>
      </w:pPr>
      <w:bookmarkStart w:id="686" w:name="_Toc504229390"/>
      <w:bookmarkStart w:id="687" w:name="_Toc501809164"/>
      <w:bookmarkStart w:id="688" w:name="_Toc12520300"/>
      <w:r w:rsidRPr="00E4342F">
        <w:t>Evaluator’s overall conclusions on clinical safety</w:t>
      </w:r>
      <w:bookmarkEnd w:id="679"/>
      <w:bookmarkEnd w:id="680"/>
      <w:bookmarkEnd w:id="681"/>
      <w:bookmarkEnd w:id="682"/>
      <w:bookmarkEnd w:id="683"/>
      <w:bookmarkEnd w:id="684"/>
      <w:bookmarkEnd w:id="685"/>
      <w:bookmarkEnd w:id="686"/>
      <w:bookmarkEnd w:id="687"/>
      <w:bookmarkEnd w:id="688"/>
    </w:p>
    <w:p w14:paraId="42DA936A" w14:textId="75BA4137" w:rsidR="00F1528F" w:rsidRDefault="008A1A1C" w:rsidP="008A1A1C">
      <w:pPr>
        <w:rPr>
          <w:lang w:eastAsia="ja-JP"/>
        </w:rPr>
      </w:pPr>
      <w:r>
        <w:rPr>
          <w:lang w:eastAsia="ja-JP"/>
        </w:rPr>
        <w:t>From the safety data provided it appears that the most common side effects seen in the group treated with tafenoquine (compared to placebo) were gastrointestinal</w:t>
      </w:r>
      <w:r w:rsidR="00156D9E">
        <w:rPr>
          <w:lang w:eastAsia="ja-JP"/>
        </w:rPr>
        <w:t>:</w:t>
      </w:r>
      <w:r w:rsidRPr="006F65BA">
        <w:rPr>
          <w:lang w:eastAsia="ja-JP"/>
        </w:rPr>
        <w:t xml:space="preserve"> diarrh</w:t>
      </w:r>
      <w:r w:rsidR="00156D9E">
        <w:rPr>
          <w:lang w:eastAsia="ja-JP"/>
        </w:rPr>
        <w:t>o</w:t>
      </w:r>
      <w:r w:rsidRPr="006F65BA">
        <w:rPr>
          <w:lang w:eastAsia="ja-JP"/>
        </w:rPr>
        <w:t>ea, G</w:t>
      </w:r>
      <w:r>
        <w:rPr>
          <w:lang w:eastAsia="ja-JP"/>
        </w:rPr>
        <w:t>O</w:t>
      </w:r>
      <w:r w:rsidRPr="006F65BA">
        <w:rPr>
          <w:lang w:eastAsia="ja-JP"/>
        </w:rPr>
        <w:t>RD, vomiting,</w:t>
      </w:r>
      <w:r>
        <w:rPr>
          <w:lang w:eastAsia="ja-JP"/>
        </w:rPr>
        <w:t xml:space="preserve"> which did not require drug discontinuation. Other AEs reported were unlikely to be related</w:t>
      </w:r>
      <w:r w:rsidRPr="006F65BA">
        <w:rPr>
          <w:lang w:eastAsia="ja-JP"/>
        </w:rPr>
        <w:t xml:space="preserve"> </w:t>
      </w:r>
      <w:r>
        <w:rPr>
          <w:lang w:eastAsia="ja-JP"/>
        </w:rPr>
        <w:t xml:space="preserve">to study drug and more likely to be related to the conditions/context of the studies, such as </w:t>
      </w:r>
      <w:r w:rsidRPr="006F65BA">
        <w:rPr>
          <w:lang w:eastAsia="ja-JP"/>
        </w:rPr>
        <w:t>ear pain, motion sickness,</w:t>
      </w:r>
      <w:r w:rsidR="0013672F">
        <w:rPr>
          <w:lang w:eastAsia="ja-JP"/>
        </w:rPr>
        <w:t xml:space="preserve"> vortex</w:t>
      </w:r>
      <w:r w:rsidRPr="006F65BA">
        <w:rPr>
          <w:lang w:eastAsia="ja-JP"/>
        </w:rPr>
        <w:t xml:space="preserve"> keratopathy</w:t>
      </w:r>
      <w:r w:rsidR="0013672F">
        <w:rPr>
          <w:lang w:eastAsia="ja-JP"/>
        </w:rPr>
        <w:t xml:space="preserve"> (corneal deposits),</w:t>
      </w:r>
      <w:r w:rsidRPr="006F65BA">
        <w:rPr>
          <w:lang w:eastAsia="ja-JP"/>
        </w:rPr>
        <w:t xml:space="preserve"> chest pain, seasonal allergy, body tinea, gastroenteritis, impetigo, nasopharyngitis</w:t>
      </w:r>
      <w:r>
        <w:rPr>
          <w:lang w:eastAsia="ja-JP"/>
        </w:rPr>
        <w:t>, back pain. Gastrointestinal side effects appear to be the most common treatment related AEs and are more common with higher doses.</w:t>
      </w:r>
    </w:p>
    <w:p w14:paraId="56561BDA" w14:textId="1485090C" w:rsidR="00F1528F" w:rsidRDefault="008A1A1C" w:rsidP="008A1A1C">
      <w:pPr>
        <w:rPr>
          <w:lang w:eastAsia="ja-JP"/>
        </w:rPr>
      </w:pPr>
      <w:r>
        <w:rPr>
          <w:lang w:eastAsia="ja-JP"/>
        </w:rPr>
        <w:t>Ocular changes, particularly and asymptomatic</w:t>
      </w:r>
      <w:r w:rsidR="0013672F">
        <w:rPr>
          <w:lang w:eastAsia="ja-JP"/>
        </w:rPr>
        <w:t xml:space="preserve">, vortex </w:t>
      </w:r>
      <w:r>
        <w:rPr>
          <w:lang w:eastAsia="ja-JP"/>
        </w:rPr>
        <w:t>keratopathy</w:t>
      </w:r>
      <w:r w:rsidR="0013672F">
        <w:rPr>
          <w:lang w:eastAsia="ja-JP"/>
        </w:rPr>
        <w:t xml:space="preserve"> (corneal deposits)</w:t>
      </w:r>
      <w:r>
        <w:rPr>
          <w:lang w:eastAsia="ja-JP"/>
        </w:rPr>
        <w:t>, were also seen in Study 057, but were not serious and resolved.</w:t>
      </w:r>
    </w:p>
    <w:p w14:paraId="40776BF0" w14:textId="77777777" w:rsidR="00F1528F" w:rsidRDefault="008A1A1C" w:rsidP="008A1A1C">
      <w:pPr>
        <w:rPr>
          <w:lang w:eastAsia="ja-JP"/>
        </w:rPr>
      </w:pPr>
      <w:r>
        <w:rPr>
          <w:lang w:eastAsia="ja-JP"/>
        </w:rPr>
        <w:t xml:space="preserve">The biggest potential safety issue, as with primaquine, seems to be the potential for haemolytic crisis in patients with </w:t>
      </w:r>
      <w:r w:rsidR="00122529">
        <w:rPr>
          <w:lang w:eastAsia="ja-JP"/>
        </w:rPr>
        <w:t>G6PDD</w:t>
      </w:r>
      <w:r>
        <w:rPr>
          <w:lang w:eastAsia="ja-JP"/>
        </w:rPr>
        <w:t>. This group was largely excluded from these studies, but the use of tafenoquine in people genetically more likely to have this deficiency. Neuropsychiatric adverse events were recorded in a small number of subjects (mainly in Study 033), but most were not thought to be related to study drug. There were no other red flag AEs, but the safety data group is not very large.</w:t>
      </w:r>
    </w:p>
    <w:p w14:paraId="4074A5B0" w14:textId="77777777" w:rsidR="008A1A1C" w:rsidRDefault="008A1A1C" w:rsidP="008A1A1C">
      <w:pPr>
        <w:rPr>
          <w:lang w:eastAsia="ja-JP"/>
        </w:rPr>
      </w:pPr>
      <w:r>
        <w:rPr>
          <w:lang w:eastAsia="ja-JP"/>
        </w:rPr>
        <w:t>Post-marketing safety data will be important and there is none available yet. There is no data for more than 26 weeks of use.</w:t>
      </w:r>
    </w:p>
    <w:p w14:paraId="56052010" w14:textId="77777777" w:rsidR="008A1A1C" w:rsidRDefault="008A1A1C" w:rsidP="00156D9E">
      <w:pPr>
        <w:pStyle w:val="Heading2"/>
      </w:pPr>
      <w:bookmarkStart w:id="689" w:name="_Toc504229391"/>
      <w:bookmarkStart w:id="690" w:name="_Toc501809165"/>
      <w:bookmarkStart w:id="691" w:name="_Toc12520301"/>
      <w:r>
        <w:t>First round benefit-risk assessment</w:t>
      </w:r>
      <w:bookmarkEnd w:id="689"/>
      <w:bookmarkEnd w:id="690"/>
      <w:bookmarkEnd w:id="691"/>
    </w:p>
    <w:p w14:paraId="1DABD876" w14:textId="77777777" w:rsidR="00F1528F" w:rsidRDefault="008A1A1C" w:rsidP="00FB2482">
      <w:pPr>
        <w:pStyle w:val="Heading3"/>
      </w:pPr>
      <w:bookmarkStart w:id="692" w:name="_Toc236802592"/>
      <w:bookmarkStart w:id="693" w:name="_Toc241374331"/>
      <w:bookmarkStart w:id="694" w:name="_Ref272160836"/>
      <w:bookmarkStart w:id="695" w:name="_Toc272414693"/>
      <w:bookmarkStart w:id="696" w:name="_Toc290888557"/>
      <w:bookmarkStart w:id="697" w:name="_Toc416353772"/>
      <w:bookmarkStart w:id="698" w:name="_Toc421005314"/>
      <w:bookmarkStart w:id="699" w:name="_Toc432079185"/>
      <w:bookmarkStart w:id="700" w:name="_Toc432080758"/>
      <w:bookmarkStart w:id="701" w:name="_Toc504229392"/>
      <w:bookmarkStart w:id="702" w:name="_Toc501809166"/>
      <w:bookmarkStart w:id="703" w:name="_Toc12520302"/>
      <w:r w:rsidRPr="00545B14">
        <w:t xml:space="preserve">First round assessment of </w:t>
      </w:r>
      <w:r w:rsidRPr="000D5752">
        <w:t>benefits</w:t>
      </w:r>
      <w:bookmarkEnd w:id="692"/>
      <w:bookmarkEnd w:id="693"/>
      <w:bookmarkEnd w:id="694"/>
      <w:bookmarkEnd w:id="695"/>
      <w:bookmarkEnd w:id="696"/>
      <w:bookmarkEnd w:id="697"/>
      <w:bookmarkEnd w:id="698"/>
      <w:bookmarkEnd w:id="699"/>
      <w:bookmarkEnd w:id="700"/>
      <w:bookmarkEnd w:id="701"/>
      <w:bookmarkEnd w:id="702"/>
      <w:bookmarkEnd w:id="703"/>
    </w:p>
    <w:p w14:paraId="649BE7C1" w14:textId="77777777" w:rsidR="008A1A1C" w:rsidRDefault="00156D9E" w:rsidP="00156D9E">
      <w:pPr>
        <w:pStyle w:val="Tabletitle"/>
        <w:rPr>
          <w:lang w:eastAsia="ja-JP"/>
        </w:rPr>
      </w:pPr>
      <w:r>
        <w:rPr>
          <w:lang w:eastAsia="ja-JP"/>
        </w:rPr>
        <w:t xml:space="preserve">Table </w:t>
      </w:r>
      <w:r w:rsidR="003F0ECA">
        <w:rPr>
          <w:lang w:eastAsia="ja-JP"/>
        </w:rPr>
        <w:t>5</w:t>
      </w:r>
      <w:r w:rsidR="005B2850">
        <w:rPr>
          <w:lang w:eastAsia="ja-JP"/>
        </w:rPr>
        <w:t>6</w:t>
      </w:r>
      <w:r w:rsidR="00FA3C56">
        <w:rPr>
          <w:lang w:eastAsia="ja-JP"/>
        </w:rPr>
        <w:t>: Assessment of b</w:t>
      </w:r>
      <w:r>
        <w:rPr>
          <w:lang w:eastAsia="ja-JP"/>
        </w:rPr>
        <w:t>enefits</w:t>
      </w:r>
    </w:p>
    <w:tbl>
      <w:tblPr>
        <w:tblStyle w:val="TableGrid"/>
        <w:tblW w:w="0" w:type="auto"/>
        <w:tblInd w:w="108" w:type="dxa"/>
        <w:tblLook w:val="04A0" w:firstRow="1" w:lastRow="0" w:firstColumn="1" w:lastColumn="0" w:noHBand="0" w:noVBand="1"/>
      </w:tblPr>
      <w:tblGrid>
        <w:gridCol w:w="4511"/>
        <w:gridCol w:w="4278"/>
      </w:tblGrid>
      <w:tr w:rsidR="008A1A1C" w:rsidRPr="00156D9E" w14:paraId="1F49FE66" w14:textId="77777777" w:rsidTr="00156D9E">
        <w:trPr>
          <w:cantSplit/>
          <w:tblHeader/>
        </w:trPr>
        <w:tc>
          <w:tcPr>
            <w:tcW w:w="8789" w:type="dxa"/>
            <w:gridSpan w:val="2"/>
            <w:shd w:val="clear" w:color="auto" w:fill="006DA7" w:themeFill="accent3"/>
          </w:tcPr>
          <w:p w14:paraId="4C16BC7E" w14:textId="77777777" w:rsidR="008A1A1C" w:rsidRPr="00156D9E" w:rsidRDefault="008A1A1C" w:rsidP="008A1A1C">
            <w:pPr>
              <w:rPr>
                <w:rFonts w:asciiTheme="minorHAnsi" w:hAnsiTheme="minorHAnsi"/>
                <w:b/>
                <w:color w:val="FFFFFF" w:themeColor="background1"/>
                <w:sz w:val="20"/>
                <w:szCs w:val="20"/>
              </w:rPr>
            </w:pPr>
            <w:r w:rsidRPr="00156D9E">
              <w:rPr>
                <w:rFonts w:asciiTheme="minorHAnsi" w:hAnsiTheme="minorHAnsi"/>
                <w:b/>
                <w:color w:val="FFFFFF" w:themeColor="background1"/>
                <w:sz w:val="20"/>
                <w:szCs w:val="20"/>
              </w:rPr>
              <w:t>Indication</w:t>
            </w:r>
          </w:p>
        </w:tc>
      </w:tr>
      <w:tr w:rsidR="008A1A1C" w:rsidRPr="00156D9E" w14:paraId="554E80E0" w14:textId="77777777" w:rsidTr="00156D9E">
        <w:trPr>
          <w:cantSplit/>
          <w:tblHeader/>
        </w:trPr>
        <w:tc>
          <w:tcPr>
            <w:tcW w:w="4511" w:type="dxa"/>
            <w:shd w:val="clear" w:color="auto" w:fill="00517D" w:themeFill="accent3" w:themeFillShade="BF"/>
          </w:tcPr>
          <w:p w14:paraId="74B1539C" w14:textId="77777777" w:rsidR="008A1A1C" w:rsidRPr="00156D9E" w:rsidRDefault="008A1A1C" w:rsidP="008A1A1C">
            <w:pPr>
              <w:rPr>
                <w:rFonts w:asciiTheme="minorHAnsi" w:hAnsiTheme="minorHAnsi"/>
                <w:b/>
                <w:color w:val="FFFFFF" w:themeColor="background1"/>
                <w:sz w:val="20"/>
                <w:szCs w:val="20"/>
              </w:rPr>
            </w:pPr>
            <w:r w:rsidRPr="00156D9E">
              <w:rPr>
                <w:rFonts w:asciiTheme="minorHAnsi" w:hAnsiTheme="minorHAnsi"/>
                <w:b/>
                <w:color w:val="FFFFFF" w:themeColor="background1"/>
                <w:sz w:val="20"/>
                <w:szCs w:val="20"/>
              </w:rPr>
              <w:t>Benefits</w:t>
            </w:r>
          </w:p>
        </w:tc>
        <w:tc>
          <w:tcPr>
            <w:tcW w:w="4278" w:type="dxa"/>
            <w:shd w:val="clear" w:color="auto" w:fill="00517D" w:themeFill="accent3" w:themeFillShade="BF"/>
          </w:tcPr>
          <w:p w14:paraId="51E18F97" w14:textId="77777777" w:rsidR="008A1A1C" w:rsidRPr="00156D9E" w:rsidRDefault="008A1A1C" w:rsidP="008A1A1C">
            <w:pPr>
              <w:rPr>
                <w:rFonts w:asciiTheme="minorHAnsi" w:hAnsiTheme="minorHAnsi"/>
                <w:b/>
                <w:color w:val="FFFFFF" w:themeColor="background1"/>
                <w:sz w:val="20"/>
                <w:szCs w:val="20"/>
              </w:rPr>
            </w:pPr>
            <w:r w:rsidRPr="00156D9E">
              <w:rPr>
                <w:rFonts w:asciiTheme="minorHAnsi" w:hAnsiTheme="minorHAnsi"/>
                <w:b/>
                <w:color w:val="FFFFFF" w:themeColor="background1"/>
                <w:sz w:val="20"/>
                <w:szCs w:val="20"/>
              </w:rPr>
              <w:t>Strengths and Uncertainties</w:t>
            </w:r>
          </w:p>
        </w:tc>
      </w:tr>
      <w:tr w:rsidR="008A1A1C" w:rsidRPr="00156D9E" w14:paraId="56E5F8B6" w14:textId="77777777" w:rsidTr="008A1A1C">
        <w:tc>
          <w:tcPr>
            <w:tcW w:w="4511" w:type="dxa"/>
          </w:tcPr>
          <w:p w14:paraId="3FB2F63B" w14:textId="77777777" w:rsidR="00F1528F"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An effective weekly drug for prophylaxis against malaria during potential exposure in endemic countries.</w:t>
            </w:r>
          </w:p>
          <w:p w14:paraId="4F9CFBA4"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Evidence of post-exposure prophylaxis.</w:t>
            </w:r>
          </w:p>
          <w:p w14:paraId="546EA3FC"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 xml:space="preserve">Efficacy against malaria generally and specifically against both Pv and </w:t>
            </w:r>
            <w:r w:rsidR="007B0EBB" w:rsidRPr="00FA3C56">
              <w:rPr>
                <w:rFonts w:asciiTheme="minorHAnsi" w:hAnsiTheme="minorHAnsi" w:cstheme="minorHAnsi"/>
                <w:sz w:val="20"/>
                <w:szCs w:val="20"/>
              </w:rPr>
              <w:t>Pf</w:t>
            </w:r>
            <w:r w:rsidR="00FA3C56">
              <w:rPr>
                <w:rFonts w:asciiTheme="minorHAnsi" w:hAnsiTheme="minorHAnsi" w:cstheme="minorHAnsi"/>
                <w:sz w:val="20"/>
                <w:szCs w:val="20"/>
              </w:rPr>
              <w:t>.</w:t>
            </w:r>
          </w:p>
          <w:p w14:paraId="3395D97B"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Efficacy has been shown in different populations in different geographical locations.</w:t>
            </w:r>
          </w:p>
          <w:p w14:paraId="16C522D8"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Does not seem to have the AEs related to the other weekly malaria prophylaxis option (mefloquine).</w:t>
            </w:r>
          </w:p>
          <w:p w14:paraId="23D6862C"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Has good post-exposure efficacy due to long half-life.</w:t>
            </w:r>
          </w:p>
          <w:p w14:paraId="77E60752" w14:textId="77777777" w:rsidR="008A1A1C" w:rsidRPr="00FA3C56" w:rsidRDefault="008A1A1C" w:rsidP="00156D9E">
            <w:pPr>
              <w:rPr>
                <w:rFonts w:asciiTheme="minorHAnsi" w:hAnsiTheme="minorHAnsi" w:cstheme="minorHAnsi"/>
                <w:sz w:val="20"/>
                <w:szCs w:val="20"/>
              </w:rPr>
            </w:pPr>
            <w:r w:rsidRPr="00FA3C56">
              <w:rPr>
                <w:rFonts w:asciiTheme="minorHAnsi" w:hAnsiTheme="minorHAnsi" w:cstheme="minorHAnsi"/>
                <w:sz w:val="20"/>
                <w:szCs w:val="20"/>
              </w:rPr>
              <w:t>Side effects similar to primaquine</w:t>
            </w:r>
            <w:r w:rsidR="00156D9E" w:rsidRPr="00FA3C56">
              <w:rPr>
                <w:rFonts w:asciiTheme="minorHAnsi" w:hAnsiTheme="minorHAnsi" w:cstheme="minorHAnsi"/>
                <w:sz w:val="20"/>
                <w:szCs w:val="20"/>
              </w:rPr>
              <w:t>.</w:t>
            </w:r>
            <w:r w:rsidRPr="00FA3C56">
              <w:rPr>
                <w:rFonts w:asciiTheme="minorHAnsi" w:hAnsiTheme="minorHAnsi" w:cstheme="minorHAnsi"/>
                <w:sz w:val="20"/>
                <w:szCs w:val="20"/>
              </w:rPr>
              <w:t xml:space="preserve"> </w:t>
            </w:r>
          </w:p>
        </w:tc>
        <w:tc>
          <w:tcPr>
            <w:tcW w:w="4278" w:type="dxa"/>
          </w:tcPr>
          <w:p w14:paraId="4EB3BD9D" w14:textId="77777777" w:rsidR="008A1A1C" w:rsidRPr="00FA3C56" w:rsidRDefault="008A1A1C" w:rsidP="008A1A1C">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A3C56">
              <w:rPr>
                <w:rFonts w:asciiTheme="minorHAnsi" w:hAnsiTheme="minorHAnsi" w:cstheme="minorHAnsi"/>
                <w:sz w:val="20"/>
                <w:szCs w:val="20"/>
              </w:rPr>
              <w:t>There is good data in non-immunes who took this drug regularly weekly (in Australian army volunteers). There is also good data for efficacy in two regions (studies conducted in Thailand and Ghana). A number of the other studies also showed good efficacy but had different dosages and regimens. Also, some studies had major logistical and reliability problems (such as with the malaria smears).</w:t>
            </w:r>
          </w:p>
          <w:p w14:paraId="607E0E5E" w14:textId="77777777" w:rsidR="008A1A1C" w:rsidRPr="00FA3C56" w:rsidRDefault="008A1A1C" w:rsidP="008A1A1C">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A3C56">
              <w:rPr>
                <w:rFonts w:asciiTheme="minorHAnsi" w:hAnsiTheme="minorHAnsi" w:cstheme="minorHAnsi"/>
                <w:sz w:val="20"/>
                <w:szCs w:val="20"/>
              </w:rPr>
              <w:t>The neuropsychiatric side effects seen with mefloquine are not seen with Tafenoquine generally, although there were some reported in Study 033 (conducted on ADF personnel during deployment).</w:t>
            </w:r>
          </w:p>
          <w:p w14:paraId="5EFA2049" w14:textId="2B2A4FF3" w:rsidR="008A1A1C" w:rsidRPr="00FA3C56" w:rsidRDefault="008A1A1C" w:rsidP="008A1A1C">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A3C56">
              <w:rPr>
                <w:rFonts w:asciiTheme="minorHAnsi" w:hAnsiTheme="minorHAnsi" w:cstheme="minorHAnsi"/>
                <w:sz w:val="20"/>
                <w:szCs w:val="20"/>
              </w:rPr>
              <w:t>A number of the studies were conducted 1</w:t>
            </w:r>
            <w:r w:rsidR="0049096D">
              <w:rPr>
                <w:rFonts w:asciiTheme="minorHAnsi" w:hAnsiTheme="minorHAnsi" w:cstheme="minorHAnsi"/>
                <w:sz w:val="20"/>
                <w:szCs w:val="20"/>
              </w:rPr>
              <w:t xml:space="preserve"> to</w:t>
            </w:r>
            <w:r w:rsidRPr="00FA3C56">
              <w:rPr>
                <w:rFonts w:asciiTheme="minorHAnsi" w:hAnsiTheme="minorHAnsi" w:cstheme="minorHAnsi"/>
                <w:sz w:val="20"/>
                <w:szCs w:val="20"/>
              </w:rPr>
              <w:t xml:space="preserve">2 decades ago and the standards may be different to studies conducted more </w:t>
            </w:r>
            <w:r w:rsidRPr="00FA3C56">
              <w:rPr>
                <w:rFonts w:asciiTheme="minorHAnsi" w:hAnsiTheme="minorHAnsi" w:cstheme="minorHAnsi"/>
                <w:sz w:val="20"/>
                <w:szCs w:val="20"/>
              </w:rPr>
              <w:lastRenderedPageBreak/>
              <w:t>contemporaneously.</w:t>
            </w:r>
          </w:p>
          <w:p w14:paraId="3CB57F30" w14:textId="1176D98B" w:rsidR="008A1A1C" w:rsidRPr="00FA3C56" w:rsidRDefault="008A1A1C" w:rsidP="008A1A1C">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A3C56">
              <w:rPr>
                <w:rFonts w:asciiTheme="minorHAnsi" w:hAnsiTheme="minorHAnsi" w:cstheme="minorHAnsi"/>
                <w:sz w:val="20"/>
                <w:szCs w:val="20"/>
              </w:rPr>
              <w:t>There are no studies comparing this drug against malarone (now a commonly used malaria prophylaxis drug) and rapidly replaced mefloquine as standard of care.</w:t>
            </w:r>
            <w:r w:rsidR="00523DC5">
              <w:rPr>
                <w:rStyle w:val="FootnoteReference"/>
                <w:rFonts w:asciiTheme="minorHAnsi" w:hAnsiTheme="minorHAnsi" w:cstheme="minorHAnsi"/>
                <w:sz w:val="20"/>
                <w:szCs w:val="20"/>
              </w:rPr>
              <w:footnoteReference w:id="15"/>
            </w:r>
          </w:p>
          <w:p w14:paraId="19DD3925" w14:textId="77777777" w:rsidR="008A1A1C" w:rsidRPr="00FA3C56" w:rsidRDefault="008A1A1C" w:rsidP="008A1A1C">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FA3C56">
              <w:rPr>
                <w:rFonts w:asciiTheme="minorHAnsi" w:hAnsiTheme="minorHAnsi" w:cstheme="minorHAnsi"/>
                <w:sz w:val="20"/>
                <w:szCs w:val="20"/>
              </w:rPr>
              <w:t>No data about the long-term ocular effects of long term use (past 26 weeks).</w:t>
            </w:r>
          </w:p>
        </w:tc>
      </w:tr>
    </w:tbl>
    <w:p w14:paraId="4F8347C4" w14:textId="77777777" w:rsidR="008A1A1C" w:rsidRDefault="008A1A1C" w:rsidP="00FB2482">
      <w:pPr>
        <w:pStyle w:val="Heading3"/>
      </w:pPr>
      <w:bookmarkStart w:id="704" w:name="_Toc236802596"/>
      <w:bookmarkStart w:id="705" w:name="_Toc241374334"/>
      <w:bookmarkStart w:id="706" w:name="_Ref272160964"/>
      <w:bookmarkStart w:id="707" w:name="_Toc272414694"/>
      <w:bookmarkStart w:id="708" w:name="_Toc290888558"/>
      <w:bookmarkStart w:id="709" w:name="_Toc416353773"/>
      <w:bookmarkStart w:id="710" w:name="_Toc421005315"/>
      <w:bookmarkStart w:id="711" w:name="_Toc432079186"/>
      <w:bookmarkStart w:id="712" w:name="_Toc432080759"/>
      <w:bookmarkStart w:id="713" w:name="_Toc504229393"/>
      <w:bookmarkStart w:id="714" w:name="_Toc501809167"/>
      <w:bookmarkStart w:id="715" w:name="_Toc12520303"/>
      <w:r w:rsidRPr="007E7B0B">
        <w:lastRenderedPageBreak/>
        <w:t>First round assessment</w:t>
      </w:r>
      <w:r w:rsidRPr="000D5752">
        <w:t xml:space="preserve"> of risks</w:t>
      </w:r>
      <w:bookmarkEnd w:id="704"/>
      <w:bookmarkEnd w:id="705"/>
      <w:bookmarkEnd w:id="706"/>
      <w:bookmarkEnd w:id="707"/>
      <w:bookmarkEnd w:id="708"/>
      <w:bookmarkEnd w:id="709"/>
      <w:bookmarkEnd w:id="710"/>
      <w:bookmarkEnd w:id="711"/>
      <w:bookmarkEnd w:id="712"/>
      <w:bookmarkEnd w:id="713"/>
      <w:bookmarkEnd w:id="714"/>
      <w:bookmarkEnd w:id="715"/>
    </w:p>
    <w:p w14:paraId="7A650862" w14:textId="77777777" w:rsidR="00156D9E" w:rsidRPr="00156D9E" w:rsidRDefault="00156D9E" w:rsidP="00156D9E">
      <w:pPr>
        <w:pStyle w:val="Tabletitle"/>
        <w:rPr>
          <w:lang w:eastAsia="ja-JP"/>
        </w:rPr>
      </w:pPr>
      <w:r>
        <w:rPr>
          <w:lang w:eastAsia="ja-JP"/>
        </w:rPr>
        <w:t xml:space="preserve">Table </w:t>
      </w:r>
      <w:r w:rsidR="003F0ECA">
        <w:rPr>
          <w:lang w:eastAsia="ja-JP"/>
        </w:rPr>
        <w:t>5</w:t>
      </w:r>
      <w:r w:rsidR="005B2850">
        <w:rPr>
          <w:lang w:eastAsia="ja-JP"/>
        </w:rPr>
        <w:t>7</w:t>
      </w:r>
      <w:r>
        <w:rPr>
          <w:lang w:eastAsia="ja-JP"/>
        </w:rPr>
        <w:t xml:space="preserve">: </w:t>
      </w:r>
      <w:r w:rsidR="00FA3C56">
        <w:rPr>
          <w:lang w:eastAsia="ja-JP"/>
        </w:rPr>
        <w:t>Assessment of r</w:t>
      </w:r>
      <w:r>
        <w:rPr>
          <w:lang w:eastAsia="ja-JP"/>
        </w:rPr>
        <w:t>isks</w:t>
      </w:r>
    </w:p>
    <w:tbl>
      <w:tblPr>
        <w:tblStyle w:val="TableGrid"/>
        <w:tblW w:w="0" w:type="auto"/>
        <w:tblInd w:w="108" w:type="dxa"/>
        <w:tblLook w:val="04A0" w:firstRow="1" w:lastRow="0" w:firstColumn="1" w:lastColumn="0" w:noHBand="0" w:noVBand="1"/>
      </w:tblPr>
      <w:tblGrid>
        <w:gridCol w:w="4395"/>
        <w:gridCol w:w="4394"/>
      </w:tblGrid>
      <w:tr w:rsidR="008A1A1C" w:rsidRPr="00C37A1D" w14:paraId="3DAA1393" w14:textId="77777777" w:rsidTr="00156D9E">
        <w:trPr>
          <w:cantSplit/>
          <w:tblHeader/>
        </w:trPr>
        <w:tc>
          <w:tcPr>
            <w:tcW w:w="4395" w:type="dxa"/>
            <w:shd w:val="clear" w:color="auto" w:fill="006DA7" w:themeFill="accent3"/>
          </w:tcPr>
          <w:p w14:paraId="10FFA42C" w14:textId="77777777" w:rsidR="008A1A1C" w:rsidRPr="00156D9E" w:rsidRDefault="008A1A1C" w:rsidP="008A1A1C">
            <w:pPr>
              <w:keepNext/>
              <w:rPr>
                <w:rFonts w:asciiTheme="minorHAnsi" w:hAnsiTheme="minorHAnsi"/>
                <w:b/>
                <w:color w:val="FFFFFF" w:themeColor="background1"/>
                <w:sz w:val="20"/>
                <w:szCs w:val="20"/>
              </w:rPr>
            </w:pPr>
            <w:r w:rsidRPr="00156D9E">
              <w:rPr>
                <w:rFonts w:asciiTheme="minorHAnsi" w:hAnsiTheme="minorHAnsi"/>
                <w:b/>
                <w:color w:val="FFFFFF" w:themeColor="background1"/>
                <w:sz w:val="20"/>
                <w:szCs w:val="20"/>
              </w:rPr>
              <w:t>Risks</w:t>
            </w:r>
          </w:p>
        </w:tc>
        <w:tc>
          <w:tcPr>
            <w:tcW w:w="4394" w:type="dxa"/>
            <w:shd w:val="clear" w:color="auto" w:fill="006DA7" w:themeFill="accent3"/>
          </w:tcPr>
          <w:p w14:paraId="3A49D62B" w14:textId="77777777" w:rsidR="008A1A1C" w:rsidRPr="00156D9E" w:rsidRDefault="008A1A1C" w:rsidP="008A1A1C">
            <w:pPr>
              <w:rPr>
                <w:rFonts w:asciiTheme="minorHAnsi" w:hAnsiTheme="minorHAnsi"/>
                <w:b/>
                <w:color w:val="FFFFFF" w:themeColor="background1"/>
                <w:sz w:val="20"/>
                <w:szCs w:val="20"/>
              </w:rPr>
            </w:pPr>
            <w:r w:rsidRPr="00156D9E">
              <w:rPr>
                <w:rFonts w:asciiTheme="minorHAnsi" w:hAnsiTheme="minorHAnsi"/>
                <w:b/>
                <w:color w:val="FFFFFF" w:themeColor="background1"/>
                <w:sz w:val="20"/>
                <w:szCs w:val="20"/>
              </w:rPr>
              <w:t>Strengths and Uncertainties</w:t>
            </w:r>
          </w:p>
        </w:tc>
      </w:tr>
      <w:tr w:rsidR="008A1A1C" w:rsidRPr="00C37A1D" w14:paraId="14DA9323" w14:textId="77777777" w:rsidTr="008A1A1C">
        <w:tc>
          <w:tcPr>
            <w:tcW w:w="4395" w:type="dxa"/>
          </w:tcPr>
          <w:p w14:paraId="40BDD415"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Studies have been on small numbers and a number of them conducted decades ago.</w:t>
            </w:r>
          </w:p>
          <w:p w14:paraId="4D7DEFC3" w14:textId="099704A0"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Compliance in army studies has been very high</w:t>
            </w:r>
            <w:r w:rsidR="00B319AC">
              <w:rPr>
                <w:rFonts w:asciiTheme="minorHAnsi" w:hAnsiTheme="minorHAnsi" w:cstheme="minorHAnsi"/>
                <w:sz w:val="20"/>
                <w:szCs w:val="20"/>
              </w:rPr>
              <w:t>;</w:t>
            </w:r>
            <w:r w:rsidRPr="00FA3C56">
              <w:rPr>
                <w:rFonts w:asciiTheme="minorHAnsi" w:hAnsiTheme="minorHAnsi" w:cstheme="minorHAnsi"/>
                <w:sz w:val="20"/>
                <w:szCs w:val="20"/>
              </w:rPr>
              <w:t xml:space="preserve"> this may not be so in reality.</w:t>
            </w:r>
          </w:p>
          <w:p w14:paraId="7363E647" w14:textId="77777777" w:rsidR="008A1A1C" w:rsidRPr="00FA3C56" w:rsidRDefault="00FA3C56" w:rsidP="008A1A1C">
            <w:pPr>
              <w:rPr>
                <w:rFonts w:asciiTheme="minorHAnsi" w:hAnsiTheme="minorHAnsi" w:cstheme="minorHAnsi"/>
                <w:sz w:val="20"/>
                <w:szCs w:val="20"/>
              </w:rPr>
            </w:pPr>
            <w:r>
              <w:rPr>
                <w:rFonts w:asciiTheme="minorHAnsi" w:hAnsiTheme="minorHAnsi" w:cstheme="minorHAnsi"/>
                <w:sz w:val="20"/>
                <w:szCs w:val="20"/>
              </w:rPr>
              <w:t>No</w:t>
            </w:r>
            <w:r w:rsidR="008A1A1C" w:rsidRPr="00FA3C56">
              <w:rPr>
                <w:rFonts w:asciiTheme="minorHAnsi" w:hAnsiTheme="minorHAnsi" w:cstheme="minorHAnsi"/>
                <w:sz w:val="20"/>
                <w:szCs w:val="20"/>
              </w:rPr>
              <w:t xml:space="preserve"> post-marketing data.</w:t>
            </w:r>
          </w:p>
          <w:p w14:paraId="5A8614D9" w14:textId="77777777" w:rsidR="008A1A1C" w:rsidRPr="00FA3C56" w:rsidRDefault="00FA3C56" w:rsidP="008A1A1C">
            <w:pPr>
              <w:rPr>
                <w:rFonts w:asciiTheme="minorHAnsi" w:hAnsiTheme="minorHAnsi" w:cstheme="minorHAnsi"/>
                <w:sz w:val="20"/>
                <w:szCs w:val="20"/>
              </w:rPr>
            </w:pPr>
            <w:r>
              <w:rPr>
                <w:rFonts w:asciiTheme="minorHAnsi" w:hAnsiTheme="minorHAnsi" w:cstheme="minorHAnsi"/>
                <w:sz w:val="20"/>
                <w:szCs w:val="20"/>
              </w:rPr>
              <w:t>No</w:t>
            </w:r>
            <w:r w:rsidR="008A1A1C" w:rsidRPr="00FA3C56">
              <w:rPr>
                <w:rFonts w:asciiTheme="minorHAnsi" w:hAnsiTheme="minorHAnsi" w:cstheme="minorHAnsi"/>
                <w:sz w:val="20"/>
                <w:szCs w:val="20"/>
              </w:rPr>
              <w:t xml:space="preserve"> local background malaria incidence data to really assess what kind of impact tafenoquine would have.</w:t>
            </w:r>
          </w:p>
          <w:p w14:paraId="64DAA7C4" w14:textId="0199213B" w:rsidR="00F1528F"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Because of the long half-life, the loading dose is important otherwise blood levels may not be sufficient by the time of exposure (one week after starting).</w:t>
            </w:r>
          </w:p>
          <w:p w14:paraId="3362E95D"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It is also important for post-exposure prophylaxis, that one dose is taken after leaving the endemic area.</w:t>
            </w:r>
          </w:p>
          <w:p w14:paraId="749F627C" w14:textId="77777777" w:rsidR="008A1A1C"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Gastro-intestinal side effects are quite common, particularly diarrhoea (13% of subjects), GORD (2%), and vomiting (4%)</w:t>
            </w:r>
            <w:r w:rsidR="00156D9E" w:rsidRPr="00FA3C56">
              <w:rPr>
                <w:rFonts w:asciiTheme="minorHAnsi" w:hAnsiTheme="minorHAnsi" w:cstheme="minorHAnsi"/>
                <w:sz w:val="20"/>
                <w:szCs w:val="20"/>
              </w:rPr>
              <w:t>.</w:t>
            </w:r>
          </w:p>
          <w:p w14:paraId="219216C0" w14:textId="7CABD534" w:rsidR="008A1A1C" w:rsidRPr="00FA3C56" w:rsidRDefault="008A1A1C" w:rsidP="008A1A1C">
            <w:pPr>
              <w:rPr>
                <w:rFonts w:asciiTheme="minorHAnsi" w:hAnsiTheme="minorHAnsi"/>
                <w:sz w:val="20"/>
                <w:szCs w:val="20"/>
              </w:rPr>
            </w:pPr>
            <w:r w:rsidRPr="00FA3C56">
              <w:rPr>
                <w:rFonts w:asciiTheme="minorHAnsi" w:hAnsiTheme="minorHAnsi" w:cstheme="minorHAnsi"/>
                <w:sz w:val="20"/>
                <w:szCs w:val="20"/>
              </w:rPr>
              <w:t>This drug is contra-indicated in people with G6PD</w:t>
            </w:r>
            <w:r w:rsidR="00122529" w:rsidRPr="00FA3C56">
              <w:rPr>
                <w:rFonts w:asciiTheme="minorHAnsi" w:hAnsiTheme="minorHAnsi" w:cstheme="minorHAnsi"/>
                <w:sz w:val="20"/>
                <w:szCs w:val="20"/>
              </w:rPr>
              <w:t>D</w:t>
            </w:r>
            <w:r w:rsidRPr="00FA3C56">
              <w:rPr>
                <w:rFonts w:asciiTheme="minorHAnsi" w:hAnsiTheme="minorHAnsi" w:cstheme="minorHAnsi"/>
                <w:sz w:val="20"/>
                <w:szCs w:val="20"/>
              </w:rPr>
              <w:t>, but may also have adverse haematological effects in other people as well.</w:t>
            </w:r>
            <w:r w:rsidRPr="00FA3C56">
              <w:rPr>
                <w:rFonts w:asciiTheme="minorHAnsi" w:hAnsiTheme="minorHAnsi"/>
                <w:sz w:val="20"/>
                <w:szCs w:val="20"/>
              </w:rPr>
              <w:t xml:space="preserve"> Haemoglobin frequently decreases by 0.66 g/dL. Meth</w:t>
            </w:r>
            <w:r w:rsidR="0049096D">
              <w:rPr>
                <w:rFonts w:asciiTheme="minorHAnsi" w:hAnsiTheme="minorHAnsi"/>
                <w:sz w:val="20"/>
                <w:szCs w:val="20"/>
              </w:rPr>
              <w:t>a</w:t>
            </w:r>
            <w:r w:rsidRPr="00FA3C56">
              <w:rPr>
                <w:rFonts w:asciiTheme="minorHAnsi" w:hAnsiTheme="minorHAnsi"/>
                <w:sz w:val="20"/>
                <w:szCs w:val="20"/>
              </w:rPr>
              <w:t>emoglobin characteristically increases to &gt;1% but does not increase to as much as 10%, a level associated with hypoxia.</w:t>
            </w:r>
          </w:p>
          <w:p w14:paraId="7C7F8635" w14:textId="2F685266" w:rsidR="008A1A1C" w:rsidRPr="00FA3C56" w:rsidRDefault="008A1A1C" w:rsidP="009D4859">
            <w:pPr>
              <w:rPr>
                <w:rFonts w:asciiTheme="minorHAnsi" w:hAnsiTheme="minorHAnsi" w:cstheme="minorHAnsi"/>
                <w:sz w:val="20"/>
                <w:szCs w:val="20"/>
              </w:rPr>
            </w:pPr>
            <w:r w:rsidRPr="00FA3C56">
              <w:rPr>
                <w:rFonts w:asciiTheme="minorHAnsi" w:hAnsiTheme="minorHAnsi" w:cstheme="minorHAnsi"/>
                <w:sz w:val="20"/>
                <w:szCs w:val="20"/>
              </w:rPr>
              <w:t xml:space="preserve">In </w:t>
            </w:r>
            <w:r w:rsidR="009720A8" w:rsidRPr="00FA3C56">
              <w:rPr>
                <w:rFonts w:asciiTheme="minorHAnsi" w:hAnsiTheme="minorHAnsi" w:cstheme="minorHAnsi"/>
                <w:sz w:val="20"/>
                <w:szCs w:val="20"/>
              </w:rPr>
              <w:t>Study 0</w:t>
            </w:r>
            <w:r w:rsidRPr="00FA3C56">
              <w:rPr>
                <w:rFonts w:asciiTheme="minorHAnsi" w:hAnsiTheme="minorHAnsi" w:cstheme="minorHAnsi"/>
                <w:sz w:val="20"/>
                <w:szCs w:val="20"/>
              </w:rPr>
              <w:t>33, vortex keratopathy</w:t>
            </w:r>
            <w:r w:rsidR="0013672F">
              <w:rPr>
                <w:rFonts w:asciiTheme="minorHAnsi" w:hAnsiTheme="minorHAnsi" w:cstheme="minorHAnsi"/>
                <w:sz w:val="20"/>
                <w:szCs w:val="20"/>
              </w:rPr>
              <w:t xml:space="preserve"> (corneal deposits)</w:t>
            </w:r>
            <w:r w:rsidRPr="00FA3C56">
              <w:rPr>
                <w:rFonts w:asciiTheme="minorHAnsi" w:hAnsiTheme="minorHAnsi" w:cstheme="minorHAnsi"/>
                <w:sz w:val="20"/>
                <w:szCs w:val="20"/>
              </w:rPr>
              <w:t xml:space="preserve"> occurred in </w:t>
            </w:r>
            <w:r w:rsidR="009D4859">
              <w:rPr>
                <w:rFonts w:asciiTheme="minorHAnsi" w:hAnsiTheme="minorHAnsi" w:cstheme="minorHAnsi"/>
                <w:sz w:val="20"/>
                <w:szCs w:val="20"/>
              </w:rPr>
              <w:t>≥</w:t>
            </w:r>
            <w:r w:rsidRPr="00FA3C56">
              <w:rPr>
                <w:rFonts w:asciiTheme="minorHAnsi" w:hAnsiTheme="minorHAnsi" w:cstheme="minorHAnsi"/>
                <w:sz w:val="20"/>
                <w:szCs w:val="20"/>
              </w:rPr>
              <w:t>8% of tafenoquine subjects.</w:t>
            </w:r>
          </w:p>
        </w:tc>
        <w:tc>
          <w:tcPr>
            <w:tcW w:w="4394" w:type="dxa"/>
          </w:tcPr>
          <w:p w14:paraId="434CA3E1" w14:textId="77777777" w:rsidR="00F1528F"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Post-marketing data needs to be submitted to further assess the incidence of potentially serious side effects, particularly haematological and ocular.</w:t>
            </w:r>
          </w:p>
          <w:p w14:paraId="6E37B5B1" w14:textId="77777777" w:rsidR="00F1528F"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Gastrointestinal AEs can be ameliorated to some extent by taking tafenoquine with food.</w:t>
            </w:r>
          </w:p>
          <w:p w14:paraId="6A424806" w14:textId="4EC0619F" w:rsidR="00F1528F" w:rsidRPr="00FA3C56" w:rsidRDefault="008A1A1C" w:rsidP="008A1A1C">
            <w:pPr>
              <w:rPr>
                <w:rFonts w:asciiTheme="minorHAnsi" w:hAnsiTheme="minorHAnsi" w:cstheme="minorHAnsi"/>
                <w:sz w:val="20"/>
                <w:szCs w:val="20"/>
              </w:rPr>
            </w:pPr>
            <w:r w:rsidRPr="00FA3C56">
              <w:rPr>
                <w:rFonts w:asciiTheme="minorHAnsi" w:hAnsiTheme="minorHAnsi" w:cstheme="minorHAnsi"/>
                <w:sz w:val="20"/>
                <w:szCs w:val="20"/>
              </w:rPr>
              <w:t>There were no changes in tests of visual fields, visual acuity, or colour vision in these subjects, and all subjects experienced complete resolution of their</w:t>
            </w:r>
            <w:r w:rsidR="0013672F">
              <w:rPr>
                <w:rFonts w:asciiTheme="minorHAnsi" w:hAnsiTheme="minorHAnsi" w:cstheme="minorHAnsi"/>
                <w:sz w:val="20"/>
                <w:szCs w:val="20"/>
              </w:rPr>
              <w:t xml:space="preserve"> vortex</w:t>
            </w:r>
            <w:r w:rsidRPr="00FA3C56">
              <w:rPr>
                <w:rFonts w:asciiTheme="minorHAnsi" w:hAnsiTheme="minorHAnsi" w:cstheme="minorHAnsi"/>
                <w:sz w:val="20"/>
                <w:szCs w:val="20"/>
              </w:rPr>
              <w:t xml:space="preserve"> keratopathy</w:t>
            </w:r>
            <w:r w:rsidR="0013672F">
              <w:rPr>
                <w:rFonts w:asciiTheme="minorHAnsi" w:hAnsiTheme="minorHAnsi" w:cstheme="minorHAnsi"/>
                <w:sz w:val="20"/>
                <w:szCs w:val="20"/>
              </w:rPr>
              <w:t xml:space="preserve"> (corneal deposits)</w:t>
            </w:r>
            <w:r w:rsidRPr="00FA3C56">
              <w:rPr>
                <w:rFonts w:asciiTheme="minorHAnsi" w:hAnsiTheme="minorHAnsi" w:cstheme="minorHAnsi"/>
                <w:sz w:val="20"/>
                <w:szCs w:val="20"/>
              </w:rPr>
              <w:t xml:space="preserve"> within 1 year after the end of tafenoquine dosing.</w:t>
            </w:r>
          </w:p>
          <w:p w14:paraId="0BD210C9" w14:textId="6BEA0B0B" w:rsidR="008A1A1C" w:rsidRPr="00FA3C56" w:rsidRDefault="0013672F" w:rsidP="008A1A1C">
            <w:pPr>
              <w:rPr>
                <w:rFonts w:cstheme="minorHAnsi"/>
                <w:sz w:val="20"/>
                <w:szCs w:val="20"/>
                <w:u w:val="single"/>
              </w:rPr>
            </w:pPr>
            <w:r>
              <w:rPr>
                <w:rFonts w:asciiTheme="minorHAnsi" w:hAnsiTheme="minorHAnsi" w:cstheme="minorHAnsi"/>
                <w:sz w:val="20"/>
                <w:szCs w:val="20"/>
              </w:rPr>
              <w:t>Vortex k</w:t>
            </w:r>
            <w:r w:rsidR="008A1A1C" w:rsidRPr="00FA3C56">
              <w:rPr>
                <w:rFonts w:asciiTheme="minorHAnsi" w:hAnsiTheme="minorHAnsi" w:cstheme="minorHAnsi"/>
                <w:sz w:val="20"/>
                <w:szCs w:val="20"/>
              </w:rPr>
              <w:t>eratopathy</w:t>
            </w:r>
            <w:r>
              <w:rPr>
                <w:rFonts w:asciiTheme="minorHAnsi" w:hAnsiTheme="minorHAnsi" w:cstheme="minorHAnsi"/>
                <w:sz w:val="20"/>
                <w:szCs w:val="20"/>
              </w:rPr>
              <w:t xml:space="preserve"> (corneal deposits)</w:t>
            </w:r>
            <w:r w:rsidR="008A1A1C" w:rsidRPr="00FA3C56">
              <w:rPr>
                <w:rFonts w:asciiTheme="minorHAnsi" w:hAnsiTheme="minorHAnsi" w:cstheme="minorHAnsi"/>
                <w:sz w:val="20"/>
                <w:szCs w:val="20"/>
              </w:rPr>
              <w:t xml:space="preserve"> resolved by the Week 48 follow-up visit in all Tafenoquine ACR subjects.</w:t>
            </w:r>
          </w:p>
        </w:tc>
      </w:tr>
    </w:tbl>
    <w:p w14:paraId="204B6E53" w14:textId="77777777" w:rsidR="008A1A1C" w:rsidRPr="00545B14" w:rsidRDefault="008A1A1C" w:rsidP="00FB2482">
      <w:pPr>
        <w:pStyle w:val="Heading3"/>
      </w:pPr>
      <w:bookmarkStart w:id="716" w:name="_Toc236802597"/>
      <w:bookmarkStart w:id="717" w:name="_Toc241374335"/>
      <w:bookmarkStart w:id="718" w:name="_Toc272414695"/>
      <w:bookmarkStart w:id="719" w:name="_Toc290888559"/>
      <w:bookmarkStart w:id="720" w:name="_Toc416353775"/>
      <w:bookmarkStart w:id="721" w:name="_Toc421005316"/>
      <w:bookmarkStart w:id="722" w:name="_Toc432079187"/>
      <w:bookmarkStart w:id="723" w:name="_Toc432080760"/>
      <w:bookmarkStart w:id="724" w:name="_Toc504229394"/>
      <w:bookmarkStart w:id="725" w:name="_Toc501809168"/>
      <w:bookmarkStart w:id="726" w:name="_Toc12520304"/>
      <w:r w:rsidRPr="00545B14">
        <w:lastRenderedPageBreak/>
        <w:t>First round assessment of benefit-risk</w:t>
      </w:r>
      <w:bookmarkEnd w:id="716"/>
      <w:bookmarkEnd w:id="717"/>
      <w:bookmarkEnd w:id="718"/>
      <w:bookmarkEnd w:id="719"/>
      <w:bookmarkEnd w:id="720"/>
      <w:bookmarkEnd w:id="721"/>
      <w:r>
        <w:t xml:space="preserve"> balance</w:t>
      </w:r>
      <w:bookmarkEnd w:id="722"/>
      <w:bookmarkEnd w:id="723"/>
      <w:bookmarkEnd w:id="724"/>
      <w:bookmarkEnd w:id="725"/>
      <w:bookmarkEnd w:id="726"/>
    </w:p>
    <w:p w14:paraId="08D41A02" w14:textId="42194CC4" w:rsidR="008A1A1C" w:rsidRPr="007E7B0B" w:rsidRDefault="008A1A1C" w:rsidP="00156D9E">
      <w:r>
        <w:t xml:space="preserve">This assessment is very difficult to make. Statistically Study 033 achieved its primary outcome, that tafenoquine was non-inferior to mefloquine. This prophylactic efficacy was also shown in Study 045 (in semi immunes in Africa). The well conducted challenge </w:t>
      </w:r>
      <w:r w:rsidR="00156D9E">
        <w:t>S</w:t>
      </w:r>
      <w:r>
        <w:t>tudy TQ-2016-02 reinforces the efficacy of tafenoquine against the asexual stages of malaria (but obviously is not a comparable environment or duration).</w:t>
      </w:r>
      <w:r w:rsidRPr="00A2274E">
        <w:t xml:space="preserve"> Overall, the benefit-risk balance of tafenoquine for the proposed usage is favourable.</w:t>
      </w:r>
    </w:p>
    <w:p w14:paraId="4BF66683" w14:textId="0FCD32FF" w:rsidR="00F1528F" w:rsidRDefault="008A1A1C" w:rsidP="00156D9E">
      <w:pPr>
        <w:rPr>
          <w:lang w:eastAsia="ja-JP"/>
        </w:rPr>
      </w:pPr>
      <w:r>
        <w:rPr>
          <w:lang w:eastAsia="ja-JP"/>
        </w:rPr>
        <w:t>Tafenoquine is a drug that fills a gap in relation to malaria prophylaxis need. It may prove to be very useful, as a once weekly option. It does</w:t>
      </w:r>
      <w:r w:rsidR="00FA3C56">
        <w:rPr>
          <w:lang w:eastAsia="ja-JP"/>
        </w:rPr>
        <w:t xml:space="preserve"> </w:t>
      </w:r>
      <w:r>
        <w:rPr>
          <w:lang w:eastAsia="ja-JP"/>
        </w:rPr>
        <w:t>n</w:t>
      </w:r>
      <w:r w:rsidR="00FA3C56">
        <w:rPr>
          <w:lang w:eastAsia="ja-JP"/>
        </w:rPr>
        <w:t>o</w:t>
      </w:r>
      <w:r>
        <w:rPr>
          <w:lang w:eastAsia="ja-JP"/>
        </w:rPr>
        <w:t>t have the neuropsychiatric side effects that mefloquine does, but it does have potential for serious haematological side effects and the ocular side effects also need to be studied further in the RMP. There is also no post-marketing data to confirm safety or data past 26 weeks. It would also be ideal to see some studies comparing tafenoquine to malarone, which is being increasingly used (but does require daily therapy).</w:t>
      </w:r>
    </w:p>
    <w:p w14:paraId="46C79ABD" w14:textId="77777777" w:rsidR="00F1528F" w:rsidRDefault="008A1A1C" w:rsidP="00156D9E">
      <w:pPr>
        <w:rPr>
          <w:lang w:eastAsia="ja-JP"/>
        </w:rPr>
      </w:pPr>
      <w:r>
        <w:rPr>
          <w:lang w:eastAsia="ja-JP"/>
        </w:rPr>
        <w:t xml:space="preserve">Although, on balance, </w:t>
      </w:r>
      <w:r w:rsidR="00156D9E">
        <w:rPr>
          <w:lang w:eastAsia="ja-JP"/>
        </w:rPr>
        <w:t>the evaluator</w:t>
      </w:r>
      <w:r>
        <w:rPr>
          <w:lang w:eastAsia="ja-JP"/>
        </w:rPr>
        <w:t xml:space="preserve"> think</w:t>
      </w:r>
      <w:r w:rsidR="00156D9E">
        <w:rPr>
          <w:lang w:eastAsia="ja-JP"/>
        </w:rPr>
        <w:t>s</w:t>
      </w:r>
      <w:r>
        <w:rPr>
          <w:lang w:eastAsia="ja-JP"/>
        </w:rPr>
        <w:t xml:space="preserve"> this drug fills a need, </w:t>
      </w:r>
      <w:r w:rsidR="00156D9E">
        <w:rPr>
          <w:lang w:eastAsia="ja-JP"/>
        </w:rPr>
        <w:t>there is a</w:t>
      </w:r>
      <w:r>
        <w:rPr>
          <w:lang w:eastAsia="ja-JP"/>
        </w:rPr>
        <w:t xml:space="preserve"> need </w:t>
      </w:r>
      <w:r w:rsidR="00156D9E">
        <w:rPr>
          <w:lang w:eastAsia="ja-JP"/>
        </w:rPr>
        <w:t xml:space="preserve">for </w:t>
      </w:r>
      <w:r>
        <w:rPr>
          <w:lang w:eastAsia="ja-JP"/>
        </w:rPr>
        <w:t>more safety data, particularly in relation to use in heterozygotes for G6PD and the ocular side effects. There should be an undertaking to collect this.</w:t>
      </w:r>
    </w:p>
    <w:p w14:paraId="728814C1" w14:textId="61DB12F7" w:rsidR="008A1A1C" w:rsidRDefault="008A1A1C" w:rsidP="00156D9E">
      <w:pPr>
        <w:pStyle w:val="Heading2"/>
      </w:pPr>
      <w:bookmarkStart w:id="727" w:name="_Toc504229395"/>
      <w:bookmarkStart w:id="728" w:name="_Toc501809169"/>
      <w:bookmarkStart w:id="729" w:name="_Toc12520305"/>
      <w:r>
        <w:t>First round recommendation regarding authorisation</w:t>
      </w:r>
      <w:bookmarkEnd w:id="727"/>
      <w:bookmarkEnd w:id="728"/>
      <w:bookmarkEnd w:id="729"/>
    </w:p>
    <w:p w14:paraId="0D386DD4" w14:textId="77777777" w:rsidR="00A13E98" w:rsidRDefault="008A1A1C" w:rsidP="00A13E98">
      <w:r>
        <w:t xml:space="preserve">Whilst it would be nice to see the licensing of a new drug that obviously has efficacy against malaria and allows weekly rather than daily dosing, </w:t>
      </w:r>
      <w:r w:rsidR="00156D9E">
        <w:t>the evaluator</w:t>
      </w:r>
      <w:r>
        <w:t xml:space="preserve"> think</w:t>
      </w:r>
      <w:r w:rsidR="00156D9E">
        <w:t>s</w:t>
      </w:r>
      <w:r>
        <w:t xml:space="preserve"> that more data is needed.</w:t>
      </w:r>
      <w:bookmarkStart w:id="730" w:name="_Toc501809174"/>
      <w:bookmarkStart w:id="731" w:name="_Toc504229400"/>
    </w:p>
    <w:p w14:paraId="02F73997" w14:textId="48DA0414" w:rsidR="008A1A1C" w:rsidRDefault="008A1A1C" w:rsidP="00156D9E">
      <w:pPr>
        <w:pStyle w:val="Heading2"/>
      </w:pPr>
      <w:bookmarkStart w:id="732" w:name="_Toc12520306"/>
      <w:r>
        <w:t xml:space="preserve">Clinical </w:t>
      </w:r>
      <w:r w:rsidRPr="00156D9E">
        <w:t>questions</w:t>
      </w:r>
      <w:bookmarkEnd w:id="730"/>
      <w:bookmarkEnd w:id="731"/>
      <w:bookmarkEnd w:id="732"/>
    </w:p>
    <w:p w14:paraId="616919BD" w14:textId="04FE48F8" w:rsidR="006A355C" w:rsidRPr="006A355C" w:rsidRDefault="006A355C" w:rsidP="00FB2482">
      <w:pPr>
        <w:pStyle w:val="Heading3"/>
      </w:pPr>
      <w:bookmarkStart w:id="733" w:name="_Toc12520307"/>
      <w:r>
        <w:t>General</w:t>
      </w:r>
      <w:bookmarkEnd w:id="733"/>
    </w:p>
    <w:p w14:paraId="180D573C" w14:textId="24310E8D" w:rsidR="008A1A1C" w:rsidRPr="00512DCC" w:rsidRDefault="008A1A1C" w:rsidP="00E730B4">
      <w:pPr>
        <w:pStyle w:val="Numberbullet0"/>
        <w:numPr>
          <w:ilvl w:val="0"/>
          <w:numId w:val="18"/>
        </w:numPr>
        <w:rPr>
          <w:lang w:eastAsia="ja-JP"/>
        </w:rPr>
      </w:pPr>
      <w:r w:rsidRPr="00512DCC">
        <w:rPr>
          <w:lang w:eastAsia="ja-JP"/>
        </w:rPr>
        <w:t>Could the sponsor please provide an update on the status of the USA submission</w:t>
      </w:r>
      <w:r>
        <w:rPr>
          <w:lang w:eastAsia="ja-JP"/>
        </w:rPr>
        <w:t xml:space="preserve"> and the querie</w:t>
      </w:r>
      <w:r w:rsidR="00156D9E">
        <w:rPr>
          <w:lang w:eastAsia="ja-JP"/>
        </w:rPr>
        <w:t>s raised?</w:t>
      </w:r>
    </w:p>
    <w:p w14:paraId="52D84EAB" w14:textId="134D239F" w:rsidR="008A1A1C" w:rsidRDefault="008A1A1C" w:rsidP="00FB2482">
      <w:pPr>
        <w:pStyle w:val="Heading3"/>
      </w:pPr>
      <w:bookmarkStart w:id="734" w:name="_Toc272414702"/>
      <w:bookmarkStart w:id="735" w:name="_Toc290888568"/>
      <w:bookmarkStart w:id="736" w:name="_Toc416353784"/>
      <w:bookmarkStart w:id="737" w:name="_Toc421005324"/>
      <w:bookmarkStart w:id="738" w:name="_Toc432079195"/>
      <w:bookmarkStart w:id="739" w:name="_Toc432080768"/>
      <w:bookmarkStart w:id="740" w:name="_Toc12520308"/>
      <w:r w:rsidRPr="00E01445">
        <w:t>Pharmacokinetics</w:t>
      </w:r>
      <w:bookmarkStart w:id="741" w:name="_Toc272414703"/>
      <w:bookmarkStart w:id="742" w:name="_Toc290888569"/>
      <w:bookmarkStart w:id="743" w:name="_Toc416353785"/>
      <w:bookmarkStart w:id="744" w:name="_Toc421005325"/>
      <w:bookmarkStart w:id="745" w:name="_Toc432079196"/>
      <w:bookmarkStart w:id="746" w:name="_Toc432080769"/>
      <w:bookmarkEnd w:id="734"/>
      <w:bookmarkEnd w:id="735"/>
      <w:bookmarkEnd w:id="736"/>
      <w:bookmarkEnd w:id="737"/>
      <w:bookmarkEnd w:id="738"/>
      <w:bookmarkEnd w:id="739"/>
      <w:r w:rsidR="00156D9E">
        <w:t xml:space="preserve"> and p</w:t>
      </w:r>
      <w:r w:rsidRPr="00E01445">
        <w:t>harmacodynamics</w:t>
      </w:r>
      <w:bookmarkEnd w:id="741"/>
      <w:bookmarkEnd w:id="742"/>
      <w:bookmarkEnd w:id="743"/>
      <w:bookmarkEnd w:id="744"/>
      <w:bookmarkEnd w:id="745"/>
      <w:bookmarkEnd w:id="746"/>
      <w:bookmarkEnd w:id="740"/>
    </w:p>
    <w:p w14:paraId="4F4EE6F6" w14:textId="252B9FB8" w:rsidR="008A1A1C" w:rsidRPr="008A14BD" w:rsidRDefault="008A1A1C" w:rsidP="00E730B4">
      <w:pPr>
        <w:pStyle w:val="Numberbullet0"/>
        <w:numPr>
          <w:ilvl w:val="0"/>
          <w:numId w:val="17"/>
        </w:numPr>
        <w:rPr>
          <w:lang w:eastAsia="ja-JP"/>
        </w:rPr>
      </w:pPr>
      <w:r>
        <w:rPr>
          <w:lang w:eastAsia="ja-JP"/>
        </w:rPr>
        <w:t>In the initial challenge studies used to determine a dosing structure, it is stated that a plasma concentration &gt;50</w:t>
      </w:r>
      <w:r w:rsidR="00122529">
        <w:rPr>
          <w:lang w:eastAsia="ja-JP"/>
        </w:rPr>
        <w:t xml:space="preserve"> ng/mL</w:t>
      </w:r>
      <w:r>
        <w:rPr>
          <w:lang w:eastAsia="ja-JP"/>
        </w:rPr>
        <w:t xml:space="preserve"> was thought to be adequate to prevent relapse. Why was the goal </w:t>
      </w:r>
      <w:proofErr w:type="gramStart"/>
      <w:r>
        <w:rPr>
          <w:lang w:eastAsia="ja-JP"/>
        </w:rPr>
        <w:t>of 80</w:t>
      </w:r>
      <w:r w:rsidR="00122529">
        <w:rPr>
          <w:lang w:eastAsia="ja-JP"/>
        </w:rPr>
        <w:t xml:space="preserve"> ng/mL</w:t>
      </w:r>
      <w:proofErr w:type="gramEnd"/>
      <w:r>
        <w:rPr>
          <w:lang w:eastAsia="ja-JP"/>
        </w:rPr>
        <w:t xml:space="preserve"> then chosen as the desired minimal concentration?</w:t>
      </w:r>
    </w:p>
    <w:p w14:paraId="20FF5A57" w14:textId="47ED98B0" w:rsidR="008A1A1C" w:rsidRDefault="008A1A1C" w:rsidP="00E730B4">
      <w:pPr>
        <w:pStyle w:val="Numberbullet0"/>
        <w:rPr>
          <w:lang w:eastAsia="ja-JP"/>
        </w:rPr>
      </w:pPr>
      <w:r w:rsidRPr="008A14BD">
        <w:rPr>
          <w:lang w:eastAsia="ja-JP"/>
        </w:rPr>
        <w:t xml:space="preserve">Given that a number of these studies were conducted over a decade ago (some 2 decades), </w:t>
      </w:r>
      <w:r>
        <w:rPr>
          <w:lang w:eastAsia="ja-JP"/>
        </w:rPr>
        <w:t>it would be very helpful to have</w:t>
      </w:r>
      <w:r w:rsidRPr="008A14BD">
        <w:rPr>
          <w:lang w:eastAsia="ja-JP"/>
        </w:rPr>
        <w:t xml:space="preserve"> a timeline with a summary of the various dosing regimens (and resultant decision making for subsequent trial design)</w:t>
      </w:r>
      <w:r>
        <w:rPr>
          <w:lang w:eastAsia="ja-JP"/>
        </w:rPr>
        <w:t>.</w:t>
      </w:r>
    </w:p>
    <w:p w14:paraId="7F396F74" w14:textId="671F38FB" w:rsidR="008A1A1C" w:rsidRPr="008A14BD" w:rsidRDefault="008A1A1C" w:rsidP="00E730B4">
      <w:pPr>
        <w:pStyle w:val="Numberbullet0"/>
        <w:rPr>
          <w:lang w:eastAsia="ja-JP"/>
        </w:rPr>
      </w:pPr>
      <w:r>
        <w:rPr>
          <w:lang w:eastAsia="ja-JP"/>
        </w:rPr>
        <w:t xml:space="preserve">Has any consideration been given to a malaria challenge study such as </w:t>
      </w:r>
      <w:r w:rsidR="0049096D">
        <w:rPr>
          <w:lang w:eastAsia="ja-JP"/>
        </w:rPr>
        <w:t xml:space="preserve">Study </w:t>
      </w:r>
      <w:r>
        <w:rPr>
          <w:lang w:eastAsia="ja-JP"/>
        </w:rPr>
        <w:t xml:space="preserve">TQ-2016-2 being performed with </w:t>
      </w:r>
      <w:proofErr w:type="gramStart"/>
      <w:r>
        <w:rPr>
          <w:lang w:eastAsia="ja-JP"/>
        </w:rPr>
        <w:t>Pv</w:t>
      </w:r>
      <w:proofErr w:type="gramEnd"/>
      <w:r>
        <w:rPr>
          <w:lang w:eastAsia="ja-JP"/>
        </w:rPr>
        <w:t>?</w:t>
      </w:r>
    </w:p>
    <w:p w14:paraId="5975A9A7" w14:textId="1D7A7B2B" w:rsidR="008A1A1C" w:rsidRDefault="008A1A1C" w:rsidP="00FB2482">
      <w:pPr>
        <w:pStyle w:val="Heading3"/>
      </w:pPr>
      <w:bookmarkStart w:id="747" w:name="_Toc272414704"/>
      <w:bookmarkStart w:id="748" w:name="_Toc290888570"/>
      <w:bookmarkStart w:id="749" w:name="_Toc416353786"/>
      <w:bookmarkStart w:id="750" w:name="_Toc421005326"/>
      <w:bookmarkStart w:id="751" w:name="_Toc432079197"/>
      <w:bookmarkStart w:id="752" w:name="_Toc432080770"/>
      <w:bookmarkStart w:id="753" w:name="_Toc12520309"/>
      <w:r w:rsidRPr="00E01445">
        <w:t>Effica</w:t>
      </w:r>
      <w:bookmarkEnd w:id="747"/>
      <w:bookmarkEnd w:id="748"/>
      <w:bookmarkEnd w:id="749"/>
      <w:bookmarkEnd w:id="750"/>
      <w:bookmarkEnd w:id="751"/>
      <w:bookmarkEnd w:id="752"/>
      <w:r>
        <w:t>cy</w:t>
      </w:r>
      <w:bookmarkEnd w:id="753"/>
    </w:p>
    <w:p w14:paraId="11FA56E5" w14:textId="11648F57" w:rsidR="008A1A1C" w:rsidRDefault="008A1A1C" w:rsidP="00E730B4">
      <w:pPr>
        <w:pStyle w:val="Numberbullet0"/>
        <w:rPr>
          <w:lang w:eastAsia="ja-JP"/>
        </w:rPr>
      </w:pPr>
      <w:r>
        <w:rPr>
          <w:lang w:eastAsia="ja-JP"/>
        </w:rPr>
        <w:t xml:space="preserve">Could the sponsor please provide data on </w:t>
      </w:r>
      <w:r w:rsidR="0049096D">
        <w:rPr>
          <w:lang w:eastAsia="ja-JP"/>
        </w:rPr>
        <w:t xml:space="preserve">malaria </w:t>
      </w:r>
      <w:r>
        <w:rPr>
          <w:lang w:eastAsia="ja-JP"/>
        </w:rPr>
        <w:t>related morbidity and mortality in Australia</w:t>
      </w:r>
      <w:r w:rsidR="00B319AC">
        <w:rPr>
          <w:lang w:eastAsia="ja-JP"/>
        </w:rPr>
        <w:t>?</w:t>
      </w:r>
    </w:p>
    <w:p w14:paraId="4BE43FE5" w14:textId="40AB67A5" w:rsidR="008A1A1C" w:rsidRDefault="008A1A1C" w:rsidP="00E730B4">
      <w:pPr>
        <w:pStyle w:val="Heading2"/>
        <w:numPr>
          <w:ilvl w:val="0"/>
          <w:numId w:val="5"/>
        </w:numPr>
      </w:pPr>
      <w:bookmarkStart w:id="754" w:name="_Toc504229407"/>
      <w:bookmarkStart w:id="755" w:name="_Toc501809181"/>
      <w:bookmarkStart w:id="756" w:name="_Toc12520310"/>
      <w:r>
        <w:lastRenderedPageBreak/>
        <w:t>Second round evaluation</w:t>
      </w:r>
      <w:bookmarkEnd w:id="754"/>
      <w:bookmarkEnd w:id="755"/>
      <w:bookmarkEnd w:id="756"/>
    </w:p>
    <w:p w14:paraId="0E741095" w14:textId="62316565" w:rsidR="006A355C" w:rsidRDefault="006A355C" w:rsidP="00FB2482">
      <w:pPr>
        <w:pStyle w:val="Heading3"/>
      </w:pPr>
      <w:bookmarkStart w:id="757" w:name="_Toc12520311"/>
      <w:r>
        <w:t>General</w:t>
      </w:r>
      <w:bookmarkEnd w:id="757"/>
    </w:p>
    <w:p w14:paraId="67FC2890" w14:textId="4FACFBFF" w:rsidR="00B91337" w:rsidRPr="00B91337" w:rsidRDefault="00B91337" w:rsidP="00A13E98">
      <w:pPr>
        <w:pStyle w:val="Heading4"/>
      </w:pPr>
      <w:r>
        <w:t>Question 1</w:t>
      </w:r>
    </w:p>
    <w:p w14:paraId="15ACD62F" w14:textId="165555C0" w:rsidR="008A1A1C" w:rsidRPr="00A13E98" w:rsidRDefault="008A1A1C" w:rsidP="00A13E98">
      <w:pPr>
        <w:pStyle w:val="Numberbullet0"/>
        <w:numPr>
          <w:ilvl w:val="0"/>
          <w:numId w:val="0"/>
        </w:numPr>
        <w:ind w:left="425" w:hanging="255"/>
        <w:rPr>
          <w:i/>
        </w:rPr>
      </w:pPr>
      <w:r w:rsidRPr="00A13E98">
        <w:rPr>
          <w:i/>
        </w:rPr>
        <w:t>Could the sponsor please provide an update on the status of the</w:t>
      </w:r>
      <w:r w:rsidR="006A355C" w:rsidRPr="00A13E98">
        <w:rPr>
          <w:i/>
        </w:rPr>
        <w:t xml:space="preserve"> USA submission?</w:t>
      </w:r>
    </w:p>
    <w:p w14:paraId="051595C7" w14:textId="4B3B2D27" w:rsidR="008A1A1C" w:rsidRDefault="008A1A1C" w:rsidP="00E730B4">
      <w:pPr>
        <w:pStyle w:val="Heading6"/>
      </w:pPr>
      <w:r>
        <w:t>Evaluator’s assessment</w:t>
      </w:r>
    </w:p>
    <w:p w14:paraId="281FB53B" w14:textId="579A7A83" w:rsidR="008A1A1C" w:rsidRDefault="008A1A1C" w:rsidP="008A1A1C">
      <w:pPr>
        <w:rPr>
          <w:lang w:eastAsia="ja-JP"/>
        </w:rPr>
      </w:pPr>
      <w:r>
        <w:rPr>
          <w:lang w:eastAsia="ja-JP"/>
        </w:rPr>
        <w:t xml:space="preserve">This submission has not yet been approved in the USA, and interestingly, similar to Australia, </w:t>
      </w:r>
      <w:r w:rsidR="006A355C">
        <w:rPr>
          <w:lang w:eastAsia="ja-JP"/>
        </w:rPr>
        <w:t>the TGA</w:t>
      </w:r>
      <w:r>
        <w:rPr>
          <w:lang w:eastAsia="ja-JP"/>
        </w:rPr>
        <w:t xml:space="preserve"> had concerns about the lack of statements relating to GCP for some of the studies. The company does not state whether they have provided these statements either to the USA or the TGA (and they are not included in the documentation).</w:t>
      </w:r>
    </w:p>
    <w:p w14:paraId="63786C47" w14:textId="03C82BE6" w:rsidR="006A355C" w:rsidRDefault="006A355C" w:rsidP="00FB2482">
      <w:pPr>
        <w:pStyle w:val="Heading3"/>
      </w:pPr>
      <w:bookmarkStart w:id="758" w:name="_Toc12520312"/>
      <w:r w:rsidRPr="00E01445">
        <w:t>Pharmacokinetics</w:t>
      </w:r>
      <w:r>
        <w:t xml:space="preserve"> and p</w:t>
      </w:r>
      <w:r w:rsidRPr="00E01445">
        <w:t>harmacodynamics</w:t>
      </w:r>
      <w:bookmarkEnd w:id="758"/>
    </w:p>
    <w:p w14:paraId="3A4C3DC1" w14:textId="19E9DFF8" w:rsidR="00B91337" w:rsidRPr="00B91337" w:rsidRDefault="00B91337" w:rsidP="00A13E98">
      <w:pPr>
        <w:pStyle w:val="Heading4"/>
      </w:pPr>
      <w:r>
        <w:t>Question 2</w:t>
      </w:r>
    </w:p>
    <w:p w14:paraId="1DDEC373" w14:textId="4E3E2C2B" w:rsidR="008A1A1C" w:rsidRPr="00A13E98" w:rsidRDefault="008A1A1C" w:rsidP="00A13E98">
      <w:pPr>
        <w:ind w:left="170"/>
        <w:rPr>
          <w:i/>
        </w:rPr>
      </w:pPr>
      <w:r w:rsidRPr="00A13E98">
        <w:rPr>
          <w:i/>
        </w:rPr>
        <w:t>In the initial challenge studies used to determine a dosing structure, it is stated that a plasma concentration &gt;50</w:t>
      </w:r>
      <w:r w:rsidR="00122529" w:rsidRPr="00A13E98">
        <w:rPr>
          <w:i/>
        </w:rPr>
        <w:t xml:space="preserve"> ng/mL</w:t>
      </w:r>
      <w:r w:rsidRPr="00A13E98">
        <w:rPr>
          <w:i/>
        </w:rPr>
        <w:t xml:space="preserve"> was thought to be adequate to prevent relapse. Why was the goal </w:t>
      </w:r>
      <w:proofErr w:type="gramStart"/>
      <w:r w:rsidRPr="00A13E98">
        <w:rPr>
          <w:i/>
        </w:rPr>
        <w:t>of 80</w:t>
      </w:r>
      <w:r w:rsidR="00122529" w:rsidRPr="00A13E98">
        <w:rPr>
          <w:i/>
        </w:rPr>
        <w:t xml:space="preserve"> ng/mL</w:t>
      </w:r>
      <w:proofErr w:type="gramEnd"/>
      <w:r w:rsidRPr="00A13E98">
        <w:rPr>
          <w:i/>
        </w:rPr>
        <w:t xml:space="preserve"> then chosen as the desired minimal concentration?</w:t>
      </w:r>
    </w:p>
    <w:p w14:paraId="05FCDC96" w14:textId="31A09B7D" w:rsidR="008A1A1C" w:rsidRDefault="006A355C" w:rsidP="00E730B4">
      <w:pPr>
        <w:pStyle w:val="Heading6"/>
        <w:rPr>
          <w:lang w:eastAsia="ja-JP"/>
        </w:rPr>
      </w:pPr>
      <w:r>
        <w:rPr>
          <w:lang w:eastAsia="ja-JP"/>
        </w:rPr>
        <w:t>Sponsor r</w:t>
      </w:r>
      <w:r w:rsidR="00E730B4">
        <w:rPr>
          <w:lang w:eastAsia="ja-JP"/>
        </w:rPr>
        <w:t>esponse</w:t>
      </w:r>
    </w:p>
    <w:p w14:paraId="50A716BF" w14:textId="282C45E1" w:rsidR="00F1528F" w:rsidRDefault="008A1A1C" w:rsidP="006A355C">
      <w:r>
        <w:t>Studies in non-immune persons, showed that symptomatic breakthrough of malaria occurred when tafenoquine plasma concentrations were &lt; 50</w:t>
      </w:r>
      <w:r w:rsidR="00122529">
        <w:t xml:space="preserve"> ng/mL</w:t>
      </w:r>
      <w:r>
        <w:t xml:space="preserve">. Consequently, a precautionary plasma concentration </w:t>
      </w:r>
      <w:proofErr w:type="gramStart"/>
      <w:r>
        <w:t>of 80</w:t>
      </w:r>
      <w:r w:rsidR="00122529">
        <w:t xml:space="preserve"> ng/mL</w:t>
      </w:r>
      <w:proofErr w:type="gramEnd"/>
      <w:r>
        <w:t xml:space="preserve"> was selected as the minimum target trough value for prevention of symptomatic malaria development in non-immune individuals</w:t>
      </w:r>
    </w:p>
    <w:p w14:paraId="35207654" w14:textId="1510E9F0" w:rsidR="008A1A1C" w:rsidRDefault="008A1A1C" w:rsidP="00E730B4">
      <w:pPr>
        <w:pStyle w:val="Heading6"/>
        <w:rPr>
          <w:lang w:eastAsia="ja-JP"/>
        </w:rPr>
      </w:pPr>
      <w:r>
        <w:rPr>
          <w:lang w:eastAsia="ja-JP"/>
        </w:rPr>
        <w:t>Evaluator’s assessment</w:t>
      </w:r>
    </w:p>
    <w:p w14:paraId="39683F4B" w14:textId="13EB8C75" w:rsidR="008A1A1C" w:rsidRDefault="008A1A1C" w:rsidP="008A1A1C">
      <w:pPr>
        <w:rPr>
          <w:lang w:eastAsia="ja-JP"/>
        </w:rPr>
      </w:pPr>
      <w:r>
        <w:rPr>
          <w:lang w:eastAsia="ja-JP"/>
        </w:rPr>
        <w:t>The specific question is not answered.</w:t>
      </w:r>
    </w:p>
    <w:p w14:paraId="3C41F22E" w14:textId="48F49452" w:rsidR="00B91337" w:rsidRDefault="00B91337" w:rsidP="00A13E98">
      <w:pPr>
        <w:pStyle w:val="Heading4"/>
      </w:pPr>
      <w:r>
        <w:t>Question 3</w:t>
      </w:r>
    </w:p>
    <w:p w14:paraId="6F5104B9" w14:textId="4724050F" w:rsidR="008A1A1C" w:rsidRPr="00A13E98" w:rsidRDefault="008A1A1C" w:rsidP="00A13E98">
      <w:pPr>
        <w:ind w:left="170"/>
        <w:rPr>
          <w:i/>
        </w:rPr>
      </w:pPr>
      <w:r w:rsidRPr="00A13E98">
        <w:rPr>
          <w:i/>
        </w:rPr>
        <w:t>Given that a number of these studies were conducted over a decade ago (some 2 decades), it would be very helpful to have a timeline with a summary of the various dosing regimens (and resultant decision making for subsequent trial design)</w:t>
      </w:r>
      <w:r w:rsidR="006A355C" w:rsidRPr="00A13E98">
        <w:rPr>
          <w:i/>
        </w:rPr>
        <w:t>.</w:t>
      </w:r>
    </w:p>
    <w:p w14:paraId="122F1D4E" w14:textId="17B8DF82" w:rsidR="008A1A1C" w:rsidRDefault="006A355C" w:rsidP="00E730B4">
      <w:pPr>
        <w:pStyle w:val="Heading6"/>
        <w:rPr>
          <w:lang w:eastAsia="ja-JP"/>
        </w:rPr>
      </w:pPr>
      <w:r>
        <w:rPr>
          <w:lang w:eastAsia="ja-JP"/>
        </w:rPr>
        <w:t>Sponsor r</w:t>
      </w:r>
      <w:r w:rsidR="008A1A1C">
        <w:rPr>
          <w:lang w:eastAsia="ja-JP"/>
        </w:rPr>
        <w:t>esponse</w:t>
      </w:r>
    </w:p>
    <w:p w14:paraId="3483E29F" w14:textId="71D2989D" w:rsidR="008A1A1C" w:rsidRDefault="008A1A1C" w:rsidP="006A355C">
      <w:r>
        <w:t xml:space="preserve">The </w:t>
      </w:r>
      <w:r w:rsidR="00F1528F">
        <w:t>Phase II</w:t>
      </w:r>
      <w:r>
        <w:t xml:space="preserve"> studies that led to the generation of the proposed clinical regimen were </w:t>
      </w:r>
      <w:r w:rsidR="006A355C">
        <w:t>S</w:t>
      </w:r>
      <w:r>
        <w:t>tudies</w:t>
      </w:r>
      <w:r w:rsidR="00B91337">
        <w:t> </w:t>
      </w:r>
      <w:r>
        <w:t>053 and 054, 006, 044, and 043.</w:t>
      </w:r>
    </w:p>
    <w:p w14:paraId="4299CAD3" w14:textId="1BBD783F" w:rsidR="008A1A1C" w:rsidRDefault="008A1A1C" w:rsidP="006A355C">
      <w:pPr>
        <w:pStyle w:val="ListBullet"/>
      </w:pPr>
      <w:r>
        <w:t>Studies 053 and 054 (study reports in 2004) were small challenge studies provided</w:t>
      </w:r>
      <w:r w:rsidR="006A355C">
        <w:t xml:space="preserve"> </w:t>
      </w:r>
      <w:r>
        <w:t>pharmacokinetic data that allowed some correlation of parasitological failure with trough drug levels.</w:t>
      </w:r>
    </w:p>
    <w:p w14:paraId="2106CB0F" w14:textId="2971E5C5" w:rsidR="008A1A1C" w:rsidRDefault="008A1A1C" w:rsidP="006A355C">
      <w:pPr>
        <w:pStyle w:val="ListBullet"/>
      </w:pPr>
      <w:r>
        <w:t>Study 006 (study report in 2002) investigated different loading doses and found that dose levels of 50 mg to 200 mg were equally protective for 7 weeks, suggesting that for prolonged prophylaxis, a loading dose would have to be supplemented with maintenance doses.</w:t>
      </w:r>
    </w:p>
    <w:p w14:paraId="1CA8C017" w14:textId="130F90F9" w:rsidR="008A1A1C" w:rsidRDefault="008A1A1C" w:rsidP="006A355C">
      <w:pPr>
        <w:pStyle w:val="ListBullet"/>
      </w:pPr>
      <w:r>
        <w:t>Study 044 (study report in 2003) investigated a complete prophylactic regimen (loading dose</w:t>
      </w:r>
      <w:r w:rsidR="006A355C">
        <w:t xml:space="preserve"> </w:t>
      </w:r>
      <w:r>
        <w:t>followed by maintenance doses) with 400 mg.</w:t>
      </w:r>
    </w:p>
    <w:p w14:paraId="10DDEA55" w14:textId="476E5F6F" w:rsidR="008A1A1C" w:rsidRDefault="008A1A1C" w:rsidP="006A355C">
      <w:pPr>
        <w:pStyle w:val="ListBullet"/>
      </w:pPr>
      <w:r>
        <w:t>Study 043 (study report in 2003) was the study which utilised the submitted clinical regimen. Both 200 mg per dose or 400 mg per dose were equivalent and 200 mg better tolerated.</w:t>
      </w:r>
    </w:p>
    <w:p w14:paraId="2C73664B" w14:textId="11CC45A0" w:rsidR="008A1A1C" w:rsidRDefault="00F1528F" w:rsidP="006A355C">
      <w:r>
        <w:t>Phase III</w:t>
      </w:r>
      <w:r w:rsidR="008A1A1C">
        <w:t xml:space="preserve"> studies consisted of </w:t>
      </w:r>
      <w:r w:rsidR="006A355C">
        <w:t>S</w:t>
      </w:r>
      <w:r w:rsidR="008A1A1C">
        <w:t>tudies 045, 033, and TQ-2016-02.</w:t>
      </w:r>
    </w:p>
    <w:p w14:paraId="6228138D" w14:textId="0EB235D4" w:rsidR="00F1528F" w:rsidRDefault="008A1A1C" w:rsidP="006A355C">
      <w:pPr>
        <w:pStyle w:val="ListBullet"/>
      </w:pPr>
      <w:r>
        <w:lastRenderedPageBreak/>
        <w:t>Study 045 (study report in 2003) was the first study that compared the proposed clinical regimen (200 mg/day x 3 days followed by 200 mg weekly) to the active comparator mefloquine (in semi-immunes).</w:t>
      </w:r>
    </w:p>
    <w:p w14:paraId="3682ECED" w14:textId="3894D123" w:rsidR="00F1528F" w:rsidRDefault="008A1A1C" w:rsidP="006A355C">
      <w:pPr>
        <w:pStyle w:val="ListBullet"/>
      </w:pPr>
      <w:r>
        <w:t>Study 033 (study report in 2008) compared the proposed clinical regimen to the active</w:t>
      </w:r>
      <w:r w:rsidR="006A355C">
        <w:t xml:space="preserve"> </w:t>
      </w:r>
      <w:r>
        <w:t xml:space="preserve">comparator mefloquine in non-immunes predominately exposed to </w:t>
      </w:r>
      <w:proofErr w:type="gramStart"/>
      <w:r w:rsidR="006A355C">
        <w:t>Pv</w:t>
      </w:r>
      <w:proofErr w:type="gramEnd"/>
      <w:r>
        <w:t>.</w:t>
      </w:r>
    </w:p>
    <w:p w14:paraId="57C81EBB" w14:textId="617C0CFA" w:rsidR="00F1528F" w:rsidRDefault="008A1A1C" w:rsidP="006A355C">
      <w:pPr>
        <w:pStyle w:val="ListBullet"/>
      </w:pPr>
      <w:r>
        <w:t xml:space="preserve">Study TQ-2016-02 (study report in 2017) was performed to expand the database with respect to </w:t>
      </w:r>
      <w:r w:rsidR="006A355C">
        <w:t>Pf.</w:t>
      </w:r>
    </w:p>
    <w:p w14:paraId="334FD595" w14:textId="3735A949" w:rsidR="006A355C" w:rsidRDefault="006A355C" w:rsidP="006A355C">
      <w:pPr>
        <w:pStyle w:val="ListBullet"/>
        <w:numPr>
          <w:ilvl w:val="0"/>
          <w:numId w:val="0"/>
        </w:numPr>
      </w:pPr>
      <w:r>
        <w:t>The table below summarises the studies submitted</w:t>
      </w:r>
      <w:r w:rsidR="00B91337">
        <w:t>.</w:t>
      </w:r>
    </w:p>
    <w:p w14:paraId="18C19351" w14:textId="6C20E90C" w:rsidR="006A355C" w:rsidRDefault="006A355C" w:rsidP="006A355C">
      <w:pPr>
        <w:pStyle w:val="Tabletitle"/>
      </w:pPr>
      <w:r>
        <w:t xml:space="preserve">Table </w:t>
      </w:r>
      <w:r w:rsidR="003F0ECA">
        <w:t>5</w:t>
      </w:r>
      <w:r w:rsidR="005B2850">
        <w:t>8</w:t>
      </w:r>
      <w:r>
        <w:t>: Studies submitted with this submission</w:t>
      </w:r>
    </w:p>
    <w:p w14:paraId="553D4A44" w14:textId="6C1E69DD" w:rsidR="008A1A1C" w:rsidRDefault="008A1A1C" w:rsidP="008A1A1C">
      <w:pPr>
        <w:autoSpaceDE w:val="0"/>
        <w:autoSpaceDN w:val="0"/>
        <w:adjustRightInd w:val="0"/>
        <w:spacing w:before="0" w:after="0" w:line="240" w:lineRule="auto"/>
        <w:rPr>
          <w:lang w:eastAsia="ja-JP"/>
        </w:rPr>
      </w:pPr>
      <w:r>
        <w:rPr>
          <w:noProof/>
          <w:lang w:eastAsia="en-AU"/>
        </w:rPr>
        <w:drawing>
          <wp:inline distT="0" distB="0" distL="0" distR="0" wp14:anchorId="1D47472F" wp14:editId="28F443F1">
            <wp:extent cx="5029200" cy="4192860"/>
            <wp:effectExtent l="0" t="0" r="0" b="0"/>
            <wp:docPr id="5" name="Picture 5" descr="Studies submitted with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5036451" cy="4198905"/>
                    </a:xfrm>
                    <a:prstGeom prst="rect">
                      <a:avLst/>
                    </a:prstGeom>
                    <a:noFill/>
                    <a:ln>
                      <a:noFill/>
                    </a:ln>
                  </pic:spPr>
                </pic:pic>
              </a:graphicData>
            </a:graphic>
          </wp:inline>
        </w:drawing>
      </w:r>
    </w:p>
    <w:p w14:paraId="2B56E341" w14:textId="32FB732D" w:rsidR="008A1A1C" w:rsidRPr="007D5EBB" w:rsidRDefault="008A1A1C" w:rsidP="00E730B4">
      <w:pPr>
        <w:pStyle w:val="Heading6"/>
        <w:rPr>
          <w:lang w:eastAsia="ja-JP"/>
        </w:rPr>
      </w:pPr>
      <w:r w:rsidRPr="007D5EBB">
        <w:rPr>
          <w:lang w:eastAsia="ja-JP"/>
        </w:rPr>
        <w:t>Evaluator</w:t>
      </w:r>
      <w:r w:rsidR="006A355C">
        <w:rPr>
          <w:lang w:eastAsia="ja-JP"/>
        </w:rPr>
        <w:t>’</w:t>
      </w:r>
      <w:r w:rsidRPr="007D5EBB">
        <w:rPr>
          <w:lang w:eastAsia="ja-JP"/>
        </w:rPr>
        <w:t>s assessment</w:t>
      </w:r>
    </w:p>
    <w:p w14:paraId="3F58F234" w14:textId="463D1DF0" w:rsidR="00F1528F" w:rsidRDefault="008A1A1C" w:rsidP="006A355C">
      <w:pPr>
        <w:rPr>
          <w:lang w:eastAsia="ja-JP"/>
        </w:rPr>
      </w:pPr>
      <w:r>
        <w:rPr>
          <w:lang w:eastAsia="ja-JP"/>
        </w:rPr>
        <w:t>This timeline does make things slightly clearer and sets out the information in a much better way than it was in the original submission. But, not all the studies in the submission are included in the summary response or the table</w:t>
      </w:r>
      <w:r w:rsidR="006A355C">
        <w:rPr>
          <w:lang w:eastAsia="ja-JP"/>
        </w:rPr>
        <w:t>; for example</w:t>
      </w:r>
      <w:r>
        <w:rPr>
          <w:lang w:eastAsia="ja-JP"/>
        </w:rPr>
        <w:t xml:space="preserve"> Studies 047, 049, TAF112582 and 030. This also highlights that the initial submission was </w:t>
      </w:r>
      <w:r w:rsidR="00EE0D89">
        <w:rPr>
          <w:lang w:eastAsia="ja-JP"/>
        </w:rPr>
        <w:t xml:space="preserve">not well </w:t>
      </w:r>
      <w:r>
        <w:rPr>
          <w:lang w:eastAsia="ja-JP"/>
        </w:rPr>
        <w:t>organised.</w:t>
      </w:r>
    </w:p>
    <w:p w14:paraId="52509A91" w14:textId="57625A45" w:rsidR="008A1A1C" w:rsidRDefault="008A1A1C" w:rsidP="006A355C">
      <w:pPr>
        <w:rPr>
          <w:lang w:eastAsia="ja-JP"/>
        </w:rPr>
      </w:pPr>
      <w:r>
        <w:rPr>
          <w:lang w:eastAsia="ja-JP"/>
        </w:rPr>
        <w:t>The table also is quite misleading a</w:t>
      </w:r>
      <w:r w:rsidR="00EE0D89">
        <w:rPr>
          <w:lang w:eastAsia="ja-JP"/>
        </w:rPr>
        <w:t>s the st</w:t>
      </w:r>
      <w:r>
        <w:rPr>
          <w:lang w:eastAsia="ja-JP"/>
        </w:rPr>
        <w:t xml:space="preserve">udies look more recent and contemporary </w:t>
      </w:r>
      <w:r w:rsidR="00EE0D89">
        <w:rPr>
          <w:lang w:eastAsia="ja-JP"/>
        </w:rPr>
        <w:t>when</w:t>
      </w:r>
      <w:r>
        <w:rPr>
          <w:lang w:eastAsia="ja-JP"/>
        </w:rPr>
        <w:t xml:space="preserve"> stating the year of the ‘Study Report’ rather than the Study time period. Studies 053 and 054 for instance, were conducted in 1997 but in the table above it states the year of the report as 2004 (7 years later). Study 033 was conducted in 2000-2001, Study 045 in 1998, Study 043 in 1997</w:t>
      </w:r>
      <w:r w:rsidR="006A355C">
        <w:rPr>
          <w:lang w:eastAsia="ja-JP"/>
        </w:rPr>
        <w:t xml:space="preserve"> and</w:t>
      </w:r>
      <w:r>
        <w:rPr>
          <w:lang w:eastAsia="ja-JP"/>
        </w:rPr>
        <w:t xml:space="preserve"> Study 058 in 2005. It is also unclear why some study reports were written up to 7 years after the study.</w:t>
      </w:r>
    </w:p>
    <w:p w14:paraId="745D179B" w14:textId="325F7F2F" w:rsidR="00B91337" w:rsidRDefault="00B91337" w:rsidP="00A13E98">
      <w:pPr>
        <w:pStyle w:val="Heading4"/>
      </w:pPr>
      <w:r>
        <w:t>Question 4</w:t>
      </w:r>
    </w:p>
    <w:p w14:paraId="7946992B" w14:textId="149EFAE1" w:rsidR="008A1A1C" w:rsidRPr="00A13E98" w:rsidRDefault="008A1A1C" w:rsidP="00B91337">
      <w:pPr>
        <w:ind w:left="170"/>
        <w:rPr>
          <w:i/>
        </w:rPr>
      </w:pPr>
      <w:r w:rsidRPr="00B91337">
        <w:rPr>
          <w:i/>
        </w:rPr>
        <w:t xml:space="preserve">Has any consideration been given to a malaria challenge study such as </w:t>
      </w:r>
      <w:r w:rsidR="00B91337" w:rsidRPr="00B91337">
        <w:rPr>
          <w:i/>
        </w:rPr>
        <w:t xml:space="preserve">Study </w:t>
      </w:r>
      <w:r w:rsidRPr="00B91337">
        <w:rPr>
          <w:i/>
        </w:rPr>
        <w:t xml:space="preserve">TQ-2016-2 being performed with </w:t>
      </w:r>
      <w:proofErr w:type="gramStart"/>
      <w:r w:rsidRPr="00B91337">
        <w:rPr>
          <w:i/>
        </w:rPr>
        <w:t>Pv</w:t>
      </w:r>
      <w:proofErr w:type="gramEnd"/>
      <w:r w:rsidRPr="00B91337">
        <w:rPr>
          <w:i/>
        </w:rPr>
        <w:t>?</w:t>
      </w:r>
    </w:p>
    <w:p w14:paraId="246F076D" w14:textId="4949819F" w:rsidR="008A1A1C" w:rsidRPr="000965A5" w:rsidRDefault="006A355C" w:rsidP="00E730B4">
      <w:pPr>
        <w:pStyle w:val="Heading6"/>
        <w:rPr>
          <w:lang w:eastAsia="ja-JP"/>
        </w:rPr>
      </w:pPr>
      <w:r>
        <w:rPr>
          <w:lang w:eastAsia="ja-JP"/>
        </w:rPr>
        <w:lastRenderedPageBreak/>
        <w:t>Sponsor r</w:t>
      </w:r>
      <w:r w:rsidR="008A1A1C" w:rsidRPr="000965A5">
        <w:rPr>
          <w:lang w:eastAsia="ja-JP"/>
        </w:rPr>
        <w:t>esponse</w:t>
      </w:r>
    </w:p>
    <w:p w14:paraId="527C9D5D" w14:textId="62EF0E12" w:rsidR="008A1A1C" w:rsidRDefault="008A1A1C" w:rsidP="006A355C">
      <w:pPr>
        <w:rPr>
          <w:lang w:eastAsia="ja-JP"/>
        </w:rPr>
      </w:pPr>
      <w:r>
        <w:rPr>
          <w:lang w:eastAsia="ja-JP"/>
        </w:rPr>
        <w:t xml:space="preserve">The response discussed </w:t>
      </w:r>
      <w:r w:rsidR="009720A8">
        <w:rPr>
          <w:lang w:eastAsia="ja-JP"/>
        </w:rPr>
        <w:t>Study 0</w:t>
      </w:r>
      <w:r>
        <w:rPr>
          <w:lang w:eastAsia="ja-JP"/>
        </w:rPr>
        <w:t xml:space="preserve">58 (which was conducted 13 years ago), in which patients symptomatic with </w:t>
      </w:r>
      <w:proofErr w:type="gramStart"/>
      <w:r w:rsidR="006A355C">
        <w:rPr>
          <w:lang w:eastAsia="ja-JP"/>
        </w:rPr>
        <w:t>Pv</w:t>
      </w:r>
      <w:proofErr w:type="gramEnd"/>
      <w:r>
        <w:rPr>
          <w:lang w:eastAsia="ja-JP"/>
        </w:rPr>
        <w:t xml:space="preserve"> infection were treated with 400 mg/day x 3 days. The response states that from this study, one could extrapolate the theory that, given that presenting parasitemia prior to tafenoquine treatment was 8,000 parasites/</w:t>
      </w:r>
      <w:r w:rsidR="006A355C">
        <w:rPr>
          <w:lang w:eastAsia="ja-JP"/>
        </w:rPr>
        <w:t>µ</w:t>
      </w:r>
      <w:r>
        <w:rPr>
          <w:lang w:eastAsia="ja-JP"/>
        </w:rPr>
        <w:t xml:space="preserve">L, whereas only 0.06 parasites/μL blood (for a person with 5L blood volume) exit the liver to initiate blood stage infection, </w:t>
      </w:r>
      <w:r w:rsidR="009720A8">
        <w:rPr>
          <w:lang w:eastAsia="ja-JP"/>
        </w:rPr>
        <w:t>Study 0</w:t>
      </w:r>
      <w:r>
        <w:rPr>
          <w:lang w:eastAsia="ja-JP"/>
        </w:rPr>
        <w:t>58 signifies that the proposed tafenoquine clinical regimen will be effective against the relatively low</w:t>
      </w:r>
      <w:r w:rsidR="006A355C">
        <w:rPr>
          <w:lang w:eastAsia="ja-JP"/>
        </w:rPr>
        <w:t xml:space="preserve"> Pv</w:t>
      </w:r>
      <w:r>
        <w:rPr>
          <w:lang w:eastAsia="ja-JP"/>
        </w:rPr>
        <w:t xml:space="preserve"> parasite burden present in the blood during prophylaxis. In essence, </w:t>
      </w:r>
      <w:r w:rsidR="009720A8">
        <w:rPr>
          <w:lang w:eastAsia="ja-JP"/>
        </w:rPr>
        <w:t>Study 0</w:t>
      </w:r>
      <w:r>
        <w:rPr>
          <w:lang w:eastAsia="ja-JP"/>
        </w:rPr>
        <w:t xml:space="preserve">58 substitutes for a </w:t>
      </w:r>
      <w:proofErr w:type="gramStart"/>
      <w:r w:rsidR="006A355C">
        <w:rPr>
          <w:lang w:eastAsia="ja-JP"/>
        </w:rPr>
        <w:t>Pv</w:t>
      </w:r>
      <w:proofErr w:type="gramEnd"/>
      <w:r>
        <w:rPr>
          <w:lang w:eastAsia="ja-JP"/>
        </w:rPr>
        <w:t xml:space="preserve"> challenge study, so no challenge study is planned for </w:t>
      </w:r>
      <w:r w:rsidR="006A355C">
        <w:rPr>
          <w:lang w:eastAsia="ja-JP"/>
        </w:rPr>
        <w:t>Pv</w:t>
      </w:r>
      <w:r>
        <w:rPr>
          <w:lang w:eastAsia="ja-JP"/>
        </w:rPr>
        <w:t>.</w:t>
      </w:r>
    </w:p>
    <w:p w14:paraId="11ADDE8A" w14:textId="5F234BC8" w:rsidR="008A1A1C" w:rsidRPr="008C288C" w:rsidRDefault="008A1A1C" w:rsidP="00E730B4">
      <w:pPr>
        <w:pStyle w:val="Heading6"/>
        <w:rPr>
          <w:lang w:eastAsia="ja-JP"/>
        </w:rPr>
      </w:pPr>
      <w:r w:rsidRPr="008C288C">
        <w:rPr>
          <w:lang w:eastAsia="ja-JP"/>
        </w:rPr>
        <w:t>Evaluator’s assessment</w:t>
      </w:r>
    </w:p>
    <w:p w14:paraId="563F213C" w14:textId="7A85A10D" w:rsidR="008A1A1C" w:rsidRDefault="008A1A1C" w:rsidP="008A1A1C">
      <w:pPr>
        <w:rPr>
          <w:lang w:eastAsia="ja-JP"/>
        </w:rPr>
      </w:pPr>
      <w:r>
        <w:rPr>
          <w:lang w:eastAsia="ja-JP"/>
        </w:rPr>
        <w:t>This rationale is theoretical but probably correct for prophylaxis, although the concentration of drug used in Study 058 was different to the one in this submission (400 mg not 200 mg). This issue is not addressed.</w:t>
      </w:r>
    </w:p>
    <w:p w14:paraId="320B442F" w14:textId="75438C9F" w:rsidR="00B91337" w:rsidRDefault="00B91337" w:rsidP="00A13E98">
      <w:pPr>
        <w:pStyle w:val="Heading4"/>
      </w:pPr>
      <w:r>
        <w:t>Question 5</w:t>
      </w:r>
    </w:p>
    <w:p w14:paraId="4EEAD11D" w14:textId="51A27EFB" w:rsidR="008A1A1C" w:rsidRPr="00A13E98" w:rsidRDefault="008A1A1C" w:rsidP="00A13E98">
      <w:pPr>
        <w:ind w:left="284"/>
        <w:rPr>
          <w:i/>
        </w:rPr>
      </w:pPr>
      <w:r w:rsidRPr="00A13E98">
        <w:rPr>
          <w:i/>
        </w:rPr>
        <w:t>Could the sponsor please provide data on Malaria related morbidity and mortality in Australia</w:t>
      </w:r>
      <w:r w:rsidR="006A355C" w:rsidRPr="00A13E98">
        <w:rPr>
          <w:i/>
        </w:rPr>
        <w:t>?</w:t>
      </w:r>
    </w:p>
    <w:p w14:paraId="272B9E5E" w14:textId="4184033E" w:rsidR="008A1A1C" w:rsidRPr="00186F74" w:rsidRDefault="008A1A1C" w:rsidP="00E730B4">
      <w:pPr>
        <w:pStyle w:val="Heading6"/>
        <w:rPr>
          <w:lang w:eastAsia="ja-JP"/>
        </w:rPr>
      </w:pPr>
      <w:r w:rsidRPr="00186F74">
        <w:rPr>
          <w:lang w:eastAsia="ja-JP"/>
        </w:rPr>
        <w:t>Evaluator</w:t>
      </w:r>
      <w:r w:rsidR="006A355C">
        <w:rPr>
          <w:lang w:eastAsia="ja-JP"/>
        </w:rPr>
        <w:t>’</w:t>
      </w:r>
      <w:r w:rsidRPr="00186F74">
        <w:rPr>
          <w:lang w:eastAsia="ja-JP"/>
        </w:rPr>
        <w:t>s assessmen</w:t>
      </w:r>
      <w:r w:rsidR="006A355C">
        <w:rPr>
          <w:lang w:eastAsia="ja-JP"/>
        </w:rPr>
        <w:t>t</w:t>
      </w:r>
    </w:p>
    <w:p w14:paraId="4F674F78" w14:textId="2D110621" w:rsidR="008A1A1C" w:rsidRDefault="008A1A1C" w:rsidP="008A1A1C">
      <w:pPr>
        <w:rPr>
          <w:lang w:eastAsia="ja-JP"/>
        </w:rPr>
      </w:pPr>
      <w:r>
        <w:rPr>
          <w:lang w:eastAsia="ja-JP"/>
        </w:rPr>
        <w:t xml:space="preserve">This response is adequate </w:t>
      </w:r>
      <w:r w:rsidR="00EE0D89">
        <w:rPr>
          <w:lang w:eastAsia="ja-JP"/>
        </w:rPr>
        <w:t>but</w:t>
      </w:r>
      <w:r>
        <w:rPr>
          <w:lang w:eastAsia="ja-JP"/>
        </w:rPr>
        <w:t xml:space="preserve"> when </w:t>
      </w:r>
      <w:r w:rsidR="00E730B4">
        <w:rPr>
          <w:lang w:eastAsia="ja-JP"/>
        </w:rPr>
        <w:t>the evaluator</w:t>
      </w:r>
      <w:r>
        <w:rPr>
          <w:lang w:eastAsia="ja-JP"/>
        </w:rPr>
        <w:t xml:space="preserve"> tried to look up the WHO reference provided it did</w:t>
      </w:r>
      <w:r w:rsidR="00E730B4">
        <w:rPr>
          <w:lang w:eastAsia="ja-JP"/>
        </w:rPr>
        <w:t xml:space="preserve"> not</w:t>
      </w:r>
      <w:r>
        <w:rPr>
          <w:lang w:eastAsia="ja-JP"/>
        </w:rPr>
        <w:t xml:space="preserve"> work. When </w:t>
      </w:r>
      <w:r w:rsidR="00E730B4">
        <w:rPr>
          <w:lang w:eastAsia="ja-JP"/>
        </w:rPr>
        <w:t>the evaluator</w:t>
      </w:r>
      <w:r>
        <w:rPr>
          <w:lang w:eastAsia="ja-JP"/>
        </w:rPr>
        <w:t xml:space="preserve"> looked up the WHO World Malaria report 2014 accessed at </w:t>
      </w:r>
      <w:hyperlink r:id="rId57" w:history="1">
        <w:r w:rsidRPr="002E1D2E">
          <w:rPr>
            <w:rStyle w:val="Hyperlink"/>
            <w:lang w:eastAsia="ja-JP"/>
          </w:rPr>
          <w:t>http://www.who.int/malaria/publications/world_malaria_report_2014/wmr-2014-no-profiles.pdf?ua=1</w:t>
        </w:r>
      </w:hyperlink>
      <w:r>
        <w:rPr>
          <w:lang w:eastAsia="ja-JP"/>
        </w:rPr>
        <w:t xml:space="preserve"> on 3</w:t>
      </w:r>
      <w:r w:rsidR="00B319AC">
        <w:rPr>
          <w:lang w:eastAsia="ja-JP"/>
        </w:rPr>
        <w:t xml:space="preserve"> March </w:t>
      </w:r>
      <w:r>
        <w:rPr>
          <w:lang w:eastAsia="ja-JP"/>
        </w:rPr>
        <w:t>2018, the numbers were so low for Australia in 2013 that no transmission and no deaths were recorded on the report. On searching the document, the only time that Australia is mentioned in the report is in relation to financial contribution to malaria control.</w:t>
      </w:r>
    </w:p>
    <w:p w14:paraId="496087D5" w14:textId="71360B13" w:rsidR="008A1A1C" w:rsidRDefault="008A1A1C" w:rsidP="008A1A1C">
      <w:pPr>
        <w:rPr>
          <w:lang w:eastAsia="ja-JP"/>
        </w:rPr>
      </w:pPr>
      <w:r>
        <w:rPr>
          <w:lang w:eastAsia="ja-JP"/>
        </w:rPr>
        <w:t xml:space="preserve">Overall, </w:t>
      </w:r>
      <w:r w:rsidR="00E730B4">
        <w:rPr>
          <w:lang w:eastAsia="ja-JP"/>
        </w:rPr>
        <w:t>the evaluator</w:t>
      </w:r>
      <w:r>
        <w:rPr>
          <w:lang w:eastAsia="ja-JP"/>
        </w:rPr>
        <w:t xml:space="preserve"> think</w:t>
      </w:r>
      <w:r w:rsidR="00E730B4">
        <w:rPr>
          <w:lang w:eastAsia="ja-JP"/>
        </w:rPr>
        <w:t>s</w:t>
      </w:r>
      <w:r>
        <w:rPr>
          <w:lang w:eastAsia="ja-JP"/>
        </w:rPr>
        <w:t xml:space="preserve"> that the numbers provided show that malaria exposure and prophylaxis impacts upon small numbers in Australia but, in certain populations, it can become a significant problem. This population also has significant reason to avoid mefloquine. This is still however, no data about the use of </w:t>
      </w:r>
      <w:r w:rsidR="00EE0D89">
        <w:rPr>
          <w:lang w:eastAsia="ja-JP"/>
        </w:rPr>
        <w:t>M</w:t>
      </w:r>
      <w:r>
        <w:rPr>
          <w:lang w:eastAsia="ja-JP"/>
        </w:rPr>
        <w:t>alarone in this population, which would abrogate the need for compliance with post-deployment prophylaxis for weeks (as need with mefloquine or doxycycline).</w:t>
      </w:r>
    </w:p>
    <w:p w14:paraId="1747DD09" w14:textId="77777777" w:rsidR="008A1A1C" w:rsidRDefault="008A1A1C" w:rsidP="00E730B4">
      <w:pPr>
        <w:pStyle w:val="Heading2"/>
        <w:numPr>
          <w:ilvl w:val="0"/>
          <w:numId w:val="5"/>
        </w:numPr>
      </w:pPr>
      <w:bookmarkStart w:id="759" w:name="_Toc504229408"/>
      <w:bookmarkStart w:id="760" w:name="_Toc501809182"/>
      <w:bookmarkStart w:id="761" w:name="_Toc12520313"/>
      <w:r>
        <w:t>Second round benefit-risk assessment</w:t>
      </w:r>
      <w:bookmarkEnd w:id="759"/>
      <w:bookmarkEnd w:id="760"/>
      <w:bookmarkEnd w:id="761"/>
    </w:p>
    <w:p w14:paraId="3AF74FE7" w14:textId="77777777" w:rsidR="008A1A1C" w:rsidRDefault="008A1A1C" w:rsidP="00FB2482">
      <w:pPr>
        <w:pStyle w:val="Heading3"/>
      </w:pPr>
      <w:bookmarkStart w:id="762" w:name="_Toc272414709"/>
      <w:bookmarkStart w:id="763" w:name="_Toc290888575"/>
      <w:bookmarkStart w:id="764" w:name="_Toc416353792"/>
      <w:bookmarkStart w:id="765" w:name="_Toc421005334"/>
      <w:bookmarkStart w:id="766" w:name="_Toc432079207"/>
      <w:bookmarkStart w:id="767" w:name="_Toc432080780"/>
      <w:bookmarkStart w:id="768" w:name="_Toc504229409"/>
      <w:bookmarkStart w:id="769" w:name="_Toc501809183"/>
      <w:bookmarkStart w:id="770" w:name="_Toc12520314"/>
      <w:r w:rsidRPr="00500C5C">
        <w:t>Second round assessment of benefits</w:t>
      </w:r>
      <w:bookmarkEnd w:id="762"/>
      <w:bookmarkEnd w:id="763"/>
      <w:bookmarkEnd w:id="764"/>
      <w:bookmarkEnd w:id="765"/>
      <w:bookmarkEnd w:id="766"/>
      <w:bookmarkEnd w:id="767"/>
      <w:bookmarkEnd w:id="768"/>
      <w:bookmarkEnd w:id="769"/>
      <w:bookmarkEnd w:id="770"/>
    </w:p>
    <w:p w14:paraId="3CC11C26" w14:textId="77777777" w:rsidR="008A1A1C" w:rsidRPr="00587CE8" w:rsidRDefault="008A1A1C" w:rsidP="008A1A1C">
      <w:pPr>
        <w:rPr>
          <w:lang w:eastAsia="ja-JP"/>
        </w:rPr>
      </w:pPr>
      <w:r>
        <w:rPr>
          <w:lang w:eastAsia="ja-JP"/>
        </w:rPr>
        <w:t>There is only one additional benefit that can be documented from the additional information. Up to 5% of ADF personnel returning to Australia after deployment to South-East Asia develop malaria, probably due to compliance problems with compliance with current post-exposure prophylaxis regimens (mefloquine and doxycycline). Tafenoquine has potential to prevent this with one post-exposure dose according to the data presented.</w:t>
      </w:r>
    </w:p>
    <w:p w14:paraId="57619F5E" w14:textId="77777777" w:rsidR="008A1A1C" w:rsidRDefault="008A1A1C" w:rsidP="00FB2482">
      <w:pPr>
        <w:pStyle w:val="Heading3"/>
      </w:pPr>
      <w:bookmarkStart w:id="771" w:name="_Toc272414710"/>
      <w:bookmarkStart w:id="772" w:name="_Toc290888576"/>
      <w:bookmarkStart w:id="773" w:name="_Toc416353793"/>
      <w:bookmarkStart w:id="774" w:name="_Toc421005335"/>
      <w:bookmarkStart w:id="775" w:name="_Toc432079208"/>
      <w:bookmarkStart w:id="776" w:name="_Toc432080781"/>
      <w:bookmarkStart w:id="777" w:name="_Toc504229410"/>
      <w:bookmarkStart w:id="778" w:name="_Toc501809184"/>
      <w:bookmarkStart w:id="779" w:name="_Toc12520315"/>
      <w:r w:rsidRPr="00500C5C">
        <w:t>Second round assessment of risks</w:t>
      </w:r>
      <w:bookmarkEnd w:id="771"/>
      <w:bookmarkEnd w:id="772"/>
      <w:bookmarkEnd w:id="773"/>
      <w:bookmarkEnd w:id="774"/>
      <w:bookmarkEnd w:id="775"/>
      <w:bookmarkEnd w:id="776"/>
      <w:bookmarkEnd w:id="777"/>
      <w:bookmarkEnd w:id="778"/>
      <w:bookmarkEnd w:id="779"/>
    </w:p>
    <w:p w14:paraId="572BB084" w14:textId="502DD7C4" w:rsidR="008A1A1C" w:rsidRPr="00375659" w:rsidRDefault="008A1A1C" w:rsidP="008A1A1C">
      <w:pPr>
        <w:rPr>
          <w:lang w:eastAsia="ja-JP"/>
        </w:rPr>
      </w:pPr>
      <w:r w:rsidRPr="00687870">
        <w:rPr>
          <w:lang w:eastAsia="ja-JP"/>
        </w:rPr>
        <w:t>No new clinical information was submitted in response to questions. Accordingly, the risks of</w:t>
      </w:r>
      <w:r>
        <w:rPr>
          <w:lang w:eastAsia="ja-JP"/>
        </w:rPr>
        <w:t xml:space="preserve"> tafenoquine</w:t>
      </w:r>
      <w:r w:rsidRPr="00687870">
        <w:rPr>
          <w:lang w:eastAsia="ja-JP"/>
        </w:rPr>
        <w:t xml:space="preserve"> are unchanged from those identified in </w:t>
      </w:r>
      <w:r w:rsidR="00E730B4">
        <w:rPr>
          <w:lang w:eastAsia="ja-JP"/>
        </w:rPr>
        <w:t>the first round evaluation</w:t>
      </w:r>
      <w:r w:rsidR="004778F2">
        <w:rPr>
          <w:lang w:eastAsia="ja-JP"/>
        </w:rPr>
        <w:t xml:space="preserve"> (see above)</w:t>
      </w:r>
      <w:r>
        <w:rPr>
          <w:lang w:eastAsia="ja-JP"/>
        </w:rPr>
        <w:t>.</w:t>
      </w:r>
    </w:p>
    <w:p w14:paraId="421F89DA" w14:textId="7B708501" w:rsidR="008A1A1C" w:rsidRDefault="008A1A1C" w:rsidP="00FB2482">
      <w:pPr>
        <w:pStyle w:val="Heading3"/>
      </w:pPr>
      <w:bookmarkStart w:id="780" w:name="_Toc272414711"/>
      <w:bookmarkStart w:id="781" w:name="_Toc290888577"/>
      <w:bookmarkStart w:id="782" w:name="_Toc416353794"/>
      <w:bookmarkStart w:id="783" w:name="_Toc421005336"/>
      <w:bookmarkStart w:id="784" w:name="_Toc432079209"/>
      <w:bookmarkStart w:id="785" w:name="_Toc432080782"/>
      <w:bookmarkStart w:id="786" w:name="_Toc504229411"/>
      <w:bookmarkStart w:id="787" w:name="_Toc501809185"/>
      <w:bookmarkStart w:id="788" w:name="_Toc12520316"/>
      <w:r w:rsidRPr="00545B14">
        <w:t xml:space="preserve">Second round assessment of benefit-risk </w:t>
      </w:r>
      <w:bookmarkEnd w:id="780"/>
      <w:bookmarkEnd w:id="781"/>
      <w:bookmarkEnd w:id="782"/>
      <w:bookmarkEnd w:id="783"/>
      <w:r>
        <w:t>balance</w:t>
      </w:r>
      <w:bookmarkEnd w:id="784"/>
      <w:bookmarkEnd w:id="785"/>
      <w:bookmarkEnd w:id="786"/>
      <w:bookmarkEnd w:id="787"/>
      <w:bookmarkEnd w:id="788"/>
    </w:p>
    <w:p w14:paraId="4EF83820" w14:textId="53655805" w:rsidR="008A1A1C" w:rsidRPr="00E80B20" w:rsidRDefault="008A1A1C" w:rsidP="008A1A1C">
      <w:pPr>
        <w:rPr>
          <w:lang w:eastAsia="ja-JP"/>
        </w:rPr>
      </w:pPr>
      <w:r w:rsidRPr="00ED6B5B">
        <w:rPr>
          <w:lang w:eastAsia="ja-JP"/>
        </w:rPr>
        <w:t xml:space="preserve">The changes recommended </w:t>
      </w:r>
      <w:r w:rsidR="00E730B4" w:rsidRPr="00ED6B5B">
        <w:rPr>
          <w:lang w:eastAsia="ja-JP"/>
        </w:rPr>
        <w:t xml:space="preserve">below </w:t>
      </w:r>
      <w:r w:rsidR="002C489D" w:rsidRPr="00ED6B5B">
        <w:rPr>
          <w:lang w:eastAsia="ja-JP"/>
        </w:rPr>
        <w:t xml:space="preserve">should be </w:t>
      </w:r>
      <w:r w:rsidRPr="00ED6B5B">
        <w:rPr>
          <w:lang w:eastAsia="ja-JP"/>
        </w:rPr>
        <w:t>adopted.</w:t>
      </w:r>
    </w:p>
    <w:p w14:paraId="238E0BDA" w14:textId="2B1A7BFE" w:rsidR="008A1A1C" w:rsidRDefault="008A1A1C" w:rsidP="00FB2482">
      <w:pPr>
        <w:pStyle w:val="Heading3"/>
      </w:pPr>
      <w:bookmarkStart w:id="789" w:name="_Toc504229412"/>
      <w:bookmarkStart w:id="790" w:name="_Toc501809186"/>
      <w:bookmarkStart w:id="791" w:name="_Toc12520317"/>
      <w:r>
        <w:lastRenderedPageBreak/>
        <w:t>Second round recommendation regarding authorisation</w:t>
      </w:r>
      <w:bookmarkEnd w:id="789"/>
      <w:bookmarkEnd w:id="790"/>
      <w:bookmarkEnd w:id="791"/>
    </w:p>
    <w:p w14:paraId="6C494DDA" w14:textId="37673576" w:rsidR="008A1A1C" w:rsidRDefault="008A1A1C" w:rsidP="008A1A1C">
      <w:pPr>
        <w:rPr>
          <w:lang w:eastAsia="ja-JP"/>
        </w:rPr>
      </w:pPr>
      <w:r>
        <w:rPr>
          <w:lang w:eastAsia="ja-JP"/>
        </w:rPr>
        <w:t>The ADF data about the risk of malaria in returned ADF personnel is the strongest argument so far for the licensing of this drug in Australia. Unfortunately, there is still no comparative data with</w:t>
      </w:r>
      <w:r w:rsidR="00EE0D89">
        <w:rPr>
          <w:lang w:eastAsia="ja-JP"/>
        </w:rPr>
        <w:t xml:space="preserve"> M</w:t>
      </w:r>
      <w:r>
        <w:rPr>
          <w:lang w:eastAsia="ja-JP"/>
        </w:rPr>
        <w:t>alarone</w:t>
      </w:r>
      <w:r w:rsidR="000A768C">
        <w:rPr>
          <w:lang w:eastAsia="ja-JP"/>
        </w:rPr>
        <w:t>.</w:t>
      </w:r>
      <w:r w:rsidR="00163A2F">
        <w:rPr>
          <w:lang w:eastAsia="ja-JP"/>
        </w:rPr>
        <w:t xml:space="preserve"> </w:t>
      </w:r>
      <w:r w:rsidR="00E730B4">
        <w:rPr>
          <w:lang w:eastAsia="ja-JP"/>
        </w:rPr>
        <w:t>The evaluator</w:t>
      </w:r>
      <w:r>
        <w:rPr>
          <w:lang w:eastAsia="ja-JP"/>
        </w:rPr>
        <w:t xml:space="preserve"> would however support licensing of tafenoquine for use in military personnel (or other personnel at high risk of malaria) in whom other, licensed prophylaxis drugs are contra-indicated or not tolerated (this would require a change in the wording of the indication).</w:t>
      </w:r>
    </w:p>
    <w:p w14:paraId="533CA4B2" w14:textId="77777777" w:rsidR="008A1A1C" w:rsidRDefault="008A1A1C" w:rsidP="00E730B4">
      <w:pPr>
        <w:pStyle w:val="Heading2"/>
      </w:pPr>
      <w:bookmarkStart w:id="792" w:name="_Toc504229417"/>
      <w:bookmarkStart w:id="793" w:name="_Toc501809191"/>
      <w:bookmarkStart w:id="794" w:name="_Toc12520318"/>
      <w:r>
        <w:t>References</w:t>
      </w:r>
      <w:bookmarkEnd w:id="792"/>
      <w:bookmarkEnd w:id="793"/>
      <w:bookmarkEnd w:id="794"/>
    </w:p>
    <w:p w14:paraId="58872E48" w14:textId="77777777" w:rsidR="008A1A1C" w:rsidRPr="00353A1A" w:rsidRDefault="008A1A1C" w:rsidP="00E730B4">
      <w:pPr>
        <w:pStyle w:val="Numberbullet0"/>
        <w:numPr>
          <w:ilvl w:val="0"/>
          <w:numId w:val="16"/>
        </w:numPr>
        <w:rPr>
          <w:lang w:eastAsia="ja-JP"/>
        </w:rPr>
      </w:pPr>
      <w:r>
        <w:rPr>
          <w:lang w:eastAsia="ja-JP"/>
        </w:rPr>
        <w:t>WHO</w:t>
      </w:r>
      <w:r w:rsidRPr="00353A1A">
        <w:rPr>
          <w:lang w:eastAsia="ja-JP"/>
        </w:rPr>
        <w:t>. Guidelines for the treatment of Malaria, 2015.</w:t>
      </w:r>
    </w:p>
    <w:p w14:paraId="55077664" w14:textId="77777777" w:rsidR="008A1A1C" w:rsidRPr="00E730B4" w:rsidRDefault="0010343C" w:rsidP="00E730B4">
      <w:pPr>
        <w:pStyle w:val="Numberbullet0"/>
        <w:rPr>
          <w:rStyle w:val="Hyperlink"/>
          <w:color w:val="auto"/>
          <w:u w:val="none"/>
          <w:lang w:eastAsia="ja-JP"/>
        </w:rPr>
      </w:pPr>
      <w:hyperlink r:id="rId58" w:history="1">
        <w:r w:rsidR="008A1A1C" w:rsidRPr="00E730B4">
          <w:rPr>
            <w:rStyle w:val="Hyperlink"/>
            <w:color w:val="auto"/>
            <w:u w:val="none"/>
            <w:lang w:eastAsia="ja-JP"/>
          </w:rPr>
          <w:t>http://www.cdc.gov/malaria/resources/pdf/treatmenttable.pdf</w:t>
        </w:r>
      </w:hyperlink>
    </w:p>
    <w:p w14:paraId="1A55CC4C" w14:textId="77777777" w:rsidR="008A1A1C" w:rsidRDefault="008A1A1C" w:rsidP="00E730B4">
      <w:pPr>
        <w:pStyle w:val="Numberbullet0"/>
        <w:rPr>
          <w:lang w:eastAsia="ja-JP"/>
        </w:rPr>
      </w:pPr>
      <w:r>
        <w:rPr>
          <w:lang w:eastAsia="ja-JP"/>
        </w:rPr>
        <w:t>Tan et al. Doxycycline for Malaria Chemoprophylaxis and Treatment: Report from</w:t>
      </w:r>
    </w:p>
    <w:p w14:paraId="688B3DA6" w14:textId="77777777" w:rsidR="008A1A1C" w:rsidRPr="00353A1A" w:rsidRDefault="008A1A1C" w:rsidP="00E730B4">
      <w:pPr>
        <w:pStyle w:val="Numberbullet0"/>
        <w:rPr>
          <w:lang w:eastAsia="ja-JP"/>
        </w:rPr>
      </w:pPr>
      <w:r>
        <w:rPr>
          <w:lang w:eastAsia="ja-JP"/>
        </w:rPr>
        <w:t xml:space="preserve">CDC Expert Meeting on Malaria Chemoprophylaxis. </w:t>
      </w:r>
      <w:r w:rsidRPr="00BA1EFC">
        <w:rPr>
          <w:lang w:eastAsia="ja-JP"/>
        </w:rPr>
        <w:t>Am. J. Trop. Med. Hyg., 84(4), 2011, pp. 517–531</w:t>
      </w:r>
      <w:r>
        <w:rPr>
          <w:lang w:eastAsia="ja-JP"/>
        </w:rPr>
        <w:t>.</w:t>
      </w:r>
    </w:p>
    <w:p w14:paraId="40C8F26E" w14:textId="77777777" w:rsidR="00F1528F" w:rsidRPr="00E730B4" w:rsidRDefault="0010343C" w:rsidP="00E730B4">
      <w:pPr>
        <w:pStyle w:val="Numberbullet0"/>
        <w:rPr>
          <w:lang w:eastAsia="ja-JP"/>
        </w:rPr>
      </w:pPr>
      <w:hyperlink r:id="rId59" w:history="1">
        <w:r w:rsidR="008A1A1C" w:rsidRPr="00E730B4">
          <w:rPr>
            <w:rStyle w:val="Hyperlink"/>
            <w:color w:val="auto"/>
            <w:u w:val="none"/>
            <w:lang w:eastAsia="ja-JP"/>
          </w:rPr>
          <w:t>https://www.fda.gov/OHRMS/DOCKETS/98fr/07d-0212-gdl0001.pdf</w:t>
        </w:r>
      </w:hyperlink>
    </w:p>
    <w:p w14:paraId="780939BA" w14:textId="0124DD35" w:rsidR="008A1A1C" w:rsidRPr="00353A1A" w:rsidRDefault="008A1A1C" w:rsidP="00E730B4">
      <w:pPr>
        <w:pStyle w:val="Numberbullet0"/>
        <w:rPr>
          <w:rFonts w:asciiTheme="minorHAnsi" w:hAnsiTheme="minorHAnsi"/>
          <w:lang w:eastAsia="ja-JP"/>
        </w:rPr>
      </w:pPr>
      <w:r w:rsidRPr="00353A1A">
        <w:rPr>
          <w:rFonts w:asciiTheme="minorHAnsi" w:hAnsiTheme="minorHAnsi"/>
          <w:lang w:eastAsia="ja-JP"/>
        </w:rPr>
        <w:t xml:space="preserve">Brueckner et al. </w:t>
      </w:r>
      <w:r w:rsidRPr="00353A1A">
        <w:rPr>
          <w:rFonts w:asciiTheme="minorHAnsi" w:eastAsiaTheme="minorHAnsi" w:hAnsiTheme="minorHAnsi" w:cs="Dutch801BT-Roman"/>
        </w:rPr>
        <w:t xml:space="preserve">Prophylaxis of </w:t>
      </w:r>
      <w:r w:rsidRPr="00353A1A">
        <w:rPr>
          <w:rFonts w:asciiTheme="minorHAnsi" w:eastAsiaTheme="minorHAnsi" w:hAnsiTheme="minorHAnsi" w:cs="Dutch801BT-Italic"/>
          <w:i/>
          <w:iCs/>
        </w:rPr>
        <w:t xml:space="preserve">plasmodium falciparum </w:t>
      </w:r>
      <w:r w:rsidRPr="00353A1A">
        <w:rPr>
          <w:rFonts w:asciiTheme="minorHAnsi" w:eastAsiaTheme="minorHAnsi" w:hAnsiTheme="minorHAnsi" w:cs="Dutch801BT-Roman"/>
        </w:rPr>
        <w:t>infection in a human challenge model with wr 238605, a new 8-aminoquinoline antimalarial</w:t>
      </w:r>
      <w:r w:rsidRPr="00353A1A">
        <w:rPr>
          <w:rFonts w:asciiTheme="minorHAnsi" w:hAnsiTheme="minorHAnsi"/>
        </w:rPr>
        <w:t xml:space="preserve"> </w:t>
      </w:r>
      <w:r w:rsidRPr="00353A1A">
        <w:rPr>
          <w:rFonts w:asciiTheme="minorHAnsi" w:eastAsiaTheme="minorHAnsi" w:hAnsiTheme="minorHAnsi" w:cs="Dutch801BT-Roman"/>
        </w:rPr>
        <w:t xml:space="preserve">prophylaxis of plasmodium falciparum infection in a human challenge model with wr 238605. </w:t>
      </w:r>
      <w:proofErr w:type="gramStart"/>
      <w:r w:rsidRPr="00353A1A">
        <w:rPr>
          <w:rFonts w:asciiTheme="minorHAnsi" w:eastAsiaTheme="minorHAnsi" w:hAnsiTheme="minorHAnsi" w:cs="Dutch801BT-Roman"/>
        </w:rPr>
        <w:t>antimicrobial</w:t>
      </w:r>
      <w:proofErr w:type="gramEnd"/>
      <w:r w:rsidRPr="00353A1A">
        <w:rPr>
          <w:rFonts w:asciiTheme="minorHAnsi" w:eastAsiaTheme="minorHAnsi" w:hAnsiTheme="minorHAnsi" w:cs="Dutch801BT-Roman"/>
        </w:rPr>
        <w:t xml:space="preserve"> agents and chemotherapy. 1998;</w:t>
      </w:r>
      <w:r w:rsidR="00B319AC">
        <w:rPr>
          <w:rFonts w:asciiTheme="minorHAnsi" w:eastAsiaTheme="minorHAnsi" w:hAnsiTheme="minorHAnsi" w:cs="Dutch801BT-Roman"/>
        </w:rPr>
        <w:t xml:space="preserve"> </w:t>
      </w:r>
      <w:r w:rsidRPr="00353A1A">
        <w:rPr>
          <w:rFonts w:asciiTheme="minorHAnsi" w:eastAsiaTheme="minorHAnsi" w:hAnsiTheme="minorHAnsi" w:cs="Dutch801BT-Roman"/>
        </w:rPr>
        <w:t>5:293–1294.</w:t>
      </w:r>
    </w:p>
    <w:p w14:paraId="14F8979F" w14:textId="7E46FD16" w:rsidR="008A1A1C" w:rsidRPr="008A1A1C" w:rsidRDefault="0010343C" w:rsidP="00E730B4">
      <w:pPr>
        <w:pStyle w:val="Numberbullet0"/>
        <w:rPr>
          <w:lang w:eastAsia="en-AU"/>
        </w:rPr>
      </w:pPr>
      <w:hyperlink r:id="rId60" w:history="1">
        <w:r w:rsidR="008A1A1C" w:rsidRPr="00E730B4">
          <w:rPr>
            <w:rStyle w:val="Hyperlink"/>
            <w:color w:val="auto"/>
            <w:u w:val="none"/>
          </w:rPr>
          <w:t xml:space="preserve">Llanos-Cuentas </w:t>
        </w:r>
        <w:proofErr w:type="gramStart"/>
        <w:r w:rsidR="008A1A1C" w:rsidRPr="00B319AC">
          <w:rPr>
            <w:rStyle w:val="Hyperlink"/>
            <w:color w:val="auto"/>
            <w:u w:val="none"/>
          </w:rPr>
          <w:t>A</w:t>
        </w:r>
      </w:hyperlink>
      <w:proofErr w:type="gramEnd"/>
      <w:r w:rsidR="008A1A1C" w:rsidRPr="00353A1A">
        <w:t xml:space="preserve"> </w:t>
      </w:r>
      <w:r w:rsidR="008A1A1C" w:rsidRPr="003D252F">
        <w:t>et al</w:t>
      </w:r>
      <w:r w:rsidR="008A1A1C" w:rsidRPr="00353A1A">
        <w:t xml:space="preserve">. Tafenoquine plus chloroquine for the treatment and relapse prevention of Plasmodium vivax malaria (DETECTIVE): a multicentre, </w:t>
      </w:r>
      <w:r w:rsidR="00404803">
        <w:t>double blind</w:t>
      </w:r>
      <w:r w:rsidR="008A1A1C" w:rsidRPr="00353A1A">
        <w:t>, randomised, phase 2b dose-selection study.</w:t>
      </w:r>
      <w:r w:rsidR="008A1A1C">
        <w:t xml:space="preserve"> </w:t>
      </w:r>
      <w:r w:rsidR="008A1A1C" w:rsidRPr="00353A1A">
        <w:t>Lancet. 2014;</w:t>
      </w:r>
      <w:r w:rsidR="00B319AC">
        <w:t xml:space="preserve"> </w:t>
      </w:r>
      <w:r w:rsidR="008A1A1C" w:rsidRPr="00353A1A">
        <w:t>383(9922):1049-58</w:t>
      </w:r>
      <w:r w:rsidR="008A1A1C">
        <w:t>.</w:t>
      </w:r>
    </w:p>
    <w:bookmarkEnd w:id="6"/>
    <w:bookmarkEnd w:id="7"/>
    <w:bookmarkEnd w:id="1"/>
    <w:bookmarkEnd w:id="0"/>
    <w:bookmarkEnd w:id="3"/>
    <w:p w14:paraId="1FDD7CC4" w14:textId="77777777" w:rsidR="003D1E62" w:rsidRPr="001D043B" w:rsidRDefault="003D1E62" w:rsidP="002666AC">
      <w:pPr>
        <w:sectPr w:rsidR="003D1E62" w:rsidRPr="001D043B" w:rsidSect="008D770F">
          <w:headerReference w:type="even" r:id="rId61"/>
          <w:headerReference w:type="default" r:id="rId62"/>
          <w:headerReference w:type="first" r:id="rId63"/>
          <w:footerReference w:type="first" r:id="rId6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460F2510" w14:textId="77777777" w:rsidTr="008A1A1C">
        <w:trPr>
          <w:trHeight w:hRule="exact" w:val="564"/>
        </w:trPr>
        <w:tc>
          <w:tcPr>
            <w:tcW w:w="9175" w:type="dxa"/>
          </w:tcPr>
          <w:p w14:paraId="0F08220E" w14:textId="77777777" w:rsidR="00B3567E" w:rsidRPr="00487162" w:rsidRDefault="00B3567E" w:rsidP="008A1A1C">
            <w:pPr>
              <w:pStyle w:val="TGASignoff"/>
            </w:pPr>
            <w:r w:rsidRPr="00487162">
              <w:lastRenderedPageBreak/>
              <w:t>Therapeutic Goods Administration</w:t>
            </w:r>
          </w:p>
        </w:tc>
      </w:tr>
      <w:tr w:rsidR="00B3567E" w:rsidRPr="00487162" w14:paraId="00A5E6E2" w14:textId="77777777" w:rsidTr="008A1A1C">
        <w:trPr>
          <w:trHeight w:val="1221"/>
        </w:trPr>
        <w:tc>
          <w:tcPr>
            <w:tcW w:w="9175" w:type="dxa"/>
            <w:tcMar>
              <w:top w:w="28" w:type="dxa"/>
            </w:tcMar>
          </w:tcPr>
          <w:p w14:paraId="4E0DB692" w14:textId="77777777" w:rsidR="00B3567E" w:rsidRPr="00487162" w:rsidRDefault="00B3567E" w:rsidP="008A1A1C">
            <w:pPr>
              <w:pStyle w:val="Address"/>
            </w:pPr>
            <w:r w:rsidRPr="00487162">
              <w:t>PO Box 100 Woden ACT 2606 Australia</w:t>
            </w:r>
          </w:p>
          <w:p w14:paraId="7F21DE1F" w14:textId="77777777" w:rsidR="00B3567E" w:rsidRPr="00487162" w:rsidRDefault="00B3567E" w:rsidP="008A1A1C">
            <w:pPr>
              <w:pStyle w:val="Address"/>
            </w:pPr>
            <w:r w:rsidRPr="00487162">
              <w:t xml:space="preserve">Email: </w:t>
            </w:r>
            <w:hyperlink r:id="rId65" w:history="1">
              <w:r w:rsidRPr="008D770F">
                <w:rPr>
                  <w:rStyle w:val="Hyperlink"/>
                </w:rPr>
                <w:t>info@tga.gov.au</w:t>
              </w:r>
            </w:hyperlink>
            <w:r w:rsidR="008A1A1C">
              <w:t xml:space="preserve"> </w:t>
            </w:r>
            <w:r w:rsidRPr="00487162">
              <w:t>Phone: 1800 020 653</w:t>
            </w:r>
            <w:r w:rsidR="008A1A1C">
              <w:t xml:space="preserve"> </w:t>
            </w:r>
            <w:r w:rsidRPr="00487162">
              <w:t>Fax: 02 6232 8605</w:t>
            </w:r>
          </w:p>
          <w:p w14:paraId="5153385B" w14:textId="77777777" w:rsidR="00B3567E" w:rsidRPr="008D770F" w:rsidRDefault="0010343C" w:rsidP="008A1A1C">
            <w:pPr>
              <w:pStyle w:val="Address"/>
              <w:spacing w:line="260" w:lineRule="atLeast"/>
              <w:rPr>
                <w:b/>
                <w:color w:val="0000FF"/>
                <w:u w:val="single"/>
              </w:rPr>
            </w:pPr>
            <w:hyperlink r:id="rId66" w:history="1">
              <w:r w:rsidR="00E979F4" w:rsidRPr="00FE02B1">
                <w:rPr>
                  <w:rStyle w:val="Hyperlink"/>
                  <w:b/>
                </w:rPr>
                <w:t>https://www.tga.gov.au</w:t>
              </w:r>
            </w:hyperlink>
          </w:p>
        </w:tc>
      </w:tr>
    </w:tbl>
    <w:p w14:paraId="77972E2F" w14:textId="77777777" w:rsidR="00774E1D" w:rsidRPr="008A5E0B" w:rsidRDefault="00774E1D" w:rsidP="008A5E0B"/>
    <w:sectPr w:rsidR="00774E1D" w:rsidRPr="008A5E0B" w:rsidSect="00B3567E">
      <w:headerReference w:type="even" r:id="rId67"/>
      <w:headerReference w:type="default" r:id="rId68"/>
      <w:footerReference w:type="default" r:id="rId69"/>
      <w:headerReference w:type="first" r:id="rId70"/>
      <w:footerReference w:type="first" r:id="rId7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2D6861" w15:done="0"/>
  <w15:commentEx w15:paraId="1AE1CC9F" w15:done="0"/>
  <w15:commentEx w15:paraId="40D0B6F5" w15:done="0"/>
  <w15:commentEx w15:paraId="51790646" w15:done="0"/>
  <w15:commentEx w15:paraId="7C14BF52" w15:done="0"/>
  <w15:commentEx w15:paraId="1E6632DB" w15:done="0"/>
  <w15:commentEx w15:paraId="6373A722" w15:done="0"/>
  <w15:commentEx w15:paraId="299B70EE" w15:done="0"/>
  <w15:commentEx w15:paraId="6777995F" w15:done="0"/>
  <w15:commentEx w15:paraId="500272F5" w15:done="0"/>
  <w15:commentEx w15:paraId="4EC6A440" w15:done="0"/>
  <w15:commentEx w15:paraId="0CBE130F" w15:done="0"/>
  <w15:commentEx w15:paraId="7E0FB5A8" w15:done="0"/>
  <w15:commentEx w15:paraId="2DB9D0DC" w15:done="0"/>
  <w15:commentEx w15:paraId="08DC0492" w15:done="0"/>
  <w15:commentEx w15:paraId="4D2C2A28" w15:done="0"/>
  <w15:commentEx w15:paraId="33FCB8DC" w15:done="0"/>
  <w15:commentEx w15:paraId="5B989842" w15:done="0"/>
  <w15:commentEx w15:paraId="01112AF1" w15:done="0"/>
  <w15:commentEx w15:paraId="0EDD3697" w15:done="0"/>
  <w15:commentEx w15:paraId="7A674A6B" w15:done="0"/>
  <w15:commentEx w15:paraId="780A742B" w15:done="0"/>
  <w15:commentEx w15:paraId="6AD7C6EB" w15:done="0"/>
  <w15:commentEx w15:paraId="693D4CFA" w15:done="0"/>
  <w15:commentEx w15:paraId="5CA57D40" w15:done="0"/>
  <w15:commentEx w15:paraId="36BF14A8" w15:done="0"/>
  <w15:commentEx w15:paraId="7B75374E" w15:done="0"/>
  <w15:commentEx w15:paraId="2A431E34" w15:done="0"/>
  <w15:commentEx w15:paraId="0C51A6B0" w15:done="0"/>
  <w15:commentEx w15:paraId="182FDD7D" w15:done="0"/>
  <w15:commentEx w15:paraId="7DEAAE21" w15:done="0"/>
  <w15:commentEx w15:paraId="7B73F5B6" w15:done="0"/>
  <w15:commentEx w15:paraId="323321A4" w15:done="0"/>
  <w15:commentEx w15:paraId="7785D0A6" w15:done="0"/>
  <w15:commentEx w15:paraId="478A572C" w15:done="0"/>
  <w15:commentEx w15:paraId="01B422DE" w15:done="0"/>
  <w15:commentEx w15:paraId="5545F6FC" w15:done="0"/>
  <w15:commentEx w15:paraId="324EB876" w15:done="0"/>
  <w15:commentEx w15:paraId="3E862050" w15:done="0"/>
  <w15:commentEx w15:paraId="0A983E9A" w15:done="0"/>
  <w15:commentEx w15:paraId="229E6693" w15:done="0"/>
  <w15:commentEx w15:paraId="427F8066" w15:done="0"/>
  <w15:commentEx w15:paraId="4BAD4D59" w15:done="0"/>
  <w15:commentEx w15:paraId="75AA04EB" w15:done="0"/>
  <w15:commentEx w15:paraId="17F5C842" w15:done="0"/>
  <w15:commentEx w15:paraId="7DBA9D09" w15:done="0"/>
  <w15:commentEx w15:paraId="21DEE62A" w15:done="0"/>
  <w15:commentEx w15:paraId="1444E179" w15:done="0"/>
  <w15:commentEx w15:paraId="4B83FF78" w15:done="0"/>
  <w15:commentEx w15:paraId="6DB839EE" w15:paraIdParent="4B83FF78" w15:done="0"/>
  <w15:commentEx w15:paraId="23B97ABE" w15:done="0"/>
  <w15:commentEx w15:paraId="31DE4EF0" w15:done="0"/>
  <w15:commentEx w15:paraId="413DC399" w15:done="0"/>
  <w15:commentEx w15:paraId="026F683E" w15:done="0"/>
  <w15:commentEx w15:paraId="6BB5EE3E" w15:done="0"/>
  <w15:commentEx w15:paraId="56C3BAE3" w15:done="0"/>
  <w15:commentEx w15:paraId="285DBD5B" w15:done="0"/>
  <w15:commentEx w15:paraId="2289B3AE" w15:done="0"/>
  <w15:commentEx w15:paraId="34CE0875" w15:done="0"/>
  <w15:commentEx w15:paraId="77CC706A" w15:done="0"/>
  <w15:commentEx w15:paraId="60045F85" w15:done="0"/>
  <w15:commentEx w15:paraId="4D5B6C22" w15:done="0"/>
  <w15:commentEx w15:paraId="59901A89" w15:done="0"/>
  <w15:commentEx w15:paraId="60BE88ED" w15:done="0"/>
  <w15:commentEx w15:paraId="6497C48F" w15:done="0"/>
  <w15:commentEx w15:paraId="6EA5E8FD" w15:done="0"/>
  <w15:commentEx w15:paraId="6A5C97DE" w15:done="0"/>
  <w15:commentEx w15:paraId="6337E48F" w15:done="0"/>
  <w15:commentEx w15:paraId="54FD0712" w15:done="0"/>
  <w15:commentEx w15:paraId="2A3497A9" w15:done="0"/>
  <w15:commentEx w15:paraId="4808210F" w15:done="0"/>
  <w15:commentEx w15:paraId="752806CA" w15:done="0"/>
  <w15:commentEx w15:paraId="1C2FF3B2" w15:done="0"/>
  <w15:commentEx w15:paraId="4886F23C" w15:paraIdParent="1C2FF3B2" w15:done="0"/>
  <w15:commentEx w15:paraId="53B95349" w15:done="0"/>
  <w15:commentEx w15:paraId="5BFDA4EE" w15:done="0"/>
  <w15:commentEx w15:paraId="3B825B4D" w15:done="0"/>
  <w15:commentEx w15:paraId="575E1560" w15:done="0"/>
  <w15:commentEx w15:paraId="20151061" w15:done="0"/>
  <w15:commentEx w15:paraId="22442B85" w15:done="0"/>
  <w15:commentEx w15:paraId="42A5EB76" w15:paraIdParent="22442B85" w15:done="0"/>
  <w15:commentEx w15:paraId="7EB39841" w15:paraIdParent="22442B85" w15:done="0"/>
  <w15:commentEx w15:paraId="7C901AD2" w15:done="0"/>
  <w15:commentEx w15:paraId="5FBFC9C1" w15:done="0"/>
  <w15:commentEx w15:paraId="3FD34F45" w15:done="0"/>
  <w15:commentEx w15:paraId="5E196DAB" w15:done="0"/>
  <w15:commentEx w15:paraId="4BE59B98" w15:done="0"/>
  <w15:commentEx w15:paraId="63DCACFC" w15:done="0"/>
  <w15:commentEx w15:paraId="0FABEC96" w15:done="0"/>
  <w15:commentEx w15:paraId="4BBA1273" w15:done="0"/>
  <w15:commentEx w15:paraId="593208AF" w15:done="0"/>
  <w15:commentEx w15:paraId="3711BC69" w15:done="0"/>
  <w15:commentEx w15:paraId="70914D55" w15:done="0"/>
  <w15:commentEx w15:paraId="621152C1" w15:done="0"/>
  <w15:commentEx w15:paraId="137A5F49" w15:done="0"/>
  <w15:commentEx w15:paraId="151B40C2" w15:done="0"/>
  <w15:commentEx w15:paraId="215C21E2" w15:done="0"/>
  <w15:commentEx w15:paraId="56C72531" w15:done="0"/>
  <w15:commentEx w15:paraId="4E2A19CE" w15:done="0"/>
  <w15:commentEx w15:paraId="19A49A28" w15:done="0"/>
  <w15:commentEx w15:paraId="7BD9E4A9" w15:done="0"/>
  <w15:commentEx w15:paraId="5FE4776F" w15:done="0"/>
  <w15:commentEx w15:paraId="0F3E843A" w15:done="0"/>
  <w15:commentEx w15:paraId="484AD4F8" w15:done="0"/>
  <w15:commentEx w15:paraId="5F25E23C" w15:done="0"/>
  <w15:commentEx w15:paraId="7A4494F4" w15:done="0"/>
  <w15:commentEx w15:paraId="63577A1B" w15:done="0"/>
  <w15:commentEx w15:paraId="7F81CC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2D6861" w16cid:durableId="1F8DA195"/>
  <w16cid:commentId w16cid:paraId="1AE1CC9F" w16cid:durableId="1F72CF1B"/>
  <w16cid:commentId w16cid:paraId="40D0B6F5" w16cid:durableId="1F8DA197"/>
  <w16cid:commentId w16cid:paraId="51790646" w16cid:durableId="1F745091"/>
  <w16cid:commentId w16cid:paraId="7C14BF52" w16cid:durableId="1F8DA199"/>
  <w16cid:commentId w16cid:paraId="1E6632DB" w16cid:durableId="1F8DA19A"/>
  <w16cid:commentId w16cid:paraId="6373A722" w16cid:durableId="1F72CF2E"/>
  <w16cid:commentId w16cid:paraId="299B70EE" w16cid:durableId="1F8DA19C"/>
  <w16cid:commentId w16cid:paraId="6777995F" w16cid:durableId="1F8DA19D"/>
  <w16cid:commentId w16cid:paraId="500272F5" w16cid:durableId="1F8DA19E"/>
  <w16cid:commentId w16cid:paraId="4EC6A440" w16cid:durableId="1F8DA19F"/>
  <w16cid:commentId w16cid:paraId="0CBE130F" w16cid:durableId="1F8DA1A0"/>
  <w16cid:commentId w16cid:paraId="7E0FB5A8" w16cid:durableId="1F72D214"/>
  <w16cid:commentId w16cid:paraId="2DB9D0DC" w16cid:durableId="1F8DA1A2"/>
  <w16cid:commentId w16cid:paraId="08DC0492" w16cid:durableId="1F8DA1A3"/>
  <w16cid:commentId w16cid:paraId="4D2C2A28" w16cid:durableId="1F72E719"/>
  <w16cid:commentId w16cid:paraId="33FCB8DC" w16cid:durableId="1F72E85F"/>
  <w16cid:commentId w16cid:paraId="5B989842" w16cid:durableId="1F8DA1A6"/>
  <w16cid:commentId w16cid:paraId="01112AF1" w16cid:durableId="1F8DA1A7"/>
  <w16cid:commentId w16cid:paraId="0EDD3697" w16cid:durableId="1F8DA1A8"/>
  <w16cid:commentId w16cid:paraId="7A674A6B" w16cid:durableId="1F8DA1A9"/>
  <w16cid:commentId w16cid:paraId="780A742B" w16cid:durableId="1F8DA1AA"/>
  <w16cid:commentId w16cid:paraId="6AD7C6EB" w16cid:durableId="1F8DA1AB"/>
  <w16cid:commentId w16cid:paraId="693D4CFA" w16cid:durableId="1F72EA07"/>
  <w16cid:commentId w16cid:paraId="5CA57D40" w16cid:durableId="1F8DA1AD"/>
  <w16cid:commentId w16cid:paraId="36BF14A8" w16cid:durableId="1F72EA57"/>
  <w16cid:commentId w16cid:paraId="7B75374E" w16cid:durableId="1F8DA1AF"/>
  <w16cid:commentId w16cid:paraId="2A431E34" w16cid:durableId="1F8DA1B0"/>
  <w16cid:commentId w16cid:paraId="0C51A6B0" w16cid:durableId="1F8DA1B1"/>
  <w16cid:commentId w16cid:paraId="182FDD7D" w16cid:durableId="1F8DA1B2"/>
  <w16cid:commentId w16cid:paraId="7DEAAE21" w16cid:durableId="1F8DA1B3"/>
  <w16cid:commentId w16cid:paraId="7B73F5B6" w16cid:durableId="1F8DA1B4"/>
  <w16cid:commentId w16cid:paraId="323321A4" w16cid:durableId="1F72EBBF"/>
  <w16cid:commentId w16cid:paraId="7785D0A6" w16cid:durableId="1F8DA1B6"/>
  <w16cid:commentId w16cid:paraId="478A572C" w16cid:durableId="1F8DA1B7"/>
  <w16cid:commentId w16cid:paraId="01B422DE" w16cid:durableId="1F8DA1B8"/>
  <w16cid:commentId w16cid:paraId="5545F6FC" w16cid:durableId="1F8DA399"/>
  <w16cid:commentId w16cid:paraId="324EB876" w16cid:durableId="1F72ED98"/>
  <w16cid:commentId w16cid:paraId="3E862050" w16cid:durableId="1F8DA38D"/>
  <w16cid:commentId w16cid:paraId="0A983E9A" w16cid:durableId="1F8DA1BA"/>
  <w16cid:commentId w16cid:paraId="229E6693" w16cid:durableId="1F8DA1BB"/>
  <w16cid:commentId w16cid:paraId="427F8066" w16cid:durableId="1F8DA1BC"/>
  <w16cid:commentId w16cid:paraId="4BAD4D59" w16cid:durableId="1F8DA1BD"/>
  <w16cid:commentId w16cid:paraId="75AA04EB" w16cid:durableId="1F8DA1BE"/>
  <w16cid:commentId w16cid:paraId="17F5C842" w16cid:durableId="1F8DA1BF"/>
  <w16cid:commentId w16cid:paraId="7DBA9D09" w16cid:durableId="1F8DA1C0"/>
  <w16cid:commentId w16cid:paraId="21DEE62A" w16cid:durableId="1F8DA1C1"/>
  <w16cid:commentId w16cid:paraId="1444E179" w16cid:durableId="1F8DA1C2"/>
  <w16cid:commentId w16cid:paraId="4B83FF78" w16cid:durableId="1F72F16E"/>
  <w16cid:commentId w16cid:paraId="6DB839EE" w16cid:durableId="1F733A3E"/>
  <w16cid:commentId w16cid:paraId="23B97ABE" w16cid:durableId="1F8DA1C5"/>
  <w16cid:commentId w16cid:paraId="31DE4EF0" w16cid:durableId="1F8DA1C6"/>
  <w16cid:commentId w16cid:paraId="413DC399" w16cid:durableId="1F8DA1C7"/>
  <w16cid:commentId w16cid:paraId="026F683E" w16cid:durableId="1F8DA1C8"/>
  <w16cid:commentId w16cid:paraId="6BB5EE3E" w16cid:durableId="1F8DA1C9"/>
  <w16cid:commentId w16cid:paraId="56C3BAE3" w16cid:durableId="1F8DA1CA"/>
  <w16cid:commentId w16cid:paraId="285DBD5B" w16cid:durableId="1F8DA1CB"/>
  <w16cid:commentId w16cid:paraId="2289B3AE" w16cid:durableId="1F8DA1CC"/>
  <w16cid:commentId w16cid:paraId="34CE0875" w16cid:durableId="1F8DA1CD"/>
  <w16cid:commentId w16cid:paraId="77CC706A" w16cid:durableId="1F8DA1CE"/>
  <w16cid:commentId w16cid:paraId="60045F85" w16cid:durableId="1F8DA1CF"/>
  <w16cid:commentId w16cid:paraId="4D5B6C22" w16cid:durableId="1F72FB02"/>
  <w16cid:commentId w16cid:paraId="59901A89" w16cid:durableId="1F8DA1D1"/>
  <w16cid:commentId w16cid:paraId="60BE88ED" w16cid:durableId="1F8DA1D2"/>
  <w16cid:commentId w16cid:paraId="6497C48F" w16cid:durableId="1F8DA1D3"/>
  <w16cid:commentId w16cid:paraId="6EA5E8FD" w16cid:durableId="1F8DA1D4"/>
  <w16cid:commentId w16cid:paraId="6A5C97DE" w16cid:durableId="1F8DA1D5"/>
  <w16cid:commentId w16cid:paraId="6337E48F" w16cid:durableId="1F72FD57"/>
  <w16cid:commentId w16cid:paraId="54FD0712" w16cid:durableId="1F8DA1D7"/>
  <w16cid:commentId w16cid:paraId="2A3497A9" w16cid:durableId="1F72FDE0"/>
  <w16cid:commentId w16cid:paraId="4808210F" w16cid:durableId="1F8DA1D9"/>
  <w16cid:commentId w16cid:paraId="752806CA" w16cid:durableId="1F8DA1DA"/>
  <w16cid:commentId w16cid:paraId="1C2FF3B2" w16cid:durableId="1F8DA1DB"/>
  <w16cid:commentId w16cid:paraId="4886F23C" w16cid:durableId="1F8DA63E"/>
  <w16cid:commentId w16cid:paraId="53B95349" w16cid:durableId="1F72FF16"/>
  <w16cid:commentId w16cid:paraId="5BFDA4EE" w16cid:durableId="1F7301BB"/>
  <w16cid:commentId w16cid:paraId="3B825B4D" w16cid:durableId="1F8DA1DE"/>
  <w16cid:commentId w16cid:paraId="575E1560" w16cid:durableId="1F8DA1DF"/>
  <w16cid:commentId w16cid:paraId="20151061" w16cid:durableId="1F8DA1E0"/>
  <w16cid:commentId w16cid:paraId="22442B85" w16cid:durableId="1F8DA1E1"/>
  <w16cid:commentId w16cid:paraId="42A5EB76" w16cid:durableId="1F8DA71C"/>
  <w16cid:commentId w16cid:paraId="7EB39841" w16cid:durableId="1F96B334"/>
  <w16cid:commentId w16cid:paraId="7C901AD2" w16cid:durableId="1F73042C"/>
  <w16cid:commentId w16cid:paraId="5FBFC9C1" w16cid:durableId="1F8DA1E3"/>
  <w16cid:commentId w16cid:paraId="3FD34F45" w16cid:durableId="1F7304DE"/>
  <w16cid:commentId w16cid:paraId="5E196DAB" w16cid:durableId="1F730525"/>
  <w16cid:commentId w16cid:paraId="4BE59B98" w16cid:durableId="1F8DA1E6"/>
  <w16cid:commentId w16cid:paraId="63DCACFC" w16cid:durableId="1F8DA1E7"/>
  <w16cid:commentId w16cid:paraId="0FABEC96" w16cid:durableId="1F8DA1E8"/>
  <w16cid:commentId w16cid:paraId="4BBA1273" w16cid:durableId="1F8DA1E9"/>
  <w16cid:commentId w16cid:paraId="593208AF" w16cid:durableId="1F8DA1EA"/>
  <w16cid:commentId w16cid:paraId="3711BC69" w16cid:durableId="1F8DA1EB"/>
  <w16cid:commentId w16cid:paraId="70914D55" w16cid:durableId="1F8DA1EC"/>
  <w16cid:commentId w16cid:paraId="621152C1" w16cid:durableId="1F7307B4"/>
  <w16cid:commentId w16cid:paraId="137A5F49" w16cid:durableId="1F8DA1EE"/>
  <w16cid:commentId w16cid:paraId="151B40C2" w16cid:durableId="1F8DA1EF"/>
  <w16cid:commentId w16cid:paraId="215C21E2" w16cid:durableId="1F8DA1F0"/>
  <w16cid:commentId w16cid:paraId="56C72531" w16cid:durableId="1F8DA1F1"/>
  <w16cid:commentId w16cid:paraId="4E2A19CE" w16cid:durableId="1F730B26"/>
  <w16cid:commentId w16cid:paraId="19A49A28" w16cid:durableId="1F8DA1F3"/>
  <w16cid:commentId w16cid:paraId="7BD9E4A9" w16cid:durableId="1F8DA1F4"/>
  <w16cid:commentId w16cid:paraId="5FE4776F" w16cid:durableId="1F8DA1F5"/>
  <w16cid:commentId w16cid:paraId="0F3E843A" w16cid:durableId="1F8DA91F"/>
  <w16cid:commentId w16cid:paraId="484AD4F8" w16cid:durableId="1F8DA1F6"/>
  <w16cid:commentId w16cid:paraId="5F25E23C" w16cid:durableId="1F8DA1F7"/>
  <w16cid:commentId w16cid:paraId="7A4494F4" w16cid:durableId="1F730B89"/>
  <w16cid:commentId w16cid:paraId="63577A1B" w16cid:durableId="1F8DAC63"/>
  <w16cid:commentId w16cid:paraId="7F81CCFD" w16cid:durableId="1F8DA1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B921D" w14:textId="77777777" w:rsidR="0010343C" w:rsidRDefault="0010343C" w:rsidP="00C40A36">
      <w:pPr>
        <w:spacing w:after="0"/>
      </w:pPr>
      <w:r>
        <w:separator/>
      </w:r>
    </w:p>
  </w:endnote>
  <w:endnote w:type="continuationSeparator" w:id="0">
    <w:p w14:paraId="10E8EAD3" w14:textId="77777777" w:rsidR="0010343C" w:rsidRDefault="0010343C" w:rsidP="00C40A36">
      <w:pPr>
        <w:spacing w:after="0"/>
      </w:pPr>
      <w:r>
        <w:continuationSeparator/>
      </w:r>
    </w:p>
  </w:endnote>
  <w:endnote w:type="continuationNotice" w:id="1">
    <w:p w14:paraId="5FA8CB48" w14:textId="77777777" w:rsidR="0010343C" w:rsidRDefault="001034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panose1 w:val="0202080307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imesNewRoman">
    <w:altName w:val="Arial Unicode MS"/>
    <w:panose1 w:val="00000000000000000000"/>
    <w:charset w:val="80"/>
    <w:family w:val="auto"/>
    <w:notTrueType/>
    <w:pitch w:val="default"/>
    <w:sig w:usb0="00000083" w:usb1="08070000" w:usb2="00000010" w:usb3="00000000" w:csb0="00020009" w:csb1="00000000"/>
  </w:font>
  <w:font w:name="TimesNewRoman,Bold">
    <w:altName w:val="MS Mincho"/>
    <w:panose1 w:val="00000000000000000000"/>
    <w:charset w:val="00"/>
    <w:family w:val="auto"/>
    <w:notTrueType/>
    <w:pitch w:val="default"/>
    <w:sig w:usb0="00000003" w:usb1="08070000" w:usb2="00000010" w:usb3="00000000" w:csb0="00020001" w:csb1="00000000"/>
  </w:font>
  <w:font w:name="Dutch801BT-Roman">
    <w:altName w:val="Cambria"/>
    <w:panose1 w:val="00000000000000000000"/>
    <w:charset w:val="00"/>
    <w:family w:val="roman"/>
    <w:notTrueType/>
    <w:pitch w:val="default"/>
    <w:sig w:usb0="00000003" w:usb1="00000000" w:usb2="00000000" w:usb3="00000000" w:csb0="00000001" w:csb1="00000000"/>
  </w:font>
  <w:font w:name="Dutch801BT-Italic">
    <w:altName w:val="Calibri"/>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0343C" w:rsidRPr="00487162" w14:paraId="32F9A487" w14:textId="77777777" w:rsidTr="009720A8">
      <w:trPr>
        <w:trHeight w:val="269"/>
      </w:trPr>
      <w:tc>
        <w:tcPr>
          <w:tcW w:w="7655" w:type="dxa"/>
          <w:tcMar>
            <w:top w:w="142" w:type="dxa"/>
            <w:bottom w:w="0" w:type="dxa"/>
          </w:tcMar>
        </w:tcPr>
        <w:p w14:paraId="01A1D283" w14:textId="77777777" w:rsidR="0010343C" w:rsidRPr="00487162" w:rsidRDefault="0010343C" w:rsidP="008A1A1C">
          <w:pPr>
            <w:pStyle w:val="Footer"/>
          </w:pPr>
          <w:r>
            <w:t>Submission</w:t>
          </w:r>
          <w:r w:rsidRPr="00487162">
            <w:t xml:space="preserve"> PM-20</w:t>
          </w:r>
          <w:r>
            <w:t>17</w:t>
          </w:r>
          <w:r w:rsidRPr="00487162">
            <w:t>-</w:t>
          </w:r>
          <w:r>
            <w:t>02418</w:t>
          </w:r>
          <w:r w:rsidRPr="00487162">
            <w:t>-</w:t>
          </w:r>
          <w:r>
            <w:t>1</w:t>
          </w:r>
          <w:r w:rsidRPr="00487162">
            <w:t>-</w:t>
          </w:r>
          <w:r>
            <w:t>2 Extract from the Clinical Evaluation Report for Kodatef</w:t>
          </w:r>
        </w:p>
      </w:tc>
      <w:tc>
        <w:tcPr>
          <w:tcW w:w="1206" w:type="dxa"/>
          <w:tcMar>
            <w:top w:w="142" w:type="dxa"/>
            <w:bottom w:w="0" w:type="dxa"/>
          </w:tcMar>
        </w:tcPr>
        <w:p w14:paraId="3815AF7A" w14:textId="77777777" w:rsidR="0010343C" w:rsidRPr="00981D66" w:rsidRDefault="0010343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E2807">
            <w:rPr>
              <w:noProof/>
            </w:rPr>
            <w:t>3</w:t>
          </w:r>
          <w:r w:rsidRPr="00981D66">
            <w:fldChar w:fldCharType="end"/>
          </w:r>
          <w:r w:rsidRPr="00981D66">
            <w:t xml:space="preserve"> of </w:t>
          </w:r>
          <w:r>
            <w:rPr>
              <w:noProof/>
            </w:rPr>
            <w:fldChar w:fldCharType="begin"/>
          </w:r>
          <w:r>
            <w:rPr>
              <w:noProof/>
            </w:rPr>
            <w:instrText xml:space="preserve"> NUMPAGES  \* Arabic  \* MERGEFORMAT </w:instrText>
          </w:r>
          <w:r>
            <w:rPr>
              <w:noProof/>
            </w:rPr>
            <w:fldChar w:fldCharType="separate"/>
          </w:r>
          <w:r w:rsidR="000E2807">
            <w:rPr>
              <w:noProof/>
            </w:rPr>
            <w:t>91</w:t>
          </w:r>
          <w:r>
            <w:rPr>
              <w:noProof/>
            </w:rPr>
            <w:fldChar w:fldCharType="end"/>
          </w:r>
        </w:p>
      </w:tc>
    </w:tr>
  </w:tbl>
  <w:p w14:paraId="2E299FBE" w14:textId="77777777" w:rsidR="0010343C" w:rsidRDefault="0010343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0343C" w:rsidRPr="00487162" w14:paraId="30388D2F" w14:textId="77777777" w:rsidTr="00E45619">
      <w:trPr>
        <w:trHeight w:val="269"/>
      </w:trPr>
      <w:tc>
        <w:tcPr>
          <w:tcW w:w="4519" w:type="dxa"/>
          <w:tcBorders>
            <w:top w:val="single" w:sz="4" w:space="0" w:color="auto"/>
          </w:tcBorders>
          <w:tcMar>
            <w:top w:w="142" w:type="dxa"/>
            <w:bottom w:w="0" w:type="dxa"/>
          </w:tcMar>
        </w:tcPr>
        <w:p w14:paraId="4CA92B21" w14:textId="77777777" w:rsidR="0010343C" w:rsidRPr="00487162" w:rsidRDefault="0010343C" w:rsidP="00FE1DEE">
          <w:pPr>
            <w:pStyle w:val="Footer"/>
          </w:pPr>
          <w:r w:rsidRPr="00487162">
            <w:t>Document title, Part #, Section # - Section title</w:t>
          </w:r>
        </w:p>
        <w:p w14:paraId="10E880DC" w14:textId="77777777" w:rsidR="0010343C" w:rsidRPr="00487162" w:rsidRDefault="0010343C" w:rsidP="00FE1DEE">
          <w:pPr>
            <w:pStyle w:val="Footer"/>
          </w:pPr>
          <w:r w:rsidRPr="00487162">
            <w:t>V1.0 October 2010</w:t>
          </w:r>
        </w:p>
      </w:tc>
      <w:tc>
        <w:tcPr>
          <w:tcW w:w="4342" w:type="dxa"/>
          <w:tcBorders>
            <w:top w:val="single" w:sz="4" w:space="0" w:color="auto"/>
          </w:tcBorders>
          <w:tcMar>
            <w:top w:w="142" w:type="dxa"/>
            <w:bottom w:w="0" w:type="dxa"/>
          </w:tcMar>
        </w:tcPr>
        <w:p w14:paraId="42A432AA" w14:textId="28207E9F" w:rsidR="0010343C" w:rsidRPr="00487162" w:rsidRDefault="0010343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91</w:t>
          </w:r>
          <w:r>
            <w:rPr>
              <w:noProof/>
            </w:rPr>
            <w:fldChar w:fldCharType="end"/>
          </w:r>
        </w:p>
      </w:tc>
    </w:tr>
  </w:tbl>
  <w:p w14:paraId="048D0D5C" w14:textId="77777777" w:rsidR="0010343C" w:rsidRDefault="001034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6F1B5" w14:textId="77777777" w:rsidR="0010343C" w:rsidRDefault="0010343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0343C" w14:paraId="25CA8ECE" w14:textId="77777777" w:rsidTr="0010601F">
      <w:trPr>
        <w:trHeight w:val="108"/>
      </w:trPr>
      <w:tc>
        <w:tcPr>
          <w:tcW w:w="8875" w:type="dxa"/>
          <w:gridSpan w:val="2"/>
          <w:tcBorders>
            <w:bottom w:val="single" w:sz="4" w:space="0" w:color="auto"/>
          </w:tcBorders>
          <w:tcMar>
            <w:right w:w="284" w:type="dxa"/>
          </w:tcMar>
        </w:tcPr>
        <w:p w14:paraId="3012A01A" w14:textId="77777777" w:rsidR="0010343C" w:rsidRDefault="0010343C" w:rsidP="00E730B4">
          <w:pPr>
            <w:pStyle w:val="Heading3"/>
            <w:tabs>
              <w:tab w:val="clear" w:pos="1135"/>
              <w:tab w:val="num" w:pos="1589"/>
            </w:tabs>
          </w:pPr>
          <w:r>
            <w:t>Copyright</w:t>
          </w:r>
        </w:p>
        <w:p w14:paraId="5594DF95" w14:textId="77777777" w:rsidR="0010343C" w:rsidRDefault="0010343C" w:rsidP="006E08B3">
          <w:r>
            <w:rPr>
              <w:rFonts w:cs="Arial"/>
            </w:rPr>
            <w:t>©</w:t>
          </w:r>
          <w:r>
            <w:t xml:space="preserve"> Commonwealth of Australia [add year]</w:t>
          </w:r>
        </w:p>
        <w:p w14:paraId="4B5244AC" w14:textId="77777777" w:rsidR="0010343C" w:rsidRDefault="0010343C" w:rsidP="006E08B3"/>
        <w:p w14:paraId="2E2169C1" w14:textId="77777777" w:rsidR="0010343C" w:rsidRDefault="0010343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2E2E0D6" w14:textId="77777777" w:rsidR="0010343C" w:rsidRDefault="0010343C" w:rsidP="006E08B3"/>
        <w:p w14:paraId="64D855C5" w14:textId="77777777" w:rsidR="0010343C" w:rsidRDefault="0010343C" w:rsidP="00E730B4">
          <w:pPr>
            <w:pStyle w:val="Heading3"/>
            <w:tabs>
              <w:tab w:val="clear" w:pos="1135"/>
              <w:tab w:val="num" w:pos="1589"/>
            </w:tabs>
          </w:pPr>
          <w:r>
            <w:t>Confidentiality</w:t>
          </w:r>
        </w:p>
        <w:p w14:paraId="5A5F5336" w14:textId="77777777" w:rsidR="0010343C" w:rsidRDefault="0010343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60826FF" w14:textId="77777777" w:rsidR="0010343C" w:rsidRDefault="0010343C" w:rsidP="006E08B3"/>
        <w:p w14:paraId="51CCB916" w14:textId="77777777" w:rsidR="0010343C" w:rsidRDefault="0010343C" w:rsidP="006E08B3">
          <w:r>
            <w:t>For submission made by individuals, all personal details, other than your name, will be removed from your submission before it is published on the TGA’s Internet site.</w:t>
          </w:r>
        </w:p>
        <w:p w14:paraId="35E56087" w14:textId="77777777" w:rsidR="0010343C" w:rsidRDefault="0010343C" w:rsidP="006E08B3"/>
        <w:p w14:paraId="3BB4E539" w14:textId="77777777" w:rsidR="0010343C" w:rsidRDefault="0010343C" w:rsidP="006E08B3">
          <w:r>
            <w:t>In addition, a list of parties making submissions will be published. If you do not wish to be identified with your submission you must specifically request this in the space provided ib the submission coversheet.</w:t>
          </w:r>
        </w:p>
      </w:tc>
    </w:tr>
    <w:tr w:rsidR="0010343C" w14:paraId="3FD802C9" w14:textId="77777777" w:rsidTr="0010601F">
      <w:trPr>
        <w:trHeight w:val="417"/>
      </w:trPr>
      <w:tc>
        <w:tcPr>
          <w:tcW w:w="4519" w:type="dxa"/>
          <w:tcBorders>
            <w:top w:val="single" w:sz="4" w:space="0" w:color="auto"/>
          </w:tcBorders>
          <w:tcMar>
            <w:top w:w="142" w:type="dxa"/>
            <w:bottom w:w="0" w:type="dxa"/>
          </w:tcMar>
        </w:tcPr>
        <w:p w14:paraId="66D5392B" w14:textId="77777777" w:rsidR="0010343C" w:rsidRDefault="0010343C" w:rsidP="006E08B3">
          <w:r>
            <w:t>Document title, Part #, Section # - Section title</w:t>
          </w:r>
        </w:p>
        <w:p w14:paraId="1CFF19A3" w14:textId="77777777" w:rsidR="0010343C" w:rsidRDefault="0010343C" w:rsidP="006E08B3">
          <w:r>
            <w:t>V1.0 October 2010</w:t>
          </w:r>
        </w:p>
      </w:tc>
      <w:tc>
        <w:tcPr>
          <w:tcW w:w="4356" w:type="dxa"/>
          <w:tcBorders>
            <w:top w:val="single" w:sz="4" w:space="0" w:color="auto"/>
          </w:tcBorders>
          <w:tcMar>
            <w:top w:w="142" w:type="dxa"/>
            <w:bottom w:w="0" w:type="dxa"/>
          </w:tcMar>
        </w:tcPr>
        <w:p w14:paraId="01875517" w14:textId="063E9946" w:rsidR="0010343C" w:rsidRDefault="0010343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91</w:t>
          </w:r>
          <w:r>
            <w:rPr>
              <w:noProof/>
            </w:rPr>
            <w:fldChar w:fldCharType="end"/>
          </w:r>
          <w:r>
            <w:t xml:space="preserve"> </w:t>
          </w:r>
        </w:p>
      </w:tc>
    </w:tr>
  </w:tbl>
  <w:p w14:paraId="5CEFB209" w14:textId="77777777" w:rsidR="0010343C" w:rsidRDefault="001034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7C7E0" w14:textId="77777777" w:rsidR="0010343C" w:rsidRDefault="0010343C" w:rsidP="00C40A36">
      <w:pPr>
        <w:spacing w:after="0"/>
      </w:pPr>
      <w:r>
        <w:separator/>
      </w:r>
    </w:p>
  </w:footnote>
  <w:footnote w:type="continuationSeparator" w:id="0">
    <w:p w14:paraId="703D19D3" w14:textId="77777777" w:rsidR="0010343C" w:rsidRDefault="0010343C" w:rsidP="00C40A36">
      <w:pPr>
        <w:spacing w:after="0"/>
      </w:pPr>
      <w:r>
        <w:continuationSeparator/>
      </w:r>
    </w:p>
  </w:footnote>
  <w:footnote w:type="continuationNotice" w:id="1">
    <w:p w14:paraId="7B75B39D" w14:textId="77777777" w:rsidR="0010343C" w:rsidRDefault="0010343C">
      <w:pPr>
        <w:spacing w:before="0" w:after="0" w:line="240" w:lineRule="auto"/>
      </w:pPr>
    </w:p>
  </w:footnote>
  <w:footnote w:id="2">
    <w:p w14:paraId="4A1B7CBF" w14:textId="37A52793" w:rsidR="0010343C" w:rsidRPr="0011058F" w:rsidRDefault="0010343C" w:rsidP="0011058F">
      <w:pPr>
        <w:rPr>
          <w:sz w:val="18"/>
          <w:szCs w:val="18"/>
          <w:lang w:eastAsia="ja-JP"/>
        </w:rPr>
      </w:pPr>
      <w:r>
        <w:rPr>
          <w:rStyle w:val="FootnoteReference"/>
        </w:rPr>
        <w:footnoteRef/>
      </w:r>
      <w:r>
        <w:t xml:space="preserve"> </w:t>
      </w:r>
      <w:r w:rsidRPr="0011058F">
        <w:rPr>
          <w:sz w:val="18"/>
          <w:szCs w:val="18"/>
        </w:rPr>
        <w:t xml:space="preserve">Sponsor comment: </w:t>
      </w:r>
      <w:r w:rsidRPr="0011058F">
        <w:rPr>
          <w:sz w:val="18"/>
          <w:szCs w:val="18"/>
          <w:lang w:eastAsia="ja-JP"/>
        </w:rPr>
        <w:t>This application is not for use in children, only in adults, as the sponsor believes additional paediatric data are required to confirm the safety and tolerability of the approved adult dose in children. Further paediatric studies are planned under an FDA approved paediatric study plan</w:t>
      </w:r>
    </w:p>
  </w:footnote>
  <w:footnote w:id="3">
    <w:p w14:paraId="31C0724E" w14:textId="468540BB" w:rsidR="0010343C" w:rsidRDefault="0010343C">
      <w:pPr>
        <w:pStyle w:val="FootnoteText"/>
      </w:pPr>
      <w:r>
        <w:rPr>
          <w:rStyle w:val="FootnoteReference"/>
        </w:rPr>
        <w:footnoteRef/>
      </w:r>
      <w:r>
        <w:t xml:space="preserve"> Sponsor comment: The sponsor has conservatively included this theoretical risk statement in the approved PI (Attachment 1).</w:t>
      </w:r>
    </w:p>
  </w:footnote>
  <w:footnote w:id="4">
    <w:p w14:paraId="2D6D5612" w14:textId="34FFC00C" w:rsidR="0010343C" w:rsidRPr="0098241D" w:rsidRDefault="0010343C" w:rsidP="00B743F3">
      <w:pPr>
        <w:rPr>
          <w:sz w:val="18"/>
          <w:szCs w:val="18"/>
          <w:lang w:eastAsia="ja-JP"/>
        </w:rPr>
      </w:pPr>
      <w:r>
        <w:rPr>
          <w:rStyle w:val="FootnoteReference"/>
        </w:rPr>
        <w:footnoteRef/>
      </w:r>
      <w:r w:rsidRPr="0098241D">
        <w:rPr>
          <w:sz w:val="18"/>
          <w:szCs w:val="18"/>
        </w:rPr>
        <w:t xml:space="preserve">Sponsor comment: The break through dose is </w:t>
      </w:r>
      <w:proofErr w:type="gramStart"/>
      <w:r w:rsidRPr="0098241D">
        <w:rPr>
          <w:sz w:val="18"/>
          <w:szCs w:val="18"/>
        </w:rPr>
        <w:t>40 ng/mL</w:t>
      </w:r>
      <w:proofErr w:type="gramEnd"/>
      <w:r w:rsidRPr="0098241D">
        <w:rPr>
          <w:sz w:val="18"/>
          <w:szCs w:val="18"/>
        </w:rPr>
        <w:t>. The dose was titrated to achieve double the concentration to account for the risk of heavier, ADF males having a sub-protective concentration.</w:t>
      </w:r>
    </w:p>
  </w:footnote>
  <w:footnote w:id="5">
    <w:p w14:paraId="780F3FF5" w14:textId="0D251378" w:rsidR="0010343C" w:rsidRPr="006E22B8" w:rsidRDefault="0010343C">
      <w:pPr>
        <w:pStyle w:val="FootnoteText"/>
        <w:rPr>
          <w:lang w:val="en-US"/>
        </w:rPr>
      </w:pPr>
      <w:r>
        <w:rPr>
          <w:rStyle w:val="FootnoteReference"/>
        </w:rPr>
        <w:footnoteRef/>
      </w:r>
      <w:r>
        <w:t xml:space="preserve"> </w:t>
      </w:r>
      <w:r w:rsidRPr="00A70CED">
        <w:rPr>
          <w:sz w:val="18"/>
          <w:szCs w:val="18"/>
        </w:rPr>
        <w:t xml:space="preserve">Sponsor comment: </w:t>
      </w:r>
      <w:r>
        <w:rPr>
          <w:sz w:val="18"/>
          <w:szCs w:val="18"/>
        </w:rPr>
        <w:t>B</w:t>
      </w:r>
      <w:r w:rsidRPr="00A70CED">
        <w:rPr>
          <w:sz w:val="18"/>
          <w:szCs w:val="18"/>
          <w:lang w:eastAsia="ja-JP"/>
        </w:rPr>
        <w:t xml:space="preserve">reakthrough concentrations at which malaria occurred in the Royal Thai Army study (Study 044) and the two prior sporozoite challenge studies (Study 053 and Study 054) to support </w:t>
      </w:r>
      <w:proofErr w:type="gramStart"/>
      <w:r w:rsidRPr="00A70CED">
        <w:rPr>
          <w:sz w:val="18"/>
          <w:szCs w:val="18"/>
          <w:lang w:eastAsia="ja-JP"/>
        </w:rPr>
        <w:t>80 ng/mL as the C</w:t>
      </w:r>
      <w:r w:rsidRPr="00A70CED">
        <w:rPr>
          <w:sz w:val="18"/>
          <w:szCs w:val="18"/>
          <w:vertAlign w:val="subscript"/>
          <w:lang w:eastAsia="ja-JP"/>
        </w:rPr>
        <w:t>min, SS</w:t>
      </w:r>
      <w:r w:rsidRPr="00A70CED">
        <w:rPr>
          <w:sz w:val="18"/>
          <w:szCs w:val="18"/>
          <w:lang w:eastAsia="ja-JP"/>
        </w:rPr>
        <w:t xml:space="preserve"> for protection in heavier males (&gt; 100 kg)</w:t>
      </w:r>
      <w:proofErr w:type="gramEnd"/>
      <w:r w:rsidRPr="00A70CED">
        <w:rPr>
          <w:sz w:val="18"/>
          <w:szCs w:val="18"/>
          <w:lang w:eastAsia="ja-JP"/>
        </w:rPr>
        <w:t xml:space="preserve">. </w:t>
      </w:r>
      <w:r w:rsidRPr="00A70CED">
        <w:rPr>
          <w:sz w:val="18"/>
          <w:szCs w:val="18"/>
        </w:rPr>
        <w:t>The dose was titrated to achieve double the concentration to account for the risk of heavier, ADF males having a sub-protective concentration. This was established in the population PK analysis of 10 clinical studies.</w:t>
      </w:r>
    </w:p>
  </w:footnote>
  <w:footnote w:id="6">
    <w:p w14:paraId="7655787C" w14:textId="17ECD54E" w:rsidR="0010343C" w:rsidRPr="00B743F3" w:rsidRDefault="0010343C">
      <w:pPr>
        <w:pStyle w:val="FootnoteText"/>
        <w:rPr>
          <w:sz w:val="18"/>
          <w:szCs w:val="18"/>
        </w:rPr>
      </w:pPr>
      <w:r w:rsidRPr="00B743F3">
        <w:rPr>
          <w:rStyle w:val="FootnoteReference"/>
          <w:sz w:val="18"/>
          <w:szCs w:val="18"/>
        </w:rPr>
        <w:footnoteRef/>
      </w:r>
      <w:r w:rsidRPr="00B743F3">
        <w:rPr>
          <w:sz w:val="18"/>
          <w:szCs w:val="18"/>
        </w:rPr>
        <w:t xml:space="preserve"> Sponsor clarification: </w:t>
      </w:r>
      <w:r w:rsidRPr="00B743F3">
        <w:rPr>
          <w:sz w:val="18"/>
          <w:szCs w:val="18"/>
          <w:lang w:eastAsia="ja-JP"/>
        </w:rPr>
        <w:t>Study was suspended after initial vortex keratopathy findings were identified in Study 033. The study was not reopened.</w:t>
      </w:r>
    </w:p>
  </w:footnote>
  <w:footnote w:id="7">
    <w:p w14:paraId="377E2506" w14:textId="5EF538EB" w:rsidR="0010343C" w:rsidRPr="00B743F3" w:rsidRDefault="0010343C">
      <w:pPr>
        <w:pStyle w:val="FootnoteText"/>
        <w:rPr>
          <w:sz w:val="18"/>
          <w:szCs w:val="18"/>
        </w:rPr>
      </w:pPr>
      <w:r w:rsidRPr="00B743F3">
        <w:rPr>
          <w:rStyle w:val="FootnoteReference"/>
        </w:rPr>
        <w:footnoteRef/>
      </w:r>
      <w:r w:rsidRPr="00B743F3">
        <w:t xml:space="preserve"> </w:t>
      </w:r>
      <w:r w:rsidRPr="00B743F3">
        <w:rPr>
          <w:sz w:val="18"/>
          <w:szCs w:val="18"/>
        </w:rPr>
        <w:t>Sponsor comment: The reason for psychiatric disorder/seizure exclusions was because of mefloquine. Prior tafenoquine studies with no mefloquine as an active comparator had no such exclusions.</w:t>
      </w:r>
    </w:p>
  </w:footnote>
  <w:footnote w:id="8">
    <w:p w14:paraId="005909A4" w14:textId="7D2665E7" w:rsidR="0010343C" w:rsidRPr="00B743F3" w:rsidRDefault="0010343C" w:rsidP="00065CAB">
      <w:pPr>
        <w:pStyle w:val="FootnoteText"/>
        <w:rPr>
          <w:sz w:val="18"/>
          <w:szCs w:val="18"/>
        </w:rPr>
      </w:pPr>
      <w:r w:rsidRPr="00B743F3">
        <w:rPr>
          <w:rStyle w:val="FootnoteReference"/>
          <w:sz w:val="18"/>
          <w:szCs w:val="18"/>
        </w:rPr>
        <w:footnoteRef/>
      </w:r>
      <w:r w:rsidRPr="00B743F3">
        <w:rPr>
          <w:sz w:val="18"/>
          <w:szCs w:val="18"/>
        </w:rPr>
        <w:t xml:space="preserve"> Sponsor clarification: The study was active controlled, and a placebo group would have been unethical in deployed, non-immune military personnel.</w:t>
      </w:r>
    </w:p>
  </w:footnote>
  <w:footnote w:id="9">
    <w:p w14:paraId="16FAC0A2" w14:textId="4AF2ED31" w:rsidR="0010343C" w:rsidRPr="00B743F3" w:rsidRDefault="0010343C" w:rsidP="00B743F3">
      <w:pPr>
        <w:spacing w:before="0" w:after="0"/>
        <w:rPr>
          <w:sz w:val="18"/>
          <w:szCs w:val="18"/>
        </w:rPr>
      </w:pPr>
      <w:r w:rsidRPr="00B743F3">
        <w:rPr>
          <w:rStyle w:val="FootnoteReference"/>
          <w:sz w:val="18"/>
          <w:szCs w:val="18"/>
        </w:rPr>
        <w:footnoteRef/>
      </w:r>
      <w:r w:rsidRPr="00B743F3">
        <w:rPr>
          <w:sz w:val="18"/>
          <w:szCs w:val="18"/>
        </w:rPr>
        <w:t xml:space="preserve"> </w:t>
      </w:r>
      <w:r>
        <w:rPr>
          <w:sz w:val="18"/>
          <w:szCs w:val="18"/>
        </w:rPr>
        <w:t xml:space="preserve">Sponsor clarification: That is, </w:t>
      </w:r>
      <w:r w:rsidRPr="00B743F3">
        <w:rPr>
          <w:sz w:val="18"/>
          <w:szCs w:val="18"/>
        </w:rPr>
        <w:t>semi-immune persons from countries with endemic malaria.</w:t>
      </w:r>
    </w:p>
  </w:footnote>
  <w:footnote w:id="10">
    <w:p w14:paraId="17F21008" w14:textId="04683619" w:rsidR="0010343C" w:rsidRPr="00A91871" w:rsidRDefault="0010343C" w:rsidP="00A91871">
      <w:pPr>
        <w:pStyle w:val="CommentText"/>
        <w:rPr>
          <w:sz w:val="18"/>
          <w:szCs w:val="18"/>
        </w:rPr>
      </w:pPr>
      <w:r>
        <w:rPr>
          <w:rStyle w:val="FootnoteReference"/>
        </w:rPr>
        <w:footnoteRef/>
      </w:r>
      <w:r>
        <w:t xml:space="preserve"> </w:t>
      </w:r>
      <w:r w:rsidRPr="00A91871">
        <w:rPr>
          <w:sz w:val="18"/>
          <w:szCs w:val="18"/>
        </w:rPr>
        <w:t>Sponsor comment: There are arguments that tafenoquine should have been compared to mefloquine. This is impractical, in field studies at the time: 1) Malarone was not a licenced chemoprophylactic comparator at the time; 2) Malarone must be taken daily and blinding would have been quite difficult, even though compliance with two causal drugs would have separated out the effects in a large enough population.</w:t>
      </w:r>
    </w:p>
  </w:footnote>
  <w:footnote w:id="11">
    <w:p w14:paraId="51B88AA9" w14:textId="78CBE24E" w:rsidR="0010343C" w:rsidRDefault="0010343C">
      <w:pPr>
        <w:pStyle w:val="FootnoteText"/>
      </w:pPr>
      <w:r>
        <w:rPr>
          <w:rStyle w:val="FootnoteReference"/>
        </w:rPr>
        <w:footnoteRef/>
      </w:r>
      <w:r>
        <w:t>Sponsor clarification: Undetectable by qPCR.</w:t>
      </w:r>
    </w:p>
  </w:footnote>
  <w:footnote w:id="12">
    <w:p w14:paraId="608D467B" w14:textId="59DAE7BF" w:rsidR="0010343C" w:rsidRPr="00A13E98" w:rsidRDefault="0010343C">
      <w:pPr>
        <w:pStyle w:val="FootnoteText"/>
        <w:rPr>
          <w:sz w:val="18"/>
          <w:szCs w:val="18"/>
        </w:rPr>
      </w:pPr>
      <w:r>
        <w:rPr>
          <w:rStyle w:val="FootnoteReference"/>
        </w:rPr>
        <w:footnoteRef/>
      </w:r>
      <w:r>
        <w:t xml:space="preserve"> </w:t>
      </w:r>
      <w:r w:rsidRPr="00A13E98">
        <w:rPr>
          <w:sz w:val="18"/>
          <w:szCs w:val="18"/>
        </w:rPr>
        <w:t>Sponsor comment: Reported to the Australian HREC, US IRB and TGA as ’unexpected’ events.</w:t>
      </w:r>
    </w:p>
  </w:footnote>
  <w:footnote w:id="13">
    <w:p w14:paraId="1CB545D7" w14:textId="0D8CD510" w:rsidR="0010343C" w:rsidRPr="00A13E98" w:rsidRDefault="0010343C">
      <w:pPr>
        <w:pStyle w:val="FootnoteText"/>
        <w:rPr>
          <w:sz w:val="18"/>
          <w:szCs w:val="18"/>
        </w:rPr>
      </w:pPr>
      <w:r>
        <w:rPr>
          <w:rStyle w:val="FootnoteReference"/>
        </w:rPr>
        <w:footnoteRef/>
      </w:r>
      <w:r>
        <w:t xml:space="preserve"> </w:t>
      </w:r>
      <w:r w:rsidRPr="00A13E98">
        <w:rPr>
          <w:sz w:val="18"/>
          <w:szCs w:val="18"/>
        </w:rPr>
        <w:t>Sponsor comment: The suicide attempt was deemed unrelated to tafenoquine by the study investigator. See the PI (Attachment 1).</w:t>
      </w:r>
    </w:p>
  </w:footnote>
  <w:footnote w:id="14">
    <w:p w14:paraId="25B4B27F" w14:textId="282EDE2E" w:rsidR="0010343C" w:rsidRPr="00A13E98" w:rsidRDefault="0010343C">
      <w:pPr>
        <w:pStyle w:val="FootnoteText"/>
        <w:rPr>
          <w:sz w:val="18"/>
          <w:szCs w:val="18"/>
        </w:rPr>
      </w:pPr>
      <w:r w:rsidRPr="00A13E98">
        <w:rPr>
          <w:rStyle w:val="FootnoteReference"/>
          <w:sz w:val="18"/>
          <w:szCs w:val="18"/>
        </w:rPr>
        <w:footnoteRef/>
      </w:r>
      <w:r w:rsidRPr="00A13E98">
        <w:rPr>
          <w:sz w:val="18"/>
          <w:szCs w:val="18"/>
        </w:rPr>
        <w:t xml:space="preserve"> Sponsor comment: </w:t>
      </w:r>
      <w:r>
        <w:rPr>
          <w:sz w:val="18"/>
          <w:szCs w:val="18"/>
        </w:rPr>
        <w:t>D</w:t>
      </w:r>
      <w:r w:rsidRPr="00A13E98">
        <w:rPr>
          <w:sz w:val="18"/>
          <w:szCs w:val="18"/>
        </w:rPr>
        <w:t>ue to the ethics of exposing a non-immune population to malaria in a war-like theatre.</w:t>
      </w:r>
    </w:p>
  </w:footnote>
  <w:footnote w:id="15">
    <w:p w14:paraId="17845375" w14:textId="3EA18D1F" w:rsidR="0010343C" w:rsidRDefault="0010343C">
      <w:pPr>
        <w:pStyle w:val="FootnoteText"/>
      </w:pPr>
      <w:r>
        <w:rPr>
          <w:rStyle w:val="FootnoteReference"/>
        </w:rPr>
        <w:footnoteRef/>
      </w:r>
      <w:r>
        <w:t xml:space="preserve"> </w:t>
      </w:r>
      <w:r w:rsidRPr="00A13E98">
        <w:rPr>
          <w:sz w:val="18"/>
          <w:szCs w:val="18"/>
        </w:rPr>
        <w:t>Sponsor comment: Malarone is given daily. Mefloquine is given weekly. Malarone was not approved for chemoprophylaxis when these studies were conducted.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1FB5F" w14:textId="77777777" w:rsidR="0010343C" w:rsidRDefault="0010343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89A9" w14:textId="77777777" w:rsidR="0010343C" w:rsidRDefault="0010343C">
    <w:pPr>
      <w:rPr>
        <w:noProof/>
        <w:lang w:eastAsia="en-AU"/>
      </w:rPr>
    </w:pPr>
    <w:r w:rsidRPr="002D545C">
      <w:rPr>
        <w:noProof/>
        <w:lang w:eastAsia="en-AU"/>
      </w:rPr>
      <w:drawing>
        <wp:anchor distT="0" distB="0" distL="114300" distR="114300" simplePos="0" relativeHeight="251658240" behindDoc="1" locked="0" layoutInCell="1" allowOverlap="1" wp14:anchorId="69B97103" wp14:editId="0A31662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0D5DF48" w14:textId="77777777" w:rsidR="0010343C" w:rsidRDefault="0010343C" w:rsidP="00593AD1">
    <w:pPr>
      <w:pStyle w:val="HeaderNoLine"/>
    </w:pPr>
    <w:r>
      <w:rPr>
        <w:noProof/>
        <w:lang w:eastAsia="en-AU"/>
      </w:rPr>
      <w:drawing>
        <wp:inline distT="0" distB="0" distL="0" distR="0" wp14:anchorId="24285C0E" wp14:editId="3B604AE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63A5" w14:textId="77777777" w:rsidR="0010343C" w:rsidRDefault="001034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9983" w14:textId="77777777" w:rsidR="0010343C" w:rsidRDefault="0010343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7D51A" w14:textId="77777777" w:rsidR="0010343C" w:rsidRDefault="0010343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361C3" w14:textId="77777777" w:rsidR="0010343C" w:rsidRDefault="001034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8F431" w14:textId="77777777" w:rsidR="0010343C" w:rsidRDefault="0010343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E036B" w14:textId="77777777" w:rsidR="0010343C" w:rsidRDefault="0010343C" w:rsidP="006E08B3">
    <w:r>
      <w:t>Therapeutic Goods Administration</w:t>
    </w:r>
  </w:p>
  <w:p w14:paraId="7865DD62" w14:textId="77777777" w:rsidR="0010343C" w:rsidRDefault="0010343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5D82B50"/>
    <w:multiLevelType w:val="hybridMultilevel"/>
    <w:tmpl w:val="19B47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F13E9"/>
    <w:multiLevelType w:val="multilevel"/>
    <w:tmpl w:val="040A657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12664AD"/>
    <w:multiLevelType w:val="hybridMultilevel"/>
    <w:tmpl w:val="059A28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6">
    <w:nsid w:val="3F7641A9"/>
    <w:multiLevelType w:val="multilevel"/>
    <w:tmpl w:val="268040E8"/>
    <w:lvl w:ilvl="0">
      <w:start w:val="1"/>
      <w:numFmt w:val="decimal"/>
      <w:pStyle w:val="C-Heading1"/>
      <w:lvlText w:val="%1."/>
      <w:lvlJc w:val="left"/>
      <w:pPr>
        <w:tabs>
          <w:tab w:val="num" w:pos="1080"/>
        </w:tabs>
        <w:ind w:left="1080" w:hanging="1080"/>
      </w:pPr>
      <w:rPr>
        <w:rFonts w:cs="Times New Roman"/>
      </w:rPr>
    </w:lvl>
    <w:lvl w:ilvl="1">
      <w:start w:val="1"/>
      <w:numFmt w:val="decimal"/>
      <w:pStyle w:val="C-Heading2"/>
      <w:lvlText w:val="%1.%2."/>
      <w:lvlJc w:val="left"/>
      <w:pPr>
        <w:tabs>
          <w:tab w:val="num" w:pos="1080"/>
        </w:tabs>
        <w:ind w:left="1080" w:hanging="1080"/>
      </w:pPr>
      <w:rPr>
        <w:rFonts w:cs="Times New Roman"/>
      </w:rPr>
    </w:lvl>
    <w:lvl w:ilvl="2">
      <w:start w:val="1"/>
      <w:numFmt w:val="decimal"/>
      <w:pStyle w:val="C-Heading3"/>
      <w:lvlText w:val="%1.%2.%3."/>
      <w:lvlJc w:val="left"/>
      <w:pPr>
        <w:tabs>
          <w:tab w:val="num" w:pos="1080"/>
        </w:tabs>
        <w:ind w:left="1080" w:hanging="1080"/>
      </w:pPr>
      <w:rPr>
        <w:rFonts w:cs="Times New Roman"/>
      </w:rPr>
    </w:lvl>
    <w:lvl w:ilvl="3">
      <w:start w:val="1"/>
      <w:numFmt w:val="decimal"/>
      <w:pStyle w:val="C-Heading4"/>
      <w:lvlText w:val="%1.%2.%3.%4."/>
      <w:lvlJc w:val="left"/>
      <w:pPr>
        <w:tabs>
          <w:tab w:val="num" w:pos="1080"/>
        </w:tabs>
        <w:ind w:left="1080" w:hanging="1080"/>
      </w:pPr>
      <w:rPr>
        <w:rFonts w:cs="Times New Roman"/>
      </w:rPr>
    </w:lvl>
    <w:lvl w:ilvl="4">
      <w:start w:val="1"/>
      <w:numFmt w:val="decimal"/>
      <w:pStyle w:val="C-Heading5"/>
      <w:lvlText w:val="%1.%2.%3.%4.%5."/>
      <w:lvlJc w:val="left"/>
      <w:pPr>
        <w:tabs>
          <w:tab w:val="num" w:pos="1080"/>
        </w:tabs>
        <w:ind w:left="1080" w:hanging="1080"/>
      </w:pPr>
      <w:rPr>
        <w:rFonts w:cs="Times New Roman"/>
      </w:rPr>
    </w:lvl>
    <w:lvl w:ilvl="5">
      <w:start w:val="1"/>
      <w:numFmt w:val="decimal"/>
      <w:pStyle w:val="C-Heading6"/>
      <w:lvlText w:val="%1.%2.%3.%4.%5.%6."/>
      <w:lvlJc w:val="left"/>
      <w:pPr>
        <w:tabs>
          <w:tab w:val="num" w:pos="1080"/>
        </w:tabs>
        <w:ind w:left="1080" w:hanging="1080"/>
      </w:pPr>
      <w:rPr>
        <w:rFonts w:cs="Times New Roman"/>
      </w:rPr>
    </w:lvl>
    <w:lvl w:ilvl="6">
      <w:start w:val="1"/>
      <w:numFmt w:val="decimal"/>
      <w:lvlText w:val="%1.%2.%3.%4.%5.%6.%7."/>
      <w:lvlJc w:val="left"/>
      <w:pPr>
        <w:tabs>
          <w:tab w:val="num" w:pos="1800"/>
        </w:tabs>
        <w:ind w:left="1080" w:hanging="1080"/>
      </w:pPr>
      <w:rPr>
        <w:rFonts w:cs="Times New Roman"/>
      </w:rPr>
    </w:lvl>
    <w:lvl w:ilvl="7">
      <w:start w:val="1"/>
      <w:numFmt w:val="decimal"/>
      <w:lvlText w:val="%1.%2.%3.%4.%5.%6.%7.%8."/>
      <w:lvlJc w:val="left"/>
      <w:pPr>
        <w:tabs>
          <w:tab w:val="num" w:pos="1440"/>
        </w:tabs>
        <w:ind w:left="1080" w:hanging="1080"/>
      </w:pPr>
      <w:rPr>
        <w:rFonts w:cs="Times New Roman"/>
      </w:rPr>
    </w:lvl>
    <w:lvl w:ilvl="8">
      <w:start w:val="1"/>
      <w:numFmt w:val="decimal"/>
      <w:lvlText w:val="%1.%2.%3.%4.%5.%6.%7.%8.%9."/>
      <w:lvlJc w:val="left"/>
      <w:pPr>
        <w:tabs>
          <w:tab w:val="num" w:pos="2160"/>
        </w:tabs>
        <w:ind w:left="1080" w:hanging="1080"/>
      </w:pPr>
      <w:rPr>
        <w:rFonts w:cs="Times New Roman"/>
      </w:rPr>
    </w:lvl>
  </w:abstractNum>
  <w:abstractNum w:abstractNumId="7">
    <w:nsid w:val="5A192F51"/>
    <w:multiLevelType w:val="hybridMultilevel"/>
    <w:tmpl w:val="DB3AE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5D20558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589"/>
        </w:tabs>
        <w:ind w:left="1589"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nsid w:val="702629C1"/>
    <w:multiLevelType w:val="hybridMultilevel"/>
    <w:tmpl w:val="5658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num>
  <w:num w:numId="14">
    <w:abstractNumId w:val="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9"/>
  </w:num>
  <w:num w:numId="21">
    <w:abstractNumId w:val="12"/>
  </w:num>
  <w:num w:numId="22">
    <w:abstractNumId w:val="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ff Dow">
    <w15:presenceInfo w15:providerId="None" w15:userId="Geoff Dow"/>
  </w15:person>
  <w15:person w15:author="Karl Herz">
    <w15:presenceInfo w15:providerId="Windows Live" w15:userId="274fe0540a675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1C"/>
    <w:rsid w:val="00002031"/>
    <w:rsid w:val="00004734"/>
    <w:rsid w:val="0000683E"/>
    <w:rsid w:val="00006B22"/>
    <w:rsid w:val="0001276A"/>
    <w:rsid w:val="000246AE"/>
    <w:rsid w:val="00025C67"/>
    <w:rsid w:val="00034F3B"/>
    <w:rsid w:val="00040ACB"/>
    <w:rsid w:val="0005559E"/>
    <w:rsid w:val="00065CAB"/>
    <w:rsid w:val="00077775"/>
    <w:rsid w:val="00090471"/>
    <w:rsid w:val="00091E9B"/>
    <w:rsid w:val="00097B5E"/>
    <w:rsid w:val="000A3AED"/>
    <w:rsid w:val="000A63AF"/>
    <w:rsid w:val="000A768C"/>
    <w:rsid w:val="000B3532"/>
    <w:rsid w:val="000B3643"/>
    <w:rsid w:val="000B3A75"/>
    <w:rsid w:val="000B4C52"/>
    <w:rsid w:val="000C690F"/>
    <w:rsid w:val="000D1295"/>
    <w:rsid w:val="000D257E"/>
    <w:rsid w:val="000D391B"/>
    <w:rsid w:val="000D3D6D"/>
    <w:rsid w:val="000D4FC7"/>
    <w:rsid w:val="000E2807"/>
    <w:rsid w:val="000F02F9"/>
    <w:rsid w:val="000F4869"/>
    <w:rsid w:val="000F5B42"/>
    <w:rsid w:val="000F6E6F"/>
    <w:rsid w:val="0010193C"/>
    <w:rsid w:val="0010343C"/>
    <w:rsid w:val="00104613"/>
    <w:rsid w:val="0010601F"/>
    <w:rsid w:val="0010788A"/>
    <w:rsid w:val="00107A31"/>
    <w:rsid w:val="0011058F"/>
    <w:rsid w:val="00110EA5"/>
    <w:rsid w:val="00112F56"/>
    <w:rsid w:val="001206BA"/>
    <w:rsid w:val="00122529"/>
    <w:rsid w:val="00125318"/>
    <w:rsid w:val="0013005A"/>
    <w:rsid w:val="001305A2"/>
    <w:rsid w:val="00133238"/>
    <w:rsid w:val="0013672F"/>
    <w:rsid w:val="0014197B"/>
    <w:rsid w:val="001447CD"/>
    <w:rsid w:val="001473D7"/>
    <w:rsid w:val="001516B1"/>
    <w:rsid w:val="001534E5"/>
    <w:rsid w:val="00154EBB"/>
    <w:rsid w:val="00156316"/>
    <w:rsid w:val="00156D9E"/>
    <w:rsid w:val="00163A2F"/>
    <w:rsid w:val="00165389"/>
    <w:rsid w:val="001659B5"/>
    <w:rsid w:val="0017078F"/>
    <w:rsid w:val="001708EC"/>
    <w:rsid w:val="0017693F"/>
    <w:rsid w:val="0018110E"/>
    <w:rsid w:val="00181684"/>
    <w:rsid w:val="001843C6"/>
    <w:rsid w:val="001850E0"/>
    <w:rsid w:val="001A2158"/>
    <w:rsid w:val="001A525F"/>
    <w:rsid w:val="001B09F9"/>
    <w:rsid w:val="001B20BF"/>
    <w:rsid w:val="001B5D98"/>
    <w:rsid w:val="001B6448"/>
    <w:rsid w:val="001C657B"/>
    <w:rsid w:val="001D47D5"/>
    <w:rsid w:val="001E07CF"/>
    <w:rsid w:val="001E2726"/>
    <w:rsid w:val="001E59F1"/>
    <w:rsid w:val="001F497A"/>
    <w:rsid w:val="001F49EB"/>
    <w:rsid w:val="001F6CBA"/>
    <w:rsid w:val="00201D4E"/>
    <w:rsid w:val="002076C9"/>
    <w:rsid w:val="00220B8A"/>
    <w:rsid w:val="0022349B"/>
    <w:rsid w:val="002234DD"/>
    <w:rsid w:val="002257F3"/>
    <w:rsid w:val="00233456"/>
    <w:rsid w:val="002339A5"/>
    <w:rsid w:val="002464CB"/>
    <w:rsid w:val="00257848"/>
    <w:rsid w:val="002666AC"/>
    <w:rsid w:val="0027084A"/>
    <w:rsid w:val="0028313F"/>
    <w:rsid w:val="00286434"/>
    <w:rsid w:val="00286C59"/>
    <w:rsid w:val="00292113"/>
    <w:rsid w:val="002942D1"/>
    <w:rsid w:val="0029501A"/>
    <w:rsid w:val="002B1638"/>
    <w:rsid w:val="002C489D"/>
    <w:rsid w:val="002C63ED"/>
    <w:rsid w:val="002D545C"/>
    <w:rsid w:val="002D6161"/>
    <w:rsid w:val="002E3DA2"/>
    <w:rsid w:val="002E4C9A"/>
    <w:rsid w:val="002F11F8"/>
    <w:rsid w:val="002F3F56"/>
    <w:rsid w:val="002F44B5"/>
    <w:rsid w:val="002F603B"/>
    <w:rsid w:val="00311AC0"/>
    <w:rsid w:val="00320911"/>
    <w:rsid w:val="0032583B"/>
    <w:rsid w:val="0032757D"/>
    <w:rsid w:val="00327883"/>
    <w:rsid w:val="0033513F"/>
    <w:rsid w:val="00335504"/>
    <w:rsid w:val="00335736"/>
    <w:rsid w:val="003521E8"/>
    <w:rsid w:val="00352D8B"/>
    <w:rsid w:val="003728F3"/>
    <w:rsid w:val="0037496E"/>
    <w:rsid w:val="0037623D"/>
    <w:rsid w:val="00377FE9"/>
    <w:rsid w:val="00382EC1"/>
    <w:rsid w:val="00386150"/>
    <w:rsid w:val="003874CE"/>
    <w:rsid w:val="00390900"/>
    <w:rsid w:val="003931DB"/>
    <w:rsid w:val="00396C92"/>
    <w:rsid w:val="003A2B55"/>
    <w:rsid w:val="003A62B2"/>
    <w:rsid w:val="003A7F6C"/>
    <w:rsid w:val="003B00ED"/>
    <w:rsid w:val="003B1113"/>
    <w:rsid w:val="003B123D"/>
    <w:rsid w:val="003B4D60"/>
    <w:rsid w:val="003B634F"/>
    <w:rsid w:val="003B7E39"/>
    <w:rsid w:val="003C58DC"/>
    <w:rsid w:val="003C6A60"/>
    <w:rsid w:val="003D0A3B"/>
    <w:rsid w:val="003D1E62"/>
    <w:rsid w:val="003E2486"/>
    <w:rsid w:val="003E3208"/>
    <w:rsid w:val="003F0B04"/>
    <w:rsid w:val="003F0ECA"/>
    <w:rsid w:val="0040134E"/>
    <w:rsid w:val="00404803"/>
    <w:rsid w:val="00410E9B"/>
    <w:rsid w:val="00415D59"/>
    <w:rsid w:val="00421A5C"/>
    <w:rsid w:val="0043034B"/>
    <w:rsid w:val="0043797D"/>
    <w:rsid w:val="00440A2D"/>
    <w:rsid w:val="00442905"/>
    <w:rsid w:val="004439FE"/>
    <w:rsid w:val="004564A7"/>
    <w:rsid w:val="004617BF"/>
    <w:rsid w:val="00463658"/>
    <w:rsid w:val="004722CC"/>
    <w:rsid w:val="00473B40"/>
    <w:rsid w:val="004778F2"/>
    <w:rsid w:val="0049096D"/>
    <w:rsid w:val="004936E4"/>
    <w:rsid w:val="00494E60"/>
    <w:rsid w:val="00497487"/>
    <w:rsid w:val="004A7E13"/>
    <w:rsid w:val="004B7B76"/>
    <w:rsid w:val="004C149F"/>
    <w:rsid w:val="004C2DCA"/>
    <w:rsid w:val="004D128D"/>
    <w:rsid w:val="004F02BF"/>
    <w:rsid w:val="004F0F38"/>
    <w:rsid w:val="004F4AF5"/>
    <w:rsid w:val="00501921"/>
    <w:rsid w:val="00507FFD"/>
    <w:rsid w:val="00522F3E"/>
    <w:rsid w:val="00523DC5"/>
    <w:rsid w:val="0052594D"/>
    <w:rsid w:val="00530354"/>
    <w:rsid w:val="00530A97"/>
    <w:rsid w:val="0053625B"/>
    <w:rsid w:val="005434C6"/>
    <w:rsid w:val="00543B39"/>
    <w:rsid w:val="00545E77"/>
    <w:rsid w:val="00550096"/>
    <w:rsid w:val="0055439A"/>
    <w:rsid w:val="00557FF9"/>
    <w:rsid w:val="00574F13"/>
    <w:rsid w:val="00575E67"/>
    <w:rsid w:val="00576378"/>
    <w:rsid w:val="00577945"/>
    <w:rsid w:val="00577E38"/>
    <w:rsid w:val="00585322"/>
    <w:rsid w:val="005857C6"/>
    <w:rsid w:val="00586F98"/>
    <w:rsid w:val="00590F00"/>
    <w:rsid w:val="00592F6E"/>
    <w:rsid w:val="00593AD1"/>
    <w:rsid w:val="005A68B6"/>
    <w:rsid w:val="005B0958"/>
    <w:rsid w:val="005B2850"/>
    <w:rsid w:val="005C5570"/>
    <w:rsid w:val="005C79A4"/>
    <w:rsid w:val="005D5442"/>
    <w:rsid w:val="005F37D6"/>
    <w:rsid w:val="00603F32"/>
    <w:rsid w:val="0061049B"/>
    <w:rsid w:val="006170F0"/>
    <w:rsid w:val="00620406"/>
    <w:rsid w:val="006308AE"/>
    <w:rsid w:val="00632398"/>
    <w:rsid w:val="00640FC3"/>
    <w:rsid w:val="00642020"/>
    <w:rsid w:val="00646206"/>
    <w:rsid w:val="0065337B"/>
    <w:rsid w:val="0065419D"/>
    <w:rsid w:val="006604D8"/>
    <w:rsid w:val="00663662"/>
    <w:rsid w:val="00664A5B"/>
    <w:rsid w:val="00673810"/>
    <w:rsid w:val="00676103"/>
    <w:rsid w:val="006763D2"/>
    <w:rsid w:val="00680C08"/>
    <w:rsid w:val="00686267"/>
    <w:rsid w:val="006931B1"/>
    <w:rsid w:val="006A15C0"/>
    <w:rsid w:val="006A1B22"/>
    <w:rsid w:val="006A2A98"/>
    <w:rsid w:val="006A355C"/>
    <w:rsid w:val="006B4C50"/>
    <w:rsid w:val="006B4DC1"/>
    <w:rsid w:val="006B5766"/>
    <w:rsid w:val="006C130C"/>
    <w:rsid w:val="006C3E2A"/>
    <w:rsid w:val="006C642F"/>
    <w:rsid w:val="006D03E5"/>
    <w:rsid w:val="006D5D3E"/>
    <w:rsid w:val="006E08B3"/>
    <w:rsid w:val="006E22B8"/>
    <w:rsid w:val="006F17AC"/>
    <w:rsid w:val="006F1D37"/>
    <w:rsid w:val="006F26D0"/>
    <w:rsid w:val="006F2796"/>
    <w:rsid w:val="006F572E"/>
    <w:rsid w:val="007046D6"/>
    <w:rsid w:val="00705DB0"/>
    <w:rsid w:val="00722B57"/>
    <w:rsid w:val="0074253D"/>
    <w:rsid w:val="0074429B"/>
    <w:rsid w:val="00747A40"/>
    <w:rsid w:val="007513B4"/>
    <w:rsid w:val="007615BC"/>
    <w:rsid w:val="00762F05"/>
    <w:rsid w:val="007652FF"/>
    <w:rsid w:val="00770EF1"/>
    <w:rsid w:val="00773EF7"/>
    <w:rsid w:val="00774249"/>
    <w:rsid w:val="00774E1D"/>
    <w:rsid w:val="0077675A"/>
    <w:rsid w:val="00780355"/>
    <w:rsid w:val="00785076"/>
    <w:rsid w:val="00785721"/>
    <w:rsid w:val="00793A59"/>
    <w:rsid w:val="007B0EBB"/>
    <w:rsid w:val="007B32A2"/>
    <w:rsid w:val="007B6E9F"/>
    <w:rsid w:val="007C1216"/>
    <w:rsid w:val="007C1AF7"/>
    <w:rsid w:val="007E6E27"/>
    <w:rsid w:val="007F3E00"/>
    <w:rsid w:val="00801AE5"/>
    <w:rsid w:val="00805D27"/>
    <w:rsid w:val="00821776"/>
    <w:rsid w:val="008321F5"/>
    <w:rsid w:val="00832369"/>
    <w:rsid w:val="00834660"/>
    <w:rsid w:val="00836BC2"/>
    <w:rsid w:val="008414A0"/>
    <w:rsid w:val="00855CA9"/>
    <w:rsid w:val="0085641B"/>
    <w:rsid w:val="00857136"/>
    <w:rsid w:val="00886D15"/>
    <w:rsid w:val="00887DD8"/>
    <w:rsid w:val="00896018"/>
    <w:rsid w:val="008960DD"/>
    <w:rsid w:val="0089635C"/>
    <w:rsid w:val="008A1A1C"/>
    <w:rsid w:val="008A2A93"/>
    <w:rsid w:val="008A2B9D"/>
    <w:rsid w:val="008A5E0B"/>
    <w:rsid w:val="008A6D59"/>
    <w:rsid w:val="008B4B03"/>
    <w:rsid w:val="008B596F"/>
    <w:rsid w:val="008B5A3E"/>
    <w:rsid w:val="008C159F"/>
    <w:rsid w:val="008C1623"/>
    <w:rsid w:val="008C1850"/>
    <w:rsid w:val="008C51A9"/>
    <w:rsid w:val="008D769C"/>
    <w:rsid w:val="008D770F"/>
    <w:rsid w:val="008E492F"/>
    <w:rsid w:val="008E7846"/>
    <w:rsid w:val="008F1CCC"/>
    <w:rsid w:val="008F2967"/>
    <w:rsid w:val="008F6867"/>
    <w:rsid w:val="008F6943"/>
    <w:rsid w:val="008F69AF"/>
    <w:rsid w:val="00902A21"/>
    <w:rsid w:val="00906445"/>
    <w:rsid w:val="00920330"/>
    <w:rsid w:val="009219D7"/>
    <w:rsid w:val="00922D53"/>
    <w:rsid w:val="00923B70"/>
    <w:rsid w:val="00924482"/>
    <w:rsid w:val="00925DAD"/>
    <w:rsid w:val="00930237"/>
    <w:rsid w:val="009438E8"/>
    <w:rsid w:val="00943D71"/>
    <w:rsid w:val="0094614A"/>
    <w:rsid w:val="00946EA5"/>
    <w:rsid w:val="0095160F"/>
    <w:rsid w:val="00955797"/>
    <w:rsid w:val="00962317"/>
    <w:rsid w:val="00963C08"/>
    <w:rsid w:val="00965D70"/>
    <w:rsid w:val="009720A8"/>
    <w:rsid w:val="0097364B"/>
    <w:rsid w:val="00981D66"/>
    <w:rsid w:val="0098241D"/>
    <w:rsid w:val="0098585A"/>
    <w:rsid w:val="0098669D"/>
    <w:rsid w:val="00994C95"/>
    <w:rsid w:val="009969C3"/>
    <w:rsid w:val="009A1276"/>
    <w:rsid w:val="009A4CED"/>
    <w:rsid w:val="009A690D"/>
    <w:rsid w:val="009B1D12"/>
    <w:rsid w:val="009B416B"/>
    <w:rsid w:val="009C170E"/>
    <w:rsid w:val="009C4BD5"/>
    <w:rsid w:val="009D379B"/>
    <w:rsid w:val="009D4859"/>
    <w:rsid w:val="009D7B77"/>
    <w:rsid w:val="009E0BB0"/>
    <w:rsid w:val="009E15F5"/>
    <w:rsid w:val="009E1687"/>
    <w:rsid w:val="009E3FBB"/>
    <w:rsid w:val="009F5426"/>
    <w:rsid w:val="00A02C1A"/>
    <w:rsid w:val="00A102E4"/>
    <w:rsid w:val="00A12C42"/>
    <w:rsid w:val="00A13E98"/>
    <w:rsid w:val="00A1410C"/>
    <w:rsid w:val="00A14DF7"/>
    <w:rsid w:val="00A22DF6"/>
    <w:rsid w:val="00A235D9"/>
    <w:rsid w:val="00A3246D"/>
    <w:rsid w:val="00A36FA7"/>
    <w:rsid w:val="00A40C4D"/>
    <w:rsid w:val="00A475B7"/>
    <w:rsid w:val="00A47AF7"/>
    <w:rsid w:val="00A47C3E"/>
    <w:rsid w:val="00A50226"/>
    <w:rsid w:val="00A60BAD"/>
    <w:rsid w:val="00A91871"/>
    <w:rsid w:val="00A923AA"/>
    <w:rsid w:val="00A964D1"/>
    <w:rsid w:val="00AA0ED0"/>
    <w:rsid w:val="00AA2FE4"/>
    <w:rsid w:val="00AA3499"/>
    <w:rsid w:val="00AB5A2D"/>
    <w:rsid w:val="00AC2B40"/>
    <w:rsid w:val="00AC2BB2"/>
    <w:rsid w:val="00AC2C3C"/>
    <w:rsid w:val="00AC512D"/>
    <w:rsid w:val="00AC517F"/>
    <w:rsid w:val="00AD6325"/>
    <w:rsid w:val="00AE01C2"/>
    <w:rsid w:val="00AE65EB"/>
    <w:rsid w:val="00AE67A7"/>
    <w:rsid w:val="00AF1D79"/>
    <w:rsid w:val="00AF1D94"/>
    <w:rsid w:val="00AF60C5"/>
    <w:rsid w:val="00AF626C"/>
    <w:rsid w:val="00B009C6"/>
    <w:rsid w:val="00B01548"/>
    <w:rsid w:val="00B02208"/>
    <w:rsid w:val="00B1425E"/>
    <w:rsid w:val="00B21071"/>
    <w:rsid w:val="00B21D29"/>
    <w:rsid w:val="00B25034"/>
    <w:rsid w:val="00B275F4"/>
    <w:rsid w:val="00B319AC"/>
    <w:rsid w:val="00B33588"/>
    <w:rsid w:val="00B33863"/>
    <w:rsid w:val="00B3567E"/>
    <w:rsid w:val="00B37D17"/>
    <w:rsid w:val="00B4175E"/>
    <w:rsid w:val="00B452CE"/>
    <w:rsid w:val="00B53817"/>
    <w:rsid w:val="00B53C7C"/>
    <w:rsid w:val="00B54C25"/>
    <w:rsid w:val="00B71D6C"/>
    <w:rsid w:val="00B743F3"/>
    <w:rsid w:val="00B75BFB"/>
    <w:rsid w:val="00B76B91"/>
    <w:rsid w:val="00B77EB1"/>
    <w:rsid w:val="00B811C6"/>
    <w:rsid w:val="00B85A87"/>
    <w:rsid w:val="00B91337"/>
    <w:rsid w:val="00B92E08"/>
    <w:rsid w:val="00B96EBE"/>
    <w:rsid w:val="00BA6A74"/>
    <w:rsid w:val="00BC622A"/>
    <w:rsid w:val="00BD45E3"/>
    <w:rsid w:val="00BE0A78"/>
    <w:rsid w:val="00BE32A6"/>
    <w:rsid w:val="00BE6252"/>
    <w:rsid w:val="00BE79F0"/>
    <w:rsid w:val="00BF046D"/>
    <w:rsid w:val="00BF1190"/>
    <w:rsid w:val="00BF5D04"/>
    <w:rsid w:val="00C02305"/>
    <w:rsid w:val="00C1164D"/>
    <w:rsid w:val="00C137CE"/>
    <w:rsid w:val="00C16861"/>
    <w:rsid w:val="00C22678"/>
    <w:rsid w:val="00C3179E"/>
    <w:rsid w:val="00C31C6E"/>
    <w:rsid w:val="00C404A6"/>
    <w:rsid w:val="00C406A7"/>
    <w:rsid w:val="00C40A36"/>
    <w:rsid w:val="00C422F5"/>
    <w:rsid w:val="00C424FC"/>
    <w:rsid w:val="00C44419"/>
    <w:rsid w:val="00C45E7B"/>
    <w:rsid w:val="00C4625F"/>
    <w:rsid w:val="00C471B1"/>
    <w:rsid w:val="00C618F7"/>
    <w:rsid w:val="00C6316B"/>
    <w:rsid w:val="00C634A9"/>
    <w:rsid w:val="00C64586"/>
    <w:rsid w:val="00C65DEF"/>
    <w:rsid w:val="00C70D53"/>
    <w:rsid w:val="00C70F0A"/>
    <w:rsid w:val="00C73D0B"/>
    <w:rsid w:val="00C772FF"/>
    <w:rsid w:val="00C801AF"/>
    <w:rsid w:val="00C80256"/>
    <w:rsid w:val="00C811C0"/>
    <w:rsid w:val="00C91D0A"/>
    <w:rsid w:val="00CB5947"/>
    <w:rsid w:val="00CB6BC0"/>
    <w:rsid w:val="00CC0A21"/>
    <w:rsid w:val="00CC1B7C"/>
    <w:rsid w:val="00CC727F"/>
    <w:rsid w:val="00CE3CBE"/>
    <w:rsid w:val="00CF15C3"/>
    <w:rsid w:val="00CF2B6F"/>
    <w:rsid w:val="00CF5454"/>
    <w:rsid w:val="00CF58B6"/>
    <w:rsid w:val="00D017ED"/>
    <w:rsid w:val="00D040D3"/>
    <w:rsid w:val="00D04C65"/>
    <w:rsid w:val="00D224FE"/>
    <w:rsid w:val="00D454E8"/>
    <w:rsid w:val="00D50B7A"/>
    <w:rsid w:val="00D53A31"/>
    <w:rsid w:val="00D540EE"/>
    <w:rsid w:val="00D6493E"/>
    <w:rsid w:val="00D7301E"/>
    <w:rsid w:val="00D81F39"/>
    <w:rsid w:val="00D83AE1"/>
    <w:rsid w:val="00D855D4"/>
    <w:rsid w:val="00D87961"/>
    <w:rsid w:val="00D93466"/>
    <w:rsid w:val="00DA1124"/>
    <w:rsid w:val="00DA17C8"/>
    <w:rsid w:val="00DA2C1D"/>
    <w:rsid w:val="00DA373D"/>
    <w:rsid w:val="00DB75B7"/>
    <w:rsid w:val="00DC156B"/>
    <w:rsid w:val="00DC6E02"/>
    <w:rsid w:val="00DE02AE"/>
    <w:rsid w:val="00DF1D7F"/>
    <w:rsid w:val="00DF1F18"/>
    <w:rsid w:val="00DF4BE4"/>
    <w:rsid w:val="00E02FB4"/>
    <w:rsid w:val="00E07F15"/>
    <w:rsid w:val="00E20571"/>
    <w:rsid w:val="00E235F7"/>
    <w:rsid w:val="00E23659"/>
    <w:rsid w:val="00E239D4"/>
    <w:rsid w:val="00E26130"/>
    <w:rsid w:val="00E2741C"/>
    <w:rsid w:val="00E32660"/>
    <w:rsid w:val="00E37EAB"/>
    <w:rsid w:val="00E40B22"/>
    <w:rsid w:val="00E45619"/>
    <w:rsid w:val="00E4588F"/>
    <w:rsid w:val="00E46DA3"/>
    <w:rsid w:val="00E51BB1"/>
    <w:rsid w:val="00E624A5"/>
    <w:rsid w:val="00E730B4"/>
    <w:rsid w:val="00E7344E"/>
    <w:rsid w:val="00E77B22"/>
    <w:rsid w:val="00E936E3"/>
    <w:rsid w:val="00E979F4"/>
    <w:rsid w:val="00EA199F"/>
    <w:rsid w:val="00EB0798"/>
    <w:rsid w:val="00EB40AD"/>
    <w:rsid w:val="00EB586E"/>
    <w:rsid w:val="00EB5FC8"/>
    <w:rsid w:val="00EC0ADC"/>
    <w:rsid w:val="00EC556A"/>
    <w:rsid w:val="00ED04EE"/>
    <w:rsid w:val="00ED0D7B"/>
    <w:rsid w:val="00ED3CAD"/>
    <w:rsid w:val="00ED5A41"/>
    <w:rsid w:val="00ED6B5B"/>
    <w:rsid w:val="00EE0D89"/>
    <w:rsid w:val="00EE1DE8"/>
    <w:rsid w:val="00EF40A2"/>
    <w:rsid w:val="00EF62B5"/>
    <w:rsid w:val="00F033EC"/>
    <w:rsid w:val="00F04F68"/>
    <w:rsid w:val="00F12670"/>
    <w:rsid w:val="00F14B27"/>
    <w:rsid w:val="00F1528F"/>
    <w:rsid w:val="00F22C2E"/>
    <w:rsid w:val="00F3148D"/>
    <w:rsid w:val="00F325C5"/>
    <w:rsid w:val="00F32FE0"/>
    <w:rsid w:val="00F35298"/>
    <w:rsid w:val="00F401DE"/>
    <w:rsid w:val="00F447B0"/>
    <w:rsid w:val="00F47333"/>
    <w:rsid w:val="00F47E37"/>
    <w:rsid w:val="00F53C07"/>
    <w:rsid w:val="00F54B65"/>
    <w:rsid w:val="00F640B6"/>
    <w:rsid w:val="00F712A2"/>
    <w:rsid w:val="00F80E40"/>
    <w:rsid w:val="00F848D9"/>
    <w:rsid w:val="00F95D68"/>
    <w:rsid w:val="00FA3C56"/>
    <w:rsid w:val="00FA5B82"/>
    <w:rsid w:val="00FA639E"/>
    <w:rsid w:val="00FB2482"/>
    <w:rsid w:val="00FC25E4"/>
    <w:rsid w:val="00FC37FB"/>
    <w:rsid w:val="00FC4D6E"/>
    <w:rsid w:val="00FC4EF7"/>
    <w:rsid w:val="00FD4397"/>
    <w:rsid w:val="00FD4D52"/>
    <w:rsid w:val="00FD726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A72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FB2482"/>
    <w:pPr>
      <w:keepNext/>
      <w:keepLines/>
      <w:numPr>
        <w:ilvl w:val="1"/>
        <w:numId w:val="6"/>
      </w:numPr>
      <w:tabs>
        <w:tab w:val="clear" w:pos="1589"/>
        <w:tab w:val="num" w:pos="1135"/>
      </w:tabs>
      <w:adjustRightInd w:val="0"/>
      <w:snapToGrid w:val="0"/>
      <w:spacing w:before="400" w:line="220" w:lineRule="atLeast"/>
      <w:ind w:left="113" w:firstLine="113"/>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FB2482"/>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for figure"/>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0C4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A40C4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8A1A1C"/>
  </w:style>
  <w:style w:type="character" w:styleId="Emphasis">
    <w:name w:val="Emphasis"/>
    <w:basedOn w:val="DefaultParagraphFont"/>
    <w:uiPriority w:val="20"/>
    <w:qFormat/>
    <w:rsid w:val="008A1A1C"/>
    <w:rPr>
      <w:i/>
      <w:iCs/>
    </w:rPr>
  </w:style>
  <w:style w:type="paragraph" w:styleId="NormalWeb">
    <w:name w:val="Normal (Web)"/>
    <w:basedOn w:val="Normal"/>
    <w:uiPriority w:val="99"/>
    <w:unhideWhenUsed/>
    <w:rsid w:val="008A1A1C"/>
    <w:pPr>
      <w:spacing w:before="0" w:after="0"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unhideWhenUsed/>
    <w:rsid w:val="008A1A1C"/>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A1A1C"/>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A1A1C"/>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A1A1C"/>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A1A1C"/>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A1A1C"/>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8A1A1C"/>
    <w:pPr>
      <w:spacing w:after="0"/>
    </w:pPr>
  </w:style>
  <w:style w:type="paragraph" w:styleId="ListParagraph">
    <w:name w:val="List Paragraph"/>
    <w:basedOn w:val="Normal"/>
    <w:uiPriority w:val="34"/>
    <w:qFormat/>
    <w:rsid w:val="008A1A1C"/>
    <w:pPr>
      <w:ind w:left="720"/>
      <w:contextualSpacing/>
    </w:pPr>
  </w:style>
  <w:style w:type="paragraph" w:customStyle="1" w:styleId="Bullet2">
    <w:name w:val="Bullet 2"/>
    <w:basedOn w:val="Normal"/>
    <w:rsid w:val="008A1A1C"/>
    <w:pPr>
      <w:numPr>
        <w:numId w:val="9"/>
      </w:numPr>
      <w:spacing w:after="0" w:line="240" w:lineRule="auto"/>
    </w:pPr>
    <w:rPr>
      <w:rFonts w:eastAsia="Times New Roman"/>
      <w:kern w:val="24"/>
      <w:szCs w:val="24"/>
      <w:lang w:eastAsia="en-AU"/>
    </w:rPr>
  </w:style>
  <w:style w:type="paragraph" w:customStyle="1" w:styleId="Instructions1">
    <w:name w:val="Instructions 1"/>
    <w:basedOn w:val="Normal"/>
    <w:qFormat/>
    <w:rsid w:val="008A1A1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8A1A1C"/>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8A1A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qFormat/>
    <w:rsid w:val="008A1A1C"/>
    <w:rPr>
      <w:i/>
      <w:color w:val="007099"/>
    </w:rPr>
  </w:style>
  <w:style w:type="character" w:customStyle="1" w:styleId="C-BodyTextChar">
    <w:name w:val="C-Body Text Char"/>
    <w:link w:val="C-BodyText"/>
    <w:locked/>
    <w:rsid w:val="008A1A1C"/>
    <w:rPr>
      <w:rFonts w:ascii="Times New Roman" w:eastAsia="Times New Roman" w:hAnsi="Times New Roman" w:cs="Times New Roman"/>
      <w:lang w:val="en-GB" w:eastAsia="en-GB"/>
    </w:rPr>
  </w:style>
  <w:style w:type="paragraph" w:customStyle="1" w:styleId="C-BodyText">
    <w:name w:val="C-Body Text"/>
    <w:link w:val="C-BodyTextChar"/>
    <w:rsid w:val="008A1A1C"/>
    <w:pPr>
      <w:spacing w:before="120" w:after="120" w:line="280" w:lineRule="atLeast"/>
    </w:pPr>
    <w:rPr>
      <w:rFonts w:ascii="Times New Roman" w:eastAsia="Times New Roman" w:hAnsi="Times New Roman" w:cs="Times New Roman"/>
      <w:lang w:val="en-GB" w:eastAsia="en-GB"/>
    </w:rPr>
  </w:style>
  <w:style w:type="paragraph" w:customStyle="1" w:styleId="C-Heading1">
    <w:name w:val="C-Heading 1"/>
    <w:next w:val="C-BodyText"/>
    <w:uiPriority w:val="99"/>
    <w:rsid w:val="008A1A1C"/>
    <w:pPr>
      <w:keepNext/>
      <w:pageBreakBefore/>
      <w:numPr>
        <w:numId w:val="11"/>
      </w:numPr>
      <w:spacing w:before="480" w:after="120" w:line="240" w:lineRule="auto"/>
      <w:outlineLvl w:val="0"/>
    </w:pPr>
    <w:rPr>
      <w:rFonts w:ascii="Times New Roman Bold" w:eastAsia="Times New Roman" w:hAnsi="Times New Roman Bold" w:cs="Times New Roman"/>
      <w:b/>
      <w:lang w:val="en-GB" w:eastAsia="en-GB"/>
    </w:rPr>
  </w:style>
  <w:style w:type="paragraph" w:customStyle="1" w:styleId="C-Heading2">
    <w:name w:val="C-Heading 2"/>
    <w:next w:val="C-BodyText"/>
    <w:uiPriority w:val="99"/>
    <w:rsid w:val="008A1A1C"/>
    <w:pPr>
      <w:keepNext/>
      <w:numPr>
        <w:ilvl w:val="1"/>
        <w:numId w:val="11"/>
      </w:numPr>
      <w:spacing w:before="240" w:after="0" w:line="240" w:lineRule="auto"/>
      <w:outlineLvl w:val="1"/>
    </w:pPr>
    <w:rPr>
      <w:rFonts w:ascii="Times New Roman" w:eastAsia="Times New Roman" w:hAnsi="Times New Roman" w:cs="Times New Roman"/>
      <w:b/>
      <w:sz w:val="24"/>
      <w:szCs w:val="20"/>
      <w:lang w:val="en-US"/>
    </w:rPr>
  </w:style>
  <w:style w:type="character" w:customStyle="1" w:styleId="C-Heading3Char">
    <w:name w:val="C-Heading 3 Char"/>
    <w:link w:val="C-Heading3"/>
    <w:uiPriority w:val="99"/>
    <w:locked/>
    <w:rsid w:val="008A1A1C"/>
    <w:rPr>
      <w:rFonts w:ascii="Times New Roman" w:eastAsia="Times New Roman" w:hAnsi="Times New Roman" w:cs="Times New Roman"/>
      <w:b/>
      <w:lang w:val="en-GB" w:eastAsia="en-GB"/>
    </w:rPr>
  </w:style>
  <w:style w:type="paragraph" w:customStyle="1" w:styleId="C-Heading3">
    <w:name w:val="C-Heading 3"/>
    <w:next w:val="C-BodyText"/>
    <w:link w:val="C-Heading3Char"/>
    <w:uiPriority w:val="99"/>
    <w:rsid w:val="008A1A1C"/>
    <w:pPr>
      <w:keepNext/>
      <w:numPr>
        <w:ilvl w:val="2"/>
        <w:numId w:val="11"/>
      </w:numPr>
      <w:spacing w:before="240" w:after="0" w:line="240" w:lineRule="auto"/>
      <w:outlineLvl w:val="2"/>
    </w:pPr>
    <w:rPr>
      <w:rFonts w:ascii="Times New Roman" w:eastAsia="Times New Roman" w:hAnsi="Times New Roman" w:cs="Times New Roman"/>
      <w:b/>
      <w:lang w:val="en-GB" w:eastAsia="en-GB"/>
    </w:rPr>
  </w:style>
  <w:style w:type="paragraph" w:customStyle="1" w:styleId="C-Heading4">
    <w:name w:val="C-Heading 4"/>
    <w:next w:val="C-BodyText"/>
    <w:uiPriority w:val="99"/>
    <w:rsid w:val="008A1A1C"/>
    <w:pPr>
      <w:keepNext/>
      <w:numPr>
        <w:ilvl w:val="3"/>
        <w:numId w:val="11"/>
      </w:numPr>
      <w:spacing w:before="240" w:after="0" w:line="240" w:lineRule="auto"/>
      <w:outlineLvl w:val="3"/>
    </w:pPr>
    <w:rPr>
      <w:rFonts w:ascii="Times New Roman" w:eastAsia="Times New Roman" w:hAnsi="Times New Roman" w:cs="Times New Roman"/>
      <w:b/>
      <w:sz w:val="24"/>
      <w:szCs w:val="20"/>
      <w:lang w:val="en-US"/>
    </w:rPr>
  </w:style>
  <w:style w:type="paragraph" w:customStyle="1" w:styleId="C-Heading5">
    <w:name w:val="C-Heading 5"/>
    <w:next w:val="C-BodyText"/>
    <w:uiPriority w:val="99"/>
    <w:rsid w:val="008A1A1C"/>
    <w:pPr>
      <w:keepNext/>
      <w:numPr>
        <w:ilvl w:val="4"/>
        <w:numId w:val="11"/>
      </w:numPr>
      <w:spacing w:before="240" w:after="0" w:line="240" w:lineRule="auto"/>
      <w:outlineLvl w:val="4"/>
    </w:pPr>
    <w:rPr>
      <w:rFonts w:ascii="Times New Roman" w:eastAsia="Times New Roman" w:hAnsi="Times New Roman" w:cs="Times New Roman"/>
      <w:b/>
      <w:sz w:val="24"/>
      <w:szCs w:val="20"/>
      <w:lang w:val="en-US"/>
    </w:rPr>
  </w:style>
  <w:style w:type="paragraph" w:customStyle="1" w:styleId="C-Heading6">
    <w:name w:val="C-Heading 6"/>
    <w:next w:val="C-BodyText"/>
    <w:uiPriority w:val="99"/>
    <w:rsid w:val="008A1A1C"/>
    <w:pPr>
      <w:keepNext/>
      <w:numPr>
        <w:ilvl w:val="5"/>
        <w:numId w:val="11"/>
      </w:numPr>
      <w:tabs>
        <w:tab w:val="clear" w:pos="1080"/>
        <w:tab w:val="num" w:pos="1224"/>
        <w:tab w:val="num" w:pos="1309"/>
      </w:tabs>
      <w:spacing w:before="240" w:after="0" w:line="240" w:lineRule="auto"/>
      <w:ind w:left="1224" w:hanging="1224"/>
      <w:outlineLvl w:val="5"/>
    </w:pPr>
    <w:rPr>
      <w:rFonts w:ascii="Times New Roman" w:eastAsia="Times New Roman" w:hAnsi="Times New Roman" w:cs="Times New Roman"/>
      <w:b/>
      <w:sz w:val="24"/>
      <w:szCs w:val="20"/>
      <w:lang w:val="en-US"/>
    </w:rPr>
  </w:style>
  <w:style w:type="character" w:customStyle="1" w:styleId="C-TableHeaderChar">
    <w:name w:val="C-Table Header Char"/>
    <w:link w:val="C-TableHeader"/>
    <w:uiPriority w:val="99"/>
    <w:locked/>
    <w:rsid w:val="008A1A1C"/>
    <w:rPr>
      <w:rFonts w:ascii="Times New Roman" w:eastAsia="Times New Roman" w:hAnsi="Times New Roman" w:cs="Times New Roman"/>
      <w:b/>
      <w:lang w:val="en-US"/>
    </w:rPr>
  </w:style>
  <w:style w:type="paragraph" w:customStyle="1" w:styleId="C-TableText">
    <w:name w:val="C-Table Text"/>
    <w:link w:val="C-TableTextChar"/>
    <w:uiPriority w:val="99"/>
    <w:rsid w:val="008A1A1C"/>
    <w:pPr>
      <w:spacing w:before="40" w:after="40" w:line="240" w:lineRule="auto"/>
    </w:pPr>
    <w:rPr>
      <w:rFonts w:ascii="Times New Roman" w:eastAsia="Times New Roman" w:hAnsi="Times New Roman" w:cs="Times New Roman"/>
      <w:lang w:val="en-US"/>
    </w:rPr>
  </w:style>
  <w:style w:type="paragraph" w:customStyle="1" w:styleId="C-TableHeader">
    <w:name w:val="C-Table Header"/>
    <w:next w:val="C-TableText"/>
    <w:link w:val="C-TableHeaderChar"/>
    <w:uiPriority w:val="99"/>
    <w:rsid w:val="008A1A1C"/>
    <w:pPr>
      <w:keepNext/>
      <w:spacing w:before="60" w:after="60" w:line="240" w:lineRule="auto"/>
    </w:pPr>
    <w:rPr>
      <w:rFonts w:ascii="Times New Roman" w:eastAsia="Times New Roman" w:hAnsi="Times New Roman" w:cs="Times New Roman"/>
      <w:b/>
      <w:lang w:val="en-US"/>
    </w:rPr>
  </w:style>
  <w:style w:type="character" w:customStyle="1" w:styleId="C-TableTextChar">
    <w:name w:val="C-Table Text Char"/>
    <w:link w:val="C-TableText"/>
    <w:uiPriority w:val="99"/>
    <w:locked/>
    <w:rsid w:val="008A1A1C"/>
    <w:rPr>
      <w:rFonts w:ascii="Times New Roman" w:eastAsia="Times New Roman" w:hAnsi="Times New Roman" w:cs="Times New Roman"/>
      <w:lang w:val="en-US"/>
    </w:rPr>
  </w:style>
  <w:style w:type="paragraph" w:customStyle="1" w:styleId="C-TableFootnote">
    <w:name w:val="C-Table Footnote"/>
    <w:next w:val="C-BodyText"/>
    <w:uiPriority w:val="99"/>
    <w:rsid w:val="008A1A1C"/>
    <w:pPr>
      <w:tabs>
        <w:tab w:val="left" w:pos="144"/>
      </w:tabs>
      <w:spacing w:after="0" w:line="240" w:lineRule="auto"/>
      <w:ind w:left="144" w:hanging="144"/>
    </w:pPr>
    <w:rPr>
      <w:rFonts w:ascii="Times New Roman" w:eastAsia="Times New Roman" w:hAnsi="Times New Roman" w:cs="Arial"/>
      <w:sz w:val="20"/>
      <w:szCs w:val="20"/>
      <w:lang w:val="en-US"/>
    </w:rPr>
  </w:style>
  <w:style w:type="paragraph" w:customStyle="1" w:styleId="C-Bullet">
    <w:name w:val="C-Bullet"/>
    <w:uiPriority w:val="99"/>
    <w:rsid w:val="008A1A1C"/>
    <w:pPr>
      <w:numPr>
        <w:numId w:val="12"/>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uiPriority w:val="99"/>
    <w:rsid w:val="008A1A1C"/>
    <w:pPr>
      <w:numPr>
        <w:ilvl w:val="1"/>
        <w:numId w:val="12"/>
      </w:numPr>
      <w:spacing w:before="120" w:after="120" w:line="280" w:lineRule="atLeast"/>
    </w:pPr>
    <w:rPr>
      <w:rFonts w:ascii="Times New Roman" w:eastAsia="Times New Roman" w:hAnsi="Times New Roman" w:cs="Arial"/>
      <w:sz w:val="24"/>
      <w:szCs w:val="20"/>
      <w:lang w:val="en-US"/>
    </w:rPr>
  </w:style>
  <w:style w:type="paragraph" w:customStyle="1" w:styleId="C-CaptionContinued">
    <w:name w:val="C-Caption Continued"/>
    <w:next w:val="C-BodyText"/>
    <w:uiPriority w:val="99"/>
    <w:rsid w:val="008A1A1C"/>
    <w:pPr>
      <w:keepNext/>
      <w:spacing w:before="120" w:after="120" w:line="280" w:lineRule="atLeast"/>
      <w:ind w:left="1440" w:hanging="1440"/>
    </w:pPr>
    <w:rPr>
      <w:rFonts w:ascii="Times New Roman" w:eastAsia="Times New Roman" w:hAnsi="Times New Roman" w:cs="Arial"/>
      <w:b/>
      <w:sz w:val="24"/>
      <w:szCs w:val="20"/>
      <w:lang w:val="en-US"/>
    </w:rPr>
  </w:style>
  <w:style w:type="paragraph" w:customStyle="1" w:styleId="C-PLR-CaptionContinued">
    <w:name w:val="C-PLR-Caption Continued"/>
    <w:next w:val="Normal"/>
    <w:uiPriority w:val="99"/>
    <w:rsid w:val="008A1A1C"/>
    <w:pPr>
      <w:keepNext/>
      <w:spacing w:after="0" w:line="240" w:lineRule="auto"/>
      <w:ind w:left="360" w:hanging="360"/>
    </w:pPr>
    <w:rPr>
      <w:rFonts w:ascii="Times New Roman Bold" w:eastAsia="Times New Roman" w:hAnsi="Times New Roman Bold" w:cs="Arial"/>
      <w:b/>
      <w:sz w:val="16"/>
      <w:szCs w:val="20"/>
      <w:lang w:val="en-US"/>
    </w:rPr>
  </w:style>
  <w:style w:type="character" w:customStyle="1" w:styleId="UnresolvedMention1">
    <w:name w:val="Unresolved Mention1"/>
    <w:basedOn w:val="DefaultParagraphFont"/>
    <w:uiPriority w:val="99"/>
    <w:semiHidden/>
    <w:rsid w:val="008A1A1C"/>
    <w:rPr>
      <w:color w:val="808080"/>
      <w:shd w:val="clear" w:color="auto" w:fill="E6E6E6"/>
    </w:rPr>
  </w:style>
  <w:style w:type="character" w:customStyle="1" w:styleId="C-Hyperlink">
    <w:name w:val="C-Hyperlink"/>
    <w:uiPriority w:val="99"/>
    <w:rsid w:val="008A1A1C"/>
    <w:rPr>
      <w:color w:val="0000FF"/>
    </w:rPr>
  </w:style>
  <w:style w:type="character" w:customStyle="1" w:styleId="C-TableCallout">
    <w:name w:val="C-Table Callout"/>
    <w:uiPriority w:val="99"/>
    <w:rsid w:val="008A1A1C"/>
    <w:rPr>
      <w:rFonts w:ascii="Times New Roman" w:hAnsi="Times New Roman" w:cs="Times New Roman" w:hint="default"/>
      <w:strike w:val="0"/>
      <w:dstrike w:val="0"/>
      <w:color w:val="auto"/>
      <w:spacing w:val="0"/>
      <w:w w:val="100"/>
      <w:position w:val="0"/>
      <w:sz w:val="22"/>
      <w:u w:val="none"/>
      <w:effect w:val="none"/>
      <w:vertAlign w:val="superscript"/>
      <w:em w:val="none"/>
    </w:rPr>
  </w:style>
  <w:style w:type="character" w:customStyle="1" w:styleId="UnresolvedMention2">
    <w:name w:val="Unresolved Mention2"/>
    <w:basedOn w:val="DefaultParagraphFont"/>
    <w:uiPriority w:val="99"/>
    <w:semiHidden/>
    <w:rsid w:val="008A1A1C"/>
    <w:rPr>
      <w:color w:val="808080"/>
      <w:shd w:val="clear" w:color="auto" w:fill="E6E6E6"/>
    </w:rPr>
  </w:style>
  <w:style w:type="paragraph" w:styleId="FootnoteText">
    <w:name w:val="footnote text"/>
    <w:basedOn w:val="Normal"/>
    <w:link w:val="FootnoteTextChar"/>
    <w:uiPriority w:val="99"/>
    <w:semiHidden/>
    <w:unhideWhenUsed/>
    <w:rsid w:val="001D47D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D47D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D47D5"/>
    <w:rPr>
      <w:vertAlign w:val="superscript"/>
    </w:rPr>
  </w:style>
  <w:style w:type="paragraph" w:customStyle="1" w:styleId="TableParagraph">
    <w:name w:val="Table Paragraph"/>
    <w:basedOn w:val="Normal"/>
    <w:uiPriority w:val="1"/>
    <w:qFormat/>
    <w:rsid w:val="002464CB"/>
    <w:pPr>
      <w:widowControl w:val="0"/>
      <w:autoSpaceDE w:val="0"/>
      <w:autoSpaceDN w:val="0"/>
      <w:spacing w:before="33" w:after="0" w:line="240" w:lineRule="auto"/>
      <w:jc w:val="center"/>
    </w:pPr>
    <w:rPr>
      <w:rFonts w:ascii="Times New Roman" w:eastAsia="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FB2482"/>
    <w:pPr>
      <w:keepNext/>
      <w:keepLines/>
      <w:numPr>
        <w:ilvl w:val="1"/>
        <w:numId w:val="6"/>
      </w:numPr>
      <w:tabs>
        <w:tab w:val="clear" w:pos="1589"/>
        <w:tab w:val="num" w:pos="1135"/>
      </w:tabs>
      <w:adjustRightInd w:val="0"/>
      <w:snapToGrid w:val="0"/>
      <w:spacing w:before="400" w:line="220" w:lineRule="atLeast"/>
      <w:ind w:left="113" w:firstLine="113"/>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FB2482"/>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for figure"/>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0C4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A40C4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basedOn w:val="DefaultParagraphFont"/>
    <w:rsid w:val="008A1A1C"/>
  </w:style>
  <w:style w:type="character" w:styleId="Emphasis">
    <w:name w:val="Emphasis"/>
    <w:basedOn w:val="DefaultParagraphFont"/>
    <w:uiPriority w:val="20"/>
    <w:qFormat/>
    <w:rsid w:val="008A1A1C"/>
    <w:rPr>
      <w:i/>
      <w:iCs/>
    </w:rPr>
  </w:style>
  <w:style w:type="paragraph" w:styleId="NormalWeb">
    <w:name w:val="Normal (Web)"/>
    <w:basedOn w:val="Normal"/>
    <w:uiPriority w:val="99"/>
    <w:unhideWhenUsed/>
    <w:rsid w:val="008A1A1C"/>
    <w:pPr>
      <w:spacing w:before="0" w:after="0"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unhideWhenUsed/>
    <w:rsid w:val="008A1A1C"/>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A1A1C"/>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A1A1C"/>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A1A1C"/>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A1A1C"/>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A1A1C"/>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8A1A1C"/>
    <w:pPr>
      <w:spacing w:after="0"/>
    </w:pPr>
  </w:style>
  <w:style w:type="paragraph" w:styleId="ListParagraph">
    <w:name w:val="List Paragraph"/>
    <w:basedOn w:val="Normal"/>
    <w:uiPriority w:val="34"/>
    <w:qFormat/>
    <w:rsid w:val="008A1A1C"/>
    <w:pPr>
      <w:ind w:left="720"/>
      <w:contextualSpacing/>
    </w:pPr>
  </w:style>
  <w:style w:type="paragraph" w:customStyle="1" w:styleId="Bullet2">
    <w:name w:val="Bullet 2"/>
    <w:basedOn w:val="Normal"/>
    <w:rsid w:val="008A1A1C"/>
    <w:pPr>
      <w:numPr>
        <w:numId w:val="9"/>
      </w:numPr>
      <w:spacing w:after="0" w:line="240" w:lineRule="auto"/>
    </w:pPr>
    <w:rPr>
      <w:rFonts w:eastAsia="Times New Roman"/>
      <w:kern w:val="24"/>
      <w:szCs w:val="24"/>
      <w:lang w:eastAsia="en-AU"/>
    </w:rPr>
  </w:style>
  <w:style w:type="paragraph" w:customStyle="1" w:styleId="Instructions1">
    <w:name w:val="Instructions 1"/>
    <w:basedOn w:val="Normal"/>
    <w:qFormat/>
    <w:rsid w:val="008A1A1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8A1A1C"/>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8A1A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
    <w:name w:val="Instructions"/>
    <w:basedOn w:val="Normal"/>
    <w:next w:val="Normal"/>
    <w:uiPriority w:val="1"/>
    <w:qFormat/>
    <w:rsid w:val="008A1A1C"/>
    <w:rPr>
      <w:i/>
      <w:color w:val="007099"/>
    </w:rPr>
  </w:style>
  <w:style w:type="character" w:customStyle="1" w:styleId="C-BodyTextChar">
    <w:name w:val="C-Body Text Char"/>
    <w:link w:val="C-BodyText"/>
    <w:locked/>
    <w:rsid w:val="008A1A1C"/>
    <w:rPr>
      <w:rFonts w:ascii="Times New Roman" w:eastAsia="Times New Roman" w:hAnsi="Times New Roman" w:cs="Times New Roman"/>
      <w:lang w:val="en-GB" w:eastAsia="en-GB"/>
    </w:rPr>
  </w:style>
  <w:style w:type="paragraph" w:customStyle="1" w:styleId="C-BodyText">
    <w:name w:val="C-Body Text"/>
    <w:link w:val="C-BodyTextChar"/>
    <w:rsid w:val="008A1A1C"/>
    <w:pPr>
      <w:spacing w:before="120" w:after="120" w:line="280" w:lineRule="atLeast"/>
    </w:pPr>
    <w:rPr>
      <w:rFonts w:ascii="Times New Roman" w:eastAsia="Times New Roman" w:hAnsi="Times New Roman" w:cs="Times New Roman"/>
      <w:lang w:val="en-GB" w:eastAsia="en-GB"/>
    </w:rPr>
  </w:style>
  <w:style w:type="paragraph" w:customStyle="1" w:styleId="C-Heading1">
    <w:name w:val="C-Heading 1"/>
    <w:next w:val="C-BodyText"/>
    <w:uiPriority w:val="99"/>
    <w:rsid w:val="008A1A1C"/>
    <w:pPr>
      <w:keepNext/>
      <w:pageBreakBefore/>
      <w:numPr>
        <w:numId w:val="11"/>
      </w:numPr>
      <w:spacing w:before="480" w:after="120" w:line="240" w:lineRule="auto"/>
      <w:outlineLvl w:val="0"/>
    </w:pPr>
    <w:rPr>
      <w:rFonts w:ascii="Times New Roman Bold" w:eastAsia="Times New Roman" w:hAnsi="Times New Roman Bold" w:cs="Times New Roman"/>
      <w:b/>
      <w:lang w:val="en-GB" w:eastAsia="en-GB"/>
    </w:rPr>
  </w:style>
  <w:style w:type="paragraph" w:customStyle="1" w:styleId="C-Heading2">
    <w:name w:val="C-Heading 2"/>
    <w:next w:val="C-BodyText"/>
    <w:uiPriority w:val="99"/>
    <w:rsid w:val="008A1A1C"/>
    <w:pPr>
      <w:keepNext/>
      <w:numPr>
        <w:ilvl w:val="1"/>
        <w:numId w:val="11"/>
      </w:numPr>
      <w:spacing w:before="240" w:after="0" w:line="240" w:lineRule="auto"/>
      <w:outlineLvl w:val="1"/>
    </w:pPr>
    <w:rPr>
      <w:rFonts w:ascii="Times New Roman" w:eastAsia="Times New Roman" w:hAnsi="Times New Roman" w:cs="Times New Roman"/>
      <w:b/>
      <w:sz w:val="24"/>
      <w:szCs w:val="20"/>
      <w:lang w:val="en-US"/>
    </w:rPr>
  </w:style>
  <w:style w:type="character" w:customStyle="1" w:styleId="C-Heading3Char">
    <w:name w:val="C-Heading 3 Char"/>
    <w:link w:val="C-Heading3"/>
    <w:uiPriority w:val="99"/>
    <w:locked/>
    <w:rsid w:val="008A1A1C"/>
    <w:rPr>
      <w:rFonts w:ascii="Times New Roman" w:eastAsia="Times New Roman" w:hAnsi="Times New Roman" w:cs="Times New Roman"/>
      <w:b/>
      <w:lang w:val="en-GB" w:eastAsia="en-GB"/>
    </w:rPr>
  </w:style>
  <w:style w:type="paragraph" w:customStyle="1" w:styleId="C-Heading3">
    <w:name w:val="C-Heading 3"/>
    <w:next w:val="C-BodyText"/>
    <w:link w:val="C-Heading3Char"/>
    <w:uiPriority w:val="99"/>
    <w:rsid w:val="008A1A1C"/>
    <w:pPr>
      <w:keepNext/>
      <w:numPr>
        <w:ilvl w:val="2"/>
        <w:numId w:val="11"/>
      </w:numPr>
      <w:spacing w:before="240" w:after="0" w:line="240" w:lineRule="auto"/>
      <w:outlineLvl w:val="2"/>
    </w:pPr>
    <w:rPr>
      <w:rFonts w:ascii="Times New Roman" w:eastAsia="Times New Roman" w:hAnsi="Times New Roman" w:cs="Times New Roman"/>
      <w:b/>
      <w:lang w:val="en-GB" w:eastAsia="en-GB"/>
    </w:rPr>
  </w:style>
  <w:style w:type="paragraph" w:customStyle="1" w:styleId="C-Heading4">
    <w:name w:val="C-Heading 4"/>
    <w:next w:val="C-BodyText"/>
    <w:uiPriority w:val="99"/>
    <w:rsid w:val="008A1A1C"/>
    <w:pPr>
      <w:keepNext/>
      <w:numPr>
        <w:ilvl w:val="3"/>
        <w:numId w:val="11"/>
      </w:numPr>
      <w:spacing w:before="240" w:after="0" w:line="240" w:lineRule="auto"/>
      <w:outlineLvl w:val="3"/>
    </w:pPr>
    <w:rPr>
      <w:rFonts w:ascii="Times New Roman" w:eastAsia="Times New Roman" w:hAnsi="Times New Roman" w:cs="Times New Roman"/>
      <w:b/>
      <w:sz w:val="24"/>
      <w:szCs w:val="20"/>
      <w:lang w:val="en-US"/>
    </w:rPr>
  </w:style>
  <w:style w:type="paragraph" w:customStyle="1" w:styleId="C-Heading5">
    <w:name w:val="C-Heading 5"/>
    <w:next w:val="C-BodyText"/>
    <w:uiPriority w:val="99"/>
    <w:rsid w:val="008A1A1C"/>
    <w:pPr>
      <w:keepNext/>
      <w:numPr>
        <w:ilvl w:val="4"/>
        <w:numId w:val="11"/>
      </w:numPr>
      <w:spacing w:before="240" w:after="0" w:line="240" w:lineRule="auto"/>
      <w:outlineLvl w:val="4"/>
    </w:pPr>
    <w:rPr>
      <w:rFonts w:ascii="Times New Roman" w:eastAsia="Times New Roman" w:hAnsi="Times New Roman" w:cs="Times New Roman"/>
      <w:b/>
      <w:sz w:val="24"/>
      <w:szCs w:val="20"/>
      <w:lang w:val="en-US"/>
    </w:rPr>
  </w:style>
  <w:style w:type="paragraph" w:customStyle="1" w:styleId="C-Heading6">
    <w:name w:val="C-Heading 6"/>
    <w:next w:val="C-BodyText"/>
    <w:uiPriority w:val="99"/>
    <w:rsid w:val="008A1A1C"/>
    <w:pPr>
      <w:keepNext/>
      <w:numPr>
        <w:ilvl w:val="5"/>
        <w:numId w:val="11"/>
      </w:numPr>
      <w:tabs>
        <w:tab w:val="clear" w:pos="1080"/>
        <w:tab w:val="num" w:pos="1224"/>
        <w:tab w:val="num" w:pos="1309"/>
      </w:tabs>
      <w:spacing w:before="240" w:after="0" w:line="240" w:lineRule="auto"/>
      <w:ind w:left="1224" w:hanging="1224"/>
      <w:outlineLvl w:val="5"/>
    </w:pPr>
    <w:rPr>
      <w:rFonts w:ascii="Times New Roman" w:eastAsia="Times New Roman" w:hAnsi="Times New Roman" w:cs="Times New Roman"/>
      <w:b/>
      <w:sz w:val="24"/>
      <w:szCs w:val="20"/>
      <w:lang w:val="en-US"/>
    </w:rPr>
  </w:style>
  <w:style w:type="character" w:customStyle="1" w:styleId="C-TableHeaderChar">
    <w:name w:val="C-Table Header Char"/>
    <w:link w:val="C-TableHeader"/>
    <w:uiPriority w:val="99"/>
    <w:locked/>
    <w:rsid w:val="008A1A1C"/>
    <w:rPr>
      <w:rFonts w:ascii="Times New Roman" w:eastAsia="Times New Roman" w:hAnsi="Times New Roman" w:cs="Times New Roman"/>
      <w:b/>
      <w:lang w:val="en-US"/>
    </w:rPr>
  </w:style>
  <w:style w:type="paragraph" w:customStyle="1" w:styleId="C-TableText">
    <w:name w:val="C-Table Text"/>
    <w:link w:val="C-TableTextChar"/>
    <w:uiPriority w:val="99"/>
    <w:rsid w:val="008A1A1C"/>
    <w:pPr>
      <w:spacing w:before="40" w:after="40" w:line="240" w:lineRule="auto"/>
    </w:pPr>
    <w:rPr>
      <w:rFonts w:ascii="Times New Roman" w:eastAsia="Times New Roman" w:hAnsi="Times New Roman" w:cs="Times New Roman"/>
      <w:lang w:val="en-US"/>
    </w:rPr>
  </w:style>
  <w:style w:type="paragraph" w:customStyle="1" w:styleId="C-TableHeader">
    <w:name w:val="C-Table Header"/>
    <w:next w:val="C-TableText"/>
    <w:link w:val="C-TableHeaderChar"/>
    <w:uiPriority w:val="99"/>
    <w:rsid w:val="008A1A1C"/>
    <w:pPr>
      <w:keepNext/>
      <w:spacing w:before="60" w:after="60" w:line="240" w:lineRule="auto"/>
    </w:pPr>
    <w:rPr>
      <w:rFonts w:ascii="Times New Roman" w:eastAsia="Times New Roman" w:hAnsi="Times New Roman" w:cs="Times New Roman"/>
      <w:b/>
      <w:lang w:val="en-US"/>
    </w:rPr>
  </w:style>
  <w:style w:type="character" w:customStyle="1" w:styleId="C-TableTextChar">
    <w:name w:val="C-Table Text Char"/>
    <w:link w:val="C-TableText"/>
    <w:uiPriority w:val="99"/>
    <w:locked/>
    <w:rsid w:val="008A1A1C"/>
    <w:rPr>
      <w:rFonts w:ascii="Times New Roman" w:eastAsia="Times New Roman" w:hAnsi="Times New Roman" w:cs="Times New Roman"/>
      <w:lang w:val="en-US"/>
    </w:rPr>
  </w:style>
  <w:style w:type="paragraph" w:customStyle="1" w:styleId="C-TableFootnote">
    <w:name w:val="C-Table Footnote"/>
    <w:next w:val="C-BodyText"/>
    <w:uiPriority w:val="99"/>
    <w:rsid w:val="008A1A1C"/>
    <w:pPr>
      <w:tabs>
        <w:tab w:val="left" w:pos="144"/>
      </w:tabs>
      <w:spacing w:after="0" w:line="240" w:lineRule="auto"/>
      <w:ind w:left="144" w:hanging="144"/>
    </w:pPr>
    <w:rPr>
      <w:rFonts w:ascii="Times New Roman" w:eastAsia="Times New Roman" w:hAnsi="Times New Roman" w:cs="Arial"/>
      <w:sz w:val="20"/>
      <w:szCs w:val="20"/>
      <w:lang w:val="en-US"/>
    </w:rPr>
  </w:style>
  <w:style w:type="paragraph" w:customStyle="1" w:styleId="C-Bullet">
    <w:name w:val="C-Bullet"/>
    <w:uiPriority w:val="99"/>
    <w:rsid w:val="008A1A1C"/>
    <w:pPr>
      <w:numPr>
        <w:numId w:val="12"/>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uiPriority w:val="99"/>
    <w:rsid w:val="008A1A1C"/>
    <w:pPr>
      <w:numPr>
        <w:ilvl w:val="1"/>
        <w:numId w:val="12"/>
      </w:numPr>
      <w:spacing w:before="120" w:after="120" w:line="280" w:lineRule="atLeast"/>
    </w:pPr>
    <w:rPr>
      <w:rFonts w:ascii="Times New Roman" w:eastAsia="Times New Roman" w:hAnsi="Times New Roman" w:cs="Arial"/>
      <w:sz w:val="24"/>
      <w:szCs w:val="20"/>
      <w:lang w:val="en-US"/>
    </w:rPr>
  </w:style>
  <w:style w:type="paragraph" w:customStyle="1" w:styleId="C-CaptionContinued">
    <w:name w:val="C-Caption Continued"/>
    <w:next w:val="C-BodyText"/>
    <w:uiPriority w:val="99"/>
    <w:rsid w:val="008A1A1C"/>
    <w:pPr>
      <w:keepNext/>
      <w:spacing w:before="120" w:after="120" w:line="280" w:lineRule="atLeast"/>
      <w:ind w:left="1440" w:hanging="1440"/>
    </w:pPr>
    <w:rPr>
      <w:rFonts w:ascii="Times New Roman" w:eastAsia="Times New Roman" w:hAnsi="Times New Roman" w:cs="Arial"/>
      <w:b/>
      <w:sz w:val="24"/>
      <w:szCs w:val="20"/>
      <w:lang w:val="en-US"/>
    </w:rPr>
  </w:style>
  <w:style w:type="paragraph" w:customStyle="1" w:styleId="C-PLR-CaptionContinued">
    <w:name w:val="C-PLR-Caption Continued"/>
    <w:next w:val="Normal"/>
    <w:uiPriority w:val="99"/>
    <w:rsid w:val="008A1A1C"/>
    <w:pPr>
      <w:keepNext/>
      <w:spacing w:after="0" w:line="240" w:lineRule="auto"/>
      <w:ind w:left="360" w:hanging="360"/>
    </w:pPr>
    <w:rPr>
      <w:rFonts w:ascii="Times New Roman Bold" w:eastAsia="Times New Roman" w:hAnsi="Times New Roman Bold" w:cs="Arial"/>
      <w:b/>
      <w:sz w:val="16"/>
      <w:szCs w:val="20"/>
      <w:lang w:val="en-US"/>
    </w:rPr>
  </w:style>
  <w:style w:type="character" w:customStyle="1" w:styleId="UnresolvedMention1">
    <w:name w:val="Unresolved Mention1"/>
    <w:basedOn w:val="DefaultParagraphFont"/>
    <w:uiPriority w:val="99"/>
    <w:semiHidden/>
    <w:rsid w:val="008A1A1C"/>
    <w:rPr>
      <w:color w:val="808080"/>
      <w:shd w:val="clear" w:color="auto" w:fill="E6E6E6"/>
    </w:rPr>
  </w:style>
  <w:style w:type="character" w:customStyle="1" w:styleId="C-Hyperlink">
    <w:name w:val="C-Hyperlink"/>
    <w:uiPriority w:val="99"/>
    <w:rsid w:val="008A1A1C"/>
    <w:rPr>
      <w:color w:val="0000FF"/>
    </w:rPr>
  </w:style>
  <w:style w:type="character" w:customStyle="1" w:styleId="C-TableCallout">
    <w:name w:val="C-Table Callout"/>
    <w:uiPriority w:val="99"/>
    <w:rsid w:val="008A1A1C"/>
    <w:rPr>
      <w:rFonts w:ascii="Times New Roman" w:hAnsi="Times New Roman" w:cs="Times New Roman" w:hint="default"/>
      <w:strike w:val="0"/>
      <w:dstrike w:val="0"/>
      <w:color w:val="auto"/>
      <w:spacing w:val="0"/>
      <w:w w:val="100"/>
      <w:position w:val="0"/>
      <w:sz w:val="22"/>
      <w:u w:val="none"/>
      <w:effect w:val="none"/>
      <w:vertAlign w:val="superscript"/>
      <w:em w:val="none"/>
    </w:rPr>
  </w:style>
  <w:style w:type="character" w:customStyle="1" w:styleId="UnresolvedMention2">
    <w:name w:val="Unresolved Mention2"/>
    <w:basedOn w:val="DefaultParagraphFont"/>
    <w:uiPriority w:val="99"/>
    <w:semiHidden/>
    <w:rsid w:val="008A1A1C"/>
    <w:rPr>
      <w:color w:val="808080"/>
      <w:shd w:val="clear" w:color="auto" w:fill="E6E6E6"/>
    </w:rPr>
  </w:style>
  <w:style w:type="paragraph" w:styleId="FootnoteText">
    <w:name w:val="footnote text"/>
    <w:basedOn w:val="Normal"/>
    <w:link w:val="FootnoteTextChar"/>
    <w:uiPriority w:val="99"/>
    <w:semiHidden/>
    <w:unhideWhenUsed/>
    <w:rsid w:val="001D47D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D47D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D47D5"/>
    <w:rPr>
      <w:vertAlign w:val="superscript"/>
    </w:rPr>
  </w:style>
  <w:style w:type="paragraph" w:customStyle="1" w:styleId="TableParagraph">
    <w:name w:val="Table Paragraph"/>
    <w:basedOn w:val="Normal"/>
    <w:uiPriority w:val="1"/>
    <w:qFormat/>
    <w:rsid w:val="002464CB"/>
    <w:pPr>
      <w:widowControl w:val="0"/>
      <w:autoSpaceDE w:val="0"/>
      <w:autoSpaceDN w:val="0"/>
      <w:spacing w:before="33" w:after="0" w:line="240" w:lineRule="auto"/>
      <w:jc w:val="center"/>
    </w:pPr>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4075">
      <w:bodyDiv w:val="1"/>
      <w:marLeft w:val="0"/>
      <w:marRight w:val="0"/>
      <w:marTop w:val="0"/>
      <w:marBottom w:val="0"/>
      <w:divBdr>
        <w:top w:val="none" w:sz="0" w:space="0" w:color="auto"/>
        <w:left w:val="none" w:sz="0" w:space="0" w:color="auto"/>
        <w:bottom w:val="none" w:sz="0" w:space="0" w:color="auto"/>
        <w:right w:val="none" w:sz="0" w:space="0" w:color="auto"/>
      </w:divBdr>
    </w:div>
    <w:div w:id="203179856">
      <w:bodyDiv w:val="1"/>
      <w:marLeft w:val="0"/>
      <w:marRight w:val="0"/>
      <w:marTop w:val="0"/>
      <w:marBottom w:val="0"/>
      <w:divBdr>
        <w:top w:val="none" w:sz="0" w:space="0" w:color="auto"/>
        <w:left w:val="none" w:sz="0" w:space="0" w:color="auto"/>
        <w:bottom w:val="none" w:sz="0" w:space="0" w:color="auto"/>
        <w:right w:val="none" w:sz="0" w:space="0" w:color="auto"/>
      </w:divBdr>
    </w:div>
    <w:div w:id="209999714">
      <w:bodyDiv w:val="1"/>
      <w:marLeft w:val="0"/>
      <w:marRight w:val="0"/>
      <w:marTop w:val="0"/>
      <w:marBottom w:val="0"/>
      <w:divBdr>
        <w:top w:val="none" w:sz="0" w:space="0" w:color="auto"/>
        <w:left w:val="none" w:sz="0" w:space="0" w:color="auto"/>
        <w:bottom w:val="none" w:sz="0" w:space="0" w:color="auto"/>
        <w:right w:val="none" w:sz="0" w:space="0" w:color="auto"/>
      </w:divBdr>
    </w:div>
    <w:div w:id="258684849">
      <w:bodyDiv w:val="1"/>
      <w:marLeft w:val="0"/>
      <w:marRight w:val="0"/>
      <w:marTop w:val="0"/>
      <w:marBottom w:val="0"/>
      <w:divBdr>
        <w:top w:val="none" w:sz="0" w:space="0" w:color="auto"/>
        <w:left w:val="none" w:sz="0" w:space="0" w:color="auto"/>
        <w:bottom w:val="none" w:sz="0" w:space="0" w:color="auto"/>
        <w:right w:val="none" w:sz="0" w:space="0" w:color="auto"/>
      </w:divBdr>
    </w:div>
    <w:div w:id="332686660">
      <w:bodyDiv w:val="1"/>
      <w:marLeft w:val="0"/>
      <w:marRight w:val="0"/>
      <w:marTop w:val="0"/>
      <w:marBottom w:val="0"/>
      <w:divBdr>
        <w:top w:val="none" w:sz="0" w:space="0" w:color="auto"/>
        <w:left w:val="none" w:sz="0" w:space="0" w:color="auto"/>
        <w:bottom w:val="none" w:sz="0" w:space="0" w:color="auto"/>
        <w:right w:val="none" w:sz="0" w:space="0" w:color="auto"/>
      </w:divBdr>
    </w:div>
    <w:div w:id="354615913">
      <w:bodyDiv w:val="1"/>
      <w:marLeft w:val="0"/>
      <w:marRight w:val="0"/>
      <w:marTop w:val="0"/>
      <w:marBottom w:val="0"/>
      <w:divBdr>
        <w:top w:val="none" w:sz="0" w:space="0" w:color="auto"/>
        <w:left w:val="none" w:sz="0" w:space="0" w:color="auto"/>
        <w:bottom w:val="none" w:sz="0" w:space="0" w:color="auto"/>
        <w:right w:val="none" w:sz="0" w:space="0" w:color="auto"/>
      </w:divBdr>
    </w:div>
    <w:div w:id="443841907">
      <w:bodyDiv w:val="1"/>
      <w:marLeft w:val="0"/>
      <w:marRight w:val="0"/>
      <w:marTop w:val="0"/>
      <w:marBottom w:val="0"/>
      <w:divBdr>
        <w:top w:val="none" w:sz="0" w:space="0" w:color="auto"/>
        <w:left w:val="none" w:sz="0" w:space="0" w:color="auto"/>
        <w:bottom w:val="none" w:sz="0" w:space="0" w:color="auto"/>
        <w:right w:val="none" w:sz="0" w:space="0" w:color="auto"/>
      </w:divBdr>
    </w:div>
    <w:div w:id="592474800">
      <w:bodyDiv w:val="1"/>
      <w:marLeft w:val="0"/>
      <w:marRight w:val="0"/>
      <w:marTop w:val="0"/>
      <w:marBottom w:val="0"/>
      <w:divBdr>
        <w:top w:val="none" w:sz="0" w:space="0" w:color="auto"/>
        <w:left w:val="none" w:sz="0" w:space="0" w:color="auto"/>
        <w:bottom w:val="none" w:sz="0" w:space="0" w:color="auto"/>
        <w:right w:val="none" w:sz="0" w:space="0" w:color="auto"/>
      </w:divBdr>
    </w:div>
    <w:div w:id="592935312">
      <w:bodyDiv w:val="1"/>
      <w:marLeft w:val="0"/>
      <w:marRight w:val="0"/>
      <w:marTop w:val="0"/>
      <w:marBottom w:val="0"/>
      <w:divBdr>
        <w:top w:val="none" w:sz="0" w:space="0" w:color="auto"/>
        <w:left w:val="none" w:sz="0" w:space="0" w:color="auto"/>
        <w:bottom w:val="none" w:sz="0" w:space="0" w:color="auto"/>
        <w:right w:val="none" w:sz="0" w:space="0" w:color="auto"/>
      </w:divBdr>
    </w:div>
    <w:div w:id="604506003">
      <w:bodyDiv w:val="1"/>
      <w:marLeft w:val="0"/>
      <w:marRight w:val="0"/>
      <w:marTop w:val="0"/>
      <w:marBottom w:val="0"/>
      <w:divBdr>
        <w:top w:val="none" w:sz="0" w:space="0" w:color="auto"/>
        <w:left w:val="none" w:sz="0" w:space="0" w:color="auto"/>
        <w:bottom w:val="none" w:sz="0" w:space="0" w:color="auto"/>
        <w:right w:val="none" w:sz="0" w:space="0" w:color="auto"/>
      </w:divBdr>
    </w:div>
    <w:div w:id="636226627">
      <w:bodyDiv w:val="1"/>
      <w:marLeft w:val="0"/>
      <w:marRight w:val="0"/>
      <w:marTop w:val="0"/>
      <w:marBottom w:val="0"/>
      <w:divBdr>
        <w:top w:val="none" w:sz="0" w:space="0" w:color="auto"/>
        <w:left w:val="none" w:sz="0" w:space="0" w:color="auto"/>
        <w:bottom w:val="none" w:sz="0" w:space="0" w:color="auto"/>
        <w:right w:val="none" w:sz="0" w:space="0" w:color="auto"/>
      </w:divBdr>
    </w:div>
    <w:div w:id="715086806">
      <w:bodyDiv w:val="1"/>
      <w:marLeft w:val="0"/>
      <w:marRight w:val="0"/>
      <w:marTop w:val="0"/>
      <w:marBottom w:val="0"/>
      <w:divBdr>
        <w:top w:val="none" w:sz="0" w:space="0" w:color="auto"/>
        <w:left w:val="none" w:sz="0" w:space="0" w:color="auto"/>
        <w:bottom w:val="none" w:sz="0" w:space="0" w:color="auto"/>
        <w:right w:val="none" w:sz="0" w:space="0" w:color="auto"/>
      </w:divBdr>
    </w:div>
    <w:div w:id="787964844">
      <w:bodyDiv w:val="1"/>
      <w:marLeft w:val="0"/>
      <w:marRight w:val="0"/>
      <w:marTop w:val="0"/>
      <w:marBottom w:val="0"/>
      <w:divBdr>
        <w:top w:val="none" w:sz="0" w:space="0" w:color="auto"/>
        <w:left w:val="none" w:sz="0" w:space="0" w:color="auto"/>
        <w:bottom w:val="none" w:sz="0" w:space="0" w:color="auto"/>
        <w:right w:val="none" w:sz="0" w:space="0" w:color="auto"/>
      </w:divBdr>
    </w:div>
    <w:div w:id="838422120">
      <w:bodyDiv w:val="1"/>
      <w:marLeft w:val="0"/>
      <w:marRight w:val="0"/>
      <w:marTop w:val="0"/>
      <w:marBottom w:val="0"/>
      <w:divBdr>
        <w:top w:val="none" w:sz="0" w:space="0" w:color="auto"/>
        <w:left w:val="none" w:sz="0" w:space="0" w:color="auto"/>
        <w:bottom w:val="none" w:sz="0" w:space="0" w:color="auto"/>
        <w:right w:val="none" w:sz="0" w:space="0" w:color="auto"/>
      </w:divBdr>
    </w:div>
    <w:div w:id="845364497">
      <w:bodyDiv w:val="1"/>
      <w:marLeft w:val="0"/>
      <w:marRight w:val="0"/>
      <w:marTop w:val="0"/>
      <w:marBottom w:val="0"/>
      <w:divBdr>
        <w:top w:val="none" w:sz="0" w:space="0" w:color="auto"/>
        <w:left w:val="none" w:sz="0" w:space="0" w:color="auto"/>
        <w:bottom w:val="none" w:sz="0" w:space="0" w:color="auto"/>
        <w:right w:val="none" w:sz="0" w:space="0" w:color="auto"/>
      </w:divBdr>
    </w:div>
    <w:div w:id="873930292">
      <w:bodyDiv w:val="1"/>
      <w:marLeft w:val="0"/>
      <w:marRight w:val="0"/>
      <w:marTop w:val="0"/>
      <w:marBottom w:val="0"/>
      <w:divBdr>
        <w:top w:val="none" w:sz="0" w:space="0" w:color="auto"/>
        <w:left w:val="none" w:sz="0" w:space="0" w:color="auto"/>
        <w:bottom w:val="none" w:sz="0" w:space="0" w:color="auto"/>
        <w:right w:val="none" w:sz="0" w:space="0" w:color="auto"/>
      </w:divBdr>
    </w:div>
    <w:div w:id="915364403">
      <w:bodyDiv w:val="1"/>
      <w:marLeft w:val="0"/>
      <w:marRight w:val="0"/>
      <w:marTop w:val="0"/>
      <w:marBottom w:val="0"/>
      <w:divBdr>
        <w:top w:val="none" w:sz="0" w:space="0" w:color="auto"/>
        <w:left w:val="none" w:sz="0" w:space="0" w:color="auto"/>
        <w:bottom w:val="none" w:sz="0" w:space="0" w:color="auto"/>
        <w:right w:val="none" w:sz="0" w:space="0" w:color="auto"/>
      </w:divBdr>
    </w:div>
    <w:div w:id="918101755">
      <w:bodyDiv w:val="1"/>
      <w:marLeft w:val="0"/>
      <w:marRight w:val="0"/>
      <w:marTop w:val="0"/>
      <w:marBottom w:val="0"/>
      <w:divBdr>
        <w:top w:val="none" w:sz="0" w:space="0" w:color="auto"/>
        <w:left w:val="none" w:sz="0" w:space="0" w:color="auto"/>
        <w:bottom w:val="none" w:sz="0" w:space="0" w:color="auto"/>
        <w:right w:val="none" w:sz="0" w:space="0" w:color="auto"/>
      </w:divBdr>
    </w:div>
    <w:div w:id="986012892">
      <w:bodyDiv w:val="1"/>
      <w:marLeft w:val="0"/>
      <w:marRight w:val="0"/>
      <w:marTop w:val="0"/>
      <w:marBottom w:val="0"/>
      <w:divBdr>
        <w:top w:val="none" w:sz="0" w:space="0" w:color="auto"/>
        <w:left w:val="none" w:sz="0" w:space="0" w:color="auto"/>
        <w:bottom w:val="none" w:sz="0" w:space="0" w:color="auto"/>
        <w:right w:val="none" w:sz="0" w:space="0" w:color="auto"/>
      </w:divBdr>
    </w:div>
    <w:div w:id="1000163325">
      <w:bodyDiv w:val="1"/>
      <w:marLeft w:val="0"/>
      <w:marRight w:val="0"/>
      <w:marTop w:val="0"/>
      <w:marBottom w:val="0"/>
      <w:divBdr>
        <w:top w:val="none" w:sz="0" w:space="0" w:color="auto"/>
        <w:left w:val="none" w:sz="0" w:space="0" w:color="auto"/>
        <w:bottom w:val="none" w:sz="0" w:space="0" w:color="auto"/>
        <w:right w:val="none" w:sz="0" w:space="0" w:color="auto"/>
      </w:divBdr>
    </w:div>
    <w:div w:id="1062027343">
      <w:bodyDiv w:val="1"/>
      <w:marLeft w:val="0"/>
      <w:marRight w:val="0"/>
      <w:marTop w:val="0"/>
      <w:marBottom w:val="0"/>
      <w:divBdr>
        <w:top w:val="none" w:sz="0" w:space="0" w:color="auto"/>
        <w:left w:val="none" w:sz="0" w:space="0" w:color="auto"/>
        <w:bottom w:val="none" w:sz="0" w:space="0" w:color="auto"/>
        <w:right w:val="none" w:sz="0" w:space="0" w:color="auto"/>
      </w:divBdr>
    </w:div>
    <w:div w:id="1072266332">
      <w:bodyDiv w:val="1"/>
      <w:marLeft w:val="0"/>
      <w:marRight w:val="0"/>
      <w:marTop w:val="0"/>
      <w:marBottom w:val="0"/>
      <w:divBdr>
        <w:top w:val="none" w:sz="0" w:space="0" w:color="auto"/>
        <w:left w:val="none" w:sz="0" w:space="0" w:color="auto"/>
        <w:bottom w:val="none" w:sz="0" w:space="0" w:color="auto"/>
        <w:right w:val="none" w:sz="0" w:space="0" w:color="auto"/>
      </w:divBdr>
    </w:div>
    <w:div w:id="1084061747">
      <w:bodyDiv w:val="1"/>
      <w:marLeft w:val="0"/>
      <w:marRight w:val="0"/>
      <w:marTop w:val="0"/>
      <w:marBottom w:val="0"/>
      <w:divBdr>
        <w:top w:val="none" w:sz="0" w:space="0" w:color="auto"/>
        <w:left w:val="none" w:sz="0" w:space="0" w:color="auto"/>
        <w:bottom w:val="none" w:sz="0" w:space="0" w:color="auto"/>
        <w:right w:val="none" w:sz="0" w:space="0" w:color="auto"/>
      </w:divBdr>
    </w:div>
    <w:div w:id="1100250177">
      <w:bodyDiv w:val="1"/>
      <w:marLeft w:val="0"/>
      <w:marRight w:val="0"/>
      <w:marTop w:val="0"/>
      <w:marBottom w:val="0"/>
      <w:divBdr>
        <w:top w:val="none" w:sz="0" w:space="0" w:color="auto"/>
        <w:left w:val="none" w:sz="0" w:space="0" w:color="auto"/>
        <w:bottom w:val="none" w:sz="0" w:space="0" w:color="auto"/>
        <w:right w:val="none" w:sz="0" w:space="0" w:color="auto"/>
      </w:divBdr>
    </w:div>
    <w:div w:id="1117598726">
      <w:bodyDiv w:val="1"/>
      <w:marLeft w:val="0"/>
      <w:marRight w:val="0"/>
      <w:marTop w:val="0"/>
      <w:marBottom w:val="0"/>
      <w:divBdr>
        <w:top w:val="none" w:sz="0" w:space="0" w:color="auto"/>
        <w:left w:val="none" w:sz="0" w:space="0" w:color="auto"/>
        <w:bottom w:val="none" w:sz="0" w:space="0" w:color="auto"/>
        <w:right w:val="none" w:sz="0" w:space="0" w:color="auto"/>
      </w:divBdr>
    </w:div>
    <w:div w:id="1134253204">
      <w:bodyDiv w:val="1"/>
      <w:marLeft w:val="0"/>
      <w:marRight w:val="0"/>
      <w:marTop w:val="0"/>
      <w:marBottom w:val="0"/>
      <w:divBdr>
        <w:top w:val="none" w:sz="0" w:space="0" w:color="auto"/>
        <w:left w:val="none" w:sz="0" w:space="0" w:color="auto"/>
        <w:bottom w:val="none" w:sz="0" w:space="0" w:color="auto"/>
        <w:right w:val="none" w:sz="0" w:space="0" w:color="auto"/>
      </w:divBdr>
    </w:div>
    <w:div w:id="1145659635">
      <w:bodyDiv w:val="1"/>
      <w:marLeft w:val="0"/>
      <w:marRight w:val="0"/>
      <w:marTop w:val="0"/>
      <w:marBottom w:val="0"/>
      <w:divBdr>
        <w:top w:val="none" w:sz="0" w:space="0" w:color="auto"/>
        <w:left w:val="none" w:sz="0" w:space="0" w:color="auto"/>
        <w:bottom w:val="none" w:sz="0" w:space="0" w:color="auto"/>
        <w:right w:val="none" w:sz="0" w:space="0" w:color="auto"/>
      </w:divBdr>
    </w:div>
    <w:div w:id="1251549164">
      <w:bodyDiv w:val="1"/>
      <w:marLeft w:val="0"/>
      <w:marRight w:val="0"/>
      <w:marTop w:val="0"/>
      <w:marBottom w:val="0"/>
      <w:divBdr>
        <w:top w:val="none" w:sz="0" w:space="0" w:color="auto"/>
        <w:left w:val="none" w:sz="0" w:space="0" w:color="auto"/>
        <w:bottom w:val="none" w:sz="0" w:space="0" w:color="auto"/>
        <w:right w:val="none" w:sz="0" w:space="0" w:color="auto"/>
      </w:divBdr>
    </w:div>
    <w:div w:id="1253658481">
      <w:bodyDiv w:val="1"/>
      <w:marLeft w:val="0"/>
      <w:marRight w:val="0"/>
      <w:marTop w:val="0"/>
      <w:marBottom w:val="0"/>
      <w:divBdr>
        <w:top w:val="none" w:sz="0" w:space="0" w:color="auto"/>
        <w:left w:val="none" w:sz="0" w:space="0" w:color="auto"/>
        <w:bottom w:val="none" w:sz="0" w:space="0" w:color="auto"/>
        <w:right w:val="none" w:sz="0" w:space="0" w:color="auto"/>
      </w:divBdr>
    </w:div>
    <w:div w:id="1287194662">
      <w:bodyDiv w:val="1"/>
      <w:marLeft w:val="0"/>
      <w:marRight w:val="0"/>
      <w:marTop w:val="0"/>
      <w:marBottom w:val="0"/>
      <w:divBdr>
        <w:top w:val="none" w:sz="0" w:space="0" w:color="auto"/>
        <w:left w:val="none" w:sz="0" w:space="0" w:color="auto"/>
        <w:bottom w:val="none" w:sz="0" w:space="0" w:color="auto"/>
        <w:right w:val="none" w:sz="0" w:space="0" w:color="auto"/>
      </w:divBdr>
    </w:div>
    <w:div w:id="1323310936">
      <w:bodyDiv w:val="1"/>
      <w:marLeft w:val="0"/>
      <w:marRight w:val="0"/>
      <w:marTop w:val="0"/>
      <w:marBottom w:val="0"/>
      <w:divBdr>
        <w:top w:val="none" w:sz="0" w:space="0" w:color="auto"/>
        <w:left w:val="none" w:sz="0" w:space="0" w:color="auto"/>
        <w:bottom w:val="none" w:sz="0" w:space="0" w:color="auto"/>
        <w:right w:val="none" w:sz="0" w:space="0" w:color="auto"/>
      </w:divBdr>
    </w:div>
    <w:div w:id="1386564416">
      <w:bodyDiv w:val="1"/>
      <w:marLeft w:val="0"/>
      <w:marRight w:val="0"/>
      <w:marTop w:val="0"/>
      <w:marBottom w:val="0"/>
      <w:divBdr>
        <w:top w:val="none" w:sz="0" w:space="0" w:color="auto"/>
        <w:left w:val="none" w:sz="0" w:space="0" w:color="auto"/>
        <w:bottom w:val="none" w:sz="0" w:space="0" w:color="auto"/>
        <w:right w:val="none" w:sz="0" w:space="0" w:color="auto"/>
      </w:divBdr>
    </w:div>
    <w:div w:id="1496460746">
      <w:bodyDiv w:val="1"/>
      <w:marLeft w:val="0"/>
      <w:marRight w:val="0"/>
      <w:marTop w:val="0"/>
      <w:marBottom w:val="0"/>
      <w:divBdr>
        <w:top w:val="none" w:sz="0" w:space="0" w:color="auto"/>
        <w:left w:val="none" w:sz="0" w:space="0" w:color="auto"/>
        <w:bottom w:val="none" w:sz="0" w:space="0" w:color="auto"/>
        <w:right w:val="none" w:sz="0" w:space="0" w:color="auto"/>
      </w:divBdr>
    </w:div>
    <w:div w:id="1501895946">
      <w:bodyDiv w:val="1"/>
      <w:marLeft w:val="0"/>
      <w:marRight w:val="0"/>
      <w:marTop w:val="0"/>
      <w:marBottom w:val="0"/>
      <w:divBdr>
        <w:top w:val="none" w:sz="0" w:space="0" w:color="auto"/>
        <w:left w:val="none" w:sz="0" w:space="0" w:color="auto"/>
        <w:bottom w:val="none" w:sz="0" w:space="0" w:color="auto"/>
        <w:right w:val="none" w:sz="0" w:space="0" w:color="auto"/>
      </w:divBdr>
    </w:div>
    <w:div w:id="1504012727">
      <w:bodyDiv w:val="1"/>
      <w:marLeft w:val="0"/>
      <w:marRight w:val="0"/>
      <w:marTop w:val="0"/>
      <w:marBottom w:val="0"/>
      <w:divBdr>
        <w:top w:val="none" w:sz="0" w:space="0" w:color="auto"/>
        <w:left w:val="none" w:sz="0" w:space="0" w:color="auto"/>
        <w:bottom w:val="none" w:sz="0" w:space="0" w:color="auto"/>
        <w:right w:val="none" w:sz="0" w:space="0" w:color="auto"/>
      </w:divBdr>
    </w:div>
    <w:div w:id="1518077742">
      <w:bodyDiv w:val="1"/>
      <w:marLeft w:val="0"/>
      <w:marRight w:val="0"/>
      <w:marTop w:val="0"/>
      <w:marBottom w:val="0"/>
      <w:divBdr>
        <w:top w:val="none" w:sz="0" w:space="0" w:color="auto"/>
        <w:left w:val="none" w:sz="0" w:space="0" w:color="auto"/>
        <w:bottom w:val="none" w:sz="0" w:space="0" w:color="auto"/>
        <w:right w:val="none" w:sz="0" w:space="0" w:color="auto"/>
      </w:divBdr>
    </w:div>
    <w:div w:id="1603486544">
      <w:bodyDiv w:val="1"/>
      <w:marLeft w:val="0"/>
      <w:marRight w:val="0"/>
      <w:marTop w:val="0"/>
      <w:marBottom w:val="0"/>
      <w:divBdr>
        <w:top w:val="none" w:sz="0" w:space="0" w:color="auto"/>
        <w:left w:val="none" w:sz="0" w:space="0" w:color="auto"/>
        <w:bottom w:val="none" w:sz="0" w:space="0" w:color="auto"/>
        <w:right w:val="none" w:sz="0" w:space="0" w:color="auto"/>
      </w:divBdr>
    </w:div>
    <w:div w:id="1627391969">
      <w:bodyDiv w:val="1"/>
      <w:marLeft w:val="0"/>
      <w:marRight w:val="0"/>
      <w:marTop w:val="0"/>
      <w:marBottom w:val="0"/>
      <w:divBdr>
        <w:top w:val="none" w:sz="0" w:space="0" w:color="auto"/>
        <w:left w:val="none" w:sz="0" w:space="0" w:color="auto"/>
        <w:bottom w:val="none" w:sz="0" w:space="0" w:color="auto"/>
        <w:right w:val="none" w:sz="0" w:space="0" w:color="auto"/>
      </w:divBdr>
    </w:div>
    <w:div w:id="1635256339">
      <w:bodyDiv w:val="1"/>
      <w:marLeft w:val="0"/>
      <w:marRight w:val="0"/>
      <w:marTop w:val="0"/>
      <w:marBottom w:val="0"/>
      <w:divBdr>
        <w:top w:val="none" w:sz="0" w:space="0" w:color="auto"/>
        <w:left w:val="none" w:sz="0" w:space="0" w:color="auto"/>
        <w:bottom w:val="none" w:sz="0" w:space="0" w:color="auto"/>
        <w:right w:val="none" w:sz="0" w:space="0" w:color="auto"/>
      </w:divBdr>
    </w:div>
    <w:div w:id="1660965550">
      <w:bodyDiv w:val="1"/>
      <w:marLeft w:val="0"/>
      <w:marRight w:val="0"/>
      <w:marTop w:val="0"/>
      <w:marBottom w:val="0"/>
      <w:divBdr>
        <w:top w:val="none" w:sz="0" w:space="0" w:color="auto"/>
        <w:left w:val="none" w:sz="0" w:space="0" w:color="auto"/>
        <w:bottom w:val="none" w:sz="0" w:space="0" w:color="auto"/>
        <w:right w:val="none" w:sz="0" w:space="0" w:color="auto"/>
      </w:divBdr>
    </w:div>
    <w:div w:id="1673219554">
      <w:bodyDiv w:val="1"/>
      <w:marLeft w:val="0"/>
      <w:marRight w:val="0"/>
      <w:marTop w:val="0"/>
      <w:marBottom w:val="0"/>
      <w:divBdr>
        <w:top w:val="none" w:sz="0" w:space="0" w:color="auto"/>
        <w:left w:val="none" w:sz="0" w:space="0" w:color="auto"/>
        <w:bottom w:val="none" w:sz="0" w:space="0" w:color="auto"/>
        <w:right w:val="none" w:sz="0" w:space="0" w:color="auto"/>
      </w:divBdr>
    </w:div>
    <w:div w:id="1706252221">
      <w:bodyDiv w:val="1"/>
      <w:marLeft w:val="0"/>
      <w:marRight w:val="0"/>
      <w:marTop w:val="0"/>
      <w:marBottom w:val="0"/>
      <w:divBdr>
        <w:top w:val="none" w:sz="0" w:space="0" w:color="auto"/>
        <w:left w:val="none" w:sz="0" w:space="0" w:color="auto"/>
        <w:bottom w:val="none" w:sz="0" w:space="0" w:color="auto"/>
        <w:right w:val="none" w:sz="0" w:space="0" w:color="auto"/>
      </w:divBdr>
    </w:div>
    <w:div w:id="1769041045">
      <w:bodyDiv w:val="1"/>
      <w:marLeft w:val="0"/>
      <w:marRight w:val="0"/>
      <w:marTop w:val="0"/>
      <w:marBottom w:val="0"/>
      <w:divBdr>
        <w:top w:val="none" w:sz="0" w:space="0" w:color="auto"/>
        <w:left w:val="none" w:sz="0" w:space="0" w:color="auto"/>
        <w:bottom w:val="none" w:sz="0" w:space="0" w:color="auto"/>
        <w:right w:val="none" w:sz="0" w:space="0" w:color="auto"/>
      </w:divBdr>
    </w:div>
    <w:div w:id="1816410624">
      <w:bodyDiv w:val="1"/>
      <w:marLeft w:val="0"/>
      <w:marRight w:val="0"/>
      <w:marTop w:val="0"/>
      <w:marBottom w:val="0"/>
      <w:divBdr>
        <w:top w:val="none" w:sz="0" w:space="0" w:color="auto"/>
        <w:left w:val="none" w:sz="0" w:space="0" w:color="auto"/>
        <w:bottom w:val="none" w:sz="0" w:space="0" w:color="auto"/>
        <w:right w:val="none" w:sz="0" w:space="0" w:color="auto"/>
      </w:divBdr>
    </w:div>
    <w:div w:id="1842112478">
      <w:bodyDiv w:val="1"/>
      <w:marLeft w:val="0"/>
      <w:marRight w:val="0"/>
      <w:marTop w:val="0"/>
      <w:marBottom w:val="0"/>
      <w:divBdr>
        <w:top w:val="none" w:sz="0" w:space="0" w:color="auto"/>
        <w:left w:val="none" w:sz="0" w:space="0" w:color="auto"/>
        <w:bottom w:val="none" w:sz="0" w:space="0" w:color="auto"/>
        <w:right w:val="none" w:sz="0" w:space="0" w:color="auto"/>
      </w:divBdr>
    </w:div>
    <w:div w:id="1988823382">
      <w:bodyDiv w:val="1"/>
      <w:marLeft w:val="0"/>
      <w:marRight w:val="0"/>
      <w:marTop w:val="0"/>
      <w:marBottom w:val="0"/>
      <w:divBdr>
        <w:top w:val="none" w:sz="0" w:space="0" w:color="auto"/>
        <w:left w:val="none" w:sz="0" w:space="0" w:color="auto"/>
        <w:bottom w:val="none" w:sz="0" w:space="0" w:color="auto"/>
        <w:right w:val="none" w:sz="0" w:space="0" w:color="auto"/>
      </w:divBdr>
    </w:div>
    <w:div w:id="2023192744">
      <w:bodyDiv w:val="1"/>
      <w:marLeft w:val="0"/>
      <w:marRight w:val="0"/>
      <w:marTop w:val="0"/>
      <w:marBottom w:val="0"/>
      <w:divBdr>
        <w:top w:val="none" w:sz="0" w:space="0" w:color="auto"/>
        <w:left w:val="none" w:sz="0" w:space="0" w:color="auto"/>
        <w:bottom w:val="none" w:sz="0" w:space="0" w:color="auto"/>
        <w:right w:val="none" w:sz="0" w:space="0" w:color="auto"/>
      </w:divBdr>
    </w:div>
    <w:div w:id="21467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6.pn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emf"/><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hyperlink" Target="http://www.cdc.gov/malaria/resources/pdf/treatmenttable.pdf" TargetMode="External"/><Relationship Id="rId66" Type="http://schemas.openxmlformats.org/officeDocument/2006/relationships/hyperlink" Target="https://www.tga.gov.au" TargetMode="Externa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hyperlink" Target="http://www.who.int/malaria/publications/world_malaria_report_2014/wmr-2014-no-profiles.pdf?ua=1" TargetMode="External"/><Relationship Id="rId61"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hyperlink" Target="https://www.ncbi.nlm.nih.gov/pubmed/?term=Llanos-Cuentas%20A%5BAuthor%5D&amp;cauthor=true&amp;cauthor_uid=24360369" TargetMode="External"/><Relationship Id="rId65" Type="http://schemas.openxmlformats.org/officeDocument/2006/relationships/hyperlink" Target="mailto:info@tga.gov.au" TargetMode="External"/><Relationship Id="rId73" Type="http://schemas.openxmlformats.org/officeDocument/2006/relationships/theme" Target="theme/theme1.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4.wdp"/><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footer" Target="footer2.xml"/><Relationship Id="rId69" Type="http://schemas.openxmlformats.org/officeDocument/2006/relationships/footer" Target="footer3.xm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yperlink" Target="https://www.fda.gov/OHRMS/DOCKETS/98fr/07d-0212-gdl0001.pdf" TargetMode="External"/><Relationship Id="rId67" Type="http://schemas.openxmlformats.org/officeDocument/2006/relationships/header" Target="header6.xml"/><Relationship Id="rId20" Type="http://schemas.microsoft.com/office/2007/relationships/hdphoto" Target="media/hdphoto3.wdp"/><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header" Target="header4.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9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F7D0B-831E-4D88-B822-6F9DAF30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162</TotalTime>
  <Pages>91</Pages>
  <Words>29998</Words>
  <Characters>170991</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Attachment: Extract from Clinical Evaluation: Tafenoquine </vt:lpstr>
    </vt:vector>
  </TitlesOfParts>
  <Company>Department of Health TGA</Company>
  <LinksUpToDate>false</LinksUpToDate>
  <CharactersWithSpaces>200588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Tafenoquine </dc:title>
  <dc:subject>prescription medicines</dc:subject>
  <dc:creator>Therapeutic Goods Administration</dc:creator>
  <cp:keywords>AusPARs</cp:keywords>
  <cp:lastModifiedBy>LACK, Janet</cp:lastModifiedBy>
  <cp:revision>6</cp:revision>
  <cp:lastPrinted>2018-11-19T23:20:00Z</cp:lastPrinted>
  <dcterms:created xsi:type="dcterms:W3CDTF">2019-06-25T01:40:00Z</dcterms:created>
  <dcterms:modified xsi:type="dcterms:W3CDTF">2019-06-26T23:31:00Z</dcterms:modified>
</cp:coreProperties>
</file>