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5978D" w14:textId="77777777" w:rsidR="001D0FDF" w:rsidRPr="00F16A76" w:rsidRDefault="001D0FDF" w:rsidP="0069092D">
      <w:pPr>
        <w:rPr>
          <w:rFonts w:ascii="Times New Roman" w:eastAsia="SimSun" w:hAnsi="Times New Roman" w:cs="Times New Roman"/>
          <w:b/>
          <w:caps/>
        </w:rPr>
      </w:pPr>
      <w:r w:rsidRPr="00F16A76">
        <w:rPr>
          <w:rFonts w:ascii="Times New Roman" w:hAnsi="Times New Roman" w:cs="Times New Roman"/>
          <w:b/>
          <w:caps/>
          <w:noProof/>
          <w:lang w:eastAsia="en-AU"/>
        </w:rPr>
        <w:drawing>
          <wp:inline distT="0" distB="0" distL="0" distR="0" wp14:anchorId="46BF4D8A" wp14:editId="340E7C7A">
            <wp:extent cx="285750" cy="285750"/>
            <wp:effectExtent l="0" t="0" r="0" b="0"/>
            <wp:docPr id="2" name="Picture 2" descr="black triang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ck triangle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F16A76">
        <w:rPr>
          <w:rFonts w:ascii="Times New Roman" w:hAnsi="Times New Roman" w:cs="Times New Roman"/>
          <w:b/>
          <w:caps/>
        </w:rPr>
        <w:t xml:space="preserve">This medicinal product is subject to additional monitoring in Australia. This will allow quick identification of new safety information. Healthcare professionals are asked to report any suspected adverse events at </w:t>
      </w:r>
      <w:hyperlink r:id="rId10" w:history="1">
        <w:r w:rsidRPr="00F16A76">
          <w:rPr>
            <w:rStyle w:val="Hyperlink"/>
            <w:rFonts w:ascii="Times New Roman" w:eastAsia="SimSun" w:hAnsi="Times New Roman" w:cs="Times New Roman"/>
            <w:b/>
            <w:caps/>
          </w:rPr>
          <w:t>www.tga.gov.au/reporting-problems</w:t>
        </w:r>
      </w:hyperlink>
      <w:r w:rsidRPr="00F16A76">
        <w:rPr>
          <w:rFonts w:ascii="Times New Roman" w:eastAsia="SimSun" w:hAnsi="Times New Roman" w:cs="Times New Roman"/>
          <w:b/>
          <w:caps/>
        </w:rPr>
        <w:t>.</w:t>
      </w:r>
    </w:p>
    <w:p w14:paraId="0EA3B64C" w14:textId="77777777" w:rsidR="004032BD" w:rsidRPr="00F16A76" w:rsidRDefault="004032BD" w:rsidP="009F52D5">
      <w:pPr>
        <w:pStyle w:val="Heading1"/>
        <w:numPr>
          <w:ilvl w:val="0"/>
          <w:numId w:val="0"/>
        </w:numPr>
        <w:spacing w:after="240" w:line="240" w:lineRule="auto"/>
        <w:rPr>
          <w:rFonts w:ascii="Times New Roman" w:eastAsia="SimSun" w:hAnsi="Times New Roman" w:cs="Times New Roman"/>
        </w:rPr>
      </w:pPr>
      <w:r w:rsidRPr="00F16A76">
        <w:rPr>
          <w:rFonts w:ascii="Times New Roman" w:eastAsia="SimSun" w:hAnsi="Times New Roman" w:cs="Times New Roman"/>
        </w:rPr>
        <w:t xml:space="preserve">Australian PI – </w:t>
      </w:r>
      <w:r w:rsidR="00793D1B" w:rsidRPr="00F16A76">
        <w:rPr>
          <w:rFonts w:ascii="Times New Roman" w:eastAsia="SimSun" w:hAnsi="Times New Roman" w:cs="Times New Roman"/>
        </w:rPr>
        <w:t xml:space="preserve">kodatef® </w:t>
      </w:r>
      <w:r w:rsidRPr="00F16A76">
        <w:rPr>
          <w:rFonts w:ascii="Times New Roman" w:eastAsia="SimSun" w:hAnsi="Times New Roman" w:cs="Times New Roman"/>
        </w:rPr>
        <w:t>(</w:t>
      </w:r>
      <w:r w:rsidR="00793D1B" w:rsidRPr="00F16A76">
        <w:rPr>
          <w:rFonts w:ascii="Times New Roman" w:eastAsia="SimSun" w:hAnsi="Times New Roman" w:cs="Times New Roman"/>
        </w:rPr>
        <w:t>tafenoquine succinate</w:t>
      </w:r>
      <w:r w:rsidRPr="00F16A76">
        <w:rPr>
          <w:rFonts w:ascii="Times New Roman" w:eastAsia="SimSun" w:hAnsi="Times New Roman" w:cs="Times New Roman"/>
        </w:rPr>
        <w:t>)</w:t>
      </w:r>
      <w:r w:rsidR="00497C85" w:rsidRPr="00F16A76">
        <w:rPr>
          <w:rFonts w:ascii="Times New Roman" w:eastAsia="SimSun" w:hAnsi="Times New Roman" w:cs="Times New Roman"/>
        </w:rPr>
        <w:t xml:space="preserve"> </w:t>
      </w:r>
      <w:r w:rsidR="00793D1B" w:rsidRPr="00F16A76">
        <w:rPr>
          <w:rFonts w:ascii="Times New Roman" w:eastAsia="SimSun" w:hAnsi="Times New Roman" w:cs="Times New Roman"/>
        </w:rPr>
        <w:t>oral tablet</w:t>
      </w:r>
      <w:r w:rsidR="002225DA">
        <w:rPr>
          <w:rFonts w:ascii="Times New Roman" w:eastAsia="SimSun" w:hAnsi="Times New Roman" w:cs="Times New Roman"/>
        </w:rPr>
        <w:t>s</w:t>
      </w:r>
    </w:p>
    <w:p w14:paraId="39952C52" w14:textId="77777777" w:rsidR="001A3992" w:rsidRPr="00F16A76" w:rsidRDefault="001A3992" w:rsidP="009F52D5">
      <w:pPr>
        <w:pStyle w:val="Heading1"/>
        <w:spacing w:before="0" w:after="120" w:line="240" w:lineRule="auto"/>
        <w:ind w:left="431" w:hanging="431"/>
        <w:rPr>
          <w:rFonts w:ascii="Times New Roman" w:hAnsi="Times New Roman" w:cs="Times New Roman"/>
        </w:rPr>
      </w:pPr>
      <w:r w:rsidRPr="00F16A76">
        <w:rPr>
          <w:rFonts w:ascii="Times New Roman" w:hAnsi="Times New Roman" w:cs="Times New Roman"/>
        </w:rPr>
        <w:t>Name of the medicine</w:t>
      </w:r>
    </w:p>
    <w:p w14:paraId="2AD20DCC" w14:textId="77777777" w:rsidR="00793D1B" w:rsidRPr="00F16A76" w:rsidRDefault="00793D1B" w:rsidP="009F52D5">
      <w:pPr>
        <w:spacing w:line="240" w:lineRule="auto"/>
        <w:rPr>
          <w:rFonts w:ascii="Times New Roman" w:hAnsi="Times New Roman" w:cs="Times New Roman"/>
        </w:rPr>
      </w:pPr>
      <w:proofErr w:type="spellStart"/>
      <w:proofErr w:type="gramStart"/>
      <w:r w:rsidRPr="00F16A76">
        <w:rPr>
          <w:rFonts w:ascii="Times New Roman" w:hAnsi="Times New Roman" w:cs="Times New Roman"/>
        </w:rPr>
        <w:t>Tafenoquine</w:t>
      </w:r>
      <w:proofErr w:type="spellEnd"/>
      <w:r w:rsidRPr="00F16A76">
        <w:rPr>
          <w:rFonts w:ascii="Times New Roman" w:hAnsi="Times New Roman" w:cs="Times New Roman"/>
        </w:rPr>
        <w:t xml:space="preserve"> succinate</w:t>
      </w:r>
      <w:r w:rsidR="007615AF" w:rsidRPr="00F16A76">
        <w:rPr>
          <w:rFonts w:ascii="Times New Roman" w:hAnsi="Times New Roman" w:cs="Times New Roman"/>
        </w:rPr>
        <w:t>.</w:t>
      </w:r>
      <w:proofErr w:type="gramEnd"/>
      <w:r w:rsidRPr="00F16A76">
        <w:rPr>
          <w:rFonts w:ascii="Times New Roman" w:hAnsi="Times New Roman" w:cs="Times New Roman"/>
        </w:rPr>
        <w:t xml:space="preserve"> </w:t>
      </w:r>
    </w:p>
    <w:p w14:paraId="576813F0" w14:textId="77777777" w:rsidR="001A3992" w:rsidRPr="00F16A76" w:rsidRDefault="001A3992" w:rsidP="009F52D5">
      <w:pPr>
        <w:pStyle w:val="Heading1"/>
        <w:spacing w:before="0" w:after="120" w:line="240" w:lineRule="auto"/>
        <w:rPr>
          <w:rFonts w:ascii="Times New Roman" w:hAnsi="Times New Roman" w:cs="Times New Roman"/>
        </w:rPr>
      </w:pPr>
      <w:r w:rsidRPr="00F16A76">
        <w:rPr>
          <w:rFonts w:ascii="Times New Roman" w:hAnsi="Times New Roman" w:cs="Times New Roman"/>
        </w:rPr>
        <w:t>Qualitative and quantitative composition</w:t>
      </w:r>
    </w:p>
    <w:p w14:paraId="4ED1CD4E" w14:textId="77777777" w:rsidR="00B6263B" w:rsidRPr="00F16A76" w:rsidRDefault="00B6263B" w:rsidP="009F52D5">
      <w:pPr>
        <w:pStyle w:val="BodyText"/>
        <w:spacing w:before="0" w:after="200"/>
        <w:ind w:left="0"/>
        <w:rPr>
          <w:sz w:val="22"/>
          <w:szCs w:val="22"/>
          <w:lang w:val="en-US"/>
        </w:rPr>
      </w:pPr>
      <w:r w:rsidRPr="00F16A76">
        <w:rPr>
          <w:sz w:val="22"/>
          <w:szCs w:val="22"/>
          <w:lang w:val="en-US"/>
        </w:rPr>
        <w:t xml:space="preserve">KODATEF tablets contain 125.5 mg/tablet of </w:t>
      </w:r>
      <w:r w:rsidR="00903A3E" w:rsidRPr="00F16A76">
        <w:rPr>
          <w:sz w:val="22"/>
          <w:szCs w:val="22"/>
          <w:lang w:val="en-US"/>
        </w:rPr>
        <w:t xml:space="preserve">the active ingredient </w:t>
      </w:r>
      <w:proofErr w:type="spellStart"/>
      <w:r w:rsidR="00903A3E" w:rsidRPr="00F16A76">
        <w:rPr>
          <w:sz w:val="22"/>
          <w:szCs w:val="22"/>
          <w:lang w:val="en-US"/>
        </w:rPr>
        <w:t>tafenoquine</w:t>
      </w:r>
      <w:proofErr w:type="spellEnd"/>
      <w:r w:rsidR="00903A3E" w:rsidRPr="00F16A76">
        <w:rPr>
          <w:sz w:val="22"/>
          <w:szCs w:val="22"/>
          <w:lang w:val="en-US"/>
        </w:rPr>
        <w:t xml:space="preserve"> succinate </w:t>
      </w:r>
      <w:r w:rsidR="00FF28D0" w:rsidRPr="00F16A76">
        <w:rPr>
          <w:sz w:val="22"/>
          <w:szCs w:val="22"/>
          <w:lang w:val="en-US"/>
        </w:rPr>
        <w:t xml:space="preserve">equivalent to 100 mg of </w:t>
      </w:r>
      <w:proofErr w:type="spellStart"/>
      <w:r w:rsidR="00FF28D0" w:rsidRPr="00F16A76">
        <w:rPr>
          <w:sz w:val="22"/>
          <w:szCs w:val="22"/>
          <w:lang w:val="en-US"/>
        </w:rPr>
        <w:t>tafenoquine</w:t>
      </w:r>
      <w:proofErr w:type="spellEnd"/>
      <w:r w:rsidR="00FF28D0" w:rsidRPr="00F16A76">
        <w:rPr>
          <w:sz w:val="22"/>
          <w:szCs w:val="22"/>
          <w:lang w:val="en-US"/>
        </w:rPr>
        <w:t xml:space="preserve"> free base</w:t>
      </w:r>
      <w:r w:rsidR="007615AF" w:rsidRPr="00F16A76">
        <w:rPr>
          <w:sz w:val="22"/>
          <w:szCs w:val="22"/>
          <w:lang w:val="en-US"/>
        </w:rPr>
        <w:t>.</w:t>
      </w:r>
    </w:p>
    <w:p w14:paraId="61BE117C" w14:textId="77777777" w:rsidR="00B6263B" w:rsidRPr="00F16A76" w:rsidRDefault="00903A3E" w:rsidP="009F52D5">
      <w:pPr>
        <w:pStyle w:val="BodyText"/>
        <w:spacing w:before="0" w:after="200"/>
        <w:ind w:left="0"/>
        <w:rPr>
          <w:spacing w:val="-4"/>
          <w:sz w:val="22"/>
          <w:szCs w:val="22"/>
          <w:lang w:val="en-AU"/>
        </w:rPr>
      </w:pPr>
      <w:proofErr w:type="spellStart"/>
      <w:r w:rsidRPr="00F16A76">
        <w:rPr>
          <w:sz w:val="22"/>
          <w:lang w:val="en-US"/>
        </w:rPr>
        <w:t>T</w:t>
      </w:r>
      <w:r w:rsidR="00B6263B" w:rsidRPr="00F16A76">
        <w:rPr>
          <w:sz w:val="22"/>
          <w:lang w:val="en-US"/>
        </w:rPr>
        <w:t>afenoquine</w:t>
      </w:r>
      <w:proofErr w:type="spellEnd"/>
      <w:r w:rsidR="00B6263B" w:rsidRPr="00F16A76">
        <w:rPr>
          <w:sz w:val="22"/>
          <w:lang w:val="en-US"/>
        </w:rPr>
        <w:t xml:space="preserve"> succinate, is an off-white to pink/orange/brown crystalline powder</w:t>
      </w:r>
      <w:r w:rsidR="007F0E4E" w:rsidRPr="00F16A76">
        <w:rPr>
          <w:sz w:val="22"/>
          <w:lang w:val="en-US"/>
        </w:rPr>
        <w:t xml:space="preserve"> and</w:t>
      </w:r>
      <w:r w:rsidR="00A46655">
        <w:rPr>
          <w:spacing w:val="-4"/>
          <w:sz w:val="22"/>
          <w:lang w:val="en-US"/>
        </w:rPr>
        <w:t xml:space="preserve"> </w:t>
      </w:r>
      <w:r w:rsidR="00B6263B" w:rsidRPr="00F16A76">
        <w:rPr>
          <w:spacing w:val="-4"/>
          <w:sz w:val="22"/>
          <w:lang w:val="en-AU"/>
        </w:rPr>
        <w:t>exhibits the highest solubility at pH 1 (25°C and 37°C), pH 2 (37°C) and pH 4 (37°C), and negligible solubility at all other tested pH values at 25°C and 37°C</w:t>
      </w:r>
      <w:r w:rsidR="00B6263B" w:rsidRPr="00F16A76">
        <w:rPr>
          <w:spacing w:val="-4"/>
          <w:sz w:val="22"/>
          <w:szCs w:val="22"/>
          <w:lang w:val="en-AU"/>
        </w:rPr>
        <w:t>.</w:t>
      </w:r>
    </w:p>
    <w:p w14:paraId="53B1AE51" w14:textId="77777777" w:rsidR="00497C85" w:rsidRPr="00F16A76" w:rsidRDefault="00497C85" w:rsidP="009F52D5">
      <w:pPr>
        <w:spacing w:line="240" w:lineRule="auto"/>
        <w:rPr>
          <w:rFonts w:ascii="Times New Roman" w:hAnsi="Times New Roman" w:cs="Times New Roman"/>
        </w:rPr>
      </w:pPr>
      <w:r w:rsidRPr="00F16A76">
        <w:rPr>
          <w:rFonts w:ascii="Times New Roman" w:hAnsi="Times New Roman" w:cs="Times New Roman"/>
        </w:rPr>
        <w:t xml:space="preserve">For the full list of excipients, see </w:t>
      </w:r>
      <w:r w:rsidR="0010244A">
        <w:rPr>
          <w:rFonts w:ascii="Times New Roman" w:hAnsi="Times New Roman" w:cs="Times New Roman"/>
        </w:rPr>
        <w:t>subs</w:t>
      </w:r>
      <w:r w:rsidRPr="00F16A76">
        <w:rPr>
          <w:rFonts w:ascii="Times New Roman" w:hAnsi="Times New Roman" w:cs="Times New Roman"/>
        </w:rPr>
        <w:t xml:space="preserve">ection 6.1 </w:t>
      </w:r>
      <w:r w:rsidR="0010244A">
        <w:rPr>
          <w:rFonts w:ascii="Times New Roman" w:hAnsi="Times New Roman" w:cs="Times New Roman"/>
        </w:rPr>
        <w:t>LIST OF EXCIPIENTS</w:t>
      </w:r>
      <w:r w:rsidRPr="00F16A76">
        <w:rPr>
          <w:rFonts w:ascii="Times New Roman" w:hAnsi="Times New Roman" w:cs="Times New Roman"/>
        </w:rPr>
        <w:t xml:space="preserve">. </w:t>
      </w:r>
    </w:p>
    <w:p w14:paraId="62794552" w14:textId="77777777" w:rsidR="001A3992" w:rsidRPr="00F16A76" w:rsidRDefault="001A3992" w:rsidP="009F52D5">
      <w:pPr>
        <w:pStyle w:val="Heading1"/>
        <w:spacing w:before="0" w:after="120" w:line="240" w:lineRule="auto"/>
        <w:rPr>
          <w:rFonts w:ascii="Times New Roman" w:hAnsi="Times New Roman" w:cs="Times New Roman"/>
        </w:rPr>
      </w:pPr>
      <w:r w:rsidRPr="00F16A76">
        <w:rPr>
          <w:rFonts w:ascii="Times New Roman" w:hAnsi="Times New Roman" w:cs="Times New Roman"/>
        </w:rPr>
        <w:t>Pharmaceutical form</w:t>
      </w:r>
    </w:p>
    <w:p w14:paraId="61654A35" w14:textId="77777777" w:rsidR="00FF28D0" w:rsidRPr="00F16A76" w:rsidRDefault="00FF28D0" w:rsidP="009F52D5">
      <w:pPr>
        <w:tabs>
          <w:tab w:val="left" w:pos="7797"/>
          <w:tab w:val="left" w:pos="8080"/>
          <w:tab w:val="left" w:pos="8222"/>
        </w:tabs>
        <w:kinsoku w:val="0"/>
        <w:overflowPunct w:val="0"/>
        <w:autoSpaceDE w:val="0"/>
        <w:autoSpaceDN w:val="0"/>
        <w:adjustRightInd w:val="0"/>
        <w:spacing w:line="240" w:lineRule="auto"/>
        <w:ind w:right="17"/>
        <w:rPr>
          <w:rFonts w:ascii="Times New Roman" w:hAnsi="Times New Roman" w:cs="Times New Roman"/>
        </w:rPr>
      </w:pPr>
      <w:r w:rsidRPr="00F16A76">
        <w:rPr>
          <w:rFonts w:ascii="Times New Roman" w:hAnsi="Times New Roman" w:cs="Times New Roman"/>
          <w:iCs/>
          <w:color w:val="000000"/>
          <w:szCs w:val="24"/>
          <w:lang w:val="en-US"/>
        </w:rPr>
        <w:t>Each KODATEF tablet is a dark pink, caps</w:t>
      </w:r>
      <w:r w:rsidR="001D7CF8" w:rsidRPr="00F16A76">
        <w:rPr>
          <w:rFonts w:ascii="Times New Roman" w:hAnsi="Times New Roman" w:cs="Times New Roman"/>
          <w:iCs/>
          <w:color w:val="000000"/>
          <w:szCs w:val="24"/>
          <w:lang w:val="en-US"/>
        </w:rPr>
        <w:t xml:space="preserve">ule shaped, film coated tablet </w:t>
      </w:r>
      <w:r w:rsidR="001D7CF8" w:rsidRPr="00F16A76">
        <w:rPr>
          <w:rFonts w:ascii="Times New Roman" w:hAnsi="Times New Roman" w:cs="Times New Roman"/>
          <w:iCs/>
          <w:color w:val="000000" w:themeColor="text1"/>
          <w:szCs w:val="24"/>
          <w:lang w:val="en-US"/>
        </w:rPr>
        <w:t>for oral administration.</w:t>
      </w:r>
    </w:p>
    <w:p w14:paraId="05DCB0EB" w14:textId="77777777" w:rsidR="001A3992" w:rsidRPr="00F16A76" w:rsidRDefault="001A3992" w:rsidP="009F52D5">
      <w:pPr>
        <w:pStyle w:val="Heading1"/>
        <w:spacing w:before="0" w:after="120" w:line="240" w:lineRule="auto"/>
        <w:rPr>
          <w:rFonts w:ascii="Times New Roman" w:hAnsi="Times New Roman" w:cs="Times New Roman"/>
        </w:rPr>
      </w:pPr>
      <w:r w:rsidRPr="00F16A76">
        <w:rPr>
          <w:rFonts w:ascii="Times New Roman" w:hAnsi="Times New Roman" w:cs="Times New Roman"/>
        </w:rPr>
        <w:t>Clinical particulars</w:t>
      </w:r>
    </w:p>
    <w:p w14:paraId="7E7BDCCB" w14:textId="77777777" w:rsidR="001A3992" w:rsidRPr="00F16A76" w:rsidRDefault="001A3992" w:rsidP="009F52D5">
      <w:pPr>
        <w:pStyle w:val="Heading2"/>
        <w:spacing w:before="0" w:after="120" w:line="240" w:lineRule="auto"/>
        <w:rPr>
          <w:rFonts w:ascii="Times New Roman" w:hAnsi="Times New Roman" w:cs="Times New Roman"/>
        </w:rPr>
      </w:pPr>
      <w:r w:rsidRPr="00F16A76">
        <w:rPr>
          <w:rFonts w:ascii="Times New Roman" w:hAnsi="Times New Roman" w:cs="Times New Roman"/>
        </w:rPr>
        <w:t xml:space="preserve">Therapeutic indications </w:t>
      </w:r>
    </w:p>
    <w:p w14:paraId="70D24524" w14:textId="77777777" w:rsidR="007F092B" w:rsidRPr="00F16A76" w:rsidRDefault="007F092B" w:rsidP="0069092D">
      <w:pPr>
        <w:pStyle w:val="BodyText"/>
        <w:spacing w:before="0" w:after="200"/>
        <w:ind w:left="0"/>
        <w:outlineLvl w:val="2"/>
        <w:rPr>
          <w:b/>
          <w:bCs/>
          <w:i/>
          <w:iCs/>
          <w:sz w:val="22"/>
          <w:szCs w:val="22"/>
          <w:lang w:val="en-US"/>
        </w:rPr>
      </w:pPr>
      <w:r w:rsidRPr="00F16A76">
        <w:rPr>
          <w:b/>
          <w:bCs/>
          <w:i/>
          <w:iCs/>
          <w:sz w:val="22"/>
          <w:szCs w:val="22"/>
          <w:lang w:val="en-US"/>
        </w:rPr>
        <w:t>Malaria Prophylaxis</w:t>
      </w:r>
    </w:p>
    <w:p w14:paraId="4DB35769" w14:textId="77777777" w:rsidR="007F092B" w:rsidRPr="00F16A76" w:rsidRDefault="007F092B" w:rsidP="009F52D5">
      <w:pPr>
        <w:pStyle w:val="BodyText"/>
        <w:spacing w:before="0" w:after="200"/>
        <w:ind w:left="0"/>
        <w:rPr>
          <w:color w:val="000000" w:themeColor="text1"/>
          <w:sz w:val="22"/>
          <w:szCs w:val="22"/>
          <w:lang w:val="en-US" w:eastAsia="en-AU"/>
        </w:rPr>
      </w:pPr>
      <w:r w:rsidRPr="00F16A76">
        <w:rPr>
          <w:color w:val="000000" w:themeColor="text1"/>
          <w:spacing w:val="-4"/>
          <w:sz w:val="22"/>
          <w:szCs w:val="22"/>
          <w:lang w:val="en-US"/>
        </w:rPr>
        <w:t>KODATEF (</w:t>
      </w:r>
      <w:proofErr w:type="spellStart"/>
      <w:r w:rsidRPr="00F16A76">
        <w:rPr>
          <w:color w:val="000000" w:themeColor="text1"/>
          <w:spacing w:val="-4"/>
          <w:sz w:val="22"/>
          <w:szCs w:val="22"/>
          <w:lang w:val="en-US"/>
        </w:rPr>
        <w:t>tafenoquine</w:t>
      </w:r>
      <w:proofErr w:type="spellEnd"/>
      <w:r w:rsidRPr="00F16A76">
        <w:rPr>
          <w:color w:val="000000" w:themeColor="text1"/>
          <w:spacing w:val="-4"/>
          <w:sz w:val="22"/>
          <w:szCs w:val="22"/>
          <w:lang w:val="en-US"/>
        </w:rPr>
        <w:t xml:space="preserve">) </w:t>
      </w:r>
      <w:r w:rsidR="00EA49D6" w:rsidRPr="00F16A76">
        <w:rPr>
          <w:color w:val="000000" w:themeColor="text1"/>
          <w:spacing w:val="-4"/>
          <w:sz w:val="22"/>
          <w:szCs w:val="22"/>
          <w:lang w:val="en-US"/>
        </w:rPr>
        <w:t>is</w:t>
      </w:r>
      <w:r w:rsidR="00936FE4" w:rsidRPr="00F16A76">
        <w:rPr>
          <w:color w:val="000000" w:themeColor="text1"/>
          <w:spacing w:val="-4"/>
          <w:sz w:val="22"/>
          <w:szCs w:val="22"/>
          <w:lang w:val="en-US"/>
        </w:rPr>
        <w:t xml:space="preserve"> an antimalarial</w:t>
      </w:r>
      <w:r w:rsidR="00EA49D6" w:rsidRPr="00F16A76">
        <w:rPr>
          <w:color w:val="000000" w:themeColor="text1"/>
          <w:spacing w:val="-4"/>
          <w:sz w:val="22"/>
          <w:szCs w:val="22"/>
          <w:lang w:val="en-US"/>
        </w:rPr>
        <w:t xml:space="preserve"> i</w:t>
      </w:r>
      <w:r w:rsidRPr="00F16A76">
        <w:rPr>
          <w:color w:val="000000" w:themeColor="text1"/>
          <w:spacing w:val="-4"/>
          <w:sz w:val="22"/>
          <w:szCs w:val="22"/>
          <w:lang w:val="en-US"/>
        </w:rPr>
        <w:t xml:space="preserve">ndicated for the prevention of malaria in adults </w:t>
      </w:r>
      <w:r w:rsidR="00821B4F" w:rsidRPr="00F16A76">
        <w:rPr>
          <w:color w:val="000000" w:themeColor="text1"/>
          <w:spacing w:val="-4"/>
          <w:sz w:val="22"/>
          <w:szCs w:val="22"/>
          <w:lang w:val="en-US"/>
        </w:rPr>
        <w:t xml:space="preserve">18 years of age and above </w:t>
      </w:r>
      <w:r w:rsidRPr="00F16A76">
        <w:rPr>
          <w:color w:val="000000" w:themeColor="text1"/>
          <w:spacing w:val="-4"/>
          <w:sz w:val="22"/>
          <w:szCs w:val="22"/>
          <w:lang w:val="en-US"/>
        </w:rPr>
        <w:t>for up to 6 months of continuous dosing</w:t>
      </w:r>
      <w:r w:rsidR="00DE15A0">
        <w:rPr>
          <w:color w:val="000000" w:themeColor="text1"/>
          <w:spacing w:val="-4"/>
          <w:sz w:val="22"/>
          <w:szCs w:val="22"/>
          <w:lang w:val="en-US"/>
        </w:rPr>
        <w:t xml:space="preserve"> (see subsection 5.1 PHARMACODYNAMIC PROPERTIES – Clinical trials</w:t>
      </w:r>
      <w:r w:rsidR="00A75986">
        <w:rPr>
          <w:color w:val="000000" w:themeColor="text1"/>
          <w:spacing w:val="-4"/>
          <w:sz w:val="22"/>
          <w:szCs w:val="22"/>
          <w:lang w:val="en-US"/>
        </w:rPr>
        <w:t>)</w:t>
      </w:r>
      <w:r w:rsidRPr="00F16A76">
        <w:rPr>
          <w:color w:val="000000" w:themeColor="text1"/>
          <w:spacing w:val="-4"/>
          <w:sz w:val="22"/>
          <w:szCs w:val="22"/>
          <w:lang w:val="en-US"/>
        </w:rPr>
        <w:t xml:space="preserve">. </w:t>
      </w:r>
    </w:p>
    <w:p w14:paraId="742D2F2F" w14:textId="77777777" w:rsidR="001A3992" w:rsidRPr="00F16A76" w:rsidRDefault="001A3992" w:rsidP="009F52D5">
      <w:pPr>
        <w:pStyle w:val="Heading2"/>
        <w:spacing w:before="0" w:after="120" w:line="240" w:lineRule="auto"/>
        <w:rPr>
          <w:rFonts w:ascii="Times New Roman" w:hAnsi="Times New Roman" w:cs="Times New Roman"/>
        </w:rPr>
      </w:pPr>
      <w:r w:rsidRPr="00F16A76">
        <w:rPr>
          <w:rFonts w:ascii="Times New Roman" w:hAnsi="Times New Roman" w:cs="Times New Roman"/>
        </w:rPr>
        <w:t xml:space="preserve">Dose and method of administration </w:t>
      </w:r>
    </w:p>
    <w:p w14:paraId="04780854" w14:textId="77777777" w:rsidR="000A62CF" w:rsidRPr="00F16A76" w:rsidRDefault="007F092B" w:rsidP="009F52D5">
      <w:pPr>
        <w:spacing w:line="240" w:lineRule="auto"/>
        <w:contextualSpacing/>
        <w:rPr>
          <w:rFonts w:ascii="Times New Roman" w:hAnsi="Times New Roman" w:cs="Times New Roman"/>
          <w:spacing w:val="-1"/>
          <w:lang w:val="en-US"/>
        </w:rPr>
      </w:pPr>
      <w:r w:rsidRPr="00F16A76">
        <w:rPr>
          <w:rFonts w:ascii="Times New Roman" w:hAnsi="Times New Roman" w:cs="Times New Roman"/>
          <w:spacing w:val="-1"/>
          <w:lang w:val="en-US"/>
        </w:rPr>
        <w:t xml:space="preserve">The recommended dosing regimen for KODATEF </w:t>
      </w:r>
      <w:r w:rsidR="00981321" w:rsidRPr="00073F5F">
        <w:rPr>
          <w:rFonts w:ascii="Times New Roman" w:hAnsi="Times New Roman" w:cs="Times New Roman"/>
          <w:spacing w:val="-1"/>
          <w:lang w:val="en-US"/>
        </w:rPr>
        <w:t xml:space="preserve">is </w:t>
      </w:r>
      <w:r w:rsidRPr="00073F5F">
        <w:rPr>
          <w:rFonts w:ascii="Times New Roman" w:hAnsi="Times New Roman" w:cs="Times New Roman"/>
          <w:spacing w:val="-1"/>
          <w:lang w:val="en-US"/>
        </w:rPr>
        <w:t xml:space="preserve">shown in </w:t>
      </w:r>
      <w:r w:rsidR="000261DB">
        <w:fldChar w:fldCharType="begin"/>
      </w:r>
      <w:r w:rsidR="000261DB">
        <w:instrText xml:space="preserve"> REF _Ref482953007 \h  \* MERGEFORMAT </w:instrText>
      </w:r>
      <w:r w:rsidR="000261DB">
        <w:fldChar w:fldCharType="separate"/>
      </w:r>
      <w:r w:rsidRPr="00F16A76">
        <w:rPr>
          <w:rFonts w:ascii="Times New Roman" w:hAnsi="Times New Roman" w:cs="Times New Roman"/>
        </w:rPr>
        <w:t>Table 1</w:t>
      </w:r>
      <w:r w:rsidR="000261DB">
        <w:fldChar w:fldCharType="end"/>
      </w:r>
      <w:r w:rsidR="000A62CF" w:rsidRPr="00F16A76">
        <w:rPr>
          <w:rFonts w:ascii="Times New Roman" w:hAnsi="Times New Roman" w:cs="Times New Roman"/>
          <w:spacing w:val="-1"/>
          <w:lang w:val="en-US"/>
        </w:rPr>
        <w:t>.</w:t>
      </w:r>
    </w:p>
    <w:p w14:paraId="0BE42183" w14:textId="77777777" w:rsidR="000A62CF" w:rsidRPr="00F16A76" w:rsidRDefault="000A62CF" w:rsidP="009F52D5">
      <w:pPr>
        <w:spacing w:line="240" w:lineRule="auto"/>
        <w:contextualSpacing/>
        <w:rPr>
          <w:rFonts w:ascii="Times New Roman" w:hAnsi="Times New Roman" w:cs="Times New Roman"/>
          <w:spacing w:val="-1"/>
          <w:lang w:val="en-US"/>
        </w:rPr>
      </w:pPr>
    </w:p>
    <w:p w14:paraId="49E64B66" w14:textId="77777777" w:rsidR="001D7CF8" w:rsidRPr="00073F5F" w:rsidRDefault="001D7CF8" w:rsidP="009F52D5">
      <w:pPr>
        <w:autoSpaceDE w:val="0"/>
        <w:autoSpaceDN w:val="0"/>
        <w:adjustRightInd w:val="0"/>
        <w:spacing w:after="0" w:line="240" w:lineRule="auto"/>
        <w:rPr>
          <w:rFonts w:ascii="Times New Roman" w:hAnsi="Times New Roman" w:cs="Times New Roman"/>
          <w:color w:val="000000" w:themeColor="text1"/>
        </w:rPr>
      </w:pPr>
      <w:r w:rsidRPr="00F16A76">
        <w:rPr>
          <w:rFonts w:ascii="Times New Roman" w:hAnsi="Times New Roman" w:cs="Times New Roman"/>
          <w:color w:val="000000" w:themeColor="text1"/>
        </w:rPr>
        <w:t xml:space="preserve">All patients must be tested for glucose-6-phosphate dehydrogenase (G6PD) deficiency prior </w:t>
      </w:r>
      <w:r w:rsidR="00181E98" w:rsidRPr="00073F5F">
        <w:rPr>
          <w:rFonts w:ascii="Times New Roman" w:hAnsi="Times New Roman" w:cs="Times New Roman"/>
          <w:color w:val="000000" w:themeColor="text1"/>
        </w:rPr>
        <w:t xml:space="preserve">to prescribing </w:t>
      </w:r>
      <w:proofErr w:type="spellStart"/>
      <w:r w:rsidR="00181E98" w:rsidRPr="00073F5F">
        <w:rPr>
          <w:rFonts w:ascii="Times New Roman" w:hAnsi="Times New Roman" w:cs="Times New Roman"/>
          <w:color w:val="000000" w:themeColor="text1"/>
        </w:rPr>
        <w:t>tafenoquine</w:t>
      </w:r>
      <w:proofErr w:type="spellEnd"/>
      <w:r w:rsidR="00181E98" w:rsidRPr="00073F5F">
        <w:rPr>
          <w:rFonts w:ascii="Times New Roman" w:hAnsi="Times New Roman" w:cs="Times New Roman"/>
          <w:color w:val="000000" w:themeColor="text1"/>
        </w:rPr>
        <w:t xml:space="preserve"> (sub</w:t>
      </w:r>
      <w:r w:rsidRPr="00073F5F">
        <w:rPr>
          <w:rFonts w:ascii="Times New Roman" w:hAnsi="Times New Roman" w:cs="Times New Roman"/>
          <w:color w:val="000000" w:themeColor="text1"/>
        </w:rPr>
        <w:t xml:space="preserve">section 4.3 </w:t>
      </w:r>
      <w:r w:rsidR="00181E98" w:rsidRPr="00073F5F">
        <w:rPr>
          <w:rFonts w:ascii="Times New Roman" w:hAnsi="Times New Roman" w:cs="Times New Roman"/>
          <w:color w:val="000000" w:themeColor="text1"/>
        </w:rPr>
        <w:t>CONTRAINDICATIONS</w:t>
      </w:r>
      <w:r w:rsidRPr="00073F5F">
        <w:rPr>
          <w:rFonts w:ascii="Times New Roman" w:hAnsi="Times New Roman" w:cs="Times New Roman"/>
          <w:color w:val="000000" w:themeColor="text1"/>
        </w:rPr>
        <w:t xml:space="preserve"> and </w:t>
      </w:r>
      <w:r w:rsidR="00181E98" w:rsidRPr="00073F5F">
        <w:rPr>
          <w:rFonts w:ascii="Times New Roman" w:hAnsi="Times New Roman" w:cs="Times New Roman"/>
          <w:color w:val="000000" w:themeColor="text1"/>
        </w:rPr>
        <w:t>sub</w:t>
      </w:r>
      <w:r w:rsidRPr="00073F5F">
        <w:rPr>
          <w:rFonts w:ascii="Times New Roman" w:hAnsi="Times New Roman" w:cs="Times New Roman"/>
          <w:color w:val="000000" w:themeColor="text1"/>
        </w:rPr>
        <w:t xml:space="preserve">section 4.4 </w:t>
      </w:r>
      <w:r w:rsidR="00181E98" w:rsidRPr="00073F5F">
        <w:rPr>
          <w:rFonts w:ascii="Times New Roman" w:hAnsi="Times New Roman" w:cs="Times New Roman"/>
          <w:color w:val="000000" w:themeColor="text1"/>
        </w:rPr>
        <w:t>SPECIAL WARNINGS AND PRECAUTIONS FOR USE</w:t>
      </w:r>
      <w:r w:rsidRPr="00073F5F">
        <w:rPr>
          <w:rFonts w:ascii="Times New Roman" w:hAnsi="Times New Roman" w:cs="Times New Roman"/>
          <w:color w:val="000000" w:themeColor="text1"/>
        </w:rPr>
        <w:t>).</w:t>
      </w:r>
    </w:p>
    <w:p w14:paraId="22E7535C" w14:textId="77777777" w:rsidR="001D7CF8" w:rsidRPr="00073F5F" w:rsidRDefault="001D7CF8" w:rsidP="009F52D5">
      <w:pPr>
        <w:spacing w:line="240" w:lineRule="auto"/>
        <w:contextualSpacing/>
        <w:rPr>
          <w:rFonts w:ascii="Times New Roman" w:hAnsi="Times New Roman" w:cs="Times New Roman"/>
          <w:color w:val="000000" w:themeColor="text1"/>
          <w:spacing w:val="-1"/>
          <w:lang w:val="en-US"/>
        </w:rPr>
      </w:pPr>
    </w:p>
    <w:p w14:paraId="1F75B8F4" w14:textId="77777777" w:rsidR="001D7CF8" w:rsidRPr="00073F5F" w:rsidRDefault="001D7CF8" w:rsidP="009F52D5">
      <w:pPr>
        <w:autoSpaceDE w:val="0"/>
        <w:autoSpaceDN w:val="0"/>
        <w:adjustRightInd w:val="0"/>
        <w:spacing w:after="0" w:line="240" w:lineRule="auto"/>
        <w:rPr>
          <w:rFonts w:ascii="Times New Roman" w:hAnsi="Times New Roman" w:cs="Times New Roman"/>
          <w:color w:val="000000" w:themeColor="text1"/>
        </w:rPr>
      </w:pPr>
      <w:r w:rsidRPr="00073F5F">
        <w:rPr>
          <w:rFonts w:ascii="Times New Roman" w:hAnsi="Times New Roman" w:cs="Times New Roman"/>
          <w:color w:val="000000" w:themeColor="text1"/>
        </w:rPr>
        <w:t xml:space="preserve">Pregnancy should be excluded prior to the use of </w:t>
      </w:r>
      <w:proofErr w:type="spellStart"/>
      <w:r w:rsidRPr="00073F5F">
        <w:rPr>
          <w:rFonts w:ascii="Times New Roman" w:hAnsi="Times New Roman" w:cs="Times New Roman"/>
          <w:color w:val="000000" w:themeColor="text1"/>
        </w:rPr>
        <w:t>tafenoquine</w:t>
      </w:r>
      <w:proofErr w:type="spellEnd"/>
      <w:r w:rsidRPr="00073F5F">
        <w:rPr>
          <w:rFonts w:ascii="Times New Roman" w:hAnsi="Times New Roman" w:cs="Times New Roman"/>
          <w:color w:val="000000" w:themeColor="text1"/>
        </w:rPr>
        <w:t xml:space="preserve"> in females </w:t>
      </w:r>
      <w:r w:rsidR="00181E98" w:rsidRPr="00073F5F">
        <w:rPr>
          <w:rFonts w:ascii="Times New Roman" w:hAnsi="Times New Roman" w:cs="Times New Roman"/>
          <w:color w:val="000000" w:themeColor="text1"/>
        </w:rPr>
        <w:t>of child bearing potential (</w:t>
      </w:r>
      <w:proofErr w:type="gramStart"/>
      <w:r w:rsidR="00181E98" w:rsidRPr="00073F5F">
        <w:rPr>
          <w:rFonts w:ascii="Times New Roman" w:hAnsi="Times New Roman" w:cs="Times New Roman"/>
          <w:color w:val="000000" w:themeColor="text1"/>
        </w:rPr>
        <w:t>sub</w:t>
      </w:r>
      <w:r w:rsidRPr="00073F5F">
        <w:rPr>
          <w:rFonts w:ascii="Times New Roman" w:hAnsi="Times New Roman" w:cs="Times New Roman"/>
          <w:color w:val="000000" w:themeColor="text1"/>
        </w:rPr>
        <w:t>section</w:t>
      </w:r>
      <w:proofErr w:type="gramEnd"/>
      <w:r w:rsidRPr="00073F5F">
        <w:rPr>
          <w:rFonts w:ascii="Times New Roman" w:hAnsi="Times New Roman" w:cs="Times New Roman"/>
          <w:color w:val="000000" w:themeColor="text1"/>
        </w:rPr>
        <w:t xml:space="preserve"> 4.3 </w:t>
      </w:r>
      <w:r w:rsidR="00181E98" w:rsidRPr="00073F5F">
        <w:rPr>
          <w:rFonts w:ascii="Times New Roman" w:hAnsi="Times New Roman" w:cs="Times New Roman"/>
          <w:color w:val="000000" w:themeColor="text1"/>
        </w:rPr>
        <w:t xml:space="preserve">CONTRAINDICATIONS </w:t>
      </w:r>
      <w:r w:rsidRPr="00073F5F">
        <w:rPr>
          <w:rFonts w:ascii="Times New Roman" w:hAnsi="Times New Roman" w:cs="Times New Roman"/>
          <w:color w:val="000000" w:themeColor="text1"/>
        </w:rPr>
        <w:t xml:space="preserve">and </w:t>
      </w:r>
      <w:r w:rsidR="00181E98" w:rsidRPr="00073F5F">
        <w:rPr>
          <w:rFonts w:ascii="Times New Roman" w:hAnsi="Times New Roman" w:cs="Times New Roman"/>
          <w:color w:val="000000" w:themeColor="text1"/>
        </w:rPr>
        <w:t>sub</w:t>
      </w:r>
      <w:r w:rsidRPr="00073F5F">
        <w:rPr>
          <w:rFonts w:ascii="Times New Roman" w:hAnsi="Times New Roman" w:cs="Times New Roman"/>
          <w:color w:val="000000" w:themeColor="text1"/>
        </w:rPr>
        <w:t xml:space="preserve">section 4.6 - </w:t>
      </w:r>
      <w:r w:rsidR="00181E98" w:rsidRPr="00073F5F">
        <w:rPr>
          <w:rFonts w:ascii="Times New Roman" w:hAnsi="Times New Roman" w:cs="Times New Roman"/>
          <w:color w:val="000000" w:themeColor="text1"/>
        </w:rPr>
        <w:t>FERTILITY, PREGNANCY AND LACTATION).</w:t>
      </w:r>
    </w:p>
    <w:p w14:paraId="02453BE4" w14:textId="77777777" w:rsidR="001D7CF8" w:rsidRPr="00073F5F" w:rsidRDefault="001D7CF8" w:rsidP="009F52D5">
      <w:pPr>
        <w:spacing w:line="240" w:lineRule="auto"/>
        <w:contextualSpacing/>
        <w:rPr>
          <w:rFonts w:ascii="Times New Roman" w:hAnsi="Times New Roman" w:cs="Times New Roman"/>
          <w:spacing w:val="-1"/>
          <w:lang w:val="en-US"/>
        </w:rPr>
      </w:pPr>
    </w:p>
    <w:p w14:paraId="351745BD" w14:textId="77777777" w:rsidR="001D7CF8" w:rsidRPr="00073F5F" w:rsidRDefault="001D7CF8" w:rsidP="009F52D5">
      <w:pPr>
        <w:spacing w:line="240" w:lineRule="auto"/>
        <w:contextualSpacing/>
        <w:rPr>
          <w:rFonts w:ascii="Times New Roman" w:hAnsi="Times New Roman" w:cs="Times New Roman"/>
          <w:spacing w:val="-1"/>
          <w:szCs w:val="24"/>
          <w:lang w:val="en-US"/>
        </w:rPr>
      </w:pPr>
      <w:r w:rsidRPr="00073F5F">
        <w:rPr>
          <w:rFonts w:ascii="Times New Roman" w:hAnsi="Times New Roman" w:cs="Times New Roman"/>
          <w:color w:val="000000" w:themeColor="text1"/>
          <w:spacing w:val="-1"/>
          <w:szCs w:val="24"/>
          <w:lang w:val="en-US"/>
        </w:rPr>
        <w:t>KODATEF</w:t>
      </w:r>
      <w:r w:rsidRPr="00073F5F">
        <w:rPr>
          <w:rFonts w:ascii="Times New Roman" w:hAnsi="Times New Roman" w:cs="Times New Roman"/>
          <w:color w:val="FF0000"/>
          <w:spacing w:val="-1"/>
          <w:szCs w:val="24"/>
          <w:lang w:val="en-US"/>
        </w:rPr>
        <w:t xml:space="preserve"> </w:t>
      </w:r>
      <w:r w:rsidRPr="00073F5F">
        <w:rPr>
          <w:rFonts w:ascii="Times New Roman" w:hAnsi="Times New Roman" w:cs="Times New Roman"/>
          <w:spacing w:val="-1"/>
          <w:szCs w:val="24"/>
          <w:lang w:val="en-US"/>
        </w:rPr>
        <w:t>tablets should be swallowed whole and not chewed or broken apart. KODATEF tablets can be taken with or without food although KODATEF taken with food may be associated with better gastrointestinal tolerance.</w:t>
      </w:r>
    </w:p>
    <w:p w14:paraId="58DB2812" w14:textId="77777777" w:rsidR="00181E98" w:rsidRPr="00073F5F" w:rsidRDefault="00181E98" w:rsidP="009F52D5">
      <w:pPr>
        <w:spacing w:line="240" w:lineRule="auto"/>
        <w:contextualSpacing/>
        <w:rPr>
          <w:rFonts w:ascii="Times New Roman" w:hAnsi="Times New Roman" w:cs="Times New Roman"/>
          <w:spacing w:val="-1"/>
          <w:szCs w:val="24"/>
          <w:lang w:val="en-US"/>
        </w:rPr>
      </w:pPr>
    </w:p>
    <w:p w14:paraId="6A9D2529" w14:textId="77777777" w:rsidR="001D7CF8" w:rsidRPr="00073F5F" w:rsidRDefault="001D7CF8" w:rsidP="009F52D5">
      <w:pPr>
        <w:spacing w:line="240" w:lineRule="auto"/>
        <w:contextualSpacing/>
        <w:rPr>
          <w:rFonts w:ascii="Times New Roman" w:hAnsi="Times New Roman" w:cs="Times New Roman"/>
          <w:spacing w:val="-1"/>
          <w:lang w:val="en-US"/>
        </w:rPr>
      </w:pPr>
      <w:r w:rsidRPr="00073F5F">
        <w:rPr>
          <w:rFonts w:ascii="Times New Roman" w:hAnsi="Times New Roman" w:cs="Times New Roman"/>
          <w:spacing w:val="-1"/>
          <w:lang w:val="en-US"/>
        </w:rPr>
        <w:lastRenderedPageBreak/>
        <w:t xml:space="preserve">Dosage adjustment for persons with renal impairment, hepatic impairment and dialysis has not been studied in clinical trials. </w:t>
      </w:r>
    </w:p>
    <w:p w14:paraId="29A781F1" w14:textId="77777777" w:rsidR="00007730" w:rsidRPr="00073F5F" w:rsidRDefault="00007730" w:rsidP="009F52D5">
      <w:pPr>
        <w:spacing w:line="240" w:lineRule="auto"/>
        <w:contextualSpacing/>
        <w:rPr>
          <w:rFonts w:ascii="Times New Roman" w:hAnsi="Times New Roman" w:cs="Times New Roman"/>
          <w:color w:val="000000" w:themeColor="text1"/>
          <w:spacing w:val="-1"/>
          <w:szCs w:val="24"/>
          <w:lang w:val="en-US"/>
        </w:rPr>
      </w:pPr>
      <w:r w:rsidRPr="00073F5F">
        <w:rPr>
          <w:rFonts w:ascii="Times New Roman" w:hAnsi="Times New Roman" w:cs="Times New Roman"/>
          <w:color w:val="000000" w:themeColor="text1"/>
          <w:spacing w:val="-1"/>
          <w:lang w:val="en-US"/>
        </w:rPr>
        <w:t>KODATEF is NOT intended for treatment of acute malaria. Relevant clinical guidelines should be used for management of acute malaria</w:t>
      </w:r>
      <w:r w:rsidR="008A5D06" w:rsidRPr="00073F5F">
        <w:rPr>
          <w:rFonts w:ascii="Times New Roman" w:hAnsi="Times New Roman" w:cs="Times New Roman"/>
          <w:color w:val="000000" w:themeColor="text1"/>
          <w:spacing w:val="-1"/>
          <w:lang w:val="en-US"/>
        </w:rPr>
        <w:t>,</w:t>
      </w:r>
      <w:r w:rsidRPr="00073F5F">
        <w:rPr>
          <w:rFonts w:ascii="Times New Roman" w:hAnsi="Times New Roman" w:cs="Times New Roman"/>
          <w:color w:val="000000" w:themeColor="text1"/>
          <w:spacing w:val="-1"/>
          <w:lang w:val="en-US"/>
        </w:rPr>
        <w:t xml:space="preserve"> including subjects who develop acute malaria while taking KODATEF for prophylaxis or </w:t>
      </w:r>
      <w:r w:rsidR="00181E98" w:rsidRPr="00073F5F">
        <w:rPr>
          <w:rFonts w:ascii="Times New Roman" w:hAnsi="Times New Roman" w:cs="Times New Roman"/>
          <w:color w:val="000000" w:themeColor="text1"/>
          <w:spacing w:val="-1"/>
          <w:lang w:val="en-US"/>
        </w:rPr>
        <w:t xml:space="preserve">in </w:t>
      </w:r>
      <w:r w:rsidR="00BF09D6" w:rsidRPr="00073F5F">
        <w:rPr>
          <w:rFonts w:ascii="Times New Roman" w:hAnsi="Times New Roman" w:cs="Times New Roman"/>
          <w:color w:val="000000" w:themeColor="text1"/>
          <w:spacing w:val="-1"/>
          <w:lang w:val="en-US"/>
        </w:rPr>
        <w:t xml:space="preserve">instances of relapse of malaria </w:t>
      </w:r>
      <w:r w:rsidRPr="00073F5F">
        <w:rPr>
          <w:rFonts w:ascii="Times New Roman" w:hAnsi="Times New Roman" w:cs="Times New Roman"/>
          <w:color w:val="000000" w:themeColor="text1"/>
          <w:spacing w:val="-1"/>
          <w:lang w:val="en-US"/>
        </w:rPr>
        <w:t>following cessation of prophylaxis with KODATEF.</w:t>
      </w:r>
    </w:p>
    <w:p w14:paraId="1A30D18C" w14:textId="77777777" w:rsidR="00007730" w:rsidRPr="00073F5F" w:rsidRDefault="00007730" w:rsidP="009F52D5">
      <w:pPr>
        <w:spacing w:line="240" w:lineRule="auto"/>
        <w:contextualSpacing/>
        <w:rPr>
          <w:rFonts w:ascii="Times New Roman" w:hAnsi="Times New Roman" w:cs="Times New Roman"/>
          <w:spacing w:val="-1"/>
          <w:lang w:val="en-US"/>
        </w:rPr>
      </w:pPr>
    </w:p>
    <w:p w14:paraId="5DE396EA" w14:textId="77777777" w:rsidR="00AE19FC" w:rsidRPr="00073F5F" w:rsidRDefault="00A477FC">
      <w:pPr>
        <w:spacing w:afterLines="200" w:after="480" w:line="240" w:lineRule="auto"/>
        <w:contextualSpacing/>
        <w:rPr>
          <w:rFonts w:ascii="Times New Roman" w:hAnsi="Times New Roman" w:cs="Times New Roman"/>
          <w:spacing w:val="-1"/>
          <w:lang w:val="en-US"/>
        </w:rPr>
      </w:pPr>
      <w:r w:rsidRPr="00073F5F">
        <w:rPr>
          <w:rFonts w:ascii="Times New Roman" w:hAnsi="Times New Roman" w:cs="Times New Roman"/>
          <w:spacing w:val="-1"/>
          <w:lang w:val="en-US"/>
        </w:rPr>
        <w:t>Malaria prophylaxis with KODATEF consi</w:t>
      </w:r>
      <w:r w:rsidR="00181E98" w:rsidRPr="00073F5F">
        <w:rPr>
          <w:rFonts w:ascii="Times New Roman" w:hAnsi="Times New Roman" w:cs="Times New Roman"/>
          <w:spacing w:val="-1"/>
          <w:lang w:val="en-US"/>
        </w:rPr>
        <w:t>sts of loading, maintenance and terminal dosing</w:t>
      </w:r>
      <w:r w:rsidRPr="00073F5F">
        <w:rPr>
          <w:rFonts w:ascii="Times New Roman" w:hAnsi="Times New Roman" w:cs="Times New Roman"/>
          <w:spacing w:val="-1"/>
          <w:lang w:val="en-US"/>
        </w:rPr>
        <w:t xml:space="preserve">. </w:t>
      </w:r>
      <w:r w:rsidR="00981321" w:rsidRPr="00073F5F">
        <w:rPr>
          <w:rFonts w:ascii="Times New Roman" w:hAnsi="Times New Roman" w:cs="Times New Roman"/>
          <w:color w:val="000000" w:themeColor="text1"/>
          <w:spacing w:val="-1"/>
          <w:lang w:val="en-US"/>
        </w:rPr>
        <w:t>KODATEF should only be used for a maximum of 6 months of continuous dosing.</w:t>
      </w:r>
      <w:r w:rsidR="004D2EC5" w:rsidRPr="00073F5F">
        <w:rPr>
          <w:rFonts w:ascii="Times New Roman" w:hAnsi="Times New Roman" w:cs="Times New Roman"/>
          <w:color w:val="000000" w:themeColor="text1"/>
          <w:spacing w:val="-1"/>
          <w:lang w:val="en-US"/>
        </w:rPr>
        <w:t xml:space="preserve"> No more than </w:t>
      </w:r>
      <w:r w:rsidR="0038666A" w:rsidRPr="00073F5F">
        <w:rPr>
          <w:rFonts w:ascii="Times New Roman" w:hAnsi="Times New Roman" w:cs="Times New Roman"/>
          <w:color w:val="000000" w:themeColor="text1"/>
          <w:spacing w:val="-1"/>
          <w:lang w:val="en-US"/>
        </w:rPr>
        <w:t xml:space="preserve">a total of </w:t>
      </w:r>
      <w:r w:rsidR="00BF09D6" w:rsidRPr="00073F5F">
        <w:rPr>
          <w:rFonts w:ascii="Times New Roman" w:hAnsi="Times New Roman" w:cs="Times New Roman"/>
          <w:color w:val="000000" w:themeColor="text1"/>
          <w:spacing w:val="-1"/>
          <w:lang w:val="en-US"/>
        </w:rPr>
        <w:t xml:space="preserve">28 doses should be consumed in a </w:t>
      </w:r>
      <w:r w:rsidR="004D2EC5" w:rsidRPr="00073F5F">
        <w:rPr>
          <w:rFonts w:ascii="Times New Roman" w:hAnsi="Times New Roman" w:cs="Times New Roman"/>
          <w:color w:val="000000" w:themeColor="text1"/>
          <w:spacing w:val="-1"/>
          <w:lang w:val="en-US"/>
        </w:rPr>
        <w:t>6 month period.</w:t>
      </w:r>
    </w:p>
    <w:p w14:paraId="7F216B8A" w14:textId="77777777" w:rsidR="00AE19FC" w:rsidRPr="00073F5F" w:rsidRDefault="00AE19FC">
      <w:pPr>
        <w:spacing w:afterLines="200" w:after="480" w:line="240" w:lineRule="auto"/>
        <w:contextualSpacing/>
        <w:rPr>
          <w:rFonts w:ascii="Times New Roman" w:hAnsi="Times New Roman" w:cs="Times New Roman"/>
          <w:spacing w:val="-1"/>
          <w:lang w:val="en-US"/>
        </w:rPr>
      </w:pPr>
    </w:p>
    <w:p w14:paraId="402799D9" w14:textId="77777777" w:rsidR="00AE19FC" w:rsidRPr="00073F5F" w:rsidRDefault="00AE19FC" w:rsidP="009F52D5">
      <w:pPr>
        <w:spacing w:line="240" w:lineRule="auto"/>
        <w:rPr>
          <w:rFonts w:ascii="Times New Roman" w:hAnsi="Times New Roman" w:cs="Times New Roman"/>
          <w:color w:val="000000" w:themeColor="text1"/>
        </w:rPr>
      </w:pPr>
      <w:r w:rsidRPr="00073F5F">
        <w:rPr>
          <w:rFonts w:ascii="Times New Roman" w:hAnsi="Times New Roman" w:cs="Times New Roman"/>
          <w:color w:val="000000" w:themeColor="text1"/>
        </w:rPr>
        <w:t xml:space="preserve">There are no data on repeated use of KODATEF for malaria prophylaxis after </w:t>
      </w:r>
      <w:r w:rsidR="00EA49D6" w:rsidRPr="00073F5F">
        <w:rPr>
          <w:rFonts w:ascii="Times New Roman" w:hAnsi="Times New Roman" w:cs="Times New Roman"/>
          <w:color w:val="000000" w:themeColor="text1"/>
        </w:rPr>
        <w:t xml:space="preserve">the </w:t>
      </w:r>
      <w:r w:rsidRPr="00073F5F">
        <w:rPr>
          <w:rFonts w:ascii="Times New Roman" w:hAnsi="Times New Roman" w:cs="Times New Roman"/>
          <w:color w:val="000000" w:themeColor="text1"/>
        </w:rPr>
        <w:t>initial use.</w:t>
      </w:r>
    </w:p>
    <w:p w14:paraId="4A45F877" w14:textId="77777777" w:rsidR="007F092B" w:rsidRPr="00F16A76" w:rsidRDefault="007F092B" w:rsidP="009F52D5">
      <w:pPr>
        <w:pStyle w:val="Caption"/>
        <w:spacing w:before="0" w:after="0" w:line="240" w:lineRule="auto"/>
        <w:rPr>
          <w:color w:val="000000" w:themeColor="text1"/>
          <w:spacing w:val="-1"/>
        </w:rPr>
      </w:pPr>
      <w:bookmarkStart w:id="0" w:name="_Ref482953007"/>
      <w:r w:rsidRPr="00073F5F">
        <w:rPr>
          <w:color w:val="000000" w:themeColor="text1"/>
        </w:rPr>
        <w:t xml:space="preserve">Table </w:t>
      </w:r>
      <w:r w:rsidR="00B43A53" w:rsidRPr="00F16A76">
        <w:rPr>
          <w:color w:val="000000" w:themeColor="text1"/>
        </w:rPr>
        <w:fldChar w:fldCharType="begin"/>
      </w:r>
      <w:r w:rsidRPr="00073F5F">
        <w:rPr>
          <w:color w:val="000000" w:themeColor="text1"/>
        </w:rPr>
        <w:instrText xml:space="preserve"> SEQ Table \* ARABIC </w:instrText>
      </w:r>
      <w:r w:rsidR="00B43A53" w:rsidRPr="00F16A76">
        <w:rPr>
          <w:color w:val="000000" w:themeColor="text1"/>
        </w:rPr>
        <w:fldChar w:fldCharType="separate"/>
      </w:r>
      <w:r w:rsidR="00045A9A">
        <w:rPr>
          <w:noProof/>
          <w:color w:val="000000" w:themeColor="text1"/>
        </w:rPr>
        <w:t>1</w:t>
      </w:r>
      <w:r w:rsidR="00B43A53" w:rsidRPr="00F16A76">
        <w:rPr>
          <w:color w:val="000000" w:themeColor="text1"/>
        </w:rPr>
        <w:fldChar w:fldCharType="end"/>
      </w:r>
      <w:bookmarkEnd w:id="0"/>
      <w:r w:rsidRPr="00F16A76">
        <w:rPr>
          <w:color w:val="000000" w:themeColor="text1"/>
        </w:rPr>
        <w:t>:</w:t>
      </w:r>
      <w:r w:rsidRPr="00F16A76">
        <w:rPr>
          <w:color w:val="000000" w:themeColor="text1"/>
        </w:rPr>
        <w:tab/>
        <w:t>Dosing Regimen for KODATEF</w:t>
      </w:r>
    </w:p>
    <w:tbl>
      <w:tblPr>
        <w:tblStyle w:val="TableGrid"/>
        <w:tblW w:w="0" w:type="auto"/>
        <w:tblLook w:val="04A0" w:firstRow="1" w:lastRow="0" w:firstColumn="1" w:lastColumn="0" w:noHBand="0" w:noVBand="1"/>
      </w:tblPr>
      <w:tblGrid>
        <w:gridCol w:w="2319"/>
        <w:gridCol w:w="3885"/>
        <w:gridCol w:w="3038"/>
      </w:tblGrid>
      <w:tr w:rsidR="008E7914" w:rsidRPr="00F16A76" w14:paraId="7C33299A" w14:textId="77777777" w:rsidTr="00073F5F">
        <w:tc>
          <w:tcPr>
            <w:tcW w:w="2319" w:type="dxa"/>
            <w:vAlign w:val="center"/>
          </w:tcPr>
          <w:p w14:paraId="7959D6E0" w14:textId="77777777" w:rsidR="007F092B" w:rsidRPr="00F16A76" w:rsidRDefault="008A5D06" w:rsidP="00E30275">
            <w:pPr>
              <w:contextualSpacing/>
              <w:rPr>
                <w:rFonts w:ascii="Times New Roman" w:hAnsi="Times New Roman"/>
                <w:color w:val="000000" w:themeColor="text1"/>
                <w:szCs w:val="24"/>
              </w:rPr>
            </w:pPr>
            <w:r w:rsidRPr="00F16A76">
              <w:rPr>
                <w:rFonts w:ascii="Times New Roman" w:hAnsi="Times New Roman"/>
                <w:color w:val="000000" w:themeColor="text1"/>
                <w:szCs w:val="24"/>
              </w:rPr>
              <w:t>Loading Dose</w:t>
            </w:r>
          </w:p>
        </w:tc>
        <w:tc>
          <w:tcPr>
            <w:tcW w:w="3885" w:type="dxa"/>
            <w:vAlign w:val="center"/>
          </w:tcPr>
          <w:p w14:paraId="069553ED" w14:textId="77777777" w:rsidR="007F092B" w:rsidRPr="00F16A76" w:rsidRDefault="008A5D06" w:rsidP="00E30275">
            <w:pPr>
              <w:contextualSpacing/>
              <w:rPr>
                <w:rFonts w:ascii="Times New Roman" w:hAnsi="Times New Roman"/>
                <w:color w:val="000000" w:themeColor="text1"/>
                <w:szCs w:val="24"/>
              </w:rPr>
            </w:pPr>
            <w:r w:rsidRPr="00F16A76">
              <w:rPr>
                <w:rFonts w:ascii="Times New Roman" w:hAnsi="Times New Roman"/>
                <w:color w:val="000000" w:themeColor="text1"/>
                <w:szCs w:val="24"/>
              </w:rPr>
              <w:t xml:space="preserve">Before travelling to a </w:t>
            </w:r>
            <w:proofErr w:type="spellStart"/>
            <w:r w:rsidRPr="00F16A76">
              <w:rPr>
                <w:rFonts w:ascii="Times New Roman" w:hAnsi="Times New Roman"/>
                <w:color w:val="000000" w:themeColor="text1"/>
                <w:szCs w:val="24"/>
              </w:rPr>
              <w:t>malarious</w:t>
            </w:r>
            <w:proofErr w:type="spellEnd"/>
            <w:r w:rsidRPr="00F16A76">
              <w:rPr>
                <w:rFonts w:ascii="Times New Roman" w:hAnsi="Times New Roman"/>
                <w:color w:val="000000" w:themeColor="text1"/>
                <w:szCs w:val="24"/>
              </w:rPr>
              <w:t xml:space="preserve"> area</w:t>
            </w:r>
          </w:p>
        </w:tc>
        <w:tc>
          <w:tcPr>
            <w:tcW w:w="3038" w:type="dxa"/>
            <w:vAlign w:val="center"/>
          </w:tcPr>
          <w:p w14:paraId="29C16B03" w14:textId="77777777" w:rsidR="007F092B" w:rsidRPr="00073F5F" w:rsidRDefault="007F092B" w:rsidP="00E30275">
            <w:pPr>
              <w:contextualSpacing/>
              <w:rPr>
                <w:rFonts w:ascii="Times New Roman" w:hAnsi="Times New Roman"/>
                <w:color w:val="000000" w:themeColor="text1"/>
                <w:szCs w:val="24"/>
              </w:rPr>
            </w:pPr>
            <w:r w:rsidRPr="00073F5F">
              <w:rPr>
                <w:rFonts w:ascii="Times New Roman" w:hAnsi="Times New Roman"/>
                <w:color w:val="000000" w:themeColor="text1"/>
                <w:szCs w:val="24"/>
              </w:rPr>
              <w:t xml:space="preserve">200 mg (two of the 100 mg tablets) once </w:t>
            </w:r>
            <w:r w:rsidRPr="00073F5F">
              <w:rPr>
                <w:rFonts w:ascii="Times New Roman" w:hAnsi="Times New Roman"/>
                <w:color w:val="000000" w:themeColor="text1"/>
                <w:szCs w:val="24"/>
                <w:u w:val="single"/>
              </w:rPr>
              <w:t>daily for three</w:t>
            </w:r>
            <w:r w:rsidRPr="00073F5F">
              <w:rPr>
                <w:rFonts w:ascii="Times New Roman" w:hAnsi="Times New Roman"/>
                <w:color w:val="000000" w:themeColor="text1"/>
                <w:szCs w:val="24"/>
              </w:rPr>
              <w:t xml:space="preserve"> days</w:t>
            </w:r>
            <w:r w:rsidR="00A477FC" w:rsidRPr="00073F5F">
              <w:rPr>
                <w:rFonts w:ascii="Times New Roman" w:hAnsi="Times New Roman"/>
                <w:color w:val="000000" w:themeColor="text1"/>
                <w:szCs w:val="24"/>
              </w:rPr>
              <w:t>.</w:t>
            </w:r>
          </w:p>
        </w:tc>
      </w:tr>
      <w:tr w:rsidR="008E7914" w:rsidRPr="00F16A76" w14:paraId="02544375" w14:textId="77777777" w:rsidTr="00073F5F">
        <w:tc>
          <w:tcPr>
            <w:tcW w:w="2319" w:type="dxa"/>
            <w:vAlign w:val="center"/>
          </w:tcPr>
          <w:p w14:paraId="51CFFF24" w14:textId="77777777" w:rsidR="007F092B" w:rsidRPr="00F16A76" w:rsidRDefault="008A5D06" w:rsidP="00E30275">
            <w:pPr>
              <w:contextualSpacing/>
              <w:rPr>
                <w:rFonts w:ascii="Times New Roman" w:hAnsi="Times New Roman"/>
                <w:color w:val="000000" w:themeColor="text1"/>
                <w:szCs w:val="24"/>
              </w:rPr>
            </w:pPr>
            <w:r w:rsidRPr="00F16A76">
              <w:rPr>
                <w:rFonts w:ascii="Times New Roman" w:hAnsi="Times New Roman"/>
                <w:color w:val="000000" w:themeColor="text1"/>
                <w:szCs w:val="24"/>
              </w:rPr>
              <w:t>Maintenance Dose</w:t>
            </w:r>
          </w:p>
        </w:tc>
        <w:tc>
          <w:tcPr>
            <w:tcW w:w="3885" w:type="dxa"/>
            <w:vAlign w:val="center"/>
          </w:tcPr>
          <w:p w14:paraId="337BEE35" w14:textId="77777777" w:rsidR="007F092B" w:rsidRPr="00F16A76" w:rsidRDefault="007F092B" w:rsidP="00E30275">
            <w:pPr>
              <w:contextualSpacing/>
              <w:rPr>
                <w:rFonts w:ascii="Times New Roman" w:hAnsi="Times New Roman"/>
                <w:color w:val="000000" w:themeColor="text1"/>
                <w:szCs w:val="24"/>
              </w:rPr>
            </w:pPr>
            <w:r w:rsidRPr="00F16A76">
              <w:rPr>
                <w:rFonts w:ascii="Times New Roman" w:hAnsi="Times New Roman"/>
                <w:color w:val="000000" w:themeColor="text1"/>
                <w:szCs w:val="24"/>
              </w:rPr>
              <w:t xml:space="preserve">While in the </w:t>
            </w:r>
            <w:proofErr w:type="spellStart"/>
            <w:r w:rsidRPr="00F16A76">
              <w:rPr>
                <w:rFonts w:ascii="Times New Roman" w:hAnsi="Times New Roman"/>
                <w:color w:val="000000" w:themeColor="text1"/>
                <w:szCs w:val="24"/>
              </w:rPr>
              <w:t>malarious</w:t>
            </w:r>
            <w:proofErr w:type="spellEnd"/>
            <w:r w:rsidRPr="00F16A76">
              <w:rPr>
                <w:rFonts w:ascii="Times New Roman" w:hAnsi="Times New Roman"/>
                <w:color w:val="000000" w:themeColor="text1"/>
                <w:szCs w:val="24"/>
              </w:rPr>
              <w:t xml:space="preserve"> area</w:t>
            </w:r>
          </w:p>
        </w:tc>
        <w:tc>
          <w:tcPr>
            <w:tcW w:w="3038" w:type="dxa"/>
            <w:vAlign w:val="center"/>
          </w:tcPr>
          <w:p w14:paraId="346E30D6" w14:textId="77777777" w:rsidR="007F092B" w:rsidRPr="00073F5F" w:rsidRDefault="007F092B" w:rsidP="00E30275">
            <w:pPr>
              <w:contextualSpacing/>
              <w:rPr>
                <w:rFonts w:ascii="Times New Roman" w:hAnsi="Times New Roman"/>
                <w:color w:val="000000" w:themeColor="text1"/>
                <w:szCs w:val="24"/>
              </w:rPr>
            </w:pPr>
            <w:r w:rsidRPr="00F16A76">
              <w:rPr>
                <w:rFonts w:ascii="Times New Roman" w:hAnsi="Times New Roman"/>
                <w:color w:val="000000" w:themeColor="text1"/>
                <w:szCs w:val="24"/>
              </w:rPr>
              <w:t xml:space="preserve">200 mg (two of the 100 mg tablets) </w:t>
            </w:r>
            <w:r w:rsidRPr="00073F5F">
              <w:rPr>
                <w:rFonts w:ascii="Times New Roman" w:hAnsi="Times New Roman"/>
                <w:color w:val="000000" w:themeColor="text1"/>
                <w:szCs w:val="24"/>
                <w:u w:val="single"/>
              </w:rPr>
              <w:t>once weekly</w:t>
            </w:r>
            <w:r w:rsidRPr="00073F5F">
              <w:rPr>
                <w:rFonts w:ascii="Times New Roman" w:hAnsi="Times New Roman"/>
                <w:color w:val="000000" w:themeColor="text1"/>
                <w:szCs w:val="24"/>
              </w:rPr>
              <w:t xml:space="preserve"> – start seven day</w:t>
            </w:r>
            <w:r w:rsidR="008A5D06" w:rsidRPr="00073F5F">
              <w:rPr>
                <w:rFonts w:ascii="Times New Roman" w:hAnsi="Times New Roman"/>
                <w:color w:val="000000" w:themeColor="text1"/>
                <w:szCs w:val="24"/>
              </w:rPr>
              <w:t>s after the last loading</w:t>
            </w:r>
            <w:r w:rsidRPr="00073F5F">
              <w:rPr>
                <w:rFonts w:ascii="Times New Roman" w:hAnsi="Times New Roman"/>
                <w:color w:val="000000" w:themeColor="text1"/>
                <w:szCs w:val="24"/>
              </w:rPr>
              <w:t xml:space="preserve"> dose</w:t>
            </w:r>
            <w:r w:rsidR="00A477FC" w:rsidRPr="00073F5F">
              <w:rPr>
                <w:rFonts w:ascii="Times New Roman" w:hAnsi="Times New Roman"/>
                <w:color w:val="000000" w:themeColor="text1"/>
                <w:szCs w:val="24"/>
              </w:rPr>
              <w:t>.</w:t>
            </w:r>
          </w:p>
        </w:tc>
      </w:tr>
      <w:tr w:rsidR="008E7914" w:rsidRPr="00F16A76" w14:paraId="3ACFDE61" w14:textId="77777777" w:rsidTr="00073F5F">
        <w:tc>
          <w:tcPr>
            <w:tcW w:w="2319" w:type="dxa"/>
            <w:vAlign w:val="center"/>
          </w:tcPr>
          <w:p w14:paraId="75AC9E71" w14:textId="77777777" w:rsidR="007F092B" w:rsidRPr="00F16A76" w:rsidRDefault="008A5D06" w:rsidP="00E30275">
            <w:pPr>
              <w:contextualSpacing/>
              <w:rPr>
                <w:rFonts w:ascii="Times New Roman" w:hAnsi="Times New Roman"/>
                <w:color w:val="000000" w:themeColor="text1"/>
                <w:szCs w:val="24"/>
              </w:rPr>
            </w:pPr>
            <w:r w:rsidRPr="00F16A76">
              <w:rPr>
                <w:rFonts w:ascii="Times New Roman" w:hAnsi="Times New Roman"/>
                <w:color w:val="000000" w:themeColor="text1"/>
                <w:szCs w:val="24"/>
              </w:rPr>
              <w:t xml:space="preserve">Final </w:t>
            </w:r>
            <w:r w:rsidR="00181E98" w:rsidRPr="00F16A76">
              <w:rPr>
                <w:rFonts w:ascii="Times New Roman" w:hAnsi="Times New Roman"/>
                <w:color w:val="000000" w:themeColor="text1"/>
                <w:szCs w:val="24"/>
              </w:rPr>
              <w:t xml:space="preserve">(Terminal) </w:t>
            </w:r>
            <w:r w:rsidRPr="00F16A76">
              <w:rPr>
                <w:rFonts w:ascii="Times New Roman" w:hAnsi="Times New Roman"/>
                <w:color w:val="000000" w:themeColor="text1"/>
                <w:szCs w:val="24"/>
              </w:rPr>
              <w:t>Dose</w:t>
            </w:r>
          </w:p>
        </w:tc>
        <w:tc>
          <w:tcPr>
            <w:tcW w:w="3885" w:type="dxa"/>
            <w:vAlign w:val="center"/>
          </w:tcPr>
          <w:p w14:paraId="7A474511" w14:textId="77777777" w:rsidR="007F092B" w:rsidRPr="00F16A76" w:rsidRDefault="007F092B" w:rsidP="00E30275">
            <w:pPr>
              <w:contextualSpacing/>
              <w:rPr>
                <w:rFonts w:ascii="Times New Roman" w:hAnsi="Times New Roman"/>
                <w:color w:val="000000" w:themeColor="text1"/>
                <w:szCs w:val="24"/>
              </w:rPr>
            </w:pPr>
            <w:r w:rsidRPr="00F16A76">
              <w:rPr>
                <w:rFonts w:ascii="Times New Roman" w:hAnsi="Times New Roman"/>
                <w:color w:val="000000" w:themeColor="text1"/>
                <w:szCs w:val="24"/>
              </w:rPr>
              <w:t xml:space="preserve">In the week following exit from the </w:t>
            </w:r>
            <w:proofErr w:type="spellStart"/>
            <w:r w:rsidRPr="00F16A76">
              <w:rPr>
                <w:rFonts w:ascii="Times New Roman" w:hAnsi="Times New Roman"/>
                <w:color w:val="000000" w:themeColor="text1"/>
                <w:szCs w:val="24"/>
              </w:rPr>
              <w:t>malarious</w:t>
            </w:r>
            <w:proofErr w:type="spellEnd"/>
            <w:r w:rsidRPr="00F16A76">
              <w:rPr>
                <w:rFonts w:ascii="Times New Roman" w:hAnsi="Times New Roman"/>
                <w:color w:val="000000" w:themeColor="text1"/>
                <w:szCs w:val="24"/>
              </w:rPr>
              <w:t xml:space="preserve"> area</w:t>
            </w:r>
          </w:p>
          <w:p w14:paraId="1B31A33A" w14:textId="77777777" w:rsidR="00117F12" w:rsidRPr="00073F5F" w:rsidRDefault="00117F12" w:rsidP="00E30275">
            <w:pPr>
              <w:contextualSpacing/>
              <w:rPr>
                <w:rFonts w:ascii="Times New Roman" w:hAnsi="Times New Roman"/>
                <w:strike/>
                <w:color w:val="000000" w:themeColor="text1"/>
                <w:szCs w:val="24"/>
              </w:rPr>
            </w:pPr>
          </w:p>
        </w:tc>
        <w:tc>
          <w:tcPr>
            <w:tcW w:w="3038" w:type="dxa"/>
            <w:vAlign w:val="center"/>
          </w:tcPr>
          <w:p w14:paraId="5A4F99E5" w14:textId="77777777" w:rsidR="007F092B" w:rsidRPr="00073F5F" w:rsidRDefault="008A5D06" w:rsidP="00E30275">
            <w:pPr>
              <w:autoSpaceDE w:val="0"/>
              <w:autoSpaceDN w:val="0"/>
              <w:adjustRightInd w:val="0"/>
              <w:rPr>
                <w:rFonts w:ascii="Times New Roman" w:hAnsi="Times New Roman"/>
                <w:color w:val="000000" w:themeColor="text1"/>
                <w:sz w:val="24"/>
                <w:szCs w:val="24"/>
              </w:rPr>
            </w:pPr>
            <w:r w:rsidRPr="00073F5F">
              <w:rPr>
                <w:rFonts w:ascii="Times New Roman" w:hAnsi="Times New Roman"/>
                <w:color w:val="000000" w:themeColor="text1"/>
                <w:szCs w:val="24"/>
                <w:u w:val="single"/>
              </w:rPr>
              <w:t xml:space="preserve">Single </w:t>
            </w:r>
            <w:r w:rsidR="007F092B" w:rsidRPr="00073F5F">
              <w:rPr>
                <w:rFonts w:ascii="Times New Roman" w:hAnsi="Times New Roman"/>
                <w:color w:val="000000" w:themeColor="text1"/>
                <w:szCs w:val="24"/>
                <w:u w:val="single"/>
              </w:rPr>
              <w:t xml:space="preserve">200 mg </w:t>
            </w:r>
            <w:r w:rsidR="00651AC0" w:rsidRPr="00073F5F">
              <w:rPr>
                <w:rFonts w:ascii="Times New Roman" w:hAnsi="Times New Roman"/>
                <w:color w:val="000000" w:themeColor="text1"/>
                <w:szCs w:val="24"/>
                <w:u w:val="single"/>
              </w:rPr>
              <w:t>dose</w:t>
            </w:r>
            <w:r w:rsidR="00651AC0" w:rsidRPr="00073F5F">
              <w:rPr>
                <w:rFonts w:ascii="Times New Roman" w:hAnsi="Times New Roman"/>
                <w:color w:val="000000" w:themeColor="text1"/>
                <w:szCs w:val="24"/>
              </w:rPr>
              <w:t xml:space="preserve"> </w:t>
            </w:r>
            <w:r w:rsidR="007F092B" w:rsidRPr="00073F5F">
              <w:rPr>
                <w:rFonts w:ascii="Times New Roman" w:hAnsi="Times New Roman"/>
                <w:color w:val="000000" w:themeColor="text1"/>
                <w:szCs w:val="24"/>
              </w:rPr>
              <w:t>(two of the 100 mg tablets</w:t>
            </w:r>
            <w:r w:rsidRPr="00073F5F">
              <w:rPr>
                <w:rFonts w:ascii="Times New Roman" w:hAnsi="Times New Roman"/>
                <w:color w:val="000000" w:themeColor="text1"/>
                <w:szCs w:val="24"/>
              </w:rPr>
              <w:t xml:space="preserve">) </w:t>
            </w:r>
            <w:r w:rsidR="00651AC0" w:rsidRPr="00073F5F">
              <w:rPr>
                <w:rFonts w:ascii="Times New Roman" w:hAnsi="Times New Roman"/>
                <w:color w:val="000000" w:themeColor="text1"/>
                <w:szCs w:val="24"/>
              </w:rPr>
              <w:t>7 days after the last maintenance dose</w:t>
            </w:r>
            <w:r w:rsidRPr="00073F5F">
              <w:rPr>
                <w:rFonts w:ascii="Times New Roman" w:hAnsi="Times New Roman"/>
                <w:color w:val="000000" w:themeColor="text1"/>
                <w:szCs w:val="24"/>
              </w:rPr>
              <w:t>.</w:t>
            </w:r>
          </w:p>
        </w:tc>
      </w:tr>
    </w:tbl>
    <w:p w14:paraId="5392F033" w14:textId="77777777" w:rsidR="000658EC" w:rsidRPr="00F16A76" w:rsidRDefault="000658EC">
      <w:pPr>
        <w:spacing w:afterLines="200" w:after="480" w:line="240" w:lineRule="auto"/>
        <w:contextualSpacing/>
        <w:rPr>
          <w:rFonts w:ascii="Times New Roman" w:hAnsi="Times New Roman" w:cs="Times New Roman"/>
          <w:spacing w:val="-1"/>
          <w:szCs w:val="24"/>
          <w:lang w:val="en-US"/>
        </w:rPr>
      </w:pPr>
    </w:p>
    <w:p w14:paraId="4715C0E0" w14:textId="77777777" w:rsidR="00181E98" w:rsidRPr="00073F5F" w:rsidRDefault="00181E98">
      <w:pPr>
        <w:spacing w:afterLines="200" w:after="480" w:line="240" w:lineRule="auto"/>
        <w:contextualSpacing/>
        <w:rPr>
          <w:rFonts w:ascii="Times New Roman" w:hAnsi="Times New Roman" w:cs="Times New Roman"/>
          <w:spacing w:val="-1"/>
          <w:szCs w:val="24"/>
          <w:lang w:val="en-US"/>
        </w:rPr>
      </w:pPr>
      <w:r w:rsidRPr="00F16A76">
        <w:rPr>
          <w:rFonts w:ascii="Times New Roman" w:hAnsi="Times New Roman" w:cs="Times New Roman"/>
          <w:spacing w:val="-1"/>
          <w:szCs w:val="24"/>
          <w:lang w:val="en-US"/>
        </w:rPr>
        <w:t xml:space="preserve">Individuals need to complete the full course of KODATEF including loading and terminal doses. </w:t>
      </w:r>
      <w:r w:rsidRPr="00073F5F">
        <w:rPr>
          <w:rFonts w:ascii="Times New Roman" w:hAnsi="Times New Roman" w:cs="Times New Roman"/>
          <w:spacing w:val="-1"/>
          <w:lang w:val="en-US"/>
        </w:rPr>
        <w:t xml:space="preserve">If leaving the </w:t>
      </w:r>
      <w:proofErr w:type="spellStart"/>
      <w:r w:rsidRPr="00073F5F">
        <w:rPr>
          <w:rFonts w:ascii="Times New Roman" w:hAnsi="Times New Roman" w:cs="Times New Roman"/>
          <w:spacing w:val="-1"/>
          <w:lang w:val="en-US"/>
        </w:rPr>
        <w:t>malarious</w:t>
      </w:r>
      <w:proofErr w:type="spellEnd"/>
      <w:r w:rsidRPr="00073F5F">
        <w:rPr>
          <w:rFonts w:ascii="Times New Roman" w:hAnsi="Times New Roman" w:cs="Times New Roman"/>
          <w:spacing w:val="-1"/>
          <w:lang w:val="en-US"/>
        </w:rPr>
        <w:t xml:space="preserve"> area before the start of the </w:t>
      </w:r>
      <w:r w:rsidRPr="00073F5F">
        <w:rPr>
          <w:rFonts w:ascii="Times New Roman" w:hAnsi="Times New Roman" w:cs="Times New Roman"/>
          <w:color w:val="000000" w:themeColor="text1"/>
          <w:spacing w:val="-1"/>
          <w:lang w:val="en-US"/>
        </w:rPr>
        <w:t>maintenance regimen, a single terminal dose should be taken 7 days after the last dose of the loading regimen</w:t>
      </w:r>
      <w:r w:rsidRPr="00073F5F">
        <w:rPr>
          <w:rFonts w:ascii="Times New Roman" w:hAnsi="Times New Roman" w:cs="Times New Roman"/>
          <w:color w:val="000000" w:themeColor="text1"/>
          <w:spacing w:val="-1"/>
          <w:szCs w:val="24"/>
          <w:lang w:val="en-US"/>
        </w:rPr>
        <w:t>.</w:t>
      </w:r>
    </w:p>
    <w:p w14:paraId="28951DE1" w14:textId="77777777" w:rsidR="00181E98" w:rsidRPr="00073F5F" w:rsidRDefault="00181E98">
      <w:pPr>
        <w:spacing w:afterLines="200" w:after="480" w:line="240" w:lineRule="auto"/>
        <w:contextualSpacing/>
        <w:rPr>
          <w:rFonts w:ascii="Times New Roman" w:hAnsi="Times New Roman" w:cs="Times New Roman"/>
          <w:spacing w:val="-1"/>
          <w:szCs w:val="24"/>
          <w:lang w:val="en-US"/>
        </w:rPr>
      </w:pPr>
    </w:p>
    <w:p w14:paraId="7BA805AB" w14:textId="77777777" w:rsidR="00073F5F" w:rsidRDefault="007F092B">
      <w:pPr>
        <w:spacing w:afterLines="150" w:after="360" w:line="240" w:lineRule="auto"/>
        <w:rPr>
          <w:rFonts w:ascii="Times New Roman" w:hAnsi="Times New Roman" w:cs="Times New Roman"/>
          <w:spacing w:val="-1"/>
          <w:szCs w:val="24"/>
          <w:lang w:val="en-US"/>
        </w:rPr>
      </w:pPr>
      <w:r w:rsidRPr="00073F5F">
        <w:rPr>
          <w:rFonts w:ascii="Times New Roman" w:hAnsi="Times New Roman" w:cs="Times New Roman"/>
          <w:spacing w:val="-1"/>
          <w:szCs w:val="24"/>
          <w:u w:val="single"/>
          <w:lang w:val="en-US"/>
        </w:rPr>
        <w:t>Missed Doses</w:t>
      </w:r>
      <w:r w:rsidRPr="00073F5F">
        <w:rPr>
          <w:rFonts w:ascii="Times New Roman" w:hAnsi="Times New Roman" w:cs="Times New Roman"/>
          <w:spacing w:val="-1"/>
          <w:szCs w:val="24"/>
          <w:lang w:val="en-US"/>
        </w:rPr>
        <w:t xml:space="preserve">: </w:t>
      </w:r>
    </w:p>
    <w:p w14:paraId="77EE7584" w14:textId="77777777" w:rsidR="007F092B" w:rsidRPr="00073F5F" w:rsidRDefault="00073F5F" w:rsidP="00073F5F">
      <w:pPr>
        <w:pStyle w:val="Caption"/>
        <w:spacing w:before="0" w:after="0" w:line="240" w:lineRule="auto"/>
        <w:rPr>
          <w:color w:val="000000" w:themeColor="text1"/>
          <w:spacing w:val="-1"/>
        </w:rPr>
      </w:pPr>
      <w:r w:rsidRPr="005D0CD8">
        <w:rPr>
          <w:color w:val="000000" w:themeColor="text1"/>
        </w:rPr>
        <w:t xml:space="preserve">Table </w:t>
      </w:r>
      <w:r w:rsidR="00B43A53" w:rsidRPr="00F16A76">
        <w:rPr>
          <w:color w:val="000000" w:themeColor="text1"/>
        </w:rPr>
        <w:fldChar w:fldCharType="begin"/>
      </w:r>
      <w:r w:rsidRPr="00073F5F">
        <w:rPr>
          <w:color w:val="000000" w:themeColor="text1"/>
        </w:rPr>
        <w:instrText xml:space="preserve"> SEQ Table \* ARABIC </w:instrText>
      </w:r>
      <w:r w:rsidR="00B43A53" w:rsidRPr="00F16A76">
        <w:rPr>
          <w:color w:val="000000" w:themeColor="text1"/>
        </w:rPr>
        <w:fldChar w:fldCharType="separate"/>
      </w:r>
      <w:r w:rsidR="00045A9A">
        <w:rPr>
          <w:noProof/>
          <w:color w:val="000000" w:themeColor="text1"/>
        </w:rPr>
        <w:t>2</w:t>
      </w:r>
      <w:r w:rsidR="00B43A53" w:rsidRPr="00F16A76">
        <w:rPr>
          <w:color w:val="000000" w:themeColor="text1"/>
        </w:rPr>
        <w:fldChar w:fldCharType="end"/>
      </w:r>
      <w:r w:rsidRPr="00F16A76">
        <w:rPr>
          <w:color w:val="000000" w:themeColor="text1"/>
        </w:rPr>
        <w:t>:</w:t>
      </w:r>
      <w:r w:rsidRPr="00F16A76">
        <w:rPr>
          <w:color w:val="000000" w:themeColor="text1"/>
        </w:rPr>
        <w:tab/>
      </w:r>
      <w:r>
        <w:rPr>
          <w:color w:val="000000" w:themeColor="text1"/>
        </w:rPr>
        <w:t>Missed Doses of</w:t>
      </w:r>
      <w:r w:rsidRPr="00F16A76">
        <w:rPr>
          <w:color w:val="000000" w:themeColor="text1"/>
        </w:rPr>
        <w:t xml:space="preserve"> KODATEF</w:t>
      </w:r>
    </w:p>
    <w:tbl>
      <w:tblPr>
        <w:tblStyle w:val="TableGrid1"/>
        <w:tblW w:w="5000" w:type="pct"/>
        <w:tblLook w:val="04A0" w:firstRow="1" w:lastRow="0" w:firstColumn="1" w:lastColumn="0" w:noHBand="0" w:noVBand="1"/>
      </w:tblPr>
      <w:tblGrid>
        <w:gridCol w:w="3227"/>
        <w:gridCol w:w="6015"/>
      </w:tblGrid>
      <w:tr w:rsidR="00800884" w:rsidRPr="00F16A76" w14:paraId="68C21F56" w14:textId="77777777" w:rsidTr="00073F5F">
        <w:tc>
          <w:tcPr>
            <w:tcW w:w="1746" w:type="pct"/>
          </w:tcPr>
          <w:p w14:paraId="121F47A9" w14:textId="77777777" w:rsidR="00800884" w:rsidRPr="00073F5F" w:rsidRDefault="00800884" w:rsidP="00E30275">
            <w:pPr>
              <w:spacing w:before="0"/>
              <w:rPr>
                <w:rFonts w:ascii="Times New Roman" w:hAnsi="Times New Roman"/>
                <w:b/>
                <w:sz w:val="20"/>
                <w:szCs w:val="20"/>
              </w:rPr>
            </w:pPr>
            <w:r w:rsidRPr="00073F5F">
              <w:rPr>
                <w:rFonts w:ascii="Times New Roman" w:hAnsi="Times New Roman"/>
                <w:b/>
                <w:sz w:val="20"/>
                <w:szCs w:val="20"/>
              </w:rPr>
              <w:t>Dose(s) Missed</w:t>
            </w:r>
          </w:p>
        </w:tc>
        <w:tc>
          <w:tcPr>
            <w:tcW w:w="3254" w:type="pct"/>
          </w:tcPr>
          <w:p w14:paraId="550CD7DD" w14:textId="77777777" w:rsidR="00800884" w:rsidRPr="00073F5F" w:rsidRDefault="00800884" w:rsidP="00E30275">
            <w:pPr>
              <w:spacing w:before="0"/>
              <w:rPr>
                <w:rFonts w:ascii="Times New Roman" w:hAnsi="Times New Roman"/>
                <w:b/>
                <w:sz w:val="20"/>
                <w:szCs w:val="20"/>
              </w:rPr>
            </w:pPr>
            <w:r w:rsidRPr="00073F5F">
              <w:rPr>
                <w:rFonts w:ascii="Times New Roman" w:hAnsi="Times New Roman"/>
                <w:b/>
                <w:sz w:val="20"/>
                <w:szCs w:val="20"/>
              </w:rPr>
              <w:t xml:space="preserve">How to Replace Missed Dose(s): </w:t>
            </w:r>
          </w:p>
        </w:tc>
      </w:tr>
      <w:tr w:rsidR="00800884" w:rsidRPr="00F16A76" w14:paraId="5DDFAC46" w14:textId="77777777" w:rsidTr="00073F5F">
        <w:tc>
          <w:tcPr>
            <w:tcW w:w="1746" w:type="pct"/>
          </w:tcPr>
          <w:p w14:paraId="7A390F37"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1 Loading dose</w:t>
            </w:r>
          </w:p>
        </w:tc>
        <w:tc>
          <w:tcPr>
            <w:tcW w:w="3254" w:type="pct"/>
          </w:tcPr>
          <w:p w14:paraId="7A099D2C"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1 dose of 200 mg (2 of the 100 mg tablets) so that a total of 3 daily loading doses have been taken. Begin maintenance dose 1 week after the last loading dose.</w:t>
            </w:r>
          </w:p>
        </w:tc>
      </w:tr>
      <w:tr w:rsidR="00800884" w:rsidRPr="00F16A76" w14:paraId="526DA970" w14:textId="77777777" w:rsidTr="00073F5F">
        <w:tc>
          <w:tcPr>
            <w:tcW w:w="1746" w:type="pct"/>
          </w:tcPr>
          <w:p w14:paraId="68E0ED0B"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2 Loading doses</w:t>
            </w:r>
          </w:p>
        </w:tc>
        <w:tc>
          <w:tcPr>
            <w:tcW w:w="3254" w:type="pct"/>
          </w:tcPr>
          <w:p w14:paraId="17F2A341"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2 doses of 200 mg (2 of the 100 mg tablets) on 2 consecutive days so that a total of 3 daily loading doses have been taken. Begin maintenance dose 1 week after the last loading dose.</w:t>
            </w:r>
          </w:p>
        </w:tc>
      </w:tr>
      <w:tr w:rsidR="00800884" w:rsidRPr="00F16A76" w14:paraId="77F61FB2" w14:textId="77777777" w:rsidTr="00073F5F">
        <w:tc>
          <w:tcPr>
            <w:tcW w:w="1746" w:type="pct"/>
          </w:tcPr>
          <w:p w14:paraId="540A09B3"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 xml:space="preserve">1 Maintenance (weekly) dose </w:t>
            </w:r>
          </w:p>
        </w:tc>
        <w:tc>
          <w:tcPr>
            <w:tcW w:w="3254" w:type="pct"/>
          </w:tcPr>
          <w:p w14:paraId="2022F3F7"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1 dose of 200 mg (2 of the 100 mg tablets) on any day up to the time of the next scheduled weekly dose.</w:t>
            </w:r>
          </w:p>
        </w:tc>
      </w:tr>
      <w:tr w:rsidR="00800884" w:rsidRPr="00F16A76" w14:paraId="20868525" w14:textId="77777777" w:rsidTr="00073F5F">
        <w:tc>
          <w:tcPr>
            <w:tcW w:w="1746" w:type="pct"/>
          </w:tcPr>
          <w:p w14:paraId="382AEF1E"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2 Maintenance (weekly) doses</w:t>
            </w:r>
          </w:p>
        </w:tc>
        <w:tc>
          <w:tcPr>
            <w:tcW w:w="3254" w:type="pct"/>
          </w:tcPr>
          <w:p w14:paraId="62242AB0"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 xml:space="preserve">1 dose of 200 mg (2 of the 100 mg tablets) on any day up to the time of the next scheduled weekly dose. </w:t>
            </w:r>
          </w:p>
        </w:tc>
      </w:tr>
      <w:tr w:rsidR="00800884" w:rsidRPr="00F16A76" w14:paraId="7EC947D4" w14:textId="77777777" w:rsidTr="00073F5F">
        <w:tc>
          <w:tcPr>
            <w:tcW w:w="1746" w:type="pct"/>
          </w:tcPr>
          <w:p w14:paraId="63AEA2CC"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3 or more Maintenance (weekly) doses</w:t>
            </w:r>
          </w:p>
        </w:tc>
        <w:tc>
          <w:tcPr>
            <w:tcW w:w="3254" w:type="pct"/>
          </w:tcPr>
          <w:p w14:paraId="3DA85B74"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 xml:space="preserve">2 doses of 200 mg (2 of the 100 mg tablets), taken as 200 mg (2 of the 100 mg tablets) once daily for 2 days up to the time of the next weekly dose. </w:t>
            </w:r>
          </w:p>
        </w:tc>
      </w:tr>
      <w:tr w:rsidR="00800884" w:rsidRPr="00F16A76" w14:paraId="190BA1FD" w14:textId="77777777" w:rsidTr="00073F5F">
        <w:tc>
          <w:tcPr>
            <w:tcW w:w="1746" w:type="pct"/>
          </w:tcPr>
          <w:p w14:paraId="0AD5964A"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Terminal prophylaxis dose</w:t>
            </w:r>
          </w:p>
        </w:tc>
        <w:tc>
          <w:tcPr>
            <w:tcW w:w="3254" w:type="pct"/>
          </w:tcPr>
          <w:p w14:paraId="3EF35B8A" w14:textId="77777777" w:rsidR="00800884" w:rsidRPr="00073F5F" w:rsidRDefault="00800884" w:rsidP="00E30275">
            <w:pPr>
              <w:spacing w:before="0"/>
              <w:rPr>
                <w:rFonts w:ascii="Times New Roman" w:hAnsi="Times New Roman"/>
                <w:sz w:val="20"/>
                <w:szCs w:val="20"/>
              </w:rPr>
            </w:pPr>
            <w:r w:rsidRPr="00073F5F">
              <w:rPr>
                <w:rFonts w:ascii="Times New Roman" w:hAnsi="Times New Roman"/>
                <w:sz w:val="20"/>
                <w:szCs w:val="20"/>
              </w:rPr>
              <w:t>1 dose of 200 mg (2 of the 100 mg tablets) as soon as remembered.</w:t>
            </w:r>
          </w:p>
        </w:tc>
      </w:tr>
    </w:tbl>
    <w:p w14:paraId="6E522D1E" w14:textId="77777777" w:rsidR="00800884" w:rsidRPr="00F16A76" w:rsidRDefault="00800884">
      <w:pPr>
        <w:spacing w:afterLines="150" w:after="360" w:line="240" w:lineRule="auto"/>
        <w:rPr>
          <w:rFonts w:ascii="Times New Roman" w:hAnsi="Times New Roman" w:cs="Times New Roman"/>
          <w:spacing w:val="-1"/>
          <w:szCs w:val="24"/>
          <w:lang w:val="en-US"/>
        </w:rPr>
      </w:pPr>
    </w:p>
    <w:p w14:paraId="6199B94E" w14:textId="77777777" w:rsidR="001A3992" w:rsidRPr="00F16A76" w:rsidRDefault="001A3992" w:rsidP="009F52D5">
      <w:pPr>
        <w:pStyle w:val="Heading2"/>
        <w:spacing w:before="0" w:after="120" w:line="240" w:lineRule="auto"/>
        <w:rPr>
          <w:rFonts w:ascii="Times New Roman" w:hAnsi="Times New Roman" w:cs="Times New Roman"/>
        </w:rPr>
      </w:pPr>
      <w:r w:rsidRPr="00F16A76">
        <w:rPr>
          <w:rFonts w:ascii="Times New Roman" w:hAnsi="Times New Roman" w:cs="Times New Roman"/>
        </w:rPr>
        <w:t>Contraindications</w:t>
      </w:r>
    </w:p>
    <w:p w14:paraId="6166C445" w14:textId="77777777" w:rsidR="00FB4809" w:rsidRPr="00073F5F" w:rsidRDefault="00FB4809" w:rsidP="009F52D5">
      <w:pPr>
        <w:pStyle w:val="BodyText"/>
        <w:numPr>
          <w:ilvl w:val="0"/>
          <w:numId w:val="22"/>
        </w:numPr>
        <w:spacing w:before="0" w:after="200"/>
        <w:ind w:left="567" w:hanging="425"/>
        <w:rPr>
          <w:color w:val="000000" w:themeColor="text1"/>
          <w:spacing w:val="-4"/>
          <w:sz w:val="22"/>
          <w:szCs w:val="22"/>
          <w:lang w:val="en-US"/>
        </w:rPr>
      </w:pPr>
      <w:r w:rsidRPr="00F16A76">
        <w:rPr>
          <w:color w:val="000000" w:themeColor="text1"/>
          <w:spacing w:val="-4"/>
          <w:sz w:val="22"/>
          <w:szCs w:val="22"/>
          <w:lang w:val="en-US"/>
        </w:rPr>
        <w:t xml:space="preserve">Individuals with G6PD deficiency or unknown G6PD status due to the risk of </w:t>
      </w:r>
      <w:proofErr w:type="spellStart"/>
      <w:r w:rsidRPr="00F16A76">
        <w:rPr>
          <w:color w:val="000000" w:themeColor="text1"/>
          <w:spacing w:val="-4"/>
          <w:sz w:val="22"/>
          <w:szCs w:val="22"/>
          <w:lang w:val="en-US"/>
        </w:rPr>
        <w:t>haemolytic</w:t>
      </w:r>
      <w:proofErr w:type="spellEnd"/>
      <w:r w:rsidRPr="00F16A76">
        <w:rPr>
          <w:color w:val="000000" w:themeColor="text1"/>
          <w:spacing w:val="-4"/>
          <w:sz w:val="22"/>
          <w:szCs w:val="22"/>
          <w:lang w:val="en-US"/>
        </w:rPr>
        <w:t xml:space="preserve"> </w:t>
      </w:r>
      <w:proofErr w:type="spellStart"/>
      <w:r w:rsidRPr="00F16A76">
        <w:rPr>
          <w:color w:val="000000" w:themeColor="text1"/>
          <w:spacing w:val="-4"/>
          <w:sz w:val="22"/>
          <w:szCs w:val="22"/>
          <w:lang w:val="en-US"/>
        </w:rPr>
        <w:t>anaemia</w:t>
      </w:r>
      <w:proofErr w:type="spellEnd"/>
      <w:r w:rsidR="00705FCF" w:rsidRPr="00F16A76">
        <w:rPr>
          <w:color w:val="000000" w:themeColor="text1"/>
          <w:spacing w:val="-4"/>
          <w:sz w:val="22"/>
          <w:szCs w:val="22"/>
          <w:lang w:val="en-US"/>
        </w:rPr>
        <w:t xml:space="preserve"> (subs</w:t>
      </w:r>
      <w:r w:rsidRPr="00073F5F">
        <w:rPr>
          <w:color w:val="000000" w:themeColor="text1"/>
          <w:spacing w:val="-4"/>
          <w:sz w:val="22"/>
          <w:szCs w:val="22"/>
          <w:lang w:val="en-US"/>
        </w:rPr>
        <w:t xml:space="preserve">ection 4.4 </w:t>
      </w:r>
      <w:r w:rsidR="008823FE" w:rsidRPr="00073F5F">
        <w:rPr>
          <w:color w:val="000000" w:themeColor="text1"/>
          <w:spacing w:val="-4"/>
          <w:sz w:val="22"/>
          <w:szCs w:val="22"/>
          <w:lang w:val="en-US"/>
        </w:rPr>
        <w:t>–</w:t>
      </w:r>
      <w:r w:rsidRPr="00073F5F">
        <w:rPr>
          <w:color w:val="000000" w:themeColor="text1"/>
          <w:spacing w:val="-4"/>
          <w:sz w:val="22"/>
          <w:szCs w:val="22"/>
          <w:lang w:val="en-US"/>
        </w:rPr>
        <w:t xml:space="preserve"> </w:t>
      </w:r>
      <w:r w:rsidR="008823FE" w:rsidRPr="00073F5F">
        <w:rPr>
          <w:color w:val="000000" w:themeColor="text1"/>
          <w:spacing w:val="-4"/>
          <w:sz w:val="22"/>
          <w:szCs w:val="22"/>
          <w:lang w:val="en-US"/>
        </w:rPr>
        <w:t xml:space="preserve">see </w:t>
      </w:r>
      <w:r w:rsidR="00705FCF" w:rsidRPr="00073F5F">
        <w:rPr>
          <w:color w:val="000000" w:themeColor="text1"/>
        </w:rPr>
        <w:t>SPECIAL WARNINGS AND PRECAUTIONS FOR USE</w:t>
      </w:r>
      <w:r w:rsidRPr="00073F5F">
        <w:rPr>
          <w:color w:val="000000" w:themeColor="text1"/>
          <w:spacing w:val="-4"/>
          <w:sz w:val="22"/>
          <w:szCs w:val="22"/>
          <w:lang w:val="en-US"/>
        </w:rPr>
        <w:t>).</w:t>
      </w:r>
    </w:p>
    <w:p w14:paraId="3E846A3A" w14:textId="77777777" w:rsidR="00F93C2A" w:rsidRPr="009C552C" w:rsidRDefault="00FB4809" w:rsidP="009F52D5">
      <w:pPr>
        <w:pStyle w:val="BodyText"/>
        <w:numPr>
          <w:ilvl w:val="0"/>
          <w:numId w:val="22"/>
        </w:numPr>
        <w:spacing w:before="0" w:after="200"/>
        <w:ind w:left="567" w:hanging="425"/>
        <w:rPr>
          <w:color w:val="000000" w:themeColor="text1"/>
          <w:sz w:val="22"/>
          <w:szCs w:val="22"/>
        </w:rPr>
      </w:pPr>
      <w:r w:rsidRPr="009C552C">
        <w:rPr>
          <w:color w:val="000000" w:themeColor="text1"/>
          <w:sz w:val="22"/>
          <w:szCs w:val="22"/>
        </w:rPr>
        <w:t>Pregnancy and</w:t>
      </w:r>
      <w:r w:rsidRPr="009C552C">
        <w:rPr>
          <w:color w:val="000000" w:themeColor="text1"/>
          <w:spacing w:val="-2"/>
          <w:sz w:val="22"/>
          <w:szCs w:val="22"/>
        </w:rPr>
        <w:t xml:space="preserve"> </w:t>
      </w:r>
      <w:r w:rsidRPr="009C552C">
        <w:rPr>
          <w:color w:val="000000" w:themeColor="text1"/>
          <w:sz w:val="22"/>
          <w:szCs w:val="22"/>
        </w:rPr>
        <w:t xml:space="preserve">Lactation </w:t>
      </w:r>
      <w:r w:rsidR="008823FE" w:rsidRPr="009C552C">
        <w:rPr>
          <w:color w:val="000000" w:themeColor="text1"/>
          <w:sz w:val="22"/>
          <w:szCs w:val="22"/>
        </w:rPr>
        <w:t xml:space="preserve">(see </w:t>
      </w:r>
      <w:r w:rsidR="00705FCF" w:rsidRPr="009C552C">
        <w:rPr>
          <w:color w:val="000000" w:themeColor="text1"/>
          <w:spacing w:val="-4"/>
          <w:sz w:val="22"/>
          <w:szCs w:val="22"/>
          <w:lang w:val="en-US"/>
        </w:rPr>
        <w:t>subsection 4.6</w:t>
      </w:r>
      <w:r w:rsidRPr="009C552C">
        <w:rPr>
          <w:color w:val="000000" w:themeColor="text1"/>
          <w:spacing w:val="-4"/>
          <w:sz w:val="22"/>
          <w:szCs w:val="22"/>
          <w:lang w:val="en-US"/>
        </w:rPr>
        <w:t xml:space="preserve"> </w:t>
      </w:r>
      <w:r w:rsidR="00705FCF" w:rsidRPr="009C552C">
        <w:rPr>
          <w:color w:val="000000" w:themeColor="text1"/>
          <w:spacing w:val="-4"/>
          <w:sz w:val="22"/>
          <w:szCs w:val="22"/>
          <w:lang w:val="en-US"/>
        </w:rPr>
        <w:t>–</w:t>
      </w:r>
      <w:r w:rsidRPr="009C552C">
        <w:rPr>
          <w:color w:val="000000" w:themeColor="text1"/>
          <w:spacing w:val="-4"/>
          <w:sz w:val="22"/>
          <w:szCs w:val="22"/>
          <w:lang w:val="en-US"/>
        </w:rPr>
        <w:t xml:space="preserve"> </w:t>
      </w:r>
      <w:r w:rsidR="00705FCF" w:rsidRPr="009C552C">
        <w:rPr>
          <w:color w:val="000000" w:themeColor="text1"/>
          <w:sz w:val="22"/>
          <w:szCs w:val="22"/>
        </w:rPr>
        <w:t>FERTILITY, PREGNANCY AND LACTATION</w:t>
      </w:r>
      <w:r w:rsidRPr="009C552C">
        <w:rPr>
          <w:color w:val="000000" w:themeColor="text1"/>
          <w:spacing w:val="-4"/>
          <w:sz w:val="22"/>
          <w:szCs w:val="22"/>
          <w:lang w:val="en-US"/>
        </w:rPr>
        <w:t>).</w:t>
      </w:r>
    </w:p>
    <w:p w14:paraId="78EC00C5" w14:textId="77777777" w:rsidR="00F93C2A" w:rsidRPr="00F93C2A" w:rsidRDefault="00FB4809" w:rsidP="00F93C2A">
      <w:pPr>
        <w:pStyle w:val="BodyText"/>
        <w:numPr>
          <w:ilvl w:val="0"/>
          <w:numId w:val="22"/>
        </w:numPr>
        <w:spacing w:before="0" w:after="200"/>
        <w:ind w:left="567" w:hanging="425"/>
        <w:rPr>
          <w:color w:val="000000" w:themeColor="text1"/>
          <w:sz w:val="22"/>
          <w:szCs w:val="22"/>
        </w:rPr>
      </w:pPr>
      <w:r w:rsidRPr="00F93C2A">
        <w:rPr>
          <w:color w:val="000000" w:themeColor="text1"/>
          <w:sz w:val="22"/>
          <w:szCs w:val="22"/>
        </w:rPr>
        <w:lastRenderedPageBreak/>
        <w:t>Subjects with</w:t>
      </w:r>
      <w:r w:rsidR="00073F5F" w:rsidRPr="00F93C2A">
        <w:rPr>
          <w:color w:val="000000" w:themeColor="text1"/>
          <w:sz w:val="22"/>
          <w:szCs w:val="22"/>
        </w:rPr>
        <w:t xml:space="preserve"> current or history of psychosis</w:t>
      </w:r>
      <w:r w:rsidRPr="00F93C2A">
        <w:rPr>
          <w:color w:val="000000" w:themeColor="text1"/>
          <w:sz w:val="22"/>
          <w:szCs w:val="22"/>
        </w:rPr>
        <w:t xml:space="preserve"> </w:t>
      </w:r>
      <w:r w:rsidRPr="00F93C2A">
        <w:rPr>
          <w:color w:val="000000" w:themeColor="text1"/>
          <w:spacing w:val="-4"/>
          <w:sz w:val="22"/>
          <w:szCs w:val="22"/>
          <w:lang w:val="en-US"/>
        </w:rPr>
        <w:t>(</w:t>
      </w:r>
      <w:r w:rsidR="008823FE" w:rsidRPr="00F93C2A">
        <w:rPr>
          <w:color w:val="000000" w:themeColor="text1"/>
          <w:spacing w:val="-4"/>
          <w:sz w:val="22"/>
          <w:szCs w:val="22"/>
          <w:lang w:val="en-US"/>
        </w:rPr>
        <w:t xml:space="preserve">see </w:t>
      </w:r>
      <w:r w:rsidR="00705FCF" w:rsidRPr="00F93C2A">
        <w:rPr>
          <w:color w:val="000000" w:themeColor="text1"/>
          <w:spacing w:val="-4"/>
          <w:sz w:val="22"/>
          <w:szCs w:val="22"/>
          <w:lang w:val="en-US"/>
        </w:rPr>
        <w:t>subs</w:t>
      </w:r>
      <w:r w:rsidRPr="00F93C2A">
        <w:rPr>
          <w:color w:val="000000" w:themeColor="text1"/>
          <w:spacing w:val="-4"/>
          <w:sz w:val="22"/>
          <w:szCs w:val="22"/>
          <w:lang w:val="en-US"/>
        </w:rPr>
        <w:t xml:space="preserve">ection 4.4 - </w:t>
      </w:r>
      <w:r w:rsidR="00705FCF" w:rsidRPr="00F93C2A">
        <w:rPr>
          <w:color w:val="000000" w:themeColor="text1"/>
          <w:sz w:val="22"/>
          <w:szCs w:val="22"/>
        </w:rPr>
        <w:t>SPECIAL WARNINGS AND PRECAUTIONS FOR USE</w:t>
      </w:r>
      <w:r w:rsidRPr="00F93C2A">
        <w:rPr>
          <w:color w:val="000000" w:themeColor="text1"/>
          <w:spacing w:val="-4"/>
          <w:sz w:val="22"/>
          <w:szCs w:val="22"/>
          <w:lang w:val="en-US"/>
        </w:rPr>
        <w:t>).</w:t>
      </w:r>
    </w:p>
    <w:p w14:paraId="10E66D45" w14:textId="77777777" w:rsidR="0092366F" w:rsidRPr="00760EB4" w:rsidRDefault="00FB4809" w:rsidP="00F93C2A">
      <w:pPr>
        <w:pStyle w:val="BodyText"/>
        <w:numPr>
          <w:ilvl w:val="0"/>
          <w:numId w:val="22"/>
        </w:numPr>
        <w:spacing w:before="0" w:after="200"/>
        <w:ind w:left="567" w:hanging="425"/>
        <w:rPr>
          <w:color w:val="000000" w:themeColor="text1"/>
          <w:spacing w:val="-4"/>
          <w:sz w:val="22"/>
          <w:szCs w:val="22"/>
          <w:lang w:val="en-US"/>
        </w:rPr>
      </w:pPr>
      <w:r w:rsidRPr="00F93C2A">
        <w:rPr>
          <w:color w:val="000000" w:themeColor="text1"/>
          <w:sz w:val="22"/>
          <w:szCs w:val="22"/>
        </w:rPr>
        <w:t xml:space="preserve">Known hypersensitivity to </w:t>
      </w:r>
      <w:proofErr w:type="spellStart"/>
      <w:r w:rsidRPr="00F93C2A">
        <w:rPr>
          <w:color w:val="000000" w:themeColor="text1"/>
          <w:sz w:val="22"/>
          <w:szCs w:val="22"/>
        </w:rPr>
        <w:t>tafenoquine</w:t>
      </w:r>
      <w:proofErr w:type="spellEnd"/>
      <w:r w:rsidRPr="00F93C2A">
        <w:rPr>
          <w:color w:val="000000" w:themeColor="text1"/>
          <w:sz w:val="22"/>
          <w:szCs w:val="22"/>
        </w:rPr>
        <w:t>, other 8-aminoquinolines, or any other component of KODATEF formulation.</w:t>
      </w:r>
      <w:r w:rsidR="00D335C5" w:rsidRPr="00F93C2A">
        <w:rPr>
          <w:color w:val="000000" w:themeColor="text1"/>
          <w:sz w:val="22"/>
          <w:szCs w:val="22"/>
        </w:rPr>
        <w:t xml:space="preserve"> Due to the long half-life of </w:t>
      </w:r>
      <w:proofErr w:type="spellStart"/>
      <w:r w:rsidR="00D335C5" w:rsidRPr="00F93C2A">
        <w:rPr>
          <w:color w:val="000000" w:themeColor="text1"/>
          <w:sz w:val="22"/>
          <w:szCs w:val="22"/>
        </w:rPr>
        <w:t>tafenoquine</w:t>
      </w:r>
      <w:proofErr w:type="spellEnd"/>
      <w:r w:rsidR="00D335C5" w:rsidRPr="00F93C2A">
        <w:rPr>
          <w:color w:val="000000" w:themeColor="text1"/>
          <w:sz w:val="22"/>
          <w:szCs w:val="22"/>
        </w:rPr>
        <w:t xml:space="preserve"> (</w:t>
      </w:r>
      <w:r w:rsidR="00705FCF" w:rsidRPr="00F93C2A">
        <w:rPr>
          <w:color w:val="000000" w:themeColor="text1"/>
          <w:sz w:val="22"/>
          <w:szCs w:val="22"/>
        </w:rPr>
        <w:t>up to 17</w:t>
      </w:r>
      <w:r w:rsidR="00D335C5" w:rsidRPr="002D7C1D">
        <w:rPr>
          <w:color w:val="000000" w:themeColor="text1"/>
          <w:sz w:val="22"/>
          <w:szCs w:val="22"/>
        </w:rPr>
        <w:t xml:space="preserve"> days), hypersensitivity reactions may be delayed in onset and/or duration.</w:t>
      </w:r>
    </w:p>
    <w:p w14:paraId="72FAB286" w14:textId="77777777" w:rsidR="001A3992" w:rsidRPr="00073F5F" w:rsidRDefault="00E74A56" w:rsidP="009F52D5">
      <w:pPr>
        <w:pStyle w:val="Heading2"/>
        <w:spacing w:before="0" w:after="120" w:line="240" w:lineRule="auto"/>
        <w:rPr>
          <w:rFonts w:ascii="Times New Roman" w:hAnsi="Times New Roman" w:cs="Times New Roman"/>
        </w:rPr>
      </w:pPr>
      <w:r w:rsidRPr="00073F5F">
        <w:rPr>
          <w:rFonts w:ascii="Times New Roman" w:hAnsi="Times New Roman" w:cs="Times New Roman"/>
        </w:rPr>
        <w:t>Special warnings and p</w:t>
      </w:r>
      <w:r w:rsidR="001A3992" w:rsidRPr="00073F5F">
        <w:rPr>
          <w:rFonts w:ascii="Times New Roman" w:hAnsi="Times New Roman" w:cs="Times New Roman"/>
        </w:rPr>
        <w:t xml:space="preserve">recautions </w:t>
      </w:r>
      <w:r w:rsidRPr="00073F5F">
        <w:rPr>
          <w:rFonts w:ascii="Times New Roman" w:hAnsi="Times New Roman" w:cs="Times New Roman"/>
        </w:rPr>
        <w:t>for use</w:t>
      </w:r>
      <w:r w:rsidR="009A1424" w:rsidRPr="00073F5F">
        <w:rPr>
          <w:rFonts w:ascii="Times New Roman" w:hAnsi="Times New Roman" w:cs="Times New Roman"/>
        </w:rPr>
        <w:t xml:space="preserve"> </w:t>
      </w:r>
    </w:p>
    <w:p w14:paraId="169FC34E" w14:textId="77777777" w:rsidR="00D335C5" w:rsidRPr="00073F5F" w:rsidRDefault="00D335C5" w:rsidP="0069092D">
      <w:pPr>
        <w:pStyle w:val="BodyText"/>
        <w:spacing w:before="0" w:after="200"/>
        <w:ind w:left="0"/>
        <w:outlineLvl w:val="2"/>
        <w:rPr>
          <w:b/>
          <w:spacing w:val="-4"/>
          <w:sz w:val="22"/>
          <w:szCs w:val="22"/>
          <w:lang w:val="en-US"/>
        </w:rPr>
      </w:pPr>
      <w:r w:rsidRPr="00073F5F">
        <w:rPr>
          <w:b/>
          <w:spacing w:val="-4"/>
          <w:sz w:val="22"/>
          <w:szCs w:val="22"/>
          <w:lang w:val="en-US"/>
        </w:rPr>
        <w:t xml:space="preserve">G6PD </w:t>
      </w:r>
      <w:r w:rsidR="00134494" w:rsidRPr="00073F5F">
        <w:rPr>
          <w:b/>
          <w:spacing w:val="-4"/>
          <w:sz w:val="22"/>
          <w:szCs w:val="22"/>
          <w:lang w:val="en-US"/>
        </w:rPr>
        <w:t xml:space="preserve">enzyme </w:t>
      </w:r>
      <w:r w:rsidRPr="00073F5F">
        <w:rPr>
          <w:b/>
          <w:spacing w:val="-4"/>
          <w:sz w:val="22"/>
          <w:szCs w:val="22"/>
          <w:lang w:val="en-US"/>
        </w:rPr>
        <w:t>deficiency</w:t>
      </w:r>
    </w:p>
    <w:p w14:paraId="0A144E4C" w14:textId="77777777" w:rsidR="00D335C5" w:rsidRPr="00366F7C" w:rsidRDefault="00D335C5" w:rsidP="009F52D5">
      <w:pPr>
        <w:pStyle w:val="BodyText"/>
        <w:spacing w:before="0" w:after="200"/>
        <w:ind w:left="0"/>
        <w:rPr>
          <w:b/>
          <w:spacing w:val="-4"/>
          <w:sz w:val="22"/>
          <w:szCs w:val="22"/>
          <w:lang w:val="en-US"/>
        </w:rPr>
      </w:pPr>
      <w:r w:rsidRPr="00366F7C">
        <w:rPr>
          <w:sz w:val="22"/>
          <w:szCs w:val="22"/>
        </w:rPr>
        <w:t xml:space="preserve">G6PD deficiency should be excluded before prescribing KODATEF due to the risk of haemolytic anaemia in patients with G6PD deficiency. Physicians need to be aware of residual or unrecognised risk of haemolysis due to limitations of the G6PD tests. In clinical trials, declines in haemoglobin levels have been reported in </w:t>
      </w:r>
      <w:r w:rsidR="00134494" w:rsidRPr="00366F7C">
        <w:rPr>
          <w:sz w:val="22"/>
          <w:szCs w:val="22"/>
        </w:rPr>
        <w:t>patients with normal G6PD enzyme levels</w:t>
      </w:r>
      <w:r w:rsidRPr="00366F7C">
        <w:rPr>
          <w:sz w:val="22"/>
          <w:szCs w:val="22"/>
        </w:rPr>
        <w:t>. Monitor patients for clinical signs or symptoms of haemolysis</w:t>
      </w:r>
      <w:r w:rsidRPr="00366F7C">
        <w:rPr>
          <w:i/>
          <w:sz w:val="22"/>
          <w:szCs w:val="22"/>
        </w:rPr>
        <w:t>.</w:t>
      </w:r>
      <w:r w:rsidRPr="00366F7C">
        <w:rPr>
          <w:sz w:val="22"/>
          <w:szCs w:val="22"/>
        </w:rPr>
        <w:t xml:space="preserve"> Advise patients to discontinue KODATEF and seek medical attention if signs of haemolysis occur</w:t>
      </w:r>
      <w:r w:rsidR="0010244A" w:rsidRPr="0010244A">
        <w:rPr>
          <w:spacing w:val="-4"/>
          <w:sz w:val="22"/>
          <w:szCs w:val="22"/>
          <w:lang w:val="en-US"/>
        </w:rPr>
        <w:t>.</w:t>
      </w:r>
    </w:p>
    <w:p w14:paraId="480C6D9C" w14:textId="77777777" w:rsidR="00D335C5" w:rsidRPr="00366F7C" w:rsidRDefault="00134494" w:rsidP="0069092D">
      <w:pPr>
        <w:pStyle w:val="BodyText"/>
        <w:spacing w:before="0" w:after="200"/>
        <w:ind w:left="0"/>
        <w:outlineLvl w:val="2"/>
        <w:rPr>
          <w:b/>
          <w:sz w:val="22"/>
          <w:szCs w:val="22"/>
        </w:rPr>
      </w:pPr>
      <w:r w:rsidRPr="00366F7C">
        <w:rPr>
          <w:b/>
          <w:sz w:val="22"/>
          <w:szCs w:val="22"/>
        </w:rPr>
        <w:t>Psychiatric Effects</w:t>
      </w:r>
    </w:p>
    <w:p w14:paraId="1FD5D5C3" w14:textId="77777777" w:rsidR="00D335C5" w:rsidRPr="00366F7C" w:rsidRDefault="00D335C5" w:rsidP="009F52D5">
      <w:pPr>
        <w:autoSpaceDE w:val="0"/>
        <w:autoSpaceDN w:val="0"/>
        <w:adjustRightInd w:val="0"/>
        <w:spacing w:after="0" w:line="240" w:lineRule="auto"/>
        <w:rPr>
          <w:rFonts w:ascii="Times New Roman" w:hAnsi="Times New Roman" w:cs="Times New Roman"/>
        </w:rPr>
      </w:pPr>
      <w:r w:rsidRPr="00366F7C">
        <w:rPr>
          <w:rFonts w:ascii="Times New Roman" w:hAnsi="Times New Roman" w:cs="Times New Roman"/>
        </w:rPr>
        <w:t xml:space="preserve">In patients receiving KODATEF in clinical trials, </w:t>
      </w:r>
      <w:r w:rsidR="00134494" w:rsidRPr="00366F7C">
        <w:rPr>
          <w:rFonts w:ascii="Times New Roman" w:hAnsi="Times New Roman" w:cs="Times New Roman"/>
        </w:rPr>
        <w:t>adverse psychiatric</w:t>
      </w:r>
      <w:r w:rsidRPr="00366F7C">
        <w:rPr>
          <w:rFonts w:ascii="Times New Roman" w:hAnsi="Times New Roman" w:cs="Times New Roman"/>
        </w:rPr>
        <w:t xml:space="preserve"> reactions included sleep disturbances (2.5%), depression/depressed mood (0.3%), and anxiety (0.2%). KODATEF was discontinued in </w:t>
      </w:r>
      <w:r w:rsidR="00CC383B">
        <w:rPr>
          <w:rFonts w:ascii="Times New Roman" w:hAnsi="Times New Roman" w:cs="Times New Roman"/>
        </w:rPr>
        <w:t>one</w:t>
      </w:r>
      <w:r w:rsidRPr="00366F7C">
        <w:rPr>
          <w:rFonts w:ascii="Times New Roman" w:hAnsi="Times New Roman" w:cs="Times New Roman"/>
        </w:rPr>
        <w:t xml:space="preserve"> sub</w:t>
      </w:r>
      <w:r w:rsidR="00134494" w:rsidRPr="00366F7C">
        <w:rPr>
          <w:rFonts w:ascii="Times New Roman" w:hAnsi="Times New Roman" w:cs="Times New Roman"/>
        </w:rPr>
        <w:t>ject with a reported</w:t>
      </w:r>
      <w:r w:rsidRPr="00366F7C">
        <w:rPr>
          <w:rFonts w:ascii="Times New Roman" w:hAnsi="Times New Roman" w:cs="Times New Roman"/>
        </w:rPr>
        <w:t xml:space="preserve"> adverse reaction of suicide attempt</w:t>
      </w:r>
      <w:r w:rsidR="00753647" w:rsidRPr="00366F7C">
        <w:rPr>
          <w:rFonts w:ascii="Times New Roman" w:hAnsi="Times New Roman" w:cs="Times New Roman"/>
        </w:rPr>
        <w:t xml:space="preserve"> </w:t>
      </w:r>
      <w:r w:rsidR="004749BC">
        <w:rPr>
          <w:rFonts w:ascii="Times New Roman" w:hAnsi="Times New Roman" w:cs="Times New Roman"/>
        </w:rPr>
        <w:t xml:space="preserve">(0.1%) </w:t>
      </w:r>
      <w:r w:rsidR="00753647" w:rsidRPr="00366F7C">
        <w:rPr>
          <w:rFonts w:ascii="Times New Roman" w:hAnsi="Times New Roman" w:cs="Times New Roman"/>
        </w:rPr>
        <w:t>deemed unrelated to KODATEF</w:t>
      </w:r>
      <w:r w:rsidR="00A75986">
        <w:rPr>
          <w:rFonts w:ascii="Times New Roman" w:hAnsi="Times New Roman" w:cs="Times New Roman"/>
        </w:rPr>
        <w:t xml:space="preserve"> by the Investigator</w:t>
      </w:r>
      <w:r w:rsidRPr="00366F7C">
        <w:rPr>
          <w:rFonts w:ascii="Times New Roman" w:hAnsi="Times New Roman" w:cs="Times New Roman"/>
        </w:rPr>
        <w:t xml:space="preserve">. </w:t>
      </w:r>
      <w:r w:rsidR="00E832FF">
        <w:rPr>
          <w:rFonts w:ascii="Times New Roman" w:hAnsi="Times New Roman" w:cs="Times New Roman"/>
        </w:rPr>
        <w:t>S</w:t>
      </w:r>
      <w:r w:rsidRPr="00366F7C">
        <w:rPr>
          <w:rFonts w:ascii="Times New Roman" w:hAnsi="Times New Roman" w:cs="Times New Roman"/>
        </w:rPr>
        <w:t xml:space="preserve">ubjects with a history of psychiatric disorders were excluded from the pivotal clinical </w:t>
      </w:r>
      <w:r w:rsidR="00F93C2A">
        <w:rPr>
          <w:rFonts w:ascii="Times New Roman" w:hAnsi="Times New Roman" w:cs="Times New Roman"/>
        </w:rPr>
        <w:t>study</w:t>
      </w:r>
      <w:r w:rsidR="00A01E2C" w:rsidRPr="00366F7C">
        <w:rPr>
          <w:rFonts w:ascii="Times New Roman" w:hAnsi="Times New Roman" w:cs="Times New Roman"/>
        </w:rPr>
        <w:t xml:space="preserve"> </w:t>
      </w:r>
      <w:r w:rsidR="00E832FF">
        <w:rPr>
          <w:rFonts w:ascii="Times New Roman" w:hAnsi="Times New Roman" w:cs="Times New Roman"/>
        </w:rPr>
        <w:t>(</w:t>
      </w:r>
      <w:r w:rsidR="00F93C2A">
        <w:rPr>
          <w:rFonts w:ascii="Times New Roman" w:hAnsi="Times New Roman" w:cs="Times New Roman"/>
        </w:rPr>
        <w:t>trial</w:t>
      </w:r>
      <w:r w:rsidR="00E832FF">
        <w:rPr>
          <w:rFonts w:ascii="Times New Roman" w:hAnsi="Times New Roman" w:cs="Times New Roman"/>
        </w:rPr>
        <w:t xml:space="preserve"> 033) </w:t>
      </w:r>
      <w:r w:rsidRPr="00366F7C">
        <w:rPr>
          <w:rFonts w:ascii="Times New Roman" w:hAnsi="Times New Roman" w:cs="Times New Roman"/>
        </w:rPr>
        <w:t>supporting the use of KODATEF for prophylaxis of malaria.</w:t>
      </w:r>
      <w:r w:rsidR="00C34049" w:rsidRPr="00366F7C">
        <w:rPr>
          <w:rFonts w:ascii="Times New Roman" w:hAnsi="Times New Roman" w:cs="Times New Roman"/>
        </w:rPr>
        <w:t xml:space="preserve"> Serious psychiatric disorders such as psychosis and depression have been associated wi</w:t>
      </w:r>
      <w:r w:rsidR="00134494" w:rsidRPr="00366F7C">
        <w:rPr>
          <w:rFonts w:ascii="Times New Roman" w:hAnsi="Times New Roman" w:cs="Times New Roman"/>
        </w:rPr>
        <w:t xml:space="preserve">th some </w:t>
      </w:r>
      <w:proofErr w:type="spellStart"/>
      <w:r w:rsidR="00134494" w:rsidRPr="00366F7C">
        <w:rPr>
          <w:rFonts w:ascii="Times New Roman" w:hAnsi="Times New Roman" w:cs="Times New Roman"/>
        </w:rPr>
        <w:t>quinoline</w:t>
      </w:r>
      <w:proofErr w:type="spellEnd"/>
      <w:r w:rsidR="00134494" w:rsidRPr="00366F7C">
        <w:rPr>
          <w:rFonts w:ascii="Times New Roman" w:hAnsi="Times New Roman" w:cs="Times New Roman"/>
        </w:rPr>
        <w:t xml:space="preserve"> anti-malarial agents</w:t>
      </w:r>
      <w:r w:rsidR="00C34049" w:rsidRPr="00366F7C">
        <w:rPr>
          <w:rFonts w:ascii="Times New Roman" w:hAnsi="Times New Roman" w:cs="Times New Roman"/>
        </w:rPr>
        <w:t>.</w:t>
      </w:r>
    </w:p>
    <w:p w14:paraId="69765661" w14:textId="77777777" w:rsidR="00D335C5" w:rsidRPr="00366F7C" w:rsidRDefault="00D335C5" w:rsidP="009F52D5">
      <w:pPr>
        <w:autoSpaceDE w:val="0"/>
        <w:autoSpaceDN w:val="0"/>
        <w:adjustRightInd w:val="0"/>
        <w:spacing w:after="0" w:line="240" w:lineRule="auto"/>
        <w:rPr>
          <w:rFonts w:ascii="Times New Roman" w:hAnsi="Times New Roman" w:cs="Times New Roman"/>
        </w:rPr>
      </w:pPr>
    </w:p>
    <w:p w14:paraId="7BDCBE72" w14:textId="77777777" w:rsidR="00D335C5" w:rsidRPr="00366F7C" w:rsidRDefault="00134494" w:rsidP="009F52D5">
      <w:pPr>
        <w:autoSpaceDE w:val="0"/>
        <w:autoSpaceDN w:val="0"/>
        <w:adjustRightInd w:val="0"/>
        <w:spacing w:after="0" w:line="240" w:lineRule="auto"/>
        <w:rPr>
          <w:rFonts w:ascii="Times New Roman" w:hAnsi="Times New Roman" w:cs="Times New Roman"/>
        </w:rPr>
      </w:pPr>
      <w:r w:rsidRPr="00366F7C">
        <w:rPr>
          <w:rFonts w:ascii="Times New Roman" w:hAnsi="Times New Roman" w:cs="Times New Roman"/>
        </w:rPr>
        <w:t>KODATEF should not be used in</w:t>
      </w:r>
      <w:r w:rsidR="00C34049" w:rsidRPr="00366F7C">
        <w:rPr>
          <w:rFonts w:ascii="Times New Roman" w:hAnsi="Times New Roman" w:cs="Times New Roman"/>
        </w:rPr>
        <w:t xml:space="preserve"> subjects</w:t>
      </w:r>
      <w:r w:rsidR="00D335C5" w:rsidRPr="00366F7C">
        <w:rPr>
          <w:rFonts w:ascii="Times New Roman" w:hAnsi="Times New Roman" w:cs="Times New Roman"/>
        </w:rPr>
        <w:t xml:space="preserve"> with a history of </w:t>
      </w:r>
      <w:r w:rsidR="00D8514D" w:rsidRPr="00366F7C">
        <w:rPr>
          <w:rFonts w:ascii="Times New Roman" w:hAnsi="Times New Roman" w:cs="Times New Roman"/>
        </w:rPr>
        <w:t xml:space="preserve">serious </w:t>
      </w:r>
      <w:r w:rsidR="00D335C5" w:rsidRPr="00366F7C">
        <w:rPr>
          <w:rFonts w:ascii="Times New Roman" w:hAnsi="Times New Roman" w:cs="Times New Roman"/>
        </w:rPr>
        <w:t>psych</w:t>
      </w:r>
      <w:r w:rsidR="00EF26D9" w:rsidRPr="00366F7C">
        <w:rPr>
          <w:rFonts w:ascii="Times New Roman" w:hAnsi="Times New Roman" w:cs="Times New Roman"/>
        </w:rPr>
        <w:t xml:space="preserve">osis </w:t>
      </w:r>
      <w:r w:rsidR="00D335C5" w:rsidRPr="00366F7C">
        <w:rPr>
          <w:rFonts w:ascii="Times New Roman" w:hAnsi="Times New Roman" w:cs="Times New Roman"/>
        </w:rPr>
        <w:t>or current ps</w:t>
      </w:r>
      <w:r w:rsidR="00C34049" w:rsidRPr="00366F7C">
        <w:rPr>
          <w:rFonts w:ascii="Times New Roman" w:hAnsi="Times New Roman" w:cs="Times New Roman"/>
        </w:rPr>
        <w:t>ychotic symptoms, delusions or hallucinations</w:t>
      </w:r>
      <w:r w:rsidR="00D335C5" w:rsidRPr="00366F7C">
        <w:rPr>
          <w:rFonts w:ascii="Times New Roman" w:hAnsi="Times New Roman" w:cs="Times New Roman"/>
        </w:rPr>
        <w:t>.</w:t>
      </w:r>
      <w:r w:rsidR="00C34049" w:rsidRPr="00366F7C">
        <w:rPr>
          <w:rFonts w:ascii="Times New Roman" w:hAnsi="Times New Roman" w:cs="Times New Roman"/>
        </w:rPr>
        <w:t xml:space="preserve"> </w:t>
      </w:r>
      <w:r w:rsidRPr="00366F7C">
        <w:rPr>
          <w:rFonts w:ascii="Times New Roman" w:hAnsi="Times New Roman" w:cs="Times New Roman"/>
        </w:rPr>
        <w:t>If psychosis or other serious psychiatric events occur while taking KODATEF, urgent medical advice should be sought.</w:t>
      </w:r>
    </w:p>
    <w:p w14:paraId="5E831B3D" w14:textId="77777777" w:rsidR="00C34049" w:rsidRPr="00073F5F" w:rsidRDefault="00C34049" w:rsidP="009F52D5">
      <w:pPr>
        <w:autoSpaceDE w:val="0"/>
        <w:autoSpaceDN w:val="0"/>
        <w:adjustRightInd w:val="0"/>
        <w:spacing w:after="0" w:line="240" w:lineRule="auto"/>
        <w:rPr>
          <w:rFonts w:ascii="Times New Roman" w:hAnsi="Times New Roman" w:cs="Times New Roman"/>
          <w:sz w:val="24"/>
          <w:szCs w:val="24"/>
        </w:rPr>
      </w:pPr>
    </w:p>
    <w:p w14:paraId="66B8EEDD" w14:textId="77777777" w:rsidR="005F4A73" w:rsidRPr="00366F7C" w:rsidRDefault="00134494" w:rsidP="0069092D">
      <w:pPr>
        <w:pStyle w:val="BodyText"/>
        <w:spacing w:before="0" w:after="200"/>
        <w:ind w:left="0"/>
        <w:outlineLvl w:val="2"/>
        <w:rPr>
          <w:b/>
          <w:sz w:val="22"/>
          <w:szCs w:val="22"/>
        </w:rPr>
      </w:pPr>
      <w:proofErr w:type="spellStart"/>
      <w:r w:rsidRPr="00366F7C">
        <w:rPr>
          <w:b/>
          <w:spacing w:val="-6"/>
          <w:sz w:val="22"/>
          <w:szCs w:val="22"/>
          <w:lang w:val="en-US"/>
        </w:rPr>
        <w:t>Haematological</w:t>
      </w:r>
      <w:proofErr w:type="spellEnd"/>
      <w:r w:rsidRPr="00366F7C">
        <w:rPr>
          <w:b/>
          <w:spacing w:val="-6"/>
          <w:sz w:val="22"/>
          <w:szCs w:val="22"/>
          <w:lang w:val="en-US"/>
        </w:rPr>
        <w:t xml:space="preserve"> effects</w:t>
      </w:r>
    </w:p>
    <w:p w14:paraId="5FB09037" w14:textId="5D08BEB4" w:rsidR="009A2278" w:rsidRPr="00366F7C" w:rsidRDefault="00C17D05" w:rsidP="009F52D5">
      <w:pPr>
        <w:autoSpaceDE w:val="0"/>
        <w:autoSpaceDN w:val="0"/>
        <w:adjustRightInd w:val="0"/>
        <w:spacing w:after="0" w:line="240" w:lineRule="auto"/>
        <w:rPr>
          <w:rFonts w:ascii="Times New Roman" w:hAnsi="Times New Roman" w:cs="Times New Roman"/>
        </w:rPr>
      </w:pPr>
      <w:r w:rsidRPr="00366F7C">
        <w:rPr>
          <w:rFonts w:ascii="Times New Roman" w:hAnsi="Times New Roman" w:cs="Times New Roman"/>
        </w:rPr>
        <w:t>Haemoglobin</w:t>
      </w:r>
      <w:r w:rsidR="005F4A73" w:rsidRPr="00366F7C">
        <w:rPr>
          <w:rFonts w:ascii="Times New Roman" w:hAnsi="Times New Roman" w:cs="Times New Roman"/>
        </w:rPr>
        <w:t xml:space="preserve"> decreases by 0.66 g/</w:t>
      </w:r>
      <w:proofErr w:type="spellStart"/>
      <w:r w:rsidR="005F4A73" w:rsidRPr="00366F7C">
        <w:rPr>
          <w:rFonts w:ascii="Times New Roman" w:hAnsi="Times New Roman" w:cs="Times New Roman"/>
        </w:rPr>
        <w:t>dL</w:t>
      </w:r>
      <w:proofErr w:type="spellEnd"/>
      <w:r w:rsidRPr="00366F7C">
        <w:rPr>
          <w:rFonts w:ascii="Times New Roman" w:hAnsi="Times New Roman" w:cs="Times New Roman"/>
        </w:rPr>
        <w:t xml:space="preserve"> have been frequently reported in clinical trials of KODATEF</w:t>
      </w:r>
      <w:r w:rsidR="005F4A73" w:rsidRPr="00366F7C">
        <w:rPr>
          <w:rFonts w:ascii="Times New Roman" w:hAnsi="Times New Roman" w:cs="Times New Roman"/>
        </w:rPr>
        <w:t xml:space="preserve">. </w:t>
      </w:r>
      <w:r w:rsidRPr="00366F7C">
        <w:rPr>
          <w:rFonts w:ascii="Times New Roman" w:hAnsi="Times New Roman" w:cs="Times New Roman"/>
        </w:rPr>
        <w:t>Asymptomatic elevations in m</w:t>
      </w:r>
      <w:r w:rsidR="005F4A73" w:rsidRPr="00366F7C">
        <w:rPr>
          <w:rFonts w:ascii="Times New Roman" w:hAnsi="Times New Roman" w:cs="Times New Roman"/>
        </w:rPr>
        <w:t>ethaemoglobin</w:t>
      </w:r>
      <w:r w:rsidRPr="00366F7C">
        <w:rPr>
          <w:rFonts w:ascii="Times New Roman" w:hAnsi="Times New Roman" w:cs="Times New Roman"/>
        </w:rPr>
        <w:t xml:space="preserve">, characteristically </w:t>
      </w:r>
      <w:r w:rsidR="006F7D4C" w:rsidRPr="00366F7C">
        <w:rPr>
          <w:rFonts w:ascii="Times New Roman" w:hAnsi="Times New Roman" w:cs="Times New Roman"/>
        </w:rPr>
        <w:t xml:space="preserve">increases to </w:t>
      </w:r>
      <w:r w:rsidRPr="00366F7C">
        <w:rPr>
          <w:rFonts w:ascii="Times New Roman" w:hAnsi="Times New Roman" w:cs="Times New Roman"/>
        </w:rPr>
        <w:t>&gt;1%</w:t>
      </w:r>
      <w:r w:rsidR="006F7D4C" w:rsidRPr="00366F7C">
        <w:rPr>
          <w:rFonts w:ascii="Times New Roman" w:hAnsi="Times New Roman" w:cs="Times New Roman"/>
        </w:rPr>
        <w:t xml:space="preserve"> but</w:t>
      </w:r>
      <w:r w:rsidR="00023FAF" w:rsidRPr="00366F7C">
        <w:rPr>
          <w:rFonts w:ascii="Times New Roman" w:hAnsi="Times New Roman" w:cs="Times New Roman"/>
        </w:rPr>
        <w:t xml:space="preserve"> </w:t>
      </w:r>
      <w:r w:rsidR="00B70AD9" w:rsidRPr="00366F7C">
        <w:rPr>
          <w:rFonts w:ascii="Times New Roman" w:hAnsi="Times New Roman" w:cs="Times New Roman"/>
        </w:rPr>
        <w:t>below</w:t>
      </w:r>
      <w:r w:rsidR="006F7D4C" w:rsidRPr="00366F7C">
        <w:rPr>
          <w:rFonts w:ascii="Times New Roman" w:hAnsi="Times New Roman" w:cs="Times New Roman"/>
        </w:rPr>
        <w:t xml:space="preserve"> 10% </w:t>
      </w:r>
      <w:r w:rsidR="00B70AD9" w:rsidRPr="00366F7C">
        <w:rPr>
          <w:rFonts w:ascii="Times New Roman" w:hAnsi="Times New Roman" w:cs="Times New Roman"/>
        </w:rPr>
        <w:t xml:space="preserve">(a level </w:t>
      </w:r>
      <w:r w:rsidR="006F7D4C" w:rsidRPr="00366F7C">
        <w:rPr>
          <w:rFonts w:ascii="Times New Roman" w:hAnsi="Times New Roman" w:cs="Times New Roman"/>
        </w:rPr>
        <w:t>associated with hypoxia</w:t>
      </w:r>
      <w:r w:rsidR="00B70AD9" w:rsidRPr="00366F7C">
        <w:rPr>
          <w:rFonts w:ascii="Times New Roman" w:hAnsi="Times New Roman" w:cs="Times New Roman"/>
        </w:rPr>
        <w:t>)</w:t>
      </w:r>
      <w:r w:rsidRPr="00366F7C">
        <w:rPr>
          <w:rFonts w:ascii="Times New Roman" w:hAnsi="Times New Roman" w:cs="Times New Roman"/>
        </w:rPr>
        <w:t xml:space="preserve">, </w:t>
      </w:r>
      <w:r w:rsidR="009A2278" w:rsidRPr="00366F7C">
        <w:rPr>
          <w:rFonts w:ascii="Times New Roman" w:hAnsi="Times New Roman" w:cs="Times New Roman"/>
        </w:rPr>
        <w:t xml:space="preserve">have been observed in the clinical trials of </w:t>
      </w:r>
      <w:r w:rsidRPr="00366F7C">
        <w:rPr>
          <w:rFonts w:ascii="Times New Roman" w:hAnsi="Times New Roman" w:cs="Times New Roman"/>
        </w:rPr>
        <w:t>KODATEF. Discontinuation of KODATEF treatment is recommended if signs and sympt</w:t>
      </w:r>
      <w:r w:rsidR="00134494" w:rsidRPr="00366F7C">
        <w:rPr>
          <w:rFonts w:ascii="Times New Roman" w:hAnsi="Times New Roman" w:cs="Times New Roman"/>
        </w:rPr>
        <w:t xml:space="preserve">oms of </w:t>
      </w:r>
      <w:proofErr w:type="spellStart"/>
      <w:r w:rsidR="00045435">
        <w:rPr>
          <w:rFonts w:ascii="Times New Roman" w:hAnsi="Times New Roman" w:cs="Times New Roman"/>
        </w:rPr>
        <w:t>methaemoglobin</w:t>
      </w:r>
      <w:r w:rsidR="00134494" w:rsidRPr="00366F7C">
        <w:rPr>
          <w:rFonts w:ascii="Times New Roman" w:hAnsi="Times New Roman" w:cs="Times New Roman"/>
        </w:rPr>
        <w:t>emia</w:t>
      </w:r>
      <w:proofErr w:type="spellEnd"/>
      <w:r w:rsidR="00134494" w:rsidRPr="00366F7C">
        <w:rPr>
          <w:rFonts w:ascii="Times New Roman" w:hAnsi="Times New Roman" w:cs="Times New Roman"/>
        </w:rPr>
        <w:t xml:space="preserve"> occur</w:t>
      </w:r>
      <w:r w:rsidR="003C78D5">
        <w:rPr>
          <w:rFonts w:ascii="Times New Roman" w:hAnsi="Times New Roman" w:cs="Times New Roman"/>
        </w:rPr>
        <w:t>,</w:t>
      </w:r>
      <w:r w:rsidR="00134494" w:rsidRPr="00366F7C">
        <w:rPr>
          <w:rFonts w:ascii="Times New Roman" w:hAnsi="Times New Roman" w:cs="Times New Roman"/>
        </w:rPr>
        <w:t xml:space="preserve"> followed by m</w:t>
      </w:r>
      <w:r w:rsidRPr="00366F7C">
        <w:rPr>
          <w:rFonts w:ascii="Times New Roman" w:hAnsi="Times New Roman" w:cs="Times New Roman"/>
        </w:rPr>
        <w:t>edical advice and appropriate medical thera</w:t>
      </w:r>
      <w:r w:rsidR="00134494" w:rsidRPr="00366F7C">
        <w:rPr>
          <w:rFonts w:ascii="Times New Roman" w:hAnsi="Times New Roman" w:cs="Times New Roman"/>
        </w:rPr>
        <w:t>py.</w:t>
      </w:r>
    </w:p>
    <w:p w14:paraId="13997875" w14:textId="77777777" w:rsidR="00601D4E" w:rsidRPr="00073F5F" w:rsidRDefault="00601D4E" w:rsidP="009F52D5">
      <w:pPr>
        <w:autoSpaceDE w:val="0"/>
        <w:autoSpaceDN w:val="0"/>
        <w:adjustRightInd w:val="0"/>
        <w:spacing w:after="0" w:line="240" w:lineRule="auto"/>
        <w:rPr>
          <w:rFonts w:ascii="Times New Roman" w:hAnsi="Times New Roman" w:cs="Times New Roman"/>
          <w:sz w:val="24"/>
          <w:szCs w:val="24"/>
        </w:rPr>
      </w:pPr>
    </w:p>
    <w:p w14:paraId="01AED841" w14:textId="77777777" w:rsidR="00D335C5" w:rsidRPr="00073F5F" w:rsidRDefault="00D335C5" w:rsidP="0069092D">
      <w:pPr>
        <w:pStyle w:val="BodyText"/>
        <w:spacing w:before="0" w:after="200"/>
        <w:ind w:left="0"/>
        <w:outlineLvl w:val="2"/>
        <w:rPr>
          <w:b/>
          <w:bCs/>
          <w:spacing w:val="-6"/>
          <w:sz w:val="22"/>
          <w:szCs w:val="22"/>
          <w:lang w:val="en-US"/>
        </w:rPr>
      </w:pPr>
      <w:r w:rsidRPr="00073F5F">
        <w:rPr>
          <w:b/>
          <w:bCs/>
          <w:spacing w:val="-6"/>
          <w:sz w:val="22"/>
          <w:szCs w:val="22"/>
          <w:lang w:val="en-US"/>
        </w:rPr>
        <w:t>Gastrointestinal effects</w:t>
      </w:r>
    </w:p>
    <w:p w14:paraId="2BAAEE7C" w14:textId="77777777" w:rsidR="00D335C5" w:rsidRPr="00073F5F" w:rsidRDefault="00D335C5" w:rsidP="009F52D5">
      <w:pPr>
        <w:pStyle w:val="BodyText"/>
        <w:spacing w:before="0" w:after="200"/>
        <w:ind w:left="0"/>
        <w:rPr>
          <w:color w:val="000000" w:themeColor="text1"/>
          <w:spacing w:val="-6"/>
          <w:sz w:val="22"/>
          <w:szCs w:val="22"/>
          <w:lang w:val="en-US"/>
        </w:rPr>
      </w:pPr>
      <w:r w:rsidRPr="00073F5F">
        <w:rPr>
          <w:color w:val="000000" w:themeColor="text1"/>
          <w:sz w:val="22"/>
          <w:szCs w:val="22"/>
        </w:rPr>
        <w:t>Gastrointestinal effects including diarrhoea (13% of su</w:t>
      </w:r>
      <w:r w:rsidR="006F7D4C" w:rsidRPr="00073F5F">
        <w:rPr>
          <w:color w:val="000000" w:themeColor="text1"/>
          <w:sz w:val="22"/>
          <w:szCs w:val="22"/>
        </w:rPr>
        <w:t xml:space="preserve">bjects), vomiting (4%), and </w:t>
      </w:r>
      <w:r w:rsidR="00903318" w:rsidRPr="00073F5F">
        <w:rPr>
          <w:color w:val="000000" w:themeColor="text1"/>
          <w:sz w:val="22"/>
          <w:szCs w:val="22"/>
        </w:rPr>
        <w:t>gastroesophageal reflux disord</w:t>
      </w:r>
      <w:r w:rsidR="006F7D4C" w:rsidRPr="00073F5F">
        <w:rPr>
          <w:color w:val="000000" w:themeColor="text1"/>
          <w:sz w:val="22"/>
          <w:szCs w:val="22"/>
        </w:rPr>
        <w:t>er</w:t>
      </w:r>
      <w:r w:rsidRPr="00073F5F">
        <w:rPr>
          <w:color w:val="000000" w:themeColor="text1"/>
          <w:sz w:val="22"/>
          <w:szCs w:val="22"/>
        </w:rPr>
        <w:t xml:space="preserve"> (2%), occurred at a greater frequency in KODATEF-treated subjects than in placebo subjects in clinical trials. Administration of KODATEF with food may ameliorate these gastrointestinal effects</w:t>
      </w:r>
      <w:r w:rsidRPr="00073F5F">
        <w:rPr>
          <w:color w:val="000000" w:themeColor="text1"/>
          <w:spacing w:val="-6"/>
          <w:sz w:val="22"/>
          <w:szCs w:val="22"/>
          <w:lang w:val="en-US"/>
        </w:rPr>
        <w:t>.</w:t>
      </w:r>
    </w:p>
    <w:p w14:paraId="578BDFB8" w14:textId="77777777" w:rsidR="005F4A73" w:rsidRPr="00073F5F" w:rsidRDefault="001A3992" w:rsidP="0069092D">
      <w:pPr>
        <w:pStyle w:val="BodyText"/>
        <w:spacing w:before="0" w:after="200"/>
        <w:ind w:left="0"/>
        <w:outlineLvl w:val="2"/>
        <w:rPr>
          <w:b/>
          <w:bCs/>
          <w:spacing w:val="-6"/>
          <w:sz w:val="22"/>
          <w:szCs w:val="22"/>
          <w:lang w:val="en-US"/>
        </w:rPr>
      </w:pPr>
      <w:r w:rsidRPr="00073F5F">
        <w:rPr>
          <w:b/>
          <w:bCs/>
          <w:spacing w:val="-6"/>
          <w:sz w:val="22"/>
          <w:szCs w:val="22"/>
          <w:lang w:val="en-US"/>
        </w:rPr>
        <w:t xml:space="preserve">Use in hepatic impairment </w:t>
      </w:r>
    </w:p>
    <w:p w14:paraId="2C126A11" w14:textId="77777777" w:rsidR="0069092D" w:rsidRPr="0069092D" w:rsidRDefault="006F7D4C" w:rsidP="009F52D5">
      <w:pPr>
        <w:pStyle w:val="BodyText"/>
        <w:spacing w:before="0" w:after="200"/>
        <w:ind w:left="0"/>
        <w:rPr>
          <w:color w:val="000000" w:themeColor="text1"/>
          <w:sz w:val="22"/>
          <w:lang w:val="en-US"/>
        </w:rPr>
      </w:pPr>
      <w:proofErr w:type="spellStart"/>
      <w:r w:rsidRPr="00073F5F">
        <w:rPr>
          <w:color w:val="000000" w:themeColor="text1"/>
          <w:sz w:val="22"/>
          <w:szCs w:val="22"/>
          <w:lang w:val="en-US"/>
        </w:rPr>
        <w:t>Tafenoquine</w:t>
      </w:r>
      <w:proofErr w:type="spellEnd"/>
      <w:r w:rsidRPr="00073F5F">
        <w:rPr>
          <w:color w:val="000000" w:themeColor="text1"/>
          <w:sz w:val="22"/>
          <w:szCs w:val="22"/>
          <w:lang w:val="en-US"/>
        </w:rPr>
        <w:t xml:space="preserve"> pharmacokinetics </w:t>
      </w:r>
      <w:proofErr w:type="gramStart"/>
      <w:r w:rsidRPr="00073F5F">
        <w:rPr>
          <w:color w:val="000000" w:themeColor="text1"/>
          <w:sz w:val="22"/>
          <w:szCs w:val="22"/>
          <w:lang w:val="en-US"/>
        </w:rPr>
        <w:t>have</w:t>
      </w:r>
      <w:proofErr w:type="gramEnd"/>
      <w:r w:rsidRPr="00073F5F">
        <w:rPr>
          <w:color w:val="000000" w:themeColor="text1"/>
          <w:sz w:val="22"/>
          <w:szCs w:val="22"/>
          <w:lang w:val="en-US"/>
        </w:rPr>
        <w:t xml:space="preserve"> not been studied in patients with hepatic impairment. </w:t>
      </w:r>
      <w:r w:rsidR="005F4A73" w:rsidRPr="00073F5F">
        <w:rPr>
          <w:color w:val="000000" w:themeColor="text1"/>
          <w:sz w:val="22"/>
          <w:szCs w:val="22"/>
          <w:lang w:val="en-US"/>
        </w:rPr>
        <w:t xml:space="preserve">Patients with serum levels of ALT &gt;60 U/L and </w:t>
      </w:r>
      <w:r w:rsidR="00187A93" w:rsidRPr="00073F5F">
        <w:rPr>
          <w:color w:val="000000" w:themeColor="text1"/>
          <w:sz w:val="22"/>
          <w:szCs w:val="22"/>
          <w:lang w:val="en-US"/>
        </w:rPr>
        <w:t xml:space="preserve">total </w:t>
      </w:r>
      <w:r w:rsidR="005F4A73" w:rsidRPr="00073F5F">
        <w:rPr>
          <w:color w:val="000000" w:themeColor="text1"/>
          <w:sz w:val="22"/>
          <w:szCs w:val="22"/>
          <w:lang w:val="en-US"/>
        </w:rPr>
        <w:t>bilirubin levels &gt;2.0 mg/</w:t>
      </w:r>
      <w:proofErr w:type="spellStart"/>
      <w:r w:rsidR="00187A93" w:rsidRPr="00073F5F">
        <w:rPr>
          <w:color w:val="000000" w:themeColor="text1"/>
          <w:sz w:val="22"/>
          <w:szCs w:val="22"/>
          <w:lang w:val="en-US"/>
        </w:rPr>
        <w:t>d</w:t>
      </w:r>
      <w:r w:rsidR="005F4A73" w:rsidRPr="00073F5F">
        <w:rPr>
          <w:color w:val="000000" w:themeColor="text1"/>
          <w:sz w:val="22"/>
          <w:szCs w:val="22"/>
          <w:lang w:val="en-US"/>
        </w:rPr>
        <w:t>L</w:t>
      </w:r>
      <w:proofErr w:type="spellEnd"/>
      <w:r w:rsidR="00A46655">
        <w:rPr>
          <w:color w:val="000000" w:themeColor="text1"/>
          <w:sz w:val="22"/>
          <w:szCs w:val="22"/>
          <w:lang w:val="en-US"/>
        </w:rPr>
        <w:t xml:space="preserve"> </w:t>
      </w:r>
      <w:r w:rsidR="005F4A73" w:rsidRPr="00073F5F">
        <w:rPr>
          <w:color w:val="000000" w:themeColor="text1"/>
          <w:sz w:val="22"/>
          <w:szCs w:val="22"/>
          <w:lang w:val="en-US"/>
        </w:rPr>
        <w:t xml:space="preserve">were excluded or infrequently entered </w:t>
      </w:r>
      <w:r w:rsidR="00187A93" w:rsidRPr="00073F5F">
        <w:rPr>
          <w:color w:val="000000" w:themeColor="text1"/>
          <w:sz w:val="22"/>
          <w:szCs w:val="22"/>
          <w:lang w:val="en-US"/>
        </w:rPr>
        <w:t xml:space="preserve">in the pivotal clinical </w:t>
      </w:r>
      <w:r w:rsidR="00F93C2A">
        <w:rPr>
          <w:color w:val="000000" w:themeColor="text1"/>
          <w:sz w:val="22"/>
          <w:szCs w:val="22"/>
          <w:lang w:val="en-US"/>
        </w:rPr>
        <w:t>trials</w:t>
      </w:r>
      <w:r w:rsidR="00187A93" w:rsidRPr="00073F5F">
        <w:rPr>
          <w:color w:val="000000" w:themeColor="text1"/>
          <w:sz w:val="22"/>
          <w:szCs w:val="22"/>
          <w:lang w:val="en-US"/>
        </w:rPr>
        <w:t xml:space="preserve"> </w:t>
      </w:r>
      <w:r w:rsidR="001E1B77" w:rsidRPr="00073F5F">
        <w:rPr>
          <w:color w:val="000000" w:themeColor="text1"/>
          <w:sz w:val="22"/>
          <w:lang w:val="en-US"/>
        </w:rPr>
        <w:t>(mean ALT = 28</w:t>
      </w:r>
      <w:r w:rsidR="00187A93" w:rsidRPr="00073F5F">
        <w:rPr>
          <w:color w:val="000000" w:themeColor="text1"/>
          <w:sz w:val="22"/>
          <w:lang w:val="en-US"/>
        </w:rPr>
        <w:t xml:space="preserve"> U/L</w:t>
      </w:r>
      <w:r w:rsidR="001E1B77" w:rsidRPr="00073F5F">
        <w:rPr>
          <w:color w:val="000000" w:themeColor="text1"/>
          <w:sz w:val="22"/>
          <w:lang w:val="en-US"/>
        </w:rPr>
        <w:t xml:space="preserve">, SD=12; mean </w:t>
      </w:r>
      <w:r w:rsidR="00187A93" w:rsidRPr="00073F5F">
        <w:rPr>
          <w:color w:val="000000" w:themeColor="text1"/>
          <w:sz w:val="22"/>
          <w:lang w:val="en-US"/>
        </w:rPr>
        <w:t>total bilirubin</w:t>
      </w:r>
      <w:r w:rsidR="001E1B77" w:rsidRPr="00073F5F">
        <w:rPr>
          <w:color w:val="000000" w:themeColor="text1"/>
          <w:sz w:val="22"/>
          <w:lang w:val="en-US"/>
        </w:rPr>
        <w:t xml:space="preserve"> = 0.5</w:t>
      </w:r>
      <w:r w:rsidR="00294660" w:rsidRPr="00073F5F">
        <w:rPr>
          <w:color w:val="000000" w:themeColor="text1"/>
          <w:sz w:val="22"/>
          <w:lang w:val="en-US"/>
        </w:rPr>
        <w:t xml:space="preserve"> </w:t>
      </w:r>
      <w:r w:rsidR="00187A93" w:rsidRPr="00073F5F">
        <w:rPr>
          <w:color w:val="000000" w:themeColor="text1"/>
          <w:sz w:val="22"/>
          <w:lang w:val="en-US"/>
        </w:rPr>
        <w:t>mg/</w:t>
      </w:r>
      <w:proofErr w:type="spellStart"/>
      <w:r w:rsidR="00187A93" w:rsidRPr="00073F5F">
        <w:rPr>
          <w:color w:val="000000" w:themeColor="text1"/>
          <w:sz w:val="22"/>
          <w:lang w:val="en-US"/>
        </w:rPr>
        <w:t>dL</w:t>
      </w:r>
      <w:proofErr w:type="spellEnd"/>
      <w:r w:rsidR="001E1B77" w:rsidRPr="00073F5F">
        <w:rPr>
          <w:color w:val="000000" w:themeColor="text1"/>
          <w:sz w:val="22"/>
          <w:lang w:val="en-US"/>
        </w:rPr>
        <w:t>, SD=0.3)</w:t>
      </w:r>
      <w:r w:rsidR="00187A93" w:rsidRPr="00073F5F">
        <w:rPr>
          <w:color w:val="000000" w:themeColor="text1"/>
          <w:sz w:val="22"/>
          <w:lang w:val="en-US"/>
        </w:rPr>
        <w:t>.</w:t>
      </w:r>
      <w:r w:rsidR="00994926" w:rsidRPr="00073F5F">
        <w:rPr>
          <w:color w:val="000000" w:themeColor="text1"/>
          <w:sz w:val="22"/>
          <w:lang w:val="en-US"/>
        </w:rPr>
        <w:t xml:space="preserve"> </w:t>
      </w:r>
    </w:p>
    <w:p w14:paraId="597BC7F2" w14:textId="77777777" w:rsidR="005F4A73" w:rsidRPr="00F16A76" w:rsidRDefault="001A3992" w:rsidP="0069092D">
      <w:pPr>
        <w:pStyle w:val="BodyText"/>
        <w:spacing w:before="0" w:after="200"/>
        <w:ind w:left="0"/>
        <w:outlineLvl w:val="2"/>
        <w:rPr>
          <w:b/>
          <w:bCs/>
          <w:spacing w:val="-6"/>
          <w:sz w:val="22"/>
          <w:szCs w:val="22"/>
          <w:lang w:val="en-US"/>
        </w:rPr>
      </w:pPr>
      <w:r w:rsidRPr="00F16A76">
        <w:rPr>
          <w:b/>
          <w:bCs/>
          <w:spacing w:val="-6"/>
          <w:sz w:val="22"/>
          <w:szCs w:val="22"/>
          <w:lang w:val="en-US"/>
        </w:rPr>
        <w:t xml:space="preserve">Use in renal impairment </w:t>
      </w:r>
    </w:p>
    <w:p w14:paraId="7CB26A79" w14:textId="77777777" w:rsidR="001A3992" w:rsidRDefault="006F7D4C" w:rsidP="009F52D5">
      <w:pPr>
        <w:pStyle w:val="BodyText"/>
        <w:spacing w:before="0" w:after="200"/>
        <w:ind w:left="0"/>
        <w:rPr>
          <w:color w:val="000000" w:themeColor="text1"/>
          <w:sz w:val="22"/>
          <w:szCs w:val="22"/>
          <w:lang w:val="en-US"/>
        </w:rPr>
      </w:pPr>
      <w:proofErr w:type="spellStart"/>
      <w:r w:rsidRPr="00F16A76">
        <w:rPr>
          <w:color w:val="000000" w:themeColor="text1"/>
          <w:sz w:val="22"/>
          <w:szCs w:val="22"/>
          <w:lang w:val="en-US"/>
        </w:rPr>
        <w:lastRenderedPageBreak/>
        <w:t>Tafenoquine</w:t>
      </w:r>
      <w:proofErr w:type="spellEnd"/>
      <w:r w:rsidRPr="00F16A76">
        <w:rPr>
          <w:color w:val="000000" w:themeColor="text1"/>
          <w:sz w:val="22"/>
          <w:szCs w:val="22"/>
          <w:lang w:val="en-US"/>
        </w:rPr>
        <w:t xml:space="preserve"> pharmacokinetics </w:t>
      </w:r>
      <w:proofErr w:type="gramStart"/>
      <w:r w:rsidRPr="00F16A76">
        <w:rPr>
          <w:color w:val="000000" w:themeColor="text1"/>
          <w:sz w:val="22"/>
          <w:szCs w:val="22"/>
          <w:lang w:val="en-US"/>
        </w:rPr>
        <w:t>have</w:t>
      </w:r>
      <w:proofErr w:type="gramEnd"/>
      <w:r w:rsidRPr="00F16A76">
        <w:rPr>
          <w:color w:val="000000" w:themeColor="text1"/>
          <w:sz w:val="22"/>
          <w:szCs w:val="22"/>
          <w:lang w:val="en-US"/>
        </w:rPr>
        <w:t xml:space="preserve"> not been studied in patients with renal impairment. </w:t>
      </w:r>
      <w:r w:rsidR="005F4A73" w:rsidRPr="00F16A76">
        <w:rPr>
          <w:color w:val="000000" w:themeColor="text1"/>
          <w:sz w:val="22"/>
          <w:szCs w:val="22"/>
          <w:lang w:val="en-US"/>
        </w:rPr>
        <w:t>Patients with serum creatinine &gt;1.8 mg/</w:t>
      </w:r>
      <w:proofErr w:type="spellStart"/>
      <w:r w:rsidR="00187A93" w:rsidRPr="00073F5F">
        <w:rPr>
          <w:color w:val="000000" w:themeColor="text1"/>
          <w:sz w:val="22"/>
          <w:szCs w:val="22"/>
          <w:lang w:val="en-US"/>
        </w:rPr>
        <w:t>d</w:t>
      </w:r>
      <w:r w:rsidR="005F4A73" w:rsidRPr="00073F5F">
        <w:rPr>
          <w:color w:val="000000" w:themeColor="text1"/>
          <w:sz w:val="22"/>
          <w:szCs w:val="22"/>
          <w:lang w:val="en-US"/>
        </w:rPr>
        <w:t>L</w:t>
      </w:r>
      <w:proofErr w:type="spellEnd"/>
      <w:r w:rsidR="005F4A73" w:rsidRPr="00073F5F">
        <w:rPr>
          <w:color w:val="000000" w:themeColor="text1"/>
          <w:sz w:val="22"/>
          <w:szCs w:val="22"/>
          <w:lang w:val="en-US"/>
        </w:rPr>
        <w:t xml:space="preserve"> were excluded from the pivotal clinical </w:t>
      </w:r>
      <w:r w:rsidR="00F93C2A">
        <w:rPr>
          <w:color w:val="000000" w:themeColor="text1"/>
          <w:sz w:val="22"/>
          <w:szCs w:val="22"/>
          <w:lang w:val="en-US"/>
        </w:rPr>
        <w:t>trials</w:t>
      </w:r>
      <w:r w:rsidR="005F4A73" w:rsidRPr="00073F5F">
        <w:rPr>
          <w:color w:val="000000" w:themeColor="text1"/>
          <w:sz w:val="22"/>
          <w:szCs w:val="22"/>
          <w:lang w:val="en-US"/>
        </w:rPr>
        <w:t xml:space="preserve">. </w:t>
      </w:r>
    </w:p>
    <w:p w14:paraId="63ABA2CF" w14:textId="77777777" w:rsidR="0069092D" w:rsidRPr="00073F5F" w:rsidRDefault="0069092D" w:rsidP="009F52D5">
      <w:pPr>
        <w:pStyle w:val="BodyText"/>
        <w:spacing w:before="0" w:after="200"/>
        <w:ind w:left="0"/>
        <w:rPr>
          <w:color w:val="000000" w:themeColor="text1"/>
          <w:sz w:val="22"/>
          <w:szCs w:val="22"/>
          <w:lang w:val="en-US"/>
        </w:rPr>
      </w:pPr>
    </w:p>
    <w:p w14:paraId="4A91CCF8" w14:textId="77777777" w:rsidR="001A3992" w:rsidRPr="00073F5F" w:rsidRDefault="001A3992" w:rsidP="0069092D">
      <w:pPr>
        <w:pStyle w:val="BodyText"/>
        <w:spacing w:before="0" w:after="200"/>
        <w:ind w:left="0"/>
        <w:outlineLvl w:val="2"/>
        <w:rPr>
          <w:b/>
          <w:bCs/>
          <w:spacing w:val="-6"/>
          <w:sz w:val="22"/>
          <w:szCs w:val="22"/>
          <w:lang w:val="en-US"/>
        </w:rPr>
      </w:pPr>
      <w:r w:rsidRPr="00073F5F">
        <w:rPr>
          <w:b/>
          <w:bCs/>
          <w:spacing w:val="-6"/>
          <w:sz w:val="22"/>
          <w:szCs w:val="22"/>
          <w:lang w:val="en-US"/>
        </w:rPr>
        <w:t>Use in the elderly</w:t>
      </w:r>
    </w:p>
    <w:p w14:paraId="567123E7" w14:textId="77777777" w:rsidR="00AD0694" w:rsidRPr="00073F5F" w:rsidRDefault="00AD0694" w:rsidP="009F52D5">
      <w:pPr>
        <w:pStyle w:val="BodyText"/>
        <w:spacing w:before="0" w:after="200"/>
        <w:ind w:left="0"/>
        <w:rPr>
          <w:sz w:val="22"/>
          <w:szCs w:val="22"/>
          <w:lang w:val="en-US"/>
        </w:rPr>
      </w:pPr>
      <w:r w:rsidRPr="00073F5F">
        <w:rPr>
          <w:sz w:val="22"/>
          <w:szCs w:val="22"/>
          <w:lang w:val="en-US"/>
        </w:rPr>
        <w:t xml:space="preserve">Clinical </w:t>
      </w:r>
      <w:r w:rsidR="00F93C2A">
        <w:rPr>
          <w:sz w:val="22"/>
          <w:szCs w:val="22"/>
          <w:lang w:val="en-US"/>
        </w:rPr>
        <w:t>trials</w:t>
      </w:r>
      <w:r w:rsidRPr="00073F5F">
        <w:rPr>
          <w:sz w:val="22"/>
          <w:szCs w:val="22"/>
          <w:lang w:val="en-US"/>
        </w:rPr>
        <w:t xml:space="preserve"> did not include sufficient numbers of subjects 65 years of age and over to determine if they respond differently than younger subjects.</w:t>
      </w:r>
    </w:p>
    <w:p w14:paraId="4D7B3EA4" w14:textId="77777777" w:rsidR="001A3992" w:rsidRPr="00073F5F" w:rsidRDefault="001A3992" w:rsidP="0069092D">
      <w:pPr>
        <w:pStyle w:val="BodyText"/>
        <w:spacing w:before="0" w:after="200"/>
        <w:ind w:left="0"/>
        <w:outlineLvl w:val="2"/>
        <w:rPr>
          <w:b/>
          <w:bCs/>
          <w:spacing w:val="-6"/>
          <w:sz w:val="22"/>
          <w:szCs w:val="22"/>
          <w:lang w:val="en-US"/>
        </w:rPr>
      </w:pPr>
      <w:proofErr w:type="spellStart"/>
      <w:r w:rsidRPr="00073F5F">
        <w:rPr>
          <w:b/>
          <w:bCs/>
          <w:spacing w:val="-6"/>
          <w:sz w:val="22"/>
          <w:szCs w:val="22"/>
          <w:lang w:val="en-US"/>
        </w:rPr>
        <w:t>Paediatric</w:t>
      </w:r>
      <w:proofErr w:type="spellEnd"/>
      <w:r w:rsidRPr="00073F5F">
        <w:rPr>
          <w:b/>
          <w:bCs/>
          <w:spacing w:val="-6"/>
          <w:sz w:val="22"/>
          <w:szCs w:val="22"/>
          <w:lang w:val="en-US"/>
        </w:rPr>
        <w:t xml:space="preserve"> use</w:t>
      </w:r>
    </w:p>
    <w:p w14:paraId="0C1EFEBC" w14:textId="77777777" w:rsidR="00AD0694" w:rsidRPr="00073F5F" w:rsidRDefault="00AD0694" w:rsidP="009F52D5">
      <w:pPr>
        <w:pStyle w:val="BodyText"/>
        <w:spacing w:before="0" w:after="200"/>
        <w:ind w:left="0"/>
      </w:pPr>
      <w:r w:rsidRPr="00073F5F">
        <w:rPr>
          <w:sz w:val="22"/>
          <w:szCs w:val="22"/>
          <w:lang w:val="en-US"/>
        </w:rPr>
        <w:t xml:space="preserve">Safety and effectiveness in children have not been established. </w:t>
      </w:r>
    </w:p>
    <w:p w14:paraId="1C1F2E04" w14:textId="77777777" w:rsidR="001A3992" w:rsidRPr="00073F5F" w:rsidRDefault="001A3992" w:rsidP="0069092D">
      <w:pPr>
        <w:pStyle w:val="BodyText"/>
        <w:spacing w:before="0" w:after="200"/>
        <w:ind w:left="0"/>
        <w:outlineLvl w:val="2"/>
        <w:rPr>
          <w:b/>
          <w:bCs/>
          <w:spacing w:val="-6"/>
          <w:sz w:val="22"/>
          <w:szCs w:val="22"/>
          <w:lang w:val="en-US"/>
        </w:rPr>
      </w:pPr>
      <w:r w:rsidRPr="00073F5F">
        <w:rPr>
          <w:b/>
          <w:bCs/>
          <w:spacing w:val="-6"/>
          <w:sz w:val="22"/>
          <w:szCs w:val="22"/>
          <w:lang w:val="en-US"/>
        </w:rPr>
        <w:t>Effects on laboratory tests</w:t>
      </w:r>
    </w:p>
    <w:p w14:paraId="7335205F" w14:textId="21AE22C5" w:rsidR="00AD0694" w:rsidRPr="00F16A76" w:rsidRDefault="00AD0694" w:rsidP="009F52D5">
      <w:pPr>
        <w:pStyle w:val="BodyText"/>
        <w:spacing w:before="0" w:after="200"/>
        <w:ind w:left="0"/>
      </w:pPr>
      <w:r w:rsidRPr="00073F5F">
        <w:rPr>
          <w:sz w:val="22"/>
          <w:szCs w:val="22"/>
          <w:lang w:val="en-US"/>
        </w:rPr>
        <w:t xml:space="preserve">The use of </w:t>
      </w:r>
      <w:r w:rsidR="0010244A">
        <w:rPr>
          <w:sz w:val="22"/>
          <w:szCs w:val="22"/>
          <w:lang w:val="en-US"/>
        </w:rPr>
        <w:t>KODATEF</w:t>
      </w:r>
      <w:r w:rsidR="0010244A" w:rsidRPr="00073F5F">
        <w:rPr>
          <w:sz w:val="22"/>
          <w:szCs w:val="22"/>
          <w:lang w:val="en-US"/>
        </w:rPr>
        <w:t xml:space="preserve"> </w:t>
      </w:r>
      <w:r w:rsidRPr="00073F5F">
        <w:rPr>
          <w:sz w:val="22"/>
          <w:szCs w:val="22"/>
          <w:lang w:val="en-US"/>
        </w:rPr>
        <w:t>may influence the results of certain laboratory tests including biochemical parameters of the liver</w:t>
      </w:r>
      <w:r w:rsidR="003C78D5">
        <w:rPr>
          <w:sz w:val="22"/>
          <w:szCs w:val="22"/>
          <w:lang w:val="en-US"/>
        </w:rPr>
        <w:t xml:space="preserve"> and kidneys</w:t>
      </w:r>
      <w:r w:rsidRPr="00073F5F">
        <w:rPr>
          <w:sz w:val="22"/>
          <w:szCs w:val="22"/>
          <w:lang w:val="en-US"/>
        </w:rPr>
        <w:t xml:space="preserve"> and </w:t>
      </w:r>
      <w:proofErr w:type="spellStart"/>
      <w:r w:rsidRPr="00073F5F">
        <w:rPr>
          <w:sz w:val="22"/>
          <w:szCs w:val="22"/>
          <w:lang w:val="en-US"/>
        </w:rPr>
        <w:t>haematology</w:t>
      </w:r>
      <w:proofErr w:type="spellEnd"/>
      <w:r w:rsidRPr="00073F5F">
        <w:rPr>
          <w:sz w:val="22"/>
          <w:szCs w:val="22"/>
          <w:lang w:val="en-US"/>
        </w:rPr>
        <w:t xml:space="preserve"> parameters. </w:t>
      </w:r>
      <w:r w:rsidR="003C78D5">
        <w:rPr>
          <w:sz w:val="22"/>
          <w:szCs w:val="22"/>
          <w:lang w:val="en-US"/>
        </w:rPr>
        <w:t xml:space="preserve">These changes, which </w:t>
      </w:r>
      <w:r w:rsidR="003C78D5" w:rsidRPr="00073F5F">
        <w:rPr>
          <w:sz w:val="22"/>
          <w:szCs w:val="22"/>
          <w:lang w:val="en-US"/>
        </w:rPr>
        <w:t>are expected due to the oxidative nature of 8-aminoquinoline drugs</w:t>
      </w:r>
      <w:r w:rsidR="003C78D5">
        <w:rPr>
          <w:sz w:val="22"/>
          <w:szCs w:val="22"/>
          <w:lang w:val="en-US"/>
        </w:rPr>
        <w:t xml:space="preserve">, </w:t>
      </w:r>
      <w:r w:rsidRPr="00073F5F">
        <w:rPr>
          <w:sz w:val="22"/>
          <w:szCs w:val="22"/>
          <w:lang w:val="en-US"/>
        </w:rPr>
        <w:t>generally remain within the normal laboratory range</w:t>
      </w:r>
      <w:r w:rsidR="003C78D5">
        <w:rPr>
          <w:sz w:val="22"/>
          <w:szCs w:val="22"/>
          <w:lang w:val="en-US"/>
        </w:rPr>
        <w:t xml:space="preserve"> of each parameter</w:t>
      </w:r>
      <w:r w:rsidRPr="00073F5F">
        <w:rPr>
          <w:sz w:val="22"/>
          <w:szCs w:val="22"/>
          <w:lang w:val="en-US"/>
        </w:rPr>
        <w:t xml:space="preserve">. </w:t>
      </w:r>
      <w:r w:rsidR="003C78D5">
        <w:rPr>
          <w:sz w:val="22"/>
          <w:szCs w:val="22"/>
          <w:lang w:val="en-US"/>
        </w:rPr>
        <w:t xml:space="preserve">Biochemical </w:t>
      </w:r>
      <w:r w:rsidRPr="00073F5F">
        <w:rPr>
          <w:sz w:val="22"/>
          <w:szCs w:val="22"/>
          <w:lang w:val="en-US"/>
        </w:rPr>
        <w:t>parameter changes may include mild ALT elevations (&gt; 60 U/L) and serum creatinine elevations &gt; 1.8 mg/</w:t>
      </w:r>
      <w:proofErr w:type="spellStart"/>
      <w:r w:rsidR="00577FC2" w:rsidRPr="00073F5F">
        <w:rPr>
          <w:sz w:val="22"/>
          <w:szCs w:val="22"/>
          <w:lang w:val="en-US"/>
        </w:rPr>
        <w:t>d</w:t>
      </w:r>
      <w:r w:rsidRPr="00073F5F">
        <w:rPr>
          <w:sz w:val="22"/>
          <w:szCs w:val="22"/>
          <w:lang w:val="en-US"/>
        </w:rPr>
        <w:t>L</w:t>
      </w:r>
      <w:proofErr w:type="spellEnd"/>
      <w:r w:rsidRPr="00073F5F">
        <w:rPr>
          <w:sz w:val="22"/>
          <w:szCs w:val="22"/>
          <w:lang w:val="en-US"/>
        </w:rPr>
        <w:t xml:space="preserve">. </w:t>
      </w:r>
      <w:r w:rsidR="003125B4" w:rsidRPr="00073F5F">
        <w:rPr>
          <w:sz w:val="22"/>
          <w:szCs w:val="22"/>
          <w:lang w:val="en-US"/>
        </w:rPr>
        <w:t xml:space="preserve">Change in </w:t>
      </w:r>
      <w:proofErr w:type="spellStart"/>
      <w:r w:rsidR="003125B4" w:rsidRPr="00073F5F">
        <w:rPr>
          <w:sz w:val="22"/>
          <w:szCs w:val="22"/>
          <w:lang w:val="en-US"/>
        </w:rPr>
        <w:t>haematology</w:t>
      </w:r>
      <w:proofErr w:type="spellEnd"/>
      <w:r w:rsidR="003125B4" w:rsidRPr="00073F5F">
        <w:rPr>
          <w:sz w:val="22"/>
          <w:szCs w:val="22"/>
          <w:lang w:val="en-US"/>
        </w:rPr>
        <w:t xml:space="preserve"> parameters, may specifically include a reduction of </w:t>
      </w:r>
      <w:proofErr w:type="spellStart"/>
      <w:r w:rsidR="003125B4" w:rsidRPr="00073F5F">
        <w:rPr>
          <w:sz w:val="22"/>
          <w:szCs w:val="22"/>
          <w:lang w:val="en-US"/>
        </w:rPr>
        <w:t>haemoglobin</w:t>
      </w:r>
      <w:proofErr w:type="spellEnd"/>
      <w:r w:rsidR="003125B4" w:rsidRPr="00073F5F">
        <w:rPr>
          <w:sz w:val="22"/>
          <w:szCs w:val="22"/>
          <w:lang w:val="en-US"/>
        </w:rPr>
        <w:t xml:space="preserve"> </w:t>
      </w:r>
      <w:r w:rsidR="003125B4" w:rsidRPr="00073F5F">
        <w:rPr>
          <w:sz w:val="22"/>
          <w:szCs w:val="22"/>
          <w:u w:val="single"/>
          <w:lang w:val="en-US"/>
        </w:rPr>
        <w:t>&gt;</w:t>
      </w:r>
      <w:r w:rsidR="003125B4" w:rsidRPr="00073F5F">
        <w:rPr>
          <w:sz w:val="22"/>
          <w:szCs w:val="22"/>
          <w:lang w:val="en-US"/>
        </w:rPr>
        <w:t xml:space="preserve"> 0.66 g/</w:t>
      </w:r>
      <w:proofErr w:type="spellStart"/>
      <w:r w:rsidR="003125B4" w:rsidRPr="00073F5F">
        <w:rPr>
          <w:sz w:val="22"/>
          <w:szCs w:val="22"/>
          <w:lang w:val="en-US"/>
        </w:rPr>
        <w:t>dL</w:t>
      </w:r>
      <w:proofErr w:type="spellEnd"/>
      <w:r w:rsidR="003125B4" w:rsidRPr="00073F5F">
        <w:rPr>
          <w:sz w:val="22"/>
          <w:szCs w:val="22"/>
          <w:lang w:val="en-US"/>
        </w:rPr>
        <w:t xml:space="preserve"> and </w:t>
      </w:r>
      <w:proofErr w:type="spellStart"/>
      <w:r w:rsidR="003125B4" w:rsidRPr="00073F5F">
        <w:rPr>
          <w:sz w:val="22"/>
          <w:szCs w:val="22"/>
          <w:lang w:val="en-US"/>
        </w:rPr>
        <w:t>methaemoglobin</w:t>
      </w:r>
      <w:proofErr w:type="spellEnd"/>
      <w:r w:rsidR="003125B4" w:rsidRPr="00073F5F">
        <w:rPr>
          <w:spacing w:val="-6"/>
          <w:sz w:val="22"/>
          <w:szCs w:val="22"/>
          <w:lang w:val="en-US"/>
        </w:rPr>
        <w:t xml:space="preserve"> increases to &gt;1%</w:t>
      </w:r>
      <w:r w:rsidR="00577FC2" w:rsidRPr="00073F5F">
        <w:rPr>
          <w:spacing w:val="-6"/>
          <w:sz w:val="22"/>
          <w:szCs w:val="22"/>
          <w:lang w:val="en-US"/>
        </w:rPr>
        <w:t xml:space="preserve">. </w:t>
      </w:r>
      <w:proofErr w:type="spellStart"/>
      <w:r w:rsidR="00577FC2" w:rsidRPr="00073F5F">
        <w:rPr>
          <w:spacing w:val="-6"/>
          <w:sz w:val="22"/>
          <w:szCs w:val="22"/>
          <w:lang w:val="en-US"/>
        </w:rPr>
        <w:t>Methaemoglobin</w:t>
      </w:r>
      <w:proofErr w:type="spellEnd"/>
      <w:r w:rsidR="003125B4" w:rsidRPr="00073F5F">
        <w:rPr>
          <w:spacing w:val="-6"/>
          <w:sz w:val="22"/>
          <w:szCs w:val="22"/>
          <w:lang w:val="en-US"/>
        </w:rPr>
        <w:t xml:space="preserve"> does not increase to as much as 10%, a level associated with hypoxia.</w:t>
      </w:r>
      <w:r w:rsidR="003125B4" w:rsidRPr="00073F5F">
        <w:rPr>
          <w:sz w:val="22"/>
          <w:szCs w:val="22"/>
          <w:lang w:val="en-US"/>
        </w:rPr>
        <w:t xml:space="preserve"> </w:t>
      </w:r>
    </w:p>
    <w:p w14:paraId="5827E34E" w14:textId="77777777" w:rsidR="001A3992" w:rsidRPr="00F16A76" w:rsidRDefault="001A3992" w:rsidP="009F52D5">
      <w:pPr>
        <w:pStyle w:val="Heading2"/>
        <w:keepNext/>
        <w:keepLines/>
        <w:spacing w:before="0" w:after="120" w:line="240" w:lineRule="auto"/>
        <w:rPr>
          <w:rFonts w:ascii="Times New Roman" w:hAnsi="Times New Roman" w:cs="Times New Roman"/>
        </w:rPr>
      </w:pPr>
      <w:r w:rsidRPr="00F16A76">
        <w:rPr>
          <w:rFonts w:ascii="Times New Roman" w:hAnsi="Times New Roman" w:cs="Times New Roman"/>
        </w:rPr>
        <w:t>Interactions with other medicines and other forms of interactions</w:t>
      </w:r>
    </w:p>
    <w:p w14:paraId="0D481EDA" w14:textId="77777777" w:rsidR="007C6403" w:rsidRPr="00073F5F" w:rsidRDefault="007C6403" w:rsidP="009F52D5">
      <w:pPr>
        <w:spacing w:line="240" w:lineRule="auto"/>
        <w:rPr>
          <w:rFonts w:ascii="Times New Roman" w:hAnsi="Times New Roman" w:cs="Times New Roman"/>
          <w:szCs w:val="24"/>
          <w:lang w:val="en-US"/>
        </w:rPr>
      </w:pPr>
      <w:r w:rsidRPr="00073F5F">
        <w:rPr>
          <w:rFonts w:ascii="Times New Roman" w:hAnsi="Times New Roman" w:cs="Times New Roman"/>
          <w:szCs w:val="24"/>
          <w:lang w:val="en-US"/>
        </w:rPr>
        <w:t xml:space="preserve">KODATEF may inhibit drug transporters in the kidney. Since inhibition of these transporters may lead to increased exposure to medications that they excrete, when KODATEF is co-administered with procainamide, it may be advisable to re-evaluate </w:t>
      </w:r>
      <w:r w:rsidR="003C78D5">
        <w:rPr>
          <w:rFonts w:ascii="Times New Roman" w:hAnsi="Times New Roman" w:cs="Times New Roman"/>
          <w:szCs w:val="24"/>
          <w:lang w:val="en-US"/>
        </w:rPr>
        <w:t xml:space="preserve">the </w:t>
      </w:r>
      <w:r w:rsidRPr="00073F5F">
        <w:rPr>
          <w:rFonts w:ascii="Times New Roman" w:hAnsi="Times New Roman" w:cs="Times New Roman"/>
          <w:szCs w:val="24"/>
          <w:lang w:val="en-US"/>
        </w:rPr>
        <w:t xml:space="preserve">safety and/or efficacy of </w:t>
      </w:r>
      <w:r w:rsidR="000E38C2" w:rsidRPr="00073F5F">
        <w:rPr>
          <w:rFonts w:ascii="Times New Roman" w:hAnsi="Times New Roman" w:cs="Times New Roman"/>
          <w:szCs w:val="24"/>
          <w:lang w:val="en-US"/>
        </w:rPr>
        <w:t>procainamide.</w:t>
      </w:r>
    </w:p>
    <w:p w14:paraId="22D439CF" w14:textId="77777777" w:rsidR="000E38C2" w:rsidRPr="00073F5F" w:rsidRDefault="000E38C2" w:rsidP="009F52D5">
      <w:pPr>
        <w:spacing w:line="240" w:lineRule="auto"/>
        <w:rPr>
          <w:rFonts w:ascii="Times New Roman" w:hAnsi="Times New Roman" w:cs="Times New Roman"/>
        </w:rPr>
      </w:pPr>
      <w:proofErr w:type="spellStart"/>
      <w:r w:rsidRPr="00073F5F">
        <w:rPr>
          <w:rFonts w:ascii="Times New Roman" w:hAnsi="Times New Roman" w:cs="Times New Roman"/>
        </w:rPr>
        <w:t>Tafenoquine</w:t>
      </w:r>
      <w:proofErr w:type="spellEnd"/>
      <w:r w:rsidRPr="00073F5F">
        <w:rPr>
          <w:rFonts w:ascii="Times New Roman" w:hAnsi="Times New Roman" w:cs="Times New Roman"/>
        </w:rPr>
        <w:t xml:space="preserve"> inhibited the in vitro transport of [14C] metformin via OCT2, MATE1, and MATE2-K.</w:t>
      </w:r>
      <w:r w:rsidR="00A46655">
        <w:rPr>
          <w:rFonts w:ascii="Times New Roman" w:hAnsi="Times New Roman" w:cs="Times New Roman"/>
        </w:rPr>
        <w:t xml:space="preserve"> </w:t>
      </w:r>
      <w:r w:rsidRPr="00073F5F">
        <w:rPr>
          <w:rFonts w:ascii="Times New Roman" w:hAnsi="Times New Roman" w:cs="Times New Roman"/>
        </w:rPr>
        <w:t xml:space="preserve">Clinical predictions indicate there may be a potential, but low risk of lactic acidosis in subjects who receive </w:t>
      </w:r>
      <w:proofErr w:type="spellStart"/>
      <w:r w:rsidRPr="00073F5F">
        <w:rPr>
          <w:rFonts w:ascii="Times New Roman" w:hAnsi="Times New Roman" w:cs="Times New Roman"/>
        </w:rPr>
        <w:t>tafenoquine</w:t>
      </w:r>
      <w:proofErr w:type="spellEnd"/>
      <w:r w:rsidRPr="00073F5F">
        <w:rPr>
          <w:rFonts w:ascii="Times New Roman" w:hAnsi="Times New Roman" w:cs="Times New Roman"/>
        </w:rPr>
        <w:t xml:space="preserve"> and metformin concomitantly, due to an increased exposure to metformin arising from this interaction</w:t>
      </w:r>
      <w:r w:rsidR="00D7008D" w:rsidRPr="00073F5F">
        <w:rPr>
          <w:rFonts w:ascii="Times New Roman" w:hAnsi="Times New Roman" w:cs="Times New Roman"/>
        </w:rPr>
        <w:t xml:space="preserve">. </w:t>
      </w:r>
    </w:p>
    <w:p w14:paraId="42BA7EE9" w14:textId="77777777" w:rsidR="007C6403" w:rsidRPr="002225DA" w:rsidRDefault="007C6403" w:rsidP="0069092D">
      <w:pPr>
        <w:pStyle w:val="Heading3"/>
        <w:ind w:left="0"/>
        <w:rPr>
          <w:rFonts w:ascii="Times New Roman" w:hAnsi="Times New Roman" w:cs="Times New Roman"/>
          <w:szCs w:val="24"/>
          <w:lang w:val="en-US"/>
        </w:rPr>
      </w:pPr>
      <w:r w:rsidRPr="002225DA">
        <w:rPr>
          <w:rFonts w:ascii="Times New Roman" w:hAnsi="Times New Roman" w:cs="Times New Roman"/>
          <w:szCs w:val="24"/>
          <w:lang w:val="en-US"/>
        </w:rPr>
        <w:t xml:space="preserve">Treatment with Other Potentially </w:t>
      </w:r>
      <w:proofErr w:type="spellStart"/>
      <w:r w:rsidRPr="002225DA">
        <w:rPr>
          <w:rFonts w:ascii="Times New Roman" w:hAnsi="Times New Roman" w:cs="Times New Roman"/>
          <w:szCs w:val="24"/>
          <w:lang w:val="en-US"/>
        </w:rPr>
        <w:t>Haemolytic</w:t>
      </w:r>
      <w:proofErr w:type="spellEnd"/>
      <w:r w:rsidRPr="002225DA">
        <w:rPr>
          <w:rFonts w:ascii="Times New Roman" w:hAnsi="Times New Roman" w:cs="Times New Roman"/>
          <w:szCs w:val="24"/>
          <w:lang w:val="en-US"/>
        </w:rPr>
        <w:t xml:space="preserve"> Drugs</w:t>
      </w:r>
    </w:p>
    <w:p w14:paraId="07A379C7" w14:textId="77777777" w:rsidR="007C6403" w:rsidRPr="00073F5F" w:rsidRDefault="007C6403" w:rsidP="009F52D5">
      <w:pPr>
        <w:spacing w:line="240" w:lineRule="auto"/>
        <w:rPr>
          <w:rFonts w:ascii="Times New Roman" w:hAnsi="Times New Roman" w:cs="Times New Roman"/>
        </w:rPr>
      </w:pPr>
      <w:r w:rsidRPr="00073F5F">
        <w:rPr>
          <w:rFonts w:ascii="Times New Roman" w:hAnsi="Times New Roman" w:cs="Times New Roman"/>
          <w:szCs w:val="24"/>
          <w:lang w:val="en-US"/>
        </w:rPr>
        <w:t xml:space="preserve">Drugs </w:t>
      </w:r>
      <w:r w:rsidR="00081835" w:rsidRPr="00073F5F">
        <w:rPr>
          <w:rFonts w:ascii="Times New Roman" w:hAnsi="Times New Roman" w:cs="Times New Roman"/>
          <w:lang w:val="en-US"/>
        </w:rPr>
        <w:t>including</w:t>
      </w:r>
      <w:r w:rsidRPr="00073F5F">
        <w:rPr>
          <w:rFonts w:ascii="Times New Roman" w:hAnsi="Times New Roman" w:cs="Times New Roman"/>
          <w:lang w:val="en-US"/>
        </w:rPr>
        <w:t xml:space="preserve"> </w:t>
      </w:r>
      <w:proofErr w:type="spellStart"/>
      <w:r w:rsidRPr="00073F5F">
        <w:rPr>
          <w:rFonts w:ascii="Times New Roman" w:hAnsi="Times New Roman" w:cs="Times New Roman"/>
          <w:lang w:val="en-US"/>
        </w:rPr>
        <w:t>dapsone</w:t>
      </w:r>
      <w:proofErr w:type="spellEnd"/>
      <w:r w:rsidRPr="00073F5F">
        <w:rPr>
          <w:rFonts w:ascii="Times New Roman" w:hAnsi="Times New Roman" w:cs="Times New Roman"/>
          <w:lang w:val="en-US"/>
        </w:rPr>
        <w:t xml:space="preserve"> may </w:t>
      </w:r>
      <w:r w:rsidR="00081835" w:rsidRPr="00073F5F">
        <w:rPr>
          <w:rFonts w:ascii="Times New Roman" w:hAnsi="Times New Roman" w:cs="Times New Roman"/>
          <w:lang w:val="en-US"/>
        </w:rPr>
        <w:t xml:space="preserve">cause </w:t>
      </w:r>
      <w:proofErr w:type="spellStart"/>
      <w:r w:rsidR="00081835" w:rsidRPr="00073F5F">
        <w:rPr>
          <w:rFonts w:ascii="Times New Roman" w:hAnsi="Times New Roman" w:cs="Times New Roman"/>
          <w:lang w:val="en-US"/>
        </w:rPr>
        <w:t>haemolysis</w:t>
      </w:r>
      <w:proofErr w:type="spellEnd"/>
      <w:r w:rsidR="00081835" w:rsidRPr="00073F5F">
        <w:rPr>
          <w:rFonts w:ascii="Times New Roman" w:hAnsi="Times New Roman" w:cs="Times New Roman"/>
          <w:lang w:val="en-US"/>
        </w:rPr>
        <w:t xml:space="preserve"> in G6PD-normal individuals</w:t>
      </w:r>
      <w:r w:rsidRPr="00073F5F">
        <w:rPr>
          <w:rFonts w:ascii="Times New Roman" w:hAnsi="Times New Roman" w:cs="Times New Roman"/>
          <w:szCs w:val="24"/>
          <w:lang w:val="en-US"/>
        </w:rPr>
        <w:t xml:space="preserve">. It is possible that </w:t>
      </w:r>
      <w:proofErr w:type="spellStart"/>
      <w:r w:rsidR="00081835" w:rsidRPr="00073F5F">
        <w:rPr>
          <w:rFonts w:ascii="Times New Roman" w:hAnsi="Times New Roman" w:cs="Times New Roman"/>
          <w:lang w:val="en-US"/>
        </w:rPr>
        <w:t>dapsone</w:t>
      </w:r>
      <w:proofErr w:type="spellEnd"/>
      <w:r w:rsidRPr="00073F5F">
        <w:rPr>
          <w:rFonts w:ascii="Times New Roman" w:hAnsi="Times New Roman" w:cs="Times New Roman"/>
          <w:szCs w:val="24"/>
          <w:lang w:val="en-US"/>
        </w:rPr>
        <w:t xml:space="preserve"> in combination with KODATEF might cause </w:t>
      </w:r>
      <w:proofErr w:type="spellStart"/>
      <w:r w:rsidRPr="00073F5F">
        <w:rPr>
          <w:rFonts w:ascii="Times New Roman" w:hAnsi="Times New Roman" w:cs="Times New Roman"/>
          <w:szCs w:val="24"/>
          <w:lang w:val="en-US"/>
        </w:rPr>
        <w:t>h</w:t>
      </w:r>
      <w:r w:rsidR="00BB6F71">
        <w:rPr>
          <w:rFonts w:ascii="Times New Roman" w:hAnsi="Times New Roman" w:cs="Times New Roman"/>
          <w:szCs w:val="24"/>
          <w:lang w:val="en-US"/>
        </w:rPr>
        <w:t>a</w:t>
      </w:r>
      <w:r w:rsidRPr="00073F5F">
        <w:rPr>
          <w:rFonts w:ascii="Times New Roman" w:hAnsi="Times New Roman" w:cs="Times New Roman"/>
          <w:szCs w:val="24"/>
          <w:lang w:val="en-US"/>
        </w:rPr>
        <w:t>emolysis</w:t>
      </w:r>
      <w:proofErr w:type="spellEnd"/>
      <w:r w:rsidRPr="00073F5F">
        <w:rPr>
          <w:rFonts w:ascii="Times New Roman" w:hAnsi="Times New Roman" w:cs="Times New Roman"/>
          <w:szCs w:val="24"/>
          <w:lang w:val="en-US"/>
        </w:rPr>
        <w:t xml:space="preserve"> in G6PD-normal individuals.</w:t>
      </w:r>
      <w:r w:rsidR="00A46655">
        <w:rPr>
          <w:rFonts w:ascii="Times New Roman" w:hAnsi="Times New Roman" w:cs="Times New Roman"/>
          <w:szCs w:val="24"/>
          <w:lang w:val="en-US"/>
        </w:rPr>
        <w:t xml:space="preserve"> </w:t>
      </w:r>
      <w:r w:rsidRPr="00073F5F">
        <w:rPr>
          <w:rFonts w:ascii="Times New Roman" w:hAnsi="Times New Roman" w:cs="Times New Roman"/>
          <w:szCs w:val="24"/>
          <w:lang w:val="en-US"/>
        </w:rPr>
        <w:t xml:space="preserve">If </w:t>
      </w:r>
      <w:proofErr w:type="spellStart"/>
      <w:r w:rsidR="00081835" w:rsidRPr="00073F5F">
        <w:rPr>
          <w:rFonts w:ascii="Times New Roman" w:hAnsi="Times New Roman" w:cs="Times New Roman"/>
          <w:lang w:val="en-US"/>
        </w:rPr>
        <w:t>dapsone</w:t>
      </w:r>
      <w:proofErr w:type="spellEnd"/>
      <w:r w:rsidR="00081835" w:rsidRPr="00073F5F">
        <w:rPr>
          <w:rFonts w:ascii="Times New Roman" w:hAnsi="Times New Roman" w:cs="Times New Roman"/>
          <w:lang w:val="en-US"/>
        </w:rPr>
        <w:t xml:space="preserve"> is</w:t>
      </w:r>
      <w:r w:rsidR="00081835" w:rsidRPr="00073F5F">
        <w:rPr>
          <w:rFonts w:ascii="Times New Roman" w:hAnsi="Times New Roman" w:cs="Times New Roman"/>
          <w:szCs w:val="24"/>
          <w:lang w:val="en-US"/>
        </w:rPr>
        <w:t xml:space="preserve"> </w:t>
      </w:r>
      <w:r w:rsidRPr="00073F5F">
        <w:rPr>
          <w:rFonts w:ascii="Times New Roman" w:hAnsi="Times New Roman" w:cs="Times New Roman"/>
          <w:szCs w:val="24"/>
          <w:lang w:val="en-US"/>
        </w:rPr>
        <w:t xml:space="preserve">co-administered with KODATEF, monitor urine for dark </w:t>
      </w:r>
      <w:proofErr w:type="spellStart"/>
      <w:r w:rsidRPr="00073F5F">
        <w:rPr>
          <w:rFonts w:ascii="Times New Roman" w:hAnsi="Times New Roman" w:cs="Times New Roman"/>
          <w:szCs w:val="24"/>
          <w:lang w:val="en-US"/>
        </w:rPr>
        <w:t>colour</w:t>
      </w:r>
      <w:proofErr w:type="spellEnd"/>
      <w:r w:rsidRPr="00073F5F">
        <w:rPr>
          <w:rFonts w:ascii="Times New Roman" w:hAnsi="Times New Roman" w:cs="Times New Roman"/>
          <w:szCs w:val="24"/>
          <w:lang w:val="en-US"/>
        </w:rPr>
        <w:t xml:space="preserve"> and perform periodic checks of hematocrit.</w:t>
      </w:r>
    </w:p>
    <w:p w14:paraId="2583858F" w14:textId="77777777" w:rsidR="001A3992" w:rsidRPr="00073F5F" w:rsidRDefault="001A3992" w:rsidP="009F52D5">
      <w:pPr>
        <w:pStyle w:val="Heading2"/>
        <w:spacing w:before="0" w:after="120" w:line="240" w:lineRule="auto"/>
        <w:rPr>
          <w:rFonts w:ascii="Times New Roman" w:hAnsi="Times New Roman" w:cs="Times New Roman"/>
        </w:rPr>
      </w:pPr>
      <w:r w:rsidRPr="00073F5F">
        <w:rPr>
          <w:rFonts w:ascii="Times New Roman" w:hAnsi="Times New Roman" w:cs="Times New Roman"/>
        </w:rPr>
        <w:t xml:space="preserve">Fertility, pregnancy and lactation </w:t>
      </w:r>
    </w:p>
    <w:p w14:paraId="41A7969E" w14:textId="77777777" w:rsidR="001A3992" w:rsidRPr="0069092D" w:rsidRDefault="001A3992" w:rsidP="0069092D">
      <w:pPr>
        <w:pStyle w:val="Heading3"/>
        <w:ind w:left="0"/>
        <w:rPr>
          <w:rFonts w:ascii="Times New Roman" w:hAnsi="Times New Roman" w:cs="Times New Roman"/>
        </w:rPr>
      </w:pPr>
      <w:r w:rsidRPr="002225DA">
        <w:rPr>
          <w:rFonts w:ascii="Times New Roman" w:hAnsi="Times New Roman" w:cs="Times New Roman"/>
        </w:rPr>
        <w:t>Effects on fertility</w:t>
      </w:r>
    </w:p>
    <w:p w14:paraId="5549F2CE" w14:textId="77777777" w:rsidR="002E5DB7" w:rsidRPr="00073F5F" w:rsidRDefault="00E12962" w:rsidP="009F52D5">
      <w:pPr>
        <w:spacing w:line="240" w:lineRule="auto"/>
        <w:rPr>
          <w:rFonts w:ascii="Times New Roman" w:eastAsia="Calibri" w:hAnsi="Times New Roman" w:cs="Times New Roman"/>
          <w:iCs/>
          <w:color w:val="000000"/>
          <w:lang w:val="en-US" w:eastAsia="en-GB"/>
        </w:rPr>
      </w:pPr>
      <w:proofErr w:type="spellStart"/>
      <w:r w:rsidRPr="00073F5F">
        <w:rPr>
          <w:rFonts w:ascii="Times New Roman" w:hAnsi="Times New Roman" w:cs="Times New Roman"/>
          <w:color w:val="000000"/>
          <w:lang w:val="en-US"/>
        </w:rPr>
        <w:t>Tafenoquine</w:t>
      </w:r>
      <w:proofErr w:type="spellEnd"/>
      <w:r w:rsidRPr="00073F5F">
        <w:rPr>
          <w:rFonts w:ascii="Times New Roman" w:hAnsi="Times New Roman" w:cs="Times New Roman"/>
          <w:color w:val="000000"/>
          <w:lang w:val="en-US"/>
        </w:rPr>
        <w:t xml:space="preserve"> had no effects on mating, estrous cycles, sperm motility, sperm count or morphology in rats dosed with </w:t>
      </w:r>
      <w:proofErr w:type="spellStart"/>
      <w:r w:rsidRPr="00073F5F">
        <w:rPr>
          <w:rFonts w:ascii="Times New Roman" w:hAnsi="Times New Roman" w:cs="Times New Roman"/>
          <w:color w:val="000000"/>
          <w:lang w:val="en-US"/>
        </w:rPr>
        <w:t>tafenoquine</w:t>
      </w:r>
      <w:proofErr w:type="spellEnd"/>
      <w:r w:rsidRPr="00073F5F">
        <w:rPr>
          <w:rFonts w:ascii="Times New Roman" w:hAnsi="Times New Roman" w:cs="Times New Roman"/>
          <w:color w:val="000000"/>
          <w:lang w:val="en-US"/>
        </w:rPr>
        <w:t xml:space="preserve"> at up to 15 mg/kg/day (approximately 6 times the clinical exposure based on AUC). However, the number of corpora </w:t>
      </w:r>
      <w:proofErr w:type="spellStart"/>
      <w:r w:rsidRPr="00073F5F">
        <w:rPr>
          <w:rFonts w:ascii="Times New Roman" w:hAnsi="Times New Roman" w:cs="Times New Roman"/>
          <w:color w:val="000000"/>
          <w:lang w:val="en-US"/>
        </w:rPr>
        <w:t>lutea</w:t>
      </w:r>
      <w:proofErr w:type="spellEnd"/>
      <w:r w:rsidRPr="00073F5F">
        <w:rPr>
          <w:rFonts w:ascii="Times New Roman" w:hAnsi="Times New Roman" w:cs="Times New Roman"/>
          <w:color w:val="000000"/>
          <w:lang w:val="en-US"/>
        </w:rPr>
        <w:t xml:space="preserve"> was decreased at 15 mg/kg/day, resulting in lower numbers of implantations and viable </w:t>
      </w:r>
      <w:proofErr w:type="spellStart"/>
      <w:r w:rsidRPr="00073F5F">
        <w:rPr>
          <w:rFonts w:ascii="Times New Roman" w:hAnsi="Times New Roman" w:cs="Times New Roman"/>
          <w:color w:val="000000"/>
          <w:lang w:val="en-US"/>
        </w:rPr>
        <w:t>f</w:t>
      </w:r>
      <w:r w:rsidR="00BB6F71">
        <w:rPr>
          <w:rFonts w:ascii="Times New Roman" w:hAnsi="Times New Roman" w:cs="Times New Roman"/>
          <w:color w:val="000000"/>
          <w:lang w:val="en-US"/>
        </w:rPr>
        <w:t>o</w:t>
      </w:r>
      <w:r w:rsidRPr="00073F5F">
        <w:rPr>
          <w:rFonts w:ascii="Times New Roman" w:hAnsi="Times New Roman" w:cs="Times New Roman"/>
          <w:color w:val="000000"/>
          <w:lang w:val="en-US"/>
        </w:rPr>
        <w:t>etuses</w:t>
      </w:r>
      <w:proofErr w:type="spellEnd"/>
      <w:r w:rsidRPr="00073F5F">
        <w:rPr>
          <w:rFonts w:ascii="Times New Roman" w:hAnsi="Times New Roman" w:cs="Times New Roman"/>
          <w:color w:val="000000"/>
          <w:lang w:val="en-US"/>
        </w:rPr>
        <w:t>. There was no effect on fertility at 5 mg/kg/day (approximately 2 times the clinical exposure based on AUC).</w:t>
      </w:r>
      <w:r w:rsidR="002E5DB7" w:rsidRPr="00073F5F">
        <w:rPr>
          <w:rFonts w:ascii="Times New Roman" w:eastAsia="Calibri" w:hAnsi="Times New Roman" w:cs="Times New Roman"/>
          <w:bCs/>
          <w:iCs/>
          <w:color w:val="000000"/>
          <w:lang w:val="en-US" w:eastAsia="en-GB"/>
        </w:rPr>
        <w:t xml:space="preserve"> </w:t>
      </w:r>
    </w:p>
    <w:p w14:paraId="10F4A6A6"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 xml:space="preserve">Use in pregnancy </w:t>
      </w:r>
      <w:r w:rsidR="00497C85" w:rsidRPr="00073F5F">
        <w:rPr>
          <w:rFonts w:ascii="Times New Roman" w:hAnsi="Times New Roman" w:cs="Times New Roman"/>
        </w:rPr>
        <w:t xml:space="preserve">– Pregnancy Category </w:t>
      </w:r>
      <w:r w:rsidR="0030391F" w:rsidRPr="00073F5F">
        <w:rPr>
          <w:rFonts w:ascii="Times New Roman" w:hAnsi="Times New Roman" w:cs="Times New Roman"/>
        </w:rPr>
        <w:t>C</w:t>
      </w:r>
    </w:p>
    <w:p w14:paraId="14A9F1AB" w14:textId="77777777" w:rsidR="008038EA" w:rsidRPr="00BB6F71" w:rsidRDefault="00BB6F71" w:rsidP="009F52D5">
      <w:pPr>
        <w:pStyle w:val="BodyText"/>
        <w:spacing w:before="0" w:after="200"/>
        <w:ind w:left="0"/>
        <w:rPr>
          <w:iCs/>
          <w:color w:val="000000" w:themeColor="text1"/>
          <w:sz w:val="22"/>
          <w:szCs w:val="22"/>
          <w:lang w:val="en-US"/>
        </w:rPr>
      </w:pPr>
      <w:r w:rsidRPr="00BB6F71">
        <w:rPr>
          <w:color w:val="000000" w:themeColor="text1"/>
          <w:sz w:val="22"/>
          <w:szCs w:val="22"/>
        </w:rPr>
        <w:t xml:space="preserve">KODATEF </w:t>
      </w:r>
      <w:r w:rsidR="008038EA" w:rsidRPr="00BB6F71">
        <w:rPr>
          <w:color w:val="000000" w:themeColor="text1"/>
          <w:sz w:val="22"/>
          <w:szCs w:val="22"/>
        </w:rPr>
        <w:t>is contraindicated in pregnancy</w:t>
      </w:r>
      <w:r w:rsidR="00A01E2C" w:rsidRPr="00BB6F71">
        <w:rPr>
          <w:color w:val="000000" w:themeColor="text1"/>
          <w:sz w:val="22"/>
          <w:szCs w:val="22"/>
        </w:rPr>
        <w:t xml:space="preserve"> because the G6PD status of the foetus is unknown</w:t>
      </w:r>
      <w:r w:rsidR="008038EA" w:rsidRPr="00BB6F71">
        <w:rPr>
          <w:color w:val="000000" w:themeColor="text1"/>
          <w:sz w:val="22"/>
          <w:szCs w:val="22"/>
        </w:rPr>
        <w:t>.</w:t>
      </w:r>
    </w:p>
    <w:p w14:paraId="56A8EBE9" w14:textId="77777777" w:rsidR="002E5DB7" w:rsidRPr="00744502" w:rsidRDefault="002E5DB7" w:rsidP="009F52D5">
      <w:pPr>
        <w:pStyle w:val="BodyText"/>
        <w:spacing w:before="0" w:after="200"/>
        <w:ind w:left="0"/>
        <w:rPr>
          <w:iCs/>
          <w:color w:val="000000"/>
          <w:sz w:val="22"/>
          <w:szCs w:val="22"/>
          <w:lang w:val="en-US"/>
        </w:rPr>
      </w:pPr>
      <w:r w:rsidRPr="00744502">
        <w:rPr>
          <w:iCs/>
          <w:color w:val="000000"/>
          <w:sz w:val="22"/>
          <w:szCs w:val="22"/>
          <w:lang w:val="en-US"/>
        </w:rPr>
        <w:t>KODATEF was not teratogenic in the rat or rabbit.</w:t>
      </w:r>
      <w:r w:rsidR="008038EA" w:rsidRPr="00744502">
        <w:rPr>
          <w:iCs/>
          <w:color w:val="000000"/>
          <w:sz w:val="22"/>
          <w:szCs w:val="22"/>
          <w:lang w:val="en-US"/>
        </w:rPr>
        <w:t xml:space="preserve"> </w:t>
      </w:r>
      <w:r w:rsidR="009F52D5" w:rsidRPr="00744502">
        <w:rPr>
          <w:iCs/>
          <w:color w:val="000000" w:themeColor="text1"/>
          <w:sz w:val="22"/>
          <w:szCs w:val="22"/>
          <w:lang w:val="en-US"/>
        </w:rPr>
        <w:t xml:space="preserve">However, </w:t>
      </w:r>
      <w:r w:rsidRPr="00744502">
        <w:rPr>
          <w:iCs/>
          <w:color w:val="000000" w:themeColor="text1"/>
          <w:sz w:val="22"/>
          <w:szCs w:val="22"/>
          <w:lang w:val="en-US"/>
        </w:rPr>
        <w:t xml:space="preserve">KODATEF may cause </w:t>
      </w:r>
      <w:proofErr w:type="spellStart"/>
      <w:r w:rsidRPr="00744502">
        <w:rPr>
          <w:iCs/>
          <w:color w:val="000000" w:themeColor="text1"/>
          <w:sz w:val="22"/>
          <w:szCs w:val="22"/>
          <w:lang w:val="en-US"/>
        </w:rPr>
        <w:t>foetal</w:t>
      </w:r>
      <w:proofErr w:type="spellEnd"/>
      <w:r w:rsidRPr="00744502">
        <w:rPr>
          <w:iCs/>
          <w:color w:val="000000" w:themeColor="text1"/>
          <w:sz w:val="22"/>
          <w:szCs w:val="22"/>
          <w:lang w:val="en-US"/>
        </w:rPr>
        <w:t xml:space="preserve"> harm when administered to a pregnant woman if the </w:t>
      </w:r>
      <w:proofErr w:type="spellStart"/>
      <w:r w:rsidRPr="00744502">
        <w:rPr>
          <w:iCs/>
          <w:color w:val="000000" w:themeColor="text1"/>
          <w:sz w:val="22"/>
          <w:szCs w:val="22"/>
          <w:lang w:val="en-US"/>
        </w:rPr>
        <w:t>foetus</w:t>
      </w:r>
      <w:proofErr w:type="spellEnd"/>
      <w:r w:rsidRPr="00744502">
        <w:rPr>
          <w:iCs/>
          <w:color w:val="000000" w:themeColor="text1"/>
          <w:sz w:val="22"/>
          <w:szCs w:val="22"/>
          <w:lang w:val="en-US"/>
        </w:rPr>
        <w:t xml:space="preserve"> is G6PD-deficient and should not be taken in </w:t>
      </w:r>
      <w:r w:rsidRPr="00744502">
        <w:rPr>
          <w:iCs/>
          <w:color w:val="000000" w:themeColor="text1"/>
          <w:sz w:val="22"/>
          <w:szCs w:val="22"/>
          <w:lang w:val="en-US"/>
        </w:rPr>
        <w:lastRenderedPageBreak/>
        <w:t xml:space="preserve">pregnancy. There are no adequate and well-controlled </w:t>
      </w:r>
      <w:r w:rsidR="00F93C2A">
        <w:rPr>
          <w:iCs/>
          <w:color w:val="000000" w:themeColor="text1"/>
          <w:sz w:val="22"/>
          <w:szCs w:val="22"/>
          <w:lang w:val="en-US"/>
        </w:rPr>
        <w:t>trials</w:t>
      </w:r>
      <w:r w:rsidRPr="00744502">
        <w:rPr>
          <w:iCs/>
          <w:color w:val="000000" w:themeColor="text1"/>
          <w:sz w:val="22"/>
          <w:szCs w:val="22"/>
          <w:lang w:val="en-US"/>
        </w:rPr>
        <w:t xml:space="preserve"> in pregnant women. </w:t>
      </w:r>
      <w:r w:rsidR="009F52D5" w:rsidRPr="00744502">
        <w:rPr>
          <w:color w:val="000000" w:themeColor="text1"/>
          <w:sz w:val="22"/>
          <w:szCs w:val="22"/>
        </w:rPr>
        <w:t>If pregnancy is detected while taking KODATEF, discontinue KODATEF and seek medical advice.</w:t>
      </w:r>
    </w:p>
    <w:p w14:paraId="296F2BBA" w14:textId="77777777" w:rsidR="002E5DB7" w:rsidRPr="00744502" w:rsidRDefault="009F52D5" w:rsidP="009F52D5">
      <w:pPr>
        <w:pStyle w:val="BodyText"/>
        <w:spacing w:before="0" w:after="200"/>
        <w:ind w:left="0"/>
        <w:rPr>
          <w:iCs/>
          <w:color w:val="000000"/>
          <w:sz w:val="22"/>
          <w:szCs w:val="22"/>
          <w:lang w:val="en-US"/>
        </w:rPr>
      </w:pPr>
      <w:r w:rsidRPr="00744502">
        <w:rPr>
          <w:iCs/>
          <w:color w:val="000000"/>
          <w:sz w:val="22"/>
          <w:szCs w:val="22"/>
          <w:lang w:val="en-US"/>
        </w:rPr>
        <w:t>Furthermore, f</w:t>
      </w:r>
      <w:r w:rsidR="002E5DB7" w:rsidRPr="00744502">
        <w:rPr>
          <w:iCs/>
          <w:color w:val="000000"/>
          <w:sz w:val="22"/>
          <w:szCs w:val="22"/>
          <w:lang w:val="en-US"/>
        </w:rPr>
        <w:t>emales of reproductive potential should use effective contraception during malaria prevention administration and for five half- lives (three months) after the end of treatment.</w:t>
      </w:r>
    </w:p>
    <w:p w14:paraId="28ED4F7F" w14:textId="77777777" w:rsidR="00FC77E7" w:rsidRPr="00073F5F" w:rsidRDefault="00FC77E7" w:rsidP="009F52D5">
      <w:pPr>
        <w:pStyle w:val="BodyText"/>
        <w:spacing w:before="0" w:after="200"/>
        <w:ind w:left="0"/>
        <w:rPr>
          <w:iCs/>
          <w:color w:val="000000"/>
          <w:sz w:val="22"/>
          <w:szCs w:val="22"/>
          <w:lang w:val="en-US"/>
        </w:rPr>
      </w:pPr>
      <w:r w:rsidRPr="00073F5F">
        <w:rPr>
          <w:color w:val="000000"/>
          <w:sz w:val="22"/>
          <w:lang w:val="en-US"/>
        </w:rPr>
        <w:t xml:space="preserve">The effects of </w:t>
      </w:r>
      <w:proofErr w:type="spellStart"/>
      <w:r w:rsidRPr="00073F5F">
        <w:rPr>
          <w:color w:val="000000"/>
          <w:sz w:val="22"/>
          <w:lang w:val="en-US"/>
        </w:rPr>
        <w:t>tafenoquine</w:t>
      </w:r>
      <w:proofErr w:type="spellEnd"/>
      <w:r w:rsidRPr="00073F5F">
        <w:rPr>
          <w:color w:val="000000"/>
          <w:sz w:val="22"/>
          <w:lang w:val="en-US"/>
        </w:rPr>
        <w:t xml:space="preserve"> on </w:t>
      </w:r>
      <w:proofErr w:type="spellStart"/>
      <w:r w:rsidRPr="00073F5F">
        <w:rPr>
          <w:color w:val="000000"/>
          <w:sz w:val="22"/>
          <w:lang w:val="en-US"/>
        </w:rPr>
        <w:t>labour</w:t>
      </w:r>
      <w:proofErr w:type="spellEnd"/>
      <w:r w:rsidRPr="00073F5F">
        <w:rPr>
          <w:color w:val="000000"/>
          <w:sz w:val="22"/>
          <w:lang w:val="en-US"/>
        </w:rPr>
        <w:t xml:space="preserve"> and delivery </w:t>
      </w:r>
      <w:r w:rsidR="00294660" w:rsidRPr="00073F5F">
        <w:rPr>
          <w:color w:val="000000"/>
          <w:sz w:val="22"/>
          <w:lang w:val="en-US"/>
        </w:rPr>
        <w:t>are</w:t>
      </w:r>
      <w:r w:rsidRPr="00073F5F">
        <w:rPr>
          <w:color w:val="000000"/>
          <w:sz w:val="22"/>
          <w:lang w:val="en-US"/>
        </w:rPr>
        <w:t xml:space="preserve"> unknown.</w:t>
      </w:r>
    </w:p>
    <w:p w14:paraId="330F7535" w14:textId="77777777" w:rsidR="00184DDC" w:rsidRPr="00073F5F" w:rsidRDefault="00A70B24" w:rsidP="009F52D5">
      <w:pPr>
        <w:pStyle w:val="BodyText"/>
        <w:spacing w:before="0" w:after="200"/>
        <w:ind w:left="0"/>
        <w:rPr>
          <w:iCs/>
          <w:color w:val="000000"/>
          <w:sz w:val="22"/>
          <w:szCs w:val="22"/>
          <w:lang w:val="en-US"/>
        </w:rPr>
      </w:pPr>
      <w:proofErr w:type="spellStart"/>
      <w:r w:rsidRPr="00073F5F">
        <w:rPr>
          <w:iCs/>
          <w:sz w:val="22"/>
          <w:szCs w:val="22"/>
        </w:rPr>
        <w:t>Tafenoquine</w:t>
      </w:r>
      <w:proofErr w:type="spellEnd"/>
      <w:r w:rsidRPr="00073F5F">
        <w:rPr>
          <w:iCs/>
          <w:sz w:val="22"/>
          <w:szCs w:val="22"/>
        </w:rPr>
        <w:t xml:space="preserve"> resulted in dose related abortions when given orally to pregnant rabbits during organogenesis </w:t>
      </w:r>
      <w:r w:rsidR="00C52486" w:rsidRPr="00073F5F">
        <w:rPr>
          <w:iCs/>
          <w:sz w:val="22"/>
          <w:szCs w:val="22"/>
        </w:rPr>
        <w:t>(gestational day</w:t>
      </w:r>
      <w:r w:rsidRPr="00073F5F">
        <w:rPr>
          <w:iCs/>
          <w:sz w:val="22"/>
          <w:szCs w:val="22"/>
        </w:rPr>
        <w:t xml:space="preserve"> 6 to 18), at doses of 7 mg/kg (about 4.5 times the clinical dose on </w:t>
      </w:r>
      <w:proofErr w:type="gramStart"/>
      <w:r w:rsidRPr="00073F5F">
        <w:rPr>
          <w:iCs/>
          <w:sz w:val="22"/>
          <w:szCs w:val="22"/>
        </w:rPr>
        <w:t>a</w:t>
      </w:r>
      <w:proofErr w:type="gramEnd"/>
      <w:r w:rsidRPr="00073F5F">
        <w:rPr>
          <w:iCs/>
          <w:sz w:val="22"/>
          <w:szCs w:val="22"/>
        </w:rPr>
        <w:t xml:space="preserve"> mg/m</w:t>
      </w:r>
      <w:r w:rsidRPr="00073F5F">
        <w:rPr>
          <w:iCs/>
          <w:sz w:val="22"/>
          <w:szCs w:val="22"/>
          <w:vertAlign w:val="superscript"/>
        </w:rPr>
        <w:t>2</w:t>
      </w:r>
      <w:r w:rsidRPr="00073F5F">
        <w:rPr>
          <w:iCs/>
          <w:sz w:val="22"/>
          <w:szCs w:val="22"/>
        </w:rPr>
        <w:t xml:space="preserve">/week basis) and above. Doses higher than 7 mg/kg were also associated with maternal toxicity (mortality and reduced body weight gain). In a similar study in rats, doses of 3, 10, or 30 mg/kg/day resulted in maternal toxicity but no </w:t>
      </w:r>
      <w:proofErr w:type="spellStart"/>
      <w:r w:rsidRPr="00073F5F">
        <w:rPr>
          <w:iCs/>
          <w:sz w:val="22"/>
          <w:szCs w:val="22"/>
        </w:rPr>
        <w:t>f</w:t>
      </w:r>
      <w:r w:rsidR="00184DDC" w:rsidRPr="00073F5F">
        <w:rPr>
          <w:iCs/>
          <w:sz w:val="22"/>
          <w:szCs w:val="22"/>
        </w:rPr>
        <w:t>o</w:t>
      </w:r>
      <w:r w:rsidRPr="00073F5F">
        <w:rPr>
          <w:iCs/>
          <w:sz w:val="22"/>
          <w:szCs w:val="22"/>
        </w:rPr>
        <w:t>etotoxicity</w:t>
      </w:r>
      <w:proofErr w:type="spellEnd"/>
      <w:r w:rsidRPr="00073F5F">
        <w:rPr>
          <w:iCs/>
          <w:sz w:val="22"/>
          <w:szCs w:val="22"/>
        </w:rPr>
        <w:t xml:space="preserve">, at the high dose (equivalent to 10 times the clinical dose on </w:t>
      </w:r>
      <w:proofErr w:type="gramStart"/>
      <w:r w:rsidRPr="00073F5F">
        <w:rPr>
          <w:iCs/>
          <w:sz w:val="22"/>
          <w:szCs w:val="22"/>
        </w:rPr>
        <w:t>a</w:t>
      </w:r>
      <w:proofErr w:type="gramEnd"/>
      <w:r w:rsidRPr="00073F5F">
        <w:rPr>
          <w:iCs/>
          <w:sz w:val="22"/>
          <w:szCs w:val="22"/>
        </w:rPr>
        <w:t xml:space="preserve"> mg/m</w:t>
      </w:r>
      <w:r w:rsidRPr="00073F5F">
        <w:rPr>
          <w:iCs/>
          <w:sz w:val="22"/>
          <w:szCs w:val="22"/>
          <w:vertAlign w:val="superscript"/>
        </w:rPr>
        <w:t>2</w:t>
      </w:r>
      <w:r w:rsidRPr="00073F5F">
        <w:rPr>
          <w:iCs/>
          <w:sz w:val="22"/>
          <w:szCs w:val="22"/>
        </w:rPr>
        <w:t>/week basis). There was no evidence of malformations in either species</w:t>
      </w:r>
      <w:r w:rsidR="00184DDC" w:rsidRPr="00073F5F">
        <w:rPr>
          <w:sz w:val="22"/>
          <w:szCs w:val="22"/>
        </w:rPr>
        <w:t>.</w:t>
      </w:r>
    </w:p>
    <w:p w14:paraId="73104353"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Use in lactation</w:t>
      </w:r>
    </w:p>
    <w:p w14:paraId="51F3B585" w14:textId="77777777" w:rsidR="00DB49B2" w:rsidRPr="00F16A76" w:rsidRDefault="0055487E" w:rsidP="009F52D5">
      <w:pPr>
        <w:pStyle w:val="C-BodyTextIndent"/>
        <w:spacing w:line="240" w:lineRule="auto"/>
        <w:ind w:left="0"/>
        <w:rPr>
          <w:sz w:val="22"/>
          <w:szCs w:val="22"/>
        </w:rPr>
      </w:pPr>
      <w:r w:rsidRPr="00073F5F">
        <w:rPr>
          <w:sz w:val="22"/>
          <w:szCs w:val="22"/>
        </w:rPr>
        <w:t>Women</w:t>
      </w:r>
      <w:r w:rsidR="00721198" w:rsidRPr="00073F5F">
        <w:rPr>
          <w:sz w:val="22"/>
          <w:szCs w:val="22"/>
        </w:rPr>
        <w:t xml:space="preserve"> </w:t>
      </w:r>
      <w:r w:rsidR="00DB49B2" w:rsidRPr="00073F5F">
        <w:rPr>
          <w:sz w:val="22"/>
          <w:szCs w:val="22"/>
        </w:rPr>
        <w:t xml:space="preserve">taking KODATEF should stop breastfeeding. </w:t>
      </w:r>
      <w:r w:rsidR="00143ACF">
        <w:rPr>
          <w:sz w:val="22"/>
          <w:szCs w:val="22"/>
        </w:rPr>
        <w:t xml:space="preserve">A G6PD-deficient infant may be at risk for </w:t>
      </w:r>
      <w:proofErr w:type="spellStart"/>
      <w:r w:rsidR="00143ACF">
        <w:rPr>
          <w:sz w:val="22"/>
          <w:szCs w:val="22"/>
        </w:rPr>
        <w:t>haemolytic</w:t>
      </w:r>
      <w:proofErr w:type="spellEnd"/>
      <w:r w:rsidR="00143ACF">
        <w:rPr>
          <w:sz w:val="22"/>
          <w:szCs w:val="22"/>
        </w:rPr>
        <w:t xml:space="preserve"> </w:t>
      </w:r>
      <w:proofErr w:type="spellStart"/>
      <w:r w:rsidR="00143ACF">
        <w:rPr>
          <w:sz w:val="22"/>
          <w:szCs w:val="22"/>
        </w:rPr>
        <w:t>anaemia</w:t>
      </w:r>
      <w:proofErr w:type="spellEnd"/>
      <w:r w:rsidR="00143ACF">
        <w:rPr>
          <w:sz w:val="22"/>
          <w:szCs w:val="22"/>
        </w:rPr>
        <w:t xml:space="preserve"> from exposure to KODATEF through breast milk. Check infant’s G6PD status before breastfeeding</w:t>
      </w:r>
      <w:r w:rsidR="00972236">
        <w:rPr>
          <w:sz w:val="22"/>
          <w:szCs w:val="22"/>
        </w:rPr>
        <w:t xml:space="preserve"> recommences.</w:t>
      </w:r>
    </w:p>
    <w:p w14:paraId="0D879E97" w14:textId="77777777" w:rsidR="00DB49B2" w:rsidRPr="00F16A76" w:rsidRDefault="00DB49B2" w:rsidP="009F52D5">
      <w:pPr>
        <w:pStyle w:val="BodyText"/>
        <w:spacing w:before="0" w:after="200"/>
        <w:ind w:left="0"/>
        <w:rPr>
          <w:sz w:val="22"/>
          <w:szCs w:val="22"/>
        </w:rPr>
      </w:pPr>
      <w:r w:rsidRPr="00F16A76">
        <w:rPr>
          <w:sz w:val="22"/>
          <w:szCs w:val="22"/>
        </w:rPr>
        <w:t xml:space="preserve">In rats given oral doses of </w:t>
      </w:r>
      <w:proofErr w:type="spellStart"/>
      <w:r w:rsidRPr="00F16A76">
        <w:rPr>
          <w:sz w:val="22"/>
          <w:szCs w:val="22"/>
        </w:rPr>
        <w:t>tafenoquine</w:t>
      </w:r>
      <w:proofErr w:type="spellEnd"/>
      <w:r w:rsidRPr="00F16A76">
        <w:rPr>
          <w:sz w:val="22"/>
          <w:szCs w:val="22"/>
        </w:rPr>
        <w:t xml:space="preserve"> during gestation and lactation, decreased body weight gain, slightly delayed eye opening and decreased rearing activity of offspring, associated with maternal toxicity were observed at 18 mg/kg/day (approximately 8</w:t>
      </w:r>
      <w:r w:rsidR="00FB4CC0">
        <w:rPr>
          <w:sz w:val="22"/>
          <w:szCs w:val="22"/>
        </w:rPr>
        <w:t xml:space="preserve"> times</w:t>
      </w:r>
      <w:r w:rsidRPr="00F16A76">
        <w:rPr>
          <w:sz w:val="22"/>
          <w:szCs w:val="22"/>
        </w:rPr>
        <w:t xml:space="preserve"> the clinical exposure based on AUC).</w:t>
      </w:r>
    </w:p>
    <w:p w14:paraId="26DBB038" w14:textId="77777777" w:rsidR="001A3992" w:rsidRPr="00073F5F" w:rsidRDefault="001A3992" w:rsidP="009F52D5">
      <w:pPr>
        <w:pStyle w:val="Heading2"/>
        <w:spacing w:before="0" w:after="120" w:line="240" w:lineRule="auto"/>
        <w:rPr>
          <w:rFonts w:ascii="Times New Roman" w:hAnsi="Times New Roman" w:cs="Times New Roman"/>
        </w:rPr>
      </w:pPr>
      <w:r w:rsidRPr="00073F5F">
        <w:rPr>
          <w:rFonts w:ascii="Times New Roman" w:hAnsi="Times New Roman" w:cs="Times New Roman"/>
        </w:rPr>
        <w:t xml:space="preserve">Effects on ability to drive and use machines </w:t>
      </w:r>
    </w:p>
    <w:p w14:paraId="55041202" w14:textId="77777777" w:rsidR="00497C85" w:rsidRPr="00073F5F" w:rsidRDefault="00497C85" w:rsidP="009F52D5">
      <w:pPr>
        <w:spacing w:line="240" w:lineRule="auto"/>
        <w:rPr>
          <w:rFonts w:ascii="Times New Roman" w:hAnsi="Times New Roman" w:cs="Times New Roman"/>
        </w:rPr>
      </w:pPr>
      <w:r w:rsidRPr="00073F5F">
        <w:rPr>
          <w:rFonts w:ascii="Times New Roman" w:hAnsi="Times New Roman" w:cs="Times New Roman"/>
        </w:rPr>
        <w:t>The effects of this medicine on a person's ability to drive and use machines were not assessed as part of its registration.</w:t>
      </w:r>
    </w:p>
    <w:p w14:paraId="1833C360" w14:textId="77777777" w:rsidR="001A3992" w:rsidRPr="00073F5F" w:rsidRDefault="001A3992" w:rsidP="009F52D5">
      <w:pPr>
        <w:pStyle w:val="Heading2"/>
        <w:keepNext/>
        <w:keepLines/>
        <w:spacing w:before="0" w:after="120" w:line="240" w:lineRule="auto"/>
        <w:rPr>
          <w:rFonts w:ascii="Times New Roman" w:hAnsi="Times New Roman" w:cs="Times New Roman"/>
        </w:rPr>
      </w:pPr>
      <w:r w:rsidRPr="00073F5F">
        <w:rPr>
          <w:rFonts w:ascii="Times New Roman" w:hAnsi="Times New Roman" w:cs="Times New Roman"/>
        </w:rPr>
        <w:t>Adverse effects (Undesirable effects)</w:t>
      </w:r>
    </w:p>
    <w:p w14:paraId="14DAFBE4" w14:textId="77777777" w:rsidR="00FC77E7" w:rsidRPr="00073F5F" w:rsidRDefault="00FC77E7" w:rsidP="00561EA7">
      <w:pPr>
        <w:spacing w:line="240" w:lineRule="auto"/>
        <w:rPr>
          <w:rFonts w:ascii="Times New Roman" w:hAnsi="Times New Roman" w:cs="Times New Roman"/>
          <w:lang w:val="en-US" w:eastAsia="en-GB"/>
        </w:rPr>
      </w:pPr>
      <w:r w:rsidRPr="00073F5F">
        <w:rPr>
          <w:rFonts w:ascii="Times New Roman" w:hAnsi="Times New Roman" w:cs="Times New Roman"/>
          <w:lang w:val="en-US" w:eastAsia="en-GB"/>
        </w:rPr>
        <w:t>The following adverse reactions are discussed in greater detail in other sections of the Product Information:</w:t>
      </w:r>
    </w:p>
    <w:p w14:paraId="2FFE0E47" w14:textId="77777777" w:rsidR="00FC77E7" w:rsidRPr="00073F5F" w:rsidRDefault="00FC77E7" w:rsidP="00561EA7">
      <w:pPr>
        <w:spacing w:line="240" w:lineRule="auto"/>
        <w:rPr>
          <w:rFonts w:ascii="Times New Roman" w:hAnsi="Times New Roman" w:cs="Times New Roman"/>
          <w:lang w:val="en-US" w:eastAsia="en-GB"/>
        </w:rPr>
      </w:pPr>
      <w:r w:rsidRPr="00073F5F">
        <w:rPr>
          <w:rFonts w:ascii="Times New Roman" w:hAnsi="Times New Roman" w:cs="Times New Roman"/>
          <w:lang w:val="en-US" w:eastAsia="en-GB"/>
        </w:rPr>
        <w:t xml:space="preserve">Gastrointestinal Effects (see </w:t>
      </w:r>
      <w:r w:rsidR="002225DA">
        <w:rPr>
          <w:rFonts w:ascii="Times New Roman" w:hAnsi="Times New Roman" w:cs="Times New Roman"/>
          <w:lang w:val="en-US" w:eastAsia="en-GB"/>
        </w:rPr>
        <w:t>Section 4.4 SPECIAL WARNINGS AND PRECAUTIONS FOR USE</w:t>
      </w:r>
      <w:r w:rsidRPr="00073F5F">
        <w:rPr>
          <w:rFonts w:ascii="Times New Roman" w:hAnsi="Times New Roman" w:cs="Times New Roman"/>
          <w:lang w:val="en-US" w:eastAsia="en-GB"/>
        </w:rPr>
        <w:t>)</w:t>
      </w:r>
      <w:r w:rsidR="00FB4CC0">
        <w:rPr>
          <w:rFonts w:ascii="Times New Roman" w:hAnsi="Times New Roman" w:cs="Times New Roman"/>
          <w:lang w:val="en-US" w:eastAsia="en-GB"/>
        </w:rPr>
        <w:t>.</w:t>
      </w:r>
    </w:p>
    <w:p w14:paraId="40769954" w14:textId="77777777" w:rsidR="00FC77E7" w:rsidRPr="00073F5F" w:rsidRDefault="00FC77E7" w:rsidP="00561EA7">
      <w:pPr>
        <w:spacing w:line="240" w:lineRule="auto"/>
        <w:rPr>
          <w:rFonts w:ascii="Times New Roman" w:hAnsi="Times New Roman" w:cs="Times New Roman"/>
          <w:lang w:val="en-US" w:eastAsia="en-GB"/>
        </w:rPr>
      </w:pPr>
      <w:proofErr w:type="spellStart"/>
      <w:r w:rsidRPr="00073F5F">
        <w:rPr>
          <w:rFonts w:ascii="Times New Roman" w:hAnsi="Times New Roman" w:cs="Times New Roman"/>
          <w:lang w:val="en-US" w:eastAsia="en-GB"/>
        </w:rPr>
        <w:t>H</w:t>
      </w:r>
      <w:r w:rsidR="00FB4CC0">
        <w:rPr>
          <w:rFonts w:ascii="Times New Roman" w:hAnsi="Times New Roman" w:cs="Times New Roman"/>
          <w:lang w:val="en-US" w:eastAsia="en-GB"/>
        </w:rPr>
        <w:t>a</w:t>
      </w:r>
      <w:r w:rsidRPr="00073F5F">
        <w:rPr>
          <w:rFonts w:ascii="Times New Roman" w:hAnsi="Times New Roman" w:cs="Times New Roman"/>
          <w:lang w:val="en-US" w:eastAsia="en-GB"/>
        </w:rPr>
        <w:t>ematological</w:t>
      </w:r>
      <w:proofErr w:type="spellEnd"/>
      <w:r w:rsidRPr="00073F5F">
        <w:rPr>
          <w:rFonts w:ascii="Times New Roman" w:hAnsi="Times New Roman" w:cs="Times New Roman"/>
          <w:lang w:val="en-US" w:eastAsia="en-GB"/>
        </w:rPr>
        <w:t xml:space="preserve"> Effects (see </w:t>
      </w:r>
      <w:r w:rsidR="002225DA">
        <w:rPr>
          <w:rFonts w:ascii="Times New Roman" w:hAnsi="Times New Roman" w:cs="Times New Roman"/>
          <w:lang w:val="en-US" w:eastAsia="en-GB"/>
        </w:rPr>
        <w:t>Section 4.4 SPECIAL WARNINGS AND PRECAUTIONS FOR USE</w:t>
      </w:r>
      <w:r w:rsidRPr="00073F5F">
        <w:rPr>
          <w:rFonts w:ascii="Times New Roman" w:hAnsi="Times New Roman" w:cs="Times New Roman"/>
          <w:lang w:val="en-US" w:eastAsia="en-GB"/>
        </w:rPr>
        <w:t>)</w:t>
      </w:r>
      <w:r w:rsidR="00FB4CC0">
        <w:rPr>
          <w:rFonts w:ascii="Times New Roman" w:hAnsi="Times New Roman" w:cs="Times New Roman"/>
          <w:lang w:val="en-US" w:eastAsia="en-GB"/>
        </w:rPr>
        <w:t>.</w:t>
      </w:r>
    </w:p>
    <w:p w14:paraId="20E4F5B2" w14:textId="77777777" w:rsidR="00FC77E7" w:rsidRPr="00073F5F" w:rsidRDefault="00FC77E7" w:rsidP="00561EA7">
      <w:pPr>
        <w:spacing w:line="240" w:lineRule="auto"/>
        <w:rPr>
          <w:rFonts w:ascii="Times New Roman" w:hAnsi="Times New Roman" w:cs="Times New Roman"/>
          <w:lang w:val="en-US" w:eastAsia="en-GB"/>
        </w:rPr>
      </w:pPr>
      <w:r w:rsidRPr="00073F5F">
        <w:rPr>
          <w:rFonts w:ascii="Times New Roman" w:hAnsi="Times New Roman" w:cs="Times New Roman"/>
          <w:lang w:val="en-US" w:eastAsia="en-GB"/>
        </w:rPr>
        <w:t xml:space="preserve">Drug-Drug Interactions (see </w:t>
      </w:r>
      <w:r w:rsidR="002225DA">
        <w:rPr>
          <w:rFonts w:ascii="Times New Roman" w:hAnsi="Times New Roman" w:cs="Times New Roman"/>
          <w:lang w:val="en-US" w:eastAsia="en-GB"/>
        </w:rPr>
        <w:t>Section 4.4 SPECIAL WARNINGS AND PRECAUTIONS FOR USE</w:t>
      </w:r>
      <w:r w:rsidRPr="00073F5F">
        <w:rPr>
          <w:rFonts w:ascii="Times New Roman" w:hAnsi="Times New Roman" w:cs="Times New Roman"/>
          <w:lang w:val="en-US" w:eastAsia="en-GB"/>
        </w:rPr>
        <w:t>)</w:t>
      </w:r>
      <w:r w:rsidR="00FB4CC0">
        <w:rPr>
          <w:rFonts w:ascii="Times New Roman" w:hAnsi="Times New Roman" w:cs="Times New Roman"/>
          <w:lang w:val="en-US" w:eastAsia="en-GB"/>
        </w:rPr>
        <w:t>.</w:t>
      </w:r>
    </w:p>
    <w:p w14:paraId="0AB280C3" w14:textId="77777777" w:rsidR="00FC77E7" w:rsidRPr="00073F5F" w:rsidRDefault="00FC77E7" w:rsidP="00561EA7">
      <w:pPr>
        <w:spacing w:line="240" w:lineRule="auto"/>
        <w:rPr>
          <w:rFonts w:ascii="Times New Roman" w:hAnsi="Times New Roman" w:cs="Times New Roman"/>
          <w:lang w:val="en-US" w:eastAsia="en-GB"/>
        </w:rPr>
      </w:pPr>
      <w:proofErr w:type="gramStart"/>
      <w:r w:rsidRPr="00073F5F">
        <w:rPr>
          <w:rFonts w:ascii="Times New Roman" w:hAnsi="Times New Roman" w:cs="Times New Roman"/>
          <w:lang w:val="en-US" w:eastAsia="en-GB"/>
        </w:rPr>
        <w:t xml:space="preserve">Treatment with Other Potentially </w:t>
      </w:r>
      <w:proofErr w:type="spellStart"/>
      <w:r w:rsidRPr="00073F5F">
        <w:rPr>
          <w:rFonts w:ascii="Times New Roman" w:hAnsi="Times New Roman" w:cs="Times New Roman"/>
          <w:lang w:val="en-US" w:eastAsia="en-GB"/>
        </w:rPr>
        <w:t>H</w:t>
      </w:r>
      <w:r w:rsidR="00FB4CC0">
        <w:rPr>
          <w:rFonts w:ascii="Times New Roman" w:hAnsi="Times New Roman" w:cs="Times New Roman"/>
          <w:lang w:val="en-US" w:eastAsia="en-GB"/>
        </w:rPr>
        <w:t>a</w:t>
      </w:r>
      <w:r w:rsidRPr="00073F5F">
        <w:rPr>
          <w:rFonts w:ascii="Times New Roman" w:hAnsi="Times New Roman" w:cs="Times New Roman"/>
          <w:lang w:val="en-US" w:eastAsia="en-GB"/>
        </w:rPr>
        <w:t>emolytic</w:t>
      </w:r>
      <w:proofErr w:type="spellEnd"/>
      <w:r w:rsidRPr="00073F5F">
        <w:rPr>
          <w:rFonts w:ascii="Times New Roman" w:hAnsi="Times New Roman" w:cs="Times New Roman"/>
          <w:lang w:val="en-US" w:eastAsia="en-GB"/>
        </w:rPr>
        <w:t xml:space="preserve"> Drugs (see </w:t>
      </w:r>
      <w:r w:rsidR="002225DA">
        <w:rPr>
          <w:rFonts w:ascii="Times New Roman" w:hAnsi="Times New Roman" w:cs="Times New Roman"/>
          <w:lang w:val="en-US" w:eastAsia="en-GB"/>
        </w:rPr>
        <w:t>Section 4.5 INTERACTIONS WITH OTHER MEDICINES AND OTHER FORMS OF INTERACTIONS</w:t>
      </w:r>
      <w:r w:rsidRPr="00073F5F">
        <w:rPr>
          <w:rFonts w:ascii="Times New Roman" w:hAnsi="Times New Roman" w:cs="Times New Roman"/>
          <w:lang w:val="en-US" w:eastAsia="en-GB"/>
        </w:rPr>
        <w:t>)</w:t>
      </w:r>
      <w:r w:rsidR="00FB4CC0">
        <w:rPr>
          <w:rFonts w:ascii="Times New Roman" w:hAnsi="Times New Roman" w:cs="Times New Roman"/>
          <w:lang w:val="en-US" w:eastAsia="en-GB"/>
        </w:rPr>
        <w:t>.</w:t>
      </w:r>
      <w:proofErr w:type="gramEnd"/>
    </w:p>
    <w:p w14:paraId="180576F3" w14:textId="77777777" w:rsidR="00FC77E7" w:rsidRPr="00073F5F" w:rsidRDefault="00FC77E7" w:rsidP="0069092D">
      <w:pPr>
        <w:pStyle w:val="BodyText"/>
        <w:tabs>
          <w:tab w:val="left" w:pos="8931"/>
          <w:tab w:val="left" w:pos="9072"/>
        </w:tabs>
        <w:kinsoku w:val="0"/>
        <w:overflowPunct w:val="0"/>
        <w:ind w:left="0" w:right="302"/>
        <w:outlineLvl w:val="2"/>
        <w:rPr>
          <w:b/>
          <w:sz w:val="22"/>
          <w:szCs w:val="22"/>
          <w:lang w:val="en-US"/>
        </w:rPr>
      </w:pPr>
      <w:r w:rsidRPr="00073F5F">
        <w:rPr>
          <w:b/>
          <w:sz w:val="22"/>
          <w:szCs w:val="22"/>
          <w:lang w:val="en-US"/>
        </w:rPr>
        <w:t>Clinical Trial Experience</w:t>
      </w:r>
    </w:p>
    <w:p w14:paraId="1155EF1D" w14:textId="77777777" w:rsidR="00BF246A" w:rsidRPr="00BF246A" w:rsidRDefault="00BF246A" w:rsidP="00BF246A">
      <w:pPr>
        <w:pStyle w:val="BodyText"/>
        <w:ind w:left="0"/>
        <w:rPr>
          <w:sz w:val="22"/>
          <w:szCs w:val="22"/>
        </w:rPr>
      </w:pPr>
      <w:r w:rsidRPr="00BF246A">
        <w:rPr>
          <w:sz w:val="22"/>
          <w:szCs w:val="22"/>
        </w:rPr>
        <w:t xml:space="preserve">The safety of </w:t>
      </w:r>
      <w:proofErr w:type="spellStart"/>
      <w:r w:rsidRPr="00BF246A">
        <w:rPr>
          <w:sz w:val="22"/>
          <w:szCs w:val="22"/>
        </w:rPr>
        <w:t>tafenoquine</w:t>
      </w:r>
      <w:proofErr w:type="spellEnd"/>
      <w:r w:rsidRPr="00BF246A">
        <w:rPr>
          <w:sz w:val="22"/>
          <w:szCs w:val="22"/>
        </w:rPr>
        <w:t xml:space="preserve"> was studied in clinical trials at various doses and regimens in 3,184 subjects.</w:t>
      </w:r>
      <w:r w:rsidRPr="00BF246A" w:rsidDel="00110F1D">
        <w:rPr>
          <w:sz w:val="22"/>
          <w:szCs w:val="22"/>
        </w:rPr>
        <w:t xml:space="preserve"> </w:t>
      </w:r>
      <w:r w:rsidRPr="00BF246A">
        <w:rPr>
          <w:sz w:val="22"/>
          <w:szCs w:val="22"/>
        </w:rPr>
        <w:t xml:space="preserve">The recommended KODATEF malaria prevention regimen was evaluated in 825 subjects in 5 controlled clinical trials (Trials 043, 045, 030, 033, and 057). The mean duration of exposure to KODATEF in these five clinical trials was 21 weeks (range 10-29 weeks). Trial 043, 045 and 030 were conducted in healthy, semi-immune, indigenous African volunteers in Ghana or Kenya and were placebo-controlled; a </w:t>
      </w:r>
      <w:proofErr w:type="spellStart"/>
      <w:r w:rsidRPr="00BF246A">
        <w:rPr>
          <w:sz w:val="22"/>
          <w:szCs w:val="22"/>
        </w:rPr>
        <w:t>mefloquine</w:t>
      </w:r>
      <w:proofErr w:type="spellEnd"/>
      <w:r w:rsidRPr="00BF246A">
        <w:rPr>
          <w:sz w:val="22"/>
          <w:szCs w:val="22"/>
        </w:rPr>
        <w:t xml:space="preserve"> arm was included in Trials 045 and 030 as a benchmark. Possible asymptomatic </w:t>
      </w:r>
      <w:proofErr w:type="spellStart"/>
      <w:r w:rsidRPr="00BF246A">
        <w:rPr>
          <w:sz w:val="22"/>
          <w:szCs w:val="22"/>
        </w:rPr>
        <w:t>parasitaemia</w:t>
      </w:r>
      <w:proofErr w:type="spellEnd"/>
      <w:r w:rsidRPr="00BF246A">
        <w:rPr>
          <w:sz w:val="22"/>
          <w:szCs w:val="22"/>
        </w:rPr>
        <w:t xml:space="preserve"> was cleared prior to initial receipt of trial drugs in these African studies. Trial 033, an active comparator (</w:t>
      </w:r>
      <w:proofErr w:type="spellStart"/>
      <w:r w:rsidRPr="00BF246A">
        <w:rPr>
          <w:sz w:val="22"/>
          <w:szCs w:val="22"/>
        </w:rPr>
        <w:t>mefloquine</w:t>
      </w:r>
      <w:proofErr w:type="spellEnd"/>
      <w:r w:rsidRPr="00BF246A">
        <w:rPr>
          <w:sz w:val="22"/>
          <w:szCs w:val="22"/>
        </w:rPr>
        <w:t xml:space="preserve">) controlled trial was conducted in healthy Australian soldiers deployed in East Timor (now Timor </w:t>
      </w:r>
      <w:proofErr w:type="spellStart"/>
      <w:r w:rsidRPr="00BF246A">
        <w:rPr>
          <w:sz w:val="22"/>
          <w:szCs w:val="22"/>
        </w:rPr>
        <w:t>Leste</w:t>
      </w:r>
      <w:proofErr w:type="spellEnd"/>
      <w:r w:rsidRPr="00BF246A">
        <w:rPr>
          <w:sz w:val="22"/>
          <w:szCs w:val="22"/>
        </w:rPr>
        <w:t xml:space="preserve">) for a peace-keeping operation at which time trial drugs were administered. A placebo-controlled Trial 057 was a renal and ophthalmic safety trial conducted in healthy volunteers in the United States and United Kingdom. The mean age of the subjects included in the five trials was 29 years (range 17 to 69 years); 84% were male. The number </w:t>
      </w:r>
      <w:r w:rsidRPr="00BF246A">
        <w:rPr>
          <w:sz w:val="22"/>
          <w:szCs w:val="22"/>
        </w:rPr>
        <w:lastRenderedPageBreak/>
        <w:t xml:space="preserve">of randomised placebo subjects in these trials plus one other (Trial 044) was 396. Because clinical trials are conducted under widely varying conditions, adverse reaction rates observed in the clinical trials of a drug cannot be directly compared to rates in the clinical trials of another drug and may not reflect the rates observed in practice. </w:t>
      </w:r>
    </w:p>
    <w:p w14:paraId="24B0FEAD" w14:textId="77777777" w:rsidR="004E416E" w:rsidRPr="00073F5F" w:rsidRDefault="004E416E" w:rsidP="009F52D5">
      <w:pPr>
        <w:pStyle w:val="BodyText"/>
        <w:tabs>
          <w:tab w:val="left" w:pos="8931"/>
          <w:tab w:val="left" w:pos="9072"/>
        </w:tabs>
        <w:kinsoku w:val="0"/>
        <w:overflowPunct w:val="0"/>
        <w:ind w:left="0" w:right="299"/>
        <w:rPr>
          <w:sz w:val="22"/>
          <w:szCs w:val="22"/>
          <w:lang w:val="en-US"/>
        </w:rPr>
      </w:pPr>
    </w:p>
    <w:p w14:paraId="352707BE" w14:textId="77777777" w:rsidR="00993016" w:rsidRPr="00073F5F" w:rsidRDefault="00FC77E7" w:rsidP="0069092D">
      <w:pPr>
        <w:pStyle w:val="BodyText"/>
        <w:tabs>
          <w:tab w:val="left" w:pos="8931"/>
          <w:tab w:val="left" w:pos="9072"/>
        </w:tabs>
        <w:kinsoku w:val="0"/>
        <w:overflowPunct w:val="0"/>
        <w:spacing w:before="0" w:after="200"/>
        <w:ind w:left="0" w:right="299"/>
        <w:outlineLvl w:val="3"/>
        <w:rPr>
          <w:b/>
          <w:i/>
          <w:sz w:val="22"/>
          <w:szCs w:val="22"/>
          <w:lang w:val="en-US"/>
        </w:rPr>
      </w:pPr>
      <w:r w:rsidRPr="00073F5F">
        <w:rPr>
          <w:b/>
          <w:i/>
          <w:sz w:val="22"/>
          <w:szCs w:val="22"/>
          <w:lang w:val="en-US"/>
        </w:rPr>
        <w:t>Serious Adverse Events and Treatment Discontinuations</w:t>
      </w:r>
    </w:p>
    <w:p w14:paraId="3560D625" w14:textId="79012503" w:rsidR="00FC77E7" w:rsidRPr="00073F5F" w:rsidRDefault="00FC77E7" w:rsidP="00561EA7">
      <w:pPr>
        <w:pStyle w:val="BodyText"/>
        <w:tabs>
          <w:tab w:val="left" w:pos="8931"/>
          <w:tab w:val="left" w:pos="9072"/>
        </w:tabs>
        <w:kinsoku w:val="0"/>
        <w:overflowPunct w:val="0"/>
        <w:spacing w:before="0" w:after="200"/>
        <w:ind w:left="0" w:right="301"/>
        <w:rPr>
          <w:sz w:val="22"/>
          <w:szCs w:val="22"/>
          <w:lang w:val="en-US"/>
        </w:rPr>
      </w:pPr>
      <w:r w:rsidRPr="00073F5F">
        <w:rPr>
          <w:sz w:val="22"/>
          <w:szCs w:val="22"/>
          <w:lang w:val="en-US"/>
        </w:rPr>
        <w:t>A total of 49 serious adverse events (SAEs)</w:t>
      </w:r>
      <w:r w:rsidR="00A46655">
        <w:rPr>
          <w:sz w:val="22"/>
          <w:szCs w:val="22"/>
          <w:lang w:val="en-US"/>
        </w:rPr>
        <w:t xml:space="preserve"> </w:t>
      </w:r>
      <w:r w:rsidRPr="00073F5F">
        <w:rPr>
          <w:sz w:val="22"/>
          <w:szCs w:val="22"/>
          <w:lang w:val="en-US"/>
        </w:rPr>
        <w:t xml:space="preserve">were reported in </w:t>
      </w:r>
      <w:proofErr w:type="spellStart"/>
      <w:r w:rsidRPr="00073F5F">
        <w:rPr>
          <w:sz w:val="22"/>
          <w:szCs w:val="22"/>
          <w:lang w:val="en-US"/>
        </w:rPr>
        <w:t>tafenoquine</w:t>
      </w:r>
      <w:proofErr w:type="spellEnd"/>
      <w:r w:rsidRPr="00073F5F">
        <w:rPr>
          <w:sz w:val="22"/>
          <w:szCs w:val="22"/>
          <w:lang w:val="en-US"/>
        </w:rPr>
        <w:t xml:space="preserve">-treated subjects (5.9 per 100 subjects) compared to 23 SAEs in placebo-treated subject (5.8 per 100 subjects). Of the 49 SAEs in </w:t>
      </w:r>
      <w:proofErr w:type="spellStart"/>
      <w:r w:rsidRPr="00073F5F">
        <w:rPr>
          <w:sz w:val="22"/>
          <w:szCs w:val="22"/>
          <w:lang w:val="en-US"/>
        </w:rPr>
        <w:t>tafenoquine</w:t>
      </w:r>
      <w:proofErr w:type="spellEnd"/>
      <w:r w:rsidRPr="00073F5F">
        <w:rPr>
          <w:sz w:val="22"/>
          <w:szCs w:val="22"/>
          <w:lang w:val="en-US"/>
        </w:rPr>
        <w:t xml:space="preserve">-treated subjects, only 23 were SAEs that were considered “treatment-related” (includes unlikely, possibly, or probably treatment-related). Of these 23 SAEs: seven were an eye disorder, </w:t>
      </w:r>
      <w:r w:rsidR="002636E7">
        <w:rPr>
          <w:sz w:val="22"/>
          <w:szCs w:val="22"/>
          <w:lang w:val="en-US"/>
        </w:rPr>
        <w:t xml:space="preserve">5 </w:t>
      </w:r>
      <w:r w:rsidRPr="00073F5F">
        <w:rPr>
          <w:sz w:val="22"/>
          <w:szCs w:val="22"/>
          <w:lang w:val="en-US"/>
        </w:rPr>
        <w:t xml:space="preserve">were decreased glomerular filtration rate, </w:t>
      </w:r>
      <w:r w:rsidR="002636E7">
        <w:rPr>
          <w:sz w:val="22"/>
          <w:szCs w:val="22"/>
          <w:lang w:val="en-US"/>
        </w:rPr>
        <w:t xml:space="preserve">4 </w:t>
      </w:r>
      <w:r w:rsidRPr="00073F5F">
        <w:rPr>
          <w:sz w:val="22"/>
          <w:szCs w:val="22"/>
          <w:lang w:val="en-US"/>
        </w:rPr>
        <w:t xml:space="preserve">were an infection or infestation, </w:t>
      </w:r>
      <w:r w:rsidR="002636E7">
        <w:rPr>
          <w:sz w:val="22"/>
          <w:szCs w:val="22"/>
          <w:lang w:val="en-US"/>
        </w:rPr>
        <w:t xml:space="preserve">4 </w:t>
      </w:r>
      <w:r w:rsidRPr="00073F5F">
        <w:rPr>
          <w:sz w:val="22"/>
          <w:szCs w:val="22"/>
          <w:lang w:val="en-US"/>
        </w:rPr>
        <w:t xml:space="preserve">were gastrointestinal disorders, </w:t>
      </w:r>
      <w:r w:rsidR="002636E7">
        <w:rPr>
          <w:sz w:val="22"/>
          <w:szCs w:val="22"/>
          <w:lang w:val="en-US"/>
        </w:rPr>
        <w:t>2</w:t>
      </w:r>
      <w:r w:rsidR="002636E7" w:rsidRPr="00073F5F">
        <w:rPr>
          <w:sz w:val="22"/>
          <w:szCs w:val="22"/>
          <w:lang w:val="en-US"/>
        </w:rPr>
        <w:t xml:space="preserve"> </w:t>
      </w:r>
      <w:r w:rsidRPr="00073F5F">
        <w:rPr>
          <w:sz w:val="22"/>
          <w:szCs w:val="22"/>
          <w:lang w:val="en-US"/>
        </w:rPr>
        <w:t xml:space="preserve">were a nervous system disorder, and </w:t>
      </w:r>
      <w:r w:rsidR="002636E7">
        <w:rPr>
          <w:sz w:val="22"/>
          <w:szCs w:val="22"/>
          <w:lang w:val="en-US"/>
        </w:rPr>
        <w:t>1</w:t>
      </w:r>
      <w:r w:rsidR="002636E7" w:rsidRPr="00073F5F">
        <w:rPr>
          <w:sz w:val="22"/>
          <w:szCs w:val="22"/>
          <w:lang w:val="en-US"/>
        </w:rPr>
        <w:t xml:space="preserve"> </w:t>
      </w:r>
      <w:r w:rsidRPr="00073F5F">
        <w:rPr>
          <w:sz w:val="22"/>
          <w:szCs w:val="22"/>
          <w:lang w:val="en-US"/>
        </w:rPr>
        <w:t xml:space="preserve">was a blood/lymphatic tissue disorder. Of the 23 SAEs in </w:t>
      </w:r>
      <w:r w:rsidR="00561EA7">
        <w:rPr>
          <w:sz w:val="22"/>
          <w:szCs w:val="22"/>
          <w:lang w:val="en-US"/>
        </w:rPr>
        <w:t>p</w:t>
      </w:r>
      <w:r w:rsidRPr="00073F5F">
        <w:rPr>
          <w:sz w:val="22"/>
          <w:szCs w:val="22"/>
          <w:lang w:val="en-US"/>
        </w:rPr>
        <w:t xml:space="preserve">lacebo subjects, 10 were considered “treatment-related”, affecting </w:t>
      </w:r>
      <w:r w:rsidR="003C78D5">
        <w:rPr>
          <w:sz w:val="22"/>
          <w:szCs w:val="22"/>
          <w:lang w:val="en-US"/>
        </w:rPr>
        <w:t>9</w:t>
      </w:r>
      <w:r w:rsidRPr="00073F5F">
        <w:rPr>
          <w:sz w:val="22"/>
          <w:szCs w:val="22"/>
          <w:lang w:val="en-US"/>
        </w:rPr>
        <w:t xml:space="preserve"> subjects. Of these 10 treatment-related SAEs: </w:t>
      </w:r>
      <w:r w:rsidR="002636E7">
        <w:rPr>
          <w:sz w:val="22"/>
          <w:szCs w:val="22"/>
          <w:lang w:val="en-US"/>
        </w:rPr>
        <w:t>1</w:t>
      </w:r>
      <w:r w:rsidR="002636E7" w:rsidRPr="00073F5F">
        <w:rPr>
          <w:sz w:val="22"/>
          <w:szCs w:val="22"/>
          <w:lang w:val="en-US"/>
        </w:rPr>
        <w:t xml:space="preserve"> </w:t>
      </w:r>
      <w:r w:rsidRPr="00073F5F">
        <w:rPr>
          <w:sz w:val="22"/>
          <w:szCs w:val="22"/>
          <w:lang w:val="en-US"/>
        </w:rPr>
        <w:t xml:space="preserve">was an eye disorder, </w:t>
      </w:r>
      <w:r w:rsidR="002636E7">
        <w:rPr>
          <w:sz w:val="22"/>
          <w:szCs w:val="22"/>
          <w:lang w:val="en-US"/>
        </w:rPr>
        <w:t>2</w:t>
      </w:r>
      <w:r w:rsidR="002636E7" w:rsidRPr="00073F5F">
        <w:rPr>
          <w:sz w:val="22"/>
          <w:szCs w:val="22"/>
          <w:lang w:val="en-US"/>
        </w:rPr>
        <w:t xml:space="preserve"> </w:t>
      </w:r>
      <w:r w:rsidRPr="00073F5F">
        <w:rPr>
          <w:sz w:val="22"/>
          <w:szCs w:val="22"/>
          <w:lang w:val="en-US"/>
        </w:rPr>
        <w:t xml:space="preserve">were decreased glomerular filtration rate, </w:t>
      </w:r>
      <w:r w:rsidR="002636E7">
        <w:rPr>
          <w:sz w:val="22"/>
          <w:szCs w:val="22"/>
          <w:lang w:val="en-US"/>
        </w:rPr>
        <w:t xml:space="preserve">3 </w:t>
      </w:r>
      <w:r w:rsidRPr="00073F5F">
        <w:rPr>
          <w:sz w:val="22"/>
          <w:szCs w:val="22"/>
          <w:lang w:val="en-US"/>
        </w:rPr>
        <w:t xml:space="preserve">were an infection or infestation, </w:t>
      </w:r>
      <w:r w:rsidR="002636E7">
        <w:rPr>
          <w:sz w:val="22"/>
          <w:szCs w:val="22"/>
          <w:lang w:val="en-US"/>
        </w:rPr>
        <w:t>1</w:t>
      </w:r>
      <w:r w:rsidR="002636E7" w:rsidRPr="00073F5F">
        <w:rPr>
          <w:sz w:val="22"/>
          <w:szCs w:val="22"/>
          <w:lang w:val="en-US"/>
        </w:rPr>
        <w:t xml:space="preserve"> </w:t>
      </w:r>
      <w:r w:rsidRPr="00073F5F">
        <w:rPr>
          <w:sz w:val="22"/>
          <w:szCs w:val="22"/>
          <w:lang w:val="en-US"/>
        </w:rPr>
        <w:t xml:space="preserve">was a gastrointestinal disorder, </w:t>
      </w:r>
      <w:r w:rsidR="002636E7">
        <w:rPr>
          <w:sz w:val="22"/>
          <w:szCs w:val="22"/>
          <w:lang w:val="en-US"/>
        </w:rPr>
        <w:t xml:space="preserve">1 </w:t>
      </w:r>
      <w:r w:rsidRPr="00073F5F">
        <w:rPr>
          <w:sz w:val="22"/>
          <w:szCs w:val="22"/>
          <w:lang w:val="en-US"/>
        </w:rPr>
        <w:t xml:space="preserve">was a nervous system disorder, and </w:t>
      </w:r>
      <w:r w:rsidR="002636E7">
        <w:rPr>
          <w:sz w:val="22"/>
          <w:szCs w:val="22"/>
          <w:lang w:val="en-US"/>
        </w:rPr>
        <w:t>2</w:t>
      </w:r>
      <w:r w:rsidR="002636E7" w:rsidRPr="00073F5F">
        <w:rPr>
          <w:sz w:val="22"/>
          <w:szCs w:val="22"/>
          <w:lang w:val="en-US"/>
        </w:rPr>
        <w:t xml:space="preserve"> </w:t>
      </w:r>
      <w:r w:rsidRPr="00073F5F">
        <w:rPr>
          <w:sz w:val="22"/>
          <w:szCs w:val="22"/>
          <w:lang w:val="en-US"/>
        </w:rPr>
        <w:t>were general disorders and administration site conditions.</w:t>
      </w:r>
    </w:p>
    <w:p w14:paraId="5F042647" w14:textId="3BF5ECAF" w:rsidR="00184DDC" w:rsidRPr="00073F5F" w:rsidRDefault="00FC77E7" w:rsidP="009F52D5">
      <w:pPr>
        <w:pStyle w:val="BodyText"/>
        <w:tabs>
          <w:tab w:val="left" w:pos="8931"/>
          <w:tab w:val="left" w:pos="9072"/>
        </w:tabs>
        <w:kinsoku w:val="0"/>
        <w:overflowPunct w:val="0"/>
        <w:spacing w:before="0" w:after="200"/>
        <w:ind w:left="0" w:right="299"/>
        <w:rPr>
          <w:sz w:val="22"/>
          <w:szCs w:val="22"/>
          <w:lang w:val="en-US"/>
        </w:rPr>
      </w:pPr>
      <w:r w:rsidRPr="00073F5F">
        <w:rPr>
          <w:sz w:val="22"/>
          <w:szCs w:val="22"/>
          <w:lang w:val="en-US"/>
        </w:rPr>
        <w:t xml:space="preserve">The most common treatment-related adverse reactions leading to treatment discontinuation in </w:t>
      </w:r>
      <w:proofErr w:type="spellStart"/>
      <w:r w:rsidRPr="00073F5F">
        <w:rPr>
          <w:sz w:val="22"/>
          <w:szCs w:val="22"/>
          <w:lang w:val="en-US"/>
        </w:rPr>
        <w:t>tafenoquine</w:t>
      </w:r>
      <w:proofErr w:type="spellEnd"/>
      <w:r w:rsidRPr="00073F5F">
        <w:rPr>
          <w:sz w:val="22"/>
          <w:szCs w:val="22"/>
          <w:lang w:val="en-US"/>
        </w:rPr>
        <w:t>-treated subjects were increased ALT (</w:t>
      </w:r>
      <w:r w:rsidR="00561EA7">
        <w:rPr>
          <w:sz w:val="22"/>
          <w:szCs w:val="22"/>
          <w:lang w:val="en-US"/>
        </w:rPr>
        <w:t>6</w:t>
      </w:r>
      <w:r w:rsidR="00561EA7" w:rsidRPr="00073F5F">
        <w:rPr>
          <w:sz w:val="22"/>
          <w:szCs w:val="22"/>
          <w:lang w:val="en-US"/>
        </w:rPr>
        <w:t xml:space="preserve"> </w:t>
      </w:r>
      <w:r w:rsidRPr="00073F5F">
        <w:rPr>
          <w:sz w:val="22"/>
          <w:szCs w:val="22"/>
          <w:lang w:val="en-US"/>
        </w:rPr>
        <w:t xml:space="preserve">subjects), decreased </w:t>
      </w:r>
      <w:proofErr w:type="spellStart"/>
      <w:r w:rsidRPr="00073F5F">
        <w:rPr>
          <w:sz w:val="22"/>
          <w:szCs w:val="22"/>
          <w:lang w:val="en-US"/>
        </w:rPr>
        <w:t>haemoglobin</w:t>
      </w:r>
      <w:proofErr w:type="spellEnd"/>
      <w:r w:rsidRPr="00073F5F">
        <w:rPr>
          <w:sz w:val="22"/>
          <w:szCs w:val="22"/>
          <w:lang w:val="en-US"/>
        </w:rPr>
        <w:t xml:space="preserve"> (</w:t>
      </w:r>
      <w:r w:rsidR="00561EA7">
        <w:rPr>
          <w:sz w:val="22"/>
          <w:szCs w:val="22"/>
          <w:lang w:val="en-US"/>
        </w:rPr>
        <w:t xml:space="preserve">3 </w:t>
      </w:r>
      <w:r w:rsidRPr="00073F5F">
        <w:rPr>
          <w:sz w:val="22"/>
          <w:szCs w:val="22"/>
          <w:lang w:val="en-US"/>
        </w:rPr>
        <w:t>subjects), and decreased GFR</w:t>
      </w:r>
      <w:r w:rsidR="005B1A90" w:rsidRPr="00073F5F">
        <w:rPr>
          <w:sz w:val="22"/>
          <w:szCs w:val="22"/>
          <w:lang w:val="en-US"/>
        </w:rPr>
        <w:t xml:space="preserve"> </w:t>
      </w:r>
      <w:r w:rsidRPr="00073F5F">
        <w:rPr>
          <w:sz w:val="22"/>
          <w:szCs w:val="22"/>
          <w:lang w:val="en-US"/>
        </w:rPr>
        <w:t>(</w:t>
      </w:r>
      <w:r w:rsidR="00561EA7">
        <w:rPr>
          <w:sz w:val="22"/>
          <w:szCs w:val="22"/>
          <w:lang w:val="en-US"/>
        </w:rPr>
        <w:t xml:space="preserve">2 </w:t>
      </w:r>
      <w:r w:rsidRPr="00073F5F">
        <w:rPr>
          <w:sz w:val="22"/>
          <w:szCs w:val="22"/>
          <w:lang w:val="en-US"/>
        </w:rPr>
        <w:t xml:space="preserve">subjects). Only </w:t>
      </w:r>
      <w:r w:rsidR="00561EA7">
        <w:rPr>
          <w:sz w:val="22"/>
          <w:szCs w:val="22"/>
          <w:lang w:val="en-US"/>
        </w:rPr>
        <w:t>1</w:t>
      </w:r>
      <w:r w:rsidR="00561EA7" w:rsidRPr="00073F5F">
        <w:rPr>
          <w:sz w:val="22"/>
          <w:szCs w:val="22"/>
          <w:lang w:val="en-US"/>
        </w:rPr>
        <w:t xml:space="preserve"> </w:t>
      </w:r>
      <w:r w:rsidRPr="00073F5F">
        <w:rPr>
          <w:sz w:val="22"/>
          <w:szCs w:val="22"/>
          <w:lang w:val="en-US"/>
        </w:rPr>
        <w:t>or</w:t>
      </w:r>
      <w:r w:rsidR="00561EA7">
        <w:rPr>
          <w:sz w:val="22"/>
          <w:szCs w:val="22"/>
          <w:lang w:val="en-US"/>
        </w:rPr>
        <w:t xml:space="preserve"> 2</w:t>
      </w:r>
      <w:r w:rsidRPr="00073F5F">
        <w:rPr>
          <w:sz w:val="22"/>
          <w:szCs w:val="22"/>
          <w:lang w:val="en-US"/>
        </w:rPr>
        <w:t xml:space="preserve"> subjects were discontinued due to AEs in other body systems. The most common treatment-related adverse reactions leading to treatment discontinuation in placebo-treated subjects were increased ALT (</w:t>
      </w:r>
      <w:r w:rsidR="00561EA7">
        <w:rPr>
          <w:sz w:val="22"/>
          <w:szCs w:val="22"/>
          <w:lang w:val="en-US"/>
        </w:rPr>
        <w:t>1</w:t>
      </w:r>
      <w:r w:rsidR="00561EA7" w:rsidRPr="00073F5F">
        <w:rPr>
          <w:sz w:val="22"/>
          <w:szCs w:val="22"/>
          <w:lang w:val="en-US"/>
        </w:rPr>
        <w:t xml:space="preserve"> </w:t>
      </w:r>
      <w:r w:rsidRPr="00073F5F">
        <w:rPr>
          <w:sz w:val="22"/>
          <w:szCs w:val="22"/>
          <w:lang w:val="en-US"/>
        </w:rPr>
        <w:t xml:space="preserve">subject), decreased </w:t>
      </w:r>
      <w:proofErr w:type="spellStart"/>
      <w:r w:rsidRPr="00073F5F">
        <w:rPr>
          <w:sz w:val="22"/>
          <w:szCs w:val="22"/>
          <w:lang w:val="en-US"/>
        </w:rPr>
        <w:t>haemoglobin</w:t>
      </w:r>
      <w:proofErr w:type="spellEnd"/>
      <w:r w:rsidRPr="00073F5F">
        <w:rPr>
          <w:sz w:val="22"/>
          <w:szCs w:val="22"/>
          <w:lang w:val="en-US"/>
        </w:rPr>
        <w:t xml:space="preserve"> (</w:t>
      </w:r>
      <w:r w:rsidR="00561EA7">
        <w:rPr>
          <w:sz w:val="22"/>
          <w:szCs w:val="22"/>
          <w:lang w:val="en-US"/>
        </w:rPr>
        <w:t xml:space="preserve">1 </w:t>
      </w:r>
      <w:r w:rsidRPr="00073F5F">
        <w:rPr>
          <w:sz w:val="22"/>
          <w:szCs w:val="22"/>
          <w:lang w:val="en-US"/>
        </w:rPr>
        <w:t>subject), and decreased platelet count (</w:t>
      </w:r>
      <w:r w:rsidR="00561EA7">
        <w:rPr>
          <w:sz w:val="22"/>
          <w:szCs w:val="22"/>
          <w:lang w:val="en-US"/>
        </w:rPr>
        <w:t>1</w:t>
      </w:r>
      <w:r w:rsidR="00561EA7" w:rsidRPr="00073F5F">
        <w:rPr>
          <w:sz w:val="22"/>
          <w:szCs w:val="22"/>
          <w:lang w:val="en-US"/>
        </w:rPr>
        <w:t xml:space="preserve"> </w:t>
      </w:r>
      <w:r w:rsidRPr="00073F5F">
        <w:rPr>
          <w:sz w:val="22"/>
          <w:szCs w:val="22"/>
          <w:lang w:val="en-US"/>
        </w:rPr>
        <w:t xml:space="preserve">subject). In addition, </w:t>
      </w:r>
      <w:r w:rsidR="00561EA7">
        <w:rPr>
          <w:sz w:val="22"/>
          <w:szCs w:val="22"/>
          <w:lang w:val="en-US"/>
        </w:rPr>
        <w:t>1</w:t>
      </w:r>
      <w:r w:rsidR="00561EA7" w:rsidRPr="00073F5F">
        <w:rPr>
          <w:sz w:val="22"/>
          <w:szCs w:val="22"/>
          <w:lang w:val="en-US"/>
        </w:rPr>
        <w:t xml:space="preserve"> </w:t>
      </w:r>
      <w:r w:rsidRPr="00073F5F">
        <w:rPr>
          <w:sz w:val="22"/>
          <w:szCs w:val="22"/>
          <w:lang w:val="en-US"/>
        </w:rPr>
        <w:t xml:space="preserve">placebo-treated subject was discontinued for headache and </w:t>
      </w:r>
      <w:r w:rsidR="003C78D5">
        <w:rPr>
          <w:sz w:val="22"/>
          <w:szCs w:val="22"/>
          <w:lang w:val="en-US"/>
        </w:rPr>
        <w:t>1</w:t>
      </w:r>
      <w:r w:rsidRPr="00073F5F">
        <w:rPr>
          <w:sz w:val="22"/>
          <w:szCs w:val="22"/>
          <w:lang w:val="en-US"/>
        </w:rPr>
        <w:t xml:space="preserve"> for </w:t>
      </w:r>
      <w:proofErr w:type="spellStart"/>
      <w:r w:rsidRPr="00073F5F">
        <w:rPr>
          <w:sz w:val="22"/>
          <w:szCs w:val="22"/>
          <w:lang w:val="en-US"/>
        </w:rPr>
        <w:t>metamorphopsia</w:t>
      </w:r>
      <w:proofErr w:type="spellEnd"/>
      <w:r w:rsidRPr="00073F5F">
        <w:rPr>
          <w:sz w:val="22"/>
          <w:szCs w:val="22"/>
          <w:lang w:val="en-US"/>
        </w:rPr>
        <w:t>.</w:t>
      </w:r>
    </w:p>
    <w:p w14:paraId="3D3D4DA8" w14:textId="77777777" w:rsidR="00B20AE6" w:rsidRPr="0069092D" w:rsidRDefault="00184DDC" w:rsidP="002912ED">
      <w:pPr>
        <w:pStyle w:val="BodyText"/>
        <w:tabs>
          <w:tab w:val="left" w:pos="8931"/>
          <w:tab w:val="left" w:pos="9072"/>
        </w:tabs>
        <w:kinsoku w:val="0"/>
        <w:overflowPunct w:val="0"/>
        <w:spacing w:before="0" w:after="200"/>
        <w:ind w:left="0" w:right="299"/>
        <w:outlineLvl w:val="3"/>
        <w:rPr>
          <w:b/>
          <w:i/>
          <w:sz w:val="22"/>
          <w:szCs w:val="22"/>
          <w:lang w:val="en-US"/>
        </w:rPr>
      </w:pPr>
      <w:r w:rsidRPr="0069092D">
        <w:rPr>
          <w:b/>
          <w:i/>
          <w:sz w:val="22"/>
          <w:szCs w:val="22"/>
          <w:lang w:val="en-US"/>
        </w:rPr>
        <w:t>Eye Findings</w:t>
      </w:r>
    </w:p>
    <w:p w14:paraId="73D8F407" w14:textId="77777777" w:rsidR="00184DDC" w:rsidRPr="00073F5F" w:rsidRDefault="00184DDC" w:rsidP="009F52D5">
      <w:pPr>
        <w:pStyle w:val="BodyText"/>
        <w:tabs>
          <w:tab w:val="left" w:pos="8931"/>
          <w:tab w:val="left" w:pos="9072"/>
        </w:tabs>
        <w:kinsoku w:val="0"/>
        <w:overflowPunct w:val="0"/>
        <w:spacing w:before="0" w:after="200"/>
        <w:ind w:left="0" w:right="299"/>
        <w:rPr>
          <w:sz w:val="22"/>
          <w:szCs w:val="22"/>
          <w:lang w:val="en-US"/>
        </w:rPr>
      </w:pPr>
      <w:r w:rsidRPr="00073F5F">
        <w:rPr>
          <w:sz w:val="22"/>
          <w:szCs w:val="22"/>
          <w:lang w:val="en-US"/>
        </w:rPr>
        <w:t>Vortex keratopathy (specifically</w:t>
      </w:r>
      <w:r w:rsidR="00746018" w:rsidRPr="00073F5F">
        <w:rPr>
          <w:sz w:val="22"/>
          <w:szCs w:val="22"/>
          <w:lang w:val="en-US"/>
        </w:rPr>
        <w:t>,</w:t>
      </w:r>
      <w:r w:rsidRPr="00073F5F">
        <w:rPr>
          <w:sz w:val="22"/>
          <w:szCs w:val="22"/>
          <w:lang w:val="en-US"/>
        </w:rPr>
        <w:t xml:space="preserve"> corneal deposits</w:t>
      </w:r>
      <w:r w:rsidR="00746018" w:rsidRPr="00073F5F">
        <w:rPr>
          <w:sz w:val="22"/>
          <w:szCs w:val="22"/>
          <w:lang w:val="en-US"/>
        </w:rPr>
        <w:t xml:space="preserve"> </w:t>
      </w:r>
      <w:r w:rsidR="00B5446D" w:rsidRPr="00073F5F">
        <w:rPr>
          <w:sz w:val="22"/>
          <w:szCs w:val="22"/>
          <w:lang w:val="en-US"/>
        </w:rPr>
        <w:t>that can</w:t>
      </w:r>
      <w:r w:rsidR="00972236">
        <w:rPr>
          <w:sz w:val="22"/>
          <w:szCs w:val="22"/>
          <w:lang w:val="en-US"/>
        </w:rPr>
        <w:t xml:space="preserve"> only</w:t>
      </w:r>
      <w:r w:rsidR="00B5446D" w:rsidRPr="00073F5F">
        <w:rPr>
          <w:sz w:val="22"/>
          <w:szCs w:val="22"/>
          <w:lang w:val="en-US"/>
        </w:rPr>
        <w:t xml:space="preserve"> be detected during a medical examination</w:t>
      </w:r>
      <w:r w:rsidRPr="00F16A76">
        <w:rPr>
          <w:sz w:val="22"/>
          <w:szCs w:val="22"/>
          <w:lang w:val="en-US"/>
        </w:rPr>
        <w:t xml:space="preserve">) was reported in 21% to 93% of subjects receiving KODATEF for 3-6 months in the three </w:t>
      </w:r>
      <w:r w:rsidR="00F93C2A">
        <w:rPr>
          <w:sz w:val="22"/>
          <w:szCs w:val="22"/>
          <w:lang w:val="en-US"/>
        </w:rPr>
        <w:t>trials</w:t>
      </w:r>
      <w:r w:rsidRPr="00F16A76">
        <w:rPr>
          <w:sz w:val="22"/>
          <w:szCs w:val="22"/>
          <w:lang w:val="en-US"/>
        </w:rPr>
        <w:t xml:space="preserve"> that included ophthalmic evaluations. The </w:t>
      </w:r>
      <w:r w:rsidR="00561EA7">
        <w:rPr>
          <w:sz w:val="22"/>
          <w:szCs w:val="22"/>
          <w:lang w:val="en-US"/>
        </w:rPr>
        <w:t xml:space="preserve">vortex </w:t>
      </w:r>
      <w:r w:rsidRPr="00F16A76">
        <w:rPr>
          <w:sz w:val="22"/>
          <w:szCs w:val="22"/>
          <w:lang w:val="en-US"/>
        </w:rPr>
        <w:t>keratopathy did not result in any apparent functional visual changes, including no loss of night vision</w:t>
      </w:r>
      <w:r w:rsidR="00746018" w:rsidRPr="00F16A76">
        <w:rPr>
          <w:sz w:val="22"/>
          <w:szCs w:val="22"/>
          <w:lang w:val="en-US"/>
        </w:rPr>
        <w:t>,</w:t>
      </w:r>
      <w:r w:rsidRPr="00073F5F">
        <w:rPr>
          <w:sz w:val="22"/>
          <w:szCs w:val="22"/>
          <w:lang w:val="en-US"/>
        </w:rPr>
        <w:t xml:space="preserve"> and resolved within </w:t>
      </w:r>
      <w:r w:rsidR="00561EA7">
        <w:rPr>
          <w:sz w:val="22"/>
          <w:szCs w:val="22"/>
          <w:lang w:val="en-US"/>
        </w:rPr>
        <w:t>1</w:t>
      </w:r>
      <w:r w:rsidR="00561EA7" w:rsidRPr="00073F5F">
        <w:rPr>
          <w:sz w:val="22"/>
          <w:szCs w:val="22"/>
          <w:lang w:val="en-US"/>
        </w:rPr>
        <w:t xml:space="preserve"> </w:t>
      </w:r>
      <w:r w:rsidRPr="00073F5F">
        <w:rPr>
          <w:sz w:val="22"/>
          <w:szCs w:val="22"/>
          <w:lang w:val="en-US"/>
        </w:rPr>
        <w:t xml:space="preserve">year after drug cessation in all subjects. </w:t>
      </w:r>
      <w:r w:rsidR="00AA05C7" w:rsidRPr="00073F5F">
        <w:rPr>
          <w:sz w:val="22"/>
          <w:szCs w:val="22"/>
          <w:lang w:val="en-US"/>
        </w:rPr>
        <w:t>Retinal abnormalities were noted in less than 1% of subjects receiving KODATEF. A total of 7 ocular adverse events were reported to regulatory authorities, 5</w:t>
      </w:r>
      <w:r w:rsidR="002636E7">
        <w:rPr>
          <w:sz w:val="22"/>
          <w:szCs w:val="22"/>
          <w:lang w:val="en-AU"/>
        </w:rPr>
        <w:t> </w:t>
      </w:r>
      <w:r w:rsidR="00AA05C7" w:rsidRPr="00073F5F">
        <w:rPr>
          <w:sz w:val="22"/>
          <w:szCs w:val="22"/>
          <w:lang w:val="en-US"/>
        </w:rPr>
        <w:t xml:space="preserve">reports of vortex keratopathy after the initial findings and </w:t>
      </w:r>
      <w:r w:rsidR="002636E7">
        <w:rPr>
          <w:sz w:val="22"/>
          <w:szCs w:val="22"/>
          <w:lang w:val="en-US"/>
        </w:rPr>
        <w:t>2</w:t>
      </w:r>
      <w:r w:rsidR="002636E7" w:rsidRPr="00073F5F">
        <w:rPr>
          <w:sz w:val="22"/>
          <w:szCs w:val="22"/>
          <w:lang w:val="en-US"/>
        </w:rPr>
        <w:t xml:space="preserve"> </w:t>
      </w:r>
      <w:r w:rsidR="00AA05C7" w:rsidRPr="00073F5F">
        <w:rPr>
          <w:sz w:val="22"/>
          <w:szCs w:val="22"/>
          <w:lang w:val="en-US"/>
        </w:rPr>
        <w:t>reports of retinal disorders.</w:t>
      </w:r>
    </w:p>
    <w:p w14:paraId="6516B41D" w14:textId="77777777" w:rsidR="00F70242" w:rsidRPr="0069092D" w:rsidRDefault="007830DF" w:rsidP="002912ED">
      <w:pPr>
        <w:pStyle w:val="BodyText"/>
        <w:tabs>
          <w:tab w:val="left" w:pos="8931"/>
          <w:tab w:val="left" w:pos="9072"/>
        </w:tabs>
        <w:kinsoku w:val="0"/>
        <w:overflowPunct w:val="0"/>
        <w:spacing w:before="0" w:after="200"/>
        <w:ind w:left="0" w:right="299"/>
        <w:outlineLvl w:val="3"/>
        <w:rPr>
          <w:b/>
          <w:i/>
          <w:sz w:val="22"/>
          <w:szCs w:val="22"/>
          <w:lang w:val="en-US"/>
        </w:rPr>
      </w:pPr>
      <w:r w:rsidRPr="0069092D">
        <w:rPr>
          <w:b/>
          <w:i/>
          <w:sz w:val="22"/>
          <w:szCs w:val="22"/>
          <w:lang w:val="en-US"/>
        </w:rPr>
        <w:t>Laboratory Abnormalities</w:t>
      </w:r>
    </w:p>
    <w:p w14:paraId="3308BB3D" w14:textId="77777777" w:rsidR="00F70242" w:rsidRPr="00073F5F" w:rsidRDefault="00F70242" w:rsidP="00F70242">
      <w:pPr>
        <w:pStyle w:val="BodyText"/>
        <w:tabs>
          <w:tab w:val="left" w:pos="8931"/>
          <w:tab w:val="left" w:pos="9072"/>
        </w:tabs>
        <w:kinsoku w:val="0"/>
        <w:overflowPunct w:val="0"/>
        <w:spacing w:before="0" w:after="200"/>
        <w:ind w:left="0" w:right="299"/>
        <w:rPr>
          <w:i/>
          <w:sz w:val="22"/>
          <w:szCs w:val="22"/>
          <w:lang w:val="en-US"/>
        </w:rPr>
      </w:pPr>
      <w:proofErr w:type="spellStart"/>
      <w:r w:rsidRPr="00073F5F">
        <w:rPr>
          <w:i/>
          <w:sz w:val="22"/>
          <w:szCs w:val="22"/>
          <w:lang w:val="en-US"/>
        </w:rPr>
        <w:t>Meth</w:t>
      </w:r>
      <w:r w:rsidR="00561EA7">
        <w:rPr>
          <w:i/>
          <w:sz w:val="22"/>
          <w:szCs w:val="22"/>
          <w:lang w:val="en-US"/>
        </w:rPr>
        <w:t>a</w:t>
      </w:r>
      <w:r w:rsidRPr="00073F5F">
        <w:rPr>
          <w:i/>
          <w:sz w:val="22"/>
          <w:szCs w:val="22"/>
          <w:lang w:val="en-US"/>
        </w:rPr>
        <w:t>emoglobinemia</w:t>
      </w:r>
      <w:proofErr w:type="spellEnd"/>
      <w:r w:rsidRPr="00073F5F">
        <w:rPr>
          <w:i/>
          <w:sz w:val="22"/>
          <w:szCs w:val="22"/>
          <w:lang w:val="en-US"/>
        </w:rPr>
        <w:t>:</w:t>
      </w:r>
      <w:r w:rsidRPr="00073F5F">
        <w:rPr>
          <w:sz w:val="22"/>
          <w:szCs w:val="22"/>
          <w:lang w:val="en-US"/>
        </w:rPr>
        <w:t xml:space="preserve"> Asymptomatic </w:t>
      </w:r>
      <w:proofErr w:type="spellStart"/>
      <w:r w:rsidRPr="00073F5F">
        <w:rPr>
          <w:sz w:val="22"/>
          <w:szCs w:val="22"/>
          <w:lang w:val="en-US"/>
        </w:rPr>
        <w:t>methaemoglobin</w:t>
      </w:r>
      <w:proofErr w:type="spellEnd"/>
      <w:r w:rsidRPr="00073F5F">
        <w:rPr>
          <w:sz w:val="22"/>
          <w:szCs w:val="22"/>
          <w:lang w:val="en-US"/>
        </w:rPr>
        <w:t xml:space="preserve"> elevations were observed in 13% of subjects receiving KODATEF.</w:t>
      </w:r>
      <w:r w:rsidR="00A46655">
        <w:rPr>
          <w:sz w:val="22"/>
          <w:szCs w:val="22"/>
          <w:lang w:val="en-US"/>
        </w:rPr>
        <w:t xml:space="preserve"> </w:t>
      </w:r>
      <w:r w:rsidRPr="00073F5F">
        <w:rPr>
          <w:sz w:val="22"/>
          <w:szCs w:val="22"/>
          <w:lang w:val="en-US"/>
        </w:rPr>
        <w:t xml:space="preserve"> </w:t>
      </w:r>
    </w:p>
    <w:p w14:paraId="7103F2EA" w14:textId="77777777" w:rsidR="007830DF" w:rsidRPr="00073F5F" w:rsidRDefault="00F70242" w:rsidP="00F70242">
      <w:pPr>
        <w:pStyle w:val="BodyText"/>
        <w:tabs>
          <w:tab w:val="left" w:pos="8931"/>
          <w:tab w:val="left" w:pos="9072"/>
        </w:tabs>
        <w:kinsoku w:val="0"/>
        <w:overflowPunct w:val="0"/>
        <w:spacing w:before="0" w:after="200"/>
        <w:ind w:left="0" w:right="299"/>
        <w:rPr>
          <w:i/>
          <w:sz w:val="22"/>
          <w:szCs w:val="22"/>
          <w:lang w:val="en-US"/>
        </w:rPr>
      </w:pPr>
      <w:proofErr w:type="spellStart"/>
      <w:r w:rsidRPr="00073F5F">
        <w:rPr>
          <w:i/>
          <w:sz w:val="22"/>
          <w:szCs w:val="22"/>
          <w:lang w:val="en-US"/>
        </w:rPr>
        <w:t>H</w:t>
      </w:r>
      <w:r w:rsidR="00561EA7">
        <w:rPr>
          <w:i/>
          <w:sz w:val="22"/>
          <w:szCs w:val="22"/>
          <w:lang w:val="en-US"/>
        </w:rPr>
        <w:t>a</w:t>
      </w:r>
      <w:r w:rsidRPr="00073F5F">
        <w:rPr>
          <w:i/>
          <w:sz w:val="22"/>
          <w:szCs w:val="22"/>
          <w:lang w:val="en-US"/>
        </w:rPr>
        <w:t>emoglobin</w:t>
      </w:r>
      <w:proofErr w:type="spellEnd"/>
      <w:r w:rsidRPr="00073F5F">
        <w:rPr>
          <w:i/>
          <w:sz w:val="22"/>
          <w:szCs w:val="22"/>
          <w:lang w:val="en-US"/>
        </w:rPr>
        <w:t xml:space="preserve"> decrease: </w:t>
      </w:r>
      <w:proofErr w:type="spellStart"/>
      <w:r w:rsidRPr="00073F5F">
        <w:rPr>
          <w:sz w:val="22"/>
          <w:szCs w:val="22"/>
          <w:lang w:val="en-US"/>
        </w:rPr>
        <w:t>Haemoglobin</w:t>
      </w:r>
      <w:proofErr w:type="spellEnd"/>
      <w:r w:rsidRPr="00073F5F">
        <w:rPr>
          <w:sz w:val="22"/>
          <w:szCs w:val="22"/>
          <w:lang w:val="en-US"/>
        </w:rPr>
        <w:t xml:space="preserve"> decreases of ≥3 g/</w:t>
      </w:r>
      <w:proofErr w:type="spellStart"/>
      <w:r w:rsidRPr="00073F5F">
        <w:rPr>
          <w:sz w:val="22"/>
          <w:szCs w:val="22"/>
          <w:lang w:val="en-US"/>
        </w:rPr>
        <w:t>dL</w:t>
      </w:r>
      <w:proofErr w:type="spellEnd"/>
      <w:r w:rsidRPr="00073F5F">
        <w:rPr>
          <w:sz w:val="22"/>
          <w:szCs w:val="22"/>
          <w:lang w:val="en-US"/>
        </w:rPr>
        <w:t xml:space="preserve"> were observed in 2.3% of subjects receiving KODATEF.</w:t>
      </w:r>
    </w:p>
    <w:p w14:paraId="3F8B0075" w14:textId="77777777" w:rsidR="00FC77E7" w:rsidRPr="00073F5F" w:rsidRDefault="00FC77E7" w:rsidP="0069092D">
      <w:pPr>
        <w:pStyle w:val="BodyText"/>
        <w:tabs>
          <w:tab w:val="left" w:pos="8931"/>
          <w:tab w:val="left" w:pos="9072"/>
        </w:tabs>
        <w:kinsoku w:val="0"/>
        <w:overflowPunct w:val="0"/>
        <w:spacing w:before="0" w:after="200"/>
        <w:ind w:left="0" w:right="299"/>
        <w:outlineLvl w:val="3"/>
        <w:rPr>
          <w:b/>
          <w:sz w:val="22"/>
          <w:szCs w:val="22"/>
          <w:lang w:val="en-US"/>
        </w:rPr>
      </w:pPr>
      <w:r w:rsidRPr="00073F5F">
        <w:rPr>
          <w:b/>
          <w:i/>
          <w:sz w:val="22"/>
          <w:szCs w:val="22"/>
          <w:lang w:val="en-US"/>
        </w:rPr>
        <w:t>Common Adverse Events</w:t>
      </w:r>
    </w:p>
    <w:p w14:paraId="12CCABBE" w14:textId="77777777" w:rsidR="006841F7" w:rsidRDefault="006841F7" w:rsidP="006841F7">
      <w:pPr>
        <w:pStyle w:val="BodyText"/>
        <w:ind w:left="0"/>
        <w:rPr>
          <w:sz w:val="22"/>
          <w:szCs w:val="22"/>
        </w:rPr>
      </w:pPr>
      <w:r w:rsidRPr="004828CB">
        <w:rPr>
          <w:sz w:val="22"/>
          <w:szCs w:val="22"/>
        </w:rPr>
        <w:t>Adverse reactions occurring in ≥1% of subjects in the KODATEF</w:t>
      </w:r>
      <w:r>
        <w:rPr>
          <w:sz w:val="22"/>
          <w:szCs w:val="22"/>
        </w:rPr>
        <w:t xml:space="preserve"> </w:t>
      </w:r>
      <w:r w:rsidRPr="004828CB">
        <w:rPr>
          <w:sz w:val="22"/>
          <w:szCs w:val="22"/>
        </w:rPr>
        <w:t>group in the active-control Trial 033 conducted in military personnel deployed to malaria endemic areas are presented in</w:t>
      </w:r>
      <w:r>
        <w:rPr>
          <w:sz w:val="22"/>
          <w:szCs w:val="22"/>
        </w:rPr>
        <w:t xml:space="preserve"> </w:t>
      </w:r>
      <w:r w:rsidR="000261DB">
        <w:fldChar w:fldCharType="begin"/>
      </w:r>
      <w:r w:rsidR="000261DB">
        <w:instrText xml:space="preserve"> REF _Ref524344952 \h  \* MERGEFORMAT </w:instrText>
      </w:r>
      <w:r w:rsidR="000261DB">
        <w:fldChar w:fldCharType="separate"/>
      </w:r>
      <w:r w:rsidRPr="00B2682A">
        <w:rPr>
          <w:sz w:val="22"/>
          <w:szCs w:val="22"/>
        </w:rPr>
        <w:t>Table 3</w:t>
      </w:r>
      <w:r w:rsidR="000261DB">
        <w:fldChar w:fldCharType="end"/>
      </w:r>
      <w:r w:rsidRPr="004828CB">
        <w:rPr>
          <w:sz w:val="22"/>
          <w:szCs w:val="22"/>
        </w:rPr>
        <w:t>.</w:t>
      </w:r>
    </w:p>
    <w:p w14:paraId="50E553E4" w14:textId="77777777" w:rsidR="006841F7" w:rsidRDefault="006841F7" w:rsidP="006841F7">
      <w:pPr>
        <w:pStyle w:val="Caption"/>
      </w:pPr>
      <w:bookmarkStart w:id="1" w:name="_Ref524344952"/>
      <w:r w:rsidRPr="00045A9A">
        <w:t xml:space="preserve">Table </w:t>
      </w:r>
      <w:r w:rsidR="00B43A53" w:rsidRPr="00045A9A">
        <w:fldChar w:fldCharType="begin"/>
      </w:r>
      <w:r w:rsidRPr="00045A9A">
        <w:instrText xml:space="preserve"> SEQ Table \* ARABIC </w:instrText>
      </w:r>
      <w:r w:rsidR="00B43A53" w:rsidRPr="00045A9A">
        <w:fldChar w:fldCharType="separate"/>
      </w:r>
      <w:r>
        <w:rPr>
          <w:noProof/>
        </w:rPr>
        <w:t>3</w:t>
      </w:r>
      <w:r w:rsidR="00B43A53" w:rsidRPr="00045A9A">
        <w:fldChar w:fldCharType="end"/>
      </w:r>
      <w:bookmarkEnd w:id="1"/>
      <w:r w:rsidRPr="00045A9A">
        <w:t xml:space="preserve">: </w:t>
      </w:r>
      <w:r w:rsidRPr="00045A9A">
        <w:tab/>
        <w:t>Selected Adverse Reactions Occurring in ≥1% of Subjects Receiving KODATEF</w:t>
      </w:r>
      <w:r>
        <w:t xml:space="preserve"> </w:t>
      </w:r>
      <w:r w:rsidRPr="00045A9A">
        <w:t>in Trial 033 (Deployed Subjects)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970"/>
        <w:gridCol w:w="2970"/>
      </w:tblGrid>
      <w:tr w:rsidR="006841F7" w:rsidRPr="005D0CD8" w14:paraId="0345AB88" w14:textId="77777777" w:rsidTr="007A360C">
        <w:trPr>
          <w:trHeight w:val="494"/>
          <w:tblHeader/>
        </w:trPr>
        <w:tc>
          <w:tcPr>
            <w:tcW w:w="3145" w:type="dxa"/>
            <w:tcBorders>
              <w:bottom w:val="single" w:sz="4" w:space="0" w:color="auto"/>
            </w:tcBorders>
            <w:shd w:val="clear" w:color="auto" w:fill="auto"/>
            <w:noWrap/>
            <w:vAlign w:val="center"/>
            <w:hideMark/>
          </w:tcPr>
          <w:p w14:paraId="08D030B1" w14:textId="77777777" w:rsidR="006841F7" w:rsidRPr="004828CB" w:rsidRDefault="006841F7" w:rsidP="00E30275">
            <w:pPr>
              <w:spacing w:after="0" w:line="240" w:lineRule="auto"/>
              <w:rPr>
                <w:rFonts w:ascii="Times New Roman" w:hAnsi="Times New Roman" w:cs="Times New Roman"/>
                <w:b/>
                <w:bCs/>
                <w:color w:val="000000"/>
                <w:sz w:val="20"/>
                <w:szCs w:val="20"/>
              </w:rPr>
            </w:pPr>
            <w:r w:rsidRPr="004828CB">
              <w:rPr>
                <w:rFonts w:ascii="Times New Roman" w:hAnsi="Times New Roman" w:cs="Times New Roman"/>
                <w:b/>
                <w:bCs/>
                <w:color w:val="000000"/>
                <w:sz w:val="20"/>
                <w:szCs w:val="20"/>
              </w:rPr>
              <w:t>Adverse Reaction</w:t>
            </w:r>
          </w:p>
        </w:tc>
        <w:tc>
          <w:tcPr>
            <w:tcW w:w="2970" w:type="dxa"/>
            <w:tcBorders>
              <w:bottom w:val="single" w:sz="4" w:space="0" w:color="auto"/>
            </w:tcBorders>
            <w:shd w:val="clear" w:color="auto" w:fill="auto"/>
            <w:vAlign w:val="center"/>
            <w:hideMark/>
          </w:tcPr>
          <w:p w14:paraId="35E8A821" w14:textId="77777777" w:rsidR="006841F7" w:rsidRPr="004828CB" w:rsidRDefault="006841F7" w:rsidP="00E30275">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KODATEF</w:t>
            </w:r>
            <w:r w:rsidRPr="004828CB">
              <w:rPr>
                <w:rFonts w:ascii="Times New Roman" w:hAnsi="Times New Roman" w:cs="Times New Roman"/>
                <w:b/>
                <w:bCs/>
                <w:color w:val="000000"/>
                <w:sz w:val="20"/>
                <w:szCs w:val="20"/>
                <w:vertAlign w:val="superscript"/>
              </w:rPr>
              <w:t>1</w:t>
            </w:r>
            <w:r w:rsidRPr="004828CB">
              <w:rPr>
                <w:rFonts w:ascii="Times New Roman" w:hAnsi="Times New Roman" w:cs="Times New Roman"/>
                <w:b/>
                <w:bCs/>
                <w:color w:val="000000"/>
                <w:sz w:val="20"/>
                <w:szCs w:val="20"/>
              </w:rPr>
              <w:t xml:space="preserve"> (n=492) </w:t>
            </w:r>
            <w:r w:rsidRPr="004828CB">
              <w:rPr>
                <w:rFonts w:ascii="Times New Roman" w:hAnsi="Times New Roman" w:cs="Times New Roman"/>
                <w:b/>
                <w:bCs/>
                <w:color w:val="000000"/>
                <w:sz w:val="20"/>
                <w:szCs w:val="20"/>
              </w:rPr>
              <w:br/>
              <w:t>%</w:t>
            </w:r>
            <w:r w:rsidR="00A46655">
              <w:rPr>
                <w:rFonts w:ascii="Times New Roman" w:hAnsi="Times New Roman" w:cs="Times New Roman"/>
                <w:b/>
                <w:bCs/>
                <w:color w:val="000000"/>
                <w:sz w:val="20"/>
                <w:szCs w:val="20"/>
              </w:rPr>
              <w:t xml:space="preserve"> </w:t>
            </w:r>
          </w:p>
        </w:tc>
        <w:tc>
          <w:tcPr>
            <w:tcW w:w="2970" w:type="dxa"/>
            <w:tcBorders>
              <w:bottom w:val="single" w:sz="4" w:space="0" w:color="auto"/>
            </w:tcBorders>
            <w:vAlign w:val="center"/>
          </w:tcPr>
          <w:p w14:paraId="3986CBD0" w14:textId="77777777" w:rsidR="006841F7" w:rsidRPr="004828CB" w:rsidRDefault="006841F7" w:rsidP="00E30275">
            <w:pPr>
              <w:spacing w:after="0" w:line="240" w:lineRule="auto"/>
              <w:jc w:val="center"/>
              <w:rPr>
                <w:rFonts w:ascii="Times New Roman" w:hAnsi="Times New Roman" w:cs="Times New Roman"/>
                <w:b/>
                <w:bCs/>
                <w:color w:val="000000"/>
                <w:sz w:val="20"/>
                <w:szCs w:val="20"/>
              </w:rPr>
            </w:pPr>
            <w:r w:rsidRPr="004828CB">
              <w:rPr>
                <w:rFonts w:ascii="Times New Roman" w:hAnsi="Times New Roman" w:cs="Times New Roman"/>
                <w:b/>
                <w:bCs/>
                <w:color w:val="000000"/>
                <w:sz w:val="20"/>
                <w:szCs w:val="20"/>
              </w:rPr>
              <w:t>Mefloquine</w:t>
            </w:r>
            <w:r w:rsidRPr="004828CB">
              <w:rPr>
                <w:rFonts w:ascii="Times New Roman" w:hAnsi="Times New Roman" w:cs="Times New Roman"/>
                <w:b/>
                <w:bCs/>
                <w:color w:val="000000"/>
                <w:sz w:val="20"/>
                <w:szCs w:val="20"/>
                <w:vertAlign w:val="superscript"/>
              </w:rPr>
              <w:t>2</w:t>
            </w:r>
            <w:r w:rsidRPr="004828CB">
              <w:rPr>
                <w:rFonts w:ascii="Times New Roman" w:hAnsi="Times New Roman" w:cs="Times New Roman"/>
                <w:b/>
                <w:bCs/>
                <w:color w:val="000000"/>
                <w:sz w:val="20"/>
                <w:szCs w:val="20"/>
              </w:rPr>
              <w:t xml:space="preserve"> (n=162) </w:t>
            </w:r>
            <w:r w:rsidRPr="004828CB">
              <w:rPr>
                <w:rFonts w:ascii="Times New Roman" w:hAnsi="Times New Roman" w:cs="Times New Roman"/>
                <w:b/>
                <w:bCs/>
                <w:color w:val="000000"/>
                <w:sz w:val="20"/>
                <w:szCs w:val="20"/>
              </w:rPr>
              <w:br/>
              <w:t>%</w:t>
            </w:r>
          </w:p>
        </w:tc>
      </w:tr>
      <w:tr w:rsidR="006841F7" w:rsidRPr="005D0CD8" w14:paraId="318A41A7" w14:textId="77777777" w:rsidTr="007A360C">
        <w:trPr>
          <w:trHeight w:val="270"/>
        </w:trPr>
        <w:tc>
          <w:tcPr>
            <w:tcW w:w="3145" w:type="dxa"/>
            <w:shd w:val="pct20" w:color="auto" w:fill="D9D9D9" w:themeFill="background1" w:themeFillShade="D9"/>
            <w:vAlign w:val="center"/>
          </w:tcPr>
          <w:p w14:paraId="22D22007" w14:textId="77777777" w:rsidR="006841F7" w:rsidRPr="005D0CD8" w:rsidRDefault="006841F7" w:rsidP="00E30275">
            <w:pPr>
              <w:spacing w:after="0" w:line="240" w:lineRule="auto"/>
              <w:rPr>
                <w:rFonts w:ascii="Times New Roman" w:hAnsi="Times New Roman" w:cs="Times New Roman"/>
                <w:i/>
                <w:color w:val="000000"/>
                <w:sz w:val="20"/>
                <w:szCs w:val="20"/>
              </w:rPr>
            </w:pPr>
            <w:r w:rsidRPr="005D0CD8">
              <w:rPr>
                <w:rFonts w:ascii="Times New Roman" w:hAnsi="Times New Roman" w:cs="Times New Roman"/>
                <w:i/>
                <w:color w:val="000000"/>
                <w:sz w:val="20"/>
                <w:szCs w:val="20"/>
              </w:rPr>
              <w:t>Nervous system Disorders</w:t>
            </w:r>
          </w:p>
        </w:tc>
        <w:tc>
          <w:tcPr>
            <w:tcW w:w="2970" w:type="dxa"/>
            <w:shd w:val="pct20" w:color="auto" w:fill="D9D9D9" w:themeFill="background1" w:themeFillShade="D9"/>
            <w:noWrap/>
            <w:vAlign w:val="center"/>
          </w:tcPr>
          <w:p w14:paraId="7223790B"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22</w:t>
            </w:r>
          </w:p>
        </w:tc>
        <w:tc>
          <w:tcPr>
            <w:tcW w:w="2970" w:type="dxa"/>
            <w:shd w:val="pct20" w:color="auto" w:fill="D9D9D9" w:themeFill="background1" w:themeFillShade="D9"/>
            <w:vAlign w:val="center"/>
          </w:tcPr>
          <w:p w14:paraId="55E79D4C"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27</w:t>
            </w:r>
          </w:p>
        </w:tc>
      </w:tr>
      <w:tr w:rsidR="006841F7" w:rsidRPr="005D0CD8" w14:paraId="5C3A3FF8" w14:textId="77777777" w:rsidTr="007A360C">
        <w:trPr>
          <w:trHeight w:val="270"/>
        </w:trPr>
        <w:tc>
          <w:tcPr>
            <w:tcW w:w="3145" w:type="dxa"/>
            <w:shd w:val="clear" w:color="auto" w:fill="auto"/>
            <w:vAlign w:val="center"/>
            <w:hideMark/>
          </w:tcPr>
          <w:p w14:paraId="200583BA" w14:textId="77777777" w:rsidR="006841F7" w:rsidRPr="005D0CD8" w:rsidRDefault="006841F7" w:rsidP="00E30275">
            <w:pPr>
              <w:spacing w:after="0" w:line="240" w:lineRule="auto"/>
              <w:rPr>
                <w:rFonts w:ascii="Times New Roman" w:hAnsi="Times New Roman" w:cs="Times New Roman"/>
                <w:color w:val="000000"/>
                <w:sz w:val="20"/>
                <w:szCs w:val="20"/>
              </w:rPr>
            </w:pPr>
            <w:r w:rsidRPr="005D0CD8">
              <w:rPr>
                <w:rFonts w:ascii="Times New Roman" w:hAnsi="Times New Roman" w:cs="Times New Roman"/>
                <w:color w:val="000000"/>
                <w:sz w:val="20"/>
                <w:szCs w:val="20"/>
              </w:rPr>
              <w:lastRenderedPageBreak/>
              <w:t>Headache</w:t>
            </w:r>
            <w:r w:rsidRPr="005D0CD8" w:rsidDel="001A1F82">
              <w:rPr>
                <w:rFonts w:ascii="Times New Roman" w:hAnsi="Times New Roman" w:cs="Times New Roman"/>
                <w:sz w:val="20"/>
                <w:szCs w:val="20"/>
                <w:vertAlign w:val="superscript"/>
              </w:rPr>
              <w:t>3</w:t>
            </w:r>
          </w:p>
        </w:tc>
        <w:tc>
          <w:tcPr>
            <w:tcW w:w="2970" w:type="dxa"/>
            <w:shd w:val="clear" w:color="auto" w:fill="auto"/>
            <w:noWrap/>
            <w:vAlign w:val="center"/>
            <w:hideMark/>
          </w:tcPr>
          <w:p w14:paraId="0E9B4B2B"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15</w:t>
            </w:r>
          </w:p>
        </w:tc>
        <w:tc>
          <w:tcPr>
            <w:tcW w:w="2970" w:type="dxa"/>
            <w:vAlign w:val="center"/>
          </w:tcPr>
          <w:p w14:paraId="769F66DE"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19</w:t>
            </w:r>
          </w:p>
        </w:tc>
      </w:tr>
      <w:tr w:rsidR="006841F7" w:rsidRPr="005D0CD8" w14:paraId="187FF7E5" w14:textId="77777777" w:rsidTr="007A360C">
        <w:trPr>
          <w:trHeight w:val="300"/>
        </w:trPr>
        <w:tc>
          <w:tcPr>
            <w:tcW w:w="3145" w:type="dxa"/>
            <w:tcBorders>
              <w:bottom w:val="single" w:sz="4" w:space="0" w:color="auto"/>
            </w:tcBorders>
            <w:shd w:val="clear" w:color="auto" w:fill="auto"/>
            <w:noWrap/>
            <w:vAlign w:val="center"/>
            <w:hideMark/>
          </w:tcPr>
          <w:p w14:paraId="41B4E788" w14:textId="77777777" w:rsidR="006841F7" w:rsidRPr="005D0CD8" w:rsidRDefault="006841F7" w:rsidP="00E30275">
            <w:pPr>
              <w:spacing w:after="0" w:line="240" w:lineRule="auto"/>
              <w:rPr>
                <w:rFonts w:ascii="Times New Roman" w:hAnsi="Times New Roman" w:cs="Times New Roman"/>
                <w:color w:val="000000"/>
                <w:sz w:val="20"/>
                <w:szCs w:val="20"/>
              </w:rPr>
            </w:pPr>
            <w:r w:rsidRPr="005D0CD8">
              <w:rPr>
                <w:rFonts w:ascii="Times New Roman" w:hAnsi="Times New Roman" w:cs="Times New Roman"/>
                <w:color w:val="000000"/>
                <w:sz w:val="20"/>
                <w:szCs w:val="20"/>
              </w:rPr>
              <w:t>Dizziness</w:t>
            </w:r>
            <w:r w:rsidRPr="005D0CD8" w:rsidDel="001A1F82">
              <w:rPr>
                <w:rFonts w:ascii="Times New Roman" w:hAnsi="Times New Roman" w:cs="Times New Roman"/>
                <w:color w:val="000000"/>
                <w:sz w:val="20"/>
                <w:szCs w:val="20"/>
                <w:vertAlign w:val="superscript"/>
              </w:rPr>
              <w:t>4</w:t>
            </w:r>
          </w:p>
        </w:tc>
        <w:tc>
          <w:tcPr>
            <w:tcW w:w="2970" w:type="dxa"/>
            <w:tcBorders>
              <w:bottom w:val="single" w:sz="4" w:space="0" w:color="auto"/>
            </w:tcBorders>
            <w:shd w:val="clear" w:color="auto" w:fill="auto"/>
            <w:noWrap/>
            <w:vAlign w:val="center"/>
            <w:hideMark/>
          </w:tcPr>
          <w:p w14:paraId="54232F76"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w:t>
            </w:r>
          </w:p>
        </w:tc>
        <w:tc>
          <w:tcPr>
            <w:tcW w:w="2970" w:type="dxa"/>
            <w:tcBorders>
              <w:bottom w:val="single" w:sz="4" w:space="0" w:color="auto"/>
            </w:tcBorders>
            <w:shd w:val="clear" w:color="auto" w:fill="auto"/>
            <w:vAlign w:val="center"/>
          </w:tcPr>
          <w:p w14:paraId="64E0A0A6"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w:t>
            </w:r>
          </w:p>
        </w:tc>
      </w:tr>
      <w:tr w:rsidR="006841F7" w:rsidRPr="005D0CD8" w14:paraId="280855DC" w14:textId="77777777" w:rsidTr="007A360C">
        <w:trPr>
          <w:trHeight w:val="300"/>
        </w:trPr>
        <w:tc>
          <w:tcPr>
            <w:tcW w:w="3145" w:type="dxa"/>
            <w:shd w:val="pct20" w:color="auto" w:fill="D9D9D9" w:themeFill="background1" w:themeFillShade="D9"/>
            <w:noWrap/>
            <w:vAlign w:val="center"/>
          </w:tcPr>
          <w:p w14:paraId="0055BBC6" w14:textId="77777777" w:rsidR="006841F7" w:rsidRPr="005D0CD8" w:rsidRDefault="006841F7" w:rsidP="00E30275">
            <w:pPr>
              <w:spacing w:after="0" w:line="240" w:lineRule="auto"/>
              <w:rPr>
                <w:rFonts w:ascii="Times New Roman" w:hAnsi="Times New Roman" w:cs="Times New Roman"/>
                <w:i/>
                <w:color w:val="000000"/>
                <w:sz w:val="20"/>
                <w:szCs w:val="20"/>
              </w:rPr>
            </w:pPr>
            <w:r w:rsidRPr="005D0CD8">
              <w:rPr>
                <w:rFonts w:ascii="Times New Roman" w:hAnsi="Times New Roman" w:cs="Times New Roman"/>
                <w:i/>
                <w:color w:val="000000"/>
                <w:sz w:val="20"/>
                <w:szCs w:val="20"/>
              </w:rPr>
              <w:t>Ear and labyrinth Disorders</w:t>
            </w:r>
          </w:p>
        </w:tc>
        <w:tc>
          <w:tcPr>
            <w:tcW w:w="2970" w:type="dxa"/>
            <w:shd w:val="pct20" w:color="auto" w:fill="D9D9D9" w:themeFill="background1" w:themeFillShade="D9"/>
            <w:noWrap/>
            <w:vAlign w:val="center"/>
          </w:tcPr>
          <w:p w14:paraId="74115B84"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7</w:t>
            </w:r>
          </w:p>
        </w:tc>
        <w:tc>
          <w:tcPr>
            <w:tcW w:w="2970" w:type="dxa"/>
            <w:shd w:val="pct20" w:color="auto" w:fill="D9D9D9" w:themeFill="background1" w:themeFillShade="D9"/>
            <w:vAlign w:val="center"/>
          </w:tcPr>
          <w:p w14:paraId="58F0C6D2"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11</w:t>
            </w:r>
          </w:p>
        </w:tc>
      </w:tr>
      <w:tr w:rsidR="006841F7" w:rsidRPr="005D0CD8" w14:paraId="4FB1E9A6" w14:textId="77777777" w:rsidTr="007A360C">
        <w:trPr>
          <w:trHeight w:val="300"/>
        </w:trPr>
        <w:tc>
          <w:tcPr>
            <w:tcW w:w="3145" w:type="dxa"/>
            <w:tcBorders>
              <w:bottom w:val="single" w:sz="4" w:space="0" w:color="auto"/>
            </w:tcBorders>
            <w:shd w:val="clear" w:color="auto" w:fill="auto"/>
            <w:vAlign w:val="center"/>
            <w:hideMark/>
          </w:tcPr>
          <w:p w14:paraId="62D29E27" w14:textId="77777777" w:rsidR="006841F7" w:rsidRPr="005D0CD8" w:rsidRDefault="006841F7" w:rsidP="00E30275">
            <w:pPr>
              <w:spacing w:after="0" w:line="240" w:lineRule="auto"/>
              <w:rPr>
                <w:rFonts w:ascii="Times New Roman" w:hAnsi="Times New Roman" w:cs="Times New Roman"/>
                <w:color w:val="000000"/>
                <w:sz w:val="20"/>
                <w:szCs w:val="20"/>
              </w:rPr>
            </w:pPr>
            <w:r w:rsidRPr="005D0CD8">
              <w:rPr>
                <w:rFonts w:ascii="Times New Roman" w:hAnsi="Times New Roman" w:cs="Times New Roman"/>
                <w:color w:val="000000"/>
                <w:sz w:val="20"/>
                <w:szCs w:val="20"/>
              </w:rPr>
              <w:t>Motion sicknesss</w:t>
            </w:r>
            <w:r w:rsidRPr="005D0CD8" w:rsidDel="001A1F82">
              <w:rPr>
                <w:rFonts w:ascii="Times New Roman" w:hAnsi="Times New Roman" w:cs="Times New Roman"/>
                <w:sz w:val="20"/>
                <w:szCs w:val="20"/>
                <w:vertAlign w:val="superscript"/>
              </w:rPr>
              <w:t>5</w:t>
            </w:r>
          </w:p>
        </w:tc>
        <w:tc>
          <w:tcPr>
            <w:tcW w:w="2970" w:type="dxa"/>
            <w:tcBorders>
              <w:bottom w:val="single" w:sz="4" w:space="0" w:color="auto"/>
            </w:tcBorders>
            <w:shd w:val="clear" w:color="auto" w:fill="auto"/>
            <w:noWrap/>
            <w:vAlign w:val="center"/>
            <w:hideMark/>
          </w:tcPr>
          <w:p w14:paraId="450A3814"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5</w:t>
            </w:r>
          </w:p>
        </w:tc>
        <w:tc>
          <w:tcPr>
            <w:tcW w:w="2970" w:type="dxa"/>
            <w:tcBorders>
              <w:bottom w:val="single" w:sz="4" w:space="0" w:color="auto"/>
            </w:tcBorders>
            <w:vAlign w:val="center"/>
          </w:tcPr>
          <w:p w14:paraId="34161F0C"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6</w:t>
            </w:r>
          </w:p>
        </w:tc>
      </w:tr>
      <w:tr w:rsidR="006841F7" w:rsidRPr="005D0CD8" w14:paraId="750F226B" w14:textId="77777777" w:rsidTr="007A360C">
        <w:trPr>
          <w:trHeight w:val="270"/>
        </w:trPr>
        <w:tc>
          <w:tcPr>
            <w:tcW w:w="3145" w:type="dxa"/>
            <w:shd w:val="pct20" w:color="auto" w:fill="D9D9D9" w:themeFill="background1" w:themeFillShade="D9"/>
            <w:vAlign w:val="center"/>
          </w:tcPr>
          <w:p w14:paraId="775D5A6C" w14:textId="77777777" w:rsidR="006841F7" w:rsidRPr="005D0CD8" w:rsidRDefault="006841F7" w:rsidP="00E30275">
            <w:pPr>
              <w:spacing w:after="0" w:line="240" w:lineRule="auto"/>
              <w:rPr>
                <w:rFonts w:ascii="Times New Roman" w:hAnsi="Times New Roman" w:cs="Times New Roman"/>
                <w:i/>
                <w:color w:val="000000"/>
                <w:sz w:val="20"/>
                <w:szCs w:val="20"/>
              </w:rPr>
            </w:pPr>
            <w:r w:rsidRPr="005D0CD8">
              <w:rPr>
                <w:rFonts w:ascii="Times New Roman" w:hAnsi="Times New Roman" w:cs="Times New Roman"/>
                <w:i/>
                <w:color w:val="000000"/>
                <w:sz w:val="20"/>
                <w:szCs w:val="20"/>
              </w:rPr>
              <w:t>Musculoskeletal and connective tissue disorders</w:t>
            </w:r>
          </w:p>
        </w:tc>
        <w:tc>
          <w:tcPr>
            <w:tcW w:w="2970" w:type="dxa"/>
            <w:shd w:val="pct20" w:color="auto" w:fill="D9D9D9" w:themeFill="background1" w:themeFillShade="D9"/>
            <w:noWrap/>
            <w:vAlign w:val="center"/>
          </w:tcPr>
          <w:p w14:paraId="5362C843"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29</w:t>
            </w:r>
          </w:p>
        </w:tc>
        <w:tc>
          <w:tcPr>
            <w:tcW w:w="2970" w:type="dxa"/>
            <w:shd w:val="pct20" w:color="auto" w:fill="D9D9D9" w:themeFill="background1" w:themeFillShade="D9"/>
            <w:vAlign w:val="center"/>
          </w:tcPr>
          <w:p w14:paraId="0FA982E4"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30</w:t>
            </w:r>
          </w:p>
        </w:tc>
      </w:tr>
      <w:tr w:rsidR="006841F7" w:rsidRPr="005D0CD8" w14:paraId="32468515" w14:textId="77777777" w:rsidTr="007A360C">
        <w:trPr>
          <w:trHeight w:val="300"/>
        </w:trPr>
        <w:tc>
          <w:tcPr>
            <w:tcW w:w="3145" w:type="dxa"/>
            <w:tcBorders>
              <w:bottom w:val="single" w:sz="4" w:space="0" w:color="auto"/>
            </w:tcBorders>
            <w:shd w:val="clear" w:color="auto" w:fill="auto"/>
            <w:vAlign w:val="center"/>
            <w:hideMark/>
          </w:tcPr>
          <w:p w14:paraId="60A8488C" w14:textId="77777777" w:rsidR="006841F7" w:rsidRPr="005D0CD8" w:rsidRDefault="006841F7" w:rsidP="00E30275">
            <w:pPr>
              <w:spacing w:after="0" w:line="240" w:lineRule="auto"/>
              <w:rPr>
                <w:rFonts w:ascii="Times New Roman" w:hAnsi="Times New Roman" w:cs="Times New Roman"/>
                <w:color w:val="000000"/>
                <w:sz w:val="20"/>
                <w:szCs w:val="20"/>
              </w:rPr>
            </w:pPr>
            <w:r w:rsidRPr="005D0CD8">
              <w:rPr>
                <w:rFonts w:ascii="Times New Roman" w:hAnsi="Times New Roman" w:cs="Times New Roman"/>
                <w:color w:val="000000"/>
                <w:sz w:val="20"/>
                <w:szCs w:val="20"/>
              </w:rPr>
              <w:t>Back pain</w:t>
            </w:r>
          </w:p>
        </w:tc>
        <w:tc>
          <w:tcPr>
            <w:tcW w:w="2970" w:type="dxa"/>
            <w:tcBorders>
              <w:bottom w:val="single" w:sz="4" w:space="0" w:color="auto"/>
            </w:tcBorders>
            <w:shd w:val="clear" w:color="auto" w:fill="auto"/>
            <w:noWrap/>
            <w:vAlign w:val="center"/>
            <w:hideMark/>
          </w:tcPr>
          <w:p w14:paraId="32F40F6E"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14</w:t>
            </w:r>
          </w:p>
        </w:tc>
        <w:tc>
          <w:tcPr>
            <w:tcW w:w="2970" w:type="dxa"/>
            <w:tcBorders>
              <w:bottom w:val="single" w:sz="4" w:space="0" w:color="auto"/>
            </w:tcBorders>
            <w:vAlign w:val="center"/>
          </w:tcPr>
          <w:p w14:paraId="5800D05E"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15</w:t>
            </w:r>
          </w:p>
        </w:tc>
      </w:tr>
      <w:tr w:rsidR="006841F7" w:rsidRPr="005D0CD8" w14:paraId="023ACC58" w14:textId="77777777" w:rsidTr="007A360C">
        <w:trPr>
          <w:trHeight w:val="300"/>
        </w:trPr>
        <w:tc>
          <w:tcPr>
            <w:tcW w:w="3145" w:type="dxa"/>
            <w:shd w:val="pct20" w:color="auto" w:fill="D9D9D9" w:themeFill="background1" w:themeFillShade="D9"/>
            <w:vAlign w:val="center"/>
          </w:tcPr>
          <w:p w14:paraId="566C55C9" w14:textId="77777777" w:rsidR="006841F7" w:rsidRPr="005D0CD8" w:rsidRDefault="006841F7" w:rsidP="00E30275">
            <w:pPr>
              <w:spacing w:after="0" w:line="240" w:lineRule="auto"/>
              <w:rPr>
                <w:rFonts w:ascii="Times New Roman" w:hAnsi="Times New Roman" w:cs="Times New Roman"/>
                <w:i/>
                <w:color w:val="000000"/>
                <w:sz w:val="20"/>
                <w:szCs w:val="20"/>
              </w:rPr>
            </w:pPr>
            <w:r w:rsidRPr="005D0CD8">
              <w:rPr>
                <w:rFonts w:ascii="Times New Roman" w:hAnsi="Times New Roman" w:cs="Times New Roman"/>
                <w:i/>
                <w:color w:val="000000"/>
                <w:sz w:val="20"/>
                <w:szCs w:val="20"/>
              </w:rPr>
              <w:t>Gastrointestinal disorders</w:t>
            </w:r>
          </w:p>
        </w:tc>
        <w:tc>
          <w:tcPr>
            <w:tcW w:w="2970" w:type="dxa"/>
            <w:shd w:val="pct20" w:color="auto" w:fill="D9D9D9" w:themeFill="background1" w:themeFillShade="D9"/>
            <w:noWrap/>
            <w:vAlign w:val="center"/>
          </w:tcPr>
          <w:p w14:paraId="1523F416"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36</w:t>
            </w:r>
          </w:p>
        </w:tc>
        <w:tc>
          <w:tcPr>
            <w:tcW w:w="2970" w:type="dxa"/>
            <w:shd w:val="pct20" w:color="auto" w:fill="D9D9D9" w:themeFill="background1" w:themeFillShade="D9"/>
            <w:vAlign w:val="center"/>
          </w:tcPr>
          <w:p w14:paraId="1F57B155"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41</w:t>
            </w:r>
          </w:p>
        </w:tc>
      </w:tr>
      <w:tr w:rsidR="006841F7" w:rsidRPr="005D0CD8" w14:paraId="26733D17" w14:textId="77777777" w:rsidTr="007A360C">
        <w:trPr>
          <w:trHeight w:val="242"/>
        </w:trPr>
        <w:tc>
          <w:tcPr>
            <w:tcW w:w="3145" w:type="dxa"/>
            <w:shd w:val="clear" w:color="auto" w:fill="auto"/>
            <w:vAlign w:val="center"/>
            <w:hideMark/>
          </w:tcPr>
          <w:p w14:paraId="24BE03DE" w14:textId="77777777" w:rsidR="006841F7" w:rsidRPr="005D0CD8" w:rsidRDefault="006841F7" w:rsidP="00E30275">
            <w:pPr>
              <w:spacing w:after="0" w:line="240" w:lineRule="auto"/>
              <w:rPr>
                <w:rFonts w:ascii="Times New Roman" w:hAnsi="Times New Roman" w:cs="Times New Roman"/>
                <w:color w:val="000000"/>
                <w:sz w:val="20"/>
                <w:szCs w:val="20"/>
              </w:rPr>
            </w:pPr>
            <w:proofErr w:type="spellStart"/>
            <w:r w:rsidRPr="005D0CD8">
              <w:rPr>
                <w:rFonts w:ascii="Times New Roman" w:hAnsi="Times New Roman" w:cs="Times New Roman"/>
                <w:color w:val="000000"/>
                <w:sz w:val="20"/>
                <w:szCs w:val="20"/>
              </w:rPr>
              <w:t>Diarrhea</w:t>
            </w:r>
            <w:proofErr w:type="spellEnd"/>
          </w:p>
        </w:tc>
        <w:tc>
          <w:tcPr>
            <w:tcW w:w="2970" w:type="dxa"/>
            <w:shd w:val="clear" w:color="auto" w:fill="auto"/>
            <w:noWrap/>
            <w:vAlign w:val="center"/>
            <w:hideMark/>
          </w:tcPr>
          <w:p w14:paraId="28A72276"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18</w:t>
            </w:r>
          </w:p>
        </w:tc>
        <w:tc>
          <w:tcPr>
            <w:tcW w:w="2970" w:type="dxa"/>
            <w:vAlign w:val="center"/>
          </w:tcPr>
          <w:p w14:paraId="2EE1C5EF"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20</w:t>
            </w:r>
          </w:p>
        </w:tc>
      </w:tr>
      <w:tr w:rsidR="006841F7" w:rsidRPr="005D0CD8" w14:paraId="19996680" w14:textId="77777777" w:rsidTr="007A360C">
        <w:trPr>
          <w:trHeight w:val="300"/>
        </w:trPr>
        <w:tc>
          <w:tcPr>
            <w:tcW w:w="3145" w:type="dxa"/>
            <w:shd w:val="clear" w:color="auto" w:fill="auto"/>
            <w:vAlign w:val="center"/>
            <w:hideMark/>
          </w:tcPr>
          <w:p w14:paraId="2DFB57F9" w14:textId="77777777" w:rsidR="006841F7" w:rsidRPr="005D0CD8" w:rsidRDefault="006841F7" w:rsidP="00E30275">
            <w:pPr>
              <w:spacing w:after="0" w:line="240" w:lineRule="auto"/>
              <w:rPr>
                <w:rFonts w:ascii="Times New Roman" w:hAnsi="Times New Roman" w:cs="Times New Roman"/>
                <w:color w:val="000000"/>
                <w:sz w:val="20"/>
                <w:szCs w:val="20"/>
              </w:rPr>
            </w:pPr>
            <w:r w:rsidRPr="005D0CD8">
              <w:rPr>
                <w:rFonts w:ascii="Times New Roman" w:hAnsi="Times New Roman" w:cs="Times New Roman"/>
                <w:color w:val="000000"/>
                <w:sz w:val="20"/>
                <w:szCs w:val="20"/>
              </w:rPr>
              <w:t>Nausea</w:t>
            </w:r>
          </w:p>
        </w:tc>
        <w:tc>
          <w:tcPr>
            <w:tcW w:w="2970" w:type="dxa"/>
            <w:shd w:val="clear" w:color="auto" w:fill="auto"/>
            <w:noWrap/>
            <w:vAlign w:val="center"/>
            <w:hideMark/>
          </w:tcPr>
          <w:p w14:paraId="1E6AC346"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7</w:t>
            </w:r>
          </w:p>
        </w:tc>
        <w:tc>
          <w:tcPr>
            <w:tcW w:w="2970" w:type="dxa"/>
            <w:vAlign w:val="center"/>
          </w:tcPr>
          <w:p w14:paraId="00D229C7"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9</w:t>
            </w:r>
          </w:p>
        </w:tc>
      </w:tr>
      <w:tr w:rsidR="006841F7" w:rsidRPr="005D0CD8" w14:paraId="191246B7" w14:textId="77777777" w:rsidTr="007A360C">
        <w:trPr>
          <w:trHeight w:val="300"/>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E009D" w14:textId="77777777" w:rsidR="006841F7" w:rsidRPr="005D0CD8" w:rsidRDefault="006841F7" w:rsidP="00E30275">
            <w:pPr>
              <w:spacing w:after="0" w:line="240" w:lineRule="auto"/>
              <w:rPr>
                <w:rFonts w:ascii="Times New Roman" w:hAnsi="Times New Roman" w:cs="Times New Roman"/>
                <w:color w:val="000000"/>
                <w:sz w:val="20"/>
                <w:szCs w:val="20"/>
              </w:rPr>
            </w:pPr>
            <w:r w:rsidRPr="005D0CD8">
              <w:rPr>
                <w:rFonts w:ascii="Times New Roman" w:hAnsi="Times New Roman" w:cs="Times New Roman"/>
                <w:color w:val="000000"/>
                <w:sz w:val="20"/>
                <w:szCs w:val="20"/>
              </w:rPr>
              <w:t>Vomiting</w:t>
            </w:r>
          </w:p>
        </w:tc>
        <w:tc>
          <w:tcPr>
            <w:tcW w:w="2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A4A49"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5</w:t>
            </w:r>
          </w:p>
        </w:tc>
        <w:tc>
          <w:tcPr>
            <w:tcW w:w="2970" w:type="dxa"/>
            <w:tcBorders>
              <w:top w:val="single" w:sz="4" w:space="0" w:color="auto"/>
              <w:left w:val="single" w:sz="4" w:space="0" w:color="auto"/>
              <w:bottom w:val="single" w:sz="4" w:space="0" w:color="auto"/>
              <w:right w:val="single" w:sz="4" w:space="0" w:color="auto"/>
            </w:tcBorders>
            <w:vAlign w:val="center"/>
          </w:tcPr>
          <w:p w14:paraId="33B09A0A"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6</w:t>
            </w:r>
          </w:p>
        </w:tc>
      </w:tr>
      <w:tr w:rsidR="006841F7" w:rsidRPr="005D0CD8" w14:paraId="535D9F7C" w14:textId="77777777" w:rsidTr="007A360C">
        <w:trPr>
          <w:trHeight w:val="300"/>
        </w:trPr>
        <w:tc>
          <w:tcPr>
            <w:tcW w:w="3145" w:type="dxa"/>
            <w:shd w:val="pct20" w:color="auto" w:fill="D9D9D9" w:themeFill="background1" w:themeFillShade="D9"/>
            <w:noWrap/>
            <w:vAlign w:val="center"/>
          </w:tcPr>
          <w:p w14:paraId="6D2FAAD7" w14:textId="77777777" w:rsidR="006841F7" w:rsidRPr="005D0CD8" w:rsidRDefault="006841F7" w:rsidP="00E30275">
            <w:pPr>
              <w:spacing w:after="0" w:line="240" w:lineRule="auto"/>
              <w:rPr>
                <w:rFonts w:ascii="Times New Roman" w:hAnsi="Times New Roman" w:cs="Times New Roman"/>
                <w:i/>
                <w:color w:val="000000"/>
                <w:sz w:val="20"/>
                <w:szCs w:val="20"/>
              </w:rPr>
            </w:pPr>
            <w:r w:rsidRPr="005D0CD8">
              <w:rPr>
                <w:rFonts w:ascii="Times New Roman" w:hAnsi="Times New Roman" w:cs="Times New Roman"/>
                <w:i/>
                <w:color w:val="000000"/>
                <w:sz w:val="20"/>
                <w:szCs w:val="20"/>
              </w:rPr>
              <w:t>Psychiatric disorders</w:t>
            </w:r>
          </w:p>
        </w:tc>
        <w:tc>
          <w:tcPr>
            <w:tcW w:w="2970" w:type="dxa"/>
            <w:shd w:val="pct20" w:color="auto" w:fill="D9D9D9" w:themeFill="background1" w:themeFillShade="D9"/>
            <w:noWrap/>
            <w:vAlign w:val="center"/>
          </w:tcPr>
          <w:p w14:paraId="58B9DFD2"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5</w:t>
            </w:r>
          </w:p>
        </w:tc>
        <w:tc>
          <w:tcPr>
            <w:tcW w:w="2970" w:type="dxa"/>
            <w:shd w:val="pct20" w:color="auto" w:fill="D9D9D9" w:themeFill="background1" w:themeFillShade="D9"/>
            <w:vAlign w:val="center"/>
          </w:tcPr>
          <w:p w14:paraId="6DCC581F"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color w:val="000000"/>
                <w:sz w:val="20"/>
                <w:szCs w:val="20"/>
              </w:rPr>
              <w:t>4</w:t>
            </w:r>
          </w:p>
        </w:tc>
      </w:tr>
      <w:tr w:rsidR="006841F7" w:rsidRPr="005D0CD8" w14:paraId="260C1538" w14:textId="77777777" w:rsidTr="007A360C">
        <w:trPr>
          <w:trHeight w:val="300"/>
        </w:trPr>
        <w:tc>
          <w:tcPr>
            <w:tcW w:w="3145" w:type="dxa"/>
            <w:shd w:val="clear" w:color="auto" w:fill="auto"/>
            <w:vAlign w:val="center"/>
            <w:hideMark/>
          </w:tcPr>
          <w:p w14:paraId="49BC4C8F" w14:textId="77777777" w:rsidR="006841F7" w:rsidRPr="005D0CD8" w:rsidRDefault="006841F7" w:rsidP="00E30275">
            <w:pPr>
              <w:spacing w:after="0" w:line="240" w:lineRule="auto"/>
              <w:rPr>
                <w:rFonts w:ascii="Times New Roman" w:hAnsi="Times New Roman" w:cs="Times New Roman"/>
                <w:color w:val="000000"/>
                <w:sz w:val="20"/>
                <w:szCs w:val="20"/>
              </w:rPr>
            </w:pPr>
            <w:r w:rsidRPr="005D0CD8">
              <w:rPr>
                <w:rFonts w:ascii="Times New Roman" w:hAnsi="Times New Roman" w:cs="Times New Roman"/>
                <w:sz w:val="20"/>
                <w:szCs w:val="20"/>
              </w:rPr>
              <w:t>Any sleep symptom</w:t>
            </w:r>
            <w:r w:rsidRPr="005D0CD8">
              <w:rPr>
                <w:rFonts w:ascii="Times New Roman" w:hAnsi="Times New Roman" w:cs="Times New Roman"/>
                <w:sz w:val="20"/>
                <w:szCs w:val="20"/>
                <w:vertAlign w:val="superscript"/>
              </w:rPr>
              <w:t>6</w:t>
            </w:r>
          </w:p>
        </w:tc>
        <w:tc>
          <w:tcPr>
            <w:tcW w:w="2970" w:type="dxa"/>
            <w:shd w:val="clear" w:color="auto" w:fill="auto"/>
            <w:noWrap/>
            <w:vAlign w:val="center"/>
            <w:hideMark/>
          </w:tcPr>
          <w:p w14:paraId="57D1F518"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sz w:val="20"/>
                <w:szCs w:val="20"/>
              </w:rPr>
              <w:t>4</w:t>
            </w:r>
          </w:p>
        </w:tc>
        <w:tc>
          <w:tcPr>
            <w:tcW w:w="2970" w:type="dxa"/>
            <w:vAlign w:val="center"/>
          </w:tcPr>
          <w:p w14:paraId="2CB4902F" w14:textId="77777777" w:rsidR="006841F7" w:rsidRPr="005D0CD8" w:rsidRDefault="006841F7" w:rsidP="00E30275">
            <w:pPr>
              <w:spacing w:after="0" w:line="240" w:lineRule="auto"/>
              <w:jc w:val="center"/>
              <w:rPr>
                <w:rFonts w:ascii="Times New Roman" w:hAnsi="Times New Roman" w:cs="Times New Roman"/>
                <w:color w:val="000000"/>
                <w:sz w:val="20"/>
                <w:szCs w:val="20"/>
              </w:rPr>
            </w:pPr>
            <w:r w:rsidRPr="005D0CD8">
              <w:rPr>
                <w:rFonts w:ascii="Times New Roman" w:hAnsi="Times New Roman" w:cs="Times New Roman"/>
                <w:sz w:val="20"/>
                <w:szCs w:val="20"/>
              </w:rPr>
              <w:t>4</w:t>
            </w:r>
          </w:p>
        </w:tc>
      </w:tr>
      <w:tr w:rsidR="006841F7" w:rsidRPr="005D0CD8" w14:paraId="2811CAA7" w14:textId="77777777" w:rsidTr="007A360C">
        <w:trPr>
          <w:trHeight w:val="300"/>
        </w:trPr>
        <w:tc>
          <w:tcPr>
            <w:tcW w:w="3145" w:type="dxa"/>
            <w:shd w:val="clear" w:color="auto" w:fill="auto"/>
            <w:vAlign w:val="center"/>
          </w:tcPr>
          <w:p w14:paraId="3896DD63" w14:textId="77777777" w:rsidR="006841F7" w:rsidRPr="005D0CD8" w:rsidRDefault="006841F7" w:rsidP="00E30275">
            <w:pPr>
              <w:spacing w:after="0" w:line="240" w:lineRule="auto"/>
              <w:rPr>
                <w:rFonts w:ascii="Times New Roman" w:hAnsi="Times New Roman" w:cs="Times New Roman"/>
                <w:sz w:val="20"/>
                <w:szCs w:val="20"/>
              </w:rPr>
            </w:pPr>
            <w:r w:rsidRPr="005D0CD8">
              <w:rPr>
                <w:rFonts w:ascii="Times New Roman" w:hAnsi="Times New Roman" w:cs="Times New Roman"/>
                <w:sz w:val="20"/>
                <w:szCs w:val="20"/>
              </w:rPr>
              <w:t>Insomnia</w:t>
            </w:r>
          </w:p>
        </w:tc>
        <w:tc>
          <w:tcPr>
            <w:tcW w:w="2970" w:type="dxa"/>
            <w:shd w:val="clear" w:color="auto" w:fill="auto"/>
            <w:noWrap/>
            <w:vAlign w:val="center"/>
          </w:tcPr>
          <w:p w14:paraId="0EB7E2DA" w14:textId="77777777" w:rsidR="006841F7" w:rsidRPr="005D0CD8" w:rsidRDefault="006841F7" w:rsidP="00E30275">
            <w:pPr>
              <w:spacing w:after="0" w:line="240" w:lineRule="auto"/>
              <w:jc w:val="center"/>
              <w:rPr>
                <w:rFonts w:ascii="Times New Roman" w:hAnsi="Times New Roman" w:cs="Times New Roman"/>
                <w:sz w:val="20"/>
                <w:szCs w:val="20"/>
              </w:rPr>
            </w:pPr>
            <w:r w:rsidRPr="005D0CD8">
              <w:rPr>
                <w:rFonts w:ascii="Times New Roman" w:hAnsi="Times New Roman" w:cs="Times New Roman"/>
                <w:sz w:val="20"/>
                <w:szCs w:val="20"/>
              </w:rPr>
              <w:t>2</w:t>
            </w:r>
          </w:p>
        </w:tc>
        <w:tc>
          <w:tcPr>
            <w:tcW w:w="2970" w:type="dxa"/>
            <w:vAlign w:val="center"/>
          </w:tcPr>
          <w:p w14:paraId="3F868E67" w14:textId="77777777" w:rsidR="006841F7" w:rsidRPr="005D0CD8" w:rsidRDefault="006841F7" w:rsidP="00E30275">
            <w:pPr>
              <w:spacing w:after="0" w:line="240" w:lineRule="auto"/>
              <w:jc w:val="center"/>
              <w:rPr>
                <w:rFonts w:ascii="Times New Roman" w:hAnsi="Times New Roman" w:cs="Times New Roman"/>
                <w:sz w:val="20"/>
                <w:szCs w:val="20"/>
              </w:rPr>
            </w:pPr>
            <w:r w:rsidRPr="005D0CD8">
              <w:rPr>
                <w:rFonts w:ascii="Times New Roman" w:hAnsi="Times New Roman" w:cs="Times New Roman"/>
                <w:sz w:val="20"/>
                <w:szCs w:val="20"/>
              </w:rPr>
              <w:t>1</w:t>
            </w:r>
          </w:p>
        </w:tc>
      </w:tr>
      <w:tr w:rsidR="006841F7" w:rsidRPr="005D0CD8" w14:paraId="2237C71C" w14:textId="77777777" w:rsidTr="007A360C">
        <w:trPr>
          <w:trHeight w:val="300"/>
        </w:trPr>
        <w:tc>
          <w:tcPr>
            <w:tcW w:w="3145" w:type="dxa"/>
            <w:shd w:val="clear" w:color="auto" w:fill="auto"/>
            <w:vAlign w:val="center"/>
          </w:tcPr>
          <w:p w14:paraId="4D983C36" w14:textId="77777777" w:rsidR="006841F7" w:rsidRPr="005D0CD8" w:rsidRDefault="006841F7" w:rsidP="00E30275">
            <w:pPr>
              <w:spacing w:after="0" w:line="240" w:lineRule="auto"/>
              <w:rPr>
                <w:rFonts w:ascii="Times New Roman" w:hAnsi="Times New Roman" w:cs="Times New Roman"/>
                <w:sz w:val="20"/>
                <w:szCs w:val="20"/>
              </w:rPr>
            </w:pPr>
            <w:r w:rsidRPr="005D0CD8">
              <w:rPr>
                <w:rFonts w:ascii="Times New Roman" w:hAnsi="Times New Roman" w:cs="Times New Roman"/>
                <w:sz w:val="20"/>
                <w:szCs w:val="20"/>
              </w:rPr>
              <w:t>Abnormal dreams</w:t>
            </w:r>
            <w:r w:rsidRPr="005D0CD8">
              <w:rPr>
                <w:rFonts w:ascii="Times New Roman" w:hAnsi="Times New Roman" w:cs="Times New Roman"/>
                <w:sz w:val="20"/>
                <w:szCs w:val="20"/>
                <w:vertAlign w:val="superscript"/>
              </w:rPr>
              <w:t>7</w:t>
            </w:r>
          </w:p>
        </w:tc>
        <w:tc>
          <w:tcPr>
            <w:tcW w:w="2970" w:type="dxa"/>
            <w:shd w:val="clear" w:color="auto" w:fill="auto"/>
            <w:noWrap/>
            <w:vAlign w:val="center"/>
          </w:tcPr>
          <w:p w14:paraId="644AD1C3" w14:textId="77777777" w:rsidR="006841F7" w:rsidRPr="005D0CD8" w:rsidRDefault="006841F7" w:rsidP="00E30275">
            <w:pPr>
              <w:spacing w:after="0" w:line="240" w:lineRule="auto"/>
              <w:jc w:val="center"/>
              <w:rPr>
                <w:rFonts w:ascii="Times New Roman" w:hAnsi="Times New Roman" w:cs="Times New Roman"/>
                <w:sz w:val="20"/>
                <w:szCs w:val="20"/>
              </w:rPr>
            </w:pPr>
            <w:r w:rsidRPr="005D0CD8">
              <w:rPr>
                <w:rFonts w:ascii="Times New Roman" w:hAnsi="Times New Roman" w:cs="Times New Roman"/>
                <w:sz w:val="20"/>
                <w:szCs w:val="20"/>
              </w:rPr>
              <w:t>2</w:t>
            </w:r>
          </w:p>
        </w:tc>
        <w:tc>
          <w:tcPr>
            <w:tcW w:w="2970" w:type="dxa"/>
            <w:vAlign w:val="center"/>
          </w:tcPr>
          <w:p w14:paraId="255E0021" w14:textId="77777777" w:rsidR="006841F7" w:rsidRPr="005D0CD8" w:rsidRDefault="006841F7" w:rsidP="00E30275">
            <w:pPr>
              <w:spacing w:after="0" w:line="240" w:lineRule="auto"/>
              <w:jc w:val="center"/>
              <w:rPr>
                <w:rFonts w:ascii="Times New Roman" w:hAnsi="Times New Roman" w:cs="Times New Roman"/>
                <w:sz w:val="20"/>
                <w:szCs w:val="20"/>
              </w:rPr>
            </w:pPr>
            <w:r w:rsidRPr="005D0CD8">
              <w:rPr>
                <w:rFonts w:ascii="Times New Roman" w:hAnsi="Times New Roman" w:cs="Times New Roman"/>
                <w:sz w:val="20"/>
                <w:szCs w:val="20"/>
              </w:rPr>
              <w:t>2</w:t>
            </w:r>
          </w:p>
        </w:tc>
      </w:tr>
      <w:tr w:rsidR="006841F7" w:rsidRPr="005D0CD8" w14:paraId="25CF029B" w14:textId="77777777" w:rsidTr="007A360C">
        <w:trPr>
          <w:trHeight w:val="300"/>
        </w:trPr>
        <w:tc>
          <w:tcPr>
            <w:tcW w:w="3145" w:type="dxa"/>
            <w:shd w:val="clear" w:color="auto" w:fill="auto"/>
            <w:vAlign w:val="center"/>
          </w:tcPr>
          <w:p w14:paraId="50DE3DD6" w14:textId="77777777" w:rsidR="006841F7" w:rsidRPr="005D0CD8" w:rsidRDefault="006841F7" w:rsidP="00E30275">
            <w:pPr>
              <w:spacing w:after="0" w:line="240" w:lineRule="auto"/>
              <w:rPr>
                <w:rFonts w:ascii="Times New Roman" w:hAnsi="Times New Roman" w:cs="Times New Roman"/>
                <w:sz w:val="20"/>
                <w:szCs w:val="20"/>
              </w:rPr>
            </w:pPr>
            <w:r w:rsidRPr="005D0CD8">
              <w:rPr>
                <w:rFonts w:ascii="Times New Roman" w:hAnsi="Times New Roman" w:cs="Times New Roman"/>
                <w:sz w:val="20"/>
                <w:szCs w:val="20"/>
              </w:rPr>
              <w:t>Anxiety</w:t>
            </w:r>
            <w:r w:rsidRPr="005D0CD8">
              <w:rPr>
                <w:rFonts w:ascii="Times New Roman" w:hAnsi="Times New Roman" w:cs="Times New Roman"/>
                <w:sz w:val="20"/>
                <w:szCs w:val="20"/>
                <w:vertAlign w:val="superscript"/>
              </w:rPr>
              <w:t>8</w:t>
            </w:r>
          </w:p>
        </w:tc>
        <w:tc>
          <w:tcPr>
            <w:tcW w:w="2970" w:type="dxa"/>
            <w:shd w:val="clear" w:color="auto" w:fill="auto"/>
            <w:noWrap/>
            <w:vAlign w:val="center"/>
          </w:tcPr>
          <w:p w14:paraId="78F70B36" w14:textId="77777777" w:rsidR="006841F7" w:rsidRPr="005D0CD8" w:rsidRDefault="006841F7" w:rsidP="00E30275">
            <w:pPr>
              <w:spacing w:after="0" w:line="240" w:lineRule="auto"/>
              <w:jc w:val="center"/>
              <w:rPr>
                <w:rFonts w:ascii="Times New Roman" w:hAnsi="Times New Roman" w:cs="Times New Roman"/>
                <w:sz w:val="20"/>
                <w:szCs w:val="20"/>
              </w:rPr>
            </w:pPr>
            <w:r w:rsidRPr="005D0CD8">
              <w:rPr>
                <w:rFonts w:ascii="Times New Roman" w:hAnsi="Times New Roman" w:cs="Times New Roman"/>
                <w:sz w:val="20"/>
                <w:szCs w:val="20"/>
              </w:rPr>
              <w:t>1</w:t>
            </w:r>
          </w:p>
        </w:tc>
        <w:tc>
          <w:tcPr>
            <w:tcW w:w="2970" w:type="dxa"/>
            <w:vAlign w:val="center"/>
          </w:tcPr>
          <w:p w14:paraId="387619F8" w14:textId="77777777" w:rsidR="006841F7" w:rsidRPr="005D0CD8" w:rsidRDefault="006841F7" w:rsidP="00E30275">
            <w:pPr>
              <w:spacing w:after="0" w:line="240" w:lineRule="auto"/>
              <w:jc w:val="center"/>
              <w:rPr>
                <w:rFonts w:ascii="Times New Roman" w:hAnsi="Times New Roman" w:cs="Times New Roman"/>
                <w:sz w:val="20"/>
                <w:szCs w:val="20"/>
              </w:rPr>
            </w:pPr>
            <w:r w:rsidRPr="005D0CD8">
              <w:rPr>
                <w:rFonts w:ascii="Times New Roman" w:hAnsi="Times New Roman" w:cs="Times New Roman"/>
                <w:sz w:val="20"/>
                <w:szCs w:val="20"/>
              </w:rPr>
              <w:t>0</w:t>
            </w:r>
          </w:p>
        </w:tc>
      </w:tr>
    </w:tbl>
    <w:p w14:paraId="11A3C10A" w14:textId="77777777" w:rsidR="006841F7" w:rsidRPr="00F16A76" w:rsidRDefault="006841F7" w:rsidP="006841F7">
      <w:pPr>
        <w:pStyle w:val="BodyText"/>
        <w:spacing w:before="0"/>
        <w:ind w:left="0"/>
        <w:rPr>
          <w:sz w:val="20"/>
          <w:szCs w:val="20"/>
        </w:rPr>
      </w:pPr>
      <w:r w:rsidRPr="00F16A76">
        <w:rPr>
          <w:bCs/>
          <w:color w:val="000000"/>
          <w:sz w:val="20"/>
          <w:szCs w:val="20"/>
          <w:vertAlign w:val="superscript"/>
        </w:rPr>
        <w:t>1</w:t>
      </w:r>
      <w:r w:rsidRPr="00F16A76">
        <w:rPr>
          <w:sz w:val="20"/>
          <w:szCs w:val="20"/>
        </w:rPr>
        <w:t xml:space="preserve"> </w:t>
      </w:r>
      <w:r>
        <w:rPr>
          <w:sz w:val="20"/>
          <w:szCs w:val="20"/>
        </w:rPr>
        <w:t xml:space="preserve">KODATEF </w:t>
      </w:r>
      <w:r w:rsidRPr="00F16A76">
        <w:rPr>
          <w:sz w:val="20"/>
          <w:szCs w:val="20"/>
        </w:rPr>
        <w:t>was administered as 200 mg daily for 3 days, then 200 mg weekly</w:t>
      </w:r>
      <w:r w:rsidR="002636E7">
        <w:rPr>
          <w:sz w:val="20"/>
          <w:szCs w:val="20"/>
        </w:rPr>
        <w:t>.</w:t>
      </w:r>
    </w:p>
    <w:p w14:paraId="5231501C" w14:textId="77777777" w:rsidR="006841F7" w:rsidRPr="00F16A76" w:rsidRDefault="006841F7" w:rsidP="006841F7">
      <w:pPr>
        <w:pStyle w:val="BodyText"/>
        <w:spacing w:before="0"/>
        <w:ind w:left="1440" w:hanging="1440"/>
        <w:rPr>
          <w:sz w:val="20"/>
          <w:szCs w:val="20"/>
        </w:rPr>
      </w:pPr>
      <w:r w:rsidRPr="00F16A76">
        <w:rPr>
          <w:sz w:val="20"/>
          <w:szCs w:val="20"/>
          <w:vertAlign w:val="superscript"/>
        </w:rPr>
        <w:t>2</w:t>
      </w:r>
      <w:r w:rsidRPr="00F16A76">
        <w:rPr>
          <w:sz w:val="20"/>
          <w:szCs w:val="20"/>
        </w:rPr>
        <w:t xml:space="preserve"> </w:t>
      </w:r>
      <w:proofErr w:type="spellStart"/>
      <w:r w:rsidRPr="00F16A76">
        <w:rPr>
          <w:sz w:val="20"/>
          <w:szCs w:val="20"/>
        </w:rPr>
        <w:t>Mefloquine</w:t>
      </w:r>
      <w:proofErr w:type="spellEnd"/>
      <w:r w:rsidRPr="00F16A76">
        <w:rPr>
          <w:sz w:val="20"/>
          <w:szCs w:val="20"/>
        </w:rPr>
        <w:t xml:space="preserve"> was administered as 250 mg daily for 3 days, then 250 mg weekly</w:t>
      </w:r>
      <w:r w:rsidR="002636E7">
        <w:rPr>
          <w:sz w:val="20"/>
          <w:szCs w:val="20"/>
        </w:rPr>
        <w:t>.</w:t>
      </w:r>
    </w:p>
    <w:p w14:paraId="48DB13D8" w14:textId="77777777" w:rsidR="006841F7" w:rsidRPr="00073F5F" w:rsidRDefault="006841F7" w:rsidP="006841F7">
      <w:pPr>
        <w:pStyle w:val="BodyText"/>
        <w:spacing w:before="0"/>
        <w:ind w:hanging="111"/>
        <w:rPr>
          <w:sz w:val="20"/>
          <w:szCs w:val="20"/>
        </w:rPr>
      </w:pPr>
      <w:proofErr w:type="gramStart"/>
      <w:r w:rsidRPr="00073F5F">
        <w:rPr>
          <w:sz w:val="20"/>
          <w:szCs w:val="20"/>
          <w:vertAlign w:val="superscript"/>
        </w:rPr>
        <w:t>3</w:t>
      </w:r>
      <w:r w:rsidRPr="00073F5F">
        <w:rPr>
          <w:sz w:val="20"/>
          <w:szCs w:val="20"/>
        </w:rPr>
        <w:t xml:space="preserve"> Includes headache, sinus headache, migraine and tension headache.</w:t>
      </w:r>
      <w:proofErr w:type="gramEnd"/>
    </w:p>
    <w:p w14:paraId="17951EDC" w14:textId="77777777" w:rsidR="006841F7" w:rsidRPr="00073F5F" w:rsidRDefault="006841F7" w:rsidP="006841F7">
      <w:pPr>
        <w:pStyle w:val="BodyText"/>
        <w:spacing w:before="0"/>
        <w:ind w:hanging="111"/>
        <w:rPr>
          <w:sz w:val="20"/>
          <w:szCs w:val="20"/>
        </w:rPr>
      </w:pPr>
      <w:proofErr w:type="gramStart"/>
      <w:r w:rsidRPr="00073F5F" w:rsidDel="00634B6B">
        <w:rPr>
          <w:sz w:val="20"/>
          <w:szCs w:val="20"/>
          <w:vertAlign w:val="superscript"/>
        </w:rPr>
        <w:t>4</w:t>
      </w:r>
      <w:r w:rsidRPr="00073F5F">
        <w:rPr>
          <w:sz w:val="20"/>
          <w:szCs w:val="20"/>
        </w:rPr>
        <w:t xml:space="preserve"> Includes </w:t>
      </w:r>
      <w:r w:rsidRPr="00073F5F">
        <w:rPr>
          <w:color w:val="000000"/>
          <w:sz w:val="20"/>
          <w:szCs w:val="20"/>
        </w:rPr>
        <w:t>dizziness and dizziness postural</w:t>
      </w:r>
      <w:r w:rsidR="002636E7">
        <w:rPr>
          <w:color w:val="000000"/>
          <w:sz w:val="20"/>
          <w:szCs w:val="20"/>
        </w:rPr>
        <w:t>.</w:t>
      </w:r>
      <w:proofErr w:type="gramEnd"/>
    </w:p>
    <w:p w14:paraId="4ECDAC25" w14:textId="77777777" w:rsidR="006841F7" w:rsidRPr="00073F5F" w:rsidRDefault="006841F7" w:rsidP="006841F7">
      <w:pPr>
        <w:pStyle w:val="BodyText"/>
        <w:spacing w:before="0"/>
        <w:ind w:hanging="111"/>
        <w:rPr>
          <w:sz w:val="20"/>
          <w:szCs w:val="20"/>
        </w:rPr>
      </w:pPr>
      <w:proofErr w:type="gramStart"/>
      <w:r w:rsidRPr="00073F5F" w:rsidDel="00634B6B">
        <w:rPr>
          <w:sz w:val="20"/>
          <w:szCs w:val="20"/>
          <w:vertAlign w:val="superscript"/>
        </w:rPr>
        <w:t>5</w:t>
      </w:r>
      <w:r w:rsidRPr="00073F5F">
        <w:rPr>
          <w:sz w:val="20"/>
          <w:szCs w:val="20"/>
        </w:rPr>
        <w:t xml:space="preserve"> Includes motion sickness, vertigo and vertigo positional.</w:t>
      </w:r>
      <w:proofErr w:type="gramEnd"/>
    </w:p>
    <w:p w14:paraId="4351F98F" w14:textId="77777777" w:rsidR="006841F7" w:rsidRPr="00073F5F" w:rsidRDefault="006841F7" w:rsidP="006841F7">
      <w:pPr>
        <w:pStyle w:val="BodyText"/>
        <w:tabs>
          <w:tab w:val="center" w:pos="634"/>
        </w:tabs>
        <w:spacing w:before="0"/>
        <w:ind w:hanging="111"/>
        <w:rPr>
          <w:sz w:val="20"/>
          <w:szCs w:val="20"/>
        </w:rPr>
      </w:pPr>
      <w:r w:rsidRPr="00073F5F" w:rsidDel="002C255B">
        <w:rPr>
          <w:sz w:val="20"/>
          <w:szCs w:val="20"/>
          <w:vertAlign w:val="superscript"/>
        </w:rPr>
        <w:t>6</w:t>
      </w:r>
      <w:r w:rsidRPr="00073F5F">
        <w:rPr>
          <w:sz w:val="20"/>
          <w:szCs w:val="20"/>
          <w:vertAlign w:val="superscript"/>
        </w:rPr>
        <w:t xml:space="preserve"> </w:t>
      </w:r>
      <w:r w:rsidRPr="00073F5F">
        <w:rPr>
          <w:sz w:val="20"/>
          <w:szCs w:val="20"/>
        </w:rPr>
        <w:t>Includes abnormal dreams, insomnia, nightmares, sleep disorder, and somnambulism.</w:t>
      </w:r>
    </w:p>
    <w:p w14:paraId="3ADFAEED" w14:textId="77777777" w:rsidR="006841F7" w:rsidRPr="00073F5F" w:rsidRDefault="006841F7" w:rsidP="006841F7">
      <w:pPr>
        <w:pStyle w:val="BodyText"/>
        <w:tabs>
          <w:tab w:val="center" w:pos="634"/>
        </w:tabs>
        <w:spacing w:before="0"/>
        <w:ind w:hanging="111"/>
        <w:rPr>
          <w:sz w:val="20"/>
          <w:szCs w:val="20"/>
          <w:vertAlign w:val="superscript"/>
        </w:rPr>
      </w:pPr>
      <w:proofErr w:type="gramStart"/>
      <w:r w:rsidRPr="00073F5F">
        <w:rPr>
          <w:sz w:val="20"/>
          <w:szCs w:val="20"/>
          <w:vertAlign w:val="superscript"/>
        </w:rPr>
        <w:t xml:space="preserve">7 </w:t>
      </w:r>
      <w:r w:rsidRPr="00073F5F">
        <w:rPr>
          <w:sz w:val="20"/>
          <w:szCs w:val="20"/>
        </w:rPr>
        <w:t>Includes abnormal dreams, nightmares</w:t>
      </w:r>
      <w:r w:rsidR="002636E7">
        <w:rPr>
          <w:sz w:val="20"/>
          <w:szCs w:val="20"/>
        </w:rPr>
        <w:t>.</w:t>
      </w:r>
      <w:proofErr w:type="gramEnd"/>
    </w:p>
    <w:p w14:paraId="32469AFB" w14:textId="77777777" w:rsidR="006841F7" w:rsidRDefault="006841F7" w:rsidP="006841F7">
      <w:pPr>
        <w:pStyle w:val="BodyText"/>
        <w:tabs>
          <w:tab w:val="center" w:pos="634"/>
        </w:tabs>
        <w:spacing w:before="0"/>
        <w:ind w:hanging="111"/>
        <w:rPr>
          <w:sz w:val="20"/>
          <w:szCs w:val="20"/>
        </w:rPr>
      </w:pPr>
      <w:proofErr w:type="gramStart"/>
      <w:r w:rsidRPr="00073F5F">
        <w:rPr>
          <w:sz w:val="20"/>
          <w:szCs w:val="20"/>
          <w:vertAlign w:val="superscript"/>
        </w:rPr>
        <w:t xml:space="preserve">8 </w:t>
      </w:r>
      <w:r w:rsidRPr="00073F5F">
        <w:rPr>
          <w:sz w:val="20"/>
          <w:szCs w:val="20"/>
        </w:rPr>
        <w:t>Includes anxiety disorder, panic attack and stress.</w:t>
      </w:r>
      <w:proofErr w:type="gramEnd"/>
    </w:p>
    <w:p w14:paraId="59B463B4" w14:textId="77777777" w:rsidR="001E47D8" w:rsidRPr="00C44272" w:rsidRDefault="001E47D8" w:rsidP="00FD603B">
      <w:pPr>
        <w:pStyle w:val="BodyText"/>
        <w:ind w:left="0"/>
        <w:rPr>
          <w:sz w:val="22"/>
          <w:szCs w:val="22"/>
        </w:rPr>
      </w:pPr>
      <w:r w:rsidRPr="00C44272">
        <w:rPr>
          <w:sz w:val="22"/>
          <w:szCs w:val="22"/>
        </w:rPr>
        <w:t xml:space="preserve">Adverse reactions occurring in ≥1% of subjects in the </w:t>
      </w:r>
      <w:r w:rsidR="00F16A76" w:rsidRPr="00C44272">
        <w:rPr>
          <w:sz w:val="22"/>
          <w:szCs w:val="22"/>
        </w:rPr>
        <w:t>KODATEF</w:t>
      </w:r>
      <w:r w:rsidR="007F1095">
        <w:rPr>
          <w:sz w:val="22"/>
          <w:szCs w:val="22"/>
        </w:rPr>
        <w:t xml:space="preserve"> </w:t>
      </w:r>
      <w:r w:rsidRPr="00C44272">
        <w:rPr>
          <w:sz w:val="22"/>
          <w:szCs w:val="22"/>
        </w:rPr>
        <w:t>group in the placebo-controlled pooled</w:t>
      </w:r>
      <w:r w:rsidR="00352596">
        <w:rPr>
          <w:sz w:val="22"/>
          <w:szCs w:val="22"/>
        </w:rPr>
        <w:t xml:space="preserve"> data from</w:t>
      </w:r>
      <w:r w:rsidRPr="00C44272">
        <w:rPr>
          <w:sz w:val="22"/>
          <w:szCs w:val="22"/>
        </w:rPr>
        <w:t xml:space="preserve"> </w:t>
      </w:r>
      <w:r w:rsidRPr="00744502">
        <w:rPr>
          <w:sz w:val="22"/>
          <w:szCs w:val="22"/>
        </w:rPr>
        <w:t xml:space="preserve">Trials </w:t>
      </w:r>
      <w:r w:rsidR="00686DE4" w:rsidRPr="00744502">
        <w:rPr>
          <w:sz w:val="22"/>
          <w:szCs w:val="22"/>
        </w:rPr>
        <w:t>043, 045, 030 and 057</w:t>
      </w:r>
      <w:r w:rsidRPr="00C44272">
        <w:rPr>
          <w:sz w:val="22"/>
          <w:szCs w:val="22"/>
        </w:rPr>
        <w:t xml:space="preserve"> are presented </w:t>
      </w:r>
      <w:r w:rsidRPr="004828CB">
        <w:rPr>
          <w:sz w:val="22"/>
          <w:szCs w:val="22"/>
        </w:rPr>
        <w:t xml:space="preserve">in </w:t>
      </w:r>
      <w:r w:rsidR="000261DB">
        <w:fldChar w:fldCharType="begin"/>
      </w:r>
      <w:r w:rsidR="000261DB">
        <w:instrText xml:space="preserve"> REF _Ref524344196 \h  \* MERGEFORMAT </w:instrText>
      </w:r>
      <w:r w:rsidR="000261DB">
        <w:fldChar w:fldCharType="separate"/>
      </w:r>
      <w:r w:rsidR="006841F7" w:rsidRPr="006841F7">
        <w:rPr>
          <w:sz w:val="22"/>
          <w:szCs w:val="22"/>
        </w:rPr>
        <w:t>Table 4</w:t>
      </w:r>
      <w:r w:rsidR="000261DB">
        <w:fldChar w:fldCharType="end"/>
      </w:r>
      <w:r w:rsidRPr="00C44272">
        <w:rPr>
          <w:sz w:val="22"/>
          <w:szCs w:val="22"/>
        </w:rPr>
        <w:t xml:space="preserve">. </w:t>
      </w:r>
    </w:p>
    <w:p w14:paraId="7861C608" w14:textId="77777777" w:rsidR="007C32A8" w:rsidRPr="007F1095" w:rsidRDefault="007C32A8" w:rsidP="00C76F0A">
      <w:pPr>
        <w:pStyle w:val="Caption"/>
        <w:rPr>
          <w:vertAlign w:val="superscript"/>
        </w:rPr>
      </w:pPr>
      <w:bookmarkStart w:id="2" w:name="_Ref524344196"/>
      <w:r w:rsidRPr="00C76F0A">
        <w:t xml:space="preserve">Table </w:t>
      </w:r>
      <w:r w:rsidR="00B43A53" w:rsidRPr="00C76F0A">
        <w:fldChar w:fldCharType="begin"/>
      </w:r>
      <w:r w:rsidRPr="00C76F0A">
        <w:instrText xml:space="preserve"> SEQ Table \* ARABIC </w:instrText>
      </w:r>
      <w:r w:rsidR="00B43A53" w:rsidRPr="00C76F0A">
        <w:fldChar w:fldCharType="separate"/>
      </w:r>
      <w:r w:rsidR="006841F7">
        <w:rPr>
          <w:noProof/>
        </w:rPr>
        <w:t>4</w:t>
      </w:r>
      <w:r w:rsidR="00B43A53" w:rsidRPr="00C76F0A">
        <w:fldChar w:fldCharType="end"/>
      </w:r>
      <w:bookmarkEnd w:id="2"/>
      <w:r w:rsidR="00C76F0A" w:rsidRPr="00C76F0A">
        <w:tab/>
      </w:r>
      <w:r w:rsidR="00686DE4" w:rsidRPr="00C76F0A">
        <w:t xml:space="preserve">Selected Adverse Reactions Occurring in ≥1% of Subjects Receiving </w:t>
      </w:r>
      <w:r w:rsidR="00F16A76" w:rsidRPr="00C76F0A">
        <w:t>KODATEF</w:t>
      </w:r>
      <w:r w:rsidRPr="00C76F0A">
        <w:t xml:space="preserve"> </w:t>
      </w:r>
      <w:r w:rsidR="00686DE4" w:rsidRPr="00C76F0A">
        <w:t xml:space="preserve">in Pooled Trials </w:t>
      </w:r>
      <w:r w:rsidR="002636E7">
        <w:t>043</w:t>
      </w:r>
      <w:r w:rsidR="00686DE4" w:rsidRPr="00C76F0A">
        <w:t xml:space="preserve">, </w:t>
      </w:r>
      <w:r w:rsidR="002636E7">
        <w:t>045</w:t>
      </w:r>
      <w:r w:rsidR="00686DE4" w:rsidRPr="00C76F0A">
        <w:t xml:space="preserve">, </w:t>
      </w:r>
      <w:r w:rsidR="002636E7">
        <w:t>030</w:t>
      </w:r>
      <w:r w:rsidR="00686DE4" w:rsidRPr="00C76F0A">
        <w:t xml:space="preserve">, and </w:t>
      </w:r>
      <w:r w:rsidR="002636E7">
        <w:t>057</w:t>
      </w:r>
      <w:r w:rsidR="00686DE4" w:rsidRPr="00C76F0A">
        <w:t xml:space="preserve"> (Non-Deployed Subjects)</w:t>
      </w:r>
      <w:r w:rsidR="007F1095">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1627"/>
        <w:gridCol w:w="1368"/>
        <w:gridCol w:w="1625"/>
      </w:tblGrid>
      <w:tr w:rsidR="00686DE4" w:rsidRPr="004828CB" w14:paraId="739B31E0" w14:textId="77777777" w:rsidTr="007F1095">
        <w:trPr>
          <w:trHeight w:val="494"/>
          <w:tblHeader/>
        </w:trPr>
        <w:tc>
          <w:tcPr>
            <w:tcW w:w="2501" w:type="pct"/>
            <w:tcBorders>
              <w:top w:val="single" w:sz="4" w:space="0" w:color="auto"/>
              <w:left w:val="single" w:sz="4" w:space="0" w:color="auto"/>
              <w:bottom w:val="single" w:sz="4" w:space="0" w:color="auto"/>
              <w:right w:val="nil"/>
            </w:tcBorders>
            <w:shd w:val="clear" w:color="auto" w:fill="auto"/>
            <w:noWrap/>
            <w:vAlign w:val="center"/>
            <w:hideMark/>
          </w:tcPr>
          <w:p w14:paraId="59F71259" w14:textId="77777777" w:rsidR="00686DE4" w:rsidRPr="007F1095" w:rsidRDefault="00686DE4" w:rsidP="00E30275">
            <w:pPr>
              <w:spacing w:after="0" w:line="240" w:lineRule="auto"/>
              <w:rPr>
                <w:rFonts w:ascii="Times New Roman" w:hAnsi="Times New Roman" w:cs="Times New Roman"/>
                <w:b/>
                <w:bCs/>
                <w:color w:val="000000"/>
                <w:sz w:val="20"/>
                <w:szCs w:val="20"/>
              </w:rPr>
            </w:pPr>
            <w:r w:rsidRPr="007F1095">
              <w:rPr>
                <w:rFonts w:ascii="Times New Roman" w:hAnsi="Times New Roman" w:cs="Times New Roman"/>
                <w:b/>
                <w:bCs/>
                <w:color w:val="000000"/>
                <w:sz w:val="20"/>
                <w:szCs w:val="20"/>
              </w:rPr>
              <w:t>Adverse Reaction</w:t>
            </w:r>
          </w:p>
        </w:tc>
        <w:tc>
          <w:tcPr>
            <w:tcW w:w="880" w:type="pct"/>
            <w:tcBorders>
              <w:top w:val="single" w:sz="4" w:space="0" w:color="auto"/>
              <w:left w:val="nil"/>
              <w:bottom w:val="single" w:sz="4" w:space="0" w:color="auto"/>
              <w:right w:val="nil"/>
            </w:tcBorders>
            <w:vAlign w:val="center"/>
          </w:tcPr>
          <w:p w14:paraId="7687BA78" w14:textId="77777777" w:rsidR="007F1095" w:rsidRDefault="007F1095" w:rsidP="00E30275">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KODATEF</w:t>
            </w:r>
            <w:r w:rsidR="00686DE4" w:rsidRPr="007F1095">
              <w:rPr>
                <w:rFonts w:ascii="Times New Roman" w:hAnsi="Times New Roman" w:cs="Times New Roman"/>
                <w:b/>
                <w:bCs/>
                <w:color w:val="000000"/>
                <w:sz w:val="20"/>
                <w:szCs w:val="20"/>
                <w:vertAlign w:val="superscript"/>
              </w:rPr>
              <w:t>2</w:t>
            </w:r>
            <w:r w:rsidR="00686DE4" w:rsidRPr="007F1095">
              <w:rPr>
                <w:rFonts w:ascii="Times New Roman" w:hAnsi="Times New Roman" w:cs="Times New Roman"/>
                <w:b/>
                <w:bCs/>
                <w:color w:val="000000"/>
                <w:sz w:val="20"/>
                <w:szCs w:val="20"/>
              </w:rPr>
              <w:t xml:space="preserve"> </w:t>
            </w:r>
          </w:p>
          <w:p w14:paraId="50097B23" w14:textId="77777777" w:rsidR="00686DE4" w:rsidRPr="007F1095" w:rsidRDefault="00686DE4" w:rsidP="00E30275">
            <w:pPr>
              <w:spacing w:after="0" w:line="240" w:lineRule="auto"/>
              <w:jc w:val="center"/>
              <w:rPr>
                <w:rFonts w:ascii="Times New Roman" w:hAnsi="Times New Roman" w:cs="Times New Roman"/>
                <w:b/>
                <w:bCs/>
                <w:color w:val="000000"/>
                <w:sz w:val="20"/>
                <w:szCs w:val="20"/>
              </w:rPr>
            </w:pPr>
            <w:r w:rsidRPr="007F1095">
              <w:rPr>
                <w:rFonts w:ascii="Times New Roman" w:hAnsi="Times New Roman" w:cs="Times New Roman"/>
                <w:b/>
                <w:bCs/>
                <w:color w:val="000000"/>
                <w:sz w:val="20"/>
                <w:szCs w:val="20"/>
              </w:rPr>
              <w:t>(n=333)</w:t>
            </w:r>
            <w:r w:rsidRPr="007F1095">
              <w:rPr>
                <w:rFonts w:ascii="Times New Roman" w:hAnsi="Times New Roman" w:cs="Times New Roman"/>
                <w:b/>
                <w:bCs/>
                <w:color w:val="000000"/>
                <w:sz w:val="20"/>
                <w:szCs w:val="20"/>
              </w:rPr>
              <w:br/>
              <w:t xml:space="preserve">% </w:t>
            </w:r>
          </w:p>
        </w:tc>
        <w:tc>
          <w:tcPr>
            <w:tcW w:w="740" w:type="pct"/>
            <w:tcBorders>
              <w:top w:val="single" w:sz="4" w:space="0" w:color="auto"/>
              <w:left w:val="nil"/>
              <w:bottom w:val="single" w:sz="4" w:space="0" w:color="auto"/>
              <w:right w:val="nil"/>
            </w:tcBorders>
            <w:vAlign w:val="center"/>
          </w:tcPr>
          <w:p w14:paraId="16C5DD23" w14:textId="77777777" w:rsidR="00686DE4" w:rsidRPr="007F1095" w:rsidRDefault="00686DE4" w:rsidP="00E30275">
            <w:pPr>
              <w:spacing w:after="0" w:line="240" w:lineRule="auto"/>
              <w:jc w:val="center"/>
              <w:rPr>
                <w:rFonts w:ascii="Times New Roman" w:hAnsi="Times New Roman" w:cs="Times New Roman"/>
                <w:b/>
                <w:bCs/>
                <w:color w:val="000000"/>
                <w:sz w:val="20"/>
                <w:szCs w:val="20"/>
              </w:rPr>
            </w:pPr>
            <w:r w:rsidRPr="007F1095">
              <w:rPr>
                <w:rFonts w:ascii="Times New Roman" w:hAnsi="Times New Roman" w:cs="Times New Roman"/>
                <w:b/>
                <w:bCs/>
                <w:color w:val="000000"/>
                <w:sz w:val="20"/>
                <w:szCs w:val="20"/>
              </w:rPr>
              <w:t xml:space="preserve">Placebo (n=295) </w:t>
            </w:r>
            <w:r w:rsidRPr="007F1095">
              <w:rPr>
                <w:rFonts w:ascii="Times New Roman" w:hAnsi="Times New Roman" w:cs="Times New Roman"/>
                <w:b/>
                <w:bCs/>
                <w:color w:val="000000"/>
                <w:sz w:val="20"/>
                <w:szCs w:val="20"/>
              </w:rPr>
              <w:br/>
              <w:t>%</w:t>
            </w:r>
          </w:p>
        </w:tc>
        <w:tc>
          <w:tcPr>
            <w:tcW w:w="880" w:type="pct"/>
            <w:tcBorders>
              <w:top w:val="single" w:sz="4" w:space="0" w:color="auto"/>
              <w:left w:val="nil"/>
              <w:bottom w:val="single" w:sz="4" w:space="0" w:color="auto"/>
              <w:right w:val="single" w:sz="4" w:space="0" w:color="auto"/>
            </w:tcBorders>
            <w:vAlign w:val="center"/>
          </w:tcPr>
          <w:p w14:paraId="3FC13F03" w14:textId="77777777" w:rsidR="00686DE4" w:rsidRPr="007F1095" w:rsidRDefault="00686DE4" w:rsidP="00E30275">
            <w:pPr>
              <w:spacing w:after="0" w:line="240" w:lineRule="auto"/>
              <w:jc w:val="center"/>
              <w:rPr>
                <w:rFonts w:ascii="Times New Roman" w:hAnsi="Times New Roman" w:cs="Times New Roman"/>
                <w:b/>
                <w:bCs/>
                <w:color w:val="000000"/>
                <w:sz w:val="20"/>
                <w:szCs w:val="20"/>
              </w:rPr>
            </w:pPr>
            <w:r w:rsidRPr="007F1095">
              <w:rPr>
                <w:rFonts w:ascii="Times New Roman" w:hAnsi="Times New Roman" w:cs="Times New Roman"/>
                <w:b/>
                <w:bCs/>
                <w:color w:val="000000"/>
                <w:sz w:val="20"/>
                <w:szCs w:val="20"/>
              </w:rPr>
              <w:t>Mefloquine</w:t>
            </w:r>
            <w:r w:rsidRPr="007F1095">
              <w:rPr>
                <w:rFonts w:ascii="Times New Roman" w:hAnsi="Times New Roman" w:cs="Times New Roman"/>
                <w:b/>
                <w:bCs/>
                <w:color w:val="000000"/>
                <w:sz w:val="20"/>
                <w:szCs w:val="20"/>
                <w:vertAlign w:val="superscript"/>
              </w:rPr>
              <w:t>3</w:t>
            </w:r>
            <w:r w:rsidRPr="007F1095">
              <w:rPr>
                <w:rFonts w:ascii="Times New Roman" w:hAnsi="Times New Roman" w:cs="Times New Roman"/>
                <w:b/>
                <w:bCs/>
                <w:color w:val="000000"/>
                <w:sz w:val="20"/>
                <w:szCs w:val="20"/>
              </w:rPr>
              <w:t xml:space="preserve"> (n=147) </w:t>
            </w:r>
            <w:r w:rsidRPr="007F1095">
              <w:rPr>
                <w:rFonts w:ascii="Times New Roman" w:hAnsi="Times New Roman" w:cs="Times New Roman"/>
                <w:b/>
                <w:bCs/>
                <w:color w:val="000000"/>
                <w:sz w:val="20"/>
                <w:szCs w:val="20"/>
              </w:rPr>
              <w:br/>
              <w:t>%</w:t>
            </w:r>
          </w:p>
        </w:tc>
      </w:tr>
      <w:tr w:rsidR="00686DE4" w:rsidRPr="004828CB" w14:paraId="3760E7E9" w14:textId="77777777" w:rsidTr="007F1095">
        <w:trPr>
          <w:trHeight w:val="270"/>
        </w:trPr>
        <w:tc>
          <w:tcPr>
            <w:tcW w:w="2501" w:type="pct"/>
            <w:tcBorders>
              <w:top w:val="single" w:sz="4" w:space="0" w:color="auto"/>
              <w:left w:val="single" w:sz="4" w:space="0" w:color="auto"/>
              <w:bottom w:val="single" w:sz="4" w:space="0" w:color="auto"/>
              <w:right w:val="single" w:sz="4" w:space="0" w:color="auto"/>
            </w:tcBorders>
            <w:shd w:val="pct20" w:color="auto" w:fill="D9D9D9" w:themeFill="background1" w:themeFillShade="D9"/>
            <w:vAlign w:val="center"/>
          </w:tcPr>
          <w:p w14:paraId="23D54BC6" w14:textId="77777777" w:rsidR="00686DE4" w:rsidRPr="007F1095" w:rsidRDefault="00686DE4" w:rsidP="00E30275">
            <w:pPr>
              <w:spacing w:after="0" w:line="240" w:lineRule="auto"/>
              <w:rPr>
                <w:rFonts w:ascii="Times New Roman" w:hAnsi="Times New Roman" w:cs="Times New Roman"/>
                <w:i/>
                <w:color w:val="000000"/>
                <w:sz w:val="20"/>
                <w:szCs w:val="20"/>
              </w:rPr>
            </w:pPr>
            <w:r w:rsidRPr="007F1095">
              <w:rPr>
                <w:rFonts w:ascii="Times New Roman" w:hAnsi="Times New Roman" w:cs="Times New Roman"/>
                <w:i/>
                <w:color w:val="000000"/>
                <w:sz w:val="20"/>
                <w:szCs w:val="20"/>
              </w:rPr>
              <w:t>Nervous system Disorders</w:t>
            </w:r>
          </w:p>
        </w:tc>
        <w:tc>
          <w:tcPr>
            <w:tcW w:w="880" w:type="pct"/>
            <w:tcBorders>
              <w:top w:val="single" w:sz="4" w:space="0" w:color="auto"/>
              <w:left w:val="single" w:sz="4" w:space="0" w:color="auto"/>
              <w:bottom w:val="single" w:sz="4" w:space="0" w:color="auto"/>
              <w:right w:val="single" w:sz="4" w:space="0" w:color="auto"/>
            </w:tcBorders>
            <w:shd w:val="pct20" w:color="auto" w:fill="D9D9D9" w:themeFill="background1" w:themeFillShade="D9"/>
            <w:vAlign w:val="center"/>
          </w:tcPr>
          <w:p w14:paraId="48C8A5E6"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35</w:t>
            </w:r>
          </w:p>
        </w:tc>
        <w:tc>
          <w:tcPr>
            <w:tcW w:w="740" w:type="pct"/>
            <w:tcBorders>
              <w:top w:val="single" w:sz="4" w:space="0" w:color="auto"/>
              <w:left w:val="single" w:sz="4" w:space="0" w:color="auto"/>
              <w:bottom w:val="single" w:sz="4" w:space="0" w:color="auto"/>
              <w:right w:val="single" w:sz="4" w:space="0" w:color="auto"/>
            </w:tcBorders>
            <w:shd w:val="pct20" w:color="auto" w:fill="D9D9D9" w:themeFill="background1" w:themeFillShade="D9"/>
            <w:vAlign w:val="center"/>
          </w:tcPr>
          <w:p w14:paraId="54914085"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34</w:t>
            </w:r>
          </w:p>
        </w:tc>
        <w:tc>
          <w:tcPr>
            <w:tcW w:w="880" w:type="pct"/>
            <w:tcBorders>
              <w:top w:val="single" w:sz="4" w:space="0" w:color="auto"/>
              <w:left w:val="single" w:sz="4" w:space="0" w:color="auto"/>
              <w:bottom w:val="single" w:sz="4" w:space="0" w:color="auto"/>
              <w:right w:val="single" w:sz="4" w:space="0" w:color="auto"/>
            </w:tcBorders>
            <w:shd w:val="pct20" w:color="auto" w:fill="D9D9D9" w:themeFill="background1" w:themeFillShade="D9"/>
            <w:vAlign w:val="center"/>
          </w:tcPr>
          <w:p w14:paraId="63651198"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47</w:t>
            </w:r>
          </w:p>
        </w:tc>
      </w:tr>
      <w:tr w:rsidR="00686DE4" w:rsidRPr="004828CB" w14:paraId="2852C77C" w14:textId="77777777" w:rsidTr="007F1095">
        <w:trPr>
          <w:trHeight w:val="270"/>
        </w:trPr>
        <w:tc>
          <w:tcPr>
            <w:tcW w:w="2501" w:type="pct"/>
            <w:tcBorders>
              <w:top w:val="single" w:sz="4" w:space="0" w:color="auto"/>
            </w:tcBorders>
            <w:shd w:val="clear" w:color="auto" w:fill="auto"/>
            <w:vAlign w:val="center"/>
            <w:hideMark/>
          </w:tcPr>
          <w:p w14:paraId="1BAD9A82"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color w:val="000000"/>
                <w:sz w:val="20"/>
                <w:szCs w:val="20"/>
              </w:rPr>
              <w:t>Headache</w:t>
            </w:r>
            <w:r w:rsidRPr="007F1095">
              <w:rPr>
                <w:rFonts w:ascii="Times New Roman" w:hAnsi="Times New Roman" w:cs="Times New Roman"/>
                <w:sz w:val="20"/>
                <w:szCs w:val="20"/>
                <w:vertAlign w:val="superscript"/>
              </w:rPr>
              <w:t>4</w:t>
            </w:r>
          </w:p>
        </w:tc>
        <w:tc>
          <w:tcPr>
            <w:tcW w:w="880" w:type="pct"/>
            <w:tcBorders>
              <w:top w:val="single" w:sz="4" w:space="0" w:color="auto"/>
            </w:tcBorders>
            <w:vAlign w:val="center"/>
          </w:tcPr>
          <w:p w14:paraId="6E0D1DED"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32</w:t>
            </w:r>
          </w:p>
        </w:tc>
        <w:tc>
          <w:tcPr>
            <w:tcW w:w="740" w:type="pct"/>
            <w:tcBorders>
              <w:top w:val="single" w:sz="4" w:space="0" w:color="auto"/>
            </w:tcBorders>
            <w:vAlign w:val="center"/>
          </w:tcPr>
          <w:p w14:paraId="08420FDA"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32</w:t>
            </w:r>
          </w:p>
        </w:tc>
        <w:tc>
          <w:tcPr>
            <w:tcW w:w="880" w:type="pct"/>
            <w:tcBorders>
              <w:top w:val="single" w:sz="4" w:space="0" w:color="auto"/>
            </w:tcBorders>
            <w:vAlign w:val="center"/>
          </w:tcPr>
          <w:p w14:paraId="6966D052"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44</w:t>
            </w:r>
          </w:p>
        </w:tc>
      </w:tr>
      <w:tr w:rsidR="00686DE4" w:rsidRPr="004828CB" w14:paraId="581FBF43" w14:textId="77777777" w:rsidTr="007F1095">
        <w:trPr>
          <w:trHeight w:val="300"/>
        </w:trPr>
        <w:tc>
          <w:tcPr>
            <w:tcW w:w="2501" w:type="pct"/>
            <w:tcBorders>
              <w:bottom w:val="single" w:sz="4" w:space="0" w:color="auto"/>
            </w:tcBorders>
            <w:shd w:val="clear" w:color="auto" w:fill="auto"/>
            <w:noWrap/>
            <w:vAlign w:val="center"/>
            <w:hideMark/>
          </w:tcPr>
          <w:p w14:paraId="0ABBB6E4"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color w:val="000000"/>
                <w:sz w:val="20"/>
                <w:szCs w:val="20"/>
              </w:rPr>
              <w:t>Dizziness</w:t>
            </w:r>
            <w:r w:rsidRPr="007F1095">
              <w:rPr>
                <w:rFonts w:ascii="Times New Roman" w:hAnsi="Times New Roman" w:cs="Times New Roman"/>
                <w:color w:val="000000"/>
                <w:sz w:val="20"/>
                <w:szCs w:val="20"/>
                <w:vertAlign w:val="superscript"/>
              </w:rPr>
              <w:t>5</w:t>
            </w:r>
          </w:p>
        </w:tc>
        <w:tc>
          <w:tcPr>
            <w:tcW w:w="880" w:type="pct"/>
            <w:tcBorders>
              <w:bottom w:val="single" w:sz="4" w:space="0" w:color="auto"/>
            </w:tcBorders>
            <w:vAlign w:val="center"/>
          </w:tcPr>
          <w:p w14:paraId="5E64104F"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5</w:t>
            </w:r>
          </w:p>
        </w:tc>
        <w:tc>
          <w:tcPr>
            <w:tcW w:w="740" w:type="pct"/>
            <w:tcBorders>
              <w:bottom w:val="single" w:sz="4" w:space="0" w:color="auto"/>
            </w:tcBorders>
            <w:vAlign w:val="center"/>
          </w:tcPr>
          <w:p w14:paraId="3FD28B7A"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w:t>
            </w:r>
          </w:p>
        </w:tc>
        <w:tc>
          <w:tcPr>
            <w:tcW w:w="880" w:type="pct"/>
            <w:tcBorders>
              <w:bottom w:val="single" w:sz="4" w:space="0" w:color="auto"/>
            </w:tcBorders>
            <w:vAlign w:val="center"/>
          </w:tcPr>
          <w:p w14:paraId="0B3DACED"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10</w:t>
            </w:r>
          </w:p>
        </w:tc>
      </w:tr>
      <w:tr w:rsidR="00686DE4" w:rsidRPr="004828CB" w14:paraId="39CFED80" w14:textId="77777777" w:rsidTr="007F1095">
        <w:trPr>
          <w:trHeight w:val="270"/>
        </w:trPr>
        <w:tc>
          <w:tcPr>
            <w:tcW w:w="2501" w:type="pct"/>
            <w:shd w:val="pct20" w:color="auto" w:fill="D9D9D9" w:themeFill="background1" w:themeFillShade="D9"/>
            <w:vAlign w:val="center"/>
          </w:tcPr>
          <w:p w14:paraId="54F94BE6" w14:textId="77777777" w:rsidR="00686DE4" w:rsidRPr="007F1095" w:rsidRDefault="00686DE4" w:rsidP="00E30275">
            <w:pPr>
              <w:spacing w:after="0" w:line="240" w:lineRule="auto"/>
              <w:rPr>
                <w:rFonts w:ascii="Times New Roman" w:hAnsi="Times New Roman" w:cs="Times New Roman"/>
                <w:i/>
                <w:color w:val="000000"/>
                <w:sz w:val="20"/>
                <w:szCs w:val="20"/>
              </w:rPr>
            </w:pPr>
            <w:r w:rsidRPr="007F1095">
              <w:rPr>
                <w:rFonts w:ascii="Times New Roman" w:hAnsi="Times New Roman" w:cs="Times New Roman"/>
                <w:i/>
                <w:color w:val="000000"/>
                <w:sz w:val="20"/>
                <w:szCs w:val="20"/>
              </w:rPr>
              <w:t>Musculoskeletal and connective tissue disorders</w:t>
            </w:r>
          </w:p>
        </w:tc>
        <w:tc>
          <w:tcPr>
            <w:tcW w:w="880" w:type="pct"/>
            <w:shd w:val="pct20" w:color="auto" w:fill="D9D9D9" w:themeFill="background1" w:themeFillShade="D9"/>
            <w:vAlign w:val="center"/>
          </w:tcPr>
          <w:p w14:paraId="7AE1993B"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27</w:t>
            </w:r>
          </w:p>
        </w:tc>
        <w:tc>
          <w:tcPr>
            <w:tcW w:w="740" w:type="pct"/>
            <w:shd w:val="pct20" w:color="auto" w:fill="D9D9D9" w:themeFill="background1" w:themeFillShade="D9"/>
            <w:vAlign w:val="center"/>
          </w:tcPr>
          <w:p w14:paraId="3BC0751A"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26</w:t>
            </w:r>
          </w:p>
        </w:tc>
        <w:tc>
          <w:tcPr>
            <w:tcW w:w="880" w:type="pct"/>
            <w:shd w:val="pct20" w:color="auto" w:fill="D9D9D9" w:themeFill="background1" w:themeFillShade="D9"/>
            <w:vAlign w:val="center"/>
          </w:tcPr>
          <w:p w14:paraId="61594C45"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37</w:t>
            </w:r>
          </w:p>
        </w:tc>
      </w:tr>
      <w:tr w:rsidR="00686DE4" w:rsidRPr="004828CB" w14:paraId="30AD97F6" w14:textId="77777777" w:rsidTr="007F1095">
        <w:trPr>
          <w:trHeight w:val="300"/>
        </w:trPr>
        <w:tc>
          <w:tcPr>
            <w:tcW w:w="2501" w:type="pct"/>
            <w:tcBorders>
              <w:bottom w:val="single" w:sz="4" w:space="0" w:color="auto"/>
            </w:tcBorders>
            <w:shd w:val="clear" w:color="auto" w:fill="auto"/>
            <w:vAlign w:val="center"/>
            <w:hideMark/>
          </w:tcPr>
          <w:p w14:paraId="78D719B1"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color w:val="000000"/>
                <w:sz w:val="20"/>
                <w:szCs w:val="20"/>
              </w:rPr>
              <w:t>Back pain</w:t>
            </w:r>
          </w:p>
        </w:tc>
        <w:tc>
          <w:tcPr>
            <w:tcW w:w="880" w:type="pct"/>
            <w:tcBorders>
              <w:bottom w:val="single" w:sz="4" w:space="0" w:color="auto"/>
            </w:tcBorders>
            <w:vAlign w:val="center"/>
          </w:tcPr>
          <w:p w14:paraId="6F01A577"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14</w:t>
            </w:r>
          </w:p>
        </w:tc>
        <w:tc>
          <w:tcPr>
            <w:tcW w:w="740" w:type="pct"/>
            <w:tcBorders>
              <w:bottom w:val="single" w:sz="4" w:space="0" w:color="auto"/>
            </w:tcBorders>
            <w:vAlign w:val="center"/>
          </w:tcPr>
          <w:p w14:paraId="2D35C456"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9</w:t>
            </w:r>
          </w:p>
        </w:tc>
        <w:tc>
          <w:tcPr>
            <w:tcW w:w="880" w:type="pct"/>
            <w:tcBorders>
              <w:bottom w:val="single" w:sz="4" w:space="0" w:color="auto"/>
            </w:tcBorders>
            <w:vAlign w:val="center"/>
          </w:tcPr>
          <w:p w14:paraId="02B9E5B2"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11</w:t>
            </w:r>
          </w:p>
        </w:tc>
      </w:tr>
      <w:tr w:rsidR="00686DE4" w:rsidRPr="004828CB" w14:paraId="5FF7BA11" w14:textId="77777777" w:rsidTr="007F1095">
        <w:trPr>
          <w:trHeight w:val="300"/>
        </w:trPr>
        <w:tc>
          <w:tcPr>
            <w:tcW w:w="2501" w:type="pct"/>
            <w:shd w:val="pct20" w:color="auto" w:fill="D9D9D9" w:themeFill="background1" w:themeFillShade="D9"/>
            <w:vAlign w:val="center"/>
          </w:tcPr>
          <w:p w14:paraId="0EAB77FD" w14:textId="77777777" w:rsidR="00686DE4" w:rsidRPr="007F1095" w:rsidRDefault="00686DE4" w:rsidP="00E30275">
            <w:pPr>
              <w:spacing w:after="0" w:line="240" w:lineRule="auto"/>
              <w:rPr>
                <w:rFonts w:ascii="Times New Roman" w:hAnsi="Times New Roman" w:cs="Times New Roman"/>
                <w:i/>
                <w:color w:val="000000"/>
                <w:sz w:val="20"/>
                <w:szCs w:val="20"/>
              </w:rPr>
            </w:pPr>
            <w:r w:rsidRPr="007F1095">
              <w:rPr>
                <w:rFonts w:ascii="Times New Roman" w:hAnsi="Times New Roman" w:cs="Times New Roman"/>
                <w:i/>
                <w:color w:val="000000"/>
                <w:sz w:val="20"/>
                <w:szCs w:val="20"/>
              </w:rPr>
              <w:t>Gastrointestinal disorders</w:t>
            </w:r>
          </w:p>
        </w:tc>
        <w:tc>
          <w:tcPr>
            <w:tcW w:w="880" w:type="pct"/>
            <w:shd w:val="pct20" w:color="auto" w:fill="D9D9D9" w:themeFill="background1" w:themeFillShade="D9"/>
            <w:vAlign w:val="center"/>
          </w:tcPr>
          <w:p w14:paraId="6326D131" w14:textId="77777777" w:rsidR="00686DE4" w:rsidRPr="007F1095" w:rsidRDefault="00686DE4" w:rsidP="00E30275">
            <w:pPr>
              <w:spacing w:after="0" w:line="240" w:lineRule="auto"/>
              <w:jc w:val="center"/>
              <w:rPr>
                <w:rFonts w:ascii="Times New Roman" w:hAnsi="Times New Roman" w:cs="Times New Roman"/>
                <w:sz w:val="20"/>
                <w:szCs w:val="20"/>
              </w:rPr>
            </w:pPr>
            <w:r w:rsidRPr="007F1095">
              <w:rPr>
                <w:rFonts w:ascii="Times New Roman" w:hAnsi="Times New Roman" w:cs="Times New Roman"/>
                <w:sz w:val="20"/>
                <w:szCs w:val="20"/>
              </w:rPr>
              <w:t>31</w:t>
            </w:r>
          </w:p>
        </w:tc>
        <w:tc>
          <w:tcPr>
            <w:tcW w:w="740" w:type="pct"/>
            <w:shd w:val="pct20" w:color="auto" w:fill="D9D9D9" w:themeFill="background1" w:themeFillShade="D9"/>
            <w:vAlign w:val="center"/>
          </w:tcPr>
          <w:p w14:paraId="63342C0D" w14:textId="77777777" w:rsidR="00686DE4" w:rsidRPr="007F1095" w:rsidRDefault="00686DE4" w:rsidP="00E30275">
            <w:pPr>
              <w:spacing w:after="0" w:line="240" w:lineRule="auto"/>
              <w:jc w:val="center"/>
              <w:rPr>
                <w:rFonts w:ascii="Times New Roman" w:hAnsi="Times New Roman" w:cs="Times New Roman"/>
                <w:sz w:val="20"/>
                <w:szCs w:val="20"/>
              </w:rPr>
            </w:pPr>
            <w:r w:rsidRPr="007F1095">
              <w:rPr>
                <w:rFonts w:ascii="Times New Roman" w:hAnsi="Times New Roman" w:cs="Times New Roman"/>
                <w:sz w:val="20"/>
                <w:szCs w:val="20"/>
              </w:rPr>
              <w:t>33</w:t>
            </w:r>
          </w:p>
        </w:tc>
        <w:tc>
          <w:tcPr>
            <w:tcW w:w="880" w:type="pct"/>
            <w:shd w:val="pct20" w:color="auto" w:fill="D9D9D9" w:themeFill="background1" w:themeFillShade="D9"/>
            <w:vAlign w:val="center"/>
          </w:tcPr>
          <w:p w14:paraId="638AD419" w14:textId="77777777" w:rsidR="00686DE4" w:rsidRPr="007F1095" w:rsidRDefault="00686DE4" w:rsidP="00E30275">
            <w:pPr>
              <w:spacing w:after="0" w:line="240" w:lineRule="auto"/>
              <w:jc w:val="center"/>
              <w:rPr>
                <w:rFonts w:ascii="Times New Roman" w:hAnsi="Times New Roman" w:cs="Times New Roman"/>
                <w:sz w:val="20"/>
                <w:szCs w:val="20"/>
              </w:rPr>
            </w:pPr>
            <w:r w:rsidRPr="007F1095">
              <w:rPr>
                <w:rFonts w:ascii="Times New Roman" w:hAnsi="Times New Roman" w:cs="Times New Roman"/>
                <w:sz w:val="20"/>
                <w:szCs w:val="20"/>
              </w:rPr>
              <w:t>46</w:t>
            </w:r>
          </w:p>
        </w:tc>
      </w:tr>
      <w:tr w:rsidR="00686DE4" w:rsidRPr="004828CB" w14:paraId="24A13619" w14:textId="77777777" w:rsidTr="007F1095">
        <w:trPr>
          <w:trHeight w:val="242"/>
        </w:trPr>
        <w:tc>
          <w:tcPr>
            <w:tcW w:w="2501" w:type="pct"/>
            <w:shd w:val="clear" w:color="auto" w:fill="auto"/>
            <w:vAlign w:val="center"/>
            <w:hideMark/>
          </w:tcPr>
          <w:p w14:paraId="3DAA0919"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color w:val="000000"/>
                <w:sz w:val="20"/>
                <w:szCs w:val="20"/>
              </w:rPr>
              <w:t>Diarrh</w:t>
            </w:r>
            <w:r w:rsidR="002636E7">
              <w:rPr>
                <w:rFonts w:ascii="Times New Roman" w:hAnsi="Times New Roman" w:cs="Times New Roman"/>
                <w:color w:val="000000"/>
                <w:sz w:val="20"/>
                <w:szCs w:val="20"/>
              </w:rPr>
              <w:t>o</w:t>
            </w:r>
            <w:r w:rsidRPr="007F1095">
              <w:rPr>
                <w:rFonts w:ascii="Times New Roman" w:hAnsi="Times New Roman" w:cs="Times New Roman"/>
                <w:color w:val="000000"/>
                <w:sz w:val="20"/>
                <w:szCs w:val="20"/>
              </w:rPr>
              <w:t>ea</w:t>
            </w:r>
          </w:p>
        </w:tc>
        <w:tc>
          <w:tcPr>
            <w:tcW w:w="880" w:type="pct"/>
            <w:vAlign w:val="center"/>
          </w:tcPr>
          <w:p w14:paraId="3F2BE5A4"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5</w:t>
            </w:r>
          </w:p>
        </w:tc>
        <w:tc>
          <w:tcPr>
            <w:tcW w:w="740" w:type="pct"/>
            <w:vAlign w:val="center"/>
          </w:tcPr>
          <w:p w14:paraId="12158B17"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w:t>
            </w:r>
          </w:p>
        </w:tc>
        <w:tc>
          <w:tcPr>
            <w:tcW w:w="880" w:type="pct"/>
            <w:vAlign w:val="center"/>
          </w:tcPr>
          <w:p w14:paraId="5F85A1E8"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r>
      <w:tr w:rsidR="00686DE4" w:rsidRPr="004828CB" w14:paraId="344CEB06" w14:textId="77777777" w:rsidTr="007F1095">
        <w:trPr>
          <w:trHeight w:val="300"/>
        </w:trPr>
        <w:tc>
          <w:tcPr>
            <w:tcW w:w="2501" w:type="pct"/>
            <w:shd w:val="clear" w:color="auto" w:fill="auto"/>
            <w:vAlign w:val="center"/>
            <w:hideMark/>
          </w:tcPr>
          <w:p w14:paraId="57A51760"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color w:val="000000"/>
                <w:sz w:val="20"/>
                <w:szCs w:val="20"/>
              </w:rPr>
              <w:t>Nausea</w:t>
            </w:r>
          </w:p>
        </w:tc>
        <w:tc>
          <w:tcPr>
            <w:tcW w:w="880" w:type="pct"/>
            <w:vAlign w:val="center"/>
          </w:tcPr>
          <w:p w14:paraId="737EA3D9"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5</w:t>
            </w:r>
          </w:p>
        </w:tc>
        <w:tc>
          <w:tcPr>
            <w:tcW w:w="740" w:type="pct"/>
            <w:vAlign w:val="center"/>
          </w:tcPr>
          <w:p w14:paraId="5C60C433"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w:t>
            </w:r>
          </w:p>
        </w:tc>
        <w:tc>
          <w:tcPr>
            <w:tcW w:w="880" w:type="pct"/>
            <w:vAlign w:val="center"/>
          </w:tcPr>
          <w:p w14:paraId="0753C8D9"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w:t>
            </w:r>
          </w:p>
        </w:tc>
      </w:tr>
      <w:tr w:rsidR="00686DE4" w:rsidRPr="004828CB" w14:paraId="331301C3" w14:textId="77777777" w:rsidTr="007F1095">
        <w:trPr>
          <w:trHeight w:val="300"/>
        </w:trPr>
        <w:tc>
          <w:tcPr>
            <w:tcW w:w="2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115E2"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color w:val="000000"/>
                <w:sz w:val="20"/>
                <w:szCs w:val="20"/>
              </w:rPr>
              <w:t>Vomiting</w:t>
            </w:r>
          </w:p>
        </w:tc>
        <w:tc>
          <w:tcPr>
            <w:tcW w:w="880" w:type="pct"/>
            <w:tcBorders>
              <w:top w:val="single" w:sz="4" w:space="0" w:color="auto"/>
              <w:left w:val="single" w:sz="4" w:space="0" w:color="auto"/>
              <w:bottom w:val="single" w:sz="4" w:space="0" w:color="auto"/>
              <w:right w:val="single" w:sz="4" w:space="0" w:color="auto"/>
            </w:tcBorders>
            <w:vAlign w:val="center"/>
          </w:tcPr>
          <w:p w14:paraId="27112445"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w:t>
            </w:r>
          </w:p>
        </w:tc>
        <w:tc>
          <w:tcPr>
            <w:tcW w:w="740" w:type="pct"/>
            <w:tcBorders>
              <w:top w:val="single" w:sz="4" w:space="0" w:color="auto"/>
              <w:left w:val="single" w:sz="4" w:space="0" w:color="auto"/>
              <w:bottom w:val="single" w:sz="4" w:space="0" w:color="auto"/>
              <w:right w:val="single" w:sz="4" w:space="0" w:color="auto"/>
            </w:tcBorders>
            <w:vAlign w:val="center"/>
          </w:tcPr>
          <w:p w14:paraId="57A92223"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w:t>
            </w:r>
          </w:p>
        </w:tc>
        <w:tc>
          <w:tcPr>
            <w:tcW w:w="880" w:type="pct"/>
            <w:tcBorders>
              <w:top w:val="single" w:sz="4" w:space="0" w:color="auto"/>
              <w:left w:val="single" w:sz="4" w:space="0" w:color="auto"/>
              <w:bottom w:val="single" w:sz="4" w:space="0" w:color="auto"/>
              <w:right w:val="single" w:sz="4" w:space="0" w:color="auto"/>
            </w:tcBorders>
            <w:vAlign w:val="center"/>
          </w:tcPr>
          <w:p w14:paraId="0E8F85F7"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r>
      <w:tr w:rsidR="00686DE4" w:rsidRPr="004828CB" w14:paraId="44F36A02" w14:textId="77777777" w:rsidTr="007F1095">
        <w:trPr>
          <w:trHeight w:val="300"/>
        </w:trPr>
        <w:tc>
          <w:tcPr>
            <w:tcW w:w="2501" w:type="pct"/>
            <w:shd w:val="pct20" w:color="auto" w:fill="D9D9D9" w:themeFill="background1" w:themeFillShade="D9"/>
            <w:noWrap/>
            <w:vAlign w:val="center"/>
          </w:tcPr>
          <w:p w14:paraId="7B37760B" w14:textId="77777777" w:rsidR="00686DE4" w:rsidRPr="007F1095" w:rsidRDefault="00686DE4" w:rsidP="00E30275">
            <w:pPr>
              <w:spacing w:after="0" w:line="240" w:lineRule="auto"/>
              <w:rPr>
                <w:rFonts w:ascii="Times New Roman" w:hAnsi="Times New Roman" w:cs="Times New Roman"/>
                <w:i/>
                <w:color w:val="000000"/>
                <w:sz w:val="20"/>
                <w:szCs w:val="20"/>
              </w:rPr>
            </w:pPr>
            <w:r w:rsidRPr="007F1095">
              <w:rPr>
                <w:rFonts w:ascii="Times New Roman" w:hAnsi="Times New Roman" w:cs="Times New Roman"/>
                <w:i/>
                <w:color w:val="000000"/>
                <w:sz w:val="20"/>
                <w:szCs w:val="20"/>
              </w:rPr>
              <w:t>Investigations</w:t>
            </w:r>
          </w:p>
        </w:tc>
        <w:tc>
          <w:tcPr>
            <w:tcW w:w="880" w:type="pct"/>
            <w:shd w:val="pct20" w:color="auto" w:fill="D9D9D9" w:themeFill="background1" w:themeFillShade="D9"/>
            <w:vAlign w:val="center"/>
          </w:tcPr>
          <w:p w14:paraId="19B88CE5"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8</w:t>
            </w:r>
          </w:p>
        </w:tc>
        <w:tc>
          <w:tcPr>
            <w:tcW w:w="740" w:type="pct"/>
            <w:shd w:val="pct20" w:color="auto" w:fill="D9D9D9" w:themeFill="background1" w:themeFillShade="D9"/>
            <w:vAlign w:val="center"/>
          </w:tcPr>
          <w:p w14:paraId="5801DB45"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7</w:t>
            </w:r>
          </w:p>
        </w:tc>
        <w:tc>
          <w:tcPr>
            <w:tcW w:w="880" w:type="pct"/>
            <w:shd w:val="pct20" w:color="auto" w:fill="D9D9D9" w:themeFill="background1" w:themeFillShade="D9"/>
            <w:vAlign w:val="center"/>
          </w:tcPr>
          <w:p w14:paraId="5A45DB1A"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11</w:t>
            </w:r>
          </w:p>
        </w:tc>
      </w:tr>
      <w:tr w:rsidR="00686DE4" w:rsidRPr="004828CB" w14:paraId="4283BE0B" w14:textId="77777777" w:rsidTr="007F1095">
        <w:trPr>
          <w:trHeight w:val="300"/>
        </w:trPr>
        <w:tc>
          <w:tcPr>
            <w:tcW w:w="2501" w:type="pct"/>
            <w:tcBorders>
              <w:bottom w:val="single" w:sz="4" w:space="0" w:color="auto"/>
            </w:tcBorders>
            <w:shd w:val="clear" w:color="auto" w:fill="auto"/>
            <w:noWrap/>
            <w:vAlign w:val="center"/>
            <w:hideMark/>
          </w:tcPr>
          <w:p w14:paraId="4936A857"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color w:val="000000"/>
                <w:sz w:val="20"/>
                <w:szCs w:val="20"/>
              </w:rPr>
              <w:t>ALT increased/abnormal</w:t>
            </w:r>
          </w:p>
        </w:tc>
        <w:tc>
          <w:tcPr>
            <w:tcW w:w="880" w:type="pct"/>
            <w:tcBorders>
              <w:bottom w:val="single" w:sz="4" w:space="0" w:color="auto"/>
            </w:tcBorders>
            <w:vAlign w:val="center"/>
          </w:tcPr>
          <w:p w14:paraId="50E4F4BC"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4</w:t>
            </w:r>
          </w:p>
        </w:tc>
        <w:tc>
          <w:tcPr>
            <w:tcW w:w="740" w:type="pct"/>
            <w:tcBorders>
              <w:bottom w:val="single" w:sz="4" w:space="0" w:color="auto"/>
            </w:tcBorders>
            <w:vAlign w:val="center"/>
          </w:tcPr>
          <w:p w14:paraId="7A8DB60C"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w:t>
            </w:r>
          </w:p>
        </w:tc>
        <w:tc>
          <w:tcPr>
            <w:tcW w:w="880" w:type="pct"/>
            <w:tcBorders>
              <w:bottom w:val="single" w:sz="4" w:space="0" w:color="auto"/>
            </w:tcBorders>
            <w:vAlign w:val="center"/>
          </w:tcPr>
          <w:p w14:paraId="298DDDD3"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3</w:t>
            </w:r>
          </w:p>
        </w:tc>
      </w:tr>
      <w:tr w:rsidR="00686DE4" w:rsidRPr="004828CB" w14:paraId="32B298F5" w14:textId="77777777" w:rsidTr="007F1095">
        <w:trPr>
          <w:trHeight w:val="300"/>
        </w:trPr>
        <w:tc>
          <w:tcPr>
            <w:tcW w:w="2501" w:type="pct"/>
            <w:shd w:val="pct20" w:color="auto" w:fill="D9D9D9" w:themeFill="background1" w:themeFillShade="D9"/>
            <w:noWrap/>
            <w:vAlign w:val="center"/>
          </w:tcPr>
          <w:p w14:paraId="531E9665" w14:textId="77777777" w:rsidR="00686DE4" w:rsidRPr="007F1095" w:rsidRDefault="00686DE4" w:rsidP="00E30275">
            <w:pPr>
              <w:spacing w:after="0" w:line="240" w:lineRule="auto"/>
              <w:rPr>
                <w:rFonts w:ascii="Times New Roman" w:hAnsi="Times New Roman" w:cs="Times New Roman"/>
                <w:i/>
                <w:color w:val="000000"/>
                <w:sz w:val="20"/>
                <w:szCs w:val="20"/>
              </w:rPr>
            </w:pPr>
            <w:r w:rsidRPr="007F1095">
              <w:rPr>
                <w:rFonts w:ascii="Times New Roman" w:hAnsi="Times New Roman" w:cs="Times New Roman"/>
                <w:i/>
                <w:color w:val="000000"/>
                <w:sz w:val="20"/>
                <w:szCs w:val="20"/>
              </w:rPr>
              <w:t>Psychiatric disorders</w:t>
            </w:r>
          </w:p>
        </w:tc>
        <w:tc>
          <w:tcPr>
            <w:tcW w:w="880" w:type="pct"/>
            <w:shd w:val="pct20" w:color="auto" w:fill="D9D9D9" w:themeFill="background1" w:themeFillShade="D9"/>
            <w:vAlign w:val="center"/>
          </w:tcPr>
          <w:p w14:paraId="577C77D5"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w:t>
            </w:r>
          </w:p>
        </w:tc>
        <w:tc>
          <w:tcPr>
            <w:tcW w:w="740" w:type="pct"/>
            <w:shd w:val="pct20" w:color="auto" w:fill="D9D9D9" w:themeFill="background1" w:themeFillShade="D9"/>
            <w:vAlign w:val="center"/>
          </w:tcPr>
          <w:p w14:paraId="5D0E09BB"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c>
          <w:tcPr>
            <w:tcW w:w="880" w:type="pct"/>
            <w:shd w:val="pct20" w:color="auto" w:fill="D9D9D9" w:themeFill="background1" w:themeFillShade="D9"/>
            <w:vAlign w:val="center"/>
          </w:tcPr>
          <w:p w14:paraId="7E984596"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2</w:t>
            </w:r>
          </w:p>
        </w:tc>
      </w:tr>
      <w:tr w:rsidR="00686DE4" w:rsidRPr="004828CB" w14:paraId="1EEE433C" w14:textId="77777777" w:rsidTr="007F1095">
        <w:trPr>
          <w:trHeight w:val="300"/>
        </w:trPr>
        <w:tc>
          <w:tcPr>
            <w:tcW w:w="2501" w:type="pct"/>
            <w:shd w:val="clear" w:color="auto" w:fill="auto"/>
            <w:vAlign w:val="center"/>
            <w:hideMark/>
          </w:tcPr>
          <w:p w14:paraId="08A2C673" w14:textId="77777777" w:rsidR="00686DE4" w:rsidRPr="007F1095" w:rsidRDefault="00686DE4" w:rsidP="00E30275">
            <w:pPr>
              <w:spacing w:after="0" w:line="240" w:lineRule="auto"/>
              <w:rPr>
                <w:rFonts w:ascii="Times New Roman" w:hAnsi="Times New Roman" w:cs="Times New Roman"/>
                <w:color w:val="000000"/>
                <w:sz w:val="20"/>
                <w:szCs w:val="20"/>
              </w:rPr>
            </w:pPr>
            <w:r w:rsidRPr="007F1095">
              <w:rPr>
                <w:rFonts w:ascii="Times New Roman" w:hAnsi="Times New Roman" w:cs="Times New Roman"/>
                <w:sz w:val="20"/>
                <w:szCs w:val="20"/>
              </w:rPr>
              <w:t>Any sleep symptom</w:t>
            </w:r>
            <w:r w:rsidRPr="007F1095">
              <w:rPr>
                <w:rFonts w:ascii="Times New Roman" w:hAnsi="Times New Roman" w:cs="Times New Roman"/>
                <w:sz w:val="20"/>
                <w:szCs w:val="20"/>
                <w:vertAlign w:val="superscript"/>
              </w:rPr>
              <w:t>6</w:t>
            </w:r>
          </w:p>
        </w:tc>
        <w:tc>
          <w:tcPr>
            <w:tcW w:w="880" w:type="pct"/>
            <w:vAlign w:val="center"/>
          </w:tcPr>
          <w:p w14:paraId="67A3DC47"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c>
          <w:tcPr>
            <w:tcW w:w="740" w:type="pct"/>
            <w:vAlign w:val="center"/>
          </w:tcPr>
          <w:p w14:paraId="144679F8"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c>
          <w:tcPr>
            <w:tcW w:w="880" w:type="pct"/>
            <w:vAlign w:val="center"/>
          </w:tcPr>
          <w:p w14:paraId="6EC1E154"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0</w:t>
            </w:r>
          </w:p>
        </w:tc>
      </w:tr>
      <w:tr w:rsidR="00686DE4" w:rsidRPr="004828CB" w14:paraId="7349EE4C" w14:textId="77777777" w:rsidTr="007F1095">
        <w:trPr>
          <w:trHeight w:val="300"/>
        </w:trPr>
        <w:tc>
          <w:tcPr>
            <w:tcW w:w="2501" w:type="pct"/>
            <w:shd w:val="clear" w:color="auto" w:fill="auto"/>
            <w:vAlign w:val="center"/>
          </w:tcPr>
          <w:p w14:paraId="3596280B" w14:textId="77777777" w:rsidR="00686DE4" w:rsidRPr="007F1095" w:rsidRDefault="00686DE4" w:rsidP="00E30275">
            <w:pPr>
              <w:spacing w:after="0" w:line="240" w:lineRule="auto"/>
              <w:rPr>
                <w:rFonts w:ascii="Times New Roman" w:hAnsi="Times New Roman" w:cs="Times New Roman"/>
                <w:sz w:val="20"/>
                <w:szCs w:val="20"/>
              </w:rPr>
            </w:pPr>
            <w:r w:rsidRPr="007F1095">
              <w:rPr>
                <w:rFonts w:ascii="Times New Roman" w:hAnsi="Times New Roman" w:cs="Times New Roman"/>
                <w:sz w:val="20"/>
                <w:szCs w:val="20"/>
              </w:rPr>
              <w:lastRenderedPageBreak/>
              <w:t>Insomnia</w:t>
            </w:r>
          </w:p>
        </w:tc>
        <w:tc>
          <w:tcPr>
            <w:tcW w:w="880" w:type="pct"/>
            <w:vAlign w:val="center"/>
          </w:tcPr>
          <w:p w14:paraId="5C8B0044"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c>
          <w:tcPr>
            <w:tcW w:w="740" w:type="pct"/>
            <w:vAlign w:val="center"/>
          </w:tcPr>
          <w:p w14:paraId="5B961B79"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c>
          <w:tcPr>
            <w:tcW w:w="880" w:type="pct"/>
            <w:vAlign w:val="center"/>
          </w:tcPr>
          <w:p w14:paraId="28A8EAF1"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0</w:t>
            </w:r>
          </w:p>
        </w:tc>
      </w:tr>
      <w:tr w:rsidR="00686DE4" w:rsidRPr="004828CB" w14:paraId="6BB5A2B9" w14:textId="77777777" w:rsidTr="007F1095">
        <w:trPr>
          <w:trHeight w:val="300"/>
        </w:trPr>
        <w:tc>
          <w:tcPr>
            <w:tcW w:w="2501" w:type="pct"/>
            <w:shd w:val="clear" w:color="auto" w:fill="auto"/>
            <w:vAlign w:val="center"/>
          </w:tcPr>
          <w:p w14:paraId="7647D623" w14:textId="77777777" w:rsidR="00686DE4" w:rsidRPr="007F1095" w:rsidRDefault="00686DE4" w:rsidP="00E30275">
            <w:pPr>
              <w:spacing w:after="0" w:line="240" w:lineRule="auto"/>
              <w:rPr>
                <w:rFonts w:ascii="Times New Roman" w:hAnsi="Times New Roman" w:cs="Times New Roman"/>
                <w:sz w:val="20"/>
                <w:szCs w:val="20"/>
              </w:rPr>
            </w:pPr>
            <w:r w:rsidRPr="007F1095">
              <w:rPr>
                <w:rFonts w:ascii="Times New Roman" w:hAnsi="Times New Roman" w:cs="Times New Roman"/>
                <w:sz w:val="20"/>
                <w:szCs w:val="20"/>
              </w:rPr>
              <w:t>Depression/depressed mood</w:t>
            </w:r>
          </w:p>
        </w:tc>
        <w:tc>
          <w:tcPr>
            <w:tcW w:w="880" w:type="pct"/>
            <w:vAlign w:val="center"/>
          </w:tcPr>
          <w:p w14:paraId="3CEEF8B9"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1</w:t>
            </w:r>
          </w:p>
        </w:tc>
        <w:tc>
          <w:tcPr>
            <w:tcW w:w="740" w:type="pct"/>
            <w:vAlign w:val="center"/>
          </w:tcPr>
          <w:p w14:paraId="36C89C5C"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0</w:t>
            </w:r>
          </w:p>
        </w:tc>
        <w:tc>
          <w:tcPr>
            <w:tcW w:w="880" w:type="pct"/>
            <w:vAlign w:val="center"/>
          </w:tcPr>
          <w:p w14:paraId="49235661" w14:textId="77777777" w:rsidR="00686DE4" w:rsidRPr="007F1095" w:rsidRDefault="00686DE4" w:rsidP="00E30275">
            <w:pPr>
              <w:spacing w:after="0" w:line="240" w:lineRule="auto"/>
              <w:jc w:val="center"/>
              <w:rPr>
                <w:rFonts w:ascii="Times New Roman" w:hAnsi="Times New Roman" w:cs="Times New Roman"/>
                <w:color w:val="000000"/>
                <w:sz w:val="20"/>
                <w:szCs w:val="20"/>
              </w:rPr>
            </w:pPr>
            <w:r w:rsidRPr="007F1095">
              <w:rPr>
                <w:rFonts w:ascii="Times New Roman" w:hAnsi="Times New Roman" w:cs="Times New Roman"/>
                <w:color w:val="000000"/>
                <w:sz w:val="20"/>
                <w:szCs w:val="20"/>
              </w:rPr>
              <w:t>0</w:t>
            </w:r>
          </w:p>
        </w:tc>
      </w:tr>
    </w:tbl>
    <w:p w14:paraId="32308B18" w14:textId="77777777" w:rsidR="00686DE4" w:rsidRPr="00F16A76" w:rsidRDefault="00686DE4" w:rsidP="007F1095">
      <w:pPr>
        <w:pStyle w:val="BodyText"/>
        <w:spacing w:before="0"/>
        <w:ind w:left="1440" w:hanging="1440"/>
        <w:rPr>
          <w:sz w:val="20"/>
          <w:szCs w:val="20"/>
        </w:rPr>
      </w:pPr>
      <w:r w:rsidRPr="00F16A76">
        <w:rPr>
          <w:bCs/>
          <w:color w:val="000000"/>
          <w:sz w:val="20"/>
          <w:szCs w:val="20"/>
          <w:vertAlign w:val="superscript"/>
        </w:rPr>
        <w:t>1</w:t>
      </w:r>
      <w:r w:rsidRPr="00F16A76">
        <w:rPr>
          <w:sz w:val="20"/>
          <w:szCs w:val="20"/>
        </w:rPr>
        <w:t xml:space="preserve"> Trials </w:t>
      </w:r>
      <w:r w:rsidR="007F1095">
        <w:rPr>
          <w:sz w:val="20"/>
          <w:szCs w:val="20"/>
        </w:rPr>
        <w:t>045</w:t>
      </w:r>
      <w:r w:rsidRPr="00F16A76">
        <w:rPr>
          <w:sz w:val="20"/>
          <w:szCs w:val="20"/>
        </w:rPr>
        <w:t xml:space="preserve"> and </w:t>
      </w:r>
      <w:r w:rsidR="007F1095">
        <w:rPr>
          <w:sz w:val="20"/>
          <w:szCs w:val="20"/>
        </w:rPr>
        <w:t>030</w:t>
      </w:r>
      <w:r w:rsidRPr="00F16A76">
        <w:rPr>
          <w:sz w:val="20"/>
          <w:szCs w:val="20"/>
        </w:rPr>
        <w:t xml:space="preserve"> included </w:t>
      </w:r>
      <w:proofErr w:type="spellStart"/>
      <w:r w:rsidRPr="00F16A76">
        <w:rPr>
          <w:sz w:val="20"/>
          <w:szCs w:val="20"/>
        </w:rPr>
        <w:t>mefloquine</w:t>
      </w:r>
      <w:proofErr w:type="spellEnd"/>
      <w:r w:rsidRPr="00F16A76">
        <w:rPr>
          <w:sz w:val="20"/>
          <w:szCs w:val="20"/>
        </w:rPr>
        <w:t xml:space="preserve"> arm in addition to placebo</w:t>
      </w:r>
      <w:r w:rsidR="002636E7">
        <w:rPr>
          <w:sz w:val="20"/>
          <w:szCs w:val="20"/>
        </w:rPr>
        <w:t>.</w:t>
      </w:r>
      <w:r w:rsidRPr="00F16A76">
        <w:rPr>
          <w:sz w:val="20"/>
          <w:szCs w:val="20"/>
        </w:rPr>
        <w:t xml:space="preserve"> </w:t>
      </w:r>
    </w:p>
    <w:p w14:paraId="0B54E32D" w14:textId="77777777" w:rsidR="00686DE4" w:rsidRPr="00F16A76" w:rsidRDefault="00686DE4" w:rsidP="007F1095">
      <w:pPr>
        <w:pStyle w:val="BodyText"/>
        <w:spacing w:before="0"/>
        <w:ind w:left="1440" w:hanging="1440"/>
        <w:rPr>
          <w:sz w:val="20"/>
          <w:szCs w:val="20"/>
        </w:rPr>
      </w:pPr>
      <w:r w:rsidRPr="00F16A76">
        <w:rPr>
          <w:sz w:val="20"/>
          <w:szCs w:val="20"/>
          <w:vertAlign w:val="superscript"/>
        </w:rPr>
        <w:t>2</w:t>
      </w:r>
      <w:r w:rsidRPr="00F16A76">
        <w:rPr>
          <w:sz w:val="20"/>
          <w:szCs w:val="20"/>
        </w:rPr>
        <w:t xml:space="preserve"> </w:t>
      </w:r>
      <w:r w:rsidR="00F16A76">
        <w:rPr>
          <w:sz w:val="20"/>
          <w:szCs w:val="20"/>
        </w:rPr>
        <w:t>KODATEF</w:t>
      </w:r>
      <w:r w:rsidR="007F1095">
        <w:rPr>
          <w:sz w:val="20"/>
          <w:szCs w:val="20"/>
        </w:rPr>
        <w:t xml:space="preserve"> </w:t>
      </w:r>
      <w:r w:rsidRPr="00F16A76">
        <w:rPr>
          <w:sz w:val="20"/>
          <w:szCs w:val="20"/>
        </w:rPr>
        <w:t>was administered as 200 mg daily for 3 days, then 200 mg weekly</w:t>
      </w:r>
      <w:r w:rsidR="002636E7">
        <w:rPr>
          <w:sz w:val="20"/>
          <w:szCs w:val="20"/>
        </w:rPr>
        <w:t>.</w:t>
      </w:r>
    </w:p>
    <w:p w14:paraId="529BE573" w14:textId="77777777" w:rsidR="00686DE4" w:rsidRPr="00073F5F" w:rsidRDefault="00686DE4" w:rsidP="007F1095">
      <w:pPr>
        <w:pStyle w:val="BodyText"/>
        <w:spacing w:before="0"/>
        <w:ind w:hanging="111"/>
        <w:rPr>
          <w:sz w:val="20"/>
          <w:szCs w:val="20"/>
        </w:rPr>
      </w:pPr>
      <w:r w:rsidRPr="00F16A76">
        <w:rPr>
          <w:sz w:val="20"/>
          <w:szCs w:val="20"/>
          <w:vertAlign w:val="superscript"/>
        </w:rPr>
        <w:t>3</w:t>
      </w:r>
      <w:r w:rsidRPr="00073F5F">
        <w:rPr>
          <w:sz w:val="20"/>
          <w:szCs w:val="20"/>
        </w:rPr>
        <w:t xml:space="preserve"> </w:t>
      </w:r>
      <w:proofErr w:type="spellStart"/>
      <w:r w:rsidRPr="00073F5F">
        <w:rPr>
          <w:sz w:val="20"/>
          <w:szCs w:val="20"/>
        </w:rPr>
        <w:t>Mefloquine</w:t>
      </w:r>
      <w:proofErr w:type="spellEnd"/>
      <w:r w:rsidRPr="00073F5F">
        <w:rPr>
          <w:sz w:val="20"/>
          <w:szCs w:val="20"/>
        </w:rPr>
        <w:t xml:space="preserve"> was administered as 250 mg daily for 3 days, then 250 mg weekly</w:t>
      </w:r>
      <w:r w:rsidR="002636E7">
        <w:rPr>
          <w:sz w:val="20"/>
          <w:szCs w:val="20"/>
        </w:rPr>
        <w:t>.</w:t>
      </w:r>
    </w:p>
    <w:p w14:paraId="41BE5E25" w14:textId="77777777" w:rsidR="00686DE4" w:rsidRPr="00073F5F" w:rsidRDefault="00686DE4" w:rsidP="007F1095">
      <w:pPr>
        <w:pStyle w:val="BodyText"/>
        <w:spacing w:before="0"/>
        <w:ind w:hanging="111"/>
        <w:rPr>
          <w:sz w:val="20"/>
          <w:szCs w:val="20"/>
        </w:rPr>
      </w:pPr>
      <w:proofErr w:type="gramStart"/>
      <w:r w:rsidRPr="00073F5F">
        <w:rPr>
          <w:sz w:val="20"/>
          <w:szCs w:val="20"/>
          <w:vertAlign w:val="superscript"/>
        </w:rPr>
        <w:t>4</w:t>
      </w:r>
      <w:r w:rsidRPr="00073F5F">
        <w:rPr>
          <w:sz w:val="20"/>
          <w:szCs w:val="20"/>
        </w:rPr>
        <w:t xml:space="preserve"> Includes headache, sinus headache, migraine and tension headache.</w:t>
      </w:r>
      <w:proofErr w:type="gramEnd"/>
    </w:p>
    <w:p w14:paraId="3F2E8476" w14:textId="77777777" w:rsidR="00686DE4" w:rsidRPr="00073F5F" w:rsidRDefault="00686DE4" w:rsidP="007F1095">
      <w:pPr>
        <w:pStyle w:val="BodyText"/>
        <w:spacing w:before="0"/>
        <w:ind w:hanging="111"/>
        <w:rPr>
          <w:sz w:val="20"/>
          <w:szCs w:val="20"/>
        </w:rPr>
      </w:pPr>
      <w:proofErr w:type="gramStart"/>
      <w:r w:rsidRPr="00073F5F">
        <w:rPr>
          <w:sz w:val="20"/>
          <w:szCs w:val="20"/>
          <w:vertAlign w:val="superscript"/>
        </w:rPr>
        <w:t>5</w:t>
      </w:r>
      <w:r w:rsidRPr="00073F5F">
        <w:rPr>
          <w:sz w:val="20"/>
          <w:szCs w:val="20"/>
        </w:rPr>
        <w:t xml:space="preserve"> Includes </w:t>
      </w:r>
      <w:r w:rsidRPr="00073F5F">
        <w:rPr>
          <w:color w:val="000000"/>
          <w:sz w:val="20"/>
          <w:szCs w:val="20"/>
        </w:rPr>
        <w:t>dizziness and dizziness postural</w:t>
      </w:r>
      <w:r w:rsidR="002636E7">
        <w:rPr>
          <w:color w:val="000000"/>
          <w:sz w:val="20"/>
          <w:szCs w:val="20"/>
        </w:rPr>
        <w:t>.</w:t>
      </w:r>
      <w:proofErr w:type="gramEnd"/>
    </w:p>
    <w:p w14:paraId="769C8698" w14:textId="77777777" w:rsidR="00686DE4" w:rsidRPr="00073F5F" w:rsidRDefault="00686DE4" w:rsidP="007F1095">
      <w:pPr>
        <w:pStyle w:val="BodyText"/>
        <w:spacing w:before="0"/>
        <w:ind w:hanging="111"/>
      </w:pPr>
      <w:r w:rsidRPr="00073F5F">
        <w:rPr>
          <w:sz w:val="20"/>
          <w:szCs w:val="20"/>
          <w:vertAlign w:val="superscript"/>
        </w:rPr>
        <w:t xml:space="preserve">6 </w:t>
      </w:r>
      <w:r w:rsidRPr="00073F5F">
        <w:rPr>
          <w:sz w:val="20"/>
          <w:szCs w:val="20"/>
        </w:rPr>
        <w:t>Includes abnormal dreams, insomnia, nightmares, sleep disorder, and somnambulism.</w:t>
      </w:r>
    </w:p>
    <w:p w14:paraId="6DE46C5A" w14:textId="77777777" w:rsidR="00810C87" w:rsidRPr="00073F5F" w:rsidRDefault="00810C87" w:rsidP="00810C87">
      <w:pPr>
        <w:pStyle w:val="BodyText"/>
        <w:tabs>
          <w:tab w:val="center" w:pos="634"/>
        </w:tabs>
        <w:spacing w:before="0"/>
        <w:ind w:hanging="111"/>
        <w:rPr>
          <w:sz w:val="20"/>
          <w:szCs w:val="20"/>
        </w:rPr>
      </w:pPr>
    </w:p>
    <w:p w14:paraId="6F1DB1B4" w14:textId="77777777" w:rsidR="009116B3" w:rsidRPr="002912ED" w:rsidRDefault="009116B3" w:rsidP="002912ED">
      <w:pPr>
        <w:pStyle w:val="BodyText"/>
        <w:tabs>
          <w:tab w:val="left" w:pos="8931"/>
          <w:tab w:val="left" w:pos="9072"/>
        </w:tabs>
        <w:kinsoku w:val="0"/>
        <w:overflowPunct w:val="0"/>
        <w:spacing w:before="0" w:after="200"/>
        <w:ind w:left="0" w:right="299"/>
        <w:outlineLvl w:val="3"/>
        <w:rPr>
          <w:b/>
          <w:sz w:val="22"/>
          <w:szCs w:val="22"/>
          <w:lang w:val="en-US"/>
        </w:rPr>
      </w:pPr>
      <w:r w:rsidRPr="002912ED">
        <w:rPr>
          <w:b/>
          <w:i/>
          <w:sz w:val="22"/>
          <w:szCs w:val="22"/>
          <w:lang w:val="en-US"/>
        </w:rPr>
        <w:t xml:space="preserve">Adverse Events Reported in &lt; 1% of Subjects Receiving KODATEF in </w:t>
      </w:r>
      <w:r w:rsidR="0016416E" w:rsidRPr="002912ED">
        <w:rPr>
          <w:b/>
          <w:i/>
          <w:sz w:val="22"/>
          <w:szCs w:val="22"/>
          <w:lang w:val="en-US"/>
        </w:rPr>
        <w:t>Trials</w:t>
      </w:r>
      <w:r w:rsidRPr="002912ED">
        <w:rPr>
          <w:b/>
          <w:i/>
          <w:sz w:val="22"/>
          <w:szCs w:val="22"/>
          <w:lang w:val="en-US"/>
        </w:rPr>
        <w:t xml:space="preserve"> 030, 033, 043, 045 and 057</w:t>
      </w:r>
    </w:p>
    <w:p w14:paraId="61372DB7" w14:textId="77777777" w:rsidR="002E1806" w:rsidRPr="002912ED" w:rsidRDefault="002E1806" w:rsidP="002912ED">
      <w:pPr>
        <w:rPr>
          <w:rFonts w:ascii="Times New Roman" w:hAnsi="Times New Roman" w:cs="Times New Roman"/>
        </w:rPr>
      </w:pPr>
      <w:r w:rsidRPr="002225DA">
        <w:rPr>
          <w:rFonts w:ascii="Times New Roman" w:hAnsi="Times New Roman" w:cs="Times New Roman"/>
        </w:rPr>
        <w:t xml:space="preserve">The following selected adverse reactions were reported in subjects receiving </w:t>
      </w:r>
      <w:r w:rsidR="00F16A76" w:rsidRPr="002225DA">
        <w:rPr>
          <w:rFonts w:ascii="Times New Roman" w:hAnsi="Times New Roman" w:cs="Times New Roman"/>
        </w:rPr>
        <w:t>KODATEF</w:t>
      </w:r>
      <w:r w:rsidR="00F6546C" w:rsidRPr="0069092D">
        <w:rPr>
          <w:rFonts w:ascii="Times New Roman" w:hAnsi="Times New Roman" w:cs="Times New Roman"/>
        </w:rPr>
        <w:t xml:space="preserve"> </w:t>
      </w:r>
      <w:r w:rsidRPr="0069092D">
        <w:rPr>
          <w:rFonts w:ascii="Times New Roman" w:hAnsi="Times New Roman" w:cs="Times New Roman"/>
        </w:rPr>
        <w:t xml:space="preserve">in </w:t>
      </w:r>
      <w:r w:rsidR="002D0BC5" w:rsidRPr="0069092D">
        <w:rPr>
          <w:rFonts w:ascii="Times New Roman" w:hAnsi="Times New Roman" w:cs="Times New Roman"/>
        </w:rPr>
        <w:t>Trials</w:t>
      </w:r>
      <w:r w:rsidRPr="0069092D">
        <w:rPr>
          <w:rFonts w:ascii="Times New Roman" w:hAnsi="Times New Roman" w:cs="Times New Roman"/>
        </w:rPr>
        <w:t xml:space="preserve"> 030, 033, 043, 045 and 057 at a rate of less than 1%. </w:t>
      </w:r>
    </w:p>
    <w:p w14:paraId="1CE1B1E7"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Blood and lymphatic system disorders</w:t>
      </w:r>
      <w:r w:rsidRPr="002912ED">
        <w:rPr>
          <w:rFonts w:ascii="Times New Roman" w:hAnsi="Times New Roman" w:cs="Times New Roman"/>
        </w:rPr>
        <w:t>: h</w:t>
      </w:r>
      <w:r w:rsidR="00AA05C7" w:rsidRPr="002912ED">
        <w:rPr>
          <w:rFonts w:ascii="Times New Roman" w:hAnsi="Times New Roman" w:cs="Times New Roman"/>
        </w:rPr>
        <w:t>a</w:t>
      </w:r>
      <w:r w:rsidRPr="002912ED">
        <w:rPr>
          <w:rFonts w:ascii="Times New Roman" w:hAnsi="Times New Roman" w:cs="Times New Roman"/>
        </w:rPr>
        <w:t>emolytic an</w:t>
      </w:r>
      <w:r w:rsidR="00AA05C7" w:rsidRPr="002912ED">
        <w:rPr>
          <w:rFonts w:ascii="Times New Roman" w:hAnsi="Times New Roman" w:cs="Times New Roman"/>
        </w:rPr>
        <w:t>a</w:t>
      </w:r>
      <w:r w:rsidRPr="002912ED">
        <w:rPr>
          <w:rFonts w:ascii="Times New Roman" w:hAnsi="Times New Roman" w:cs="Times New Roman"/>
        </w:rPr>
        <w:t>emia, an</w:t>
      </w:r>
      <w:r w:rsidR="00AA05C7" w:rsidRPr="002912ED">
        <w:rPr>
          <w:rFonts w:ascii="Times New Roman" w:hAnsi="Times New Roman" w:cs="Times New Roman"/>
        </w:rPr>
        <w:t>a</w:t>
      </w:r>
      <w:r w:rsidRPr="002912ED">
        <w:rPr>
          <w:rFonts w:ascii="Times New Roman" w:hAnsi="Times New Roman" w:cs="Times New Roman"/>
        </w:rPr>
        <w:t>emia, thrombocytopenia</w:t>
      </w:r>
      <w:r w:rsidR="00B2682A">
        <w:rPr>
          <w:rFonts w:ascii="Times New Roman" w:hAnsi="Times New Roman" w:cs="Times New Roman"/>
        </w:rPr>
        <w:t>.</w:t>
      </w:r>
      <w:r w:rsidRPr="002912ED">
        <w:rPr>
          <w:rFonts w:ascii="Times New Roman" w:hAnsi="Times New Roman" w:cs="Times New Roman"/>
        </w:rPr>
        <w:t xml:space="preserve"> </w:t>
      </w:r>
    </w:p>
    <w:p w14:paraId="1972BE64"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Ear and labyrinth disorders</w:t>
      </w:r>
      <w:r w:rsidRPr="002912ED">
        <w:rPr>
          <w:rFonts w:ascii="Times New Roman" w:hAnsi="Times New Roman" w:cs="Times New Roman"/>
        </w:rPr>
        <w:t xml:space="preserve">: </w:t>
      </w:r>
      <w:proofErr w:type="spellStart"/>
      <w:r w:rsidRPr="002912ED">
        <w:rPr>
          <w:rFonts w:ascii="Times New Roman" w:hAnsi="Times New Roman" w:cs="Times New Roman"/>
        </w:rPr>
        <w:t>hyperacusis</w:t>
      </w:r>
      <w:proofErr w:type="spellEnd"/>
      <w:r w:rsidRPr="002912ED">
        <w:rPr>
          <w:rFonts w:ascii="Times New Roman" w:hAnsi="Times New Roman" w:cs="Times New Roman"/>
        </w:rPr>
        <w:t>, Meniere’s disease</w:t>
      </w:r>
      <w:r w:rsidR="00B2682A">
        <w:rPr>
          <w:rFonts w:ascii="Times New Roman" w:hAnsi="Times New Roman" w:cs="Times New Roman"/>
        </w:rPr>
        <w:t>.</w:t>
      </w:r>
      <w:r w:rsidRPr="002912ED">
        <w:rPr>
          <w:rFonts w:ascii="Times New Roman" w:hAnsi="Times New Roman" w:cs="Times New Roman"/>
        </w:rPr>
        <w:t xml:space="preserve"> </w:t>
      </w:r>
    </w:p>
    <w:p w14:paraId="61FEC324"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Eye disorders</w:t>
      </w:r>
      <w:r w:rsidRPr="002912ED">
        <w:rPr>
          <w:rFonts w:ascii="Times New Roman" w:hAnsi="Times New Roman" w:cs="Times New Roman"/>
        </w:rPr>
        <w:t>: night blindness, photophobia, blurred vision, visual acuity reduced, visual impairment, vitreous floaters</w:t>
      </w:r>
      <w:r w:rsidR="00B2682A">
        <w:rPr>
          <w:rFonts w:ascii="Times New Roman" w:hAnsi="Times New Roman" w:cs="Times New Roman"/>
        </w:rPr>
        <w:t>.</w:t>
      </w:r>
    </w:p>
    <w:p w14:paraId="05911A7E"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Hepatobiliary disorders</w:t>
      </w:r>
      <w:r w:rsidRPr="002912ED">
        <w:rPr>
          <w:rFonts w:ascii="Times New Roman" w:hAnsi="Times New Roman" w:cs="Times New Roman"/>
        </w:rPr>
        <w:t xml:space="preserve">: </w:t>
      </w:r>
      <w:proofErr w:type="spellStart"/>
      <w:r w:rsidRPr="002912ED">
        <w:rPr>
          <w:rFonts w:ascii="Times New Roman" w:hAnsi="Times New Roman" w:cs="Times New Roman"/>
        </w:rPr>
        <w:t>hyperbilirubin</w:t>
      </w:r>
      <w:r w:rsidR="00B2682A">
        <w:rPr>
          <w:rFonts w:ascii="Times New Roman" w:hAnsi="Times New Roman" w:cs="Times New Roman"/>
        </w:rPr>
        <w:t>a</w:t>
      </w:r>
      <w:r w:rsidRPr="002912ED">
        <w:rPr>
          <w:rFonts w:ascii="Times New Roman" w:hAnsi="Times New Roman" w:cs="Times New Roman"/>
        </w:rPr>
        <w:t>emia</w:t>
      </w:r>
      <w:proofErr w:type="spellEnd"/>
      <w:r w:rsidRPr="002912ED">
        <w:rPr>
          <w:rFonts w:ascii="Times New Roman" w:hAnsi="Times New Roman" w:cs="Times New Roman"/>
        </w:rPr>
        <w:t xml:space="preserve">, jaundice </w:t>
      </w:r>
      <w:proofErr w:type="spellStart"/>
      <w:r w:rsidRPr="002912ED">
        <w:rPr>
          <w:rFonts w:ascii="Times New Roman" w:hAnsi="Times New Roman" w:cs="Times New Roman"/>
        </w:rPr>
        <w:t>cholestatic</w:t>
      </w:r>
      <w:proofErr w:type="spellEnd"/>
      <w:r w:rsidR="00B2682A">
        <w:rPr>
          <w:rFonts w:ascii="Times New Roman" w:hAnsi="Times New Roman" w:cs="Times New Roman"/>
        </w:rPr>
        <w:t>.</w:t>
      </w:r>
      <w:r w:rsidRPr="002912ED">
        <w:rPr>
          <w:rFonts w:ascii="Times New Roman" w:hAnsi="Times New Roman" w:cs="Times New Roman"/>
        </w:rPr>
        <w:t xml:space="preserve"> </w:t>
      </w:r>
    </w:p>
    <w:p w14:paraId="2AB20228"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Immune system disorders</w:t>
      </w:r>
      <w:r w:rsidR="00AA05C7" w:rsidRPr="002912ED">
        <w:rPr>
          <w:rFonts w:ascii="Times New Roman" w:hAnsi="Times New Roman" w:cs="Times New Roman"/>
        </w:rPr>
        <w:t>: hypersensitivity</w:t>
      </w:r>
      <w:r w:rsidR="00B2682A">
        <w:rPr>
          <w:rFonts w:ascii="Times New Roman" w:hAnsi="Times New Roman" w:cs="Times New Roman"/>
        </w:rPr>
        <w:t>.</w:t>
      </w:r>
    </w:p>
    <w:p w14:paraId="0A097CB8"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Investigations</w:t>
      </w:r>
      <w:r w:rsidRPr="002912ED">
        <w:rPr>
          <w:rFonts w:ascii="Times New Roman" w:hAnsi="Times New Roman" w:cs="Times New Roman"/>
        </w:rPr>
        <w:t>: blood bilirubin increased, blood creatinine increased, glomerular filtration rate decreased</w:t>
      </w:r>
      <w:r w:rsidR="00B2682A">
        <w:rPr>
          <w:rFonts w:ascii="Times New Roman" w:hAnsi="Times New Roman" w:cs="Times New Roman"/>
        </w:rPr>
        <w:t>.</w:t>
      </w:r>
      <w:r w:rsidRPr="002912ED">
        <w:rPr>
          <w:rFonts w:ascii="Times New Roman" w:hAnsi="Times New Roman" w:cs="Times New Roman"/>
        </w:rPr>
        <w:t xml:space="preserve"> </w:t>
      </w:r>
    </w:p>
    <w:p w14:paraId="29025D8F"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Nervous system disorders</w:t>
      </w:r>
      <w:r w:rsidRPr="002912ED">
        <w:rPr>
          <w:rFonts w:ascii="Times New Roman" w:hAnsi="Times New Roman" w:cs="Times New Roman"/>
        </w:rPr>
        <w:t>: amnesia, coordination abnormal, hyperesthesia, hypoesthesia, somnolence, syncope, tremor, visual field defect</w:t>
      </w:r>
      <w:r w:rsidR="00B2682A">
        <w:rPr>
          <w:rFonts w:ascii="Times New Roman" w:hAnsi="Times New Roman" w:cs="Times New Roman"/>
        </w:rPr>
        <w:t>.</w:t>
      </w:r>
      <w:r w:rsidRPr="002912ED">
        <w:rPr>
          <w:rFonts w:ascii="Times New Roman" w:hAnsi="Times New Roman" w:cs="Times New Roman"/>
        </w:rPr>
        <w:t xml:space="preserve"> </w:t>
      </w:r>
    </w:p>
    <w:p w14:paraId="5ACC1210" w14:textId="77777777" w:rsidR="002E1806" w:rsidRPr="002912ED" w:rsidRDefault="002E1806" w:rsidP="002912ED">
      <w:pPr>
        <w:rPr>
          <w:rFonts w:ascii="Times New Roman" w:hAnsi="Times New Roman" w:cs="Times New Roman"/>
        </w:rPr>
      </w:pPr>
      <w:r w:rsidRPr="002912ED">
        <w:rPr>
          <w:rFonts w:ascii="Times New Roman" w:hAnsi="Times New Roman" w:cs="Times New Roman"/>
          <w:i/>
        </w:rPr>
        <w:t>Psychiatric disorders</w:t>
      </w:r>
      <w:r w:rsidRPr="002912ED">
        <w:rPr>
          <w:rFonts w:ascii="Times New Roman" w:hAnsi="Times New Roman" w:cs="Times New Roman"/>
        </w:rPr>
        <w:t>: agitation, neurosis</w:t>
      </w:r>
      <w:r w:rsidR="00B2682A">
        <w:rPr>
          <w:rFonts w:ascii="Times New Roman" w:hAnsi="Times New Roman" w:cs="Times New Roman"/>
        </w:rPr>
        <w:t>.</w:t>
      </w:r>
      <w:r w:rsidRPr="002912ED">
        <w:rPr>
          <w:rFonts w:ascii="Times New Roman" w:hAnsi="Times New Roman" w:cs="Times New Roman"/>
        </w:rPr>
        <w:t xml:space="preserve"> </w:t>
      </w:r>
    </w:p>
    <w:p w14:paraId="61DDC4DB" w14:textId="77777777" w:rsidR="009116B3" w:rsidRPr="002912ED" w:rsidRDefault="002E1806" w:rsidP="002912ED">
      <w:pPr>
        <w:rPr>
          <w:rFonts w:ascii="Times New Roman" w:hAnsi="Times New Roman" w:cs="Times New Roman"/>
        </w:rPr>
      </w:pPr>
      <w:r w:rsidRPr="002912ED">
        <w:rPr>
          <w:rFonts w:ascii="Times New Roman" w:hAnsi="Times New Roman" w:cs="Times New Roman"/>
          <w:i/>
        </w:rPr>
        <w:t>Skin and subcutaneous tissue disorders</w:t>
      </w:r>
      <w:r w:rsidRPr="002912ED">
        <w:rPr>
          <w:rFonts w:ascii="Times New Roman" w:hAnsi="Times New Roman" w:cs="Times New Roman"/>
        </w:rPr>
        <w:t xml:space="preserve">: </w:t>
      </w:r>
      <w:proofErr w:type="spellStart"/>
      <w:r w:rsidRPr="002912ED">
        <w:rPr>
          <w:rFonts w:ascii="Times New Roman" w:hAnsi="Times New Roman" w:cs="Times New Roman"/>
        </w:rPr>
        <w:t>urticaria</w:t>
      </w:r>
      <w:proofErr w:type="spellEnd"/>
      <w:r w:rsidRPr="002912ED">
        <w:rPr>
          <w:rFonts w:ascii="Times New Roman" w:hAnsi="Times New Roman" w:cs="Times New Roman"/>
        </w:rPr>
        <w:t>.</w:t>
      </w:r>
    </w:p>
    <w:p w14:paraId="13D5E59F" w14:textId="77777777" w:rsidR="00BE1518" w:rsidRPr="00073F5F" w:rsidRDefault="00BE1518"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Reporting suspected adverse events</w:t>
      </w:r>
    </w:p>
    <w:p w14:paraId="0FD6B2FF" w14:textId="77777777" w:rsidR="00BE1518" w:rsidRPr="00073F5F" w:rsidRDefault="00BE1518" w:rsidP="009F52D5">
      <w:pPr>
        <w:spacing w:line="240" w:lineRule="auto"/>
        <w:rPr>
          <w:rFonts w:ascii="Times New Roman" w:hAnsi="Times New Roman" w:cs="Times New Roman"/>
        </w:rPr>
      </w:pPr>
      <w:r w:rsidRPr="00073F5F">
        <w:rPr>
          <w:rFonts w:ascii="Times New Roman" w:hAnsi="Times New Roman" w:cs="Times New Roma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00B2682A" w:rsidRPr="008E5990">
          <w:rPr>
            <w:rStyle w:val="Hyperlink"/>
            <w:rFonts w:ascii="Times New Roman" w:hAnsi="Times New Roman" w:cs="Times New Roman"/>
          </w:rPr>
          <w:t>www.tga.gov.au/reporting-problems</w:t>
        </w:r>
      </w:hyperlink>
      <w:r w:rsidR="00B2682A">
        <w:rPr>
          <w:rFonts w:ascii="Times New Roman" w:hAnsi="Times New Roman" w:cs="Times New Roman"/>
        </w:rPr>
        <w:t>.</w:t>
      </w:r>
    </w:p>
    <w:p w14:paraId="3A9D96E3" w14:textId="77777777" w:rsidR="001A3992" w:rsidRPr="00073F5F" w:rsidRDefault="001A3992" w:rsidP="009F52D5">
      <w:pPr>
        <w:pStyle w:val="Heading2"/>
        <w:keepNext/>
        <w:keepLines/>
        <w:spacing w:before="0" w:after="120" w:line="240" w:lineRule="auto"/>
        <w:rPr>
          <w:rFonts w:ascii="Times New Roman" w:hAnsi="Times New Roman" w:cs="Times New Roman"/>
        </w:rPr>
      </w:pPr>
      <w:r w:rsidRPr="00073F5F">
        <w:rPr>
          <w:rFonts w:ascii="Times New Roman" w:hAnsi="Times New Roman" w:cs="Times New Roman"/>
        </w:rPr>
        <w:t>Overdose</w:t>
      </w:r>
    </w:p>
    <w:p w14:paraId="4AB2496C" w14:textId="77777777" w:rsidR="00FC77E7" w:rsidRPr="00073F5F" w:rsidRDefault="00FC77E7" w:rsidP="009F52D5">
      <w:pPr>
        <w:kinsoku w:val="0"/>
        <w:overflowPunct w:val="0"/>
        <w:autoSpaceDE w:val="0"/>
        <w:autoSpaceDN w:val="0"/>
        <w:adjustRightInd w:val="0"/>
        <w:spacing w:line="240" w:lineRule="auto"/>
        <w:rPr>
          <w:rFonts w:ascii="Times New Roman" w:hAnsi="Times New Roman" w:cs="Times New Roman"/>
          <w:spacing w:val="-2"/>
          <w:szCs w:val="24"/>
          <w:lang w:val="en-US"/>
        </w:rPr>
      </w:pPr>
      <w:r w:rsidRPr="00073F5F">
        <w:rPr>
          <w:rFonts w:ascii="Times New Roman" w:hAnsi="Times New Roman" w:cs="Times New Roman"/>
          <w:spacing w:val="-2"/>
          <w:szCs w:val="24"/>
          <w:lang w:val="en-US"/>
        </w:rPr>
        <w:t xml:space="preserve">There were no reported cases of KODATEF overdose. However, based on clinical experience with individual doses above 200 mg, early symptoms of KODATEF overdose are likely to be gastrointestinal (nausea, vomiting, </w:t>
      </w:r>
      <w:proofErr w:type="spellStart"/>
      <w:r w:rsidRPr="00073F5F">
        <w:rPr>
          <w:rFonts w:ascii="Times New Roman" w:hAnsi="Times New Roman" w:cs="Times New Roman"/>
          <w:spacing w:val="-2"/>
          <w:szCs w:val="24"/>
          <w:lang w:val="en-US"/>
        </w:rPr>
        <w:t>diarrhoea</w:t>
      </w:r>
      <w:proofErr w:type="spellEnd"/>
      <w:r w:rsidRPr="00073F5F">
        <w:rPr>
          <w:rFonts w:ascii="Times New Roman" w:hAnsi="Times New Roman" w:cs="Times New Roman"/>
          <w:spacing w:val="-2"/>
          <w:szCs w:val="24"/>
          <w:lang w:val="en-US"/>
        </w:rPr>
        <w:t xml:space="preserve">, and abdominal pain). </w:t>
      </w:r>
      <w:proofErr w:type="spellStart"/>
      <w:r w:rsidRPr="00073F5F">
        <w:rPr>
          <w:rFonts w:ascii="Times New Roman" w:hAnsi="Times New Roman" w:cs="Times New Roman"/>
          <w:spacing w:val="-2"/>
          <w:szCs w:val="24"/>
          <w:lang w:val="en-US"/>
        </w:rPr>
        <w:t>Haematologic</w:t>
      </w:r>
      <w:proofErr w:type="spellEnd"/>
      <w:r w:rsidRPr="00073F5F">
        <w:rPr>
          <w:rFonts w:ascii="Times New Roman" w:hAnsi="Times New Roman" w:cs="Times New Roman"/>
          <w:spacing w:val="-2"/>
          <w:szCs w:val="24"/>
          <w:lang w:val="en-US"/>
        </w:rPr>
        <w:t xml:space="preserve"> events (</w:t>
      </w:r>
      <w:proofErr w:type="spellStart"/>
      <w:r w:rsidRPr="00073F5F">
        <w:rPr>
          <w:rFonts w:ascii="Times New Roman" w:hAnsi="Times New Roman" w:cs="Times New Roman"/>
          <w:spacing w:val="-2"/>
          <w:szCs w:val="24"/>
          <w:lang w:val="en-US"/>
        </w:rPr>
        <w:t>haemolytic</w:t>
      </w:r>
      <w:proofErr w:type="spellEnd"/>
      <w:r w:rsidRPr="00073F5F">
        <w:rPr>
          <w:rFonts w:ascii="Times New Roman" w:hAnsi="Times New Roman" w:cs="Times New Roman"/>
          <w:spacing w:val="-2"/>
          <w:szCs w:val="24"/>
          <w:lang w:val="en-US"/>
        </w:rPr>
        <w:t xml:space="preserve"> </w:t>
      </w:r>
      <w:proofErr w:type="spellStart"/>
      <w:r w:rsidR="00981321" w:rsidRPr="00073F5F">
        <w:rPr>
          <w:rFonts w:ascii="Times New Roman" w:hAnsi="Times New Roman" w:cs="Times New Roman"/>
          <w:spacing w:val="-2"/>
          <w:szCs w:val="24"/>
          <w:lang w:val="en-US"/>
        </w:rPr>
        <w:t>anaemia</w:t>
      </w:r>
      <w:proofErr w:type="spellEnd"/>
      <w:r w:rsidR="00981321" w:rsidRPr="00073F5F">
        <w:rPr>
          <w:rFonts w:ascii="Times New Roman" w:hAnsi="Times New Roman" w:cs="Times New Roman"/>
          <w:spacing w:val="-2"/>
          <w:szCs w:val="24"/>
          <w:lang w:val="en-US"/>
        </w:rPr>
        <w:t xml:space="preserve"> </w:t>
      </w:r>
      <w:r w:rsidRPr="00073F5F">
        <w:rPr>
          <w:rFonts w:ascii="Times New Roman" w:hAnsi="Times New Roman" w:cs="Times New Roman"/>
          <w:spacing w:val="-2"/>
          <w:szCs w:val="24"/>
          <w:lang w:val="en-US"/>
        </w:rPr>
        <w:t xml:space="preserve">and </w:t>
      </w:r>
      <w:proofErr w:type="spellStart"/>
      <w:r w:rsidRPr="00073F5F">
        <w:rPr>
          <w:rFonts w:ascii="Times New Roman" w:hAnsi="Times New Roman" w:cs="Times New Roman"/>
          <w:spacing w:val="-2"/>
          <w:szCs w:val="24"/>
          <w:lang w:val="en-US"/>
        </w:rPr>
        <w:t>methaemoglobinaemia</w:t>
      </w:r>
      <w:proofErr w:type="spellEnd"/>
      <w:r w:rsidRPr="00073F5F">
        <w:rPr>
          <w:rFonts w:ascii="Times New Roman" w:hAnsi="Times New Roman" w:cs="Times New Roman"/>
          <w:spacing w:val="-2"/>
          <w:szCs w:val="24"/>
          <w:lang w:val="en-US"/>
        </w:rPr>
        <w:t xml:space="preserve">), may also be seen. </w:t>
      </w:r>
      <w:proofErr w:type="spellStart"/>
      <w:r w:rsidRPr="00073F5F">
        <w:rPr>
          <w:rFonts w:ascii="Times New Roman" w:hAnsi="Times New Roman" w:cs="Times New Roman"/>
          <w:spacing w:val="-2"/>
          <w:szCs w:val="24"/>
          <w:lang w:val="en-US"/>
        </w:rPr>
        <w:t>Haemolytic</w:t>
      </w:r>
      <w:proofErr w:type="spellEnd"/>
      <w:r w:rsidRPr="00073F5F">
        <w:rPr>
          <w:rFonts w:ascii="Times New Roman" w:hAnsi="Times New Roman" w:cs="Times New Roman"/>
          <w:spacing w:val="-2"/>
          <w:szCs w:val="24"/>
          <w:lang w:val="en-US"/>
        </w:rPr>
        <w:t xml:space="preserve"> </w:t>
      </w:r>
      <w:proofErr w:type="spellStart"/>
      <w:r w:rsidR="00981321" w:rsidRPr="00073F5F">
        <w:rPr>
          <w:rFonts w:ascii="Times New Roman" w:hAnsi="Times New Roman" w:cs="Times New Roman"/>
          <w:spacing w:val="-2"/>
          <w:szCs w:val="24"/>
          <w:lang w:val="en-US"/>
        </w:rPr>
        <w:t>anaemia</w:t>
      </w:r>
      <w:proofErr w:type="spellEnd"/>
      <w:r w:rsidRPr="00073F5F">
        <w:rPr>
          <w:rFonts w:ascii="Times New Roman" w:hAnsi="Times New Roman" w:cs="Times New Roman"/>
          <w:spacing w:val="-2"/>
          <w:szCs w:val="24"/>
          <w:lang w:val="en-US"/>
        </w:rPr>
        <w:t xml:space="preserve"> is also to be expected if normal KODATEF doses are administered in error to subjects deficient in G6PD.</w:t>
      </w:r>
    </w:p>
    <w:p w14:paraId="34B78E99" w14:textId="77777777" w:rsidR="00FC77E7" w:rsidRPr="00073F5F" w:rsidRDefault="00FC77E7" w:rsidP="009F52D5">
      <w:pPr>
        <w:kinsoku w:val="0"/>
        <w:overflowPunct w:val="0"/>
        <w:autoSpaceDE w:val="0"/>
        <w:autoSpaceDN w:val="0"/>
        <w:adjustRightInd w:val="0"/>
        <w:spacing w:line="240" w:lineRule="auto"/>
        <w:rPr>
          <w:rFonts w:ascii="Times New Roman" w:hAnsi="Times New Roman" w:cs="Times New Roman"/>
          <w:spacing w:val="-2"/>
          <w:szCs w:val="24"/>
          <w:lang w:val="en-US"/>
        </w:rPr>
      </w:pPr>
      <w:r w:rsidRPr="00073F5F">
        <w:rPr>
          <w:rFonts w:ascii="Times New Roman" w:hAnsi="Times New Roman" w:cs="Times New Roman"/>
          <w:spacing w:val="-2"/>
          <w:szCs w:val="24"/>
          <w:lang w:val="en-US"/>
        </w:rPr>
        <w:lastRenderedPageBreak/>
        <w:t xml:space="preserve">Patients should contact their health care provider if they have darker lips or urine (see </w:t>
      </w:r>
      <w:r w:rsidR="005B1A90" w:rsidRPr="00073F5F">
        <w:rPr>
          <w:rFonts w:ascii="Times New Roman" w:hAnsi="Times New Roman" w:cs="Times New Roman"/>
          <w:spacing w:val="-2"/>
          <w:szCs w:val="24"/>
          <w:lang w:val="en-US"/>
        </w:rPr>
        <w:t>Section 5</w:t>
      </w:r>
      <w:r w:rsidR="0069092D">
        <w:rPr>
          <w:rFonts w:ascii="Times New Roman" w:hAnsi="Times New Roman" w:cs="Times New Roman"/>
          <w:spacing w:val="-2"/>
          <w:szCs w:val="24"/>
          <w:lang w:val="en-US"/>
        </w:rPr>
        <w:t xml:space="preserve"> PHARMACOLOGICAL PROPERTIES</w:t>
      </w:r>
      <w:r w:rsidRPr="00073F5F">
        <w:rPr>
          <w:rFonts w:ascii="Times New Roman" w:hAnsi="Times New Roman" w:cs="Times New Roman"/>
          <w:spacing w:val="-2"/>
          <w:szCs w:val="24"/>
          <w:lang w:val="en-US"/>
        </w:rPr>
        <w:t xml:space="preserve">), as these may be signs of </w:t>
      </w:r>
      <w:proofErr w:type="spellStart"/>
      <w:r w:rsidRPr="00073F5F">
        <w:rPr>
          <w:rFonts w:ascii="Times New Roman" w:hAnsi="Times New Roman" w:cs="Times New Roman"/>
          <w:spacing w:val="-2"/>
          <w:szCs w:val="24"/>
          <w:lang w:val="en-US"/>
        </w:rPr>
        <w:t>haemolysis</w:t>
      </w:r>
      <w:proofErr w:type="spellEnd"/>
      <w:r w:rsidRPr="00073F5F">
        <w:rPr>
          <w:rFonts w:ascii="Times New Roman" w:hAnsi="Times New Roman" w:cs="Times New Roman"/>
          <w:spacing w:val="-2"/>
          <w:szCs w:val="24"/>
          <w:lang w:val="en-US"/>
        </w:rPr>
        <w:t xml:space="preserve"> or </w:t>
      </w:r>
      <w:proofErr w:type="spellStart"/>
      <w:r w:rsidRPr="00073F5F">
        <w:rPr>
          <w:rFonts w:ascii="Times New Roman" w:hAnsi="Times New Roman" w:cs="Times New Roman"/>
          <w:spacing w:val="-2"/>
          <w:szCs w:val="24"/>
          <w:lang w:val="en-US"/>
        </w:rPr>
        <w:t>methaemoglobinaemia</w:t>
      </w:r>
      <w:proofErr w:type="spellEnd"/>
      <w:r w:rsidRPr="00073F5F">
        <w:rPr>
          <w:rFonts w:ascii="Times New Roman" w:hAnsi="Times New Roman" w:cs="Times New Roman"/>
          <w:spacing w:val="-2"/>
          <w:szCs w:val="24"/>
          <w:lang w:val="en-US"/>
        </w:rPr>
        <w:t>.</w:t>
      </w:r>
    </w:p>
    <w:p w14:paraId="00E65FAC" w14:textId="77777777" w:rsidR="00497C85" w:rsidRPr="00073F5F" w:rsidRDefault="00497C85" w:rsidP="009F52D5">
      <w:pPr>
        <w:spacing w:line="240" w:lineRule="auto"/>
        <w:rPr>
          <w:rFonts w:ascii="Times New Roman" w:hAnsi="Times New Roman" w:cs="Times New Roman"/>
        </w:rPr>
      </w:pPr>
      <w:r w:rsidRPr="00073F5F">
        <w:rPr>
          <w:rFonts w:ascii="Times New Roman" w:hAnsi="Times New Roman" w:cs="Times New Roman"/>
        </w:rPr>
        <w:t>For information on the management of overdose, contact the Poisons Information Centre on 13 11 26 (Australia).</w:t>
      </w:r>
    </w:p>
    <w:p w14:paraId="20F10607" w14:textId="77777777" w:rsidR="001A3992" w:rsidRPr="00073F5F" w:rsidRDefault="001A3992" w:rsidP="009F52D5">
      <w:pPr>
        <w:pStyle w:val="Heading1"/>
        <w:spacing w:before="0" w:after="120" w:line="240" w:lineRule="auto"/>
        <w:rPr>
          <w:rFonts w:ascii="Times New Roman" w:hAnsi="Times New Roman" w:cs="Times New Roman"/>
          <w:lang w:val="en-US"/>
        </w:rPr>
      </w:pPr>
      <w:r w:rsidRPr="00073F5F">
        <w:rPr>
          <w:rFonts w:ascii="Times New Roman" w:hAnsi="Times New Roman" w:cs="Times New Roman"/>
          <w:lang w:val="en-US"/>
        </w:rPr>
        <w:t>Pharmacological properties</w:t>
      </w:r>
    </w:p>
    <w:p w14:paraId="59810B64" w14:textId="77777777" w:rsidR="001A3992" w:rsidRPr="00073F5F" w:rsidRDefault="001A3992" w:rsidP="009F52D5">
      <w:pPr>
        <w:pStyle w:val="Heading2"/>
        <w:spacing w:before="0" w:after="120" w:line="240" w:lineRule="auto"/>
        <w:rPr>
          <w:rFonts w:ascii="Times New Roman" w:hAnsi="Times New Roman" w:cs="Times New Roman"/>
          <w:lang w:val="en-US"/>
        </w:rPr>
      </w:pPr>
      <w:proofErr w:type="spellStart"/>
      <w:r w:rsidRPr="00073F5F">
        <w:rPr>
          <w:rFonts w:ascii="Times New Roman" w:hAnsi="Times New Roman" w:cs="Times New Roman"/>
          <w:lang w:val="en-US"/>
        </w:rPr>
        <w:t>Pharmacodynamic</w:t>
      </w:r>
      <w:proofErr w:type="spellEnd"/>
      <w:r w:rsidRPr="00073F5F">
        <w:rPr>
          <w:rFonts w:ascii="Times New Roman" w:hAnsi="Times New Roman" w:cs="Times New Roman"/>
          <w:lang w:val="en-US"/>
        </w:rPr>
        <w:t xml:space="preserve"> properties </w:t>
      </w:r>
    </w:p>
    <w:p w14:paraId="469EE04B"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Mechanism of action</w:t>
      </w:r>
    </w:p>
    <w:p w14:paraId="580F810D" w14:textId="77777777" w:rsidR="00FC77E7" w:rsidRPr="00073F5F" w:rsidRDefault="00FC77E7" w:rsidP="009F52D5">
      <w:pPr>
        <w:spacing w:line="240" w:lineRule="auto"/>
        <w:rPr>
          <w:rFonts w:ascii="Times New Roman" w:hAnsi="Times New Roman" w:cs="Times New Roman"/>
          <w:lang w:val="en-US"/>
        </w:rPr>
      </w:pPr>
      <w:proofErr w:type="spellStart"/>
      <w:r w:rsidRPr="00073F5F">
        <w:rPr>
          <w:rFonts w:ascii="Times New Roman" w:hAnsi="Times New Roman" w:cs="Times New Roman"/>
          <w:lang w:val="en-US"/>
        </w:rPr>
        <w:t>Tafenoquine</w:t>
      </w:r>
      <w:proofErr w:type="spellEnd"/>
      <w:r w:rsidRPr="00073F5F">
        <w:rPr>
          <w:rFonts w:ascii="Times New Roman" w:hAnsi="Times New Roman" w:cs="Times New Roman"/>
          <w:lang w:val="en-US"/>
        </w:rPr>
        <w:t xml:space="preserve"> kills the developing asexual, developing exoerythrocytic, and latent </w:t>
      </w:r>
      <w:proofErr w:type="spellStart"/>
      <w:r w:rsidRPr="00073F5F">
        <w:rPr>
          <w:rFonts w:ascii="Times New Roman" w:hAnsi="Times New Roman" w:cs="Times New Roman"/>
          <w:lang w:val="en-US"/>
        </w:rPr>
        <w:t>hypnozoites</w:t>
      </w:r>
      <w:proofErr w:type="spellEnd"/>
      <w:r w:rsidRPr="00073F5F">
        <w:rPr>
          <w:rFonts w:ascii="Times New Roman" w:hAnsi="Times New Roman" w:cs="Times New Roman"/>
          <w:lang w:val="en-US"/>
        </w:rPr>
        <w:t xml:space="preserve"> of malaria parasites. The mechanism of action is unknown, but is </w:t>
      </w:r>
      <w:proofErr w:type="spellStart"/>
      <w:r w:rsidRPr="00073F5F">
        <w:rPr>
          <w:rFonts w:ascii="Times New Roman" w:hAnsi="Times New Roman" w:cs="Times New Roman"/>
          <w:lang w:val="en-US"/>
        </w:rPr>
        <w:t>hypothesised</w:t>
      </w:r>
      <w:proofErr w:type="spellEnd"/>
      <w:r w:rsidRPr="00073F5F">
        <w:rPr>
          <w:rFonts w:ascii="Times New Roman" w:hAnsi="Times New Roman" w:cs="Times New Roman"/>
          <w:lang w:val="en-US"/>
        </w:rPr>
        <w:t xml:space="preserve"> to involve redox reactions.</w:t>
      </w:r>
    </w:p>
    <w:p w14:paraId="65D6A776" w14:textId="77777777" w:rsidR="00515263" w:rsidRPr="00073F5F" w:rsidRDefault="00515263" w:rsidP="002912ED">
      <w:pPr>
        <w:pStyle w:val="C-BodyText"/>
        <w:spacing w:line="240" w:lineRule="auto"/>
        <w:outlineLvl w:val="2"/>
        <w:rPr>
          <w:b/>
        </w:rPr>
      </w:pPr>
      <w:r w:rsidRPr="00073F5F">
        <w:rPr>
          <w:b/>
        </w:rPr>
        <w:t xml:space="preserve">Safety pharmacology </w:t>
      </w:r>
    </w:p>
    <w:p w14:paraId="76E34E9A" w14:textId="77777777" w:rsidR="00515263" w:rsidRPr="00073F5F" w:rsidRDefault="00515263" w:rsidP="009F52D5">
      <w:pPr>
        <w:pStyle w:val="C-BodyText"/>
        <w:spacing w:line="240" w:lineRule="auto"/>
        <w:rPr>
          <w:sz w:val="22"/>
          <w:szCs w:val="22"/>
        </w:rPr>
      </w:pPr>
      <w:r w:rsidRPr="00B2682A">
        <w:rPr>
          <w:sz w:val="22"/>
          <w:szCs w:val="22"/>
        </w:rPr>
        <w:t>In vitro</w:t>
      </w:r>
      <w:r w:rsidRPr="00073F5F">
        <w:rPr>
          <w:i/>
          <w:sz w:val="22"/>
          <w:szCs w:val="22"/>
        </w:rPr>
        <w:t xml:space="preserve"> </w:t>
      </w:r>
      <w:r w:rsidRPr="00073F5F">
        <w:rPr>
          <w:sz w:val="22"/>
          <w:szCs w:val="22"/>
        </w:rPr>
        <w:t xml:space="preserve">studies with </w:t>
      </w:r>
      <w:proofErr w:type="spellStart"/>
      <w:r w:rsidRPr="00073F5F">
        <w:rPr>
          <w:sz w:val="22"/>
          <w:szCs w:val="22"/>
        </w:rPr>
        <w:t>tafenoquine</w:t>
      </w:r>
      <w:proofErr w:type="spellEnd"/>
      <w:r w:rsidRPr="00073F5F">
        <w:rPr>
          <w:sz w:val="22"/>
          <w:szCs w:val="22"/>
        </w:rPr>
        <w:t xml:space="preserve"> suggested potential effect on heart conductance</w:t>
      </w:r>
      <w:r w:rsidR="003C78D5">
        <w:rPr>
          <w:sz w:val="22"/>
          <w:szCs w:val="22"/>
        </w:rPr>
        <w:t>,</w:t>
      </w:r>
      <w:r w:rsidRPr="00073F5F">
        <w:rPr>
          <w:sz w:val="22"/>
          <w:szCs w:val="22"/>
        </w:rPr>
        <w:t xml:space="preserve"> as it inhibited </w:t>
      </w:r>
      <w:proofErr w:type="spellStart"/>
      <w:r w:rsidRPr="00073F5F">
        <w:rPr>
          <w:sz w:val="22"/>
          <w:szCs w:val="22"/>
        </w:rPr>
        <w:t>hERG</w:t>
      </w:r>
      <w:proofErr w:type="spellEnd"/>
      <w:r w:rsidRPr="00073F5F">
        <w:rPr>
          <w:sz w:val="22"/>
          <w:szCs w:val="22"/>
        </w:rPr>
        <w:t xml:space="preserve"> tail current in a dose-dependent manner (IC</w:t>
      </w:r>
      <w:r w:rsidRPr="00073F5F">
        <w:rPr>
          <w:sz w:val="22"/>
          <w:szCs w:val="22"/>
          <w:vertAlign w:val="subscript"/>
        </w:rPr>
        <w:t>50</w:t>
      </w:r>
      <w:r w:rsidRPr="00073F5F">
        <w:rPr>
          <w:sz w:val="22"/>
          <w:szCs w:val="22"/>
        </w:rPr>
        <w:t xml:space="preserve"> 0.51 </w:t>
      </w:r>
      <w:proofErr w:type="spellStart"/>
      <w:r w:rsidRPr="00073F5F">
        <w:rPr>
          <w:sz w:val="22"/>
          <w:szCs w:val="22"/>
        </w:rPr>
        <w:t>μg</w:t>
      </w:r>
      <w:proofErr w:type="spellEnd"/>
      <w:r w:rsidRPr="00073F5F">
        <w:rPr>
          <w:sz w:val="22"/>
          <w:szCs w:val="22"/>
        </w:rPr>
        <w:t>/mL) and at 100-fold higher concentrations (46.4</w:t>
      </w:r>
      <w:r w:rsidR="00B2682A">
        <w:rPr>
          <w:sz w:val="22"/>
          <w:szCs w:val="22"/>
        </w:rPr>
        <w:t> </w:t>
      </w:r>
      <w:proofErr w:type="spellStart"/>
      <w:r w:rsidRPr="00073F5F">
        <w:rPr>
          <w:sz w:val="22"/>
          <w:szCs w:val="22"/>
        </w:rPr>
        <w:t>μg</w:t>
      </w:r>
      <w:proofErr w:type="spellEnd"/>
      <w:r w:rsidRPr="00073F5F">
        <w:rPr>
          <w:sz w:val="22"/>
          <w:szCs w:val="22"/>
        </w:rPr>
        <w:t xml:space="preserve">/mL) caused a non-specific effect on the conduction through heart </w:t>
      </w:r>
      <w:proofErr w:type="spellStart"/>
      <w:r w:rsidRPr="00073F5F">
        <w:rPr>
          <w:sz w:val="22"/>
          <w:szCs w:val="22"/>
        </w:rPr>
        <w:t>purkinje</w:t>
      </w:r>
      <w:proofErr w:type="spellEnd"/>
      <w:r w:rsidRPr="00073F5F">
        <w:rPr>
          <w:sz w:val="22"/>
          <w:szCs w:val="22"/>
        </w:rPr>
        <w:t xml:space="preserve"> </w:t>
      </w:r>
      <w:proofErr w:type="spellStart"/>
      <w:r w:rsidRPr="00073F5F">
        <w:rPr>
          <w:sz w:val="22"/>
          <w:szCs w:val="22"/>
        </w:rPr>
        <w:t>fibres</w:t>
      </w:r>
      <w:proofErr w:type="spellEnd"/>
      <w:r w:rsidRPr="00073F5F">
        <w:rPr>
          <w:sz w:val="22"/>
          <w:szCs w:val="22"/>
        </w:rPr>
        <w:t xml:space="preserve"> of the dog. </w:t>
      </w:r>
      <w:r w:rsidRPr="00B2682A">
        <w:rPr>
          <w:sz w:val="22"/>
          <w:szCs w:val="22"/>
        </w:rPr>
        <w:t>In vivo,</w:t>
      </w:r>
      <w:r w:rsidRPr="00073F5F">
        <w:rPr>
          <w:sz w:val="22"/>
          <w:szCs w:val="22"/>
        </w:rPr>
        <w:t xml:space="preserve"> </w:t>
      </w:r>
      <w:proofErr w:type="spellStart"/>
      <w:r w:rsidRPr="00073F5F">
        <w:rPr>
          <w:sz w:val="22"/>
          <w:szCs w:val="22"/>
        </w:rPr>
        <w:t>tafenoquine</w:t>
      </w:r>
      <w:proofErr w:type="spellEnd"/>
      <w:r w:rsidRPr="00073F5F">
        <w:rPr>
          <w:sz w:val="22"/>
          <w:szCs w:val="22"/>
        </w:rPr>
        <w:t xml:space="preserve"> caused systemic vasodilation when given by IV infusion to </w:t>
      </w:r>
      <w:proofErr w:type="spellStart"/>
      <w:r w:rsidRPr="00073F5F">
        <w:rPr>
          <w:sz w:val="22"/>
          <w:szCs w:val="22"/>
        </w:rPr>
        <w:t>anaesthetised</w:t>
      </w:r>
      <w:proofErr w:type="spellEnd"/>
      <w:r w:rsidRPr="00073F5F">
        <w:rPr>
          <w:sz w:val="22"/>
          <w:szCs w:val="22"/>
        </w:rPr>
        <w:t xml:space="preserve"> dogs but at oral doses up to 16 mg/kg had no cardiovascular effect in the conscious dog. The dog AUC</w:t>
      </w:r>
      <w:r w:rsidRPr="00073F5F">
        <w:rPr>
          <w:sz w:val="22"/>
          <w:szCs w:val="22"/>
          <w:vertAlign w:val="subscript"/>
        </w:rPr>
        <w:t>0</w:t>
      </w:r>
      <w:r w:rsidR="007F6BAC">
        <w:rPr>
          <w:sz w:val="22"/>
          <w:szCs w:val="22"/>
          <w:vertAlign w:val="subscript"/>
        </w:rPr>
        <w:t>-</w:t>
      </w:r>
      <w:r w:rsidR="007F6BAC">
        <w:rPr>
          <w:sz w:val="22"/>
          <w:szCs w:val="22"/>
          <w:vertAlign w:val="subscript"/>
          <w:lang w:val="en-AU"/>
        </w:rPr>
        <w:t>1 </w:t>
      </w:r>
      <w:r w:rsidRPr="007F6BAC">
        <w:rPr>
          <w:sz w:val="22"/>
          <w:szCs w:val="22"/>
          <w:vertAlign w:val="subscript"/>
        </w:rPr>
        <w:t>week</w:t>
      </w:r>
      <w:r w:rsidRPr="00073F5F">
        <w:rPr>
          <w:sz w:val="22"/>
          <w:szCs w:val="22"/>
        </w:rPr>
        <w:t xml:space="preserve"> </w:t>
      </w:r>
      <w:proofErr w:type="gramStart"/>
      <w:r w:rsidRPr="00073F5F">
        <w:rPr>
          <w:sz w:val="22"/>
          <w:szCs w:val="22"/>
        </w:rPr>
        <w:t>of 116 μg.hr/mL</w:t>
      </w:r>
      <w:proofErr w:type="gramEnd"/>
      <w:r w:rsidRPr="00073F5F">
        <w:rPr>
          <w:sz w:val="22"/>
          <w:szCs w:val="22"/>
        </w:rPr>
        <w:t xml:space="preserve"> following 16 mg/kg is approximately five-times higher than the clinical AUC following a clinical dose of 600 mg.</w:t>
      </w:r>
    </w:p>
    <w:p w14:paraId="094B6A00" w14:textId="77777777" w:rsidR="003923F9" w:rsidRDefault="00E11D40" w:rsidP="00E70A8B">
      <w:pPr>
        <w:autoSpaceDE w:val="0"/>
        <w:autoSpaceDN w:val="0"/>
        <w:adjustRightInd w:val="0"/>
        <w:spacing w:after="0" w:line="240" w:lineRule="auto"/>
        <w:rPr>
          <w:rFonts w:ascii="Times New Roman" w:hAnsi="Times New Roman" w:cs="Times New Roman"/>
        </w:rPr>
      </w:pPr>
      <w:r w:rsidRPr="00F6546C">
        <w:rPr>
          <w:rFonts w:ascii="Times New Roman" w:hAnsi="Times New Roman" w:cs="Times New Roman"/>
          <w:lang w:val="en-US"/>
        </w:rPr>
        <w:t xml:space="preserve">The effect of </w:t>
      </w:r>
      <w:proofErr w:type="spellStart"/>
      <w:r w:rsidRPr="00F6546C">
        <w:rPr>
          <w:rFonts w:ascii="Times New Roman" w:hAnsi="Times New Roman" w:cs="Times New Roman"/>
          <w:lang w:val="en-US"/>
        </w:rPr>
        <w:t>tafenoquine</w:t>
      </w:r>
      <w:proofErr w:type="spellEnd"/>
      <w:r w:rsidRPr="00F6546C">
        <w:rPr>
          <w:rFonts w:ascii="Times New Roman" w:hAnsi="Times New Roman" w:cs="Times New Roman"/>
          <w:lang w:val="en-US"/>
        </w:rPr>
        <w:t xml:space="preserve"> on the QT interval was evaluated in a </w:t>
      </w:r>
      <w:r w:rsidR="00F93C2A">
        <w:rPr>
          <w:rFonts w:ascii="Times New Roman" w:hAnsi="Times New Roman" w:cs="Times New Roman"/>
          <w:lang w:val="en-US"/>
        </w:rPr>
        <w:t>trial</w:t>
      </w:r>
      <w:r w:rsidRPr="00F6546C">
        <w:rPr>
          <w:rFonts w:ascii="Times New Roman" w:hAnsi="Times New Roman" w:cs="Times New Roman"/>
          <w:lang w:val="en-US"/>
        </w:rPr>
        <w:t xml:space="preserve"> of healthy adult subjects. In this </w:t>
      </w:r>
      <w:r w:rsidR="00F93C2A">
        <w:rPr>
          <w:rFonts w:ascii="Times New Roman" w:hAnsi="Times New Roman" w:cs="Times New Roman"/>
          <w:lang w:val="en-US"/>
        </w:rPr>
        <w:t>trial</w:t>
      </w:r>
      <w:r w:rsidRPr="00F6546C">
        <w:rPr>
          <w:rFonts w:ascii="Times New Roman" w:hAnsi="Times New Roman" w:cs="Times New Roman"/>
          <w:lang w:val="en-US"/>
        </w:rPr>
        <w:t xml:space="preserve">, subjects received once daily 400 mg (2 times the approved recommended dosage) doses of </w:t>
      </w:r>
      <w:proofErr w:type="spellStart"/>
      <w:r w:rsidRPr="00F6546C">
        <w:rPr>
          <w:rFonts w:ascii="Times New Roman" w:hAnsi="Times New Roman" w:cs="Times New Roman"/>
          <w:lang w:val="en-US"/>
        </w:rPr>
        <w:t>tafenoquine</w:t>
      </w:r>
      <w:proofErr w:type="spellEnd"/>
      <w:r w:rsidRPr="00F6546C">
        <w:rPr>
          <w:rFonts w:ascii="Times New Roman" w:hAnsi="Times New Roman" w:cs="Times New Roman"/>
          <w:lang w:val="en-US"/>
        </w:rPr>
        <w:t xml:space="preserve"> for 3 days. The results suggest that the mean increase in the </w:t>
      </w:r>
      <w:proofErr w:type="spellStart"/>
      <w:r w:rsidRPr="00F6546C">
        <w:rPr>
          <w:rFonts w:ascii="Times New Roman" w:hAnsi="Times New Roman" w:cs="Times New Roman"/>
          <w:lang w:val="en-US"/>
        </w:rPr>
        <w:t>QTcF</w:t>
      </w:r>
      <w:proofErr w:type="spellEnd"/>
      <w:r w:rsidRPr="00F6546C">
        <w:rPr>
          <w:rFonts w:ascii="Times New Roman" w:hAnsi="Times New Roman" w:cs="Times New Roman"/>
          <w:lang w:val="en-US"/>
        </w:rPr>
        <w:t xml:space="preserve"> interval for </w:t>
      </w:r>
      <w:proofErr w:type="spellStart"/>
      <w:r w:rsidRPr="00F6546C">
        <w:rPr>
          <w:rFonts w:ascii="Times New Roman" w:hAnsi="Times New Roman" w:cs="Times New Roman"/>
          <w:lang w:val="en-US"/>
        </w:rPr>
        <w:t>tafenoquine</w:t>
      </w:r>
      <w:proofErr w:type="spellEnd"/>
      <w:r w:rsidRPr="00F6546C">
        <w:rPr>
          <w:rFonts w:ascii="Times New Roman" w:hAnsi="Times New Roman" w:cs="Times New Roman"/>
          <w:lang w:val="en-US"/>
        </w:rPr>
        <w:t xml:space="preserve"> is less than 20 msec.</w:t>
      </w:r>
    </w:p>
    <w:p w14:paraId="2D2E45D0" w14:textId="77777777" w:rsidR="00E70A8B" w:rsidRPr="00E70A8B" w:rsidRDefault="00E70A8B" w:rsidP="00E70A8B">
      <w:pPr>
        <w:autoSpaceDE w:val="0"/>
        <w:autoSpaceDN w:val="0"/>
        <w:adjustRightInd w:val="0"/>
        <w:spacing w:after="0" w:line="240" w:lineRule="auto"/>
        <w:rPr>
          <w:rFonts w:ascii="Times New Roman" w:hAnsi="Times New Roman" w:cs="Times New Roman"/>
        </w:rPr>
      </w:pPr>
    </w:p>
    <w:p w14:paraId="6338FECC" w14:textId="77777777" w:rsidR="001A3992" w:rsidRPr="0069092D" w:rsidRDefault="001A3992" w:rsidP="0069092D">
      <w:pPr>
        <w:pStyle w:val="Heading3"/>
        <w:ind w:left="0"/>
        <w:rPr>
          <w:rFonts w:ascii="Times New Roman" w:hAnsi="Times New Roman" w:cs="Times New Roman"/>
          <w:lang w:val="en-US"/>
        </w:rPr>
      </w:pPr>
      <w:r w:rsidRPr="002225DA">
        <w:rPr>
          <w:rFonts w:ascii="Times New Roman" w:hAnsi="Times New Roman" w:cs="Times New Roman"/>
        </w:rPr>
        <w:t>Clinical</w:t>
      </w:r>
      <w:r w:rsidRPr="0069092D">
        <w:rPr>
          <w:rFonts w:ascii="Times New Roman" w:hAnsi="Times New Roman" w:cs="Times New Roman"/>
          <w:lang w:val="en-US"/>
        </w:rPr>
        <w:t xml:space="preserve"> trials</w:t>
      </w:r>
    </w:p>
    <w:p w14:paraId="1C93C7D4" w14:textId="77777777" w:rsidR="00721198" w:rsidRPr="00073F5F" w:rsidRDefault="00721198" w:rsidP="009F52D5">
      <w:pPr>
        <w:pStyle w:val="C-BodyText"/>
        <w:spacing w:before="0" w:after="200" w:line="240" w:lineRule="auto"/>
        <w:rPr>
          <w:sz w:val="22"/>
          <w:szCs w:val="22"/>
        </w:rPr>
      </w:pPr>
      <w:r w:rsidRPr="00073F5F">
        <w:rPr>
          <w:sz w:val="22"/>
          <w:szCs w:val="22"/>
        </w:rPr>
        <w:t xml:space="preserve">The use of KODATEF for prophylaxis of malaria is supported by single pivotal </w:t>
      </w:r>
      <w:r w:rsidR="00F93C2A">
        <w:rPr>
          <w:sz w:val="22"/>
          <w:szCs w:val="22"/>
        </w:rPr>
        <w:t>trial</w:t>
      </w:r>
      <w:r w:rsidRPr="00073F5F">
        <w:rPr>
          <w:sz w:val="22"/>
          <w:szCs w:val="22"/>
        </w:rPr>
        <w:t xml:space="preserve"> 033.</w:t>
      </w:r>
    </w:p>
    <w:p w14:paraId="6C65E32F" w14:textId="052C6ABD" w:rsidR="008038EA" w:rsidRPr="00073F5F" w:rsidRDefault="00F93C2A" w:rsidP="00286FC0">
      <w:pPr>
        <w:pStyle w:val="C-BodyText"/>
        <w:spacing w:before="240" w:after="200" w:line="240" w:lineRule="auto"/>
        <w:rPr>
          <w:color w:val="000000" w:themeColor="text1"/>
          <w:szCs w:val="24"/>
        </w:rPr>
      </w:pPr>
      <w:r>
        <w:rPr>
          <w:sz w:val="22"/>
          <w:szCs w:val="22"/>
        </w:rPr>
        <w:t>Trial</w:t>
      </w:r>
      <w:r w:rsidR="00D952DB" w:rsidRPr="00E70A8B">
        <w:rPr>
          <w:sz w:val="22"/>
          <w:szCs w:val="22"/>
        </w:rPr>
        <w:t xml:space="preserve"> 033</w:t>
      </w:r>
      <w:r w:rsidR="00D952DB" w:rsidRPr="00073F5F">
        <w:rPr>
          <w:b/>
          <w:sz w:val="22"/>
          <w:szCs w:val="22"/>
        </w:rPr>
        <w:t xml:space="preserve"> </w:t>
      </w:r>
      <w:r w:rsidR="00D952DB" w:rsidRPr="00073F5F">
        <w:rPr>
          <w:sz w:val="22"/>
          <w:szCs w:val="22"/>
        </w:rPr>
        <w:t xml:space="preserve">compared </w:t>
      </w:r>
      <w:proofErr w:type="spellStart"/>
      <w:r w:rsidR="00D952DB" w:rsidRPr="00073F5F">
        <w:rPr>
          <w:sz w:val="22"/>
          <w:szCs w:val="22"/>
        </w:rPr>
        <w:t>tafenoquine</w:t>
      </w:r>
      <w:proofErr w:type="spellEnd"/>
      <w:r w:rsidR="00D952DB" w:rsidRPr="00073F5F">
        <w:rPr>
          <w:sz w:val="22"/>
          <w:szCs w:val="22"/>
        </w:rPr>
        <w:t xml:space="preserve"> with </w:t>
      </w:r>
      <w:proofErr w:type="spellStart"/>
      <w:r w:rsidR="00D952DB" w:rsidRPr="00073F5F">
        <w:rPr>
          <w:sz w:val="22"/>
          <w:szCs w:val="22"/>
        </w:rPr>
        <w:t>mefloquine</w:t>
      </w:r>
      <w:proofErr w:type="spellEnd"/>
      <w:r w:rsidR="00D952DB" w:rsidRPr="00073F5F">
        <w:rPr>
          <w:sz w:val="22"/>
          <w:szCs w:val="22"/>
        </w:rPr>
        <w:t xml:space="preserve"> for the prophylaxis of both </w:t>
      </w:r>
      <w:r w:rsidR="000B714F" w:rsidRPr="00286FC0">
        <w:rPr>
          <w:i/>
          <w:sz w:val="22"/>
          <w:szCs w:val="22"/>
        </w:rPr>
        <w:t>Plasmodium falciparum</w:t>
      </w:r>
      <w:r w:rsidR="000B714F">
        <w:rPr>
          <w:sz w:val="22"/>
          <w:szCs w:val="22"/>
        </w:rPr>
        <w:t xml:space="preserve"> (</w:t>
      </w:r>
      <w:r w:rsidR="00D952DB" w:rsidRPr="00073F5F">
        <w:rPr>
          <w:i/>
          <w:sz w:val="22"/>
          <w:szCs w:val="22"/>
        </w:rPr>
        <w:t>Pf</w:t>
      </w:r>
      <w:r w:rsidR="000B714F">
        <w:rPr>
          <w:sz w:val="22"/>
          <w:szCs w:val="22"/>
        </w:rPr>
        <w:t>)</w:t>
      </w:r>
      <w:r w:rsidR="00D952DB" w:rsidRPr="00073F5F">
        <w:rPr>
          <w:sz w:val="22"/>
          <w:szCs w:val="22"/>
        </w:rPr>
        <w:t xml:space="preserve"> and </w:t>
      </w:r>
      <w:r w:rsidR="00D952DB" w:rsidRPr="00073F5F">
        <w:rPr>
          <w:i/>
          <w:sz w:val="22"/>
          <w:szCs w:val="22"/>
        </w:rPr>
        <w:t>Plasmodium vivax</w:t>
      </w:r>
      <w:r w:rsidR="00D952DB" w:rsidRPr="00073F5F">
        <w:rPr>
          <w:sz w:val="22"/>
          <w:szCs w:val="22"/>
        </w:rPr>
        <w:t xml:space="preserve"> (</w:t>
      </w:r>
      <w:proofErr w:type="spellStart"/>
      <w:r w:rsidR="00D952DB" w:rsidRPr="00073F5F">
        <w:rPr>
          <w:i/>
          <w:sz w:val="22"/>
          <w:szCs w:val="22"/>
        </w:rPr>
        <w:t>Pv</w:t>
      </w:r>
      <w:proofErr w:type="spellEnd"/>
      <w:r w:rsidR="00D952DB" w:rsidRPr="00073F5F">
        <w:rPr>
          <w:sz w:val="22"/>
          <w:szCs w:val="22"/>
        </w:rPr>
        <w:t xml:space="preserve">) malaria in healthy non-immune Australian soldiers deployed </w:t>
      </w:r>
      <w:r w:rsidR="009A1553" w:rsidRPr="00073F5F">
        <w:rPr>
          <w:sz w:val="22"/>
          <w:szCs w:val="22"/>
        </w:rPr>
        <w:t>to East Timor (now Timor-</w:t>
      </w:r>
      <w:r w:rsidR="009A1553" w:rsidRPr="00073F5F">
        <w:t>Leste</w:t>
      </w:r>
      <w:r w:rsidR="009A1553" w:rsidRPr="00073F5F">
        <w:rPr>
          <w:szCs w:val="24"/>
        </w:rPr>
        <w:t>)</w:t>
      </w:r>
      <w:r w:rsidR="008038EA" w:rsidRPr="00073F5F">
        <w:rPr>
          <w:szCs w:val="24"/>
        </w:rPr>
        <w:t>.</w:t>
      </w:r>
    </w:p>
    <w:p w14:paraId="1BC973BE" w14:textId="77777777" w:rsidR="008038EA" w:rsidRPr="00073F5F" w:rsidRDefault="00721198" w:rsidP="009F52D5">
      <w:pPr>
        <w:pStyle w:val="C-BodyText"/>
        <w:spacing w:before="0" w:after="200" w:line="240" w:lineRule="auto"/>
        <w:rPr>
          <w:color w:val="000000" w:themeColor="text1"/>
          <w:sz w:val="22"/>
          <w:szCs w:val="22"/>
        </w:rPr>
      </w:pPr>
      <w:r w:rsidRPr="00073F5F">
        <w:rPr>
          <w:color w:val="000000" w:themeColor="text1"/>
          <w:sz w:val="22"/>
          <w:szCs w:val="22"/>
        </w:rPr>
        <w:t xml:space="preserve">The </w:t>
      </w:r>
      <w:r w:rsidR="00F93C2A">
        <w:rPr>
          <w:color w:val="000000" w:themeColor="text1"/>
          <w:sz w:val="22"/>
          <w:szCs w:val="22"/>
        </w:rPr>
        <w:t>trial</w:t>
      </w:r>
      <w:r w:rsidRPr="00073F5F">
        <w:rPr>
          <w:color w:val="000000" w:themeColor="text1"/>
          <w:sz w:val="22"/>
          <w:szCs w:val="22"/>
        </w:rPr>
        <w:t xml:space="preserve"> was carried out from 1999-2000</w:t>
      </w:r>
      <w:r w:rsidR="008038EA" w:rsidRPr="00073F5F">
        <w:rPr>
          <w:color w:val="000000" w:themeColor="text1"/>
          <w:sz w:val="22"/>
          <w:szCs w:val="22"/>
        </w:rPr>
        <w:t xml:space="preserve">. </w:t>
      </w:r>
      <w:r w:rsidR="00EF6A31">
        <w:rPr>
          <w:color w:val="000000" w:themeColor="text1"/>
          <w:sz w:val="22"/>
          <w:szCs w:val="22"/>
        </w:rPr>
        <w:t>All applicable ethical and informed consent procedures were appropriately undertaken</w:t>
      </w:r>
      <w:r w:rsidR="008038EA" w:rsidRPr="00073F5F">
        <w:rPr>
          <w:color w:val="000000" w:themeColor="text1"/>
          <w:sz w:val="22"/>
          <w:szCs w:val="22"/>
        </w:rPr>
        <w:t>.</w:t>
      </w:r>
    </w:p>
    <w:p w14:paraId="1A6A08A2" w14:textId="77777777" w:rsidR="008038EA" w:rsidRPr="00073F5F" w:rsidRDefault="00D952DB" w:rsidP="009F52D5">
      <w:pPr>
        <w:pStyle w:val="C-BodyText"/>
        <w:spacing w:before="0" w:after="200" w:line="240" w:lineRule="auto"/>
        <w:rPr>
          <w:sz w:val="22"/>
          <w:szCs w:val="22"/>
        </w:rPr>
      </w:pPr>
      <w:r w:rsidRPr="00073F5F">
        <w:t>The</w:t>
      </w:r>
      <w:r w:rsidRPr="00073F5F">
        <w:rPr>
          <w:sz w:val="22"/>
          <w:szCs w:val="22"/>
        </w:rPr>
        <w:t xml:space="preserve"> </w:t>
      </w:r>
      <w:r w:rsidR="00F93C2A">
        <w:rPr>
          <w:sz w:val="22"/>
          <w:szCs w:val="22"/>
        </w:rPr>
        <w:t>trial</w:t>
      </w:r>
      <w:r w:rsidRPr="00073F5F">
        <w:rPr>
          <w:sz w:val="22"/>
          <w:szCs w:val="22"/>
        </w:rPr>
        <w:t xml:space="preserve"> was divided into two phases. The first, or prophylactic phase, consisted of a 26-week period during deployment where subjects received prophylactic </w:t>
      </w:r>
      <w:r w:rsidR="00F93C2A">
        <w:rPr>
          <w:sz w:val="22"/>
          <w:szCs w:val="22"/>
        </w:rPr>
        <w:t>trial</w:t>
      </w:r>
      <w:r w:rsidRPr="00073F5F">
        <w:rPr>
          <w:sz w:val="22"/>
          <w:szCs w:val="22"/>
        </w:rPr>
        <w:t xml:space="preserve"> medication (</w:t>
      </w:r>
      <w:proofErr w:type="spellStart"/>
      <w:r w:rsidRPr="00073F5F">
        <w:rPr>
          <w:sz w:val="22"/>
          <w:szCs w:val="22"/>
        </w:rPr>
        <w:t>tafenoquine</w:t>
      </w:r>
      <w:proofErr w:type="spellEnd"/>
      <w:r w:rsidRPr="00073F5F">
        <w:rPr>
          <w:sz w:val="22"/>
          <w:szCs w:val="22"/>
        </w:rPr>
        <w:t xml:space="preserve"> 200 mg or </w:t>
      </w:r>
      <w:proofErr w:type="spellStart"/>
      <w:r w:rsidRPr="00073F5F">
        <w:rPr>
          <w:sz w:val="22"/>
          <w:szCs w:val="22"/>
        </w:rPr>
        <w:t>mefloquine</w:t>
      </w:r>
      <w:proofErr w:type="spellEnd"/>
      <w:r w:rsidRPr="00073F5F">
        <w:rPr>
          <w:sz w:val="22"/>
          <w:szCs w:val="22"/>
        </w:rPr>
        <w:t xml:space="preserve"> 250 mg). At the end of the deployment to the </w:t>
      </w:r>
      <w:proofErr w:type="spellStart"/>
      <w:r w:rsidRPr="00073F5F">
        <w:rPr>
          <w:sz w:val="22"/>
          <w:szCs w:val="22"/>
        </w:rPr>
        <w:t>malarious</w:t>
      </w:r>
      <w:proofErr w:type="spellEnd"/>
      <w:r w:rsidRPr="00073F5F">
        <w:rPr>
          <w:sz w:val="22"/>
          <w:szCs w:val="22"/>
        </w:rPr>
        <w:t xml:space="preserve"> area and once the subjects had returned to barracks in Townsville, Australia, the subjects entered a 24-week relapse follow-up phase. During this follow-up phase, subjects who had been on </w:t>
      </w:r>
      <w:proofErr w:type="spellStart"/>
      <w:r w:rsidRPr="00073F5F">
        <w:rPr>
          <w:sz w:val="22"/>
          <w:szCs w:val="22"/>
        </w:rPr>
        <w:t>mefloquine</w:t>
      </w:r>
      <w:proofErr w:type="spellEnd"/>
      <w:r w:rsidRPr="00073F5F">
        <w:rPr>
          <w:sz w:val="22"/>
          <w:szCs w:val="22"/>
        </w:rPr>
        <w:t xml:space="preserve"> prophylaxis received 14</w:t>
      </w:r>
      <w:r w:rsidRPr="00073F5F">
        <w:rPr>
          <w:sz w:val="22"/>
          <w:szCs w:val="22"/>
        </w:rPr>
        <w:noBreakHyphen/>
        <w:t xml:space="preserve">days of </w:t>
      </w:r>
      <w:proofErr w:type="spellStart"/>
      <w:r w:rsidRPr="00073F5F">
        <w:rPr>
          <w:sz w:val="22"/>
          <w:szCs w:val="22"/>
        </w:rPr>
        <w:t>primaquine</w:t>
      </w:r>
      <w:proofErr w:type="spellEnd"/>
      <w:r w:rsidRPr="00073F5F">
        <w:rPr>
          <w:sz w:val="22"/>
          <w:szCs w:val="22"/>
        </w:rPr>
        <w:t xml:space="preserve"> (15 mg bid) while subjects on </w:t>
      </w:r>
      <w:proofErr w:type="spellStart"/>
      <w:r w:rsidRPr="00073F5F">
        <w:rPr>
          <w:sz w:val="22"/>
          <w:szCs w:val="22"/>
        </w:rPr>
        <w:t>tafenoquine</w:t>
      </w:r>
      <w:proofErr w:type="spellEnd"/>
      <w:r w:rsidRPr="00073F5F">
        <w:rPr>
          <w:sz w:val="22"/>
          <w:szCs w:val="22"/>
        </w:rPr>
        <w:t xml:space="preserve"> prophylaxis receive</w:t>
      </w:r>
      <w:r w:rsidR="008038EA" w:rsidRPr="00073F5F">
        <w:rPr>
          <w:sz w:val="22"/>
          <w:szCs w:val="22"/>
        </w:rPr>
        <w:t>d placebo capsules for 14</w:t>
      </w:r>
      <w:r w:rsidR="007F6BAC">
        <w:rPr>
          <w:sz w:val="22"/>
          <w:szCs w:val="22"/>
          <w:lang w:val="en-GB"/>
        </w:rPr>
        <w:t> </w:t>
      </w:r>
      <w:r w:rsidR="008038EA" w:rsidRPr="00073F5F">
        <w:rPr>
          <w:sz w:val="22"/>
          <w:szCs w:val="22"/>
        </w:rPr>
        <w:t>days.</w:t>
      </w:r>
    </w:p>
    <w:p w14:paraId="70D9E2B3" w14:textId="0B803BBE" w:rsidR="00D952DB" w:rsidRPr="00073F5F" w:rsidRDefault="008038EA" w:rsidP="009F52D5">
      <w:pPr>
        <w:pStyle w:val="C-BodyText"/>
        <w:spacing w:before="0" w:after="200" w:line="240" w:lineRule="auto"/>
        <w:rPr>
          <w:color w:val="000000" w:themeColor="text1"/>
          <w:sz w:val="22"/>
          <w:szCs w:val="22"/>
        </w:rPr>
      </w:pPr>
      <w:r w:rsidRPr="00073F5F">
        <w:rPr>
          <w:color w:val="000000" w:themeColor="text1"/>
          <w:sz w:val="22"/>
          <w:szCs w:val="22"/>
        </w:rPr>
        <w:t>Subjects with documented G6PD enzyme deficiency or a history of psychiatric disorders and/or seizures were excluded</w:t>
      </w:r>
      <w:r w:rsidR="003C78D5">
        <w:rPr>
          <w:color w:val="000000" w:themeColor="text1"/>
          <w:sz w:val="22"/>
          <w:szCs w:val="22"/>
        </w:rPr>
        <w:t>, as well as</w:t>
      </w:r>
      <w:r w:rsidRPr="00073F5F">
        <w:rPr>
          <w:color w:val="000000" w:themeColor="text1"/>
          <w:sz w:val="22"/>
          <w:szCs w:val="22"/>
        </w:rPr>
        <w:t xml:space="preserve"> subjects with any significant medical history or concurrent </w:t>
      </w:r>
      <w:r w:rsidR="003C78D5">
        <w:rPr>
          <w:color w:val="000000" w:themeColor="text1"/>
          <w:sz w:val="22"/>
          <w:szCs w:val="22"/>
        </w:rPr>
        <w:t xml:space="preserve">medical </w:t>
      </w:r>
      <w:r w:rsidRPr="00073F5F">
        <w:rPr>
          <w:color w:val="000000" w:themeColor="text1"/>
          <w:sz w:val="22"/>
          <w:szCs w:val="22"/>
        </w:rPr>
        <w:t>condition</w:t>
      </w:r>
      <w:r w:rsidR="003C78D5">
        <w:rPr>
          <w:color w:val="000000" w:themeColor="text1"/>
          <w:sz w:val="22"/>
          <w:szCs w:val="22"/>
        </w:rPr>
        <w:t>.</w:t>
      </w:r>
      <w:r w:rsidRPr="00073F5F">
        <w:rPr>
          <w:color w:val="000000" w:themeColor="text1"/>
          <w:sz w:val="22"/>
          <w:szCs w:val="22"/>
        </w:rPr>
        <w:t xml:space="preserve"> All subjects (N=654) were healthy at baseline </w:t>
      </w:r>
      <w:r w:rsidR="003C78D5" w:rsidRPr="00073F5F">
        <w:rPr>
          <w:color w:val="000000" w:themeColor="text1"/>
          <w:sz w:val="22"/>
          <w:szCs w:val="22"/>
        </w:rPr>
        <w:t xml:space="preserve">with </w:t>
      </w:r>
      <w:r w:rsidR="003C78D5">
        <w:rPr>
          <w:color w:val="000000" w:themeColor="text1"/>
          <w:sz w:val="22"/>
          <w:szCs w:val="22"/>
        </w:rPr>
        <w:t xml:space="preserve">an </w:t>
      </w:r>
      <w:r w:rsidR="003C78D5" w:rsidRPr="00073F5F">
        <w:rPr>
          <w:color w:val="000000" w:themeColor="text1"/>
          <w:sz w:val="22"/>
          <w:szCs w:val="22"/>
        </w:rPr>
        <w:t>age range of 18-47 years</w:t>
      </w:r>
      <w:r w:rsidR="003C78D5">
        <w:rPr>
          <w:color w:val="000000" w:themeColor="text1"/>
          <w:sz w:val="22"/>
          <w:szCs w:val="22"/>
        </w:rPr>
        <w:t>. M</w:t>
      </w:r>
      <w:r w:rsidRPr="00073F5F">
        <w:rPr>
          <w:color w:val="000000" w:themeColor="text1"/>
          <w:sz w:val="22"/>
          <w:szCs w:val="22"/>
        </w:rPr>
        <w:t xml:space="preserve">ean age </w:t>
      </w:r>
      <w:r w:rsidR="003C78D5">
        <w:rPr>
          <w:color w:val="000000" w:themeColor="text1"/>
          <w:sz w:val="22"/>
          <w:szCs w:val="22"/>
        </w:rPr>
        <w:t>was</w:t>
      </w:r>
      <w:r w:rsidRPr="00073F5F">
        <w:rPr>
          <w:color w:val="000000" w:themeColor="text1"/>
          <w:sz w:val="22"/>
          <w:szCs w:val="22"/>
        </w:rPr>
        <w:t xml:space="preserve"> 25±5 years in </w:t>
      </w:r>
      <w:r w:rsidR="003C78D5">
        <w:rPr>
          <w:color w:val="000000" w:themeColor="text1"/>
          <w:sz w:val="22"/>
          <w:szCs w:val="22"/>
        </w:rPr>
        <w:t xml:space="preserve">the </w:t>
      </w:r>
      <w:proofErr w:type="spellStart"/>
      <w:r w:rsidRPr="00073F5F">
        <w:rPr>
          <w:color w:val="000000" w:themeColor="text1"/>
          <w:sz w:val="22"/>
          <w:szCs w:val="22"/>
        </w:rPr>
        <w:t>tafenoquine</w:t>
      </w:r>
      <w:proofErr w:type="spellEnd"/>
      <w:r w:rsidRPr="00073F5F">
        <w:rPr>
          <w:color w:val="000000" w:themeColor="text1"/>
          <w:sz w:val="22"/>
          <w:szCs w:val="22"/>
        </w:rPr>
        <w:t xml:space="preserve"> group and 26±6 years in </w:t>
      </w:r>
      <w:proofErr w:type="spellStart"/>
      <w:r w:rsidRPr="00073F5F">
        <w:rPr>
          <w:color w:val="000000" w:themeColor="text1"/>
          <w:sz w:val="22"/>
          <w:szCs w:val="22"/>
        </w:rPr>
        <w:t>mefloquine</w:t>
      </w:r>
      <w:proofErr w:type="spellEnd"/>
      <w:r w:rsidRPr="00073F5F">
        <w:rPr>
          <w:color w:val="000000" w:themeColor="text1"/>
          <w:sz w:val="22"/>
          <w:szCs w:val="22"/>
        </w:rPr>
        <w:t xml:space="preserve"> group</w:t>
      </w:r>
      <w:r w:rsidR="003C78D5">
        <w:rPr>
          <w:color w:val="000000" w:themeColor="text1"/>
          <w:sz w:val="22"/>
          <w:szCs w:val="22"/>
        </w:rPr>
        <w:t>.</w:t>
      </w:r>
      <w:r w:rsidRPr="00073F5F">
        <w:rPr>
          <w:color w:val="000000" w:themeColor="text1"/>
          <w:sz w:val="22"/>
          <w:szCs w:val="22"/>
        </w:rPr>
        <w:t xml:space="preserve"> Subjects were mostly</w:t>
      </w:r>
      <w:r w:rsidR="00D952DB" w:rsidRPr="00073F5F">
        <w:rPr>
          <w:color w:val="000000" w:themeColor="text1"/>
          <w:sz w:val="22"/>
          <w:szCs w:val="22"/>
        </w:rPr>
        <w:t xml:space="preserve"> male</w:t>
      </w:r>
      <w:r w:rsidRPr="00073F5F">
        <w:rPr>
          <w:color w:val="000000" w:themeColor="text1"/>
          <w:sz w:val="22"/>
          <w:szCs w:val="22"/>
        </w:rPr>
        <w:t xml:space="preserve"> (97%) and of white </w:t>
      </w:r>
      <w:r w:rsidR="002713DB" w:rsidRPr="00073F5F">
        <w:rPr>
          <w:color w:val="000000" w:themeColor="text1"/>
          <w:sz w:val="22"/>
          <w:szCs w:val="22"/>
        </w:rPr>
        <w:t>ethnicity (99%).</w:t>
      </w:r>
    </w:p>
    <w:p w14:paraId="71DAE18A" w14:textId="51809F2B" w:rsidR="00D952DB" w:rsidRPr="00073F5F" w:rsidRDefault="00D952DB" w:rsidP="00E94138">
      <w:pPr>
        <w:spacing w:line="240" w:lineRule="auto"/>
        <w:rPr>
          <w:rFonts w:ascii="Times New Roman" w:hAnsi="Times New Roman" w:cs="Times New Roman"/>
        </w:rPr>
      </w:pPr>
      <w:r w:rsidRPr="00073F5F">
        <w:rPr>
          <w:rFonts w:ascii="Times New Roman" w:hAnsi="Times New Roman" w:cs="Times New Roman"/>
        </w:rPr>
        <w:lastRenderedPageBreak/>
        <w:t>The primary efficacy endpoint was prophylactic failure (</w:t>
      </w:r>
      <w:r w:rsidR="00B43A53">
        <w:rPr>
          <w:rFonts w:ascii="Times New Roman" w:hAnsi="Times New Roman" w:cs="Times New Roman"/>
        </w:rPr>
        <w:fldChar w:fldCharType="begin"/>
      </w:r>
      <w:r w:rsidR="00F6546C">
        <w:rPr>
          <w:rFonts w:ascii="Times New Roman" w:hAnsi="Times New Roman" w:cs="Times New Roman"/>
        </w:rPr>
        <w:instrText xml:space="preserve"> REF _Ref524345251 \h </w:instrText>
      </w:r>
      <w:r w:rsidR="00B43A53">
        <w:rPr>
          <w:rFonts w:ascii="Times New Roman" w:hAnsi="Times New Roman" w:cs="Times New Roman"/>
        </w:rPr>
      </w:r>
      <w:r w:rsidR="00B43A53">
        <w:rPr>
          <w:rFonts w:ascii="Times New Roman" w:hAnsi="Times New Roman" w:cs="Times New Roman"/>
        </w:rPr>
        <w:fldChar w:fldCharType="separate"/>
      </w:r>
      <w:r w:rsidR="00F6546C" w:rsidRPr="00073F5F">
        <w:rPr>
          <w:rFonts w:ascii="Times New Roman" w:hAnsi="Times New Roman" w:cs="Times New Roman"/>
        </w:rPr>
        <w:t xml:space="preserve">Table </w:t>
      </w:r>
      <w:r w:rsidR="00F6546C">
        <w:rPr>
          <w:noProof/>
        </w:rPr>
        <w:t>5</w:t>
      </w:r>
      <w:r w:rsidR="00B43A53">
        <w:rPr>
          <w:rFonts w:ascii="Times New Roman" w:hAnsi="Times New Roman" w:cs="Times New Roman"/>
        </w:rPr>
        <w:fldChar w:fldCharType="end"/>
      </w:r>
      <w:r w:rsidRPr="00F16A76">
        <w:rPr>
          <w:rFonts w:ascii="Times New Roman" w:hAnsi="Times New Roman" w:cs="Times New Roman"/>
        </w:rPr>
        <w:t xml:space="preserve">): </w:t>
      </w:r>
      <w:proofErr w:type="spellStart"/>
      <w:r w:rsidRPr="00F16A76">
        <w:rPr>
          <w:rFonts w:ascii="Times New Roman" w:hAnsi="Times New Roman" w:cs="Times New Roman"/>
        </w:rPr>
        <w:t>parasitologic</w:t>
      </w:r>
      <w:proofErr w:type="spellEnd"/>
      <w:r w:rsidRPr="00F16A76">
        <w:rPr>
          <w:rFonts w:ascii="Times New Roman" w:hAnsi="Times New Roman" w:cs="Times New Roman"/>
        </w:rPr>
        <w:t xml:space="preserve"> and clinical failure during the 26-week prophylactic phase. The protocol-defined principal efficacy analysis was based on the per-protocol (PP) population, </w:t>
      </w:r>
      <w:r w:rsidR="003C78D5">
        <w:rPr>
          <w:rFonts w:ascii="Times New Roman" w:hAnsi="Times New Roman" w:cs="Times New Roman"/>
        </w:rPr>
        <w:t xml:space="preserve">which consisted of </w:t>
      </w:r>
      <w:r w:rsidRPr="00F16A76">
        <w:rPr>
          <w:rFonts w:ascii="Times New Roman" w:hAnsi="Times New Roman" w:cs="Times New Roman"/>
        </w:rPr>
        <w:t xml:space="preserve">all randomised subjects who satisfied inclusion/exclusion criteria and subsequently adhered to the protocol. </w:t>
      </w:r>
      <w:r w:rsidR="00EF6A31">
        <w:rPr>
          <w:rFonts w:ascii="Times New Roman" w:hAnsi="Times New Roman" w:cs="Times New Roman"/>
        </w:rPr>
        <w:t xml:space="preserve">A very high compliance to </w:t>
      </w:r>
      <w:r w:rsidR="00F93C2A">
        <w:rPr>
          <w:rFonts w:ascii="Times New Roman" w:hAnsi="Times New Roman" w:cs="Times New Roman"/>
        </w:rPr>
        <w:t>trial</w:t>
      </w:r>
      <w:r w:rsidR="00EF6A31">
        <w:rPr>
          <w:rFonts w:ascii="Times New Roman" w:hAnsi="Times New Roman" w:cs="Times New Roman"/>
        </w:rPr>
        <w:t xml:space="preserve"> drugs was </w:t>
      </w:r>
      <w:r w:rsidR="003C78D5">
        <w:rPr>
          <w:rFonts w:ascii="Times New Roman" w:hAnsi="Times New Roman" w:cs="Times New Roman"/>
        </w:rPr>
        <w:t>observed</w:t>
      </w:r>
      <w:r w:rsidR="00EF6A31">
        <w:rPr>
          <w:rFonts w:ascii="Times New Roman" w:hAnsi="Times New Roman" w:cs="Times New Roman"/>
        </w:rPr>
        <w:t xml:space="preserve"> in the </w:t>
      </w:r>
      <w:r w:rsidR="00F93C2A">
        <w:rPr>
          <w:rFonts w:ascii="Times New Roman" w:hAnsi="Times New Roman" w:cs="Times New Roman"/>
        </w:rPr>
        <w:t>trial</w:t>
      </w:r>
      <w:r w:rsidR="00EF6A31">
        <w:rPr>
          <w:rFonts w:ascii="Times New Roman" w:hAnsi="Times New Roman" w:cs="Times New Roman"/>
        </w:rPr>
        <w:t xml:space="preserve"> – 100% for the loading dose, 99% for the weekly regimens and 96% during the relapse follow-up phase. </w:t>
      </w:r>
      <w:r w:rsidRPr="00F16A76">
        <w:rPr>
          <w:rFonts w:ascii="Times New Roman" w:hAnsi="Times New Roman" w:cs="Times New Roman"/>
        </w:rPr>
        <w:t xml:space="preserve">No subject was a prophylactic failure during the prophylactic phase. Historic control data indicate that 7.9% of subjects would have become infected (6.9% with </w:t>
      </w:r>
      <w:proofErr w:type="spellStart"/>
      <w:proofErr w:type="gramStart"/>
      <w:r w:rsidRPr="00073F5F">
        <w:rPr>
          <w:rFonts w:ascii="Times New Roman" w:hAnsi="Times New Roman" w:cs="Times New Roman"/>
          <w:i/>
        </w:rPr>
        <w:t>Pv</w:t>
      </w:r>
      <w:proofErr w:type="spellEnd"/>
      <w:proofErr w:type="gramEnd"/>
      <w:r w:rsidRPr="00073F5F">
        <w:rPr>
          <w:rFonts w:ascii="Times New Roman" w:hAnsi="Times New Roman" w:cs="Times New Roman"/>
        </w:rPr>
        <w:t xml:space="preserve">, 1.0% with </w:t>
      </w:r>
      <w:r w:rsidRPr="00073F5F">
        <w:rPr>
          <w:rFonts w:ascii="Times New Roman" w:hAnsi="Times New Roman" w:cs="Times New Roman"/>
          <w:i/>
        </w:rPr>
        <w:t>Pf</w:t>
      </w:r>
      <w:r w:rsidRPr="00073F5F">
        <w:rPr>
          <w:rFonts w:ascii="Times New Roman" w:hAnsi="Times New Roman" w:cs="Times New Roman"/>
        </w:rPr>
        <w:t>) under those conditions.</w:t>
      </w:r>
    </w:p>
    <w:p w14:paraId="750B565A" w14:textId="77777777" w:rsidR="00D952DB" w:rsidRPr="00073F5F" w:rsidRDefault="00D952DB" w:rsidP="009F52D5">
      <w:pPr>
        <w:pStyle w:val="Caption"/>
        <w:spacing w:before="0" w:after="200" w:line="240" w:lineRule="auto"/>
        <w:rPr>
          <w:sz w:val="22"/>
          <w:szCs w:val="22"/>
        </w:rPr>
      </w:pPr>
      <w:bookmarkStart w:id="3" w:name="_Ref524345251"/>
      <w:r w:rsidRPr="00073F5F">
        <w:rPr>
          <w:sz w:val="22"/>
          <w:szCs w:val="22"/>
        </w:rPr>
        <w:t xml:space="preserve">Table </w:t>
      </w:r>
      <w:r w:rsidR="00B43A53" w:rsidRPr="00073F5F">
        <w:rPr>
          <w:sz w:val="22"/>
          <w:szCs w:val="22"/>
        </w:rPr>
        <w:fldChar w:fldCharType="begin"/>
      </w:r>
      <w:r w:rsidRPr="00073F5F">
        <w:rPr>
          <w:sz w:val="22"/>
          <w:szCs w:val="22"/>
        </w:rPr>
        <w:instrText xml:space="preserve"> SEQ Table \* ARABIC </w:instrText>
      </w:r>
      <w:r w:rsidR="00B43A53" w:rsidRPr="00073F5F">
        <w:rPr>
          <w:sz w:val="22"/>
          <w:szCs w:val="22"/>
        </w:rPr>
        <w:fldChar w:fldCharType="separate"/>
      </w:r>
      <w:r w:rsidR="00F6546C">
        <w:rPr>
          <w:noProof/>
          <w:sz w:val="22"/>
          <w:szCs w:val="22"/>
        </w:rPr>
        <w:t>5</w:t>
      </w:r>
      <w:r w:rsidR="00B43A53" w:rsidRPr="00073F5F">
        <w:rPr>
          <w:sz w:val="22"/>
          <w:szCs w:val="22"/>
        </w:rPr>
        <w:fldChar w:fldCharType="end"/>
      </w:r>
      <w:bookmarkEnd w:id="3"/>
      <w:r w:rsidRPr="00F16A76">
        <w:rPr>
          <w:sz w:val="22"/>
          <w:szCs w:val="22"/>
        </w:rPr>
        <w:t>:</w:t>
      </w:r>
      <w:r w:rsidRPr="00F16A76">
        <w:rPr>
          <w:sz w:val="22"/>
          <w:szCs w:val="22"/>
        </w:rPr>
        <w:tab/>
        <w:t>Prop</w:t>
      </w:r>
      <w:r w:rsidRPr="00073F5F">
        <w:rPr>
          <w:sz w:val="22"/>
          <w:szCs w:val="22"/>
        </w:rPr>
        <w:t xml:space="preserve">hylactic Outcome </w:t>
      </w:r>
      <w:proofErr w:type="gramStart"/>
      <w:r w:rsidRPr="00073F5F">
        <w:rPr>
          <w:sz w:val="22"/>
          <w:szCs w:val="22"/>
        </w:rPr>
        <w:t>During</w:t>
      </w:r>
      <w:proofErr w:type="gramEnd"/>
      <w:r w:rsidRPr="00073F5F">
        <w:rPr>
          <w:sz w:val="22"/>
          <w:szCs w:val="22"/>
        </w:rPr>
        <w:t xml:space="preserve"> the Prophylactic Treatment Phase (PP Population) for </w:t>
      </w:r>
      <w:r w:rsidR="00F93C2A">
        <w:rPr>
          <w:sz w:val="22"/>
          <w:szCs w:val="22"/>
        </w:rPr>
        <w:t>Trial</w:t>
      </w:r>
      <w:r w:rsidRPr="00073F5F">
        <w:rPr>
          <w:sz w:val="22"/>
          <w:szCs w:val="22"/>
        </w:rPr>
        <w:t xml:space="preserve"> 033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0"/>
        <w:gridCol w:w="2571"/>
        <w:gridCol w:w="2571"/>
      </w:tblGrid>
      <w:tr w:rsidR="00D952DB" w:rsidRPr="00F6546C" w14:paraId="5DF51544" w14:textId="77777777" w:rsidTr="00F6546C">
        <w:trPr>
          <w:trHeight w:val="312"/>
          <w:tblHeader/>
        </w:trPr>
        <w:tc>
          <w:tcPr>
            <w:tcW w:w="2218" w:type="pct"/>
            <w:vAlign w:val="center"/>
          </w:tcPr>
          <w:p w14:paraId="4EFCB833" w14:textId="77777777" w:rsidR="00D952DB" w:rsidRPr="00F6546C" w:rsidRDefault="00D952DB" w:rsidP="00E30275">
            <w:pPr>
              <w:pStyle w:val="C-TableHeader"/>
              <w:spacing w:before="0" w:after="0"/>
            </w:pPr>
            <w:r w:rsidRPr="00F6546C">
              <w:t>Prophylactic Outcome</w:t>
            </w:r>
          </w:p>
        </w:tc>
        <w:tc>
          <w:tcPr>
            <w:tcW w:w="2782" w:type="pct"/>
            <w:gridSpan w:val="2"/>
          </w:tcPr>
          <w:p w14:paraId="50335FF5" w14:textId="77777777" w:rsidR="00D952DB" w:rsidRPr="00F6546C" w:rsidRDefault="00D952DB" w:rsidP="00E30275">
            <w:pPr>
              <w:pStyle w:val="C-TableHeader"/>
              <w:spacing w:before="0" w:after="0"/>
              <w:jc w:val="center"/>
            </w:pPr>
            <w:r w:rsidRPr="00F6546C">
              <w:t>Treatment Group</w:t>
            </w:r>
          </w:p>
        </w:tc>
      </w:tr>
      <w:tr w:rsidR="00D952DB" w:rsidRPr="00F6546C" w14:paraId="1555660E" w14:textId="77777777" w:rsidTr="00F6546C">
        <w:trPr>
          <w:tblHeader/>
        </w:trPr>
        <w:tc>
          <w:tcPr>
            <w:tcW w:w="2218" w:type="pct"/>
          </w:tcPr>
          <w:p w14:paraId="1E3DB4B0" w14:textId="77777777" w:rsidR="00D952DB" w:rsidRPr="00F6546C" w:rsidRDefault="00D952DB" w:rsidP="00E30275">
            <w:pPr>
              <w:pStyle w:val="C-TableHeader"/>
              <w:spacing w:before="0" w:after="0"/>
              <w:jc w:val="center"/>
            </w:pPr>
          </w:p>
        </w:tc>
        <w:tc>
          <w:tcPr>
            <w:tcW w:w="1391" w:type="pct"/>
          </w:tcPr>
          <w:p w14:paraId="40497564" w14:textId="77777777" w:rsidR="00D952DB" w:rsidRPr="00F6546C" w:rsidRDefault="00D952DB" w:rsidP="00E30275">
            <w:pPr>
              <w:pStyle w:val="C-TableHeader"/>
              <w:spacing w:before="0" w:after="0"/>
              <w:jc w:val="center"/>
            </w:pPr>
            <w:proofErr w:type="spellStart"/>
            <w:r w:rsidRPr="00F6546C">
              <w:t>Tafenoquine</w:t>
            </w:r>
            <w:proofErr w:type="spellEnd"/>
            <w:r w:rsidRPr="00F6546C">
              <w:t xml:space="preserve"> 200 </w:t>
            </w:r>
            <w:proofErr w:type="spellStart"/>
            <w:r w:rsidRPr="00F6546C">
              <w:t>mg</w:t>
            </w:r>
            <w:r w:rsidRPr="00F6546C">
              <w:rPr>
                <w:rStyle w:val="C-TableCallout"/>
                <w:b w:val="0"/>
                <w:sz w:val="20"/>
              </w:rPr>
              <w:t>a</w:t>
            </w:r>
            <w:proofErr w:type="spellEnd"/>
          </w:p>
        </w:tc>
        <w:tc>
          <w:tcPr>
            <w:tcW w:w="1391" w:type="pct"/>
          </w:tcPr>
          <w:p w14:paraId="5D2952AC" w14:textId="77777777" w:rsidR="00D952DB" w:rsidRPr="00F6546C" w:rsidRDefault="00D952DB" w:rsidP="00E30275">
            <w:pPr>
              <w:pStyle w:val="C-TableHeader"/>
              <w:spacing w:before="0" w:after="0"/>
              <w:jc w:val="center"/>
            </w:pPr>
            <w:proofErr w:type="spellStart"/>
            <w:r w:rsidRPr="00F6546C">
              <w:t>Mefloquine</w:t>
            </w:r>
            <w:proofErr w:type="spellEnd"/>
            <w:r w:rsidRPr="00F6546C">
              <w:t xml:space="preserve"> 250 </w:t>
            </w:r>
            <w:proofErr w:type="spellStart"/>
            <w:r w:rsidRPr="00F6546C">
              <w:t>mg</w:t>
            </w:r>
            <w:r w:rsidRPr="00F6546C">
              <w:rPr>
                <w:rStyle w:val="C-TableCallout"/>
                <w:b w:val="0"/>
                <w:sz w:val="20"/>
              </w:rPr>
              <w:t>b</w:t>
            </w:r>
            <w:proofErr w:type="spellEnd"/>
          </w:p>
        </w:tc>
      </w:tr>
      <w:tr w:rsidR="00D952DB" w:rsidRPr="00F6546C" w14:paraId="2AE78D6E" w14:textId="77777777" w:rsidTr="00F6546C">
        <w:trPr>
          <w:trHeight w:val="312"/>
        </w:trPr>
        <w:tc>
          <w:tcPr>
            <w:tcW w:w="2218" w:type="pct"/>
          </w:tcPr>
          <w:p w14:paraId="0838EB33" w14:textId="77777777" w:rsidR="00D952DB" w:rsidRPr="00F6546C" w:rsidRDefault="00D952DB" w:rsidP="00E30275">
            <w:pPr>
              <w:pStyle w:val="C-TableText"/>
              <w:spacing w:before="0" w:after="0"/>
              <w:rPr>
                <w:sz w:val="20"/>
                <w:szCs w:val="20"/>
              </w:rPr>
            </w:pPr>
            <w:r w:rsidRPr="00F6546C">
              <w:rPr>
                <w:sz w:val="20"/>
                <w:szCs w:val="20"/>
              </w:rPr>
              <w:t>Number of Subjects</w:t>
            </w:r>
          </w:p>
        </w:tc>
        <w:tc>
          <w:tcPr>
            <w:tcW w:w="1391" w:type="pct"/>
          </w:tcPr>
          <w:p w14:paraId="0AA3BB47" w14:textId="77777777" w:rsidR="00D952DB" w:rsidRPr="00F6546C" w:rsidRDefault="00D952DB" w:rsidP="00E30275">
            <w:pPr>
              <w:pStyle w:val="C-TableText"/>
              <w:spacing w:before="0" w:after="0"/>
              <w:jc w:val="center"/>
              <w:rPr>
                <w:sz w:val="20"/>
                <w:szCs w:val="20"/>
              </w:rPr>
            </w:pPr>
            <w:r w:rsidRPr="00F6546C">
              <w:rPr>
                <w:sz w:val="20"/>
                <w:szCs w:val="20"/>
              </w:rPr>
              <w:t>462</w:t>
            </w:r>
          </w:p>
        </w:tc>
        <w:tc>
          <w:tcPr>
            <w:tcW w:w="1391" w:type="pct"/>
          </w:tcPr>
          <w:p w14:paraId="46544BAA" w14:textId="77777777" w:rsidR="00D952DB" w:rsidRPr="00F6546C" w:rsidRDefault="00D952DB" w:rsidP="00E30275">
            <w:pPr>
              <w:pStyle w:val="C-TableText"/>
              <w:spacing w:before="0" w:after="0"/>
              <w:jc w:val="center"/>
              <w:rPr>
                <w:sz w:val="20"/>
                <w:szCs w:val="20"/>
              </w:rPr>
            </w:pPr>
            <w:r w:rsidRPr="00F6546C">
              <w:rPr>
                <w:sz w:val="20"/>
                <w:szCs w:val="20"/>
              </w:rPr>
              <w:t>153</w:t>
            </w:r>
          </w:p>
        </w:tc>
      </w:tr>
      <w:tr w:rsidR="00D952DB" w:rsidRPr="00F6546C" w14:paraId="01A48027" w14:textId="77777777" w:rsidTr="00F6546C">
        <w:trPr>
          <w:trHeight w:val="312"/>
        </w:trPr>
        <w:tc>
          <w:tcPr>
            <w:tcW w:w="2218" w:type="pct"/>
          </w:tcPr>
          <w:p w14:paraId="1029722E" w14:textId="77777777" w:rsidR="00D952DB" w:rsidRPr="00F6546C" w:rsidRDefault="00D952DB" w:rsidP="00E30275">
            <w:pPr>
              <w:pStyle w:val="C-TableText"/>
              <w:spacing w:before="0" w:after="0"/>
              <w:rPr>
                <w:sz w:val="20"/>
                <w:szCs w:val="20"/>
              </w:rPr>
            </w:pPr>
            <w:r w:rsidRPr="00F6546C">
              <w:rPr>
                <w:sz w:val="20"/>
                <w:szCs w:val="20"/>
              </w:rPr>
              <w:t>Prophylactic failure, n (%)</w:t>
            </w:r>
          </w:p>
        </w:tc>
        <w:tc>
          <w:tcPr>
            <w:tcW w:w="1391" w:type="pct"/>
          </w:tcPr>
          <w:p w14:paraId="210E118D" w14:textId="77777777" w:rsidR="00D952DB" w:rsidRPr="00F6546C" w:rsidRDefault="00D952DB" w:rsidP="00E30275">
            <w:pPr>
              <w:pStyle w:val="C-TableText"/>
              <w:spacing w:before="0" w:after="0"/>
              <w:jc w:val="center"/>
              <w:rPr>
                <w:sz w:val="20"/>
                <w:szCs w:val="20"/>
              </w:rPr>
            </w:pPr>
            <w:r w:rsidRPr="00F6546C">
              <w:rPr>
                <w:sz w:val="20"/>
                <w:szCs w:val="20"/>
              </w:rPr>
              <w:t>0 (0%)</w:t>
            </w:r>
          </w:p>
        </w:tc>
        <w:tc>
          <w:tcPr>
            <w:tcW w:w="1391" w:type="pct"/>
          </w:tcPr>
          <w:p w14:paraId="33C40299" w14:textId="77777777" w:rsidR="00D952DB" w:rsidRPr="00F6546C" w:rsidRDefault="00D952DB" w:rsidP="00E30275">
            <w:pPr>
              <w:pStyle w:val="C-TableText"/>
              <w:spacing w:before="0" w:after="0"/>
              <w:jc w:val="center"/>
              <w:rPr>
                <w:sz w:val="20"/>
                <w:szCs w:val="20"/>
              </w:rPr>
            </w:pPr>
            <w:r w:rsidRPr="00F6546C">
              <w:rPr>
                <w:sz w:val="20"/>
                <w:szCs w:val="20"/>
              </w:rPr>
              <w:t>0 (0%)</w:t>
            </w:r>
          </w:p>
        </w:tc>
      </w:tr>
      <w:tr w:rsidR="00D952DB" w:rsidRPr="00F6546C" w14:paraId="3C3F5ADC" w14:textId="77777777" w:rsidTr="00F6546C">
        <w:trPr>
          <w:trHeight w:val="312"/>
        </w:trPr>
        <w:tc>
          <w:tcPr>
            <w:tcW w:w="2218" w:type="pct"/>
          </w:tcPr>
          <w:p w14:paraId="1ED5001B" w14:textId="77777777" w:rsidR="00D952DB" w:rsidRPr="00F6546C" w:rsidRDefault="00D952DB" w:rsidP="00E30275">
            <w:pPr>
              <w:pStyle w:val="C-TableText"/>
              <w:spacing w:before="0" w:after="0"/>
              <w:rPr>
                <w:sz w:val="20"/>
                <w:szCs w:val="20"/>
              </w:rPr>
            </w:pPr>
            <w:r w:rsidRPr="00F6546C">
              <w:rPr>
                <w:sz w:val="20"/>
                <w:szCs w:val="20"/>
              </w:rPr>
              <w:t>Prophylactic Success, n (%)</w:t>
            </w:r>
          </w:p>
        </w:tc>
        <w:tc>
          <w:tcPr>
            <w:tcW w:w="1391" w:type="pct"/>
          </w:tcPr>
          <w:p w14:paraId="6C71DE87" w14:textId="77777777" w:rsidR="00D952DB" w:rsidRPr="00F6546C" w:rsidRDefault="00D952DB" w:rsidP="00E30275">
            <w:pPr>
              <w:pStyle w:val="C-TableText"/>
              <w:spacing w:before="0" w:after="0"/>
              <w:jc w:val="center"/>
              <w:rPr>
                <w:sz w:val="20"/>
                <w:szCs w:val="20"/>
              </w:rPr>
            </w:pPr>
            <w:r w:rsidRPr="00F6546C">
              <w:rPr>
                <w:sz w:val="20"/>
                <w:szCs w:val="20"/>
              </w:rPr>
              <w:t>462 (100%)</w:t>
            </w:r>
          </w:p>
        </w:tc>
        <w:tc>
          <w:tcPr>
            <w:tcW w:w="1391" w:type="pct"/>
          </w:tcPr>
          <w:p w14:paraId="6772DAC3" w14:textId="77777777" w:rsidR="00D952DB" w:rsidRPr="00F6546C" w:rsidRDefault="00D952DB" w:rsidP="00E30275">
            <w:pPr>
              <w:pStyle w:val="C-TableText"/>
              <w:spacing w:before="0" w:after="0"/>
              <w:jc w:val="center"/>
              <w:rPr>
                <w:sz w:val="20"/>
                <w:szCs w:val="20"/>
              </w:rPr>
            </w:pPr>
            <w:r w:rsidRPr="00F6546C">
              <w:rPr>
                <w:sz w:val="20"/>
                <w:szCs w:val="20"/>
              </w:rPr>
              <w:t>153 (100%)</w:t>
            </w:r>
          </w:p>
        </w:tc>
      </w:tr>
      <w:tr w:rsidR="00D952DB" w:rsidRPr="00F6546C" w14:paraId="04B83F05" w14:textId="77777777" w:rsidTr="00F6546C">
        <w:trPr>
          <w:trHeight w:val="460"/>
        </w:trPr>
        <w:tc>
          <w:tcPr>
            <w:tcW w:w="2218" w:type="pct"/>
          </w:tcPr>
          <w:p w14:paraId="658D729A" w14:textId="77777777" w:rsidR="00D952DB" w:rsidRPr="00F6546C" w:rsidRDefault="00D952DB" w:rsidP="00E30275">
            <w:pPr>
              <w:pStyle w:val="C-TableText"/>
              <w:spacing w:before="0" w:after="0"/>
              <w:rPr>
                <w:sz w:val="20"/>
                <w:szCs w:val="20"/>
              </w:rPr>
            </w:pPr>
            <w:r w:rsidRPr="00F6546C">
              <w:rPr>
                <w:sz w:val="20"/>
                <w:szCs w:val="20"/>
              </w:rPr>
              <w:t>Treatment Difference (</w:t>
            </w:r>
            <w:proofErr w:type="spellStart"/>
            <w:r w:rsidRPr="00F6546C">
              <w:rPr>
                <w:sz w:val="20"/>
                <w:szCs w:val="20"/>
              </w:rPr>
              <w:t>Tafenoquine</w:t>
            </w:r>
            <w:proofErr w:type="spellEnd"/>
            <w:r w:rsidRPr="00F6546C">
              <w:rPr>
                <w:sz w:val="20"/>
                <w:szCs w:val="20"/>
              </w:rPr>
              <w:t xml:space="preserve"> – </w:t>
            </w:r>
            <w:proofErr w:type="spellStart"/>
            <w:r w:rsidRPr="00F6546C">
              <w:rPr>
                <w:sz w:val="20"/>
                <w:szCs w:val="20"/>
              </w:rPr>
              <w:t>Mefloquine</w:t>
            </w:r>
            <w:proofErr w:type="spellEnd"/>
            <w:r w:rsidRPr="00F6546C">
              <w:rPr>
                <w:sz w:val="20"/>
                <w:szCs w:val="20"/>
              </w:rPr>
              <w:t>) [95% confidence interval]</w:t>
            </w:r>
          </w:p>
        </w:tc>
        <w:tc>
          <w:tcPr>
            <w:tcW w:w="2782" w:type="pct"/>
            <w:gridSpan w:val="2"/>
          </w:tcPr>
          <w:p w14:paraId="7E725F20" w14:textId="77777777" w:rsidR="00D952DB" w:rsidRPr="00F6546C" w:rsidRDefault="00D952DB" w:rsidP="00E30275">
            <w:pPr>
              <w:pStyle w:val="C-TableText"/>
              <w:spacing w:before="0" w:after="0"/>
              <w:jc w:val="center"/>
              <w:rPr>
                <w:sz w:val="20"/>
                <w:szCs w:val="20"/>
              </w:rPr>
            </w:pPr>
            <w:r w:rsidRPr="00F6546C">
              <w:rPr>
                <w:sz w:val="20"/>
                <w:szCs w:val="20"/>
              </w:rPr>
              <w:t>0% [-2%,1%]</w:t>
            </w:r>
          </w:p>
        </w:tc>
      </w:tr>
    </w:tbl>
    <w:p w14:paraId="2B5667FA" w14:textId="77777777" w:rsidR="00D952DB" w:rsidRPr="000948AC" w:rsidRDefault="00D952DB" w:rsidP="000948AC">
      <w:pPr>
        <w:spacing w:after="0" w:line="240" w:lineRule="auto"/>
        <w:ind w:left="721" w:hanging="437"/>
        <w:rPr>
          <w:rFonts w:ascii="Times New Roman" w:hAnsi="Times New Roman" w:cs="Times New Roman"/>
          <w:sz w:val="20"/>
          <w:szCs w:val="20"/>
          <w:lang w:val="en-US"/>
        </w:rPr>
      </w:pPr>
      <w:r w:rsidRPr="000948AC">
        <w:rPr>
          <w:rFonts w:ascii="Times New Roman" w:hAnsi="Times New Roman" w:cs="Times New Roman"/>
          <w:sz w:val="20"/>
          <w:szCs w:val="20"/>
          <w:lang w:val="en-US"/>
        </w:rPr>
        <w:t>a</w:t>
      </w:r>
      <w:r w:rsidRPr="000948AC">
        <w:rPr>
          <w:rFonts w:ascii="Times New Roman" w:hAnsi="Times New Roman" w:cs="Times New Roman"/>
          <w:sz w:val="20"/>
          <w:szCs w:val="20"/>
          <w:lang w:val="en-US"/>
        </w:rPr>
        <w:tab/>
        <w:t xml:space="preserve">Subjects received a loading dose of </w:t>
      </w:r>
      <w:proofErr w:type="spellStart"/>
      <w:r w:rsidRPr="000948AC">
        <w:rPr>
          <w:rFonts w:ascii="Times New Roman" w:hAnsi="Times New Roman" w:cs="Times New Roman"/>
          <w:sz w:val="20"/>
          <w:szCs w:val="20"/>
          <w:lang w:val="en-US"/>
        </w:rPr>
        <w:t>tafenoquine</w:t>
      </w:r>
      <w:proofErr w:type="spellEnd"/>
      <w:r w:rsidRPr="000948AC">
        <w:rPr>
          <w:rFonts w:ascii="Times New Roman" w:hAnsi="Times New Roman" w:cs="Times New Roman"/>
          <w:sz w:val="20"/>
          <w:szCs w:val="20"/>
          <w:lang w:val="en-US"/>
        </w:rPr>
        <w:t xml:space="preserve"> 200 mg per day for 3 days, followed by </w:t>
      </w:r>
      <w:proofErr w:type="spellStart"/>
      <w:r w:rsidRPr="000948AC">
        <w:rPr>
          <w:rFonts w:ascii="Times New Roman" w:hAnsi="Times New Roman" w:cs="Times New Roman"/>
          <w:sz w:val="20"/>
          <w:szCs w:val="20"/>
          <w:lang w:val="en-US"/>
        </w:rPr>
        <w:t>tafenoquine</w:t>
      </w:r>
      <w:proofErr w:type="spellEnd"/>
      <w:r w:rsidRPr="000948AC">
        <w:rPr>
          <w:rFonts w:ascii="Times New Roman" w:hAnsi="Times New Roman" w:cs="Times New Roman"/>
          <w:sz w:val="20"/>
          <w:szCs w:val="20"/>
          <w:lang w:val="en-US"/>
        </w:rPr>
        <w:t xml:space="preserve"> 200 mg once a week for the 26-week prophylactic phase. Subjects who entered the follow-up phase received placebo bid for 14 days.</w:t>
      </w:r>
    </w:p>
    <w:p w14:paraId="2CDFAE66" w14:textId="77777777" w:rsidR="000948AC" w:rsidRDefault="00D952DB" w:rsidP="000948AC">
      <w:pPr>
        <w:pStyle w:val="C-BodyText"/>
        <w:spacing w:before="0" w:after="0" w:line="240" w:lineRule="auto"/>
        <w:ind w:left="721" w:hanging="437"/>
      </w:pPr>
      <w:proofErr w:type="gramStart"/>
      <w:r w:rsidRPr="000948AC">
        <w:rPr>
          <w:sz w:val="20"/>
        </w:rPr>
        <w:t>b</w:t>
      </w:r>
      <w:proofErr w:type="gramEnd"/>
      <w:r w:rsidRPr="000948AC">
        <w:rPr>
          <w:sz w:val="20"/>
        </w:rPr>
        <w:tab/>
        <w:t xml:space="preserve">Subjects received a loading dose of </w:t>
      </w:r>
      <w:proofErr w:type="spellStart"/>
      <w:r w:rsidRPr="000948AC">
        <w:rPr>
          <w:sz w:val="20"/>
        </w:rPr>
        <w:t>mefloquine</w:t>
      </w:r>
      <w:proofErr w:type="spellEnd"/>
      <w:r w:rsidRPr="000948AC">
        <w:rPr>
          <w:sz w:val="20"/>
        </w:rPr>
        <w:t xml:space="preserve"> 250 mg per day for 3 days, followed by </w:t>
      </w:r>
      <w:proofErr w:type="spellStart"/>
      <w:r w:rsidRPr="000948AC">
        <w:rPr>
          <w:sz w:val="20"/>
        </w:rPr>
        <w:t>mefloquine</w:t>
      </w:r>
      <w:proofErr w:type="spellEnd"/>
      <w:r w:rsidRPr="000948AC">
        <w:rPr>
          <w:sz w:val="20"/>
        </w:rPr>
        <w:t xml:space="preserve"> 250 mg once a week for the 26-week prophylactic phase. Subjects who entered the follow-up phase received </w:t>
      </w:r>
      <w:proofErr w:type="spellStart"/>
      <w:r w:rsidRPr="000948AC">
        <w:rPr>
          <w:sz w:val="20"/>
        </w:rPr>
        <w:t>primaquine</w:t>
      </w:r>
      <w:proofErr w:type="spellEnd"/>
      <w:r w:rsidRPr="000948AC">
        <w:rPr>
          <w:sz w:val="20"/>
        </w:rPr>
        <w:t xml:space="preserve"> 15 mg bid for 14 days</w:t>
      </w:r>
      <w:r w:rsidRPr="00073F5F">
        <w:rPr>
          <w:sz w:val="22"/>
          <w:szCs w:val="22"/>
        </w:rPr>
        <w:t>.</w:t>
      </w:r>
    </w:p>
    <w:p w14:paraId="1C324AF6" w14:textId="77777777" w:rsidR="000948AC" w:rsidRPr="000948AC" w:rsidRDefault="000948AC" w:rsidP="000948AC">
      <w:pPr>
        <w:pStyle w:val="C-BodyText"/>
        <w:spacing w:before="0" w:after="0" w:line="240" w:lineRule="auto"/>
        <w:ind w:left="721" w:hanging="437"/>
      </w:pPr>
    </w:p>
    <w:p w14:paraId="507272EB" w14:textId="77777777" w:rsidR="00D952DB" w:rsidRPr="00073F5F" w:rsidRDefault="00D952DB" w:rsidP="009F52D5">
      <w:pPr>
        <w:pStyle w:val="C-BodyText"/>
        <w:spacing w:before="0" w:after="200" w:line="240" w:lineRule="auto"/>
      </w:pPr>
      <w:r w:rsidRPr="00073F5F">
        <w:rPr>
          <w:sz w:val="22"/>
          <w:szCs w:val="22"/>
        </w:rPr>
        <w:t>In the 24 week follow up phase after leaving the endemic region, and after receiving no further drug (</w:t>
      </w:r>
      <w:proofErr w:type="spellStart"/>
      <w:r w:rsidRPr="00073F5F">
        <w:rPr>
          <w:sz w:val="22"/>
          <w:szCs w:val="22"/>
        </w:rPr>
        <w:t>tafenoquine</w:t>
      </w:r>
      <w:proofErr w:type="spellEnd"/>
      <w:r w:rsidRPr="00073F5F">
        <w:rPr>
          <w:sz w:val="22"/>
          <w:szCs w:val="22"/>
        </w:rPr>
        <w:t xml:space="preserve"> group), or standard post-exposure prophylaxis with </w:t>
      </w:r>
      <w:proofErr w:type="spellStart"/>
      <w:r w:rsidRPr="00073F5F">
        <w:rPr>
          <w:sz w:val="22"/>
          <w:szCs w:val="22"/>
        </w:rPr>
        <w:t>primaquine</w:t>
      </w:r>
      <w:proofErr w:type="spellEnd"/>
      <w:r w:rsidR="003C78D5">
        <w:rPr>
          <w:sz w:val="22"/>
          <w:szCs w:val="22"/>
        </w:rPr>
        <w:t xml:space="preserve"> (</w:t>
      </w:r>
      <w:proofErr w:type="spellStart"/>
      <w:r w:rsidR="003C78D5">
        <w:rPr>
          <w:sz w:val="22"/>
          <w:szCs w:val="22"/>
        </w:rPr>
        <w:t>mefloquine</w:t>
      </w:r>
      <w:proofErr w:type="spellEnd"/>
      <w:r w:rsidR="003C78D5">
        <w:rPr>
          <w:sz w:val="22"/>
          <w:szCs w:val="22"/>
        </w:rPr>
        <w:t xml:space="preserve"> group)</w:t>
      </w:r>
      <w:r w:rsidRPr="00073F5F">
        <w:rPr>
          <w:sz w:val="22"/>
          <w:szCs w:val="22"/>
        </w:rPr>
        <w:t xml:space="preserve">, there were four cases of </w:t>
      </w:r>
      <w:proofErr w:type="spellStart"/>
      <w:r w:rsidRPr="00073F5F">
        <w:rPr>
          <w:i/>
          <w:sz w:val="22"/>
          <w:szCs w:val="22"/>
        </w:rPr>
        <w:t>Pv</w:t>
      </w:r>
      <w:proofErr w:type="spellEnd"/>
      <w:r w:rsidRPr="00073F5F">
        <w:rPr>
          <w:sz w:val="22"/>
          <w:szCs w:val="22"/>
        </w:rPr>
        <w:t xml:space="preserve"> malaria in the </w:t>
      </w:r>
      <w:proofErr w:type="spellStart"/>
      <w:r w:rsidRPr="00073F5F">
        <w:rPr>
          <w:sz w:val="22"/>
          <w:szCs w:val="22"/>
        </w:rPr>
        <w:t>tafenoquine</w:t>
      </w:r>
      <w:proofErr w:type="spellEnd"/>
      <w:r w:rsidRPr="00073F5F">
        <w:rPr>
          <w:sz w:val="22"/>
          <w:szCs w:val="22"/>
        </w:rPr>
        <w:t xml:space="preserve"> group and one case of </w:t>
      </w:r>
      <w:proofErr w:type="spellStart"/>
      <w:r w:rsidRPr="00073F5F">
        <w:rPr>
          <w:i/>
          <w:sz w:val="22"/>
          <w:szCs w:val="22"/>
        </w:rPr>
        <w:t>Pv</w:t>
      </w:r>
      <w:proofErr w:type="spellEnd"/>
      <w:r w:rsidRPr="00073F5F">
        <w:rPr>
          <w:sz w:val="22"/>
          <w:szCs w:val="22"/>
        </w:rPr>
        <w:t xml:space="preserve"> malaria in the </w:t>
      </w:r>
      <w:proofErr w:type="spellStart"/>
      <w:r w:rsidRPr="00073F5F">
        <w:rPr>
          <w:sz w:val="22"/>
          <w:szCs w:val="22"/>
        </w:rPr>
        <w:t>mefloquine</w:t>
      </w:r>
      <w:proofErr w:type="spellEnd"/>
      <w:r w:rsidRPr="00073F5F">
        <w:rPr>
          <w:sz w:val="22"/>
          <w:szCs w:val="22"/>
        </w:rPr>
        <w:t xml:space="preserve"> group (</w:t>
      </w:r>
      <w:r w:rsidR="00B43A53">
        <w:rPr>
          <w:sz w:val="22"/>
          <w:szCs w:val="22"/>
        </w:rPr>
        <w:fldChar w:fldCharType="begin"/>
      </w:r>
      <w:r w:rsidR="00F6546C">
        <w:rPr>
          <w:sz w:val="22"/>
          <w:szCs w:val="22"/>
        </w:rPr>
        <w:instrText xml:space="preserve"> REF _Ref482888522 \h </w:instrText>
      </w:r>
      <w:r w:rsidR="00B43A53">
        <w:rPr>
          <w:sz w:val="22"/>
          <w:szCs w:val="22"/>
        </w:rPr>
      </w:r>
      <w:r w:rsidR="00B43A53">
        <w:rPr>
          <w:sz w:val="22"/>
          <w:szCs w:val="22"/>
        </w:rPr>
        <w:fldChar w:fldCharType="separate"/>
      </w:r>
      <w:r w:rsidR="00F6546C" w:rsidRPr="00073F5F">
        <w:rPr>
          <w:sz w:val="22"/>
          <w:szCs w:val="22"/>
        </w:rPr>
        <w:t xml:space="preserve">Table </w:t>
      </w:r>
      <w:r w:rsidR="00F6546C">
        <w:rPr>
          <w:noProof/>
          <w:sz w:val="22"/>
          <w:szCs w:val="22"/>
        </w:rPr>
        <w:t>6</w:t>
      </w:r>
      <w:r w:rsidR="00B43A53">
        <w:rPr>
          <w:sz w:val="22"/>
          <w:szCs w:val="22"/>
        </w:rPr>
        <w:fldChar w:fldCharType="end"/>
      </w:r>
      <w:r w:rsidR="00B43A53" w:rsidRPr="00073F5F">
        <w:fldChar w:fldCharType="begin"/>
      </w:r>
      <w:r w:rsidR="00936FE4" w:rsidRPr="00073F5F">
        <w:instrText xml:space="preserve"> REF _Ref482888522 \h  \* MERGEFORMAT </w:instrText>
      </w:r>
      <w:r w:rsidR="00B43A53" w:rsidRPr="00073F5F">
        <w:fldChar w:fldCharType="end"/>
      </w:r>
      <w:r w:rsidRPr="00F16A76">
        <w:rPr>
          <w:sz w:val="22"/>
          <w:szCs w:val="22"/>
        </w:rPr>
        <w:t>).</w:t>
      </w:r>
    </w:p>
    <w:p w14:paraId="51AF7A03" w14:textId="77777777" w:rsidR="007D354B" w:rsidRPr="00073F5F" w:rsidRDefault="007D354B" w:rsidP="009F52D5">
      <w:pPr>
        <w:pStyle w:val="Caption"/>
        <w:spacing w:before="0" w:after="200" w:line="240" w:lineRule="auto"/>
        <w:rPr>
          <w:sz w:val="22"/>
          <w:szCs w:val="22"/>
        </w:rPr>
      </w:pPr>
      <w:bookmarkStart w:id="4" w:name="_Ref482888522"/>
      <w:r w:rsidRPr="00073F5F">
        <w:rPr>
          <w:sz w:val="22"/>
          <w:szCs w:val="22"/>
        </w:rPr>
        <w:t xml:space="preserve">Table </w:t>
      </w:r>
      <w:r w:rsidR="00B43A53" w:rsidRPr="00073F5F">
        <w:rPr>
          <w:sz w:val="22"/>
          <w:szCs w:val="22"/>
        </w:rPr>
        <w:fldChar w:fldCharType="begin"/>
      </w:r>
      <w:r w:rsidRPr="00073F5F">
        <w:rPr>
          <w:sz w:val="22"/>
          <w:szCs w:val="22"/>
        </w:rPr>
        <w:instrText xml:space="preserve"> SEQ Table \* ARABIC </w:instrText>
      </w:r>
      <w:r w:rsidR="00B43A53" w:rsidRPr="00073F5F">
        <w:rPr>
          <w:sz w:val="22"/>
          <w:szCs w:val="22"/>
        </w:rPr>
        <w:fldChar w:fldCharType="separate"/>
      </w:r>
      <w:r w:rsidR="00F6546C">
        <w:rPr>
          <w:noProof/>
          <w:sz w:val="22"/>
          <w:szCs w:val="22"/>
        </w:rPr>
        <w:t>6</w:t>
      </w:r>
      <w:r w:rsidR="00B43A53" w:rsidRPr="00073F5F">
        <w:rPr>
          <w:sz w:val="22"/>
          <w:szCs w:val="22"/>
        </w:rPr>
        <w:fldChar w:fldCharType="end"/>
      </w:r>
      <w:bookmarkEnd w:id="4"/>
      <w:r w:rsidRPr="00F16A76">
        <w:rPr>
          <w:sz w:val="22"/>
          <w:szCs w:val="22"/>
        </w:rPr>
        <w:t>:</w:t>
      </w:r>
      <w:r w:rsidRPr="00F16A76">
        <w:rPr>
          <w:sz w:val="22"/>
          <w:szCs w:val="22"/>
        </w:rPr>
        <w:tab/>
        <w:t xml:space="preserve">Prophylactic Outcome </w:t>
      </w:r>
      <w:proofErr w:type="gramStart"/>
      <w:r w:rsidRPr="00F16A76">
        <w:rPr>
          <w:sz w:val="22"/>
          <w:szCs w:val="22"/>
        </w:rPr>
        <w:t>During</w:t>
      </w:r>
      <w:proofErr w:type="gramEnd"/>
      <w:r w:rsidRPr="00F16A76">
        <w:rPr>
          <w:sz w:val="22"/>
          <w:szCs w:val="22"/>
        </w:rPr>
        <w:t xml:space="preserve"> the post-exposure Phase (PP Popul</w:t>
      </w:r>
      <w:r w:rsidRPr="00073F5F">
        <w:rPr>
          <w:sz w:val="22"/>
          <w:szCs w:val="22"/>
        </w:rPr>
        <w:t xml:space="preserve">ation) for </w:t>
      </w:r>
      <w:r w:rsidR="00F93C2A">
        <w:rPr>
          <w:sz w:val="22"/>
          <w:szCs w:val="22"/>
        </w:rPr>
        <w:t>Trial</w:t>
      </w:r>
      <w:r w:rsidR="00E94138">
        <w:rPr>
          <w:sz w:val="22"/>
          <w:szCs w:val="22"/>
        </w:rPr>
        <w:t> </w:t>
      </w:r>
      <w:r w:rsidRPr="00073F5F">
        <w:rPr>
          <w:sz w:val="22"/>
          <w:szCs w:val="22"/>
        </w:rPr>
        <w:t>033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0"/>
        <w:gridCol w:w="2571"/>
        <w:gridCol w:w="2571"/>
      </w:tblGrid>
      <w:tr w:rsidR="007D354B" w:rsidRPr="00F6546C" w14:paraId="12DD29E2" w14:textId="77777777" w:rsidTr="00F6546C">
        <w:trPr>
          <w:tblHeader/>
        </w:trPr>
        <w:tc>
          <w:tcPr>
            <w:tcW w:w="2218" w:type="pct"/>
          </w:tcPr>
          <w:p w14:paraId="53E89A5B" w14:textId="77777777" w:rsidR="007D354B" w:rsidRPr="00F6546C" w:rsidRDefault="007D354B" w:rsidP="00E30275">
            <w:pPr>
              <w:pStyle w:val="C-TableHeader"/>
              <w:spacing w:before="0" w:after="0"/>
              <w:jc w:val="center"/>
            </w:pPr>
            <w:r w:rsidRPr="00F6546C">
              <w:t>Prophylactic Outcome</w:t>
            </w:r>
          </w:p>
        </w:tc>
        <w:tc>
          <w:tcPr>
            <w:tcW w:w="1391" w:type="pct"/>
            <w:vAlign w:val="center"/>
          </w:tcPr>
          <w:p w14:paraId="1D768A06" w14:textId="77777777" w:rsidR="007D354B" w:rsidRPr="00F6546C" w:rsidRDefault="007D354B" w:rsidP="00E30275">
            <w:pPr>
              <w:pStyle w:val="C-TableHeader"/>
              <w:spacing w:before="0" w:after="0"/>
              <w:jc w:val="center"/>
            </w:pPr>
            <w:proofErr w:type="spellStart"/>
            <w:r w:rsidRPr="00F6546C">
              <w:t>Tafenoquine</w:t>
            </w:r>
            <w:proofErr w:type="spellEnd"/>
            <w:r w:rsidRPr="00F6546C">
              <w:t xml:space="preserve"> 200 mg</w:t>
            </w:r>
            <w:r w:rsidRPr="00F6546C">
              <w:rPr>
                <w:rStyle w:val="C-TableCallout"/>
                <w:b w:val="0"/>
                <w:sz w:val="20"/>
              </w:rPr>
              <w:br/>
            </w:r>
          </w:p>
        </w:tc>
        <w:tc>
          <w:tcPr>
            <w:tcW w:w="1391" w:type="pct"/>
            <w:vAlign w:val="center"/>
          </w:tcPr>
          <w:p w14:paraId="6799D069" w14:textId="77777777" w:rsidR="007D354B" w:rsidRPr="00F6546C" w:rsidRDefault="007D354B" w:rsidP="00E30275">
            <w:pPr>
              <w:pStyle w:val="C-TableHeader"/>
              <w:spacing w:before="0" w:after="0"/>
              <w:jc w:val="center"/>
            </w:pPr>
            <w:proofErr w:type="spellStart"/>
            <w:r w:rsidRPr="00F6546C">
              <w:t>Mefloquine</w:t>
            </w:r>
            <w:proofErr w:type="spellEnd"/>
            <w:r w:rsidRPr="00F6546C">
              <w:t xml:space="preserve"> 250 mg followed by </w:t>
            </w:r>
            <w:proofErr w:type="spellStart"/>
            <w:r w:rsidRPr="00F6546C">
              <w:t>primaquine</w:t>
            </w:r>
            <w:proofErr w:type="spellEnd"/>
          </w:p>
        </w:tc>
      </w:tr>
      <w:tr w:rsidR="007D354B" w:rsidRPr="00F6546C" w14:paraId="3754749F" w14:textId="77777777" w:rsidTr="00F6546C">
        <w:tc>
          <w:tcPr>
            <w:tcW w:w="2218" w:type="pct"/>
            <w:vAlign w:val="center"/>
          </w:tcPr>
          <w:p w14:paraId="499C7F7E" w14:textId="77777777" w:rsidR="007D354B" w:rsidRPr="00F6546C" w:rsidRDefault="007D354B" w:rsidP="00E30275">
            <w:pPr>
              <w:pStyle w:val="C-TableText"/>
              <w:spacing w:before="0" w:after="0"/>
              <w:rPr>
                <w:sz w:val="20"/>
                <w:szCs w:val="20"/>
              </w:rPr>
            </w:pPr>
            <w:r w:rsidRPr="00F6546C">
              <w:rPr>
                <w:sz w:val="20"/>
                <w:szCs w:val="20"/>
              </w:rPr>
              <w:t>Number of Subjects</w:t>
            </w:r>
          </w:p>
        </w:tc>
        <w:tc>
          <w:tcPr>
            <w:tcW w:w="1391" w:type="pct"/>
            <w:vAlign w:val="center"/>
          </w:tcPr>
          <w:p w14:paraId="13D3EE0D" w14:textId="77777777" w:rsidR="007D354B" w:rsidRPr="00F6546C" w:rsidRDefault="007D354B" w:rsidP="00E30275">
            <w:pPr>
              <w:pStyle w:val="C-TableText"/>
              <w:spacing w:before="0" w:after="0"/>
              <w:jc w:val="center"/>
              <w:rPr>
                <w:sz w:val="20"/>
                <w:szCs w:val="20"/>
              </w:rPr>
            </w:pPr>
            <w:r w:rsidRPr="00F6546C">
              <w:rPr>
                <w:sz w:val="20"/>
                <w:szCs w:val="20"/>
              </w:rPr>
              <w:t>462</w:t>
            </w:r>
          </w:p>
        </w:tc>
        <w:tc>
          <w:tcPr>
            <w:tcW w:w="1391" w:type="pct"/>
            <w:vAlign w:val="center"/>
          </w:tcPr>
          <w:p w14:paraId="44602411" w14:textId="77777777" w:rsidR="007D354B" w:rsidRPr="00F6546C" w:rsidRDefault="007D354B" w:rsidP="00E30275">
            <w:pPr>
              <w:pStyle w:val="C-TableText"/>
              <w:spacing w:before="0" w:after="0"/>
              <w:jc w:val="center"/>
              <w:rPr>
                <w:sz w:val="20"/>
                <w:szCs w:val="20"/>
              </w:rPr>
            </w:pPr>
            <w:r w:rsidRPr="00F6546C">
              <w:rPr>
                <w:sz w:val="20"/>
                <w:szCs w:val="20"/>
              </w:rPr>
              <w:t>153</w:t>
            </w:r>
          </w:p>
        </w:tc>
      </w:tr>
      <w:tr w:rsidR="007D354B" w:rsidRPr="00F6546C" w14:paraId="0EA6F566" w14:textId="77777777" w:rsidTr="00F6546C">
        <w:tc>
          <w:tcPr>
            <w:tcW w:w="2218" w:type="pct"/>
            <w:vAlign w:val="center"/>
          </w:tcPr>
          <w:p w14:paraId="3E0AC670" w14:textId="77777777" w:rsidR="007D354B" w:rsidRPr="00F6546C" w:rsidRDefault="007D354B" w:rsidP="00E30275">
            <w:pPr>
              <w:pStyle w:val="C-TableText"/>
              <w:spacing w:before="0" w:after="0"/>
              <w:rPr>
                <w:sz w:val="20"/>
                <w:szCs w:val="20"/>
              </w:rPr>
            </w:pPr>
            <w:r w:rsidRPr="00F6546C">
              <w:rPr>
                <w:sz w:val="20"/>
                <w:szCs w:val="20"/>
              </w:rPr>
              <w:t xml:space="preserve">Prophylactic Success </w:t>
            </w:r>
          </w:p>
        </w:tc>
        <w:tc>
          <w:tcPr>
            <w:tcW w:w="1391" w:type="pct"/>
            <w:vAlign w:val="center"/>
          </w:tcPr>
          <w:p w14:paraId="3E6B85E3" w14:textId="77777777" w:rsidR="007D354B" w:rsidRPr="00F6546C" w:rsidRDefault="007D354B" w:rsidP="00E30275">
            <w:pPr>
              <w:pStyle w:val="C-TableText"/>
              <w:spacing w:before="0" w:after="0"/>
              <w:jc w:val="center"/>
              <w:rPr>
                <w:sz w:val="20"/>
                <w:szCs w:val="20"/>
              </w:rPr>
            </w:pPr>
            <w:r w:rsidRPr="00F6546C">
              <w:rPr>
                <w:sz w:val="20"/>
                <w:szCs w:val="20"/>
              </w:rPr>
              <w:t>458 (99.1%)</w:t>
            </w:r>
          </w:p>
        </w:tc>
        <w:tc>
          <w:tcPr>
            <w:tcW w:w="1391" w:type="pct"/>
            <w:vAlign w:val="center"/>
          </w:tcPr>
          <w:p w14:paraId="3DFC2F14" w14:textId="77777777" w:rsidR="007D354B" w:rsidRPr="00F6546C" w:rsidRDefault="007D354B" w:rsidP="00E30275">
            <w:pPr>
              <w:pStyle w:val="C-TableText"/>
              <w:spacing w:before="0" w:after="0"/>
              <w:jc w:val="center"/>
              <w:rPr>
                <w:sz w:val="20"/>
                <w:szCs w:val="20"/>
              </w:rPr>
            </w:pPr>
            <w:r w:rsidRPr="00F6546C">
              <w:rPr>
                <w:sz w:val="20"/>
                <w:szCs w:val="20"/>
              </w:rPr>
              <w:t>152 (99.3%)</w:t>
            </w:r>
          </w:p>
        </w:tc>
      </w:tr>
      <w:tr w:rsidR="007D354B" w:rsidRPr="00F6546C" w14:paraId="0E623F80" w14:textId="77777777" w:rsidTr="00F6546C">
        <w:tc>
          <w:tcPr>
            <w:tcW w:w="2218" w:type="pct"/>
            <w:vAlign w:val="center"/>
          </w:tcPr>
          <w:p w14:paraId="36210972" w14:textId="77777777" w:rsidR="007D354B" w:rsidRPr="00F6546C" w:rsidRDefault="007D354B" w:rsidP="00E30275">
            <w:pPr>
              <w:pStyle w:val="C-TableText"/>
              <w:spacing w:before="0" w:after="0"/>
              <w:rPr>
                <w:sz w:val="20"/>
                <w:szCs w:val="20"/>
              </w:rPr>
            </w:pPr>
            <w:r w:rsidRPr="00F6546C">
              <w:rPr>
                <w:sz w:val="20"/>
                <w:szCs w:val="20"/>
              </w:rPr>
              <w:t>Prophylactic Failure</w:t>
            </w:r>
          </w:p>
        </w:tc>
        <w:tc>
          <w:tcPr>
            <w:tcW w:w="1391" w:type="pct"/>
            <w:vAlign w:val="center"/>
          </w:tcPr>
          <w:p w14:paraId="2C742784" w14:textId="77777777" w:rsidR="007D354B" w:rsidRPr="00F6546C" w:rsidRDefault="007D354B" w:rsidP="00E30275">
            <w:pPr>
              <w:pStyle w:val="C-TableText"/>
              <w:spacing w:before="0" w:after="0"/>
              <w:jc w:val="center"/>
              <w:rPr>
                <w:sz w:val="20"/>
                <w:szCs w:val="20"/>
              </w:rPr>
            </w:pPr>
            <w:r w:rsidRPr="00F6546C">
              <w:rPr>
                <w:sz w:val="20"/>
                <w:szCs w:val="20"/>
              </w:rPr>
              <w:t>4 (0.9%)</w:t>
            </w:r>
          </w:p>
        </w:tc>
        <w:tc>
          <w:tcPr>
            <w:tcW w:w="1391" w:type="pct"/>
            <w:vAlign w:val="center"/>
          </w:tcPr>
          <w:p w14:paraId="7F1CC944" w14:textId="77777777" w:rsidR="007D354B" w:rsidRPr="00F6546C" w:rsidRDefault="007D354B" w:rsidP="00E30275">
            <w:pPr>
              <w:pStyle w:val="C-TableText"/>
              <w:spacing w:before="0" w:after="0"/>
              <w:jc w:val="center"/>
              <w:rPr>
                <w:sz w:val="20"/>
                <w:szCs w:val="20"/>
              </w:rPr>
            </w:pPr>
            <w:r w:rsidRPr="00F6546C">
              <w:rPr>
                <w:sz w:val="20"/>
                <w:szCs w:val="20"/>
              </w:rPr>
              <w:t>1 (0.7%)</w:t>
            </w:r>
          </w:p>
        </w:tc>
      </w:tr>
      <w:tr w:rsidR="007D354B" w:rsidRPr="00F6546C" w14:paraId="3ADC0CFA" w14:textId="77777777" w:rsidTr="00F6546C">
        <w:tc>
          <w:tcPr>
            <w:tcW w:w="2218" w:type="pct"/>
            <w:vAlign w:val="center"/>
          </w:tcPr>
          <w:p w14:paraId="6A2AC679" w14:textId="77777777" w:rsidR="007D354B" w:rsidRPr="00F6546C" w:rsidRDefault="007D354B" w:rsidP="00E30275">
            <w:pPr>
              <w:pStyle w:val="C-TableText"/>
              <w:spacing w:before="0" w:after="0"/>
              <w:rPr>
                <w:sz w:val="20"/>
                <w:szCs w:val="20"/>
              </w:rPr>
            </w:pPr>
            <w:r w:rsidRPr="00F6546C">
              <w:rPr>
                <w:sz w:val="20"/>
                <w:szCs w:val="20"/>
              </w:rPr>
              <w:t xml:space="preserve">Treatment Difference </w:t>
            </w:r>
            <w:r w:rsidR="00CE1FAA" w:rsidRPr="00F6546C">
              <w:rPr>
                <w:sz w:val="20"/>
                <w:szCs w:val="20"/>
              </w:rPr>
              <w:br/>
            </w:r>
            <w:r w:rsidRPr="00F6546C">
              <w:rPr>
                <w:sz w:val="20"/>
                <w:szCs w:val="20"/>
              </w:rPr>
              <w:t>(</w:t>
            </w:r>
            <w:proofErr w:type="spellStart"/>
            <w:r w:rsidRPr="00F6546C">
              <w:rPr>
                <w:sz w:val="20"/>
                <w:szCs w:val="20"/>
              </w:rPr>
              <w:t>Tafenoquine</w:t>
            </w:r>
            <w:proofErr w:type="spellEnd"/>
            <w:r w:rsidRPr="00F6546C">
              <w:rPr>
                <w:sz w:val="20"/>
                <w:szCs w:val="20"/>
              </w:rPr>
              <w:t xml:space="preserve"> – </w:t>
            </w:r>
            <w:proofErr w:type="spellStart"/>
            <w:r w:rsidRPr="00F6546C">
              <w:rPr>
                <w:sz w:val="20"/>
                <w:szCs w:val="20"/>
              </w:rPr>
              <w:t>Mefloquine</w:t>
            </w:r>
            <w:proofErr w:type="spellEnd"/>
            <w:r w:rsidRPr="00F6546C">
              <w:rPr>
                <w:sz w:val="20"/>
                <w:szCs w:val="20"/>
              </w:rPr>
              <w:t>)</w:t>
            </w:r>
          </w:p>
        </w:tc>
        <w:tc>
          <w:tcPr>
            <w:tcW w:w="2782" w:type="pct"/>
            <w:gridSpan w:val="2"/>
            <w:vAlign w:val="center"/>
          </w:tcPr>
          <w:p w14:paraId="060CF9E9" w14:textId="77777777" w:rsidR="007D354B" w:rsidRPr="00F6546C" w:rsidRDefault="007D354B" w:rsidP="00E30275">
            <w:pPr>
              <w:pStyle w:val="C-TableText"/>
              <w:spacing w:before="0" w:after="0"/>
              <w:jc w:val="center"/>
              <w:rPr>
                <w:sz w:val="20"/>
                <w:szCs w:val="20"/>
              </w:rPr>
            </w:pPr>
            <w:r w:rsidRPr="00F6546C">
              <w:rPr>
                <w:sz w:val="20"/>
                <w:szCs w:val="20"/>
              </w:rPr>
              <w:t>0.21%</w:t>
            </w:r>
          </w:p>
        </w:tc>
      </w:tr>
      <w:tr w:rsidR="007D354B" w:rsidRPr="00F6546C" w14:paraId="13852295" w14:textId="77777777" w:rsidTr="00F6546C">
        <w:tc>
          <w:tcPr>
            <w:tcW w:w="2218" w:type="pct"/>
            <w:vAlign w:val="center"/>
          </w:tcPr>
          <w:p w14:paraId="26EAA88A" w14:textId="77777777" w:rsidR="007D354B" w:rsidRPr="00F6546C" w:rsidRDefault="007D354B" w:rsidP="00E30275">
            <w:pPr>
              <w:pStyle w:val="C-TableText"/>
              <w:spacing w:before="0" w:after="0"/>
              <w:rPr>
                <w:sz w:val="20"/>
                <w:szCs w:val="20"/>
              </w:rPr>
            </w:pPr>
            <w:r w:rsidRPr="00F6546C">
              <w:rPr>
                <w:sz w:val="20"/>
                <w:szCs w:val="20"/>
              </w:rPr>
              <w:t>95% CI</w:t>
            </w:r>
          </w:p>
        </w:tc>
        <w:tc>
          <w:tcPr>
            <w:tcW w:w="2782" w:type="pct"/>
            <w:gridSpan w:val="2"/>
            <w:vAlign w:val="center"/>
          </w:tcPr>
          <w:p w14:paraId="1350882F" w14:textId="77777777" w:rsidR="007D354B" w:rsidRPr="00F6546C" w:rsidRDefault="007D354B" w:rsidP="00E30275">
            <w:pPr>
              <w:pStyle w:val="C-TableText"/>
              <w:spacing w:before="0" w:after="0"/>
              <w:jc w:val="center"/>
              <w:rPr>
                <w:sz w:val="20"/>
                <w:szCs w:val="20"/>
              </w:rPr>
            </w:pPr>
            <w:r w:rsidRPr="00F6546C">
              <w:rPr>
                <w:sz w:val="20"/>
                <w:szCs w:val="20"/>
              </w:rPr>
              <w:t>(-1.32%, 1.74%)</w:t>
            </w:r>
          </w:p>
        </w:tc>
      </w:tr>
    </w:tbl>
    <w:p w14:paraId="758C67BF" w14:textId="77777777" w:rsidR="000948AC" w:rsidRDefault="000948AC" w:rsidP="009F52D5">
      <w:pPr>
        <w:pStyle w:val="C-BodyText"/>
        <w:spacing w:before="0" w:after="200" w:line="240" w:lineRule="auto"/>
        <w:rPr>
          <w:sz w:val="22"/>
          <w:szCs w:val="22"/>
        </w:rPr>
      </w:pPr>
    </w:p>
    <w:p w14:paraId="2674FE61" w14:textId="66966904" w:rsidR="007D354B" w:rsidRDefault="007D354B" w:rsidP="009F52D5">
      <w:pPr>
        <w:pStyle w:val="C-BodyText"/>
        <w:spacing w:before="0" w:after="200" w:line="240" w:lineRule="auto"/>
        <w:rPr>
          <w:sz w:val="22"/>
          <w:szCs w:val="22"/>
        </w:rPr>
      </w:pPr>
      <w:r w:rsidRPr="00073F5F">
        <w:rPr>
          <w:sz w:val="22"/>
          <w:szCs w:val="22"/>
        </w:rPr>
        <w:t xml:space="preserve">The failure rate due to </w:t>
      </w:r>
      <w:proofErr w:type="spellStart"/>
      <w:proofErr w:type="gramStart"/>
      <w:r w:rsidRPr="00073F5F">
        <w:rPr>
          <w:i/>
          <w:sz w:val="22"/>
          <w:szCs w:val="22"/>
        </w:rPr>
        <w:t>Pv</w:t>
      </w:r>
      <w:proofErr w:type="spellEnd"/>
      <w:proofErr w:type="gramEnd"/>
      <w:r w:rsidRPr="00073F5F">
        <w:rPr>
          <w:sz w:val="22"/>
          <w:szCs w:val="22"/>
        </w:rPr>
        <w:t xml:space="preserve"> relapse was 0.9% for the </w:t>
      </w:r>
      <w:proofErr w:type="spellStart"/>
      <w:r w:rsidRPr="00073F5F">
        <w:rPr>
          <w:sz w:val="22"/>
          <w:szCs w:val="22"/>
        </w:rPr>
        <w:t>tafenoquine</w:t>
      </w:r>
      <w:proofErr w:type="spellEnd"/>
      <w:r w:rsidRPr="00073F5F">
        <w:rPr>
          <w:sz w:val="22"/>
          <w:szCs w:val="22"/>
        </w:rPr>
        <w:t xml:space="preserve"> group and 0.7% for the </w:t>
      </w:r>
      <w:proofErr w:type="spellStart"/>
      <w:r w:rsidRPr="00073F5F">
        <w:rPr>
          <w:sz w:val="22"/>
          <w:szCs w:val="22"/>
        </w:rPr>
        <w:t>primaquine</w:t>
      </w:r>
      <w:proofErr w:type="spellEnd"/>
      <w:r w:rsidRPr="00073F5F">
        <w:rPr>
          <w:sz w:val="22"/>
          <w:szCs w:val="22"/>
        </w:rPr>
        <w:t xml:space="preserve"> group. The time to relapse after the last dose of </w:t>
      </w:r>
      <w:proofErr w:type="spellStart"/>
      <w:r w:rsidRPr="00073F5F">
        <w:rPr>
          <w:sz w:val="22"/>
          <w:szCs w:val="22"/>
        </w:rPr>
        <w:t>tafenoquine</w:t>
      </w:r>
      <w:proofErr w:type="spellEnd"/>
      <w:r w:rsidRPr="00073F5F">
        <w:rPr>
          <w:sz w:val="22"/>
          <w:szCs w:val="22"/>
        </w:rPr>
        <w:t xml:space="preserve"> or </w:t>
      </w:r>
      <w:proofErr w:type="spellStart"/>
      <w:r w:rsidRPr="00073F5F">
        <w:rPr>
          <w:sz w:val="22"/>
          <w:szCs w:val="22"/>
        </w:rPr>
        <w:t>mefloquine</w:t>
      </w:r>
      <w:proofErr w:type="spellEnd"/>
      <w:r w:rsidRPr="00073F5F">
        <w:rPr>
          <w:sz w:val="22"/>
          <w:szCs w:val="22"/>
        </w:rPr>
        <w:t xml:space="preserve"> was 12-20 weeks for the </w:t>
      </w:r>
      <w:r w:rsidR="003C78D5">
        <w:rPr>
          <w:sz w:val="22"/>
          <w:szCs w:val="22"/>
        </w:rPr>
        <w:t>4</w:t>
      </w:r>
      <w:r w:rsidRPr="00073F5F">
        <w:rPr>
          <w:sz w:val="22"/>
          <w:szCs w:val="22"/>
        </w:rPr>
        <w:t xml:space="preserve"> </w:t>
      </w:r>
      <w:proofErr w:type="spellStart"/>
      <w:r w:rsidRPr="00073F5F">
        <w:rPr>
          <w:sz w:val="22"/>
          <w:szCs w:val="22"/>
        </w:rPr>
        <w:t>tafenoquine</w:t>
      </w:r>
      <w:proofErr w:type="spellEnd"/>
      <w:r w:rsidRPr="00073F5F">
        <w:rPr>
          <w:sz w:val="22"/>
          <w:szCs w:val="22"/>
        </w:rPr>
        <w:t xml:space="preserve"> failures and 12 weeks for the </w:t>
      </w:r>
      <w:r w:rsidR="003C78D5">
        <w:rPr>
          <w:sz w:val="22"/>
          <w:szCs w:val="22"/>
        </w:rPr>
        <w:t>1</w:t>
      </w:r>
      <w:r w:rsidRPr="00073F5F">
        <w:rPr>
          <w:sz w:val="22"/>
          <w:szCs w:val="22"/>
        </w:rPr>
        <w:t xml:space="preserve"> </w:t>
      </w:r>
      <w:proofErr w:type="spellStart"/>
      <w:r w:rsidRPr="00073F5F">
        <w:rPr>
          <w:sz w:val="22"/>
          <w:szCs w:val="22"/>
        </w:rPr>
        <w:t>mefloquine</w:t>
      </w:r>
      <w:proofErr w:type="spellEnd"/>
      <w:r w:rsidRPr="00073F5F">
        <w:rPr>
          <w:sz w:val="22"/>
          <w:szCs w:val="22"/>
        </w:rPr>
        <w:t>-then-</w:t>
      </w:r>
      <w:proofErr w:type="spellStart"/>
      <w:r w:rsidRPr="00073F5F">
        <w:rPr>
          <w:sz w:val="22"/>
          <w:szCs w:val="22"/>
        </w:rPr>
        <w:t>primaquine</w:t>
      </w:r>
      <w:proofErr w:type="spellEnd"/>
      <w:r w:rsidRPr="00073F5F">
        <w:rPr>
          <w:sz w:val="22"/>
          <w:szCs w:val="22"/>
        </w:rPr>
        <w:t xml:space="preserve"> </w:t>
      </w:r>
      <w:proofErr w:type="gramStart"/>
      <w:r w:rsidRPr="00073F5F">
        <w:rPr>
          <w:sz w:val="22"/>
          <w:szCs w:val="22"/>
        </w:rPr>
        <w:t>failure</w:t>
      </w:r>
      <w:proofErr w:type="gramEnd"/>
      <w:r w:rsidRPr="00073F5F">
        <w:rPr>
          <w:sz w:val="22"/>
          <w:szCs w:val="22"/>
        </w:rPr>
        <w:t>.</w:t>
      </w:r>
      <w:r w:rsidR="003C78D5" w:rsidRPr="003C78D5">
        <w:rPr>
          <w:sz w:val="22"/>
          <w:szCs w:val="22"/>
        </w:rPr>
        <w:t xml:space="preserve"> </w:t>
      </w:r>
      <w:r w:rsidR="003C78D5">
        <w:rPr>
          <w:sz w:val="22"/>
          <w:szCs w:val="22"/>
        </w:rPr>
        <w:t xml:space="preserve">All 5 cases were </w:t>
      </w:r>
      <w:proofErr w:type="spellStart"/>
      <w:proofErr w:type="gramStart"/>
      <w:r w:rsidR="00B43A53" w:rsidRPr="00286FC0">
        <w:rPr>
          <w:i/>
          <w:sz w:val="22"/>
          <w:szCs w:val="22"/>
        </w:rPr>
        <w:t>Pv</w:t>
      </w:r>
      <w:proofErr w:type="spellEnd"/>
      <w:proofErr w:type="gramEnd"/>
      <w:r w:rsidR="003C78D5">
        <w:rPr>
          <w:sz w:val="22"/>
          <w:szCs w:val="22"/>
        </w:rPr>
        <w:t xml:space="preserve"> malaria.</w:t>
      </w:r>
    </w:p>
    <w:p w14:paraId="714F899B" w14:textId="01D34559" w:rsidR="00EF6A31" w:rsidRPr="00073F5F" w:rsidRDefault="00EF6A31" w:rsidP="009F52D5">
      <w:pPr>
        <w:pStyle w:val="C-BodyText"/>
        <w:spacing w:before="0" w:after="200" w:line="240" w:lineRule="auto"/>
        <w:rPr>
          <w:sz w:val="22"/>
          <w:szCs w:val="22"/>
        </w:rPr>
      </w:pPr>
      <w:r>
        <w:rPr>
          <w:sz w:val="22"/>
          <w:szCs w:val="22"/>
        </w:rPr>
        <w:t xml:space="preserve">The relapse follow-up was extended for another 6 months (a total of 12 months post-prophylactic phase). There were 3 more cases of malaria in the </w:t>
      </w:r>
      <w:proofErr w:type="spellStart"/>
      <w:r>
        <w:rPr>
          <w:sz w:val="22"/>
          <w:szCs w:val="22"/>
        </w:rPr>
        <w:t>tafenoquine</w:t>
      </w:r>
      <w:proofErr w:type="spellEnd"/>
      <w:r>
        <w:rPr>
          <w:sz w:val="22"/>
          <w:szCs w:val="22"/>
        </w:rPr>
        <w:t xml:space="preserve"> group and one case of malaria in the </w:t>
      </w:r>
      <w:proofErr w:type="spellStart"/>
      <w:r>
        <w:rPr>
          <w:sz w:val="22"/>
          <w:szCs w:val="22"/>
        </w:rPr>
        <w:t>mefloquine</w:t>
      </w:r>
      <w:proofErr w:type="spellEnd"/>
      <w:r>
        <w:rPr>
          <w:sz w:val="22"/>
          <w:szCs w:val="22"/>
        </w:rPr>
        <w:t>/</w:t>
      </w:r>
      <w:proofErr w:type="spellStart"/>
      <w:r>
        <w:rPr>
          <w:sz w:val="22"/>
          <w:szCs w:val="22"/>
        </w:rPr>
        <w:t>primaquine</w:t>
      </w:r>
      <w:proofErr w:type="spellEnd"/>
      <w:r>
        <w:rPr>
          <w:sz w:val="22"/>
          <w:szCs w:val="22"/>
        </w:rPr>
        <w:t xml:space="preserve"> group during this 6-month extension, bringing to a total of 7 </w:t>
      </w:r>
      <w:proofErr w:type="spellStart"/>
      <w:proofErr w:type="gramStart"/>
      <w:r w:rsidR="00B43A53" w:rsidRPr="00286FC0">
        <w:rPr>
          <w:i/>
          <w:sz w:val="22"/>
          <w:szCs w:val="22"/>
        </w:rPr>
        <w:t>Pv</w:t>
      </w:r>
      <w:proofErr w:type="spellEnd"/>
      <w:proofErr w:type="gramEnd"/>
      <w:r w:rsidR="00B43A53" w:rsidRPr="00286FC0">
        <w:rPr>
          <w:i/>
          <w:sz w:val="22"/>
          <w:szCs w:val="22"/>
        </w:rPr>
        <w:t xml:space="preserve"> </w:t>
      </w:r>
      <w:r>
        <w:rPr>
          <w:sz w:val="22"/>
          <w:szCs w:val="22"/>
        </w:rPr>
        <w:t xml:space="preserve">relapses in the </w:t>
      </w:r>
      <w:proofErr w:type="spellStart"/>
      <w:r>
        <w:rPr>
          <w:sz w:val="22"/>
          <w:szCs w:val="22"/>
        </w:rPr>
        <w:t>tafenoquine</w:t>
      </w:r>
      <w:proofErr w:type="spellEnd"/>
      <w:r>
        <w:rPr>
          <w:sz w:val="22"/>
          <w:szCs w:val="22"/>
        </w:rPr>
        <w:t xml:space="preserve"> group and 2 </w:t>
      </w:r>
      <w:proofErr w:type="spellStart"/>
      <w:r w:rsidR="00B43A53" w:rsidRPr="00286FC0">
        <w:rPr>
          <w:i/>
          <w:sz w:val="22"/>
          <w:szCs w:val="22"/>
        </w:rPr>
        <w:t>Pv</w:t>
      </w:r>
      <w:proofErr w:type="spellEnd"/>
      <w:r>
        <w:rPr>
          <w:sz w:val="22"/>
          <w:szCs w:val="22"/>
        </w:rPr>
        <w:t xml:space="preserve"> relapses in the </w:t>
      </w:r>
      <w:proofErr w:type="spellStart"/>
      <w:r>
        <w:rPr>
          <w:sz w:val="22"/>
          <w:szCs w:val="22"/>
        </w:rPr>
        <w:t>mefloquine</w:t>
      </w:r>
      <w:proofErr w:type="spellEnd"/>
      <w:r>
        <w:rPr>
          <w:sz w:val="22"/>
          <w:szCs w:val="22"/>
        </w:rPr>
        <w:t>/</w:t>
      </w:r>
      <w:proofErr w:type="spellStart"/>
      <w:r>
        <w:rPr>
          <w:sz w:val="22"/>
          <w:szCs w:val="22"/>
        </w:rPr>
        <w:t>primaquine</w:t>
      </w:r>
      <w:proofErr w:type="spellEnd"/>
      <w:r>
        <w:rPr>
          <w:sz w:val="22"/>
          <w:szCs w:val="22"/>
        </w:rPr>
        <w:t xml:space="preserve"> group during the 12 months relapse follow-up after the end of prophylactic phase. </w:t>
      </w:r>
    </w:p>
    <w:p w14:paraId="135EEC42" w14:textId="77777777" w:rsidR="001A3992" w:rsidRPr="00073F5F" w:rsidRDefault="001A3992" w:rsidP="009F52D5">
      <w:pPr>
        <w:pStyle w:val="Heading2"/>
        <w:keepNext/>
        <w:spacing w:before="0" w:after="120" w:line="240" w:lineRule="auto"/>
        <w:rPr>
          <w:rFonts w:ascii="Times New Roman" w:hAnsi="Times New Roman" w:cs="Times New Roman"/>
          <w:lang w:val="en-US"/>
        </w:rPr>
      </w:pPr>
      <w:r w:rsidRPr="00073F5F">
        <w:rPr>
          <w:rFonts w:ascii="Times New Roman" w:hAnsi="Times New Roman" w:cs="Times New Roman"/>
          <w:lang w:val="en-US"/>
        </w:rPr>
        <w:lastRenderedPageBreak/>
        <w:t xml:space="preserve">Pharmacokinetic properties </w:t>
      </w:r>
    </w:p>
    <w:p w14:paraId="3B9A57A6" w14:textId="1F20BF9D" w:rsidR="00FF31AB" w:rsidRPr="00073F5F" w:rsidRDefault="00FF31AB" w:rsidP="009F52D5">
      <w:pPr>
        <w:pStyle w:val="BodyText"/>
        <w:kinsoku w:val="0"/>
        <w:overflowPunct w:val="0"/>
        <w:spacing w:before="0" w:after="200"/>
        <w:ind w:left="0" w:right="408"/>
        <w:rPr>
          <w:color w:val="000000"/>
          <w:sz w:val="22"/>
          <w:szCs w:val="22"/>
          <w:lang w:val="en-US"/>
        </w:rPr>
      </w:pPr>
      <w:r w:rsidRPr="00073F5F">
        <w:rPr>
          <w:color w:val="000000"/>
          <w:sz w:val="22"/>
          <w:szCs w:val="22"/>
          <w:lang w:val="en-US"/>
        </w:rPr>
        <w:t xml:space="preserve">A population PK analysis in healthy subjects was conducted consolidating clinical PK data from </w:t>
      </w:r>
      <w:r w:rsidR="00F93C2A">
        <w:rPr>
          <w:color w:val="000000"/>
          <w:sz w:val="22"/>
          <w:szCs w:val="22"/>
          <w:lang w:val="en-US"/>
        </w:rPr>
        <w:t>Trials</w:t>
      </w:r>
      <w:r w:rsidRPr="00073F5F">
        <w:rPr>
          <w:color w:val="000000"/>
          <w:sz w:val="22"/>
          <w:szCs w:val="22"/>
          <w:lang w:val="en-US"/>
        </w:rPr>
        <w:t xml:space="preserve"> 001, 002, 003, 004, 005, 014, 015, 033, 044 and 058. Covariates common to all 10 </w:t>
      </w:r>
      <w:r w:rsidR="00F93C2A">
        <w:rPr>
          <w:color w:val="000000"/>
          <w:sz w:val="22"/>
          <w:szCs w:val="22"/>
          <w:lang w:val="en-US"/>
        </w:rPr>
        <w:t>trials</w:t>
      </w:r>
      <w:r w:rsidRPr="00073F5F">
        <w:rPr>
          <w:color w:val="000000"/>
          <w:sz w:val="22"/>
          <w:szCs w:val="22"/>
          <w:lang w:val="en-US"/>
        </w:rPr>
        <w:t xml:space="preserve"> were age, weight, race, </w:t>
      </w:r>
      <w:proofErr w:type="gramStart"/>
      <w:r w:rsidRPr="00073F5F">
        <w:rPr>
          <w:color w:val="000000"/>
          <w:sz w:val="22"/>
          <w:szCs w:val="22"/>
          <w:lang w:val="en-US"/>
        </w:rPr>
        <w:t>sex</w:t>
      </w:r>
      <w:proofErr w:type="gramEnd"/>
      <w:r w:rsidRPr="00073F5F">
        <w:rPr>
          <w:color w:val="000000"/>
          <w:sz w:val="22"/>
          <w:szCs w:val="22"/>
          <w:lang w:val="en-US"/>
        </w:rPr>
        <w:t xml:space="preserve"> and meal schedule. The </w:t>
      </w:r>
      <w:r w:rsidR="00E94138">
        <w:rPr>
          <w:color w:val="000000"/>
          <w:sz w:val="22"/>
          <w:szCs w:val="22"/>
          <w:lang w:val="en-US"/>
        </w:rPr>
        <w:t>analysis</w:t>
      </w:r>
      <w:r w:rsidRPr="00073F5F">
        <w:rPr>
          <w:color w:val="000000"/>
          <w:sz w:val="22"/>
          <w:szCs w:val="22"/>
          <w:lang w:val="en-US"/>
        </w:rPr>
        <w:t xml:space="preserve"> comprised 866 participants across the </w:t>
      </w:r>
      <w:r w:rsidR="00F93C2A">
        <w:rPr>
          <w:color w:val="000000"/>
          <w:sz w:val="22"/>
          <w:szCs w:val="22"/>
          <w:lang w:val="en-US"/>
        </w:rPr>
        <w:t>trials</w:t>
      </w:r>
      <w:r w:rsidRPr="00073F5F">
        <w:rPr>
          <w:color w:val="000000"/>
          <w:sz w:val="22"/>
          <w:szCs w:val="22"/>
          <w:lang w:val="en-US"/>
        </w:rPr>
        <w:t xml:space="preserve">. The total </w:t>
      </w:r>
      <w:r w:rsidR="00E94138">
        <w:rPr>
          <w:color w:val="000000"/>
          <w:sz w:val="22"/>
          <w:szCs w:val="22"/>
          <w:lang w:val="en-US"/>
        </w:rPr>
        <w:t xml:space="preserve">analysis </w:t>
      </w:r>
      <w:r w:rsidRPr="00073F5F">
        <w:rPr>
          <w:color w:val="000000"/>
          <w:sz w:val="22"/>
          <w:szCs w:val="22"/>
          <w:lang w:val="en-US"/>
        </w:rPr>
        <w:t>population was 93.3% male; median age 25 years, mean weight 75.0</w:t>
      </w:r>
      <w:r w:rsidR="00E94138">
        <w:rPr>
          <w:color w:val="000000"/>
          <w:sz w:val="22"/>
          <w:szCs w:val="22"/>
          <w:lang w:val="en-US"/>
        </w:rPr>
        <w:t> </w:t>
      </w:r>
      <w:r w:rsidRPr="00073F5F">
        <w:rPr>
          <w:color w:val="000000"/>
          <w:sz w:val="22"/>
          <w:szCs w:val="22"/>
          <w:lang w:val="en-US"/>
        </w:rPr>
        <w:t xml:space="preserve">kg and 72.3% </w:t>
      </w:r>
      <w:r w:rsidR="00E31CCB">
        <w:rPr>
          <w:color w:val="000000"/>
          <w:sz w:val="22"/>
          <w:szCs w:val="22"/>
          <w:lang w:val="en-US"/>
        </w:rPr>
        <w:t>C</w:t>
      </w:r>
      <w:r w:rsidRPr="00073F5F">
        <w:rPr>
          <w:color w:val="000000"/>
          <w:sz w:val="22"/>
          <w:szCs w:val="22"/>
          <w:lang w:val="en-US"/>
        </w:rPr>
        <w:t xml:space="preserve">aucasian/white. The majority of participants (89.4%) took </w:t>
      </w:r>
      <w:proofErr w:type="spellStart"/>
      <w:r w:rsidRPr="00073F5F">
        <w:rPr>
          <w:color w:val="000000"/>
          <w:sz w:val="22"/>
          <w:szCs w:val="22"/>
          <w:lang w:val="en-US"/>
        </w:rPr>
        <w:t>tafenoquine</w:t>
      </w:r>
      <w:proofErr w:type="spellEnd"/>
      <w:r w:rsidRPr="00073F5F">
        <w:rPr>
          <w:color w:val="000000"/>
          <w:sz w:val="22"/>
          <w:szCs w:val="22"/>
          <w:lang w:val="en-US"/>
        </w:rPr>
        <w:t xml:space="preserve"> under fed conditions</w:t>
      </w:r>
      <w:r w:rsidR="003C78D5">
        <w:rPr>
          <w:color w:val="000000"/>
          <w:sz w:val="22"/>
          <w:szCs w:val="22"/>
          <w:lang w:val="en-US"/>
        </w:rPr>
        <w:t xml:space="preserve"> (i.e., after a meal)</w:t>
      </w:r>
      <w:r w:rsidRPr="00073F5F">
        <w:rPr>
          <w:color w:val="000000"/>
          <w:sz w:val="22"/>
          <w:szCs w:val="22"/>
          <w:lang w:val="en-US"/>
        </w:rPr>
        <w:t>.</w:t>
      </w:r>
      <w:r w:rsidR="009A1553" w:rsidRPr="00073F5F">
        <w:rPr>
          <w:color w:val="000000"/>
          <w:sz w:val="22"/>
          <w:szCs w:val="22"/>
          <w:lang w:val="en-US"/>
        </w:rPr>
        <w:t xml:space="preserve"> </w:t>
      </w:r>
    </w:p>
    <w:p w14:paraId="2B215392" w14:textId="77777777" w:rsidR="00FF31AB" w:rsidRPr="0061165B" w:rsidRDefault="00FF31AB" w:rsidP="009F52D5">
      <w:pPr>
        <w:pStyle w:val="BodyText"/>
        <w:kinsoku w:val="0"/>
        <w:overflowPunct w:val="0"/>
        <w:spacing w:before="0" w:after="200"/>
        <w:ind w:left="0" w:right="408"/>
        <w:rPr>
          <w:color w:val="000000"/>
          <w:sz w:val="22"/>
          <w:szCs w:val="22"/>
          <w:lang w:val="en-US"/>
        </w:rPr>
      </w:pPr>
      <w:r w:rsidRPr="0061165B">
        <w:rPr>
          <w:color w:val="000000"/>
          <w:sz w:val="22"/>
          <w:szCs w:val="22"/>
          <w:lang w:val="en-US"/>
        </w:rPr>
        <w:t xml:space="preserve">A one-compartment PK model with first-order absorption and elimination processes was specified in the NONMEM control file and was </w:t>
      </w:r>
      <w:proofErr w:type="spellStart"/>
      <w:r w:rsidRPr="0061165B">
        <w:rPr>
          <w:color w:val="000000"/>
          <w:sz w:val="22"/>
          <w:szCs w:val="22"/>
          <w:lang w:val="en-US"/>
        </w:rPr>
        <w:t>parameterised</w:t>
      </w:r>
      <w:proofErr w:type="spellEnd"/>
      <w:r w:rsidRPr="0061165B">
        <w:rPr>
          <w:color w:val="000000"/>
          <w:sz w:val="22"/>
          <w:szCs w:val="22"/>
          <w:lang w:val="en-US"/>
        </w:rPr>
        <w:t xml:space="preserve"> in terms of apparent CL/F, V/F and </w:t>
      </w:r>
      <w:proofErr w:type="spellStart"/>
      <w:r w:rsidRPr="0061165B">
        <w:rPr>
          <w:color w:val="000000"/>
          <w:sz w:val="22"/>
          <w:szCs w:val="22"/>
          <w:lang w:val="en-US"/>
        </w:rPr>
        <w:t>ka</w:t>
      </w:r>
      <w:proofErr w:type="spellEnd"/>
      <w:r w:rsidRPr="0061165B">
        <w:rPr>
          <w:color w:val="000000"/>
          <w:sz w:val="22"/>
          <w:szCs w:val="22"/>
          <w:lang w:val="en-US"/>
        </w:rPr>
        <w:t xml:space="preserve">. Key pharmacokinetic parameters from the population PK analysis and from </w:t>
      </w:r>
      <w:r w:rsidR="00F93C2A">
        <w:rPr>
          <w:color w:val="000000"/>
          <w:sz w:val="22"/>
          <w:szCs w:val="22"/>
          <w:lang w:val="en-US"/>
        </w:rPr>
        <w:t>Trial</w:t>
      </w:r>
      <w:r w:rsidRPr="0061165B">
        <w:rPr>
          <w:color w:val="000000"/>
          <w:sz w:val="22"/>
          <w:szCs w:val="22"/>
          <w:lang w:val="en-US"/>
        </w:rPr>
        <w:t xml:space="preserve"> 051 data are shown in </w:t>
      </w:r>
      <w:r w:rsidR="000261DB">
        <w:fldChar w:fldCharType="begin"/>
      </w:r>
      <w:r w:rsidR="000261DB">
        <w:instrText xml:space="preserve"> REF _Ref482886685 \h  \* MERGEFORMAT </w:instrText>
      </w:r>
      <w:r w:rsidR="000261DB">
        <w:fldChar w:fldCharType="separate"/>
      </w:r>
      <w:r w:rsidR="00F6546C" w:rsidRPr="0061165B">
        <w:rPr>
          <w:sz w:val="22"/>
          <w:szCs w:val="22"/>
        </w:rPr>
        <w:t>Table 7</w:t>
      </w:r>
      <w:r w:rsidR="000261DB">
        <w:fldChar w:fldCharType="end"/>
      </w:r>
      <w:r w:rsidRPr="0061165B">
        <w:rPr>
          <w:color w:val="000000"/>
          <w:sz w:val="22"/>
          <w:szCs w:val="22"/>
          <w:lang w:val="en-US"/>
        </w:rPr>
        <w:t>.</w:t>
      </w:r>
    </w:p>
    <w:p w14:paraId="388FE0D4" w14:textId="77777777" w:rsidR="00FF31AB" w:rsidRPr="00F16A76" w:rsidRDefault="00FF31AB" w:rsidP="009F52D5">
      <w:pPr>
        <w:pStyle w:val="Caption"/>
        <w:spacing w:before="0" w:after="200" w:line="240" w:lineRule="auto"/>
        <w:rPr>
          <w:sz w:val="22"/>
          <w:szCs w:val="22"/>
        </w:rPr>
      </w:pPr>
      <w:bookmarkStart w:id="5" w:name="_Ref482886685"/>
      <w:r w:rsidRPr="00073F5F">
        <w:rPr>
          <w:sz w:val="22"/>
          <w:szCs w:val="22"/>
        </w:rPr>
        <w:t xml:space="preserve">Table </w:t>
      </w:r>
      <w:r w:rsidR="00B43A53" w:rsidRPr="00073F5F">
        <w:rPr>
          <w:sz w:val="22"/>
          <w:szCs w:val="22"/>
        </w:rPr>
        <w:fldChar w:fldCharType="begin"/>
      </w:r>
      <w:r w:rsidRPr="00073F5F">
        <w:rPr>
          <w:sz w:val="22"/>
          <w:szCs w:val="22"/>
        </w:rPr>
        <w:instrText xml:space="preserve"> SEQ Table \* ARABIC </w:instrText>
      </w:r>
      <w:r w:rsidR="00B43A53" w:rsidRPr="00073F5F">
        <w:rPr>
          <w:sz w:val="22"/>
          <w:szCs w:val="22"/>
        </w:rPr>
        <w:fldChar w:fldCharType="separate"/>
      </w:r>
      <w:r w:rsidR="00F6546C">
        <w:rPr>
          <w:noProof/>
          <w:sz w:val="22"/>
          <w:szCs w:val="22"/>
        </w:rPr>
        <w:t>7</w:t>
      </w:r>
      <w:r w:rsidR="00B43A53" w:rsidRPr="00073F5F">
        <w:rPr>
          <w:sz w:val="22"/>
          <w:szCs w:val="22"/>
        </w:rPr>
        <w:fldChar w:fldCharType="end"/>
      </w:r>
      <w:bookmarkEnd w:id="5"/>
      <w:r w:rsidRPr="00F16A76">
        <w:rPr>
          <w:sz w:val="22"/>
          <w:szCs w:val="22"/>
        </w:rPr>
        <w:t>:</w:t>
      </w:r>
      <w:r w:rsidRPr="00F16A76">
        <w:rPr>
          <w:sz w:val="22"/>
          <w:szCs w:val="22"/>
        </w:rPr>
        <w:tab/>
        <w:t xml:space="preserve">Key Pharmacokinetic Parameters for </w:t>
      </w:r>
      <w:proofErr w:type="spellStart"/>
      <w:r w:rsidRPr="00F16A76">
        <w:rPr>
          <w:sz w:val="22"/>
          <w:szCs w:val="22"/>
        </w:rPr>
        <w:t>Tafenoquine</w:t>
      </w:r>
      <w:proofErr w:type="spellEnd"/>
      <w:r w:rsidRPr="00F16A76">
        <w:rPr>
          <w:sz w:val="22"/>
          <w:szCs w:val="22"/>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769"/>
        <w:gridCol w:w="5473"/>
      </w:tblGrid>
      <w:tr w:rsidR="00FF31AB" w:rsidRPr="00F6546C" w14:paraId="63BB0A28" w14:textId="77777777" w:rsidTr="00F6546C">
        <w:trPr>
          <w:tblHeader/>
        </w:trPr>
        <w:tc>
          <w:tcPr>
            <w:tcW w:w="2039" w:type="pct"/>
          </w:tcPr>
          <w:p w14:paraId="02B1083A" w14:textId="77777777" w:rsidR="00FF31AB" w:rsidRPr="00F6546C" w:rsidRDefault="00FF31AB" w:rsidP="00E30275">
            <w:pPr>
              <w:pStyle w:val="C-TableHeader"/>
              <w:spacing w:before="0" w:after="0"/>
            </w:pPr>
            <w:r w:rsidRPr="00F6546C">
              <w:t>Parameter</w:t>
            </w:r>
          </w:p>
        </w:tc>
        <w:tc>
          <w:tcPr>
            <w:tcW w:w="2961" w:type="pct"/>
          </w:tcPr>
          <w:p w14:paraId="5C953910" w14:textId="77777777" w:rsidR="00FF31AB" w:rsidRPr="00F6546C" w:rsidRDefault="00FF31AB" w:rsidP="00E30275">
            <w:pPr>
              <w:pStyle w:val="C-TableHeader"/>
              <w:spacing w:before="0" w:after="0"/>
            </w:pPr>
            <w:r w:rsidRPr="00F6546C">
              <w:t>Value</w:t>
            </w:r>
          </w:p>
        </w:tc>
      </w:tr>
      <w:tr w:rsidR="00FF31AB" w:rsidRPr="00F6546C" w14:paraId="429A617D" w14:textId="77777777" w:rsidTr="00F6546C">
        <w:tc>
          <w:tcPr>
            <w:tcW w:w="2039" w:type="pct"/>
          </w:tcPr>
          <w:p w14:paraId="19818E3B" w14:textId="77777777" w:rsidR="00FF31AB" w:rsidRPr="00F6546C" w:rsidRDefault="00FF31AB" w:rsidP="00E30275">
            <w:pPr>
              <w:pStyle w:val="C-TableText"/>
              <w:spacing w:before="0" w:after="0"/>
              <w:rPr>
                <w:sz w:val="20"/>
                <w:szCs w:val="20"/>
              </w:rPr>
            </w:pPr>
            <w:r w:rsidRPr="00F6546C">
              <w:rPr>
                <w:sz w:val="20"/>
                <w:szCs w:val="20"/>
              </w:rPr>
              <w:t>*Volume of distribution/F</w:t>
            </w:r>
            <w:r w:rsidRPr="00F6546C">
              <w:rPr>
                <w:sz w:val="20"/>
                <w:szCs w:val="20"/>
              </w:rPr>
              <w:tab/>
            </w:r>
          </w:p>
        </w:tc>
        <w:tc>
          <w:tcPr>
            <w:tcW w:w="2961" w:type="pct"/>
          </w:tcPr>
          <w:p w14:paraId="1A3A1DEA" w14:textId="77777777" w:rsidR="00FF31AB" w:rsidRPr="00F6546C" w:rsidRDefault="00FF31AB" w:rsidP="00E30275">
            <w:pPr>
              <w:pStyle w:val="C-TableText"/>
              <w:spacing w:before="0" w:after="0"/>
              <w:rPr>
                <w:sz w:val="20"/>
                <w:szCs w:val="20"/>
              </w:rPr>
            </w:pPr>
            <w:r w:rsidRPr="00F6546C">
              <w:rPr>
                <w:sz w:val="20"/>
                <w:szCs w:val="20"/>
              </w:rPr>
              <w:t>2470 L (inter-individual variability = 24%)</w:t>
            </w:r>
          </w:p>
        </w:tc>
      </w:tr>
      <w:tr w:rsidR="00FF31AB" w:rsidRPr="00F6546C" w14:paraId="4D854529" w14:textId="77777777" w:rsidTr="00F6546C">
        <w:tc>
          <w:tcPr>
            <w:tcW w:w="2039" w:type="pct"/>
          </w:tcPr>
          <w:p w14:paraId="379ADD31" w14:textId="77777777" w:rsidR="00FF31AB" w:rsidRPr="00F6546C" w:rsidRDefault="00FF31AB" w:rsidP="00E30275">
            <w:pPr>
              <w:pStyle w:val="C-TableText"/>
              <w:spacing w:before="0" w:after="0"/>
              <w:rPr>
                <w:sz w:val="20"/>
                <w:szCs w:val="20"/>
              </w:rPr>
            </w:pPr>
            <w:r w:rsidRPr="00F6546C">
              <w:rPr>
                <w:sz w:val="20"/>
                <w:szCs w:val="20"/>
              </w:rPr>
              <w:t>*Clearance/F</w:t>
            </w:r>
          </w:p>
        </w:tc>
        <w:tc>
          <w:tcPr>
            <w:tcW w:w="2961" w:type="pct"/>
          </w:tcPr>
          <w:p w14:paraId="4B24600A" w14:textId="77777777" w:rsidR="00FF31AB" w:rsidRPr="00F6546C" w:rsidRDefault="00FF31AB" w:rsidP="00E30275">
            <w:pPr>
              <w:pStyle w:val="C-TableText"/>
              <w:spacing w:before="0" w:after="0"/>
              <w:rPr>
                <w:sz w:val="20"/>
                <w:szCs w:val="20"/>
              </w:rPr>
            </w:pPr>
            <w:r w:rsidRPr="00F6546C">
              <w:rPr>
                <w:sz w:val="20"/>
                <w:szCs w:val="20"/>
              </w:rPr>
              <w:t>4.17 L/hour (inter-individual variability = 24%)</w:t>
            </w:r>
          </w:p>
        </w:tc>
      </w:tr>
      <w:tr w:rsidR="00FF31AB" w:rsidRPr="00F6546C" w14:paraId="7BE9C297" w14:textId="77777777" w:rsidTr="00F6546C">
        <w:tc>
          <w:tcPr>
            <w:tcW w:w="2039" w:type="pct"/>
          </w:tcPr>
          <w:p w14:paraId="0CBB1475" w14:textId="77777777" w:rsidR="00FF31AB" w:rsidRPr="000F76B7" w:rsidRDefault="00FF31AB" w:rsidP="00E30275">
            <w:pPr>
              <w:pStyle w:val="C-TableText"/>
              <w:spacing w:before="0" w:after="0"/>
              <w:rPr>
                <w:sz w:val="20"/>
                <w:szCs w:val="20"/>
              </w:rPr>
            </w:pPr>
            <w:r w:rsidRPr="000F76B7">
              <w:rPr>
                <w:sz w:val="20"/>
                <w:szCs w:val="20"/>
              </w:rPr>
              <w:t>*</w:t>
            </w:r>
            <w:proofErr w:type="spellStart"/>
            <w:r w:rsidRPr="000F76B7">
              <w:rPr>
                <w:sz w:val="20"/>
                <w:szCs w:val="20"/>
              </w:rPr>
              <w:t>k</w:t>
            </w:r>
            <w:r w:rsidRPr="000F76B7">
              <w:rPr>
                <w:sz w:val="20"/>
                <w:szCs w:val="20"/>
                <w:vertAlign w:val="subscript"/>
              </w:rPr>
              <w:t>a</w:t>
            </w:r>
            <w:proofErr w:type="spellEnd"/>
          </w:p>
        </w:tc>
        <w:tc>
          <w:tcPr>
            <w:tcW w:w="2961" w:type="pct"/>
          </w:tcPr>
          <w:p w14:paraId="000C88D3" w14:textId="77777777" w:rsidR="00FF31AB" w:rsidRPr="000F76B7" w:rsidRDefault="00FF31AB" w:rsidP="00E30275">
            <w:pPr>
              <w:pStyle w:val="C-TableText"/>
              <w:spacing w:before="0" w:after="0"/>
              <w:rPr>
                <w:sz w:val="20"/>
                <w:szCs w:val="20"/>
              </w:rPr>
            </w:pPr>
            <w:r w:rsidRPr="000F76B7">
              <w:rPr>
                <w:sz w:val="20"/>
                <w:szCs w:val="20"/>
              </w:rPr>
              <w:t xml:space="preserve">0.359 L/hour (inter-individual variability = 54%) </w:t>
            </w:r>
          </w:p>
        </w:tc>
      </w:tr>
      <w:tr w:rsidR="00FF31AB" w:rsidRPr="00F6546C" w14:paraId="4718157E" w14:textId="77777777" w:rsidTr="00F6546C">
        <w:tc>
          <w:tcPr>
            <w:tcW w:w="2039" w:type="pct"/>
          </w:tcPr>
          <w:p w14:paraId="51DB270C" w14:textId="77777777" w:rsidR="00FF31AB" w:rsidRPr="000F76B7" w:rsidRDefault="00FF31AB" w:rsidP="00E30275">
            <w:pPr>
              <w:pStyle w:val="C-TableText"/>
              <w:spacing w:before="0" w:after="0"/>
              <w:rPr>
                <w:sz w:val="20"/>
                <w:szCs w:val="20"/>
              </w:rPr>
            </w:pPr>
            <w:r w:rsidRPr="000F76B7">
              <w:rPr>
                <w:sz w:val="20"/>
                <w:szCs w:val="20"/>
              </w:rPr>
              <w:t>*Half-life (t</w:t>
            </w:r>
            <w:r w:rsidRPr="000F76B7">
              <w:rPr>
                <w:sz w:val="20"/>
                <w:szCs w:val="20"/>
                <w:vertAlign w:val="subscript"/>
              </w:rPr>
              <w:t>½</w:t>
            </w:r>
            <w:r w:rsidRPr="000F76B7">
              <w:rPr>
                <w:sz w:val="20"/>
                <w:szCs w:val="20"/>
              </w:rPr>
              <w:t xml:space="preserve"> )</w:t>
            </w:r>
          </w:p>
        </w:tc>
        <w:tc>
          <w:tcPr>
            <w:tcW w:w="2961" w:type="pct"/>
          </w:tcPr>
          <w:p w14:paraId="5F75D924" w14:textId="77777777" w:rsidR="00FF31AB" w:rsidRPr="000F76B7" w:rsidRDefault="00FF31AB" w:rsidP="00E30275">
            <w:pPr>
              <w:pStyle w:val="C-TableText"/>
              <w:spacing w:before="0" w:after="0"/>
              <w:rPr>
                <w:sz w:val="20"/>
                <w:szCs w:val="20"/>
              </w:rPr>
            </w:pPr>
            <w:r w:rsidRPr="000F76B7">
              <w:rPr>
                <w:sz w:val="20"/>
                <w:szCs w:val="20"/>
              </w:rPr>
              <w:t xml:space="preserve">17 days </w:t>
            </w:r>
          </w:p>
        </w:tc>
      </w:tr>
      <w:tr w:rsidR="00FF31AB" w:rsidRPr="00F6546C" w14:paraId="3D28CB73" w14:textId="77777777" w:rsidTr="00F6546C">
        <w:tc>
          <w:tcPr>
            <w:tcW w:w="2039" w:type="pct"/>
          </w:tcPr>
          <w:p w14:paraId="01FD4D55" w14:textId="77777777" w:rsidR="00FF31AB" w:rsidRPr="000F76B7" w:rsidRDefault="00FF31AB" w:rsidP="00E30275">
            <w:pPr>
              <w:pStyle w:val="C-TableText"/>
              <w:spacing w:before="0" w:after="0"/>
              <w:rPr>
                <w:sz w:val="20"/>
                <w:szCs w:val="20"/>
              </w:rPr>
            </w:pPr>
            <w:r w:rsidRPr="000F76B7">
              <w:rPr>
                <w:sz w:val="20"/>
                <w:szCs w:val="20"/>
              </w:rPr>
              <w:t>**</w:t>
            </w:r>
            <w:proofErr w:type="spellStart"/>
            <w:r w:rsidRPr="000F76B7">
              <w:rPr>
                <w:sz w:val="20"/>
                <w:szCs w:val="20"/>
              </w:rPr>
              <w:t>t</w:t>
            </w:r>
            <w:r w:rsidRPr="000F76B7">
              <w:rPr>
                <w:sz w:val="20"/>
                <w:szCs w:val="20"/>
                <w:vertAlign w:val="subscript"/>
              </w:rPr>
              <w:t>max,ss</w:t>
            </w:r>
            <w:proofErr w:type="spellEnd"/>
          </w:p>
        </w:tc>
        <w:tc>
          <w:tcPr>
            <w:tcW w:w="2961" w:type="pct"/>
          </w:tcPr>
          <w:p w14:paraId="6D8C5F16" w14:textId="77777777" w:rsidR="00FF31AB" w:rsidRPr="000F76B7" w:rsidRDefault="00FF31AB" w:rsidP="00E30275">
            <w:pPr>
              <w:pStyle w:val="C-TableText"/>
              <w:spacing w:before="0" w:after="0"/>
              <w:rPr>
                <w:sz w:val="20"/>
                <w:szCs w:val="20"/>
              </w:rPr>
            </w:pPr>
            <w:r w:rsidRPr="000F76B7">
              <w:rPr>
                <w:sz w:val="20"/>
                <w:szCs w:val="20"/>
              </w:rPr>
              <w:t>7.0 hours</w:t>
            </w:r>
          </w:p>
        </w:tc>
      </w:tr>
      <w:tr w:rsidR="00FF31AB" w:rsidRPr="00F6546C" w14:paraId="2197A9E0" w14:textId="77777777" w:rsidTr="00F6546C">
        <w:tc>
          <w:tcPr>
            <w:tcW w:w="2039" w:type="pct"/>
          </w:tcPr>
          <w:p w14:paraId="6111E04E" w14:textId="77777777" w:rsidR="00FF31AB" w:rsidRPr="000F76B7" w:rsidRDefault="00FF31AB" w:rsidP="00E30275">
            <w:pPr>
              <w:pStyle w:val="C-TableText"/>
              <w:spacing w:before="0" w:after="0"/>
              <w:rPr>
                <w:sz w:val="20"/>
                <w:szCs w:val="20"/>
              </w:rPr>
            </w:pPr>
            <w:r w:rsidRPr="000F76B7">
              <w:rPr>
                <w:sz w:val="20"/>
                <w:szCs w:val="20"/>
              </w:rPr>
              <w:t>*</w:t>
            </w:r>
            <w:proofErr w:type="spellStart"/>
            <w:r w:rsidRPr="000F76B7">
              <w:rPr>
                <w:sz w:val="20"/>
                <w:szCs w:val="20"/>
              </w:rPr>
              <w:t>C</w:t>
            </w:r>
            <w:r w:rsidRPr="000F76B7">
              <w:rPr>
                <w:sz w:val="20"/>
                <w:szCs w:val="20"/>
                <w:vertAlign w:val="subscript"/>
              </w:rPr>
              <w:t>max,ss</w:t>
            </w:r>
            <w:proofErr w:type="spellEnd"/>
          </w:p>
        </w:tc>
        <w:tc>
          <w:tcPr>
            <w:tcW w:w="2961" w:type="pct"/>
          </w:tcPr>
          <w:p w14:paraId="05D6EEE6" w14:textId="77777777" w:rsidR="00FF31AB" w:rsidRPr="000F76B7" w:rsidRDefault="00FF31AB" w:rsidP="00E30275">
            <w:pPr>
              <w:pStyle w:val="C-TableText"/>
              <w:spacing w:before="0" w:after="0"/>
              <w:rPr>
                <w:sz w:val="20"/>
                <w:szCs w:val="20"/>
              </w:rPr>
            </w:pPr>
            <w:r w:rsidRPr="000F76B7">
              <w:rPr>
                <w:sz w:val="20"/>
                <w:szCs w:val="20"/>
              </w:rPr>
              <w:t>Approximately 300 ng/mL</w:t>
            </w:r>
          </w:p>
        </w:tc>
      </w:tr>
      <w:tr w:rsidR="00FF31AB" w:rsidRPr="00F6546C" w14:paraId="12B698B0" w14:textId="77777777" w:rsidTr="00F6546C">
        <w:tc>
          <w:tcPr>
            <w:tcW w:w="2039" w:type="pct"/>
          </w:tcPr>
          <w:p w14:paraId="525CB251" w14:textId="77777777" w:rsidR="00FF31AB" w:rsidRPr="000F76B7" w:rsidRDefault="00FF31AB" w:rsidP="00E30275">
            <w:pPr>
              <w:pStyle w:val="C-TableText"/>
              <w:spacing w:before="0" w:after="0"/>
              <w:rPr>
                <w:sz w:val="20"/>
                <w:szCs w:val="20"/>
              </w:rPr>
            </w:pPr>
            <w:r w:rsidRPr="000F76B7">
              <w:rPr>
                <w:sz w:val="20"/>
                <w:szCs w:val="20"/>
              </w:rPr>
              <w:t>*</w:t>
            </w:r>
            <w:proofErr w:type="spellStart"/>
            <w:r w:rsidRPr="000F76B7">
              <w:rPr>
                <w:sz w:val="20"/>
                <w:szCs w:val="20"/>
              </w:rPr>
              <w:t>C</w:t>
            </w:r>
            <w:r w:rsidRPr="000F76B7">
              <w:rPr>
                <w:sz w:val="20"/>
                <w:szCs w:val="20"/>
                <w:vertAlign w:val="subscript"/>
              </w:rPr>
              <w:t>min,ss</w:t>
            </w:r>
            <w:proofErr w:type="spellEnd"/>
          </w:p>
        </w:tc>
        <w:tc>
          <w:tcPr>
            <w:tcW w:w="2961" w:type="pct"/>
          </w:tcPr>
          <w:p w14:paraId="4931B341" w14:textId="77777777" w:rsidR="00FF31AB" w:rsidRPr="000F76B7" w:rsidRDefault="00FF31AB" w:rsidP="00E30275">
            <w:pPr>
              <w:pStyle w:val="C-TableText"/>
              <w:spacing w:before="0" w:after="0"/>
              <w:rPr>
                <w:b/>
                <w:sz w:val="20"/>
                <w:szCs w:val="20"/>
              </w:rPr>
            </w:pPr>
            <w:r w:rsidRPr="000F76B7">
              <w:rPr>
                <w:sz w:val="20"/>
                <w:szCs w:val="20"/>
              </w:rPr>
              <w:t>&gt;80 ng/mL will be present in &gt;95% of individuals</w:t>
            </w:r>
          </w:p>
        </w:tc>
      </w:tr>
    </w:tbl>
    <w:p w14:paraId="020C43C6" w14:textId="77777777" w:rsidR="00FF31AB" w:rsidRPr="00E30275" w:rsidRDefault="00FF31AB" w:rsidP="00E30275">
      <w:pPr>
        <w:pStyle w:val="C-TableFootnote"/>
        <w:ind w:left="142" w:hanging="142"/>
        <w:rPr>
          <w:rFonts w:cs="Times New Roman"/>
        </w:rPr>
      </w:pPr>
      <w:r w:rsidRPr="00E30275">
        <w:rPr>
          <w:rFonts w:cs="Times New Roman"/>
        </w:rPr>
        <w:t>*From population PK analysis</w:t>
      </w:r>
    </w:p>
    <w:p w14:paraId="2B90C05F" w14:textId="77777777" w:rsidR="00FF31AB" w:rsidRPr="00E30275" w:rsidRDefault="00FF31AB" w:rsidP="00E30275">
      <w:pPr>
        <w:pStyle w:val="C-TableFootnote"/>
        <w:ind w:left="142" w:hanging="142"/>
        <w:rPr>
          <w:rFonts w:cs="Times New Roman"/>
        </w:rPr>
      </w:pPr>
      <w:r w:rsidRPr="00E30275">
        <w:rPr>
          <w:rFonts w:cs="Times New Roman"/>
        </w:rPr>
        <w:t xml:space="preserve">**From </w:t>
      </w:r>
      <w:r w:rsidR="00F93C2A">
        <w:rPr>
          <w:rFonts w:cs="Times New Roman"/>
        </w:rPr>
        <w:t>Trial</w:t>
      </w:r>
      <w:r w:rsidRPr="00E30275">
        <w:rPr>
          <w:rFonts w:cs="Times New Roman"/>
        </w:rPr>
        <w:t xml:space="preserve"> 051</w:t>
      </w:r>
    </w:p>
    <w:p w14:paraId="6B30D441" w14:textId="77777777" w:rsidR="00FF31AB" w:rsidRPr="00E30275" w:rsidRDefault="00FF31AB" w:rsidP="00E30275">
      <w:pPr>
        <w:pStyle w:val="C-TableFootnote"/>
        <w:ind w:left="142" w:hanging="142"/>
        <w:rPr>
          <w:rFonts w:cs="Times New Roman"/>
        </w:rPr>
      </w:pPr>
      <w:r w:rsidRPr="00E30275">
        <w:rPr>
          <w:rFonts w:cs="Times New Roman"/>
        </w:rPr>
        <w:t>SS=steady state.</w:t>
      </w:r>
    </w:p>
    <w:p w14:paraId="4B4BA6FE" w14:textId="77777777" w:rsidR="00E30275" w:rsidRDefault="00E30275" w:rsidP="002912ED">
      <w:pPr>
        <w:rPr>
          <w:rFonts w:ascii="Times New Roman" w:hAnsi="Times New Roman" w:cs="Times New Roman"/>
        </w:rPr>
      </w:pPr>
    </w:p>
    <w:p w14:paraId="30522EF9"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Absorption</w:t>
      </w:r>
    </w:p>
    <w:p w14:paraId="5BE0D1FC" w14:textId="797B7B48" w:rsidR="00ED08A7" w:rsidRPr="00073F5F" w:rsidRDefault="00ED08A7" w:rsidP="00E94138">
      <w:pPr>
        <w:pStyle w:val="C-TableFootnote"/>
        <w:tabs>
          <w:tab w:val="clear" w:pos="144"/>
        </w:tabs>
        <w:spacing w:after="200"/>
        <w:ind w:left="0" w:firstLine="0"/>
        <w:rPr>
          <w:rFonts w:eastAsia="Calibri" w:cs="Times New Roman"/>
          <w:sz w:val="22"/>
          <w:szCs w:val="22"/>
        </w:rPr>
      </w:pPr>
      <w:proofErr w:type="spellStart"/>
      <w:r w:rsidRPr="00073F5F">
        <w:rPr>
          <w:rFonts w:eastAsia="Calibri" w:cs="Times New Roman"/>
          <w:sz w:val="22"/>
          <w:szCs w:val="22"/>
        </w:rPr>
        <w:t>Tafenoquine</w:t>
      </w:r>
      <w:proofErr w:type="spellEnd"/>
      <w:r w:rsidRPr="00073F5F">
        <w:rPr>
          <w:rFonts w:eastAsia="Calibri" w:cs="Times New Roman"/>
          <w:sz w:val="22"/>
          <w:szCs w:val="22"/>
        </w:rPr>
        <w:t xml:space="preserve"> plasma concentrations were generally higher following administration of a single dose of </w:t>
      </w:r>
      <w:proofErr w:type="spellStart"/>
      <w:r w:rsidRPr="00073F5F">
        <w:rPr>
          <w:rFonts w:eastAsia="Calibri" w:cs="Times New Roman"/>
          <w:sz w:val="22"/>
          <w:szCs w:val="22"/>
        </w:rPr>
        <w:t>tafenoquine</w:t>
      </w:r>
      <w:proofErr w:type="spellEnd"/>
      <w:r w:rsidRPr="00073F5F">
        <w:rPr>
          <w:rFonts w:eastAsia="Calibri" w:cs="Times New Roman"/>
          <w:sz w:val="22"/>
          <w:szCs w:val="22"/>
        </w:rPr>
        <w:t xml:space="preserve"> </w:t>
      </w:r>
      <w:r w:rsidR="003C78D5">
        <w:rPr>
          <w:rFonts w:eastAsia="Calibri" w:cs="Times New Roman"/>
          <w:sz w:val="22"/>
          <w:szCs w:val="22"/>
        </w:rPr>
        <w:t>under</w:t>
      </w:r>
      <w:r w:rsidRPr="00073F5F">
        <w:rPr>
          <w:rFonts w:eastAsia="Calibri" w:cs="Times New Roman"/>
          <w:sz w:val="22"/>
          <w:szCs w:val="22"/>
        </w:rPr>
        <w:t xml:space="preserve"> fed compared with fasting conditions, with mean fed: fasted ratios of 1.41 (AUC) and 1.31 (</w:t>
      </w:r>
      <w:proofErr w:type="spellStart"/>
      <w:r w:rsidRPr="00073F5F">
        <w:rPr>
          <w:rFonts w:eastAsia="Calibri" w:cs="Times New Roman"/>
          <w:sz w:val="22"/>
          <w:szCs w:val="22"/>
        </w:rPr>
        <w:t>C</w:t>
      </w:r>
      <w:r w:rsidRPr="00073F5F">
        <w:rPr>
          <w:rFonts w:eastAsia="Calibri" w:cs="Times New Roman"/>
          <w:sz w:val="22"/>
          <w:szCs w:val="22"/>
          <w:vertAlign w:val="subscript"/>
        </w:rPr>
        <w:t>max</w:t>
      </w:r>
      <w:proofErr w:type="spellEnd"/>
      <w:r w:rsidRPr="00073F5F">
        <w:rPr>
          <w:rFonts w:eastAsia="Calibri" w:cs="Times New Roman"/>
          <w:sz w:val="22"/>
          <w:szCs w:val="22"/>
        </w:rPr>
        <w:t xml:space="preserve">). </w:t>
      </w:r>
      <w:proofErr w:type="spellStart"/>
      <w:r w:rsidRPr="00073F5F">
        <w:rPr>
          <w:rFonts w:eastAsia="Calibri" w:cs="Times New Roman"/>
          <w:sz w:val="22"/>
          <w:szCs w:val="22"/>
        </w:rPr>
        <w:t>T</w:t>
      </w:r>
      <w:r w:rsidRPr="00073F5F">
        <w:rPr>
          <w:rFonts w:eastAsia="Calibri" w:cs="Times New Roman"/>
          <w:sz w:val="22"/>
          <w:szCs w:val="22"/>
          <w:vertAlign w:val="subscript"/>
        </w:rPr>
        <w:t>max</w:t>
      </w:r>
      <w:proofErr w:type="spellEnd"/>
      <w:r w:rsidRPr="00073F5F">
        <w:rPr>
          <w:rFonts w:eastAsia="Calibri" w:cs="Times New Roman"/>
          <w:sz w:val="22"/>
          <w:szCs w:val="22"/>
          <w:vertAlign w:val="subscript"/>
        </w:rPr>
        <w:t xml:space="preserve"> </w:t>
      </w:r>
      <w:r w:rsidRPr="00073F5F">
        <w:rPr>
          <w:rFonts w:eastAsia="Calibri" w:cs="Times New Roman"/>
          <w:sz w:val="22"/>
          <w:szCs w:val="22"/>
        </w:rPr>
        <w:t>and t</w:t>
      </w:r>
      <w:r w:rsidRPr="00073F5F">
        <w:rPr>
          <w:rFonts w:eastAsia="Calibri" w:cs="Times New Roman"/>
          <w:sz w:val="22"/>
          <w:szCs w:val="22"/>
          <w:vertAlign w:val="subscript"/>
        </w:rPr>
        <w:t xml:space="preserve">½ </w:t>
      </w:r>
      <w:r w:rsidRPr="00073F5F">
        <w:rPr>
          <w:rFonts w:eastAsia="Calibri" w:cs="Times New Roman"/>
          <w:sz w:val="22"/>
          <w:szCs w:val="22"/>
        </w:rPr>
        <w:t xml:space="preserve">were similar under fasting and fed states. However, population PK analyses demonstrated </w:t>
      </w:r>
      <w:r w:rsidR="003C78D5">
        <w:rPr>
          <w:rFonts w:eastAsia="Calibri" w:cs="Times New Roman"/>
          <w:sz w:val="22"/>
          <w:szCs w:val="22"/>
        </w:rPr>
        <w:t xml:space="preserve">that </w:t>
      </w:r>
      <w:r w:rsidRPr="00073F5F">
        <w:rPr>
          <w:rFonts w:eastAsia="Calibri" w:cs="Times New Roman"/>
          <w:sz w:val="22"/>
          <w:szCs w:val="22"/>
        </w:rPr>
        <w:t xml:space="preserve">after the recommended regimen of 200 mg/day times </w:t>
      </w:r>
      <w:r w:rsidR="00E94138">
        <w:rPr>
          <w:rFonts w:eastAsia="Calibri" w:cs="Times New Roman"/>
          <w:sz w:val="22"/>
          <w:szCs w:val="22"/>
        </w:rPr>
        <w:t>3</w:t>
      </w:r>
      <w:r w:rsidR="00E94138" w:rsidRPr="00073F5F">
        <w:rPr>
          <w:rFonts w:eastAsia="Calibri" w:cs="Times New Roman"/>
          <w:sz w:val="22"/>
          <w:szCs w:val="22"/>
        </w:rPr>
        <w:t xml:space="preserve"> </w:t>
      </w:r>
      <w:r w:rsidRPr="00073F5F">
        <w:rPr>
          <w:rFonts w:eastAsia="Calibri" w:cs="Times New Roman"/>
          <w:sz w:val="22"/>
          <w:szCs w:val="22"/>
        </w:rPr>
        <w:t xml:space="preserve">days for loading followed by 200 mg weekly, trough </w:t>
      </w:r>
      <w:proofErr w:type="spellStart"/>
      <w:r w:rsidRPr="00073F5F">
        <w:rPr>
          <w:rFonts w:eastAsia="Calibri" w:cs="Times New Roman"/>
          <w:sz w:val="22"/>
          <w:szCs w:val="22"/>
        </w:rPr>
        <w:t>tafenoquine</w:t>
      </w:r>
      <w:proofErr w:type="spellEnd"/>
      <w:r w:rsidRPr="00073F5F">
        <w:rPr>
          <w:rFonts w:eastAsia="Calibri" w:cs="Times New Roman"/>
          <w:sz w:val="22"/>
          <w:szCs w:val="22"/>
        </w:rPr>
        <w:t xml:space="preserve"> values even in the non-fed state </w:t>
      </w:r>
      <w:r w:rsidR="003C78D5">
        <w:rPr>
          <w:rFonts w:eastAsia="Calibri" w:cs="Times New Roman"/>
          <w:sz w:val="22"/>
          <w:szCs w:val="22"/>
        </w:rPr>
        <w:t>were</w:t>
      </w:r>
      <w:r w:rsidRPr="00073F5F">
        <w:rPr>
          <w:rFonts w:eastAsia="Calibri" w:cs="Times New Roman"/>
          <w:sz w:val="22"/>
          <w:szCs w:val="22"/>
        </w:rPr>
        <w:t xml:space="preserve"> above the value </w:t>
      </w:r>
      <w:proofErr w:type="gramStart"/>
      <w:r w:rsidRPr="00073F5F">
        <w:rPr>
          <w:rFonts w:eastAsia="Calibri" w:cs="Times New Roman"/>
          <w:sz w:val="22"/>
          <w:szCs w:val="22"/>
        </w:rPr>
        <w:t xml:space="preserve">of 80 ng/mL </w:t>
      </w:r>
      <w:r w:rsidR="003C78D5">
        <w:rPr>
          <w:rFonts w:eastAsia="Calibri" w:cs="Times New Roman"/>
          <w:sz w:val="22"/>
          <w:szCs w:val="22"/>
        </w:rPr>
        <w:t>(</w:t>
      </w:r>
      <w:r w:rsidR="003C78D5" w:rsidRPr="00073F5F">
        <w:rPr>
          <w:sz w:val="22"/>
          <w:szCs w:val="22"/>
        </w:rPr>
        <w:t xml:space="preserve">the minimum target trough value for prevention of </w:t>
      </w:r>
      <w:r w:rsidR="003C78D5">
        <w:rPr>
          <w:sz w:val="22"/>
          <w:szCs w:val="22"/>
        </w:rPr>
        <w:t xml:space="preserve">symptomatic malaria </w:t>
      </w:r>
      <w:r w:rsidR="003C78D5" w:rsidRPr="00073F5F">
        <w:rPr>
          <w:sz w:val="22"/>
          <w:szCs w:val="22"/>
        </w:rPr>
        <w:t>in non-immune individuals</w:t>
      </w:r>
      <w:r w:rsidR="003C78D5">
        <w:rPr>
          <w:sz w:val="22"/>
          <w:szCs w:val="22"/>
        </w:rPr>
        <w:t>)</w:t>
      </w:r>
      <w:r w:rsidR="003C78D5" w:rsidRPr="00073F5F">
        <w:rPr>
          <w:rFonts w:eastAsia="Calibri" w:cs="Times New Roman"/>
          <w:sz w:val="22"/>
          <w:szCs w:val="22"/>
        </w:rPr>
        <w:t xml:space="preserve"> </w:t>
      </w:r>
      <w:r w:rsidRPr="00073F5F">
        <w:rPr>
          <w:rFonts w:eastAsia="Calibri" w:cs="Times New Roman"/>
          <w:sz w:val="22"/>
          <w:szCs w:val="22"/>
        </w:rPr>
        <w:t>by the end of the loading dose</w:t>
      </w:r>
      <w:proofErr w:type="gramEnd"/>
      <w:r w:rsidRPr="00073F5F">
        <w:rPr>
          <w:rFonts w:eastAsia="Calibri" w:cs="Times New Roman"/>
          <w:sz w:val="22"/>
          <w:szCs w:val="22"/>
        </w:rPr>
        <w:t>. By the sixth weekly dose, exposure in the fasted state is predicted to equal exposure in the fed state</w:t>
      </w:r>
      <w:r w:rsidR="001B2058" w:rsidRPr="00073F5F">
        <w:rPr>
          <w:rFonts w:eastAsia="Calibri" w:cs="Times New Roman"/>
          <w:sz w:val="22"/>
          <w:szCs w:val="22"/>
        </w:rPr>
        <w:t>.</w:t>
      </w:r>
    </w:p>
    <w:p w14:paraId="5AE48DFB"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Distribution</w:t>
      </w:r>
    </w:p>
    <w:p w14:paraId="0D27C36F" w14:textId="113569DA" w:rsidR="00ED08A7" w:rsidRPr="00073F5F" w:rsidRDefault="00ED08A7" w:rsidP="009F52D5">
      <w:pPr>
        <w:pStyle w:val="C-TableFootnote"/>
        <w:tabs>
          <w:tab w:val="clear" w:pos="144"/>
          <w:tab w:val="left" w:pos="0"/>
        </w:tabs>
        <w:spacing w:after="200"/>
        <w:ind w:left="0" w:firstLine="0"/>
        <w:rPr>
          <w:rFonts w:eastAsia="Calibri" w:cs="Times New Roman"/>
          <w:sz w:val="22"/>
          <w:szCs w:val="22"/>
        </w:rPr>
      </w:pPr>
      <w:r w:rsidRPr="00073F5F">
        <w:rPr>
          <w:rFonts w:eastAsia="Calibri" w:cs="Times New Roman"/>
          <w:sz w:val="22"/>
          <w:szCs w:val="22"/>
        </w:rPr>
        <w:t>In healthy male volunteers administered one dose of 100 mg, 200 mg</w:t>
      </w:r>
      <w:r w:rsidR="003C78D5">
        <w:rPr>
          <w:rFonts w:eastAsia="Calibri" w:cs="Times New Roman"/>
          <w:sz w:val="22"/>
          <w:szCs w:val="22"/>
        </w:rPr>
        <w:t>, or</w:t>
      </w:r>
      <w:r w:rsidRPr="00073F5F">
        <w:rPr>
          <w:rFonts w:eastAsia="Calibri" w:cs="Times New Roman"/>
          <w:sz w:val="22"/>
          <w:szCs w:val="22"/>
        </w:rPr>
        <w:t xml:space="preserve"> 400 mg while fasting, blood and calculated RBC concentrations were 2.0 and 3.4 times higher than corresponding plasma </w:t>
      </w:r>
      <w:proofErr w:type="gramStart"/>
      <w:r w:rsidRPr="00073F5F">
        <w:rPr>
          <w:rFonts w:eastAsia="Calibri" w:cs="Times New Roman"/>
          <w:sz w:val="22"/>
          <w:szCs w:val="22"/>
        </w:rPr>
        <w:t>concentrations</w:t>
      </w:r>
      <w:r w:rsidR="003C78D5">
        <w:rPr>
          <w:rFonts w:eastAsia="Calibri" w:cs="Times New Roman"/>
          <w:sz w:val="22"/>
          <w:szCs w:val="22"/>
        </w:rPr>
        <w:t>,</w:t>
      </w:r>
      <w:proofErr w:type="gramEnd"/>
      <w:r w:rsidRPr="00073F5F">
        <w:rPr>
          <w:rFonts w:eastAsia="Calibri" w:cs="Times New Roman"/>
          <w:sz w:val="22"/>
          <w:szCs w:val="22"/>
        </w:rPr>
        <w:t xml:space="preserve"> and there was no change in RBC accumulation over time</w:t>
      </w:r>
      <w:r w:rsidR="001B2058" w:rsidRPr="00073F5F">
        <w:rPr>
          <w:rFonts w:eastAsia="Calibri" w:cs="Times New Roman"/>
          <w:sz w:val="24"/>
        </w:rPr>
        <w:t xml:space="preserve">. </w:t>
      </w:r>
      <w:r w:rsidRPr="00073F5F">
        <w:rPr>
          <w:rFonts w:eastAsia="Calibri" w:cs="Times New Roman"/>
          <w:sz w:val="22"/>
          <w:szCs w:val="22"/>
        </w:rPr>
        <w:t xml:space="preserve">In humans, &gt;99.5% of </w:t>
      </w:r>
      <w:proofErr w:type="spellStart"/>
      <w:r w:rsidRPr="00073F5F">
        <w:rPr>
          <w:rFonts w:eastAsia="Calibri" w:cs="Times New Roman"/>
          <w:sz w:val="22"/>
          <w:szCs w:val="22"/>
        </w:rPr>
        <w:t>tafenoquine</w:t>
      </w:r>
      <w:proofErr w:type="spellEnd"/>
      <w:r w:rsidRPr="00073F5F">
        <w:rPr>
          <w:rFonts w:eastAsia="Calibri" w:cs="Times New Roman"/>
          <w:sz w:val="22"/>
          <w:szCs w:val="22"/>
        </w:rPr>
        <w:t xml:space="preserve"> is bound to plasma protein</w:t>
      </w:r>
      <w:r w:rsidR="001B2058" w:rsidRPr="00073F5F">
        <w:rPr>
          <w:rFonts w:eastAsia="Calibri" w:cs="Times New Roman"/>
          <w:sz w:val="22"/>
          <w:szCs w:val="22"/>
        </w:rPr>
        <w:t xml:space="preserve">. </w:t>
      </w:r>
    </w:p>
    <w:p w14:paraId="4981265B"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Metabolism</w:t>
      </w:r>
    </w:p>
    <w:p w14:paraId="7AA95143" w14:textId="77777777" w:rsidR="00ED08A7" w:rsidRPr="00073F5F" w:rsidRDefault="00E031F9" w:rsidP="009F52D5">
      <w:pPr>
        <w:pStyle w:val="C-TableFootnote"/>
        <w:tabs>
          <w:tab w:val="clear" w:pos="144"/>
          <w:tab w:val="left" w:pos="284"/>
        </w:tabs>
        <w:spacing w:after="200"/>
        <w:ind w:left="0" w:firstLine="0"/>
        <w:rPr>
          <w:rFonts w:cs="Times New Roman"/>
        </w:rPr>
      </w:pPr>
      <w:r w:rsidRPr="00073F5F">
        <w:rPr>
          <w:rFonts w:eastAsia="Calibri" w:cs="Times New Roman"/>
          <w:sz w:val="22"/>
          <w:szCs w:val="22"/>
        </w:rPr>
        <w:t xml:space="preserve">In human biomaterials studied in vitro, minimal metabolism of </w:t>
      </w:r>
      <w:proofErr w:type="spellStart"/>
      <w:r w:rsidRPr="00073F5F">
        <w:rPr>
          <w:rFonts w:eastAsia="Calibri" w:cs="Times New Roman"/>
          <w:sz w:val="22"/>
          <w:szCs w:val="22"/>
        </w:rPr>
        <w:t>tafenoquine</w:t>
      </w:r>
      <w:proofErr w:type="spellEnd"/>
      <w:r w:rsidR="003A4BDC" w:rsidRPr="00073F5F">
        <w:rPr>
          <w:rFonts w:eastAsia="Calibri" w:cs="Times New Roman"/>
          <w:sz w:val="22"/>
          <w:szCs w:val="22"/>
        </w:rPr>
        <w:t xml:space="preserve"> </w:t>
      </w:r>
      <w:r w:rsidRPr="00073F5F">
        <w:rPr>
          <w:rFonts w:eastAsia="Calibri" w:cs="Times New Roman"/>
          <w:sz w:val="22"/>
          <w:szCs w:val="22"/>
        </w:rPr>
        <w:t>occurred. Whe</w:t>
      </w:r>
      <w:r w:rsidR="003A4BDC" w:rsidRPr="00073F5F">
        <w:rPr>
          <w:rFonts w:eastAsia="Calibri" w:cs="Times New Roman"/>
          <w:sz w:val="22"/>
          <w:szCs w:val="22"/>
        </w:rPr>
        <w:t xml:space="preserve">n </w:t>
      </w:r>
      <w:proofErr w:type="spellStart"/>
      <w:r w:rsidRPr="00073F5F">
        <w:rPr>
          <w:rFonts w:eastAsia="Calibri" w:cs="Times New Roman"/>
          <w:sz w:val="22"/>
          <w:szCs w:val="22"/>
        </w:rPr>
        <w:t>tafenoquine</w:t>
      </w:r>
      <w:proofErr w:type="spellEnd"/>
      <w:r w:rsidRPr="00073F5F">
        <w:rPr>
          <w:rFonts w:eastAsia="Calibri" w:cs="Times New Roman"/>
          <w:sz w:val="22"/>
          <w:szCs w:val="22"/>
        </w:rPr>
        <w:t xml:space="preserve"> 400 mg per day for three days was administered to humans, only parent </w:t>
      </w:r>
      <w:proofErr w:type="spellStart"/>
      <w:r w:rsidRPr="00073F5F">
        <w:rPr>
          <w:rFonts w:eastAsia="Calibri" w:cs="Times New Roman"/>
          <w:sz w:val="22"/>
          <w:szCs w:val="22"/>
        </w:rPr>
        <w:t>tafenoquine</w:t>
      </w:r>
      <w:proofErr w:type="spellEnd"/>
      <w:r w:rsidRPr="00073F5F">
        <w:rPr>
          <w:rFonts w:eastAsia="Calibri" w:cs="Times New Roman"/>
          <w:sz w:val="22"/>
          <w:szCs w:val="22"/>
        </w:rPr>
        <w:t xml:space="preserve"> was extractable in plasma drawn 80 hours after the first dose</w:t>
      </w:r>
      <w:r w:rsidR="00EC1A1B" w:rsidRPr="00073F5F">
        <w:rPr>
          <w:rFonts w:eastAsia="Calibri" w:cs="Times New Roman"/>
          <w:sz w:val="22"/>
          <w:szCs w:val="22"/>
        </w:rPr>
        <w:t>.</w:t>
      </w:r>
    </w:p>
    <w:p w14:paraId="4C9F803C"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Excretion</w:t>
      </w:r>
    </w:p>
    <w:p w14:paraId="1E07523E" w14:textId="77777777" w:rsidR="00B802E9" w:rsidRPr="00073F5F" w:rsidRDefault="00B802E9" w:rsidP="009F52D5">
      <w:pPr>
        <w:pStyle w:val="C-BodyText"/>
        <w:spacing w:before="0" w:after="200" w:line="240" w:lineRule="auto"/>
      </w:pPr>
      <w:r w:rsidRPr="00073F5F">
        <w:rPr>
          <w:sz w:val="22"/>
          <w:szCs w:val="22"/>
        </w:rPr>
        <w:t xml:space="preserve">The major route of excretion in the rat, dog and monkey was via the </w:t>
      </w:r>
      <w:proofErr w:type="spellStart"/>
      <w:r w:rsidRPr="00073F5F">
        <w:rPr>
          <w:sz w:val="22"/>
          <w:szCs w:val="22"/>
        </w:rPr>
        <w:t>faeces</w:t>
      </w:r>
      <w:proofErr w:type="spellEnd"/>
      <w:r w:rsidRPr="00073F5F">
        <w:rPr>
          <w:sz w:val="22"/>
          <w:szCs w:val="22"/>
        </w:rPr>
        <w:t xml:space="preserve"> and to a lesser extent via the urine</w:t>
      </w:r>
      <w:r w:rsidR="00EC1A1B" w:rsidRPr="00073F5F">
        <w:rPr>
          <w:sz w:val="22"/>
          <w:szCs w:val="22"/>
        </w:rPr>
        <w:t xml:space="preserve">. </w:t>
      </w:r>
      <w:r w:rsidRPr="0061165B">
        <w:rPr>
          <w:sz w:val="22"/>
          <w:szCs w:val="22"/>
        </w:rPr>
        <w:t>Overall excretion of radioactivity in animals was slow</w:t>
      </w:r>
      <w:r w:rsidR="003658FE" w:rsidRPr="0061165B">
        <w:rPr>
          <w:sz w:val="22"/>
          <w:szCs w:val="22"/>
        </w:rPr>
        <w:t>.</w:t>
      </w:r>
      <w:r w:rsidR="00D005CB" w:rsidRPr="0061165B">
        <w:rPr>
          <w:sz w:val="22"/>
          <w:szCs w:val="22"/>
        </w:rPr>
        <w:t xml:space="preserve"> In bile-cannulated animals, equal </w:t>
      </w:r>
      <w:r w:rsidR="00D005CB" w:rsidRPr="0061165B">
        <w:rPr>
          <w:sz w:val="22"/>
          <w:szCs w:val="22"/>
        </w:rPr>
        <w:lastRenderedPageBreak/>
        <w:t xml:space="preserve">amounts were recovered in bile and </w:t>
      </w:r>
      <w:proofErr w:type="spellStart"/>
      <w:r w:rsidR="00D005CB" w:rsidRPr="0061165B">
        <w:rPr>
          <w:sz w:val="22"/>
          <w:szCs w:val="22"/>
        </w:rPr>
        <w:t>faeces</w:t>
      </w:r>
      <w:proofErr w:type="spellEnd"/>
      <w:r w:rsidR="00D005CB" w:rsidRPr="0061165B">
        <w:rPr>
          <w:sz w:val="22"/>
          <w:szCs w:val="22"/>
        </w:rPr>
        <w:t xml:space="preserve"> in dogs (20% of dose in 7 days) and 5% of dose in bile and 75% of dose in </w:t>
      </w:r>
      <w:proofErr w:type="spellStart"/>
      <w:r w:rsidR="00D005CB" w:rsidRPr="0061165B">
        <w:rPr>
          <w:sz w:val="22"/>
          <w:szCs w:val="22"/>
        </w:rPr>
        <w:t>faeces</w:t>
      </w:r>
      <w:proofErr w:type="spellEnd"/>
      <w:r w:rsidR="00D005CB" w:rsidRPr="0061165B">
        <w:rPr>
          <w:sz w:val="22"/>
          <w:szCs w:val="22"/>
        </w:rPr>
        <w:t xml:space="preserve"> in rats in 4 days</w:t>
      </w:r>
      <w:r w:rsidRPr="0061165B">
        <w:rPr>
          <w:sz w:val="22"/>
          <w:szCs w:val="22"/>
        </w:rPr>
        <w:t xml:space="preserve">. Human radiolabeled mass balance studies have not been conducted to </w:t>
      </w:r>
      <w:proofErr w:type="spellStart"/>
      <w:r w:rsidRPr="0061165B">
        <w:rPr>
          <w:sz w:val="22"/>
          <w:szCs w:val="22"/>
        </w:rPr>
        <w:t>characterise</w:t>
      </w:r>
      <w:proofErr w:type="spellEnd"/>
      <w:r w:rsidRPr="0061165B">
        <w:rPr>
          <w:sz w:val="22"/>
          <w:szCs w:val="22"/>
        </w:rPr>
        <w:t xml:space="preserve"> the clinical excretion of </w:t>
      </w:r>
      <w:proofErr w:type="spellStart"/>
      <w:r w:rsidR="009A1553" w:rsidRPr="0061165B">
        <w:rPr>
          <w:sz w:val="22"/>
          <w:szCs w:val="22"/>
        </w:rPr>
        <w:t>tafenoquine</w:t>
      </w:r>
      <w:proofErr w:type="spellEnd"/>
      <w:r w:rsidR="00EC1A1B" w:rsidRPr="0061165B">
        <w:rPr>
          <w:sz w:val="22"/>
          <w:szCs w:val="22"/>
        </w:rPr>
        <w:t>.</w:t>
      </w:r>
    </w:p>
    <w:p w14:paraId="19EAE333" w14:textId="77777777" w:rsidR="007F280F" w:rsidRPr="00073F5F" w:rsidRDefault="007F280F" w:rsidP="009F52D5">
      <w:pPr>
        <w:pStyle w:val="Heading3"/>
        <w:spacing w:before="0" w:after="200" w:line="240" w:lineRule="auto"/>
        <w:ind w:left="0"/>
        <w:rPr>
          <w:rFonts w:ascii="Times New Roman" w:hAnsi="Times New Roman" w:cs="Times New Roman"/>
          <w:sz w:val="24"/>
        </w:rPr>
      </w:pPr>
      <w:r w:rsidRPr="00073F5F">
        <w:rPr>
          <w:rFonts w:ascii="Times New Roman" w:hAnsi="Times New Roman" w:cs="Times New Roman"/>
          <w:sz w:val="24"/>
        </w:rPr>
        <w:t>Dose-PK relationships</w:t>
      </w:r>
    </w:p>
    <w:p w14:paraId="631AEABA" w14:textId="77777777" w:rsidR="007F280F" w:rsidRPr="00073F5F" w:rsidRDefault="007F280F" w:rsidP="009F52D5">
      <w:pPr>
        <w:pStyle w:val="C-BodyText"/>
        <w:spacing w:before="0" w:after="200" w:line="240" w:lineRule="auto"/>
        <w:rPr>
          <w:i/>
          <w:sz w:val="22"/>
          <w:szCs w:val="22"/>
        </w:rPr>
      </w:pPr>
      <w:r w:rsidRPr="00073F5F">
        <w:rPr>
          <w:sz w:val="22"/>
          <w:szCs w:val="22"/>
        </w:rPr>
        <w:t xml:space="preserve">Following administration of a single dose to healthy males, AUC and </w:t>
      </w:r>
      <w:proofErr w:type="spellStart"/>
      <w:r w:rsidRPr="00073F5F">
        <w:rPr>
          <w:sz w:val="22"/>
          <w:szCs w:val="22"/>
        </w:rPr>
        <w:t>C</w:t>
      </w:r>
      <w:r w:rsidRPr="00073F5F">
        <w:rPr>
          <w:sz w:val="22"/>
          <w:szCs w:val="22"/>
          <w:vertAlign w:val="subscript"/>
        </w:rPr>
        <w:t>max</w:t>
      </w:r>
      <w:proofErr w:type="spellEnd"/>
      <w:r w:rsidRPr="00073F5F">
        <w:rPr>
          <w:sz w:val="22"/>
          <w:szCs w:val="22"/>
        </w:rPr>
        <w:t xml:space="preserve"> were dose-proportional</w:t>
      </w:r>
      <w:r w:rsidR="00EC1A1B" w:rsidRPr="00073F5F">
        <w:rPr>
          <w:sz w:val="22"/>
          <w:szCs w:val="22"/>
        </w:rPr>
        <w:t xml:space="preserve">. </w:t>
      </w:r>
      <w:r w:rsidRPr="00073F5F">
        <w:rPr>
          <w:sz w:val="22"/>
          <w:szCs w:val="22"/>
        </w:rPr>
        <w:t xml:space="preserve">When healthy volunteers received 10 weekly administrations of 200 mg without a loading dose while fasting, the accumulation ratio was approximately </w:t>
      </w:r>
      <w:r w:rsidR="00E94138">
        <w:rPr>
          <w:sz w:val="22"/>
          <w:szCs w:val="22"/>
        </w:rPr>
        <w:t>4</w:t>
      </w:r>
      <w:r w:rsidR="00EC1A1B" w:rsidRPr="00073F5F">
        <w:rPr>
          <w:sz w:val="22"/>
          <w:szCs w:val="22"/>
        </w:rPr>
        <w:t>.</w:t>
      </w:r>
    </w:p>
    <w:p w14:paraId="1AABBB30" w14:textId="77777777" w:rsidR="007F280F" w:rsidRPr="00073F5F" w:rsidRDefault="007F280F"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PK-PD relationships</w:t>
      </w:r>
    </w:p>
    <w:p w14:paraId="4938DD34" w14:textId="77777777" w:rsidR="007F280F" w:rsidRPr="00073F5F" w:rsidRDefault="00F93C2A" w:rsidP="009F52D5">
      <w:pPr>
        <w:pStyle w:val="C-BodyText"/>
        <w:spacing w:before="0" w:after="200" w:line="240" w:lineRule="auto"/>
        <w:rPr>
          <w:sz w:val="22"/>
          <w:szCs w:val="22"/>
        </w:rPr>
      </w:pPr>
      <w:r>
        <w:rPr>
          <w:sz w:val="22"/>
          <w:szCs w:val="22"/>
        </w:rPr>
        <w:t>Trials</w:t>
      </w:r>
      <w:r w:rsidR="007F280F" w:rsidRPr="00073F5F">
        <w:rPr>
          <w:sz w:val="22"/>
          <w:szCs w:val="22"/>
        </w:rPr>
        <w:t xml:space="preserve"> in non-immune persons (those without prior malaria exposure), a population similar to the population for which malaria prevention is intended, showed that symptomatic breakthrough of malaria only occurred when </w:t>
      </w:r>
      <w:proofErr w:type="spellStart"/>
      <w:r w:rsidR="007F280F" w:rsidRPr="00073F5F">
        <w:rPr>
          <w:sz w:val="22"/>
          <w:szCs w:val="22"/>
        </w:rPr>
        <w:t>tafenoquine</w:t>
      </w:r>
      <w:proofErr w:type="spellEnd"/>
      <w:r w:rsidR="007F280F" w:rsidRPr="00073F5F">
        <w:rPr>
          <w:sz w:val="22"/>
          <w:szCs w:val="22"/>
        </w:rPr>
        <w:t xml:space="preserve"> plasma concentrations were &lt;50 ng/</w:t>
      </w:r>
      <w:proofErr w:type="spellStart"/>
      <w:r w:rsidR="007F280F" w:rsidRPr="00073F5F">
        <w:rPr>
          <w:sz w:val="22"/>
          <w:szCs w:val="22"/>
        </w:rPr>
        <w:t>mL.</w:t>
      </w:r>
      <w:proofErr w:type="spellEnd"/>
      <w:r w:rsidR="007F280F" w:rsidRPr="00073F5F">
        <w:rPr>
          <w:sz w:val="22"/>
          <w:szCs w:val="22"/>
        </w:rPr>
        <w:t xml:space="preserve"> Consequently, a precautionary plasma concentration </w:t>
      </w:r>
      <w:proofErr w:type="gramStart"/>
      <w:r w:rsidR="007F280F" w:rsidRPr="00073F5F">
        <w:rPr>
          <w:sz w:val="22"/>
          <w:szCs w:val="22"/>
        </w:rPr>
        <w:t>of 80 ng/mL</w:t>
      </w:r>
      <w:proofErr w:type="gramEnd"/>
      <w:r w:rsidR="007F280F" w:rsidRPr="00073F5F">
        <w:rPr>
          <w:sz w:val="22"/>
          <w:szCs w:val="22"/>
        </w:rPr>
        <w:t xml:space="preserve"> was selected as the minimum target trough value for prevention of symptomatic malaria development in non-immune individuals. Population PK analysis predicts that the recommended prevention regimen will achieve trough levels &gt;80 ng/mL in &gt;95% of </w:t>
      </w:r>
      <w:r w:rsidR="007F280F" w:rsidRPr="00073F5F">
        <w:t>subjects</w:t>
      </w:r>
      <w:r w:rsidR="00EC1A1B" w:rsidRPr="00073F5F">
        <w:rPr>
          <w:sz w:val="22"/>
          <w:szCs w:val="22"/>
        </w:rPr>
        <w:t>.</w:t>
      </w:r>
    </w:p>
    <w:p w14:paraId="258AF9A5" w14:textId="77777777" w:rsidR="007F280F" w:rsidRPr="00073F5F" w:rsidRDefault="007F280F"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Drug-drug interactions</w:t>
      </w:r>
    </w:p>
    <w:p w14:paraId="5F97FC0B" w14:textId="77777777" w:rsidR="007F280F" w:rsidRPr="00073F5F" w:rsidRDefault="007F280F" w:rsidP="009F52D5">
      <w:pPr>
        <w:pStyle w:val="C-BodyText"/>
        <w:spacing w:before="0" w:after="200" w:line="240" w:lineRule="auto"/>
      </w:pPr>
      <w:proofErr w:type="spellStart"/>
      <w:r w:rsidRPr="00073F5F">
        <w:rPr>
          <w:sz w:val="22"/>
          <w:szCs w:val="22"/>
        </w:rPr>
        <w:t>Tafenoquine</w:t>
      </w:r>
      <w:proofErr w:type="spellEnd"/>
      <w:r w:rsidRPr="00073F5F">
        <w:rPr>
          <w:sz w:val="22"/>
          <w:szCs w:val="22"/>
        </w:rPr>
        <w:t xml:space="preserve"> does not significantly inhibit or induce CYP2D6, CYP3A4, CYP2C9 or CYP1A2, since in phase 1 </w:t>
      </w:r>
      <w:r w:rsidR="00F93C2A">
        <w:rPr>
          <w:sz w:val="22"/>
          <w:szCs w:val="22"/>
        </w:rPr>
        <w:t>trials</w:t>
      </w:r>
      <w:r w:rsidRPr="00073F5F">
        <w:rPr>
          <w:sz w:val="22"/>
          <w:szCs w:val="22"/>
        </w:rPr>
        <w:t xml:space="preserve">, the PK parameters of the CYP2D6 substrate </w:t>
      </w:r>
      <w:proofErr w:type="spellStart"/>
      <w:r w:rsidRPr="00073F5F">
        <w:rPr>
          <w:sz w:val="22"/>
          <w:szCs w:val="22"/>
        </w:rPr>
        <w:t>desipramine</w:t>
      </w:r>
      <w:proofErr w:type="spellEnd"/>
      <w:r w:rsidRPr="00073F5F">
        <w:rPr>
          <w:sz w:val="22"/>
          <w:szCs w:val="22"/>
        </w:rPr>
        <w:t xml:space="preserve">, the CYP3A4 substrate midazolam, the CYP2C9 substrate </w:t>
      </w:r>
      <w:proofErr w:type="spellStart"/>
      <w:r w:rsidRPr="00073F5F">
        <w:rPr>
          <w:sz w:val="22"/>
          <w:szCs w:val="22"/>
        </w:rPr>
        <w:t>Flurbiprofen</w:t>
      </w:r>
      <w:proofErr w:type="spellEnd"/>
      <w:r w:rsidRPr="00073F5F">
        <w:rPr>
          <w:sz w:val="22"/>
          <w:szCs w:val="22"/>
        </w:rPr>
        <w:t xml:space="preserve"> and the CYP1A2 substrate caffeine were unaffected by co-administrat</w:t>
      </w:r>
      <w:r w:rsidRPr="00073F5F">
        <w:t xml:space="preserve">ion of </w:t>
      </w:r>
      <w:proofErr w:type="spellStart"/>
      <w:r w:rsidR="009A1553" w:rsidRPr="00073F5F">
        <w:t>tafenoquine</w:t>
      </w:r>
      <w:proofErr w:type="spellEnd"/>
      <w:r w:rsidR="00EC1A1B" w:rsidRPr="00073F5F">
        <w:rPr>
          <w:sz w:val="22"/>
          <w:szCs w:val="22"/>
        </w:rPr>
        <w:t>.</w:t>
      </w:r>
    </w:p>
    <w:p w14:paraId="64AD0850" w14:textId="77777777" w:rsidR="007F280F" w:rsidRPr="00073F5F" w:rsidRDefault="007F280F" w:rsidP="009F52D5">
      <w:pPr>
        <w:pStyle w:val="C-BodyText"/>
        <w:spacing w:before="0" w:after="200" w:line="240" w:lineRule="auto"/>
        <w:rPr>
          <w:sz w:val="22"/>
          <w:szCs w:val="22"/>
        </w:rPr>
      </w:pPr>
      <w:proofErr w:type="spellStart"/>
      <w:r w:rsidRPr="00073F5F">
        <w:rPr>
          <w:sz w:val="22"/>
          <w:szCs w:val="22"/>
        </w:rPr>
        <w:t>Tafenoquine</w:t>
      </w:r>
      <w:proofErr w:type="spellEnd"/>
      <w:r w:rsidRPr="00073F5F">
        <w:rPr>
          <w:sz w:val="22"/>
          <w:szCs w:val="22"/>
        </w:rPr>
        <w:t xml:space="preserve"> was a potent inhibitor of renal multidrug and toxin extrusion transporters (MATE) and organic cation transporter 2 </w:t>
      </w:r>
      <w:r w:rsidRPr="00E94138">
        <w:rPr>
          <w:sz w:val="22"/>
          <w:szCs w:val="22"/>
        </w:rPr>
        <w:t>in vitro</w:t>
      </w:r>
      <w:r w:rsidRPr="00073F5F">
        <w:rPr>
          <w:sz w:val="22"/>
          <w:szCs w:val="22"/>
        </w:rPr>
        <w:t xml:space="preserve">. Since inhibition of these transporters may lead to increased exposure to medications that they excrete, when </w:t>
      </w:r>
      <w:proofErr w:type="spellStart"/>
      <w:r w:rsidRPr="00073F5F">
        <w:rPr>
          <w:sz w:val="22"/>
          <w:szCs w:val="22"/>
        </w:rPr>
        <w:t>tafenoquine</w:t>
      </w:r>
      <w:proofErr w:type="spellEnd"/>
      <w:r w:rsidRPr="00073F5F">
        <w:rPr>
          <w:sz w:val="22"/>
          <w:szCs w:val="22"/>
        </w:rPr>
        <w:t xml:space="preserve"> is co</w:t>
      </w:r>
      <w:r w:rsidRPr="00073F5F">
        <w:rPr>
          <w:sz w:val="22"/>
          <w:szCs w:val="22"/>
        </w:rPr>
        <w:noBreakHyphen/>
        <w:t>administered with procainamide, it may be advisable to re-evaluate safety and/or efficacy of procainamide.</w:t>
      </w:r>
    </w:p>
    <w:p w14:paraId="5D24C87E" w14:textId="77777777" w:rsidR="007F280F" w:rsidRPr="00073F5F" w:rsidRDefault="007F280F" w:rsidP="009F52D5">
      <w:pPr>
        <w:pStyle w:val="BodyText"/>
        <w:kinsoku w:val="0"/>
        <w:overflowPunct w:val="0"/>
        <w:spacing w:before="0" w:after="200"/>
        <w:ind w:left="0" w:right="408"/>
        <w:rPr>
          <w:color w:val="000000"/>
          <w:lang w:val="en-US"/>
        </w:rPr>
      </w:pPr>
      <w:proofErr w:type="spellStart"/>
      <w:r w:rsidRPr="00073F5F">
        <w:rPr>
          <w:color w:val="000000"/>
          <w:sz w:val="22"/>
          <w:szCs w:val="22"/>
          <w:lang w:val="en-US"/>
        </w:rPr>
        <w:t>Tafenoquine</w:t>
      </w:r>
      <w:proofErr w:type="spellEnd"/>
      <w:r w:rsidRPr="00073F5F">
        <w:rPr>
          <w:color w:val="000000"/>
          <w:sz w:val="22"/>
          <w:szCs w:val="22"/>
          <w:lang w:val="en-US"/>
        </w:rPr>
        <w:t xml:space="preserve"> inhibited the in vitro transport of [14C] metformin via OCT2, MATE1, and MATE2-K. Risk assessments based on systemic concentrations of </w:t>
      </w:r>
      <w:proofErr w:type="spellStart"/>
      <w:r w:rsidRPr="00073F5F">
        <w:rPr>
          <w:color w:val="000000"/>
          <w:sz w:val="22"/>
          <w:szCs w:val="22"/>
          <w:lang w:val="en-US"/>
        </w:rPr>
        <w:t>tafenoquine</w:t>
      </w:r>
      <w:proofErr w:type="spellEnd"/>
      <w:r w:rsidRPr="00073F5F">
        <w:rPr>
          <w:color w:val="000000"/>
          <w:sz w:val="22"/>
          <w:szCs w:val="22"/>
          <w:lang w:val="en-US"/>
        </w:rPr>
        <w:t xml:space="preserve"> at therapeutic doses, compared with the metformin IC</w:t>
      </w:r>
      <w:r w:rsidRPr="00073F5F">
        <w:rPr>
          <w:color w:val="000000"/>
          <w:sz w:val="22"/>
          <w:szCs w:val="22"/>
          <w:vertAlign w:val="subscript"/>
          <w:lang w:val="en-US"/>
        </w:rPr>
        <w:t>50</w:t>
      </w:r>
      <w:r w:rsidRPr="00073F5F">
        <w:rPr>
          <w:color w:val="000000"/>
          <w:sz w:val="22"/>
          <w:szCs w:val="22"/>
          <w:lang w:val="en-US"/>
        </w:rPr>
        <w:t xml:space="preserve"> values derived from in vitro transporter inhibition studies, were conducted and indicated a potential, but low, drug interaction risk with OCT2, MATE1 and/or MATE2K substrates. Clinical predictions indicate there may be a potential, but low, risk of lactic acidosis in subjects who receive </w:t>
      </w:r>
      <w:proofErr w:type="spellStart"/>
      <w:r w:rsidRPr="00073F5F">
        <w:rPr>
          <w:color w:val="000000"/>
          <w:sz w:val="22"/>
          <w:szCs w:val="22"/>
          <w:lang w:val="en-US"/>
        </w:rPr>
        <w:t>tafenoquine</w:t>
      </w:r>
      <w:proofErr w:type="spellEnd"/>
      <w:r w:rsidRPr="00073F5F">
        <w:rPr>
          <w:color w:val="000000"/>
          <w:sz w:val="22"/>
          <w:szCs w:val="22"/>
          <w:lang w:val="en-US"/>
        </w:rPr>
        <w:t xml:space="preserve"> and metformin concomitantly, due to an increased exposure to metformin arising from this interaction</w:t>
      </w:r>
      <w:r w:rsidR="00EC1A1B" w:rsidRPr="00073F5F">
        <w:rPr>
          <w:sz w:val="22"/>
          <w:szCs w:val="22"/>
        </w:rPr>
        <w:t>.</w:t>
      </w:r>
    </w:p>
    <w:p w14:paraId="672C6509" w14:textId="77777777" w:rsidR="001A3992" w:rsidRPr="00073F5F" w:rsidRDefault="001A3992" w:rsidP="009F52D5">
      <w:pPr>
        <w:pStyle w:val="Heading2"/>
        <w:spacing w:before="0" w:after="120" w:line="240" w:lineRule="auto"/>
        <w:rPr>
          <w:rFonts w:ascii="Times New Roman" w:hAnsi="Times New Roman" w:cs="Times New Roman"/>
          <w:lang w:val="en-US"/>
        </w:rPr>
      </w:pPr>
      <w:r w:rsidRPr="00073F5F">
        <w:rPr>
          <w:rFonts w:ascii="Times New Roman" w:hAnsi="Times New Roman" w:cs="Times New Roman"/>
          <w:lang w:val="en-US"/>
        </w:rPr>
        <w:t>Preclinical safety data</w:t>
      </w:r>
    </w:p>
    <w:p w14:paraId="2D2CED40" w14:textId="77777777" w:rsidR="001A3992" w:rsidRPr="00073F5F" w:rsidRDefault="001A3992" w:rsidP="009F52D5">
      <w:pPr>
        <w:pStyle w:val="Heading3"/>
        <w:spacing w:before="0" w:after="120" w:line="240" w:lineRule="auto"/>
        <w:ind w:left="0"/>
        <w:rPr>
          <w:rFonts w:ascii="Times New Roman" w:hAnsi="Times New Roman" w:cs="Times New Roman"/>
        </w:rPr>
      </w:pPr>
      <w:r w:rsidRPr="00073F5F">
        <w:rPr>
          <w:rFonts w:ascii="Times New Roman" w:hAnsi="Times New Roman" w:cs="Times New Roman"/>
        </w:rPr>
        <w:t>Genotoxicity</w:t>
      </w:r>
    </w:p>
    <w:p w14:paraId="2F968811" w14:textId="77777777" w:rsidR="00981321" w:rsidRPr="00073F5F" w:rsidRDefault="00981321" w:rsidP="009F52D5">
      <w:pPr>
        <w:pStyle w:val="Default"/>
        <w:spacing w:after="200"/>
        <w:rPr>
          <w:rFonts w:ascii="Times New Roman" w:hAnsi="Times New Roman" w:cs="Times New Roman"/>
          <w:sz w:val="22"/>
          <w:szCs w:val="22"/>
          <w:lang w:val="en-US"/>
        </w:rPr>
      </w:pPr>
      <w:r w:rsidRPr="00073F5F">
        <w:rPr>
          <w:rFonts w:ascii="Times New Roman" w:hAnsi="Times New Roman" w:cs="Times New Roman"/>
          <w:sz w:val="22"/>
          <w:szCs w:val="22"/>
          <w:lang w:val="en-US"/>
        </w:rPr>
        <w:t xml:space="preserve">The mutagenic and </w:t>
      </w:r>
      <w:proofErr w:type="spellStart"/>
      <w:r w:rsidRPr="00073F5F">
        <w:rPr>
          <w:rFonts w:ascii="Times New Roman" w:hAnsi="Times New Roman" w:cs="Times New Roman"/>
          <w:sz w:val="22"/>
          <w:szCs w:val="22"/>
          <w:lang w:val="en-US"/>
        </w:rPr>
        <w:t>clastogenic</w:t>
      </w:r>
      <w:proofErr w:type="spellEnd"/>
      <w:r w:rsidRPr="00073F5F">
        <w:rPr>
          <w:rFonts w:ascii="Times New Roman" w:hAnsi="Times New Roman" w:cs="Times New Roman"/>
          <w:sz w:val="22"/>
          <w:szCs w:val="22"/>
          <w:lang w:val="en-US"/>
        </w:rPr>
        <w:t xml:space="preserve"> potential of </w:t>
      </w:r>
      <w:proofErr w:type="spellStart"/>
      <w:r w:rsidRPr="00073F5F">
        <w:rPr>
          <w:rFonts w:ascii="Times New Roman" w:hAnsi="Times New Roman" w:cs="Times New Roman"/>
          <w:sz w:val="22"/>
          <w:szCs w:val="22"/>
          <w:lang w:val="en-US"/>
        </w:rPr>
        <w:t>tafenoquine</w:t>
      </w:r>
      <w:proofErr w:type="spellEnd"/>
      <w:r w:rsidRPr="00073F5F">
        <w:rPr>
          <w:rFonts w:ascii="Times New Roman" w:hAnsi="Times New Roman" w:cs="Times New Roman"/>
          <w:sz w:val="22"/>
          <w:szCs w:val="22"/>
          <w:lang w:val="en-US"/>
        </w:rPr>
        <w:t xml:space="preserve"> has been assessed in bacterial </w:t>
      </w:r>
      <w:r w:rsidR="00D005CB" w:rsidRPr="00073F5F">
        <w:rPr>
          <w:rFonts w:ascii="Times New Roman" w:hAnsi="Times New Roman" w:cs="Times New Roman"/>
          <w:sz w:val="22"/>
          <w:lang w:val="en-US"/>
        </w:rPr>
        <w:t>gene mutation</w:t>
      </w:r>
      <w:r w:rsidRPr="00073F5F">
        <w:rPr>
          <w:rFonts w:ascii="Times New Roman" w:hAnsi="Times New Roman" w:cs="Times New Roman"/>
          <w:sz w:val="22"/>
          <w:lang w:val="en-US"/>
        </w:rPr>
        <w:t xml:space="preserve"> assays</w:t>
      </w:r>
      <w:r w:rsidRPr="00073F5F">
        <w:rPr>
          <w:rFonts w:ascii="Times New Roman" w:hAnsi="Times New Roman" w:cs="Times New Roman"/>
          <w:sz w:val="22"/>
          <w:szCs w:val="22"/>
          <w:lang w:val="en-US"/>
        </w:rPr>
        <w:t xml:space="preserve"> and</w:t>
      </w:r>
      <w:r w:rsidR="00F27B8D" w:rsidRPr="00073F5F">
        <w:rPr>
          <w:rFonts w:ascii="Times New Roman" w:hAnsi="Times New Roman" w:cs="Times New Roman"/>
          <w:sz w:val="22"/>
          <w:szCs w:val="22"/>
          <w:lang w:val="en-US"/>
        </w:rPr>
        <w:t xml:space="preserve"> </w:t>
      </w:r>
      <w:r w:rsidR="00F27B8D" w:rsidRPr="00073F5F">
        <w:rPr>
          <w:rFonts w:ascii="Times New Roman" w:hAnsi="Times New Roman" w:cs="Times New Roman"/>
          <w:sz w:val="22"/>
          <w:lang w:val="en-US"/>
        </w:rPr>
        <w:t>in vitro gene mutation assays in mammalian cells (mouse lymphoma cells and Chinese hamster ovary cells</w:t>
      </w:r>
      <w:r w:rsidR="00F27B8D" w:rsidRPr="00073F5F">
        <w:rPr>
          <w:rFonts w:ascii="Times New Roman" w:hAnsi="Times New Roman" w:cs="Times New Roman"/>
          <w:sz w:val="22"/>
          <w:szCs w:val="22"/>
          <w:lang w:val="en-US"/>
        </w:rPr>
        <w:t>), in vitro chromosome aberration assays in Chinese hamster ovary cells</w:t>
      </w:r>
      <w:r w:rsidRPr="00073F5F">
        <w:rPr>
          <w:rFonts w:ascii="Times New Roman" w:hAnsi="Times New Roman" w:cs="Times New Roman"/>
          <w:sz w:val="22"/>
          <w:szCs w:val="22"/>
          <w:lang w:val="en-US"/>
        </w:rPr>
        <w:t xml:space="preserve">, and one </w:t>
      </w:r>
      <w:r w:rsidR="00F27B8D" w:rsidRPr="00073F5F">
        <w:rPr>
          <w:rFonts w:ascii="Times New Roman" w:hAnsi="Times New Roman" w:cs="Times New Roman"/>
          <w:sz w:val="22"/>
          <w:szCs w:val="22"/>
          <w:lang w:val="en-US"/>
        </w:rPr>
        <w:t xml:space="preserve">mouse </w:t>
      </w:r>
      <w:r w:rsidRPr="007D5351">
        <w:rPr>
          <w:rFonts w:ascii="Times New Roman" w:hAnsi="Times New Roman" w:cs="Times New Roman"/>
          <w:sz w:val="22"/>
          <w:szCs w:val="22"/>
          <w:lang w:val="en-US"/>
        </w:rPr>
        <w:t>in vivo</w:t>
      </w:r>
      <w:r w:rsidRPr="00073F5F">
        <w:rPr>
          <w:rFonts w:ascii="Times New Roman" w:hAnsi="Times New Roman" w:cs="Times New Roman"/>
          <w:sz w:val="22"/>
          <w:szCs w:val="22"/>
          <w:lang w:val="en-US"/>
        </w:rPr>
        <w:t xml:space="preserve"> micronucleus study. Based on these studies, </w:t>
      </w:r>
      <w:proofErr w:type="spellStart"/>
      <w:r w:rsidRPr="00073F5F">
        <w:rPr>
          <w:rFonts w:ascii="Times New Roman" w:hAnsi="Times New Roman" w:cs="Times New Roman"/>
          <w:sz w:val="22"/>
          <w:szCs w:val="22"/>
          <w:lang w:val="en-US"/>
        </w:rPr>
        <w:t>tafenoquine</w:t>
      </w:r>
      <w:proofErr w:type="spellEnd"/>
      <w:r w:rsidRPr="00073F5F">
        <w:rPr>
          <w:rFonts w:ascii="Times New Roman" w:hAnsi="Times New Roman" w:cs="Times New Roman"/>
          <w:sz w:val="22"/>
          <w:szCs w:val="22"/>
          <w:lang w:val="en-US"/>
        </w:rPr>
        <w:t xml:space="preserve"> is not considered to present a genotoxic risk to humans</w:t>
      </w:r>
      <w:r w:rsidR="00EC1A1B" w:rsidRPr="00073F5F">
        <w:rPr>
          <w:rFonts w:ascii="Times New Roman" w:hAnsi="Times New Roman" w:cs="Times New Roman"/>
          <w:sz w:val="22"/>
          <w:szCs w:val="22"/>
          <w:lang w:val="en-US"/>
        </w:rPr>
        <w:t>.</w:t>
      </w:r>
    </w:p>
    <w:p w14:paraId="3CEEC985" w14:textId="77777777" w:rsidR="001A3992" w:rsidRPr="00073F5F" w:rsidRDefault="001A3992" w:rsidP="009F52D5">
      <w:pPr>
        <w:pStyle w:val="Heading3"/>
        <w:spacing w:before="0" w:after="120" w:line="240" w:lineRule="auto"/>
        <w:ind w:left="0"/>
        <w:rPr>
          <w:rFonts w:ascii="Times New Roman" w:hAnsi="Times New Roman" w:cs="Times New Roman"/>
          <w:lang w:val="en-US"/>
        </w:rPr>
      </w:pPr>
      <w:proofErr w:type="spellStart"/>
      <w:r w:rsidRPr="00073F5F">
        <w:rPr>
          <w:rFonts w:ascii="Times New Roman" w:hAnsi="Times New Roman" w:cs="Times New Roman"/>
        </w:rPr>
        <w:t>Carcin</w:t>
      </w:r>
      <w:r w:rsidRPr="00073F5F">
        <w:rPr>
          <w:rFonts w:ascii="Times New Roman" w:hAnsi="Times New Roman" w:cs="Times New Roman"/>
          <w:lang w:val="en-US"/>
        </w:rPr>
        <w:t>ogenicity</w:t>
      </w:r>
      <w:proofErr w:type="spellEnd"/>
    </w:p>
    <w:p w14:paraId="2FB5C8E3" w14:textId="492A8ADD" w:rsidR="00981321" w:rsidRPr="00073F5F" w:rsidRDefault="00981321" w:rsidP="009F52D5">
      <w:pPr>
        <w:autoSpaceDE w:val="0"/>
        <w:autoSpaceDN w:val="0"/>
        <w:adjustRightInd w:val="0"/>
        <w:spacing w:after="0" w:line="240" w:lineRule="auto"/>
        <w:rPr>
          <w:rFonts w:ascii="Times New Roman" w:hAnsi="Times New Roman" w:cs="Times New Roman"/>
          <w:color w:val="000000" w:themeColor="text1"/>
          <w:lang w:val="en-US"/>
        </w:rPr>
      </w:pPr>
      <w:r w:rsidRPr="00073F5F">
        <w:rPr>
          <w:rFonts w:ascii="Times New Roman" w:eastAsia="Calibri" w:hAnsi="Times New Roman" w:cs="Times New Roman"/>
          <w:color w:val="000000" w:themeColor="text1"/>
          <w:lang w:val="en-US"/>
        </w:rPr>
        <w:t xml:space="preserve">Two two-year oral carcinogenicity studies were performed; </w:t>
      </w:r>
      <w:r w:rsidR="007D5351">
        <w:rPr>
          <w:rFonts w:ascii="Times New Roman" w:eastAsia="Calibri" w:hAnsi="Times New Roman" w:cs="Times New Roman"/>
          <w:color w:val="000000" w:themeColor="text1"/>
          <w:lang w:val="en-US"/>
        </w:rPr>
        <w:t>1</w:t>
      </w:r>
      <w:r w:rsidRPr="00073F5F">
        <w:rPr>
          <w:rFonts w:ascii="Times New Roman" w:eastAsia="Calibri" w:hAnsi="Times New Roman" w:cs="Times New Roman"/>
          <w:color w:val="000000" w:themeColor="text1"/>
          <w:lang w:val="en-US"/>
        </w:rPr>
        <w:t xml:space="preserve"> in the mouse and </w:t>
      </w:r>
      <w:r w:rsidR="007D5351">
        <w:rPr>
          <w:rFonts w:ascii="Times New Roman" w:eastAsia="Calibri" w:hAnsi="Times New Roman" w:cs="Times New Roman"/>
          <w:color w:val="000000" w:themeColor="text1"/>
          <w:lang w:val="en-US"/>
        </w:rPr>
        <w:t>1</w:t>
      </w:r>
      <w:r w:rsidR="007D5351" w:rsidRPr="00073F5F">
        <w:rPr>
          <w:rFonts w:ascii="Times New Roman" w:eastAsia="Calibri" w:hAnsi="Times New Roman" w:cs="Times New Roman"/>
          <w:color w:val="000000" w:themeColor="text1"/>
          <w:lang w:val="en-US"/>
        </w:rPr>
        <w:t xml:space="preserve"> </w:t>
      </w:r>
      <w:r w:rsidRPr="00073F5F">
        <w:rPr>
          <w:rFonts w:ascii="Times New Roman" w:eastAsia="Calibri" w:hAnsi="Times New Roman" w:cs="Times New Roman"/>
          <w:color w:val="000000" w:themeColor="text1"/>
          <w:lang w:val="en-US"/>
        </w:rPr>
        <w:t xml:space="preserve">in the rat. Oral administration of doses up to 1.0 mg/kg/day </w:t>
      </w:r>
      <w:r w:rsidR="00F27B8D" w:rsidRPr="00073F5F">
        <w:rPr>
          <w:rFonts w:ascii="Times New Roman" w:eastAsia="Calibri" w:hAnsi="Times New Roman" w:cs="Times New Roman"/>
          <w:color w:val="000000" w:themeColor="text1"/>
          <w:lang w:val="en-US"/>
        </w:rPr>
        <w:t xml:space="preserve">(approximately 0.3 times the clinical exposure based on AUC) </w:t>
      </w:r>
      <w:r w:rsidRPr="00073F5F">
        <w:rPr>
          <w:rFonts w:ascii="Times New Roman" w:eastAsia="Calibri" w:hAnsi="Times New Roman" w:cs="Times New Roman"/>
          <w:color w:val="000000" w:themeColor="text1"/>
          <w:lang w:val="en-US"/>
        </w:rPr>
        <w:t xml:space="preserve">for </w:t>
      </w:r>
      <w:r w:rsidR="007D5351">
        <w:rPr>
          <w:rFonts w:ascii="Times New Roman" w:eastAsia="Calibri" w:hAnsi="Times New Roman" w:cs="Times New Roman"/>
          <w:color w:val="000000" w:themeColor="text1"/>
          <w:lang w:val="en-US"/>
        </w:rPr>
        <w:t xml:space="preserve">2 </w:t>
      </w:r>
      <w:r w:rsidRPr="00073F5F">
        <w:rPr>
          <w:rFonts w:ascii="Times New Roman" w:eastAsia="Calibri" w:hAnsi="Times New Roman" w:cs="Times New Roman"/>
          <w:color w:val="000000" w:themeColor="text1"/>
          <w:lang w:val="en-US"/>
        </w:rPr>
        <w:t xml:space="preserve">years produced no clear evidence of an increase in the incidence of </w:t>
      </w:r>
      <w:proofErr w:type="spellStart"/>
      <w:r w:rsidRPr="00073F5F">
        <w:rPr>
          <w:rFonts w:ascii="Times New Roman" w:eastAsia="Calibri" w:hAnsi="Times New Roman" w:cs="Times New Roman"/>
          <w:color w:val="000000" w:themeColor="text1"/>
          <w:lang w:val="en-US"/>
        </w:rPr>
        <w:t>tumours</w:t>
      </w:r>
      <w:proofErr w:type="spellEnd"/>
      <w:r w:rsidRPr="00073F5F">
        <w:rPr>
          <w:rFonts w:ascii="Times New Roman" w:eastAsia="Calibri" w:hAnsi="Times New Roman" w:cs="Times New Roman"/>
          <w:color w:val="000000" w:themeColor="text1"/>
          <w:lang w:val="en-US"/>
        </w:rPr>
        <w:t xml:space="preserve"> in treated mice</w:t>
      </w:r>
      <w:r w:rsidR="003F317B" w:rsidRPr="00073F5F">
        <w:rPr>
          <w:rFonts w:ascii="Times New Roman" w:eastAsia="Calibri" w:hAnsi="Times New Roman" w:cs="Times New Roman"/>
          <w:color w:val="000000" w:themeColor="text1"/>
          <w:lang w:val="en-US"/>
        </w:rPr>
        <w:t xml:space="preserve"> </w:t>
      </w:r>
      <w:r w:rsidR="003C78D5">
        <w:rPr>
          <w:rFonts w:ascii="Times New Roman" w:eastAsia="Calibri" w:hAnsi="Times New Roman" w:cs="Times New Roman"/>
          <w:color w:val="000000" w:themeColor="text1"/>
          <w:lang w:val="en-US"/>
        </w:rPr>
        <w:t>of</w:t>
      </w:r>
      <w:r w:rsidR="003F317B" w:rsidRPr="00073F5F">
        <w:rPr>
          <w:rFonts w:ascii="Times New Roman" w:eastAsia="Calibri" w:hAnsi="Times New Roman" w:cs="Times New Roman"/>
          <w:color w:val="000000" w:themeColor="text1"/>
          <w:lang w:val="en-US"/>
        </w:rPr>
        <w:t xml:space="preserve"> either sex</w:t>
      </w:r>
      <w:r w:rsidR="00EC1A1B" w:rsidRPr="00073F5F">
        <w:rPr>
          <w:rFonts w:ascii="Times New Roman" w:eastAsia="Calibri" w:hAnsi="Times New Roman" w:cs="Times New Roman"/>
          <w:color w:val="000000" w:themeColor="text1"/>
          <w:lang w:val="en-US"/>
        </w:rPr>
        <w:t xml:space="preserve">. </w:t>
      </w:r>
      <w:proofErr w:type="spellStart"/>
      <w:r w:rsidRPr="00073F5F">
        <w:rPr>
          <w:rFonts w:ascii="Times New Roman" w:eastAsia="Calibri" w:hAnsi="Times New Roman" w:cs="Times New Roman"/>
          <w:color w:val="000000" w:themeColor="text1"/>
          <w:lang w:val="en-US"/>
        </w:rPr>
        <w:t>Tafenoquine</w:t>
      </w:r>
      <w:proofErr w:type="spellEnd"/>
      <w:r w:rsidRPr="00073F5F">
        <w:rPr>
          <w:rFonts w:ascii="Times New Roman" w:eastAsia="Calibri" w:hAnsi="Times New Roman" w:cs="Times New Roman"/>
          <w:color w:val="000000" w:themeColor="text1"/>
          <w:lang w:val="en-US"/>
        </w:rPr>
        <w:t xml:space="preserve"> administration was associated with an increase in the incidence of renal </w:t>
      </w:r>
      <w:proofErr w:type="spellStart"/>
      <w:r w:rsidRPr="00073F5F">
        <w:rPr>
          <w:rFonts w:ascii="Times New Roman" w:eastAsia="Calibri" w:hAnsi="Times New Roman" w:cs="Times New Roman"/>
          <w:color w:val="000000" w:themeColor="text1"/>
          <w:lang w:val="en-US"/>
        </w:rPr>
        <w:t>tumours</w:t>
      </w:r>
      <w:proofErr w:type="spellEnd"/>
      <w:r w:rsidRPr="00073F5F">
        <w:rPr>
          <w:rFonts w:ascii="Times New Roman" w:eastAsia="Calibri" w:hAnsi="Times New Roman" w:cs="Times New Roman"/>
          <w:color w:val="000000" w:themeColor="text1"/>
          <w:lang w:val="en-US"/>
        </w:rPr>
        <w:t xml:space="preserve"> and hyperplasia in male rats following administration of 1.0 and/or 2.0 mg/kg/day</w:t>
      </w:r>
      <w:r w:rsidR="00F27B8D" w:rsidRPr="00073F5F">
        <w:rPr>
          <w:rFonts w:ascii="Times New Roman" w:eastAsia="Calibri" w:hAnsi="Times New Roman" w:cs="Times New Roman"/>
          <w:color w:val="000000" w:themeColor="text1"/>
          <w:lang w:val="en-US"/>
        </w:rPr>
        <w:t xml:space="preserve"> </w:t>
      </w:r>
      <w:r w:rsidR="00A01E2C" w:rsidRPr="00073F5F">
        <w:rPr>
          <w:rFonts w:ascii="Times New Roman" w:eastAsia="Calibri" w:hAnsi="Times New Roman" w:cs="Times New Roman"/>
          <w:color w:val="000000" w:themeColor="text1"/>
          <w:lang w:val="en-US"/>
        </w:rPr>
        <w:lastRenderedPageBreak/>
        <w:t>(</w:t>
      </w:r>
      <w:r w:rsidR="00A34C77" w:rsidRPr="00073F5F">
        <w:rPr>
          <w:rFonts w:ascii="Times New Roman" w:eastAsia="Calibri" w:hAnsi="Times New Roman" w:cs="Times New Roman"/>
          <w:color w:val="000000" w:themeColor="text1"/>
          <w:lang w:val="en-US"/>
        </w:rPr>
        <w:t>0.5</w:t>
      </w:r>
      <w:r w:rsidR="007D5351">
        <w:rPr>
          <w:rFonts w:ascii="Times New Roman" w:eastAsia="Calibri" w:hAnsi="Times New Roman" w:cs="Times New Roman"/>
          <w:color w:val="000000" w:themeColor="text1"/>
          <w:lang w:val="en-US"/>
        </w:rPr>
        <w:t> </w:t>
      </w:r>
      <w:r w:rsidR="00F27B8D" w:rsidRPr="00073F5F">
        <w:rPr>
          <w:rFonts w:ascii="Times New Roman" w:eastAsia="Calibri" w:hAnsi="Times New Roman" w:cs="Times New Roman"/>
          <w:color w:val="000000" w:themeColor="text1"/>
          <w:lang w:val="en-US"/>
        </w:rPr>
        <w:t xml:space="preserve">times the clinical exposure based on AUC). </w:t>
      </w:r>
      <w:r w:rsidRPr="00073F5F">
        <w:rPr>
          <w:rFonts w:ascii="Times New Roman" w:eastAsia="Calibri" w:hAnsi="Times New Roman" w:cs="Times New Roman"/>
          <w:color w:val="000000" w:themeColor="text1"/>
          <w:lang w:val="en-US"/>
        </w:rPr>
        <w:t xml:space="preserve">The exact mechanism </w:t>
      </w:r>
      <w:r w:rsidR="008E38E7" w:rsidRPr="00073F5F">
        <w:rPr>
          <w:rFonts w:ascii="Times New Roman" w:eastAsia="Calibri" w:hAnsi="Times New Roman" w:cs="Times New Roman"/>
          <w:color w:val="000000" w:themeColor="text1"/>
          <w:lang w:val="en-US"/>
        </w:rPr>
        <w:t xml:space="preserve">behind renal tumor </w:t>
      </w:r>
      <w:r w:rsidR="000C6327" w:rsidRPr="00073F5F">
        <w:rPr>
          <w:rFonts w:ascii="Times New Roman" w:eastAsia="Calibri" w:hAnsi="Times New Roman" w:cs="Times New Roman"/>
          <w:color w:val="000000" w:themeColor="text1"/>
          <w:lang w:val="en-US"/>
        </w:rPr>
        <w:t xml:space="preserve">development </w:t>
      </w:r>
      <w:r w:rsidR="00721198" w:rsidRPr="00073F5F">
        <w:rPr>
          <w:rFonts w:ascii="Times New Roman" w:eastAsia="Calibri" w:hAnsi="Times New Roman" w:cs="Times New Roman"/>
          <w:color w:val="000000" w:themeColor="text1"/>
          <w:lang w:val="en-US"/>
        </w:rPr>
        <w:t xml:space="preserve">is unknown but </w:t>
      </w:r>
      <w:r w:rsidR="000C6327" w:rsidRPr="00073F5F">
        <w:rPr>
          <w:rFonts w:ascii="Times New Roman" w:eastAsia="Calibri" w:hAnsi="Times New Roman" w:cs="Times New Roman"/>
          <w:color w:val="000000" w:themeColor="text1"/>
          <w:lang w:val="en-US"/>
        </w:rPr>
        <w:t>may be the r</w:t>
      </w:r>
      <w:r w:rsidR="00721198" w:rsidRPr="00073F5F">
        <w:rPr>
          <w:rFonts w:ascii="Times New Roman" w:eastAsia="Calibri" w:hAnsi="Times New Roman" w:cs="Times New Roman"/>
          <w:color w:val="000000" w:themeColor="text1"/>
          <w:lang w:val="en-US"/>
        </w:rPr>
        <w:t>esult of multi-factorial, non-</w:t>
      </w:r>
      <w:r w:rsidR="000C6327" w:rsidRPr="00073F5F">
        <w:rPr>
          <w:rFonts w:ascii="Times New Roman" w:eastAsia="Calibri" w:hAnsi="Times New Roman" w:cs="Times New Roman"/>
          <w:color w:val="000000" w:themeColor="text1"/>
          <w:lang w:val="en-US"/>
        </w:rPr>
        <w:t>genotoxic mode</w:t>
      </w:r>
      <w:r w:rsidR="00A34C77" w:rsidRPr="00073F5F">
        <w:rPr>
          <w:rFonts w:ascii="Times New Roman" w:eastAsia="Calibri" w:hAnsi="Times New Roman" w:cs="Times New Roman"/>
          <w:color w:val="000000" w:themeColor="text1"/>
          <w:lang w:val="en-US"/>
        </w:rPr>
        <w:t>s</w:t>
      </w:r>
      <w:r w:rsidR="000C6327" w:rsidRPr="00073F5F">
        <w:rPr>
          <w:rFonts w:ascii="Times New Roman" w:eastAsia="Calibri" w:hAnsi="Times New Roman" w:cs="Times New Roman"/>
          <w:color w:val="000000" w:themeColor="text1"/>
          <w:lang w:val="en-US"/>
        </w:rPr>
        <w:t xml:space="preserve"> of action, possibly potentiated by chronic progressive nephropathy (CPN). CPN is a spontaneous age-related disease that occurs at a high incidence in rat strains used in preclinical toxicology studies, exhibiting a predisposition</w:t>
      </w:r>
      <w:r w:rsidR="00A34C77" w:rsidRPr="00073F5F">
        <w:rPr>
          <w:rFonts w:ascii="Times New Roman" w:eastAsia="Calibri" w:hAnsi="Times New Roman" w:cs="Times New Roman"/>
          <w:color w:val="000000" w:themeColor="text1"/>
          <w:lang w:val="en-US"/>
        </w:rPr>
        <w:t xml:space="preserve"> in male rats</w:t>
      </w:r>
      <w:r w:rsidR="00044AE3" w:rsidRPr="00073F5F">
        <w:rPr>
          <w:rFonts w:ascii="Times New Roman" w:eastAsia="Calibri" w:hAnsi="Times New Roman" w:cs="Times New Roman"/>
          <w:color w:val="000000" w:themeColor="text1"/>
          <w:lang w:val="en-US"/>
        </w:rPr>
        <w:t xml:space="preserve">. </w:t>
      </w:r>
      <w:r w:rsidR="00A34C77" w:rsidRPr="00073F5F">
        <w:rPr>
          <w:rFonts w:ascii="Times New Roman" w:eastAsia="Calibri" w:hAnsi="Times New Roman" w:cs="Times New Roman"/>
          <w:color w:val="000000" w:themeColor="text1"/>
          <w:lang w:val="en-US"/>
        </w:rPr>
        <w:t xml:space="preserve">The relevance </w:t>
      </w:r>
      <w:r w:rsidR="00A34C77" w:rsidRPr="00073F5F">
        <w:rPr>
          <w:rFonts w:ascii="Times New Roman" w:hAnsi="Times New Roman" w:cs="Times New Roman"/>
          <w:color w:val="000000" w:themeColor="text1"/>
          <w:lang w:val="en-US"/>
        </w:rPr>
        <w:t>of these findings for a carcinogenic risk in humans is unclear.</w:t>
      </w:r>
    </w:p>
    <w:p w14:paraId="6BE87093" w14:textId="77777777" w:rsidR="00AB5C6F" w:rsidRPr="00073F5F" w:rsidRDefault="00AB5C6F" w:rsidP="009F52D5">
      <w:pPr>
        <w:autoSpaceDE w:val="0"/>
        <w:autoSpaceDN w:val="0"/>
        <w:adjustRightInd w:val="0"/>
        <w:spacing w:after="0" w:line="240" w:lineRule="auto"/>
        <w:rPr>
          <w:rFonts w:ascii="Times New Roman" w:eastAsia="Calibri" w:hAnsi="Times New Roman" w:cs="Times New Roman"/>
          <w:color w:val="000000"/>
          <w:lang w:val="en-US"/>
        </w:rPr>
      </w:pPr>
    </w:p>
    <w:p w14:paraId="4F339583" w14:textId="77777777" w:rsidR="001A3992" w:rsidRPr="00073F5F" w:rsidRDefault="001A3992" w:rsidP="009F52D5">
      <w:pPr>
        <w:pStyle w:val="Heading1"/>
        <w:spacing w:before="0" w:after="120" w:line="240" w:lineRule="auto"/>
        <w:rPr>
          <w:rFonts w:ascii="Times New Roman" w:hAnsi="Times New Roman" w:cs="Times New Roman"/>
          <w:lang w:val="en-US"/>
        </w:rPr>
      </w:pPr>
      <w:r w:rsidRPr="00073F5F">
        <w:rPr>
          <w:rFonts w:ascii="Times New Roman" w:hAnsi="Times New Roman" w:cs="Times New Roman"/>
          <w:lang w:val="en-US"/>
        </w:rPr>
        <w:t>Pharmaceutical particulars</w:t>
      </w:r>
    </w:p>
    <w:p w14:paraId="08FBA1D4" w14:textId="77777777" w:rsidR="001A3992" w:rsidRPr="00073F5F" w:rsidRDefault="001A3992" w:rsidP="009F52D5">
      <w:pPr>
        <w:pStyle w:val="Heading2"/>
        <w:spacing w:before="0" w:after="120" w:line="240" w:lineRule="auto"/>
        <w:rPr>
          <w:rFonts w:ascii="Times New Roman" w:hAnsi="Times New Roman" w:cs="Times New Roman"/>
          <w:lang w:val="en-US"/>
        </w:rPr>
      </w:pPr>
      <w:r w:rsidRPr="00073F5F">
        <w:rPr>
          <w:rFonts w:ascii="Times New Roman" w:hAnsi="Times New Roman" w:cs="Times New Roman"/>
          <w:lang w:val="en-US"/>
        </w:rPr>
        <w:t xml:space="preserve">List of excipients </w:t>
      </w:r>
    </w:p>
    <w:p w14:paraId="387BF052" w14:textId="77777777" w:rsidR="00953126" w:rsidRPr="00073F5F" w:rsidRDefault="00953126" w:rsidP="009F52D5">
      <w:pPr>
        <w:kinsoku w:val="0"/>
        <w:overflowPunct w:val="0"/>
        <w:autoSpaceDE w:val="0"/>
        <w:autoSpaceDN w:val="0"/>
        <w:adjustRightInd w:val="0"/>
        <w:spacing w:line="240" w:lineRule="auto"/>
        <w:rPr>
          <w:rFonts w:ascii="Times New Roman" w:hAnsi="Times New Roman" w:cs="Times New Roman"/>
          <w:spacing w:val="-6"/>
          <w:szCs w:val="24"/>
          <w:lang w:val="en-US"/>
        </w:rPr>
      </w:pPr>
      <w:r w:rsidRPr="00073F5F">
        <w:rPr>
          <w:rFonts w:ascii="Times New Roman" w:hAnsi="Times New Roman" w:cs="Times New Roman"/>
          <w:spacing w:val="-6"/>
          <w:szCs w:val="24"/>
          <w:lang w:val="en-US"/>
        </w:rPr>
        <w:t xml:space="preserve">KODATEF also contains: </w:t>
      </w:r>
    </w:p>
    <w:p w14:paraId="05BF5D5F" w14:textId="77777777" w:rsidR="00953126" w:rsidRPr="00073F5F" w:rsidRDefault="00953126" w:rsidP="009F52D5">
      <w:pPr>
        <w:pStyle w:val="ListParagraph"/>
        <w:numPr>
          <w:ilvl w:val="0"/>
          <w:numId w:val="12"/>
        </w:numPr>
        <w:kinsoku w:val="0"/>
        <w:overflowPunct w:val="0"/>
        <w:autoSpaceDE w:val="0"/>
        <w:autoSpaceDN w:val="0"/>
        <w:adjustRightInd w:val="0"/>
        <w:spacing w:before="120" w:after="0" w:line="240" w:lineRule="auto"/>
        <w:contextualSpacing w:val="0"/>
        <w:rPr>
          <w:rFonts w:ascii="Times New Roman" w:hAnsi="Times New Roman" w:cs="Times New Roman"/>
          <w:spacing w:val="-3"/>
          <w:lang w:val="en-US"/>
        </w:rPr>
      </w:pPr>
      <w:r w:rsidRPr="00073F5F">
        <w:rPr>
          <w:rFonts w:ascii="Times New Roman" w:hAnsi="Times New Roman" w:cs="Times New Roman"/>
          <w:spacing w:val="-3"/>
          <w:lang w:val="en-US"/>
        </w:rPr>
        <w:t xml:space="preserve">Microcrystalline </w:t>
      </w:r>
      <w:r w:rsidR="007D5351">
        <w:rPr>
          <w:rFonts w:ascii="Times New Roman" w:hAnsi="Times New Roman" w:cs="Times New Roman"/>
          <w:spacing w:val="-3"/>
          <w:lang w:val="en-US"/>
        </w:rPr>
        <w:t>c</w:t>
      </w:r>
      <w:r w:rsidRPr="00073F5F">
        <w:rPr>
          <w:rFonts w:ascii="Times New Roman" w:hAnsi="Times New Roman" w:cs="Times New Roman"/>
          <w:spacing w:val="-3"/>
          <w:lang w:val="en-US"/>
        </w:rPr>
        <w:t>ellulose</w:t>
      </w:r>
      <w:r w:rsidR="007D5351">
        <w:rPr>
          <w:rFonts w:ascii="Times New Roman" w:hAnsi="Times New Roman" w:cs="Times New Roman"/>
          <w:spacing w:val="-3"/>
          <w:lang w:val="en-US"/>
        </w:rPr>
        <w:t>.</w:t>
      </w:r>
    </w:p>
    <w:p w14:paraId="196DC85A" w14:textId="77777777" w:rsidR="00953126" w:rsidRPr="00073F5F" w:rsidRDefault="00953126" w:rsidP="009F52D5">
      <w:pPr>
        <w:pStyle w:val="ListParagraph"/>
        <w:numPr>
          <w:ilvl w:val="0"/>
          <w:numId w:val="12"/>
        </w:numPr>
        <w:kinsoku w:val="0"/>
        <w:overflowPunct w:val="0"/>
        <w:autoSpaceDE w:val="0"/>
        <w:autoSpaceDN w:val="0"/>
        <w:adjustRightInd w:val="0"/>
        <w:spacing w:before="120" w:after="0" w:line="240" w:lineRule="auto"/>
        <w:contextualSpacing w:val="0"/>
        <w:rPr>
          <w:rFonts w:ascii="Times New Roman" w:hAnsi="Times New Roman" w:cs="Times New Roman"/>
          <w:spacing w:val="-3"/>
          <w:lang w:val="en-US"/>
        </w:rPr>
      </w:pPr>
      <w:r w:rsidRPr="00073F5F">
        <w:rPr>
          <w:rFonts w:ascii="Times New Roman" w:hAnsi="Times New Roman" w:cs="Times New Roman"/>
          <w:spacing w:val="-3"/>
          <w:lang w:val="en-US"/>
        </w:rPr>
        <w:t>Mannitol</w:t>
      </w:r>
      <w:r w:rsidR="007D5351">
        <w:rPr>
          <w:rFonts w:ascii="Times New Roman" w:hAnsi="Times New Roman" w:cs="Times New Roman"/>
          <w:spacing w:val="-3"/>
          <w:lang w:val="en-US"/>
        </w:rPr>
        <w:t>.</w:t>
      </w:r>
    </w:p>
    <w:p w14:paraId="23ABD912" w14:textId="77777777" w:rsidR="00953126" w:rsidRPr="00073F5F" w:rsidRDefault="00953126" w:rsidP="009F52D5">
      <w:pPr>
        <w:pStyle w:val="ListParagraph"/>
        <w:numPr>
          <w:ilvl w:val="0"/>
          <w:numId w:val="12"/>
        </w:numPr>
        <w:kinsoku w:val="0"/>
        <w:overflowPunct w:val="0"/>
        <w:autoSpaceDE w:val="0"/>
        <w:autoSpaceDN w:val="0"/>
        <w:adjustRightInd w:val="0"/>
        <w:spacing w:before="120" w:after="0" w:line="240" w:lineRule="auto"/>
        <w:contextualSpacing w:val="0"/>
        <w:rPr>
          <w:rFonts w:ascii="Times New Roman" w:hAnsi="Times New Roman" w:cs="Times New Roman"/>
          <w:spacing w:val="-3"/>
          <w:lang w:val="en-US"/>
        </w:rPr>
      </w:pPr>
      <w:r w:rsidRPr="00073F5F">
        <w:rPr>
          <w:rFonts w:ascii="Times New Roman" w:hAnsi="Times New Roman" w:cs="Times New Roman"/>
          <w:spacing w:val="-3"/>
          <w:lang w:val="en-US"/>
        </w:rPr>
        <w:t xml:space="preserve">Magnesium </w:t>
      </w:r>
      <w:r w:rsidR="007D5351">
        <w:rPr>
          <w:rFonts w:ascii="Times New Roman" w:hAnsi="Times New Roman" w:cs="Times New Roman"/>
          <w:spacing w:val="-3"/>
          <w:lang w:val="en-US"/>
        </w:rPr>
        <w:t>s</w:t>
      </w:r>
      <w:r w:rsidRPr="00073F5F">
        <w:rPr>
          <w:rFonts w:ascii="Times New Roman" w:hAnsi="Times New Roman" w:cs="Times New Roman"/>
          <w:spacing w:val="-3"/>
          <w:lang w:val="en-US"/>
        </w:rPr>
        <w:t>tearate</w:t>
      </w:r>
      <w:r w:rsidR="007D5351">
        <w:rPr>
          <w:rFonts w:ascii="Times New Roman" w:hAnsi="Times New Roman" w:cs="Times New Roman"/>
          <w:spacing w:val="-3"/>
          <w:lang w:val="en-US"/>
        </w:rPr>
        <w:t>.</w:t>
      </w:r>
    </w:p>
    <w:p w14:paraId="12B3601B" w14:textId="77777777" w:rsidR="008457FB" w:rsidRPr="00073F5F" w:rsidRDefault="008457FB" w:rsidP="009F52D5">
      <w:pPr>
        <w:pStyle w:val="ListParagraph"/>
        <w:numPr>
          <w:ilvl w:val="0"/>
          <w:numId w:val="12"/>
        </w:numPr>
        <w:kinsoku w:val="0"/>
        <w:overflowPunct w:val="0"/>
        <w:autoSpaceDE w:val="0"/>
        <w:autoSpaceDN w:val="0"/>
        <w:adjustRightInd w:val="0"/>
        <w:spacing w:before="120" w:after="0" w:line="240" w:lineRule="auto"/>
        <w:ind w:hanging="357"/>
        <w:contextualSpacing w:val="0"/>
        <w:rPr>
          <w:rFonts w:ascii="Times New Roman" w:hAnsi="Times New Roman" w:cs="Times New Roman"/>
        </w:rPr>
      </w:pPr>
      <w:proofErr w:type="spellStart"/>
      <w:r w:rsidRPr="00073F5F">
        <w:rPr>
          <w:rFonts w:ascii="Times New Roman" w:hAnsi="Times New Roman" w:cs="Times New Roman"/>
        </w:rPr>
        <w:t>H</w:t>
      </w:r>
      <w:r w:rsidR="00953126" w:rsidRPr="00073F5F">
        <w:rPr>
          <w:rFonts w:ascii="Times New Roman" w:hAnsi="Times New Roman" w:cs="Times New Roman"/>
        </w:rPr>
        <w:t>ypromellose</w:t>
      </w:r>
      <w:proofErr w:type="spellEnd"/>
      <w:r w:rsidR="007D5351">
        <w:rPr>
          <w:rFonts w:ascii="Times New Roman" w:hAnsi="Times New Roman" w:cs="Times New Roman"/>
        </w:rPr>
        <w:t>.</w:t>
      </w:r>
    </w:p>
    <w:p w14:paraId="067ABA1D" w14:textId="77777777" w:rsidR="008457FB" w:rsidRPr="00073F5F" w:rsidRDefault="008457FB" w:rsidP="009F52D5">
      <w:pPr>
        <w:pStyle w:val="ListParagraph"/>
        <w:numPr>
          <w:ilvl w:val="0"/>
          <w:numId w:val="12"/>
        </w:numPr>
        <w:kinsoku w:val="0"/>
        <w:overflowPunct w:val="0"/>
        <w:autoSpaceDE w:val="0"/>
        <w:autoSpaceDN w:val="0"/>
        <w:adjustRightInd w:val="0"/>
        <w:spacing w:before="120" w:after="0" w:line="240" w:lineRule="auto"/>
        <w:ind w:hanging="357"/>
        <w:contextualSpacing w:val="0"/>
        <w:rPr>
          <w:rFonts w:ascii="Times New Roman" w:hAnsi="Times New Roman" w:cs="Times New Roman"/>
        </w:rPr>
      </w:pPr>
      <w:r w:rsidRPr="00073F5F">
        <w:rPr>
          <w:rFonts w:ascii="Times New Roman" w:hAnsi="Times New Roman" w:cs="Times New Roman"/>
        </w:rPr>
        <w:t>T</w:t>
      </w:r>
      <w:r w:rsidR="00953126" w:rsidRPr="00073F5F">
        <w:rPr>
          <w:rFonts w:ascii="Times New Roman" w:hAnsi="Times New Roman" w:cs="Times New Roman"/>
        </w:rPr>
        <w:t>itanium dioxide (E171)</w:t>
      </w:r>
      <w:r w:rsidR="007D5351">
        <w:rPr>
          <w:rFonts w:ascii="Times New Roman" w:hAnsi="Times New Roman" w:cs="Times New Roman"/>
        </w:rPr>
        <w:t>.</w:t>
      </w:r>
    </w:p>
    <w:p w14:paraId="2D4296E5" w14:textId="001E22BF" w:rsidR="008457FB" w:rsidRPr="00073F5F" w:rsidRDefault="008457FB" w:rsidP="009F52D5">
      <w:pPr>
        <w:pStyle w:val="ListParagraph"/>
        <w:numPr>
          <w:ilvl w:val="0"/>
          <w:numId w:val="12"/>
        </w:numPr>
        <w:kinsoku w:val="0"/>
        <w:overflowPunct w:val="0"/>
        <w:autoSpaceDE w:val="0"/>
        <w:autoSpaceDN w:val="0"/>
        <w:adjustRightInd w:val="0"/>
        <w:spacing w:before="120" w:after="0" w:line="240" w:lineRule="auto"/>
        <w:ind w:hanging="357"/>
        <w:contextualSpacing w:val="0"/>
        <w:rPr>
          <w:rFonts w:ascii="Times New Roman" w:hAnsi="Times New Roman" w:cs="Times New Roman"/>
        </w:rPr>
      </w:pPr>
      <w:r w:rsidRPr="00073F5F">
        <w:rPr>
          <w:rFonts w:ascii="Times New Roman" w:hAnsi="Times New Roman" w:cs="Times New Roman"/>
        </w:rPr>
        <w:t>I</w:t>
      </w:r>
      <w:r w:rsidR="00953126" w:rsidRPr="00073F5F">
        <w:rPr>
          <w:rFonts w:ascii="Times New Roman" w:hAnsi="Times New Roman" w:cs="Times New Roman"/>
        </w:rPr>
        <w:t>ron oxide red (E172) and</w:t>
      </w:r>
    </w:p>
    <w:p w14:paraId="6EA3970C" w14:textId="77777777" w:rsidR="00497C85" w:rsidRDefault="008457FB" w:rsidP="009F52D5">
      <w:pPr>
        <w:pStyle w:val="ListParagraph"/>
        <w:numPr>
          <w:ilvl w:val="0"/>
          <w:numId w:val="12"/>
        </w:numPr>
        <w:kinsoku w:val="0"/>
        <w:overflowPunct w:val="0"/>
        <w:autoSpaceDE w:val="0"/>
        <w:autoSpaceDN w:val="0"/>
        <w:adjustRightInd w:val="0"/>
        <w:spacing w:before="120" w:after="0" w:line="240" w:lineRule="auto"/>
        <w:ind w:hanging="357"/>
        <w:contextualSpacing w:val="0"/>
        <w:rPr>
          <w:rFonts w:ascii="Times New Roman" w:hAnsi="Times New Roman" w:cs="Times New Roman"/>
        </w:rPr>
      </w:pPr>
      <w:proofErr w:type="spellStart"/>
      <w:r w:rsidRPr="00073F5F">
        <w:rPr>
          <w:rFonts w:ascii="Times New Roman" w:hAnsi="Times New Roman" w:cs="Times New Roman"/>
        </w:rPr>
        <w:t>M</w:t>
      </w:r>
      <w:r w:rsidR="00953126" w:rsidRPr="00073F5F">
        <w:rPr>
          <w:rFonts w:ascii="Times New Roman" w:hAnsi="Times New Roman" w:cs="Times New Roman"/>
        </w:rPr>
        <w:t>acrogol</w:t>
      </w:r>
      <w:proofErr w:type="spellEnd"/>
      <w:r w:rsidR="00953126" w:rsidRPr="00073F5F">
        <w:rPr>
          <w:rFonts w:ascii="Times New Roman" w:hAnsi="Times New Roman" w:cs="Times New Roman"/>
        </w:rPr>
        <w:t>/polyethylene glycol 400</w:t>
      </w:r>
      <w:r w:rsidR="007D5351">
        <w:rPr>
          <w:rFonts w:ascii="Times New Roman" w:hAnsi="Times New Roman" w:cs="Times New Roman"/>
        </w:rPr>
        <w:t>.</w:t>
      </w:r>
    </w:p>
    <w:p w14:paraId="14E6889F" w14:textId="77777777" w:rsidR="0061165B" w:rsidRPr="0061165B" w:rsidRDefault="0061165B" w:rsidP="0061165B">
      <w:pPr>
        <w:pStyle w:val="ListParagraph"/>
        <w:kinsoku w:val="0"/>
        <w:overflowPunct w:val="0"/>
        <w:autoSpaceDE w:val="0"/>
        <w:autoSpaceDN w:val="0"/>
        <w:adjustRightInd w:val="0"/>
        <w:spacing w:before="120" w:after="0" w:line="240" w:lineRule="auto"/>
        <w:ind w:left="760"/>
        <w:contextualSpacing w:val="0"/>
        <w:rPr>
          <w:rFonts w:ascii="Times New Roman" w:hAnsi="Times New Roman" w:cs="Times New Roman"/>
        </w:rPr>
      </w:pPr>
    </w:p>
    <w:p w14:paraId="6B13E68B" w14:textId="77777777" w:rsidR="001A3992" w:rsidRPr="00073F5F" w:rsidRDefault="001A3992" w:rsidP="009F52D5">
      <w:pPr>
        <w:pStyle w:val="Heading2"/>
        <w:keepNext/>
        <w:keepLines/>
        <w:spacing w:before="0" w:after="120" w:line="240" w:lineRule="auto"/>
        <w:rPr>
          <w:rFonts w:ascii="Times New Roman" w:hAnsi="Times New Roman" w:cs="Times New Roman"/>
          <w:lang w:val="en-US"/>
        </w:rPr>
      </w:pPr>
      <w:r w:rsidRPr="00073F5F">
        <w:rPr>
          <w:rFonts w:ascii="Times New Roman" w:hAnsi="Times New Roman" w:cs="Times New Roman"/>
          <w:lang w:val="en-US"/>
        </w:rPr>
        <w:t xml:space="preserve">Incompatibilities </w:t>
      </w:r>
    </w:p>
    <w:p w14:paraId="758057D5" w14:textId="77777777" w:rsidR="00497C85" w:rsidRPr="00073F5F" w:rsidRDefault="00953126" w:rsidP="009F52D5">
      <w:pPr>
        <w:spacing w:line="240" w:lineRule="auto"/>
        <w:rPr>
          <w:rFonts w:ascii="Times New Roman" w:hAnsi="Times New Roman" w:cs="Times New Roman"/>
          <w:lang w:val="en-US"/>
        </w:rPr>
      </w:pPr>
      <w:r w:rsidRPr="00073F5F">
        <w:rPr>
          <w:rFonts w:ascii="Times New Roman" w:hAnsi="Times New Roman" w:cs="Times New Roman"/>
        </w:rPr>
        <w:t xml:space="preserve">Refer to </w:t>
      </w:r>
      <w:r w:rsidR="007D5351">
        <w:rPr>
          <w:rFonts w:ascii="Times New Roman" w:hAnsi="Times New Roman" w:cs="Times New Roman"/>
        </w:rPr>
        <w:t>subs</w:t>
      </w:r>
      <w:r w:rsidRPr="00073F5F">
        <w:rPr>
          <w:rFonts w:ascii="Times New Roman" w:hAnsi="Times New Roman" w:cs="Times New Roman"/>
        </w:rPr>
        <w:t xml:space="preserve">ection 4.5 </w:t>
      </w:r>
      <w:r w:rsidRPr="007D5351">
        <w:rPr>
          <w:rFonts w:ascii="Times New Roman" w:hAnsi="Times New Roman" w:cs="Times New Roman"/>
          <w:caps/>
        </w:rPr>
        <w:t>Interactions with other medicines and other forms of interactions</w:t>
      </w:r>
      <w:r w:rsidRPr="00073F5F">
        <w:rPr>
          <w:rFonts w:ascii="Times New Roman" w:hAnsi="Times New Roman" w:cs="Times New Roman"/>
        </w:rPr>
        <w:t>.</w:t>
      </w:r>
    </w:p>
    <w:p w14:paraId="57B6719A" w14:textId="77777777" w:rsidR="001A3992" w:rsidRPr="00073F5F" w:rsidRDefault="001A3992" w:rsidP="009F52D5">
      <w:pPr>
        <w:pStyle w:val="Heading2"/>
        <w:spacing w:before="0" w:after="120" w:line="240" w:lineRule="auto"/>
        <w:rPr>
          <w:rFonts w:ascii="Times New Roman" w:hAnsi="Times New Roman" w:cs="Times New Roman"/>
          <w:lang w:val="en-US"/>
        </w:rPr>
      </w:pPr>
      <w:r w:rsidRPr="00073F5F">
        <w:rPr>
          <w:rFonts w:ascii="Times New Roman" w:hAnsi="Times New Roman" w:cs="Times New Roman"/>
          <w:lang w:val="en-US"/>
        </w:rPr>
        <w:t xml:space="preserve">Shelf life </w:t>
      </w:r>
    </w:p>
    <w:p w14:paraId="0D30F817" w14:textId="77777777" w:rsidR="00497C85" w:rsidRPr="00073F5F" w:rsidRDefault="00497C85" w:rsidP="009F52D5">
      <w:pPr>
        <w:spacing w:line="240" w:lineRule="auto"/>
        <w:rPr>
          <w:rFonts w:ascii="Times New Roman" w:hAnsi="Times New Roman" w:cs="Times New Roman"/>
          <w:lang w:val="en-US"/>
        </w:rPr>
      </w:pPr>
      <w:r w:rsidRPr="00073F5F">
        <w:rPr>
          <w:rFonts w:ascii="Times New Roman" w:hAnsi="Times New Roman" w:cs="Times New Roman"/>
        </w:rPr>
        <w:t xml:space="preserve">In Australia, information on the shelf life can be found on the public summary of the Australian Register of Therapeutic Goods (ARTG). The expiry date can be found on the packaging. </w:t>
      </w:r>
    </w:p>
    <w:p w14:paraId="2AAA4759" w14:textId="77777777" w:rsidR="001A3992" w:rsidRPr="00073F5F" w:rsidRDefault="001A3992" w:rsidP="009F52D5">
      <w:pPr>
        <w:pStyle w:val="Heading2"/>
        <w:keepNext/>
        <w:keepLines/>
        <w:spacing w:before="0" w:after="120" w:line="240" w:lineRule="auto"/>
        <w:rPr>
          <w:rFonts w:ascii="Times New Roman" w:hAnsi="Times New Roman" w:cs="Times New Roman"/>
          <w:lang w:val="en-US"/>
        </w:rPr>
      </w:pPr>
      <w:r w:rsidRPr="00073F5F">
        <w:rPr>
          <w:rFonts w:ascii="Times New Roman" w:hAnsi="Times New Roman" w:cs="Times New Roman"/>
          <w:lang w:val="en-US"/>
        </w:rPr>
        <w:t xml:space="preserve">Special precautions for storage </w:t>
      </w:r>
    </w:p>
    <w:p w14:paraId="617FF5A0" w14:textId="77777777" w:rsidR="00953126" w:rsidRPr="00073F5F" w:rsidRDefault="00953126" w:rsidP="009F52D5">
      <w:pPr>
        <w:tabs>
          <w:tab w:val="left" w:pos="7797"/>
          <w:tab w:val="left" w:pos="8080"/>
          <w:tab w:val="left" w:pos="8222"/>
        </w:tabs>
        <w:kinsoku w:val="0"/>
        <w:overflowPunct w:val="0"/>
        <w:autoSpaceDE w:val="0"/>
        <w:autoSpaceDN w:val="0"/>
        <w:adjustRightInd w:val="0"/>
        <w:spacing w:line="240" w:lineRule="auto"/>
        <w:ind w:right="17"/>
        <w:rPr>
          <w:rFonts w:ascii="Times New Roman" w:hAnsi="Times New Roman" w:cs="Times New Roman"/>
          <w:iCs/>
          <w:color w:val="000000"/>
          <w:szCs w:val="24"/>
          <w:lang w:val="en-US"/>
        </w:rPr>
      </w:pPr>
      <w:proofErr w:type="gramStart"/>
      <w:r w:rsidRPr="00073F5F">
        <w:rPr>
          <w:rFonts w:ascii="Times New Roman" w:hAnsi="Times New Roman" w:cs="Times New Roman"/>
          <w:color w:val="000000"/>
          <w:lang w:val="en-US"/>
        </w:rPr>
        <w:t>Store below +30°C</w:t>
      </w:r>
      <w:r w:rsidRPr="00073F5F">
        <w:rPr>
          <w:rFonts w:ascii="Times New Roman" w:hAnsi="Times New Roman" w:cs="Times New Roman"/>
          <w:iCs/>
          <w:color w:val="000000"/>
          <w:szCs w:val="24"/>
          <w:lang w:val="en-US"/>
        </w:rPr>
        <w:t>.</w:t>
      </w:r>
      <w:proofErr w:type="gramEnd"/>
      <w:r w:rsidRPr="00073F5F">
        <w:rPr>
          <w:rFonts w:ascii="Times New Roman" w:hAnsi="Times New Roman" w:cs="Times New Roman"/>
          <w:iCs/>
          <w:color w:val="000000"/>
          <w:szCs w:val="24"/>
          <w:lang w:val="en-US"/>
        </w:rPr>
        <w:t xml:space="preserve"> Protect from moisture. Dispense only in the original carton.</w:t>
      </w:r>
    </w:p>
    <w:p w14:paraId="04FEE23B" w14:textId="77777777" w:rsidR="001A3992" w:rsidRPr="00073F5F" w:rsidRDefault="001A3992" w:rsidP="009F52D5">
      <w:pPr>
        <w:pStyle w:val="Heading2"/>
        <w:spacing w:before="0" w:after="120" w:line="240" w:lineRule="auto"/>
        <w:rPr>
          <w:rFonts w:ascii="Times New Roman" w:hAnsi="Times New Roman" w:cs="Times New Roman"/>
          <w:lang w:val="en-US"/>
        </w:rPr>
      </w:pPr>
      <w:r w:rsidRPr="00073F5F">
        <w:rPr>
          <w:rFonts w:ascii="Times New Roman" w:hAnsi="Times New Roman" w:cs="Times New Roman"/>
          <w:lang w:val="en-US"/>
        </w:rPr>
        <w:t xml:space="preserve">Nature and contents of container </w:t>
      </w:r>
    </w:p>
    <w:p w14:paraId="4139A283" w14:textId="77777777" w:rsidR="00EE1C1C" w:rsidRPr="00073F5F" w:rsidRDefault="00EE1C1C" w:rsidP="009F52D5">
      <w:pPr>
        <w:spacing w:line="240" w:lineRule="auto"/>
        <w:rPr>
          <w:rFonts w:ascii="Times New Roman" w:hAnsi="Times New Roman" w:cs="Times New Roman"/>
          <w:lang w:val="en-US"/>
        </w:rPr>
      </w:pPr>
      <w:r w:rsidRPr="00073F5F">
        <w:rPr>
          <w:rFonts w:ascii="Times New Roman" w:hAnsi="Times New Roman" w:cs="Times New Roman"/>
          <w:iCs/>
          <w:color w:val="000000"/>
          <w:szCs w:val="24"/>
          <w:lang w:val="en-US"/>
        </w:rPr>
        <w:t xml:space="preserve">KODATEF 100 mg tablets are packed in polyamide aluminum and PVC formable laminate backed blisters with a </w:t>
      </w:r>
      <w:proofErr w:type="spellStart"/>
      <w:r w:rsidRPr="00073F5F">
        <w:rPr>
          <w:rFonts w:ascii="Times New Roman" w:hAnsi="Times New Roman" w:cs="Times New Roman"/>
          <w:iCs/>
          <w:color w:val="000000"/>
          <w:szCs w:val="24"/>
          <w:lang w:val="en-US"/>
        </w:rPr>
        <w:t>peelable</w:t>
      </w:r>
      <w:proofErr w:type="spellEnd"/>
      <w:r w:rsidRPr="00073F5F">
        <w:rPr>
          <w:rFonts w:ascii="Times New Roman" w:hAnsi="Times New Roman" w:cs="Times New Roman"/>
          <w:iCs/>
          <w:color w:val="000000"/>
          <w:szCs w:val="24"/>
          <w:lang w:val="en-US"/>
        </w:rPr>
        <w:t xml:space="preserve"> polyethylene terephthalate aluminum foil and paper cover. Each blister card contains eight tablets. Each carton contains </w:t>
      </w:r>
      <w:r w:rsidRPr="00073F5F">
        <w:rPr>
          <w:rFonts w:ascii="Times New Roman" w:hAnsi="Times New Roman" w:cs="Times New Roman"/>
          <w:color w:val="000000"/>
          <w:lang w:val="en-US"/>
        </w:rPr>
        <w:t xml:space="preserve">8 </w:t>
      </w:r>
      <w:r w:rsidR="00D22981" w:rsidRPr="00073F5F">
        <w:rPr>
          <w:rFonts w:ascii="Times New Roman" w:hAnsi="Times New Roman" w:cs="Times New Roman"/>
          <w:color w:val="000000"/>
          <w:lang w:val="en-US"/>
        </w:rPr>
        <w:t xml:space="preserve">or 16 </w:t>
      </w:r>
      <w:r w:rsidRPr="00073F5F">
        <w:rPr>
          <w:rFonts w:ascii="Times New Roman" w:hAnsi="Times New Roman" w:cs="Times New Roman"/>
          <w:color w:val="000000"/>
          <w:lang w:val="en-US"/>
        </w:rPr>
        <w:t>tablets</w:t>
      </w:r>
      <w:r w:rsidRPr="00073F5F">
        <w:rPr>
          <w:rFonts w:ascii="Times New Roman" w:hAnsi="Times New Roman" w:cs="Times New Roman"/>
          <w:iCs/>
          <w:color w:val="000000"/>
          <w:szCs w:val="24"/>
          <w:lang w:val="en-US"/>
        </w:rPr>
        <w:t xml:space="preserve"> (</w:t>
      </w:r>
      <w:r w:rsidR="00D22981" w:rsidRPr="00073F5F">
        <w:rPr>
          <w:rFonts w:ascii="Times New Roman" w:hAnsi="Times New Roman" w:cs="Times New Roman"/>
          <w:color w:val="000000"/>
          <w:lang w:val="en-US"/>
        </w:rPr>
        <w:t>one or</w:t>
      </w:r>
      <w:r w:rsidR="00D22981" w:rsidRPr="00073F5F">
        <w:rPr>
          <w:rFonts w:ascii="Times New Roman" w:hAnsi="Times New Roman" w:cs="Times New Roman"/>
          <w:iCs/>
          <w:color w:val="000000"/>
          <w:szCs w:val="24"/>
          <w:lang w:val="en-US"/>
        </w:rPr>
        <w:t xml:space="preserve"> </w:t>
      </w:r>
      <w:r w:rsidRPr="00073F5F">
        <w:rPr>
          <w:rFonts w:ascii="Times New Roman" w:hAnsi="Times New Roman" w:cs="Times New Roman"/>
          <w:iCs/>
          <w:color w:val="000000"/>
          <w:szCs w:val="24"/>
          <w:lang w:val="en-US"/>
        </w:rPr>
        <w:t xml:space="preserve">two blister cards). </w:t>
      </w:r>
    </w:p>
    <w:p w14:paraId="5B1C5474" w14:textId="77777777" w:rsidR="001A3992" w:rsidRPr="00073F5F" w:rsidRDefault="001A3992" w:rsidP="009F52D5">
      <w:pPr>
        <w:pStyle w:val="Heading2"/>
        <w:spacing w:before="0" w:after="120" w:line="240" w:lineRule="auto"/>
        <w:rPr>
          <w:rFonts w:ascii="Times New Roman" w:hAnsi="Times New Roman" w:cs="Times New Roman"/>
          <w:lang w:val="en-US"/>
        </w:rPr>
      </w:pPr>
      <w:r w:rsidRPr="00073F5F">
        <w:rPr>
          <w:rFonts w:ascii="Times New Roman" w:hAnsi="Times New Roman" w:cs="Times New Roman"/>
          <w:lang w:val="en-US"/>
        </w:rPr>
        <w:t xml:space="preserve">Special precautions for disposal </w:t>
      </w:r>
    </w:p>
    <w:p w14:paraId="68E0D050" w14:textId="77777777" w:rsidR="00497C85" w:rsidRPr="00073F5F" w:rsidRDefault="00497C85" w:rsidP="009F52D5">
      <w:pPr>
        <w:spacing w:line="240" w:lineRule="auto"/>
        <w:rPr>
          <w:rFonts w:ascii="Times New Roman" w:hAnsi="Times New Roman" w:cs="Times New Roman"/>
          <w:lang w:val="en-US"/>
        </w:rPr>
      </w:pPr>
      <w:r w:rsidRPr="00073F5F">
        <w:rPr>
          <w:rFonts w:ascii="Times New Roman" w:hAnsi="Times New Roman" w:cs="Times New Roman"/>
        </w:rPr>
        <w:t xml:space="preserve">In Australia, any unused medicine or waste material should be disposed of by taking to your local pharmacy. </w:t>
      </w:r>
    </w:p>
    <w:p w14:paraId="13A475AA" w14:textId="77777777" w:rsidR="001A3992" w:rsidRPr="00073F5F" w:rsidRDefault="001A3992" w:rsidP="009F52D5">
      <w:pPr>
        <w:pStyle w:val="Heading2"/>
        <w:spacing w:before="0" w:after="120" w:line="240" w:lineRule="auto"/>
        <w:rPr>
          <w:rFonts w:ascii="Times New Roman" w:hAnsi="Times New Roman" w:cs="Times New Roman"/>
          <w:lang w:val="en-US"/>
        </w:rPr>
      </w:pPr>
      <w:r w:rsidRPr="00073F5F">
        <w:rPr>
          <w:rFonts w:ascii="Times New Roman" w:hAnsi="Times New Roman" w:cs="Times New Roman"/>
          <w:lang w:val="en-US"/>
        </w:rPr>
        <w:t>Physicochemical properties</w:t>
      </w:r>
    </w:p>
    <w:p w14:paraId="2742C41D" w14:textId="77777777" w:rsidR="001A3992" w:rsidRPr="00073F5F" w:rsidRDefault="001A3992" w:rsidP="009F52D5">
      <w:pPr>
        <w:pStyle w:val="Heading3"/>
        <w:spacing w:before="0" w:after="120" w:line="240" w:lineRule="auto"/>
        <w:ind w:left="0"/>
        <w:rPr>
          <w:rFonts w:ascii="Times New Roman" w:hAnsi="Times New Roman" w:cs="Times New Roman"/>
          <w:lang w:val="en-US"/>
        </w:rPr>
      </w:pPr>
      <w:r w:rsidRPr="00073F5F">
        <w:rPr>
          <w:rFonts w:ascii="Times New Roman" w:hAnsi="Times New Roman" w:cs="Times New Roman"/>
          <w:lang w:val="en-US"/>
        </w:rPr>
        <w:t>Chemical structure</w:t>
      </w:r>
    </w:p>
    <w:p w14:paraId="476A5FB5" w14:textId="77777777" w:rsidR="00F55387" w:rsidRPr="00073F5F" w:rsidRDefault="00F55387" w:rsidP="009F52D5">
      <w:pPr>
        <w:pStyle w:val="BodyText"/>
        <w:spacing w:before="0" w:after="200"/>
        <w:ind w:left="0"/>
        <w:rPr>
          <w:spacing w:val="-6"/>
          <w:sz w:val="22"/>
          <w:szCs w:val="22"/>
          <w:lang w:val="en-US"/>
        </w:rPr>
      </w:pPr>
      <w:r w:rsidRPr="00073F5F">
        <w:rPr>
          <w:sz w:val="22"/>
          <w:szCs w:val="22"/>
          <w:lang w:val="en-US"/>
        </w:rPr>
        <w:t>Chemical</w:t>
      </w:r>
      <w:r w:rsidRPr="00073F5F">
        <w:rPr>
          <w:spacing w:val="-5"/>
          <w:sz w:val="22"/>
          <w:szCs w:val="22"/>
          <w:lang w:val="en-US"/>
        </w:rPr>
        <w:t xml:space="preserve"> </w:t>
      </w:r>
      <w:r w:rsidRPr="00073F5F">
        <w:rPr>
          <w:sz w:val="22"/>
          <w:szCs w:val="22"/>
          <w:lang w:val="en-US"/>
        </w:rPr>
        <w:t>name:</w:t>
      </w:r>
      <w:r w:rsidRPr="00073F5F">
        <w:rPr>
          <w:sz w:val="22"/>
          <w:szCs w:val="22"/>
        </w:rPr>
        <w:t xml:space="preserve"> 8-[(4-Amino-1-methylbutyl</w:t>
      </w:r>
      <w:proofErr w:type="gramStart"/>
      <w:r w:rsidRPr="00073F5F">
        <w:rPr>
          <w:sz w:val="22"/>
          <w:szCs w:val="22"/>
        </w:rPr>
        <w:t>)amino</w:t>
      </w:r>
      <w:proofErr w:type="gramEnd"/>
      <w:r w:rsidRPr="00073F5F">
        <w:rPr>
          <w:sz w:val="22"/>
          <w:szCs w:val="22"/>
        </w:rPr>
        <w:t>]-2,6-dimethoxy-4-methyl-5-[3-(trifluoromethyl)phenoxy]quinoline succinate.</w:t>
      </w:r>
    </w:p>
    <w:p w14:paraId="56E66E0E" w14:textId="77777777" w:rsidR="00F55387" w:rsidRPr="00A46655" w:rsidRDefault="00F55387" w:rsidP="00A46655">
      <w:pPr>
        <w:pStyle w:val="BodyText"/>
        <w:spacing w:before="0" w:after="200"/>
        <w:ind w:left="0"/>
        <w:outlineLvl w:val="2"/>
        <w:rPr>
          <w:b/>
          <w:iCs/>
          <w:spacing w:val="-4"/>
          <w:sz w:val="22"/>
          <w:szCs w:val="22"/>
          <w:lang w:val="en-US"/>
        </w:rPr>
      </w:pPr>
      <w:r w:rsidRPr="00A46655">
        <w:rPr>
          <w:b/>
          <w:iCs/>
          <w:spacing w:val="-4"/>
          <w:sz w:val="22"/>
          <w:szCs w:val="22"/>
          <w:lang w:val="en-US"/>
        </w:rPr>
        <w:t>Structural formula</w:t>
      </w:r>
    </w:p>
    <w:p w14:paraId="6118FDFA" w14:textId="77777777" w:rsidR="00F55387" w:rsidRPr="00F16A76" w:rsidRDefault="00F55387" w:rsidP="009F52D5">
      <w:pPr>
        <w:kinsoku w:val="0"/>
        <w:overflowPunct w:val="0"/>
        <w:autoSpaceDE w:val="0"/>
        <w:autoSpaceDN w:val="0"/>
        <w:adjustRightInd w:val="0"/>
        <w:spacing w:line="240" w:lineRule="auto"/>
        <w:ind w:left="267"/>
        <w:rPr>
          <w:rFonts w:ascii="Times New Roman" w:hAnsi="Times New Roman" w:cs="Times New Roman"/>
          <w:lang w:val="en-US"/>
        </w:rPr>
      </w:pPr>
      <w:r w:rsidRPr="00F16A76">
        <w:rPr>
          <w:rFonts w:ascii="Times New Roman" w:hAnsi="Times New Roman" w:cs="Times New Roman"/>
          <w:noProof/>
          <w:lang w:eastAsia="en-AU"/>
        </w:rPr>
        <w:lastRenderedPageBreak/>
        <w:drawing>
          <wp:inline distT="0" distB="0" distL="0" distR="0" wp14:anchorId="2ACA29E4" wp14:editId="28B5D3F1">
            <wp:extent cx="2711237" cy="2138901"/>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9736" cy="2153495"/>
                    </a:xfrm>
                    <a:prstGeom prst="rect">
                      <a:avLst/>
                    </a:prstGeom>
                    <a:noFill/>
                  </pic:spPr>
                </pic:pic>
              </a:graphicData>
            </a:graphic>
          </wp:inline>
        </w:drawing>
      </w:r>
    </w:p>
    <w:p w14:paraId="16D4596F" w14:textId="77777777" w:rsidR="00F55387" w:rsidRPr="00BA6760" w:rsidRDefault="00F55387" w:rsidP="00A46655">
      <w:pPr>
        <w:pStyle w:val="Heading3"/>
        <w:ind w:left="0"/>
        <w:rPr>
          <w:rFonts w:ascii="Times New Roman" w:hAnsi="Times New Roman" w:cs="Times New Roman"/>
          <w:lang w:val="en-US"/>
        </w:rPr>
      </w:pPr>
      <w:r w:rsidRPr="002912ED">
        <w:rPr>
          <w:rFonts w:ascii="Times New Roman" w:hAnsi="Times New Roman" w:cs="Times New Roman"/>
          <w:spacing w:val="-3"/>
          <w:lang w:val="en-US"/>
        </w:rPr>
        <w:t>Molecular weight</w:t>
      </w:r>
      <w:r w:rsidRPr="00CC383B">
        <w:rPr>
          <w:rFonts w:ascii="Times New Roman" w:hAnsi="Times New Roman" w:cs="Times New Roman"/>
          <w:spacing w:val="-5"/>
          <w:lang w:val="en-US"/>
        </w:rPr>
        <w:t xml:space="preserve"> </w:t>
      </w:r>
    </w:p>
    <w:p w14:paraId="6B77A33B" w14:textId="77777777" w:rsidR="00F55387" w:rsidRPr="00073F5F" w:rsidRDefault="00F55387" w:rsidP="009F52D5">
      <w:pPr>
        <w:autoSpaceDE w:val="0"/>
        <w:autoSpaceDN w:val="0"/>
        <w:adjustRightInd w:val="0"/>
        <w:spacing w:line="240" w:lineRule="auto"/>
        <w:rPr>
          <w:rFonts w:ascii="Times New Roman" w:hAnsi="Times New Roman" w:cs="Times New Roman"/>
          <w:lang w:val="en-US"/>
        </w:rPr>
      </w:pPr>
      <w:r w:rsidRPr="00073F5F">
        <w:rPr>
          <w:rFonts w:ascii="Times New Roman" w:hAnsi="Times New Roman" w:cs="Times New Roman"/>
          <w:lang w:val="en-US"/>
        </w:rPr>
        <w:t>463.49 (free base anhydrous)</w:t>
      </w:r>
    </w:p>
    <w:p w14:paraId="67BDF934" w14:textId="77777777" w:rsidR="00F55387" w:rsidRPr="00073F5F" w:rsidRDefault="00F55387" w:rsidP="009F52D5">
      <w:pPr>
        <w:spacing w:line="240" w:lineRule="auto"/>
        <w:rPr>
          <w:rFonts w:ascii="Times New Roman" w:hAnsi="Times New Roman" w:cs="Times New Roman"/>
          <w:lang w:val="en-US"/>
        </w:rPr>
      </w:pPr>
      <w:r w:rsidRPr="00073F5F">
        <w:rPr>
          <w:rFonts w:ascii="Times New Roman" w:hAnsi="Times New Roman" w:cs="Times New Roman"/>
          <w:lang w:val="en-US"/>
        </w:rPr>
        <w:t>581.58 (succinate salt)</w:t>
      </w:r>
    </w:p>
    <w:p w14:paraId="7E0E39F2" w14:textId="77777777" w:rsidR="00F55387" w:rsidRPr="007D5351" w:rsidRDefault="00F55387" w:rsidP="002A6D3A">
      <w:pPr>
        <w:pStyle w:val="BodyText"/>
        <w:kinsoku w:val="0"/>
        <w:overflowPunct w:val="0"/>
        <w:spacing w:before="0" w:after="200"/>
        <w:ind w:left="0"/>
        <w:outlineLvl w:val="2"/>
        <w:rPr>
          <w:b/>
          <w:sz w:val="22"/>
          <w:szCs w:val="22"/>
          <w:lang w:val="en-US"/>
        </w:rPr>
      </w:pPr>
      <w:r w:rsidRPr="007D5351">
        <w:rPr>
          <w:b/>
          <w:spacing w:val="-1"/>
          <w:sz w:val="22"/>
          <w:szCs w:val="22"/>
          <w:lang w:val="en-US"/>
        </w:rPr>
        <w:t>Molecular</w:t>
      </w:r>
      <w:r w:rsidRPr="007D5351">
        <w:rPr>
          <w:b/>
          <w:spacing w:val="-18"/>
          <w:sz w:val="22"/>
          <w:szCs w:val="22"/>
          <w:lang w:val="en-US"/>
        </w:rPr>
        <w:t xml:space="preserve"> </w:t>
      </w:r>
      <w:r w:rsidRPr="007D5351">
        <w:rPr>
          <w:b/>
          <w:spacing w:val="-1"/>
          <w:sz w:val="22"/>
          <w:szCs w:val="22"/>
          <w:lang w:val="en-US"/>
        </w:rPr>
        <w:t>Formula</w:t>
      </w:r>
    </w:p>
    <w:p w14:paraId="02D1F500" w14:textId="1F27A06D" w:rsidR="00F55387" w:rsidRPr="00073F5F" w:rsidRDefault="00F55387" w:rsidP="009F52D5">
      <w:pPr>
        <w:pStyle w:val="BodyText"/>
        <w:kinsoku w:val="0"/>
        <w:overflowPunct w:val="0"/>
        <w:spacing w:before="0" w:after="200"/>
        <w:ind w:left="0"/>
        <w:rPr>
          <w:spacing w:val="-1"/>
          <w:sz w:val="22"/>
          <w:szCs w:val="22"/>
          <w:lang w:val="en-US"/>
        </w:rPr>
      </w:pPr>
      <w:r w:rsidRPr="00073F5F">
        <w:rPr>
          <w:spacing w:val="-1"/>
          <w:position w:val="6"/>
          <w:sz w:val="22"/>
          <w:szCs w:val="22"/>
          <w:lang w:val="en-US"/>
        </w:rPr>
        <w:t>C</w:t>
      </w:r>
      <w:r w:rsidRPr="00073F5F">
        <w:rPr>
          <w:spacing w:val="-1"/>
          <w:sz w:val="22"/>
          <w:szCs w:val="22"/>
          <w:lang w:val="en-US"/>
        </w:rPr>
        <w:t>24</w:t>
      </w:r>
      <w:r w:rsidRPr="00073F5F">
        <w:rPr>
          <w:spacing w:val="-1"/>
          <w:position w:val="6"/>
          <w:sz w:val="22"/>
          <w:szCs w:val="22"/>
          <w:lang w:val="en-US"/>
        </w:rPr>
        <w:t>H</w:t>
      </w:r>
      <w:r w:rsidRPr="00073F5F">
        <w:rPr>
          <w:spacing w:val="-1"/>
          <w:sz w:val="22"/>
          <w:szCs w:val="22"/>
          <w:lang w:val="en-US"/>
        </w:rPr>
        <w:t>28</w:t>
      </w:r>
      <w:r w:rsidRPr="00073F5F">
        <w:rPr>
          <w:spacing w:val="-1"/>
          <w:position w:val="6"/>
          <w:sz w:val="22"/>
          <w:szCs w:val="22"/>
          <w:lang w:val="en-US"/>
        </w:rPr>
        <w:t>F</w:t>
      </w:r>
      <w:r w:rsidRPr="00073F5F">
        <w:rPr>
          <w:spacing w:val="-1"/>
          <w:sz w:val="22"/>
          <w:szCs w:val="22"/>
          <w:lang w:val="en-US"/>
        </w:rPr>
        <w:t>3</w:t>
      </w:r>
      <w:r w:rsidRPr="00073F5F">
        <w:rPr>
          <w:spacing w:val="-1"/>
          <w:position w:val="6"/>
          <w:sz w:val="22"/>
          <w:szCs w:val="22"/>
          <w:lang w:val="en-US"/>
        </w:rPr>
        <w:t>N</w:t>
      </w:r>
      <w:r w:rsidRPr="00073F5F">
        <w:rPr>
          <w:spacing w:val="-1"/>
          <w:sz w:val="22"/>
          <w:szCs w:val="22"/>
          <w:lang w:val="en-US"/>
        </w:rPr>
        <w:t>3</w:t>
      </w:r>
      <w:r w:rsidRPr="00073F5F">
        <w:rPr>
          <w:spacing w:val="-1"/>
          <w:position w:val="6"/>
          <w:sz w:val="22"/>
          <w:szCs w:val="22"/>
          <w:lang w:val="en-US"/>
        </w:rPr>
        <w:t>O</w:t>
      </w:r>
      <w:r w:rsidRPr="00073F5F">
        <w:rPr>
          <w:spacing w:val="-1"/>
          <w:sz w:val="22"/>
          <w:szCs w:val="22"/>
          <w:lang w:val="en-US"/>
        </w:rPr>
        <w:t>3</w:t>
      </w:r>
      <w:r w:rsidR="003C78D5">
        <w:rPr>
          <w:spacing w:val="-1"/>
          <w:position w:val="6"/>
          <w:sz w:val="22"/>
          <w:szCs w:val="22"/>
          <w:lang w:val="en-US"/>
        </w:rPr>
        <w:t>·</w:t>
      </w:r>
      <w:r w:rsidRPr="00073F5F">
        <w:rPr>
          <w:spacing w:val="-1"/>
          <w:position w:val="6"/>
          <w:sz w:val="22"/>
          <w:szCs w:val="22"/>
          <w:lang w:val="en-US"/>
        </w:rPr>
        <w:t>C</w:t>
      </w:r>
      <w:r w:rsidRPr="00073F5F">
        <w:rPr>
          <w:spacing w:val="-1"/>
          <w:sz w:val="22"/>
          <w:szCs w:val="22"/>
          <w:lang w:val="en-US"/>
        </w:rPr>
        <w:t>4</w:t>
      </w:r>
      <w:r w:rsidRPr="00073F5F">
        <w:rPr>
          <w:spacing w:val="-1"/>
          <w:position w:val="6"/>
          <w:sz w:val="22"/>
          <w:szCs w:val="22"/>
          <w:lang w:val="en-US"/>
        </w:rPr>
        <w:t>H</w:t>
      </w:r>
      <w:r w:rsidRPr="00073F5F">
        <w:rPr>
          <w:spacing w:val="-1"/>
          <w:sz w:val="22"/>
          <w:szCs w:val="22"/>
          <w:lang w:val="en-US"/>
        </w:rPr>
        <w:t>6</w:t>
      </w:r>
      <w:r w:rsidRPr="00073F5F">
        <w:rPr>
          <w:spacing w:val="-1"/>
          <w:position w:val="6"/>
          <w:sz w:val="22"/>
          <w:szCs w:val="22"/>
          <w:lang w:val="en-US"/>
        </w:rPr>
        <w:t>O</w:t>
      </w:r>
      <w:r w:rsidRPr="00073F5F">
        <w:rPr>
          <w:spacing w:val="-1"/>
          <w:sz w:val="22"/>
          <w:szCs w:val="22"/>
          <w:lang w:val="en-US"/>
        </w:rPr>
        <w:t xml:space="preserve">4 </w:t>
      </w:r>
    </w:p>
    <w:p w14:paraId="4BB0ACAF" w14:textId="77777777" w:rsidR="001A3992" w:rsidRPr="00073F5F" w:rsidRDefault="001A3992" w:rsidP="009F52D5">
      <w:pPr>
        <w:pStyle w:val="Heading3"/>
        <w:spacing w:before="0" w:after="120" w:line="240" w:lineRule="auto"/>
        <w:ind w:left="0"/>
        <w:rPr>
          <w:rFonts w:ascii="Times New Roman" w:hAnsi="Times New Roman" w:cs="Times New Roman"/>
          <w:lang w:val="en-US"/>
        </w:rPr>
      </w:pPr>
      <w:r w:rsidRPr="00073F5F">
        <w:rPr>
          <w:rFonts w:ascii="Times New Roman" w:hAnsi="Times New Roman" w:cs="Times New Roman"/>
          <w:lang w:val="en-US"/>
        </w:rPr>
        <w:t>CAS number</w:t>
      </w:r>
    </w:p>
    <w:p w14:paraId="53DD8B72" w14:textId="77777777" w:rsidR="00F55387" w:rsidRPr="00073F5F" w:rsidRDefault="00F55387" w:rsidP="009F52D5">
      <w:pPr>
        <w:spacing w:line="240" w:lineRule="auto"/>
        <w:rPr>
          <w:rFonts w:ascii="Times New Roman" w:hAnsi="Times New Roman" w:cs="Times New Roman"/>
          <w:lang w:val="en-US"/>
        </w:rPr>
      </w:pPr>
      <w:r w:rsidRPr="00073F5F">
        <w:rPr>
          <w:rFonts w:ascii="Times New Roman" w:hAnsi="Times New Roman" w:cs="Times New Roman"/>
          <w:spacing w:val="-3"/>
          <w:szCs w:val="24"/>
          <w:lang w:val="en-US"/>
        </w:rPr>
        <w:t>106635-80-7 (</w:t>
      </w:r>
      <w:proofErr w:type="spellStart"/>
      <w:r w:rsidRPr="00073F5F">
        <w:rPr>
          <w:rFonts w:ascii="Times New Roman" w:hAnsi="Times New Roman" w:cs="Times New Roman"/>
          <w:spacing w:val="-3"/>
          <w:szCs w:val="24"/>
          <w:lang w:val="en-US"/>
        </w:rPr>
        <w:t>tafenoquine</w:t>
      </w:r>
      <w:proofErr w:type="spellEnd"/>
      <w:r w:rsidRPr="00073F5F">
        <w:rPr>
          <w:rFonts w:ascii="Times New Roman" w:hAnsi="Times New Roman" w:cs="Times New Roman"/>
          <w:spacing w:val="-3"/>
          <w:szCs w:val="24"/>
          <w:lang w:val="en-US"/>
        </w:rPr>
        <w:t xml:space="preserve"> free base) </w:t>
      </w:r>
      <w:r w:rsidRPr="00073F5F">
        <w:rPr>
          <w:rFonts w:ascii="Times New Roman" w:hAnsi="Times New Roman" w:cs="Times New Roman"/>
          <w:spacing w:val="-3"/>
          <w:lang w:val="en-US"/>
        </w:rPr>
        <w:t>and 106635-81-8 (</w:t>
      </w:r>
      <w:proofErr w:type="spellStart"/>
      <w:r w:rsidRPr="00073F5F">
        <w:rPr>
          <w:rFonts w:ascii="Times New Roman" w:hAnsi="Times New Roman" w:cs="Times New Roman"/>
          <w:spacing w:val="-3"/>
          <w:lang w:val="en-US"/>
        </w:rPr>
        <w:t>tafenoquine</w:t>
      </w:r>
      <w:proofErr w:type="spellEnd"/>
      <w:r w:rsidRPr="00073F5F">
        <w:rPr>
          <w:rFonts w:ascii="Times New Roman" w:hAnsi="Times New Roman" w:cs="Times New Roman"/>
          <w:spacing w:val="-3"/>
          <w:lang w:val="en-US"/>
        </w:rPr>
        <w:t xml:space="preserve"> succinate) (Source Chemical Book)</w:t>
      </w:r>
    </w:p>
    <w:p w14:paraId="753B6509" w14:textId="77777777" w:rsidR="001A3992" w:rsidRPr="00073F5F" w:rsidRDefault="001A3992" w:rsidP="009F52D5">
      <w:pPr>
        <w:pStyle w:val="Heading1"/>
        <w:spacing w:before="0" w:after="120" w:line="240" w:lineRule="auto"/>
        <w:rPr>
          <w:rFonts w:ascii="Times New Roman" w:hAnsi="Times New Roman" w:cs="Times New Roman"/>
          <w:lang w:val="en-US"/>
        </w:rPr>
      </w:pPr>
      <w:r w:rsidRPr="00073F5F">
        <w:rPr>
          <w:rFonts w:ascii="Times New Roman" w:hAnsi="Times New Roman" w:cs="Times New Roman"/>
          <w:lang w:val="en-US"/>
        </w:rPr>
        <w:t>Medicine schedule (Poisons Standard)</w:t>
      </w:r>
    </w:p>
    <w:p w14:paraId="029FF532" w14:textId="77777777" w:rsidR="00B032B2" w:rsidRPr="00073F5F" w:rsidRDefault="00F55387" w:rsidP="000F76B7">
      <w:pPr>
        <w:kinsoku w:val="0"/>
        <w:overflowPunct w:val="0"/>
        <w:autoSpaceDE w:val="0"/>
        <w:autoSpaceDN w:val="0"/>
        <w:adjustRightInd w:val="0"/>
        <w:spacing w:line="240" w:lineRule="auto"/>
        <w:ind w:left="40"/>
        <w:rPr>
          <w:rFonts w:ascii="Times New Roman" w:hAnsi="Times New Roman" w:cs="Times New Roman"/>
          <w:spacing w:val="-3"/>
          <w:szCs w:val="24"/>
          <w:lang w:val="en-US"/>
        </w:rPr>
      </w:pPr>
      <w:proofErr w:type="gramStart"/>
      <w:r w:rsidRPr="00073F5F">
        <w:rPr>
          <w:rFonts w:ascii="Times New Roman" w:hAnsi="Times New Roman" w:cs="Times New Roman"/>
          <w:spacing w:val="-3"/>
          <w:szCs w:val="24"/>
          <w:lang w:val="en-US"/>
        </w:rPr>
        <w:t>Schedule</w:t>
      </w:r>
      <w:r w:rsidRPr="00073F5F">
        <w:rPr>
          <w:rFonts w:ascii="Times New Roman" w:hAnsi="Times New Roman" w:cs="Times New Roman"/>
          <w:spacing w:val="-6"/>
          <w:szCs w:val="24"/>
          <w:lang w:val="en-US"/>
        </w:rPr>
        <w:t xml:space="preserve"> </w:t>
      </w:r>
      <w:r w:rsidRPr="00073F5F">
        <w:rPr>
          <w:rFonts w:ascii="Times New Roman" w:hAnsi="Times New Roman" w:cs="Times New Roman"/>
          <w:szCs w:val="24"/>
          <w:lang w:val="en-US"/>
        </w:rPr>
        <w:t>4</w:t>
      </w:r>
      <w:r w:rsidRPr="00073F5F">
        <w:rPr>
          <w:rFonts w:ascii="Times New Roman" w:hAnsi="Times New Roman" w:cs="Times New Roman"/>
          <w:spacing w:val="-5"/>
          <w:szCs w:val="24"/>
          <w:lang w:val="en-US"/>
        </w:rPr>
        <w:t xml:space="preserve"> </w:t>
      </w:r>
      <w:r w:rsidRPr="00073F5F">
        <w:rPr>
          <w:rFonts w:ascii="Times New Roman" w:hAnsi="Times New Roman" w:cs="Times New Roman"/>
          <w:szCs w:val="24"/>
          <w:lang w:val="en-US"/>
        </w:rPr>
        <w:t>-</w:t>
      </w:r>
      <w:r w:rsidRPr="00073F5F">
        <w:rPr>
          <w:rFonts w:ascii="Times New Roman" w:hAnsi="Times New Roman" w:cs="Times New Roman"/>
          <w:spacing w:val="-8"/>
          <w:szCs w:val="24"/>
          <w:lang w:val="en-US"/>
        </w:rPr>
        <w:t xml:space="preserve"> </w:t>
      </w:r>
      <w:r w:rsidRPr="00073F5F">
        <w:rPr>
          <w:rFonts w:ascii="Times New Roman" w:hAnsi="Times New Roman" w:cs="Times New Roman"/>
          <w:spacing w:val="-4"/>
          <w:szCs w:val="24"/>
          <w:lang w:val="en-US"/>
        </w:rPr>
        <w:t>Prescription</w:t>
      </w:r>
      <w:r w:rsidRPr="00073F5F">
        <w:rPr>
          <w:rFonts w:ascii="Times New Roman" w:hAnsi="Times New Roman" w:cs="Times New Roman"/>
          <w:spacing w:val="-8"/>
          <w:szCs w:val="24"/>
          <w:lang w:val="en-US"/>
        </w:rPr>
        <w:t xml:space="preserve"> </w:t>
      </w:r>
      <w:r w:rsidRPr="00073F5F">
        <w:rPr>
          <w:rFonts w:ascii="Times New Roman" w:hAnsi="Times New Roman" w:cs="Times New Roman"/>
          <w:spacing w:val="-2"/>
          <w:szCs w:val="24"/>
          <w:lang w:val="en-US"/>
        </w:rPr>
        <w:t>Only</w:t>
      </w:r>
      <w:r w:rsidRPr="00073F5F">
        <w:rPr>
          <w:rFonts w:ascii="Times New Roman" w:hAnsi="Times New Roman" w:cs="Times New Roman"/>
          <w:spacing w:val="-12"/>
          <w:szCs w:val="24"/>
          <w:lang w:val="en-US"/>
        </w:rPr>
        <w:t xml:space="preserve"> </w:t>
      </w:r>
      <w:r w:rsidRPr="00073F5F">
        <w:rPr>
          <w:rFonts w:ascii="Times New Roman" w:hAnsi="Times New Roman" w:cs="Times New Roman"/>
          <w:spacing w:val="-3"/>
          <w:szCs w:val="24"/>
          <w:lang w:val="en-US"/>
        </w:rPr>
        <w:t>Medicine.</w:t>
      </w:r>
      <w:proofErr w:type="gramEnd"/>
    </w:p>
    <w:p w14:paraId="4D8E3A6F" w14:textId="77777777" w:rsidR="001A3992" w:rsidRPr="00073F5F" w:rsidRDefault="001A3992" w:rsidP="009F52D5">
      <w:pPr>
        <w:pStyle w:val="Heading1"/>
        <w:spacing w:before="0" w:after="120" w:line="240" w:lineRule="auto"/>
        <w:rPr>
          <w:rFonts w:ascii="Times New Roman" w:hAnsi="Times New Roman" w:cs="Times New Roman"/>
          <w:lang w:val="en-US"/>
        </w:rPr>
      </w:pPr>
      <w:r w:rsidRPr="00073F5F">
        <w:rPr>
          <w:rFonts w:ascii="Times New Roman" w:hAnsi="Times New Roman" w:cs="Times New Roman"/>
          <w:lang w:val="en-US"/>
        </w:rPr>
        <w:t>Sponsor</w:t>
      </w:r>
    </w:p>
    <w:p w14:paraId="646481CD" w14:textId="77777777" w:rsidR="00D22981" w:rsidRPr="00073F5F" w:rsidRDefault="00D22981" w:rsidP="009F52D5">
      <w:pPr>
        <w:kinsoku w:val="0"/>
        <w:overflowPunct w:val="0"/>
        <w:autoSpaceDE w:val="0"/>
        <w:autoSpaceDN w:val="0"/>
        <w:adjustRightInd w:val="0"/>
        <w:spacing w:line="240" w:lineRule="auto"/>
        <w:ind w:right="5402"/>
        <w:rPr>
          <w:rFonts w:ascii="Times New Roman" w:hAnsi="Times New Roman" w:cs="Times New Roman"/>
          <w:spacing w:val="-3"/>
          <w:szCs w:val="24"/>
          <w:lang w:val="en-US"/>
        </w:rPr>
      </w:pPr>
      <w:proofErr w:type="spellStart"/>
      <w:r w:rsidRPr="00073F5F">
        <w:rPr>
          <w:rFonts w:ascii="Times New Roman" w:hAnsi="Times New Roman" w:cs="Times New Roman"/>
          <w:spacing w:val="-3"/>
          <w:szCs w:val="24"/>
          <w:lang w:val="en-US"/>
        </w:rPr>
        <w:t>Bio</w:t>
      </w:r>
      <w:r w:rsidR="00446536" w:rsidRPr="00073F5F">
        <w:rPr>
          <w:rFonts w:ascii="Times New Roman" w:hAnsi="Times New Roman" w:cs="Times New Roman"/>
          <w:spacing w:val="-3"/>
          <w:lang w:val="en-US"/>
        </w:rPr>
        <w:t>c</w:t>
      </w:r>
      <w:r w:rsidRPr="00073F5F">
        <w:rPr>
          <w:rFonts w:ascii="Times New Roman" w:hAnsi="Times New Roman" w:cs="Times New Roman"/>
          <w:spacing w:val="-3"/>
          <w:szCs w:val="24"/>
          <w:lang w:val="en-US"/>
        </w:rPr>
        <w:t>elect</w:t>
      </w:r>
      <w:proofErr w:type="spellEnd"/>
      <w:r w:rsidRPr="00073F5F">
        <w:rPr>
          <w:rFonts w:ascii="Times New Roman" w:hAnsi="Times New Roman" w:cs="Times New Roman"/>
          <w:spacing w:val="-3"/>
          <w:szCs w:val="24"/>
          <w:lang w:val="en-US"/>
        </w:rPr>
        <w:t xml:space="preserve"> Pty Ltd</w:t>
      </w:r>
    </w:p>
    <w:p w14:paraId="7ED47F45" w14:textId="77777777" w:rsidR="00D22981" w:rsidRPr="00073F5F" w:rsidRDefault="00913E0E" w:rsidP="009F52D5">
      <w:pPr>
        <w:kinsoku w:val="0"/>
        <w:overflowPunct w:val="0"/>
        <w:autoSpaceDE w:val="0"/>
        <w:autoSpaceDN w:val="0"/>
        <w:adjustRightInd w:val="0"/>
        <w:spacing w:line="240" w:lineRule="auto"/>
        <w:ind w:right="5402"/>
        <w:rPr>
          <w:rFonts w:ascii="Times New Roman" w:hAnsi="Times New Roman" w:cs="Times New Roman"/>
          <w:spacing w:val="-3"/>
          <w:lang w:val="en-US"/>
        </w:rPr>
      </w:pPr>
      <w:r w:rsidRPr="00073F5F">
        <w:rPr>
          <w:rFonts w:ascii="Times New Roman" w:hAnsi="Times New Roman" w:cs="Times New Roman"/>
          <w:spacing w:val="-3"/>
          <w:szCs w:val="24"/>
          <w:lang w:val="en-US"/>
        </w:rPr>
        <w:t>Level 4</w:t>
      </w:r>
      <w:r w:rsidR="00D22981" w:rsidRPr="00073F5F">
        <w:rPr>
          <w:rFonts w:ascii="Times New Roman" w:hAnsi="Times New Roman" w:cs="Times New Roman"/>
          <w:spacing w:val="-3"/>
          <w:lang w:val="en-US"/>
        </w:rPr>
        <w:t xml:space="preserve">, </w:t>
      </w:r>
      <w:r w:rsidRPr="00073F5F">
        <w:rPr>
          <w:rFonts w:ascii="Times New Roman" w:hAnsi="Times New Roman" w:cs="Times New Roman"/>
          <w:spacing w:val="-3"/>
          <w:szCs w:val="24"/>
          <w:lang w:val="en-US"/>
        </w:rPr>
        <w:t xml:space="preserve">51 Rawson Street </w:t>
      </w:r>
    </w:p>
    <w:p w14:paraId="39236630" w14:textId="77777777" w:rsidR="00D22981" w:rsidRPr="00073F5F" w:rsidRDefault="00913E0E" w:rsidP="009F52D5">
      <w:pPr>
        <w:kinsoku w:val="0"/>
        <w:overflowPunct w:val="0"/>
        <w:autoSpaceDE w:val="0"/>
        <w:autoSpaceDN w:val="0"/>
        <w:adjustRightInd w:val="0"/>
        <w:spacing w:line="240" w:lineRule="auto"/>
        <w:ind w:right="5402"/>
        <w:rPr>
          <w:rFonts w:ascii="Times New Roman" w:hAnsi="Times New Roman" w:cs="Times New Roman"/>
          <w:spacing w:val="-3"/>
          <w:lang w:val="en-US"/>
        </w:rPr>
      </w:pPr>
      <w:r w:rsidRPr="00073F5F">
        <w:rPr>
          <w:rFonts w:ascii="Times New Roman" w:hAnsi="Times New Roman" w:cs="Times New Roman"/>
          <w:spacing w:val="-3"/>
          <w:szCs w:val="24"/>
          <w:lang w:val="en-US"/>
        </w:rPr>
        <w:t>Epping</w:t>
      </w:r>
    </w:p>
    <w:p w14:paraId="1E141D7A" w14:textId="77777777" w:rsidR="00D22981" w:rsidRPr="00073F5F" w:rsidRDefault="00D22981" w:rsidP="009F52D5">
      <w:pPr>
        <w:kinsoku w:val="0"/>
        <w:overflowPunct w:val="0"/>
        <w:autoSpaceDE w:val="0"/>
        <w:autoSpaceDN w:val="0"/>
        <w:adjustRightInd w:val="0"/>
        <w:spacing w:line="240" w:lineRule="auto"/>
        <w:ind w:right="5402"/>
        <w:rPr>
          <w:rFonts w:ascii="Times New Roman" w:hAnsi="Times New Roman" w:cs="Times New Roman"/>
          <w:spacing w:val="-3"/>
          <w:szCs w:val="24"/>
          <w:lang w:val="en-US"/>
        </w:rPr>
      </w:pPr>
      <w:r w:rsidRPr="00073F5F">
        <w:rPr>
          <w:rFonts w:ascii="Times New Roman" w:hAnsi="Times New Roman" w:cs="Times New Roman"/>
          <w:spacing w:val="-3"/>
          <w:lang w:val="en-US"/>
        </w:rPr>
        <w:t xml:space="preserve">NSW </w:t>
      </w:r>
      <w:r w:rsidR="00A70B24" w:rsidRPr="00073F5F">
        <w:rPr>
          <w:rFonts w:ascii="Times New Roman" w:hAnsi="Times New Roman" w:cs="Times New Roman"/>
          <w:spacing w:val="-3"/>
          <w:szCs w:val="24"/>
          <w:lang w:val="en-US"/>
        </w:rPr>
        <w:t>21</w:t>
      </w:r>
      <w:r w:rsidR="00913E0E" w:rsidRPr="00073F5F">
        <w:rPr>
          <w:rFonts w:ascii="Times New Roman" w:hAnsi="Times New Roman" w:cs="Times New Roman"/>
          <w:spacing w:val="-3"/>
          <w:szCs w:val="24"/>
          <w:lang w:val="en-US"/>
        </w:rPr>
        <w:t>21</w:t>
      </w:r>
    </w:p>
    <w:p w14:paraId="04BB833A" w14:textId="77777777" w:rsidR="00D22981" w:rsidRPr="00073F5F" w:rsidRDefault="00D22981" w:rsidP="009F52D5">
      <w:pPr>
        <w:kinsoku w:val="0"/>
        <w:overflowPunct w:val="0"/>
        <w:autoSpaceDE w:val="0"/>
        <w:autoSpaceDN w:val="0"/>
        <w:adjustRightInd w:val="0"/>
        <w:spacing w:line="240" w:lineRule="auto"/>
        <w:ind w:right="5402"/>
        <w:rPr>
          <w:rFonts w:ascii="Times New Roman" w:hAnsi="Times New Roman" w:cs="Times New Roman"/>
          <w:spacing w:val="-3"/>
          <w:szCs w:val="24"/>
          <w:lang w:val="en-US"/>
        </w:rPr>
      </w:pPr>
      <w:r w:rsidRPr="00073F5F">
        <w:rPr>
          <w:rFonts w:ascii="Times New Roman" w:hAnsi="Times New Roman" w:cs="Times New Roman"/>
          <w:spacing w:val="-3"/>
          <w:szCs w:val="24"/>
          <w:lang w:val="en-US"/>
        </w:rPr>
        <w:t>Customer enquiries and Medical Information: 1300 8</w:t>
      </w:r>
      <w:r w:rsidR="00913E0E" w:rsidRPr="00073F5F">
        <w:rPr>
          <w:rFonts w:ascii="Times New Roman" w:hAnsi="Times New Roman" w:cs="Times New Roman"/>
          <w:spacing w:val="-3"/>
          <w:szCs w:val="24"/>
          <w:lang w:val="en-US"/>
        </w:rPr>
        <w:t>48</w:t>
      </w:r>
      <w:r w:rsidRPr="00073F5F">
        <w:rPr>
          <w:rFonts w:ascii="Times New Roman" w:hAnsi="Times New Roman" w:cs="Times New Roman"/>
          <w:spacing w:val="-3"/>
          <w:szCs w:val="24"/>
          <w:lang w:val="en-US"/>
        </w:rPr>
        <w:t xml:space="preserve"> </w:t>
      </w:r>
      <w:r w:rsidR="00913E0E" w:rsidRPr="00073F5F">
        <w:rPr>
          <w:rFonts w:ascii="Times New Roman" w:hAnsi="Times New Roman" w:cs="Times New Roman"/>
          <w:spacing w:val="-3"/>
          <w:szCs w:val="24"/>
          <w:lang w:val="en-US"/>
        </w:rPr>
        <w:t>628</w:t>
      </w:r>
    </w:p>
    <w:p w14:paraId="28A5FA80" w14:textId="77777777" w:rsidR="00D22981" w:rsidRPr="00073F5F" w:rsidRDefault="00D22981" w:rsidP="009F52D5">
      <w:pPr>
        <w:kinsoku w:val="0"/>
        <w:overflowPunct w:val="0"/>
        <w:autoSpaceDE w:val="0"/>
        <w:autoSpaceDN w:val="0"/>
        <w:adjustRightInd w:val="0"/>
        <w:spacing w:line="240" w:lineRule="auto"/>
        <w:ind w:right="5402"/>
        <w:rPr>
          <w:rFonts w:ascii="Times New Roman" w:hAnsi="Times New Roman" w:cs="Times New Roman"/>
          <w:spacing w:val="-3"/>
          <w:szCs w:val="24"/>
          <w:lang w:val="en-US"/>
        </w:rPr>
      </w:pPr>
      <w:r w:rsidRPr="00073F5F">
        <w:rPr>
          <w:rFonts w:ascii="Times New Roman" w:hAnsi="Times New Roman" w:cs="Times New Roman"/>
          <w:spacing w:val="-3"/>
          <w:szCs w:val="24"/>
          <w:lang w:val="en-US"/>
        </w:rPr>
        <w:t xml:space="preserve">Website: </w:t>
      </w:r>
      <w:hyperlink r:id="rId13" w:history="1">
        <w:r w:rsidR="002225DA" w:rsidRPr="008E5990">
          <w:rPr>
            <w:rStyle w:val="Hyperlink"/>
            <w:rFonts w:ascii="Times New Roman" w:hAnsi="Times New Roman" w:cs="Times New Roman"/>
          </w:rPr>
          <w:t>www.biocelect.com/products/</w:t>
        </w:r>
        <w:proofErr w:type="spellStart"/>
        <w:r w:rsidR="002225DA" w:rsidRPr="008E5990">
          <w:rPr>
            <w:rStyle w:val="Hyperlink"/>
            <w:rFonts w:ascii="Times New Roman" w:hAnsi="Times New Roman" w:cs="Times New Roman"/>
            <w:spacing w:val="-3"/>
            <w:lang w:val="en-US"/>
          </w:rPr>
          <w:t>kodatef</w:t>
        </w:r>
        <w:proofErr w:type="spellEnd"/>
      </w:hyperlink>
      <w:r w:rsidR="002225DA">
        <w:rPr>
          <w:rFonts w:ascii="Times New Roman" w:hAnsi="Times New Roman" w:cs="Times New Roman"/>
          <w:spacing w:val="-3"/>
          <w:lang w:val="en-US"/>
        </w:rPr>
        <w:t xml:space="preserve"> </w:t>
      </w:r>
    </w:p>
    <w:p w14:paraId="0287BD59" w14:textId="77777777" w:rsidR="00F55387" w:rsidRPr="00073F5F" w:rsidRDefault="001A3992" w:rsidP="009F52D5">
      <w:pPr>
        <w:pStyle w:val="Heading1"/>
        <w:spacing w:before="0" w:after="120" w:line="240" w:lineRule="auto"/>
        <w:rPr>
          <w:rFonts w:ascii="Times New Roman" w:hAnsi="Times New Roman" w:cs="Times New Roman"/>
          <w:lang w:val="en-US"/>
        </w:rPr>
      </w:pPr>
      <w:r w:rsidRPr="00073F5F">
        <w:rPr>
          <w:rFonts w:ascii="Times New Roman" w:hAnsi="Times New Roman" w:cs="Times New Roman"/>
          <w:lang w:val="en-US"/>
        </w:rPr>
        <w:t>Date of first approval</w:t>
      </w:r>
    </w:p>
    <w:p w14:paraId="2C779F54" w14:textId="77777777" w:rsidR="002A6D3A" w:rsidRPr="00073F5F" w:rsidRDefault="002A6D3A" w:rsidP="002A6D3A">
      <w:pPr>
        <w:rPr>
          <w:rFonts w:ascii="Times New Roman" w:hAnsi="Times New Roman" w:cs="Times New Roman"/>
          <w:lang w:val="en-US"/>
        </w:rPr>
      </w:pPr>
      <w:r>
        <w:rPr>
          <w:rFonts w:ascii="Times New Roman" w:hAnsi="Times New Roman" w:cs="Times New Roman"/>
          <w:lang w:val="en-US"/>
        </w:rPr>
        <w:t>12 September 2018</w:t>
      </w:r>
    </w:p>
    <w:p w14:paraId="04282281" w14:textId="77777777" w:rsidR="001A3992" w:rsidRPr="00073F5F" w:rsidRDefault="001A3992" w:rsidP="00D94913">
      <w:pPr>
        <w:pStyle w:val="Heading1"/>
        <w:pageBreakBefore/>
        <w:spacing w:before="0" w:after="120" w:line="240" w:lineRule="auto"/>
        <w:ind w:left="431" w:hanging="431"/>
        <w:rPr>
          <w:rFonts w:ascii="Times New Roman" w:hAnsi="Times New Roman" w:cs="Times New Roman"/>
          <w:lang w:val="en-US"/>
        </w:rPr>
      </w:pPr>
      <w:bookmarkStart w:id="6" w:name="_GoBack"/>
      <w:bookmarkEnd w:id="6"/>
      <w:r w:rsidRPr="00073F5F">
        <w:rPr>
          <w:rFonts w:ascii="Times New Roman" w:hAnsi="Times New Roman" w:cs="Times New Roman"/>
          <w:lang w:val="en-US"/>
        </w:rPr>
        <w:lastRenderedPageBreak/>
        <w:t xml:space="preserve">Date of revision </w:t>
      </w:r>
    </w:p>
    <w:p w14:paraId="12C04FD6" w14:textId="77777777" w:rsidR="001A3992" w:rsidRPr="00073F5F" w:rsidRDefault="001A3992" w:rsidP="009F52D5">
      <w:pPr>
        <w:pStyle w:val="Heading2"/>
        <w:numPr>
          <w:ilvl w:val="0"/>
          <w:numId w:val="0"/>
        </w:numPr>
        <w:spacing w:before="0" w:after="120" w:line="240" w:lineRule="auto"/>
        <w:rPr>
          <w:rFonts w:ascii="Times New Roman" w:hAnsi="Times New Roman" w:cs="Times New Roman"/>
          <w:lang w:val="en-US"/>
        </w:rPr>
      </w:pPr>
      <w:r w:rsidRPr="00073F5F">
        <w:rPr>
          <w:rFonts w:ascii="Times New Roman" w:hAnsi="Times New Roman" w:cs="Times New Roman"/>
          <w:lang w:val="en-US"/>
        </w:rPr>
        <w:t>Summary table of changes</w:t>
      </w:r>
    </w:p>
    <w:tbl>
      <w:tblPr>
        <w:tblStyle w:val="LightGrid1"/>
        <w:tblW w:w="5000" w:type="pct"/>
        <w:tblCellMar>
          <w:top w:w="57" w:type="dxa"/>
          <w:bottom w:w="57" w:type="dxa"/>
        </w:tblCellMar>
        <w:tblLook w:val="06A0" w:firstRow="1" w:lastRow="0" w:firstColumn="1" w:lastColumn="0" w:noHBand="1" w:noVBand="1"/>
      </w:tblPr>
      <w:tblGrid>
        <w:gridCol w:w="1407"/>
        <w:gridCol w:w="7835"/>
      </w:tblGrid>
      <w:tr w:rsidR="00ED0937" w:rsidRPr="00F16A76" w14:paraId="73D6BD5D" w14:textId="77777777" w:rsidTr="00684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shd w:val="clear" w:color="auto" w:fill="F2F2F2" w:themeFill="background1" w:themeFillShade="F2"/>
            <w:vAlign w:val="center"/>
          </w:tcPr>
          <w:p w14:paraId="76C37538" w14:textId="77777777" w:rsidR="00ED0937" w:rsidRPr="00073F5F" w:rsidRDefault="00ED0937" w:rsidP="009F52D5">
            <w:pPr>
              <w:rPr>
                <w:rFonts w:ascii="Times New Roman" w:hAnsi="Times New Roman" w:cs="Times New Roman"/>
                <w:sz w:val="20"/>
                <w:lang w:val="en-US"/>
              </w:rPr>
            </w:pPr>
            <w:r w:rsidRPr="00073F5F">
              <w:rPr>
                <w:rFonts w:ascii="Times New Roman" w:hAnsi="Times New Roman" w:cs="Times New Roman"/>
                <w:sz w:val="20"/>
                <w:lang w:val="en-US"/>
              </w:rPr>
              <w:t>Section Changed</w:t>
            </w:r>
          </w:p>
        </w:tc>
        <w:tc>
          <w:tcPr>
            <w:tcW w:w="4239" w:type="pct"/>
            <w:shd w:val="clear" w:color="auto" w:fill="F2F2F2" w:themeFill="background1" w:themeFillShade="F2"/>
            <w:vAlign w:val="center"/>
          </w:tcPr>
          <w:p w14:paraId="4374D330" w14:textId="77777777" w:rsidR="00ED0937" w:rsidRPr="00073F5F" w:rsidRDefault="00ED0937" w:rsidP="009F52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073F5F">
              <w:rPr>
                <w:rFonts w:ascii="Times New Roman" w:hAnsi="Times New Roman" w:cs="Times New Roman"/>
                <w:sz w:val="20"/>
                <w:lang w:val="en-US"/>
              </w:rPr>
              <w:t>Summary of new information</w:t>
            </w:r>
          </w:p>
        </w:tc>
      </w:tr>
      <w:tr w:rsidR="00ED0937" w:rsidRPr="00F16A76" w14:paraId="014F4CBE" w14:textId="77777777" w:rsidTr="006841F7">
        <w:tc>
          <w:tcPr>
            <w:cnfStyle w:val="001000000000" w:firstRow="0" w:lastRow="0" w:firstColumn="1" w:lastColumn="0" w:oddVBand="0" w:evenVBand="0" w:oddHBand="0" w:evenHBand="0" w:firstRowFirstColumn="0" w:firstRowLastColumn="0" w:lastRowFirstColumn="0" w:lastRowLastColumn="0"/>
            <w:tcW w:w="761" w:type="pct"/>
            <w:vAlign w:val="center"/>
          </w:tcPr>
          <w:p w14:paraId="102B8C54" w14:textId="77777777" w:rsidR="00ED0937" w:rsidRPr="00F16A76" w:rsidRDefault="00ED0937" w:rsidP="009F52D5">
            <w:pPr>
              <w:rPr>
                <w:rFonts w:ascii="Times New Roman" w:hAnsi="Times New Roman" w:cs="Times New Roman"/>
                <w:lang w:val="en-US"/>
              </w:rPr>
            </w:pPr>
          </w:p>
        </w:tc>
        <w:tc>
          <w:tcPr>
            <w:tcW w:w="4239" w:type="pct"/>
            <w:vAlign w:val="center"/>
          </w:tcPr>
          <w:p w14:paraId="71B32996" w14:textId="77777777" w:rsidR="00ED0937" w:rsidRPr="00073F5F" w:rsidRDefault="00ED0937" w:rsidP="009F52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ED0937" w:rsidRPr="00F16A76" w14:paraId="3154C606" w14:textId="77777777" w:rsidTr="006841F7">
        <w:tc>
          <w:tcPr>
            <w:cnfStyle w:val="001000000000" w:firstRow="0" w:lastRow="0" w:firstColumn="1" w:lastColumn="0" w:oddVBand="0" w:evenVBand="0" w:oddHBand="0" w:evenHBand="0" w:firstRowFirstColumn="0" w:firstRowLastColumn="0" w:lastRowFirstColumn="0" w:lastRowLastColumn="0"/>
            <w:tcW w:w="761" w:type="pct"/>
            <w:vAlign w:val="center"/>
          </w:tcPr>
          <w:p w14:paraId="5A3FC234" w14:textId="77777777" w:rsidR="00ED0937" w:rsidRPr="00F16A76" w:rsidRDefault="00ED0937" w:rsidP="009F52D5">
            <w:pPr>
              <w:rPr>
                <w:rFonts w:ascii="Times New Roman" w:hAnsi="Times New Roman" w:cs="Times New Roman"/>
                <w:lang w:val="en-US"/>
              </w:rPr>
            </w:pPr>
          </w:p>
        </w:tc>
        <w:tc>
          <w:tcPr>
            <w:tcW w:w="4239" w:type="pct"/>
            <w:vAlign w:val="center"/>
          </w:tcPr>
          <w:p w14:paraId="5B0A3309" w14:textId="77777777" w:rsidR="00ED0937" w:rsidRPr="00073F5F" w:rsidRDefault="00ED0937" w:rsidP="009F52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ED0937" w:rsidRPr="00F16A76" w14:paraId="3FB48E63" w14:textId="77777777" w:rsidTr="006841F7">
        <w:tc>
          <w:tcPr>
            <w:cnfStyle w:val="001000000000" w:firstRow="0" w:lastRow="0" w:firstColumn="1" w:lastColumn="0" w:oddVBand="0" w:evenVBand="0" w:oddHBand="0" w:evenHBand="0" w:firstRowFirstColumn="0" w:firstRowLastColumn="0" w:lastRowFirstColumn="0" w:lastRowLastColumn="0"/>
            <w:tcW w:w="761" w:type="pct"/>
            <w:vAlign w:val="center"/>
          </w:tcPr>
          <w:p w14:paraId="1C3DA149" w14:textId="77777777" w:rsidR="00ED0937" w:rsidRPr="00F16A76" w:rsidRDefault="00ED0937" w:rsidP="009F52D5">
            <w:pPr>
              <w:rPr>
                <w:rFonts w:ascii="Times New Roman" w:hAnsi="Times New Roman" w:cs="Times New Roman"/>
                <w:lang w:val="en-US"/>
              </w:rPr>
            </w:pPr>
          </w:p>
        </w:tc>
        <w:tc>
          <w:tcPr>
            <w:tcW w:w="4239" w:type="pct"/>
            <w:vAlign w:val="center"/>
          </w:tcPr>
          <w:p w14:paraId="03611D7A" w14:textId="77777777" w:rsidR="00ED0937" w:rsidRPr="00073F5F" w:rsidRDefault="00ED0937" w:rsidP="009F52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0CC7473B" w14:textId="77777777" w:rsidR="001A3992" w:rsidRPr="00F16A76" w:rsidRDefault="001A3992" w:rsidP="009F52D5">
      <w:pPr>
        <w:spacing w:after="120" w:line="240" w:lineRule="auto"/>
        <w:rPr>
          <w:rFonts w:ascii="Times New Roman" w:hAnsi="Times New Roman" w:cs="Times New Roman"/>
          <w:lang w:val="en-US"/>
        </w:rPr>
      </w:pPr>
    </w:p>
    <w:p w14:paraId="54045F0D" w14:textId="77777777" w:rsidR="00960CD5" w:rsidRPr="00073F5F" w:rsidRDefault="00960CD5" w:rsidP="009F52D5">
      <w:pPr>
        <w:spacing w:after="120" w:line="240" w:lineRule="auto"/>
        <w:rPr>
          <w:rFonts w:ascii="Times New Roman" w:hAnsi="Times New Roman" w:cs="Times New Roman"/>
        </w:rPr>
      </w:pPr>
    </w:p>
    <w:sectPr w:rsidR="00960CD5" w:rsidRPr="00073F5F" w:rsidSect="006246B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0D740" w14:textId="77777777" w:rsidR="00A01C19" w:rsidRDefault="00A01C19" w:rsidP="001A3992">
      <w:pPr>
        <w:spacing w:after="0" w:line="240" w:lineRule="auto"/>
      </w:pPr>
      <w:r>
        <w:separator/>
      </w:r>
    </w:p>
  </w:endnote>
  <w:endnote w:type="continuationSeparator" w:id="0">
    <w:p w14:paraId="2833AF08" w14:textId="77777777" w:rsidR="00A01C19" w:rsidRDefault="00A01C19" w:rsidP="001A3992">
      <w:pPr>
        <w:spacing w:after="0" w:line="240" w:lineRule="auto"/>
      </w:pPr>
      <w:r>
        <w:continuationSeparator/>
      </w:r>
    </w:p>
  </w:endnote>
  <w:endnote w:type="continuationNotice" w:id="1">
    <w:p w14:paraId="4BA89887" w14:textId="77777777" w:rsidR="00A01C19" w:rsidRDefault="00A01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noProof/>
        <w:sz w:val="20"/>
      </w:rPr>
    </w:sdtEndPr>
    <w:sdtContent>
      <w:p w14:paraId="0D9DD128" w14:textId="77777777" w:rsidR="00DE15A0" w:rsidRPr="00B8074A" w:rsidRDefault="00B43A53" w:rsidP="00ED08A7">
        <w:pPr>
          <w:pStyle w:val="Footer"/>
          <w:jc w:val="right"/>
          <w:rPr>
            <w:sz w:val="20"/>
          </w:rPr>
        </w:pPr>
        <w:r w:rsidRPr="00B8074A">
          <w:rPr>
            <w:sz w:val="20"/>
          </w:rPr>
          <w:fldChar w:fldCharType="begin"/>
        </w:r>
        <w:r w:rsidR="00DE15A0" w:rsidRPr="00B8074A">
          <w:rPr>
            <w:sz w:val="20"/>
          </w:rPr>
          <w:instrText xml:space="preserve"> PAGE   \* MERGEFORMAT </w:instrText>
        </w:r>
        <w:r w:rsidRPr="00B8074A">
          <w:rPr>
            <w:sz w:val="20"/>
          </w:rPr>
          <w:fldChar w:fldCharType="separate"/>
        </w:r>
        <w:r w:rsidR="00D94913">
          <w:rPr>
            <w:noProof/>
            <w:sz w:val="20"/>
          </w:rPr>
          <w:t>14</w:t>
        </w:r>
        <w:r w:rsidRPr="00B8074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BF4FA" w14:textId="77777777" w:rsidR="00A01C19" w:rsidRDefault="00A01C19" w:rsidP="001A3992">
      <w:pPr>
        <w:spacing w:after="0" w:line="240" w:lineRule="auto"/>
      </w:pPr>
      <w:r>
        <w:separator/>
      </w:r>
    </w:p>
  </w:footnote>
  <w:footnote w:type="continuationSeparator" w:id="0">
    <w:p w14:paraId="31DC9431" w14:textId="77777777" w:rsidR="00A01C19" w:rsidRDefault="00A01C19" w:rsidP="001A3992">
      <w:pPr>
        <w:spacing w:after="0" w:line="240" w:lineRule="auto"/>
      </w:pPr>
      <w:r>
        <w:continuationSeparator/>
      </w:r>
    </w:p>
  </w:footnote>
  <w:footnote w:type="continuationNotice" w:id="1">
    <w:p w14:paraId="57C31976" w14:textId="77777777" w:rsidR="00A01C19" w:rsidRDefault="00A01C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94913" w:rsidRPr="002E7F61" w14:paraId="77A14588" w14:textId="77777777" w:rsidTr="000B512D">
      <w:trPr>
        <w:trHeight w:val="590"/>
      </w:trPr>
      <w:tc>
        <w:tcPr>
          <w:tcW w:w="8720" w:type="dxa"/>
          <w:shd w:val="clear" w:color="auto" w:fill="E4F2E0"/>
        </w:tcPr>
        <w:p w14:paraId="5C139E00" w14:textId="77777777" w:rsidR="00D94913" w:rsidRPr="002E7F61" w:rsidRDefault="00D94913" w:rsidP="000B512D">
          <w:pPr>
            <w:pStyle w:val="Footer"/>
            <w:rPr>
              <w:b/>
              <w:sz w:val="18"/>
              <w:szCs w:val="18"/>
            </w:rPr>
          </w:pPr>
          <w:r w:rsidRPr="002E7F61">
            <w:rPr>
              <w:b/>
              <w:sz w:val="18"/>
              <w:szCs w:val="18"/>
            </w:rPr>
            <w:t xml:space="preserve">Attachment 1: Product information </w:t>
          </w:r>
          <w:r w:rsidRPr="00924A76">
            <w:rPr>
              <w:b/>
              <w:sz w:val="18"/>
              <w:szCs w:val="18"/>
            </w:rPr>
            <w:t xml:space="preserve">AusPAR </w:t>
          </w:r>
          <w:proofErr w:type="spellStart"/>
          <w:r w:rsidRPr="00924A76">
            <w:rPr>
              <w:b/>
              <w:sz w:val="18"/>
              <w:szCs w:val="18"/>
            </w:rPr>
            <w:t>Kodatef</w:t>
          </w:r>
          <w:proofErr w:type="spellEnd"/>
          <w:r w:rsidRPr="00924A76">
            <w:rPr>
              <w:b/>
              <w:sz w:val="18"/>
              <w:szCs w:val="18"/>
            </w:rPr>
            <w:t xml:space="preserve"> </w:t>
          </w:r>
          <w:proofErr w:type="spellStart"/>
          <w:r w:rsidRPr="00924A76">
            <w:rPr>
              <w:b/>
              <w:sz w:val="18"/>
              <w:szCs w:val="18"/>
            </w:rPr>
            <w:t>Tafenoquine</w:t>
          </w:r>
          <w:proofErr w:type="spellEnd"/>
          <w:r w:rsidRPr="00924A76">
            <w:rPr>
              <w:b/>
              <w:sz w:val="18"/>
              <w:szCs w:val="18"/>
            </w:rPr>
            <w:t xml:space="preserve"> </w:t>
          </w:r>
          <w:proofErr w:type="spellStart"/>
          <w:r w:rsidRPr="00924A76">
            <w:rPr>
              <w:b/>
              <w:sz w:val="18"/>
              <w:szCs w:val="18"/>
            </w:rPr>
            <w:t>Biocelect</w:t>
          </w:r>
          <w:proofErr w:type="spellEnd"/>
          <w:r w:rsidRPr="00924A76">
            <w:rPr>
              <w:b/>
              <w:sz w:val="18"/>
              <w:szCs w:val="18"/>
            </w:rPr>
            <w:t xml:space="preserve"> Pty Ltd PM-2017-02418-1-2</w:t>
          </w:r>
          <w:r>
            <w:rPr>
              <w:b/>
              <w:sz w:val="18"/>
              <w:szCs w:val="18"/>
            </w:rPr>
            <w:t xml:space="preserve"> </w:t>
          </w:r>
          <w:r w:rsidRPr="00924A76">
            <w:rPr>
              <w:b/>
              <w:sz w:val="18"/>
              <w:szCs w:val="18"/>
            </w:rPr>
            <w:t>Final 8 April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4C720409" w14:textId="77777777" w:rsidR="00D94913" w:rsidRDefault="00D94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E6E90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AB88D8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3BED1B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EEE7DB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44E501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158F5E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BA7D5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CE82CA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86A9378"/>
    <w:lvl w:ilvl="0">
      <w:start w:val="1"/>
      <w:numFmt w:val="decimal"/>
      <w:pStyle w:val="ListNumber"/>
      <w:lvlText w:val="%1."/>
      <w:lvlJc w:val="left"/>
      <w:pPr>
        <w:tabs>
          <w:tab w:val="num" w:pos="360"/>
        </w:tabs>
        <w:ind w:left="360" w:hanging="360"/>
      </w:pPr>
    </w:lvl>
  </w:abstractNum>
  <w:abstractNum w:abstractNumId="9">
    <w:nsid w:val="00CA003A"/>
    <w:multiLevelType w:val="hybridMultilevel"/>
    <w:tmpl w:val="DC8683D4"/>
    <w:lvl w:ilvl="0" w:tplc="5372A454">
      <w:start w:val="7"/>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2E95262"/>
    <w:multiLevelType w:val="hybridMultilevel"/>
    <w:tmpl w:val="5E323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087E99"/>
    <w:multiLevelType w:val="hybridMultilevel"/>
    <w:tmpl w:val="61E610F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3">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2205D6"/>
    <w:multiLevelType w:val="hybridMultilevel"/>
    <w:tmpl w:val="AF725992"/>
    <w:lvl w:ilvl="0" w:tplc="53C406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9C17A8"/>
    <w:multiLevelType w:val="hybridMultilevel"/>
    <w:tmpl w:val="513E2BCA"/>
    <w:lvl w:ilvl="0" w:tplc="308E2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D6556A7"/>
    <w:multiLevelType w:val="hybridMultilevel"/>
    <w:tmpl w:val="37566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0"/>
  </w:num>
  <w:num w:numId="4">
    <w:abstractNumId w:val="17"/>
  </w:num>
  <w:num w:numId="5">
    <w:abstractNumId w:val="24"/>
  </w:num>
  <w:num w:numId="6">
    <w:abstractNumId w:val="21"/>
  </w:num>
  <w:num w:numId="7">
    <w:abstractNumId w:val="19"/>
  </w:num>
  <w:num w:numId="8">
    <w:abstractNumId w:val="22"/>
  </w:num>
  <w:num w:numId="9">
    <w:abstractNumId w:val="14"/>
  </w:num>
  <w:num w:numId="10">
    <w:abstractNumId w:val="18"/>
  </w:num>
  <w:num w:numId="11">
    <w:abstractNumId w:val="11"/>
  </w:num>
  <w:num w:numId="12">
    <w:abstractNumId w:val="12"/>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5"/>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01"/>
    <w:rsid w:val="00007730"/>
    <w:rsid w:val="00023FAF"/>
    <w:rsid w:val="000261DB"/>
    <w:rsid w:val="00044AE3"/>
    <w:rsid w:val="00045435"/>
    <w:rsid w:val="00045A9A"/>
    <w:rsid w:val="00057338"/>
    <w:rsid w:val="000658EC"/>
    <w:rsid w:val="00073F5F"/>
    <w:rsid w:val="00081835"/>
    <w:rsid w:val="000839C7"/>
    <w:rsid w:val="000948AC"/>
    <w:rsid w:val="00095312"/>
    <w:rsid w:val="000A62CF"/>
    <w:rsid w:val="000B313B"/>
    <w:rsid w:val="000B714F"/>
    <w:rsid w:val="000C089A"/>
    <w:rsid w:val="000C603E"/>
    <w:rsid w:val="000C6327"/>
    <w:rsid w:val="000D4B99"/>
    <w:rsid w:val="000D54A1"/>
    <w:rsid w:val="000E38C2"/>
    <w:rsid w:val="000E3B21"/>
    <w:rsid w:val="000F76B7"/>
    <w:rsid w:val="001023A8"/>
    <w:rsid w:val="0010244A"/>
    <w:rsid w:val="00104EA6"/>
    <w:rsid w:val="00112EB0"/>
    <w:rsid w:val="001171B0"/>
    <w:rsid w:val="00117F12"/>
    <w:rsid w:val="00125BBC"/>
    <w:rsid w:val="00134494"/>
    <w:rsid w:val="00143ACF"/>
    <w:rsid w:val="00146670"/>
    <w:rsid w:val="00146EA3"/>
    <w:rsid w:val="0016416E"/>
    <w:rsid w:val="001722B1"/>
    <w:rsid w:val="00181E98"/>
    <w:rsid w:val="001834D3"/>
    <w:rsid w:val="00184DDC"/>
    <w:rsid w:val="00187A93"/>
    <w:rsid w:val="001A3992"/>
    <w:rsid w:val="001A4696"/>
    <w:rsid w:val="001B2058"/>
    <w:rsid w:val="001D0FDF"/>
    <w:rsid w:val="001D7CF8"/>
    <w:rsid w:val="001E1B77"/>
    <w:rsid w:val="001E47D8"/>
    <w:rsid w:val="001F1E85"/>
    <w:rsid w:val="00210421"/>
    <w:rsid w:val="002173F2"/>
    <w:rsid w:val="00217BC3"/>
    <w:rsid w:val="002225DA"/>
    <w:rsid w:val="0024094B"/>
    <w:rsid w:val="002516B5"/>
    <w:rsid w:val="002636E7"/>
    <w:rsid w:val="002674EE"/>
    <w:rsid w:val="002702D5"/>
    <w:rsid w:val="002713DB"/>
    <w:rsid w:val="00286FC0"/>
    <w:rsid w:val="002912ED"/>
    <w:rsid w:val="00291B13"/>
    <w:rsid w:val="00292D0F"/>
    <w:rsid w:val="00294660"/>
    <w:rsid w:val="002A3C9F"/>
    <w:rsid w:val="002A6D3A"/>
    <w:rsid w:val="002D0BC5"/>
    <w:rsid w:val="002D7C1D"/>
    <w:rsid w:val="002E1806"/>
    <w:rsid w:val="002E277D"/>
    <w:rsid w:val="002E5DB7"/>
    <w:rsid w:val="002E6C22"/>
    <w:rsid w:val="002F0D5A"/>
    <w:rsid w:val="0030391F"/>
    <w:rsid w:val="003125B4"/>
    <w:rsid w:val="003241EA"/>
    <w:rsid w:val="0032439E"/>
    <w:rsid w:val="00335D4C"/>
    <w:rsid w:val="00342B0D"/>
    <w:rsid w:val="00352596"/>
    <w:rsid w:val="003658FE"/>
    <w:rsid w:val="00366F7C"/>
    <w:rsid w:val="00373140"/>
    <w:rsid w:val="00374DA6"/>
    <w:rsid w:val="003807E9"/>
    <w:rsid w:val="0038666A"/>
    <w:rsid w:val="00391144"/>
    <w:rsid w:val="003923F9"/>
    <w:rsid w:val="003A4BDC"/>
    <w:rsid w:val="003C78D5"/>
    <w:rsid w:val="003D1D8C"/>
    <w:rsid w:val="003F317B"/>
    <w:rsid w:val="004032BD"/>
    <w:rsid w:val="004056AD"/>
    <w:rsid w:val="004121B0"/>
    <w:rsid w:val="00426C60"/>
    <w:rsid w:val="00431ACD"/>
    <w:rsid w:val="004416D9"/>
    <w:rsid w:val="00446536"/>
    <w:rsid w:val="00453C98"/>
    <w:rsid w:val="0045591B"/>
    <w:rsid w:val="00471AE1"/>
    <w:rsid w:val="004749BC"/>
    <w:rsid w:val="004828B6"/>
    <w:rsid w:val="004828CB"/>
    <w:rsid w:val="004842CB"/>
    <w:rsid w:val="00497C85"/>
    <w:rsid w:val="004B1ED4"/>
    <w:rsid w:val="004B3C0D"/>
    <w:rsid w:val="004D2EC5"/>
    <w:rsid w:val="004E416E"/>
    <w:rsid w:val="004F07B7"/>
    <w:rsid w:val="004F2639"/>
    <w:rsid w:val="004F77F9"/>
    <w:rsid w:val="00500417"/>
    <w:rsid w:val="00512BA0"/>
    <w:rsid w:val="00515263"/>
    <w:rsid w:val="00533ADD"/>
    <w:rsid w:val="005344DA"/>
    <w:rsid w:val="005408B5"/>
    <w:rsid w:val="00553AC3"/>
    <w:rsid w:val="0055487E"/>
    <w:rsid w:val="00561EA7"/>
    <w:rsid w:val="005750C7"/>
    <w:rsid w:val="00577FC2"/>
    <w:rsid w:val="0058609B"/>
    <w:rsid w:val="00595549"/>
    <w:rsid w:val="005A6910"/>
    <w:rsid w:val="005B1A90"/>
    <w:rsid w:val="005D3534"/>
    <w:rsid w:val="005F4A73"/>
    <w:rsid w:val="005F7D5B"/>
    <w:rsid w:val="00601D4E"/>
    <w:rsid w:val="00602901"/>
    <w:rsid w:val="0061165B"/>
    <w:rsid w:val="00612189"/>
    <w:rsid w:val="006246B2"/>
    <w:rsid w:val="00636495"/>
    <w:rsid w:val="00637451"/>
    <w:rsid w:val="00647ED9"/>
    <w:rsid w:val="00651AC0"/>
    <w:rsid w:val="006841F7"/>
    <w:rsid w:val="00686DE4"/>
    <w:rsid w:val="0069092D"/>
    <w:rsid w:val="00694071"/>
    <w:rsid w:val="006943EF"/>
    <w:rsid w:val="006956B4"/>
    <w:rsid w:val="006C604C"/>
    <w:rsid w:val="006E4338"/>
    <w:rsid w:val="006F7D4C"/>
    <w:rsid w:val="00705FCF"/>
    <w:rsid w:val="00721198"/>
    <w:rsid w:val="0074172D"/>
    <w:rsid w:val="00744502"/>
    <w:rsid w:val="00746018"/>
    <w:rsid w:val="00747FF9"/>
    <w:rsid w:val="00753647"/>
    <w:rsid w:val="00760EB4"/>
    <w:rsid w:val="007615AF"/>
    <w:rsid w:val="00776FB1"/>
    <w:rsid w:val="007830DF"/>
    <w:rsid w:val="00793D1B"/>
    <w:rsid w:val="007A360C"/>
    <w:rsid w:val="007A64B5"/>
    <w:rsid w:val="007B43A0"/>
    <w:rsid w:val="007C32A8"/>
    <w:rsid w:val="007C6403"/>
    <w:rsid w:val="007D354B"/>
    <w:rsid w:val="007D5351"/>
    <w:rsid w:val="007E693C"/>
    <w:rsid w:val="007F092B"/>
    <w:rsid w:val="007F0E4E"/>
    <w:rsid w:val="007F1095"/>
    <w:rsid w:val="007F280F"/>
    <w:rsid w:val="007F6BAC"/>
    <w:rsid w:val="00800884"/>
    <w:rsid w:val="008038EA"/>
    <w:rsid w:val="00810C87"/>
    <w:rsid w:val="00813751"/>
    <w:rsid w:val="00820C5C"/>
    <w:rsid w:val="00821B4F"/>
    <w:rsid w:val="008378B8"/>
    <w:rsid w:val="008425D8"/>
    <w:rsid w:val="008457FB"/>
    <w:rsid w:val="008462CC"/>
    <w:rsid w:val="00846AF5"/>
    <w:rsid w:val="008478F8"/>
    <w:rsid w:val="00857109"/>
    <w:rsid w:val="008607B1"/>
    <w:rsid w:val="0087585C"/>
    <w:rsid w:val="008823FE"/>
    <w:rsid w:val="00890D14"/>
    <w:rsid w:val="008A01F4"/>
    <w:rsid w:val="008A5D06"/>
    <w:rsid w:val="008B0DBA"/>
    <w:rsid w:val="008C37FC"/>
    <w:rsid w:val="008C7A7F"/>
    <w:rsid w:val="008D7064"/>
    <w:rsid w:val="008E38E7"/>
    <w:rsid w:val="008E7914"/>
    <w:rsid w:val="00903318"/>
    <w:rsid w:val="00903A3E"/>
    <w:rsid w:val="0090610F"/>
    <w:rsid w:val="009116B3"/>
    <w:rsid w:val="00913334"/>
    <w:rsid w:val="00913E0E"/>
    <w:rsid w:val="0092366F"/>
    <w:rsid w:val="00930863"/>
    <w:rsid w:val="00936FE4"/>
    <w:rsid w:val="00937554"/>
    <w:rsid w:val="00953126"/>
    <w:rsid w:val="0095650C"/>
    <w:rsid w:val="00960CD5"/>
    <w:rsid w:val="00972236"/>
    <w:rsid w:val="00981321"/>
    <w:rsid w:val="00993016"/>
    <w:rsid w:val="00994926"/>
    <w:rsid w:val="009A1424"/>
    <w:rsid w:val="009A1553"/>
    <w:rsid w:val="009A2278"/>
    <w:rsid w:val="009B0CB0"/>
    <w:rsid w:val="009B13FB"/>
    <w:rsid w:val="009C552C"/>
    <w:rsid w:val="009D48A2"/>
    <w:rsid w:val="009F52D5"/>
    <w:rsid w:val="00A01C19"/>
    <w:rsid w:val="00A01E2C"/>
    <w:rsid w:val="00A05CB4"/>
    <w:rsid w:val="00A24DA2"/>
    <w:rsid w:val="00A34C77"/>
    <w:rsid w:val="00A3704B"/>
    <w:rsid w:val="00A43D32"/>
    <w:rsid w:val="00A46655"/>
    <w:rsid w:val="00A477FC"/>
    <w:rsid w:val="00A70B24"/>
    <w:rsid w:val="00A75986"/>
    <w:rsid w:val="00AA05C7"/>
    <w:rsid w:val="00AA1B6C"/>
    <w:rsid w:val="00AA4BCC"/>
    <w:rsid w:val="00AA6956"/>
    <w:rsid w:val="00AB5C6F"/>
    <w:rsid w:val="00AD0694"/>
    <w:rsid w:val="00AD4867"/>
    <w:rsid w:val="00AE19FC"/>
    <w:rsid w:val="00AE6F85"/>
    <w:rsid w:val="00B032B2"/>
    <w:rsid w:val="00B13244"/>
    <w:rsid w:val="00B20AE6"/>
    <w:rsid w:val="00B2221D"/>
    <w:rsid w:val="00B26654"/>
    <w:rsid w:val="00B2682A"/>
    <w:rsid w:val="00B3191F"/>
    <w:rsid w:val="00B43A53"/>
    <w:rsid w:val="00B52CBF"/>
    <w:rsid w:val="00B5330B"/>
    <w:rsid w:val="00B5446D"/>
    <w:rsid w:val="00B578B2"/>
    <w:rsid w:val="00B6263B"/>
    <w:rsid w:val="00B64113"/>
    <w:rsid w:val="00B70AD9"/>
    <w:rsid w:val="00B802E9"/>
    <w:rsid w:val="00B80B3E"/>
    <w:rsid w:val="00BA355B"/>
    <w:rsid w:val="00BA6760"/>
    <w:rsid w:val="00BB0C00"/>
    <w:rsid w:val="00BB6F71"/>
    <w:rsid w:val="00BC7A40"/>
    <w:rsid w:val="00BD1C45"/>
    <w:rsid w:val="00BD4D87"/>
    <w:rsid w:val="00BE1518"/>
    <w:rsid w:val="00BE7701"/>
    <w:rsid w:val="00BF09D6"/>
    <w:rsid w:val="00BF246A"/>
    <w:rsid w:val="00C05DF7"/>
    <w:rsid w:val="00C12C39"/>
    <w:rsid w:val="00C17D05"/>
    <w:rsid w:val="00C34049"/>
    <w:rsid w:val="00C44272"/>
    <w:rsid w:val="00C523AD"/>
    <w:rsid w:val="00C52486"/>
    <w:rsid w:val="00C549FD"/>
    <w:rsid w:val="00C6428E"/>
    <w:rsid w:val="00C749C8"/>
    <w:rsid w:val="00C76F0A"/>
    <w:rsid w:val="00C81692"/>
    <w:rsid w:val="00C81E69"/>
    <w:rsid w:val="00C82950"/>
    <w:rsid w:val="00CA45E0"/>
    <w:rsid w:val="00CA5B60"/>
    <w:rsid w:val="00CA6CCF"/>
    <w:rsid w:val="00CC383B"/>
    <w:rsid w:val="00CE1FAA"/>
    <w:rsid w:val="00D005CB"/>
    <w:rsid w:val="00D0362A"/>
    <w:rsid w:val="00D055B4"/>
    <w:rsid w:val="00D22981"/>
    <w:rsid w:val="00D30E91"/>
    <w:rsid w:val="00D335C5"/>
    <w:rsid w:val="00D35AA7"/>
    <w:rsid w:val="00D42149"/>
    <w:rsid w:val="00D44BA0"/>
    <w:rsid w:val="00D4619C"/>
    <w:rsid w:val="00D47E3A"/>
    <w:rsid w:val="00D7008D"/>
    <w:rsid w:val="00D712D5"/>
    <w:rsid w:val="00D8514D"/>
    <w:rsid w:val="00D93EA0"/>
    <w:rsid w:val="00D94913"/>
    <w:rsid w:val="00D952DB"/>
    <w:rsid w:val="00DA720D"/>
    <w:rsid w:val="00DB49B2"/>
    <w:rsid w:val="00DC3609"/>
    <w:rsid w:val="00DE15A0"/>
    <w:rsid w:val="00DE2335"/>
    <w:rsid w:val="00DF5E99"/>
    <w:rsid w:val="00E031F9"/>
    <w:rsid w:val="00E06735"/>
    <w:rsid w:val="00E11AA0"/>
    <w:rsid w:val="00E11D40"/>
    <w:rsid w:val="00E12962"/>
    <w:rsid w:val="00E30275"/>
    <w:rsid w:val="00E31CCB"/>
    <w:rsid w:val="00E454A3"/>
    <w:rsid w:val="00E45CEF"/>
    <w:rsid w:val="00E66969"/>
    <w:rsid w:val="00E70A8B"/>
    <w:rsid w:val="00E74A56"/>
    <w:rsid w:val="00E8176D"/>
    <w:rsid w:val="00E829DD"/>
    <w:rsid w:val="00E832FF"/>
    <w:rsid w:val="00E844F5"/>
    <w:rsid w:val="00E869C9"/>
    <w:rsid w:val="00E92687"/>
    <w:rsid w:val="00E94138"/>
    <w:rsid w:val="00E95B01"/>
    <w:rsid w:val="00EA2368"/>
    <w:rsid w:val="00EA49D6"/>
    <w:rsid w:val="00EA676D"/>
    <w:rsid w:val="00EB24AC"/>
    <w:rsid w:val="00EC1A1B"/>
    <w:rsid w:val="00EC2B15"/>
    <w:rsid w:val="00EC4A65"/>
    <w:rsid w:val="00ED027F"/>
    <w:rsid w:val="00ED08A7"/>
    <w:rsid w:val="00ED0937"/>
    <w:rsid w:val="00ED0D76"/>
    <w:rsid w:val="00EE1C1C"/>
    <w:rsid w:val="00EE2059"/>
    <w:rsid w:val="00EF0310"/>
    <w:rsid w:val="00EF17CA"/>
    <w:rsid w:val="00EF26D9"/>
    <w:rsid w:val="00EF6A31"/>
    <w:rsid w:val="00F01B03"/>
    <w:rsid w:val="00F16A76"/>
    <w:rsid w:val="00F27B8D"/>
    <w:rsid w:val="00F4043E"/>
    <w:rsid w:val="00F55387"/>
    <w:rsid w:val="00F6546C"/>
    <w:rsid w:val="00F70242"/>
    <w:rsid w:val="00F73BB5"/>
    <w:rsid w:val="00F80554"/>
    <w:rsid w:val="00F84193"/>
    <w:rsid w:val="00F900C1"/>
    <w:rsid w:val="00F93C2A"/>
    <w:rsid w:val="00F96097"/>
    <w:rsid w:val="00FB4809"/>
    <w:rsid w:val="00FB4CC0"/>
    <w:rsid w:val="00FC5768"/>
    <w:rsid w:val="00FC77E7"/>
    <w:rsid w:val="00FD603B"/>
    <w:rsid w:val="00FE67D2"/>
    <w:rsid w:val="00FF28D0"/>
    <w:rsid w:val="00FF295B"/>
    <w:rsid w:val="00FF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D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B2"/>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customStyle="1" w:styleId="LightGrid1">
    <w:name w:val="Light Grid1"/>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BodyText">
    <w:name w:val="Body Text"/>
    <w:basedOn w:val="Normal"/>
    <w:link w:val="BodyTextChar"/>
    <w:uiPriority w:val="99"/>
    <w:rsid w:val="00B6263B"/>
    <w:pPr>
      <w:autoSpaceDE w:val="0"/>
      <w:autoSpaceDN w:val="0"/>
      <w:adjustRightInd w:val="0"/>
      <w:spacing w:before="120" w:after="0" w:line="240" w:lineRule="auto"/>
      <w:ind w:left="111"/>
    </w:pPr>
    <w:rPr>
      <w:rFonts w:ascii="Times New Roman" w:eastAsia="Calibri" w:hAnsi="Times New Roman" w:cs="Times New Roman"/>
      <w:sz w:val="24"/>
      <w:szCs w:val="24"/>
      <w:lang w:val="en-GB" w:eastAsia="en-GB"/>
    </w:rPr>
  </w:style>
  <w:style w:type="character" w:customStyle="1" w:styleId="BodyTextChar">
    <w:name w:val="Body Text Char"/>
    <w:basedOn w:val="DefaultParagraphFont"/>
    <w:link w:val="BodyText"/>
    <w:uiPriority w:val="99"/>
    <w:rsid w:val="00B6263B"/>
    <w:rPr>
      <w:rFonts w:ascii="Times New Roman" w:eastAsia="Calibri" w:hAnsi="Times New Roman" w:cs="Times New Roman"/>
      <w:sz w:val="24"/>
      <w:szCs w:val="24"/>
      <w:lang w:val="en-GB" w:eastAsia="en-GB"/>
    </w:rPr>
  </w:style>
  <w:style w:type="table" w:styleId="TableGrid">
    <w:name w:val="Table Grid"/>
    <w:basedOn w:val="TableNormal"/>
    <w:uiPriority w:val="59"/>
    <w:rsid w:val="007F092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for figure"/>
    <w:next w:val="Normal"/>
    <w:qFormat/>
    <w:rsid w:val="007F092B"/>
    <w:pPr>
      <w:keepNext/>
      <w:spacing w:before="120" w:after="120" w:line="280" w:lineRule="atLeast"/>
      <w:ind w:left="1440" w:hanging="1440"/>
    </w:pPr>
    <w:rPr>
      <w:rFonts w:ascii="Times New Roman" w:eastAsia="Times New Roman" w:hAnsi="Times New Roman" w:cs="Times New Roman"/>
      <w:b/>
      <w:bCs/>
      <w:sz w:val="24"/>
      <w:szCs w:val="24"/>
      <w:lang w:val="en-US"/>
    </w:rPr>
  </w:style>
  <w:style w:type="paragraph" w:customStyle="1" w:styleId="C-TableText">
    <w:name w:val="C-Table Text"/>
    <w:link w:val="C-TableTextChar"/>
    <w:uiPriority w:val="99"/>
    <w:rsid w:val="00FC77E7"/>
    <w:pPr>
      <w:spacing w:before="60" w:after="60" w:line="240" w:lineRule="auto"/>
    </w:pPr>
    <w:rPr>
      <w:rFonts w:ascii="Times New Roman" w:eastAsia="Calibri" w:hAnsi="Times New Roman" w:cs="Times New Roman"/>
      <w:lang w:val="en-US"/>
    </w:rPr>
  </w:style>
  <w:style w:type="character" w:customStyle="1" w:styleId="C-TableTextChar">
    <w:name w:val="C-Table Text Char"/>
    <w:link w:val="C-TableText"/>
    <w:uiPriority w:val="99"/>
    <w:locked/>
    <w:rsid w:val="00FC77E7"/>
    <w:rPr>
      <w:rFonts w:ascii="Times New Roman" w:eastAsia="Calibri" w:hAnsi="Times New Roman" w:cs="Times New Roman"/>
      <w:lang w:val="en-US"/>
    </w:rPr>
  </w:style>
  <w:style w:type="paragraph" w:customStyle="1" w:styleId="C-TableHeader">
    <w:name w:val="C-Table Header"/>
    <w:next w:val="C-TableText"/>
    <w:link w:val="C-TableHeaderChar"/>
    <w:uiPriority w:val="99"/>
    <w:rsid w:val="00FC77E7"/>
    <w:pPr>
      <w:keepNext/>
      <w:spacing w:before="60" w:after="60" w:line="240" w:lineRule="auto"/>
    </w:pPr>
    <w:rPr>
      <w:rFonts w:ascii="Times New Roman" w:eastAsia="Times New Roman" w:hAnsi="Times New Roman" w:cs="Times New Roman"/>
      <w:b/>
      <w:sz w:val="20"/>
      <w:szCs w:val="20"/>
      <w:lang w:val="en-US"/>
    </w:rPr>
  </w:style>
  <w:style w:type="character" w:customStyle="1" w:styleId="C-TableHeaderChar">
    <w:name w:val="C-Table Header Char"/>
    <w:basedOn w:val="DefaultParagraphFont"/>
    <w:link w:val="C-TableHeader"/>
    <w:uiPriority w:val="99"/>
    <w:rsid w:val="00FC77E7"/>
    <w:rPr>
      <w:rFonts w:ascii="Times New Roman" w:eastAsia="Times New Roman" w:hAnsi="Times New Roman" w:cs="Times New Roman"/>
      <w:b/>
      <w:sz w:val="20"/>
      <w:szCs w:val="20"/>
      <w:lang w:val="en-US"/>
    </w:rPr>
  </w:style>
  <w:style w:type="paragraph" w:customStyle="1" w:styleId="C-TableFootnote">
    <w:name w:val="C-Table Footnote"/>
    <w:next w:val="Normal"/>
    <w:uiPriority w:val="99"/>
    <w:rsid w:val="00FF31AB"/>
    <w:pPr>
      <w:tabs>
        <w:tab w:val="left" w:pos="144"/>
      </w:tabs>
      <w:spacing w:after="0" w:line="240" w:lineRule="auto"/>
      <w:ind w:left="144" w:hanging="144"/>
    </w:pPr>
    <w:rPr>
      <w:rFonts w:ascii="Times New Roman" w:eastAsia="Times New Roman" w:hAnsi="Times New Roman" w:cs="Arial"/>
      <w:sz w:val="20"/>
      <w:szCs w:val="20"/>
      <w:lang w:val="en-US"/>
    </w:rPr>
  </w:style>
  <w:style w:type="paragraph" w:customStyle="1" w:styleId="C-BodyText">
    <w:name w:val="C-Body Text"/>
    <w:link w:val="C-BodyTextChar"/>
    <w:rsid w:val="007D354B"/>
    <w:pPr>
      <w:spacing w:before="120" w:after="120" w:line="280" w:lineRule="atLeast"/>
    </w:pPr>
    <w:rPr>
      <w:rFonts w:ascii="Times New Roman" w:eastAsia="Calibri" w:hAnsi="Times New Roman" w:cs="Times New Roman"/>
      <w:sz w:val="24"/>
      <w:szCs w:val="20"/>
      <w:lang w:val="en-US"/>
    </w:rPr>
  </w:style>
  <w:style w:type="character" w:customStyle="1" w:styleId="C-BodyTextChar">
    <w:name w:val="C-Body Text Char"/>
    <w:basedOn w:val="DefaultParagraphFont"/>
    <w:link w:val="C-BodyText"/>
    <w:locked/>
    <w:rsid w:val="007D354B"/>
    <w:rPr>
      <w:rFonts w:ascii="Times New Roman" w:eastAsia="Calibri" w:hAnsi="Times New Roman" w:cs="Times New Roman"/>
      <w:sz w:val="24"/>
      <w:szCs w:val="20"/>
      <w:lang w:val="en-US"/>
    </w:rPr>
  </w:style>
  <w:style w:type="character" w:customStyle="1" w:styleId="C-TableCallout">
    <w:name w:val="C-Table Callout"/>
    <w:uiPriority w:val="99"/>
    <w:rsid w:val="007D354B"/>
    <w:rPr>
      <w:rFonts w:ascii="Times New Roman" w:hAnsi="Times New Roman"/>
      <w:color w:val="auto"/>
      <w:spacing w:val="0"/>
      <w:w w:val="100"/>
      <w:position w:val="0"/>
      <w:sz w:val="22"/>
      <w:u w:val="none"/>
      <w:effect w:val="none"/>
      <w:vertAlign w:val="superscript"/>
      <w:em w:val="none"/>
    </w:rPr>
  </w:style>
  <w:style w:type="paragraph" w:styleId="Revision">
    <w:name w:val="Revision"/>
    <w:hidden/>
    <w:uiPriority w:val="99"/>
    <w:semiHidden/>
    <w:rsid w:val="00D952DB"/>
    <w:pPr>
      <w:spacing w:after="0" w:line="240" w:lineRule="auto"/>
    </w:pPr>
  </w:style>
  <w:style w:type="paragraph" w:customStyle="1" w:styleId="Default">
    <w:name w:val="Default"/>
    <w:uiPriority w:val="99"/>
    <w:rsid w:val="00981321"/>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Bibliography">
    <w:name w:val="Bibliography"/>
    <w:basedOn w:val="Normal"/>
    <w:next w:val="Normal"/>
    <w:uiPriority w:val="37"/>
    <w:semiHidden/>
    <w:unhideWhenUsed/>
    <w:rsid w:val="00C05DF7"/>
  </w:style>
  <w:style w:type="paragraph" w:styleId="BlockText">
    <w:name w:val="Block Text"/>
    <w:basedOn w:val="Normal"/>
    <w:uiPriority w:val="99"/>
    <w:semiHidden/>
    <w:unhideWhenUsed/>
    <w:rsid w:val="00C05DF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C05DF7"/>
    <w:pPr>
      <w:spacing w:after="120" w:line="480" w:lineRule="auto"/>
    </w:pPr>
  </w:style>
  <w:style w:type="character" w:customStyle="1" w:styleId="BodyText2Char">
    <w:name w:val="Body Text 2 Char"/>
    <w:basedOn w:val="DefaultParagraphFont"/>
    <w:link w:val="BodyText2"/>
    <w:uiPriority w:val="99"/>
    <w:semiHidden/>
    <w:rsid w:val="00C05DF7"/>
  </w:style>
  <w:style w:type="paragraph" w:styleId="BodyText3">
    <w:name w:val="Body Text 3"/>
    <w:basedOn w:val="Normal"/>
    <w:link w:val="BodyText3Char"/>
    <w:uiPriority w:val="99"/>
    <w:semiHidden/>
    <w:unhideWhenUsed/>
    <w:rsid w:val="00C05DF7"/>
    <w:pPr>
      <w:spacing w:after="120"/>
    </w:pPr>
    <w:rPr>
      <w:sz w:val="16"/>
      <w:szCs w:val="16"/>
    </w:rPr>
  </w:style>
  <w:style w:type="character" w:customStyle="1" w:styleId="BodyText3Char">
    <w:name w:val="Body Text 3 Char"/>
    <w:basedOn w:val="DefaultParagraphFont"/>
    <w:link w:val="BodyText3"/>
    <w:uiPriority w:val="99"/>
    <w:semiHidden/>
    <w:rsid w:val="00C05DF7"/>
    <w:rPr>
      <w:sz w:val="16"/>
      <w:szCs w:val="16"/>
    </w:rPr>
  </w:style>
  <w:style w:type="paragraph" w:styleId="BodyTextFirstIndent">
    <w:name w:val="Body Text First Indent"/>
    <w:basedOn w:val="BodyText"/>
    <w:link w:val="BodyTextFirstIndentChar"/>
    <w:uiPriority w:val="99"/>
    <w:semiHidden/>
    <w:unhideWhenUsed/>
    <w:rsid w:val="00C05DF7"/>
    <w:pPr>
      <w:autoSpaceDE/>
      <w:autoSpaceDN/>
      <w:adjustRightInd/>
      <w:spacing w:before="0" w:after="200" w:line="276" w:lineRule="auto"/>
      <w:ind w:left="0" w:firstLine="360"/>
    </w:pPr>
    <w:rPr>
      <w:rFonts w:asciiTheme="minorHAnsi" w:eastAsiaTheme="minorHAnsi" w:hAnsiTheme="minorHAnsi" w:cstheme="minorBidi"/>
      <w:sz w:val="22"/>
      <w:szCs w:val="22"/>
      <w:lang w:val="en-AU" w:eastAsia="en-US"/>
    </w:rPr>
  </w:style>
  <w:style w:type="character" w:customStyle="1" w:styleId="BodyTextFirstIndentChar">
    <w:name w:val="Body Text First Indent Char"/>
    <w:basedOn w:val="BodyTextChar"/>
    <w:link w:val="BodyTextFirstIndent"/>
    <w:uiPriority w:val="99"/>
    <w:semiHidden/>
    <w:rsid w:val="00C05DF7"/>
    <w:rPr>
      <w:rFonts w:ascii="Times New Roman" w:eastAsia="Calibri" w:hAnsi="Times New Roman" w:cs="Times New Roman"/>
      <w:sz w:val="24"/>
      <w:szCs w:val="24"/>
      <w:lang w:val="en-GB" w:eastAsia="en-GB"/>
    </w:rPr>
  </w:style>
  <w:style w:type="paragraph" w:styleId="BodyTextIndent">
    <w:name w:val="Body Text Indent"/>
    <w:basedOn w:val="Normal"/>
    <w:link w:val="BodyTextIndentChar"/>
    <w:uiPriority w:val="99"/>
    <w:semiHidden/>
    <w:unhideWhenUsed/>
    <w:rsid w:val="00C05DF7"/>
    <w:pPr>
      <w:spacing w:after="120"/>
      <w:ind w:left="283"/>
    </w:pPr>
  </w:style>
  <w:style w:type="character" w:customStyle="1" w:styleId="BodyTextIndentChar">
    <w:name w:val="Body Text Indent Char"/>
    <w:basedOn w:val="DefaultParagraphFont"/>
    <w:link w:val="BodyTextIndent"/>
    <w:uiPriority w:val="99"/>
    <w:semiHidden/>
    <w:rsid w:val="00C05DF7"/>
  </w:style>
  <w:style w:type="paragraph" w:styleId="BodyTextFirstIndent2">
    <w:name w:val="Body Text First Indent 2"/>
    <w:basedOn w:val="BodyTextIndent"/>
    <w:link w:val="BodyTextFirstIndent2Char"/>
    <w:uiPriority w:val="99"/>
    <w:semiHidden/>
    <w:unhideWhenUsed/>
    <w:rsid w:val="00C05DF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05DF7"/>
  </w:style>
  <w:style w:type="paragraph" w:styleId="BodyTextIndent2">
    <w:name w:val="Body Text Indent 2"/>
    <w:basedOn w:val="Normal"/>
    <w:link w:val="BodyTextIndent2Char"/>
    <w:uiPriority w:val="99"/>
    <w:semiHidden/>
    <w:unhideWhenUsed/>
    <w:rsid w:val="00C05DF7"/>
    <w:pPr>
      <w:spacing w:after="120" w:line="480" w:lineRule="auto"/>
      <w:ind w:left="283"/>
    </w:pPr>
  </w:style>
  <w:style w:type="character" w:customStyle="1" w:styleId="BodyTextIndent2Char">
    <w:name w:val="Body Text Indent 2 Char"/>
    <w:basedOn w:val="DefaultParagraphFont"/>
    <w:link w:val="BodyTextIndent2"/>
    <w:uiPriority w:val="99"/>
    <w:semiHidden/>
    <w:rsid w:val="00C05DF7"/>
  </w:style>
  <w:style w:type="paragraph" w:styleId="BodyTextIndent3">
    <w:name w:val="Body Text Indent 3"/>
    <w:basedOn w:val="Normal"/>
    <w:link w:val="BodyTextIndent3Char"/>
    <w:uiPriority w:val="99"/>
    <w:semiHidden/>
    <w:unhideWhenUsed/>
    <w:rsid w:val="00C05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5DF7"/>
    <w:rPr>
      <w:sz w:val="16"/>
      <w:szCs w:val="16"/>
    </w:rPr>
  </w:style>
  <w:style w:type="paragraph" w:styleId="Closing">
    <w:name w:val="Closing"/>
    <w:basedOn w:val="Normal"/>
    <w:link w:val="ClosingChar"/>
    <w:uiPriority w:val="99"/>
    <w:semiHidden/>
    <w:unhideWhenUsed/>
    <w:rsid w:val="00C05DF7"/>
    <w:pPr>
      <w:spacing w:after="0" w:line="240" w:lineRule="auto"/>
      <w:ind w:left="4252"/>
    </w:pPr>
  </w:style>
  <w:style w:type="character" w:customStyle="1" w:styleId="ClosingChar">
    <w:name w:val="Closing Char"/>
    <w:basedOn w:val="DefaultParagraphFont"/>
    <w:link w:val="Closing"/>
    <w:uiPriority w:val="99"/>
    <w:semiHidden/>
    <w:rsid w:val="00C05DF7"/>
  </w:style>
  <w:style w:type="paragraph" w:styleId="CommentSubject">
    <w:name w:val="annotation subject"/>
    <w:basedOn w:val="CommentText"/>
    <w:next w:val="CommentText"/>
    <w:link w:val="CommentSubjectChar"/>
    <w:uiPriority w:val="99"/>
    <w:semiHidden/>
    <w:unhideWhenUsed/>
    <w:rsid w:val="00C05DF7"/>
    <w:rPr>
      <w:rFonts w:asciiTheme="minorHAnsi" w:hAnsiTheme="minorHAnsi"/>
      <w:b/>
      <w:bCs/>
    </w:rPr>
  </w:style>
  <w:style w:type="character" w:customStyle="1" w:styleId="CommentSubjectChar">
    <w:name w:val="Comment Subject Char"/>
    <w:basedOn w:val="CommentTextChar"/>
    <w:link w:val="CommentSubject"/>
    <w:uiPriority w:val="99"/>
    <w:semiHidden/>
    <w:rsid w:val="00C05DF7"/>
    <w:rPr>
      <w:rFonts w:ascii="Cambria" w:hAnsi="Cambria"/>
      <w:b/>
      <w:bCs/>
      <w:sz w:val="20"/>
      <w:szCs w:val="20"/>
    </w:rPr>
  </w:style>
  <w:style w:type="paragraph" w:styleId="Date">
    <w:name w:val="Date"/>
    <w:basedOn w:val="Normal"/>
    <w:next w:val="Normal"/>
    <w:link w:val="DateChar"/>
    <w:uiPriority w:val="99"/>
    <w:semiHidden/>
    <w:unhideWhenUsed/>
    <w:rsid w:val="00C05DF7"/>
  </w:style>
  <w:style w:type="character" w:customStyle="1" w:styleId="DateChar">
    <w:name w:val="Date Char"/>
    <w:basedOn w:val="DefaultParagraphFont"/>
    <w:link w:val="Date"/>
    <w:uiPriority w:val="99"/>
    <w:semiHidden/>
    <w:rsid w:val="00C05DF7"/>
  </w:style>
  <w:style w:type="paragraph" w:styleId="DocumentMap">
    <w:name w:val="Document Map"/>
    <w:basedOn w:val="Normal"/>
    <w:link w:val="DocumentMapChar"/>
    <w:uiPriority w:val="99"/>
    <w:semiHidden/>
    <w:unhideWhenUsed/>
    <w:rsid w:val="00C05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05DF7"/>
    <w:rPr>
      <w:rFonts w:ascii="Segoe UI" w:hAnsi="Segoe UI" w:cs="Segoe UI"/>
      <w:sz w:val="16"/>
      <w:szCs w:val="16"/>
    </w:rPr>
  </w:style>
  <w:style w:type="paragraph" w:styleId="E-mailSignature">
    <w:name w:val="E-mail Signature"/>
    <w:basedOn w:val="Normal"/>
    <w:link w:val="E-mailSignatureChar"/>
    <w:uiPriority w:val="99"/>
    <w:semiHidden/>
    <w:unhideWhenUsed/>
    <w:rsid w:val="00C05DF7"/>
    <w:pPr>
      <w:spacing w:after="0" w:line="240" w:lineRule="auto"/>
    </w:pPr>
  </w:style>
  <w:style w:type="character" w:customStyle="1" w:styleId="E-mailSignatureChar">
    <w:name w:val="E-mail Signature Char"/>
    <w:basedOn w:val="DefaultParagraphFont"/>
    <w:link w:val="E-mailSignature"/>
    <w:uiPriority w:val="99"/>
    <w:semiHidden/>
    <w:rsid w:val="00C05DF7"/>
  </w:style>
  <w:style w:type="paragraph" w:styleId="EndnoteText">
    <w:name w:val="endnote text"/>
    <w:basedOn w:val="Normal"/>
    <w:link w:val="EndnoteTextChar"/>
    <w:uiPriority w:val="99"/>
    <w:semiHidden/>
    <w:unhideWhenUsed/>
    <w:rsid w:val="00C05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5DF7"/>
    <w:rPr>
      <w:sz w:val="20"/>
      <w:szCs w:val="20"/>
    </w:rPr>
  </w:style>
  <w:style w:type="paragraph" w:styleId="EnvelopeAddress">
    <w:name w:val="envelope address"/>
    <w:basedOn w:val="Normal"/>
    <w:uiPriority w:val="99"/>
    <w:semiHidden/>
    <w:unhideWhenUsed/>
    <w:rsid w:val="00C05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5DF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05DF7"/>
    <w:pPr>
      <w:spacing w:after="0" w:line="240" w:lineRule="auto"/>
    </w:pPr>
    <w:rPr>
      <w:i/>
      <w:iCs/>
    </w:rPr>
  </w:style>
  <w:style w:type="character" w:customStyle="1" w:styleId="HTMLAddressChar">
    <w:name w:val="HTML Address Char"/>
    <w:basedOn w:val="DefaultParagraphFont"/>
    <w:link w:val="HTMLAddress"/>
    <w:uiPriority w:val="99"/>
    <w:semiHidden/>
    <w:rsid w:val="00C05DF7"/>
    <w:rPr>
      <w:i/>
      <w:iCs/>
    </w:rPr>
  </w:style>
  <w:style w:type="paragraph" w:styleId="HTMLPreformatted">
    <w:name w:val="HTML Preformatted"/>
    <w:basedOn w:val="Normal"/>
    <w:link w:val="HTMLPreformattedChar"/>
    <w:uiPriority w:val="99"/>
    <w:semiHidden/>
    <w:unhideWhenUsed/>
    <w:rsid w:val="00C05D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5DF7"/>
    <w:rPr>
      <w:rFonts w:ascii="Consolas" w:hAnsi="Consolas"/>
      <w:sz w:val="20"/>
      <w:szCs w:val="20"/>
    </w:rPr>
  </w:style>
  <w:style w:type="paragraph" w:styleId="Index1">
    <w:name w:val="index 1"/>
    <w:basedOn w:val="Normal"/>
    <w:next w:val="Normal"/>
    <w:autoRedefine/>
    <w:uiPriority w:val="99"/>
    <w:semiHidden/>
    <w:unhideWhenUsed/>
    <w:rsid w:val="00C05DF7"/>
    <w:pPr>
      <w:spacing w:after="0" w:line="240" w:lineRule="auto"/>
      <w:ind w:left="220" w:hanging="220"/>
    </w:pPr>
  </w:style>
  <w:style w:type="paragraph" w:styleId="Index2">
    <w:name w:val="index 2"/>
    <w:basedOn w:val="Normal"/>
    <w:next w:val="Normal"/>
    <w:autoRedefine/>
    <w:uiPriority w:val="99"/>
    <w:semiHidden/>
    <w:unhideWhenUsed/>
    <w:rsid w:val="00C05DF7"/>
    <w:pPr>
      <w:spacing w:after="0" w:line="240" w:lineRule="auto"/>
      <w:ind w:left="440" w:hanging="220"/>
    </w:pPr>
  </w:style>
  <w:style w:type="paragraph" w:styleId="Index3">
    <w:name w:val="index 3"/>
    <w:basedOn w:val="Normal"/>
    <w:next w:val="Normal"/>
    <w:autoRedefine/>
    <w:uiPriority w:val="99"/>
    <w:semiHidden/>
    <w:unhideWhenUsed/>
    <w:rsid w:val="00C05DF7"/>
    <w:pPr>
      <w:spacing w:after="0" w:line="240" w:lineRule="auto"/>
      <w:ind w:left="660" w:hanging="220"/>
    </w:pPr>
  </w:style>
  <w:style w:type="paragraph" w:styleId="Index4">
    <w:name w:val="index 4"/>
    <w:basedOn w:val="Normal"/>
    <w:next w:val="Normal"/>
    <w:autoRedefine/>
    <w:uiPriority w:val="99"/>
    <w:semiHidden/>
    <w:unhideWhenUsed/>
    <w:rsid w:val="00C05DF7"/>
    <w:pPr>
      <w:spacing w:after="0" w:line="240" w:lineRule="auto"/>
      <w:ind w:left="880" w:hanging="220"/>
    </w:pPr>
  </w:style>
  <w:style w:type="paragraph" w:styleId="Index5">
    <w:name w:val="index 5"/>
    <w:basedOn w:val="Normal"/>
    <w:next w:val="Normal"/>
    <w:autoRedefine/>
    <w:uiPriority w:val="99"/>
    <w:semiHidden/>
    <w:unhideWhenUsed/>
    <w:rsid w:val="00C05DF7"/>
    <w:pPr>
      <w:spacing w:after="0" w:line="240" w:lineRule="auto"/>
      <w:ind w:left="1100" w:hanging="220"/>
    </w:pPr>
  </w:style>
  <w:style w:type="paragraph" w:styleId="Index6">
    <w:name w:val="index 6"/>
    <w:basedOn w:val="Normal"/>
    <w:next w:val="Normal"/>
    <w:autoRedefine/>
    <w:uiPriority w:val="99"/>
    <w:semiHidden/>
    <w:unhideWhenUsed/>
    <w:rsid w:val="00C05DF7"/>
    <w:pPr>
      <w:spacing w:after="0" w:line="240" w:lineRule="auto"/>
      <w:ind w:left="1320" w:hanging="220"/>
    </w:pPr>
  </w:style>
  <w:style w:type="paragraph" w:styleId="Index7">
    <w:name w:val="index 7"/>
    <w:basedOn w:val="Normal"/>
    <w:next w:val="Normal"/>
    <w:autoRedefine/>
    <w:uiPriority w:val="99"/>
    <w:semiHidden/>
    <w:unhideWhenUsed/>
    <w:rsid w:val="00C05DF7"/>
    <w:pPr>
      <w:spacing w:after="0" w:line="240" w:lineRule="auto"/>
      <w:ind w:left="1540" w:hanging="220"/>
    </w:pPr>
  </w:style>
  <w:style w:type="paragraph" w:styleId="Index8">
    <w:name w:val="index 8"/>
    <w:basedOn w:val="Normal"/>
    <w:next w:val="Normal"/>
    <w:autoRedefine/>
    <w:uiPriority w:val="99"/>
    <w:semiHidden/>
    <w:unhideWhenUsed/>
    <w:rsid w:val="00C05DF7"/>
    <w:pPr>
      <w:spacing w:after="0" w:line="240" w:lineRule="auto"/>
      <w:ind w:left="1760" w:hanging="220"/>
    </w:pPr>
  </w:style>
  <w:style w:type="paragraph" w:styleId="Index9">
    <w:name w:val="index 9"/>
    <w:basedOn w:val="Normal"/>
    <w:next w:val="Normal"/>
    <w:autoRedefine/>
    <w:uiPriority w:val="99"/>
    <w:semiHidden/>
    <w:unhideWhenUsed/>
    <w:rsid w:val="00C05DF7"/>
    <w:pPr>
      <w:spacing w:after="0" w:line="240" w:lineRule="auto"/>
      <w:ind w:left="1980" w:hanging="220"/>
    </w:pPr>
  </w:style>
  <w:style w:type="paragraph" w:styleId="IndexHeading">
    <w:name w:val="index heading"/>
    <w:basedOn w:val="Normal"/>
    <w:next w:val="Index1"/>
    <w:uiPriority w:val="99"/>
    <w:semiHidden/>
    <w:unhideWhenUsed/>
    <w:rsid w:val="00C05D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5D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5DF7"/>
    <w:rPr>
      <w:i/>
      <w:iCs/>
      <w:color w:val="4F81BD" w:themeColor="accent1"/>
    </w:rPr>
  </w:style>
  <w:style w:type="paragraph" w:styleId="List">
    <w:name w:val="List"/>
    <w:basedOn w:val="Normal"/>
    <w:uiPriority w:val="99"/>
    <w:semiHidden/>
    <w:unhideWhenUsed/>
    <w:rsid w:val="00C05DF7"/>
    <w:pPr>
      <w:ind w:left="283" w:hanging="283"/>
      <w:contextualSpacing/>
    </w:pPr>
  </w:style>
  <w:style w:type="paragraph" w:styleId="List2">
    <w:name w:val="List 2"/>
    <w:basedOn w:val="Normal"/>
    <w:uiPriority w:val="99"/>
    <w:semiHidden/>
    <w:unhideWhenUsed/>
    <w:rsid w:val="00C05DF7"/>
    <w:pPr>
      <w:ind w:left="566" w:hanging="283"/>
      <w:contextualSpacing/>
    </w:pPr>
  </w:style>
  <w:style w:type="paragraph" w:styleId="List3">
    <w:name w:val="List 3"/>
    <w:basedOn w:val="Normal"/>
    <w:uiPriority w:val="99"/>
    <w:semiHidden/>
    <w:unhideWhenUsed/>
    <w:rsid w:val="00C05DF7"/>
    <w:pPr>
      <w:ind w:left="849" w:hanging="283"/>
      <w:contextualSpacing/>
    </w:pPr>
  </w:style>
  <w:style w:type="paragraph" w:styleId="List4">
    <w:name w:val="List 4"/>
    <w:basedOn w:val="Normal"/>
    <w:uiPriority w:val="99"/>
    <w:semiHidden/>
    <w:unhideWhenUsed/>
    <w:rsid w:val="00C05DF7"/>
    <w:pPr>
      <w:ind w:left="1132" w:hanging="283"/>
      <w:contextualSpacing/>
    </w:pPr>
  </w:style>
  <w:style w:type="paragraph" w:styleId="List5">
    <w:name w:val="List 5"/>
    <w:basedOn w:val="Normal"/>
    <w:uiPriority w:val="99"/>
    <w:semiHidden/>
    <w:unhideWhenUsed/>
    <w:rsid w:val="00C05DF7"/>
    <w:pPr>
      <w:ind w:left="1415" w:hanging="283"/>
      <w:contextualSpacing/>
    </w:pPr>
  </w:style>
  <w:style w:type="paragraph" w:styleId="ListBullet2">
    <w:name w:val="List Bullet 2"/>
    <w:basedOn w:val="Normal"/>
    <w:uiPriority w:val="99"/>
    <w:semiHidden/>
    <w:unhideWhenUsed/>
    <w:rsid w:val="00C05DF7"/>
    <w:pPr>
      <w:numPr>
        <w:numId w:val="13"/>
      </w:numPr>
      <w:contextualSpacing/>
    </w:pPr>
  </w:style>
  <w:style w:type="paragraph" w:styleId="ListBullet3">
    <w:name w:val="List Bullet 3"/>
    <w:basedOn w:val="Normal"/>
    <w:uiPriority w:val="99"/>
    <w:semiHidden/>
    <w:unhideWhenUsed/>
    <w:rsid w:val="00C05DF7"/>
    <w:pPr>
      <w:numPr>
        <w:numId w:val="14"/>
      </w:numPr>
      <w:contextualSpacing/>
    </w:pPr>
  </w:style>
  <w:style w:type="paragraph" w:styleId="ListBullet4">
    <w:name w:val="List Bullet 4"/>
    <w:basedOn w:val="Normal"/>
    <w:uiPriority w:val="99"/>
    <w:semiHidden/>
    <w:unhideWhenUsed/>
    <w:rsid w:val="00C05DF7"/>
    <w:pPr>
      <w:numPr>
        <w:numId w:val="15"/>
      </w:numPr>
      <w:contextualSpacing/>
    </w:pPr>
  </w:style>
  <w:style w:type="paragraph" w:styleId="ListBullet5">
    <w:name w:val="List Bullet 5"/>
    <w:basedOn w:val="Normal"/>
    <w:uiPriority w:val="99"/>
    <w:semiHidden/>
    <w:unhideWhenUsed/>
    <w:rsid w:val="00C05DF7"/>
    <w:pPr>
      <w:numPr>
        <w:numId w:val="16"/>
      </w:numPr>
      <w:contextualSpacing/>
    </w:pPr>
  </w:style>
  <w:style w:type="paragraph" w:styleId="ListContinue">
    <w:name w:val="List Continue"/>
    <w:basedOn w:val="Normal"/>
    <w:uiPriority w:val="99"/>
    <w:semiHidden/>
    <w:unhideWhenUsed/>
    <w:rsid w:val="00C05DF7"/>
    <w:pPr>
      <w:spacing w:after="120"/>
      <w:ind w:left="283"/>
      <w:contextualSpacing/>
    </w:pPr>
  </w:style>
  <w:style w:type="paragraph" w:styleId="ListContinue2">
    <w:name w:val="List Continue 2"/>
    <w:basedOn w:val="Normal"/>
    <w:uiPriority w:val="99"/>
    <w:semiHidden/>
    <w:unhideWhenUsed/>
    <w:rsid w:val="00C05DF7"/>
    <w:pPr>
      <w:spacing w:after="120"/>
      <w:ind w:left="566"/>
      <w:contextualSpacing/>
    </w:pPr>
  </w:style>
  <w:style w:type="paragraph" w:styleId="ListContinue3">
    <w:name w:val="List Continue 3"/>
    <w:basedOn w:val="Normal"/>
    <w:uiPriority w:val="99"/>
    <w:semiHidden/>
    <w:unhideWhenUsed/>
    <w:rsid w:val="00C05DF7"/>
    <w:pPr>
      <w:spacing w:after="120"/>
      <w:ind w:left="849"/>
      <w:contextualSpacing/>
    </w:pPr>
  </w:style>
  <w:style w:type="paragraph" w:styleId="ListContinue4">
    <w:name w:val="List Continue 4"/>
    <w:basedOn w:val="Normal"/>
    <w:uiPriority w:val="99"/>
    <w:semiHidden/>
    <w:unhideWhenUsed/>
    <w:rsid w:val="00C05DF7"/>
    <w:pPr>
      <w:spacing w:after="120"/>
      <w:ind w:left="1132"/>
      <w:contextualSpacing/>
    </w:pPr>
  </w:style>
  <w:style w:type="paragraph" w:styleId="ListContinue5">
    <w:name w:val="List Continue 5"/>
    <w:basedOn w:val="Normal"/>
    <w:uiPriority w:val="99"/>
    <w:semiHidden/>
    <w:unhideWhenUsed/>
    <w:rsid w:val="00C05DF7"/>
    <w:pPr>
      <w:spacing w:after="120"/>
      <w:ind w:left="1415"/>
      <w:contextualSpacing/>
    </w:pPr>
  </w:style>
  <w:style w:type="paragraph" w:styleId="ListNumber">
    <w:name w:val="List Number"/>
    <w:basedOn w:val="Normal"/>
    <w:uiPriority w:val="99"/>
    <w:semiHidden/>
    <w:unhideWhenUsed/>
    <w:rsid w:val="00C05DF7"/>
    <w:pPr>
      <w:numPr>
        <w:numId w:val="17"/>
      </w:numPr>
      <w:contextualSpacing/>
    </w:pPr>
  </w:style>
  <w:style w:type="paragraph" w:styleId="ListNumber2">
    <w:name w:val="List Number 2"/>
    <w:basedOn w:val="Normal"/>
    <w:uiPriority w:val="99"/>
    <w:semiHidden/>
    <w:unhideWhenUsed/>
    <w:rsid w:val="00C05DF7"/>
    <w:pPr>
      <w:numPr>
        <w:numId w:val="18"/>
      </w:numPr>
      <w:contextualSpacing/>
    </w:pPr>
  </w:style>
  <w:style w:type="paragraph" w:styleId="ListNumber3">
    <w:name w:val="List Number 3"/>
    <w:basedOn w:val="Normal"/>
    <w:uiPriority w:val="99"/>
    <w:semiHidden/>
    <w:unhideWhenUsed/>
    <w:rsid w:val="00C05DF7"/>
    <w:pPr>
      <w:numPr>
        <w:numId w:val="19"/>
      </w:numPr>
      <w:contextualSpacing/>
    </w:pPr>
  </w:style>
  <w:style w:type="paragraph" w:styleId="ListNumber4">
    <w:name w:val="List Number 4"/>
    <w:basedOn w:val="Normal"/>
    <w:uiPriority w:val="99"/>
    <w:semiHidden/>
    <w:unhideWhenUsed/>
    <w:rsid w:val="00C05DF7"/>
    <w:pPr>
      <w:numPr>
        <w:numId w:val="20"/>
      </w:numPr>
      <w:contextualSpacing/>
    </w:pPr>
  </w:style>
  <w:style w:type="paragraph" w:styleId="ListNumber5">
    <w:name w:val="List Number 5"/>
    <w:basedOn w:val="Normal"/>
    <w:uiPriority w:val="99"/>
    <w:semiHidden/>
    <w:unhideWhenUsed/>
    <w:rsid w:val="00C05DF7"/>
    <w:pPr>
      <w:numPr>
        <w:numId w:val="21"/>
      </w:numPr>
      <w:contextualSpacing/>
    </w:pPr>
  </w:style>
  <w:style w:type="paragraph" w:styleId="MacroText">
    <w:name w:val="macro"/>
    <w:link w:val="MacroTextChar"/>
    <w:uiPriority w:val="99"/>
    <w:semiHidden/>
    <w:unhideWhenUsed/>
    <w:rsid w:val="00C05D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05DF7"/>
    <w:rPr>
      <w:rFonts w:ascii="Consolas" w:hAnsi="Consolas"/>
      <w:sz w:val="20"/>
      <w:szCs w:val="20"/>
    </w:rPr>
  </w:style>
  <w:style w:type="paragraph" w:styleId="MessageHeader">
    <w:name w:val="Message Header"/>
    <w:basedOn w:val="Normal"/>
    <w:link w:val="MessageHeaderChar"/>
    <w:uiPriority w:val="99"/>
    <w:semiHidden/>
    <w:unhideWhenUsed/>
    <w:rsid w:val="00C05D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5DF7"/>
    <w:rPr>
      <w:rFonts w:asciiTheme="majorHAnsi" w:eastAsiaTheme="majorEastAsia" w:hAnsiTheme="majorHAnsi" w:cstheme="majorBidi"/>
      <w:sz w:val="24"/>
      <w:szCs w:val="24"/>
      <w:shd w:val="pct20" w:color="auto" w:fill="auto"/>
    </w:rPr>
  </w:style>
  <w:style w:type="paragraph" w:styleId="NoSpacing">
    <w:name w:val="No Spacing"/>
    <w:uiPriority w:val="1"/>
    <w:qFormat/>
    <w:rsid w:val="00C05DF7"/>
    <w:pPr>
      <w:spacing w:after="0" w:line="240" w:lineRule="auto"/>
    </w:pPr>
  </w:style>
  <w:style w:type="paragraph" w:styleId="NormalWeb">
    <w:name w:val="Normal (Web)"/>
    <w:basedOn w:val="Normal"/>
    <w:uiPriority w:val="99"/>
    <w:semiHidden/>
    <w:unhideWhenUsed/>
    <w:rsid w:val="00C05DF7"/>
    <w:rPr>
      <w:rFonts w:ascii="Times New Roman" w:hAnsi="Times New Roman" w:cs="Times New Roman"/>
      <w:sz w:val="24"/>
      <w:szCs w:val="24"/>
    </w:rPr>
  </w:style>
  <w:style w:type="paragraph" w:styleId="NormalIndent">
    <w:name w:val="Normal Indent"/>
    <w:basedOn w:val="Normal"/>
    <w:uiPriority w:val="99"/>
    <w:semiHidden/>
    <w:unhideWhenUsed/>
    <w:rsid w:val="00C05DF7"/>
    <w:pPr>
      <w:ind w:left="720"/>
    </w:pPr>
  </w:style>
  <w:style w:type="paragraph" w:styleId="NoteHeading">
    <w:name w:val="Note Heading"/>
    <w:basedOn w:val="Normal"/>
    <w:next w:val="Normal"/>
    <w:link w:val="NoteHeadingChar"/>
    <w:uiPriority w:val="99"/>
    <w:semiHidden/>
    <w:unhideWhenUsed/>
    <w:rsid w:val="00C05DF7"/>
    <w:pPr>
      <w:spacing w:after="0" w:line="240" w:lineRule="auto"/>
    </w:pPr>
  </w:style>
  <w:style w:type="character" w:customStyle="1" w:styleId="NoteHeadingChar">
    <w:name w:val="Note Heading Char"/>
    <w:basedOn w:val="DefaultParagraphFont"/>
    <w:link w:val="NoteHeading"/>
    <w:uiPriority w:val="99"/>
    <w:semiHidden/>
    <w:rsid w:val="00C05DF7"/>
  </w:style>
  <w:style w:type="paragraph" w:styleId="PlainText">
    <w:name w:val="Plain Text"/>
    <w:basedOn w:val="Normal"/>
    <w:link w:val="PlainTextChar"/>
    <w:uiPriority w:val="99"/>
    <w:semiHidden/>
    <w:unhideWhenUsed/>
    <w:rsid w:val="00C05D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5DF7"/>
    <w:rPr>
      <w:rFonts w:ascii="Consolas" w:hAnsi="Consolas"/>
      <w:sz w:val="21"/>
      <w:szCs w:val="21"/>
    </w:rPr>
  </w:style>
  <w:style w:type="paragraph" w:styleId="Quote">
    <w:name w:val="Quote"/>
    <w:basedOn w:val="Normal"/>
    <w:next w:val="Normal"/>
    <w:link w:val="QuoteChar"/>
    <w:uiPriority w:val="29"/>
    <w:qFormat/>
    <w:rsid w:val="00C05D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5DF7"/>
    <w:rPr>
      <w:i/>
      <w:iCs/>
      <w:color w:val="404040" w:themeColor="text1" w:themeTint="BF"/>
    </w:rPr>
  </w:style>
  <w:style w:type="paragraph" w:styleId="Salutation">
    <w:name w:val="Salutation"/>
    <w:basedOn w:val="Normal"/>
    <w:next w:val="Normal"/>
    <w:link w:val="SalutationChar"/>
    <w:uiPriority w:val="99"/>
    <w:semiHidden/>
    <w:unhideWhenUsed/>
    <w:rsid w:val="00C05DF7"/>
  </w:style>
  <w:style w:type="character" w:customStyle="1" w:styleId="SalutationChar">
    <w:name w:val="Salutation Char"/>
    <w:basedOn w:val="DefaultParagraphFont"/>
    <w:link w:val="Salutation"/>
    <w:uiPriority w:val="99"/>
    <w:semiHidden/>
    <w:rsid w:val="00C05DF7"/>
  </w:style>
  <w:style w:type="paragraph" w:styleId="Signature">
    <w:name w:val="Signature"/>
    <w:basedOn w:val="Normal"/>
    <w:link w:val="SignatureChar"/>
    <w:uiPriority w:val="99"/>
    <w:semiHidden/>
    <w:unhideWhenUsed/>
    <w:rsid w:val="00C05DF7"/>
    <w:pPr>
      <w:spacing w:after="0" w:line="240" w:lineRule="auto"/>
      <w:ind w:left="4252"/>
    </w:pPr>
  </w:style>
  <w:style w:type="character" w:customStyle="1" w:styleId="SignatureChar">
    <w:name w:val="Signature Char"/>
    <w:basedOn w:val="DefaultParagraphFont"/>
    <w:link w:val="Signature"/>
    <w:uiPriority w:val="99"/>
    <w:semiHidden/>
    <w:rsid w:val="00C05DF7"/>
  </w:style>
  <w:style w:type="paragraph" w:styleId="Subtitle">
    <w:name w:val="Subtitle"/>
    <w:basedOn w:val="Normal"/>
    <w:next w:val="Normal"/>
    <w:link w:val="SubtitleChar"/>
    <w:uiPriority w:val="11"/>
    <w:qFormat/>
    <w:rsid w:val="00C05D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5DF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05DF7"/>
    <w:pPr>
      <w:spacing w:after="0"/>
      <w:ind w:left="220" w:hanging="220"/>
    </w:pPr>
  </w:style>
  <w:style w:type="paragraph" w:styleId="TableofFigures">
    <w:name w:val="table of figures"/>
    <w:basedOn w:val="Normal"/>
    <w:next w:val="Normal"/>
    <w:uiPriority w:val="99"/>
    <w:semiHidden/>
    <w:unhideWhenUsed/>
    <w:rsid w:val="00C05DF7"/>
    <w:pPr>
      <w:spacing w:after="0"/>
    </w:pPr>
  </w:style>
  <w:style w:type="paragraph" w:styleId="Title">
    <w:name w:val="Title"/>
    <w:basedOn w:val="Normal"/>
    <w:next w:val="Normal"/>
    <w:link w:val="TitleChar"/>
    <w:uiPriority w:val="10"/>
    <w:qFormat/>
    <w:rsid w:val="00C05D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D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05D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05DF7"/>
    <w:pPr>
      <w:spacing w:after="100"/>
    </w:pPr>
  </w:style>
  <w:style w:type="paragraph" w:styleId="TOC2">
    <w:name w:val="toc 2"/>
    <w:basedOn w:val="Normal"/>
    <w:next w:val="Normal"/>
    <w:autoRedefine/>
    <w:uiPriority w:val="39"/>
    <w:semiHidden/>
    <w:unhideWhenUsed/>
    <w:rsid w:val="00C05DF7"/>
    <w:pPr>
      <w:spacing w:after="100"/>
      <w:ind w:left="220"/>
    </w:pPr>
  </w:style>
  <w:style w:type="paragraph" w:styleId="TOC3">
    <w:name w:val="toc 3"/>
    <w:basedOn w:val="Normal"/>
    <w:next w:val="Normal"/>
    <w:autoRedefine/>
    <w:uiPriority w:val="39"/>
    <w:semiHidden/>
    <w:unhideWhenUsed/>
    <w:rsid w:val="00C05DF7"/>
    <w:pPr>
      <w:spacing w:after="100"/>
      <w:ind w:left="440"/>
    </w:pPr>
  </w:style>
  <w:style w:type="paragraph" w:styleId="TOC4">
    <w:name w:val="toc 4"/>
    <w:basedOn w:val="Normal"/>
    <w:next w:val="Normal"/>
    <w:autoRedefine/>
    <w:uiPriority w:val="39"/>
    <w:semiHidden/>
    <w:unhideWhenUsed/>
    <w:rsid w:val="00C05DF7"/>
    <w:pPr>
      <w:spacing w:after="100"/>
      <w:ind w:left="660"/>
    </w:pPr>
  </w:style>
  <w:style w:type="paragraph" w:styleId="TOC5">
    <w:name w:val="toc 5"/>
    <w:basedOn w:val="Normal"/>
    <w:next w:val="Normal"/>
    <w:autoRedefine/>
    <w:uiPriority w:val="39"/>
    <w:semiHidden/>
    <w:unhideWhenUsed/>
    <w:rsid w:val="00C05DF7"/>
    <w:pPr>
      <w:spacing w:after="100"/>
      <w:ind w:left="880"/>
    </w:pPr>
  </w:style>
  <w:style w:type="paragraph" w:styleId="TOC6">
    <w:name w:val="toc 6"/>
    <w:basedOn w:val="Normal"/>
    <w:next w:val="Normal"/>
    <w:autoRedefine/>
    <w:uiPriority w:val="39"/>
    <w:semiHidden/>
    <w:unhideWhenUsed/>
    <w:rsid w:val="00C05DF7"/>
    <w:pPr>
      <w:spacing w:after="100"/>
      <w:ind w:left="1100"/>
    </w:pPr>
  </w:style>
  <w:style w:type="paragraph" w:styleId="TOC7">
    <w:name w:val="toc 7"/>
    <w:basedOn w:val="Normal"/>
    <w:next w:val="Normal"/>
    <w:autoRedefine/>
    <w:uiPriority w:val="39"/>
    <w:semiHidden/>
    <w:unhideWhenUsed/>
    <w:rsid w:val="00C05DF7"/>
    <w:pPr>
      <w:spacing w:after="100"/>
      <w:ind w:left="1320"/>
    </w:pPr>
  </w:style>
  <w:style w:type="paragraph" w:styleId="TOC8">
    <w:name w:val="toc 8"/>
    <w:basedOn w:val="Normal"/>
    <w:next w:val="Normal"/>
    <w:autoRedefine/>
    <w:uiPriority w:val="39"/>
    <w:semiHidden/>
    <w:unhideWhenUsed/>
    <w:rsid w:val="00C05DF7"/>
    <w:pPr>
      <w:spacing w:after="100"/>
      <w:ind w:left="1540"/>
    </w:pPr>
  </w:style>
  <w:style w:type="paragraph" w:styleId="TOC9">
    <w:name w:val="toc 9"/>
    <w:basedOn w:val="Normal"/>
    <w:next w:val="Normal"/>
    <w:autoRedefine/>
    <w:uiPriority w:val="39"/>
    <w:semiHidden/>
    <w:unhideWhenUsed/>
    <w:rsid w:val="00C05DF7"/>
    <w:pPr>
      <w:spacing w:after="100"/>
      <w:ind w:left="1760"/>
    </w:pPr>
  </w:style>
  <w:style w:type="paragraph" w:styleId="TOCHeading">
    <w:name w:val="TOC Heading"/>
    <w:basedOn w:val="Heading1"/>
    <w:next w:val="Normal"/>
    <w:uiPriority w:val="39"/>
    <w:semiHidden/>
    <w:unhideWhenUsed/>
    <w:qFormat/>
    <w:rsid w:val="00C05DF7"/>
    <w:pPr>
      <w:numPr>
        <w:numId w:val="0"/>
      </w:numPr>
      <w:spacing w:before="240"/>
      <w:outlineLvl w:val="9"/>
    </w:pPr>
    <w:rPr>
      <w:b w:val="0"/>
      <w:bCs w:val="0"/>
      <w:caps w:val="0"/>
      <w:color w:val="365F91" w:themeColor="accent1" w:themeShade="BF"/>
      <w:sz w:val="32"/>
      <w:szCs w:val="32"/>
    </w:rPr>
  </w:style>
  <w:style w:type="paragraph" w:customStyle="1" w:styleId="C-BodyTextIndent">
    <w:name w:val="C-Body Text Indent"/>
    <w:rsid w:val="00DB49B2"/>
    <w:pPr>
      <w:spacing w:before="120" w:after="120" w:line="280" w:lineRule="atLeast"/>
      <w:ind w:left="360"/>
    </w:pPr>
    <w:rPr>
      <w:rFonts w:ascii="Times New Roman" w:eastAsia="Times New Roman" w:hAnsi="Times New Roman" w:cs="Times New Roman"/>
      <w:sz w:val="24"/>
      <w:szCs w:val="20"/>
      <w:lang w:val="en-US"/>
    </w:rPr>
  </w:style>
  <w:style w:type="paragraph" w:customStyle="1" w:styleId="C-CaptionContinued">
    <w:name w:val="C-Caption Continued"/>
    <w:next w:val="C-BodyText"/>
    <w:rsid w:val="00DB49B2"/>
    <w:pPr>
      <w:keepNext/>
      <w:spacing w:before="120" w:after="120" w:line="280" w:lineRule="atLeast"/>
      <w:ind w:left="1440" w:hanging="1440"/>
    </w:pPr>
    <w:rPr>
      <w:rFonts w:ascii="Times New Roman" w:eastAsia="Times New Roman" w:hAnsi="Times New Roman" w:cs="Arial"/>
      <w:b/>
      <w:sz w:val="24"/>
      <w:szCs w:val="20"/>
      <w:lang w:val="en-US"/>
    </w:rPr>
  </w:style>
  <w:style w:type="character" w:styleId="FollowedHyperlink">
    <w:name w:val="FollowedHyperlink"/>
    <w:basedOn w:val="DefaultParagraphFont"/>
    <w:uiPriority w:val="99"/>
    <w:semiHidden/>
    <w:unhideWhenUsed/>
    <w:rsid w:val="00044AE3"/>
    <w:rPr>
      <w:color w:val="800080" w:themeColor="followedHyperlink"/>
      <w:u w:val="single"/>
    </w:rPr>
  </w:style>
  <w:style w:type="table" w:customStyle="1" w:styleId="TableGrid1">
    <w:name w:val="Table Grid1"/>
    <w:basedOn w:val="TableNormal"/>
    <w:next w:val="TableGrid"/>
    <w:uiPriority w:val="59"/>
    <w:rsid w:val="00EE2059"/>
    <w:pPr>
      <w:spacing w:before="120"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25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B2"/>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customStyle="1" w:styleId="LightGrid1">
    <w:name w:val="Light Grid1"/>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BodyText">
    <w:name w:val="Body Text"/>
    <w:basedOn w:val="Normal"/>
    <w:link w:val="BodyTextChar"/>
    <w:uiPriority w:val="99"/>
    <w:rsid w:val="00B6263B"/>
    <w:pPr>
      <w:autoSpaceDE w:val="0"/>
      <w:autoSpaceDN w:val="0"/>
      <w:adjustRightInd w:val="0"/>
      <w:spacing w:before="120" w:after="0" w:line="240" w:lineRule="auto"/>
      <w:ind w:left="111"/>
    </w:pPr>
    <w:rPr>
      <w:rFonts w:ascii="Times New Roman" w:eastAsia="Calibri" w:hAnsi="Times New Roman" w:cs="Times New Roman"/>
      <w:sz w:val="24"/>
      <w:szCs w:val="24"/>
      <w:lang w:val="en-GB" w:eastAsia="en-GB"/>
    </w:rPr>
  </w:style>
  <w:style w:type="character" w:customStyle="1" w:styleId="BodyTextChar">
    <w:name w:val="Body Text Char"/>
    <w:basedOn w:val="DefaultParagraphFont"/>
    <w:link w:val="BodyText"/>
    <w:uiPriority w:val="99"/>
    <w:rsid w:val="00B6263B"/>
    <w:rPr>
      <w:rFonts w:ascii="Times New Roman" w:eastAsia="Calibri" w:hAnsi="Times New Roman" w:cs="Times New Roman"/>
      <w:sz w:val="24"/>
      <w:szCs w:val="24"/>
      <w:lang w:val="en-GB" w:eastAsia="en-GB"/>
    </w:rPr>
  </w:style>
  <w:style w:type="table" w:styleId="TableGrid">
    <w:name w:val="Table Grid"/>
    <w:basedOn w:val="TableNormal"/>
    <w:uiPriority w:val="59"/>
    <w:rsid w:val="007F092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for figure"/>
    <w:next w:val="Normal"/>
    <w:qFormat/>
    <w:rsid w:val="007F092B"/>
    <w:pPr>
      <w:keepNext/>
      <w:spacing w:before="120" w:after="120" w:line="280" w:lineRule="atLeast"/>
      <w:ind w:left="1440" w:hanging="1440"/>
    </w:pPr>
    <w:rPr>
      <w:rFonts w:ascii="Times New Roman" w:eastAsia="Times New Roman" w:hAnsi="Times New Roman" w:cs="Times New Roman"/>
      <w:b/>
      <w:bCs/>
      <w:sz w:val="24"/>
      <w:szCs w:val="24"/>
      <w:lang w:val="en-US"/>
    </w:rPr>
  </w:style>
  <w:style w:type="paragraph" w:customStyle="1" w:styleId="C-TableText">
    <w:name w:val="C-Table Text"/>
    <w:link w:val="C-TableTextChar"/>
    <w:uiPriority w:val="99"/>
    <w:rsid w:val="00FC77E7"/>
    <w:pPr>
      <w:spacing w:before="60" w:after="60" w:line="240" w:lineRule="auto"/>
    </w:pPr>
    <w:rPr>
      <w:rFonts w:ascii="Times New Roman" w:eastAsia="Calibri" w:hAnsi="Times New Roman" w:cs="Times New Roman"/>
      <w:lang w:val="en-US"/>
    </w:rPr>
  </w:style>
  <w:style w:type="character" w:customStyle="1" w:styleId="C-TableTextChar">
    <w:name w:val="C-Table Text Char"/>
    <w:link w:val="C-TableText"/>
    <w:uiPriority w:val="99"/>
    <w:locked/>
    <w:rsid w:val="00FC77E7"/>
    <w:rPr>
      <w:rFonts w:ascii="Times New Roman" w:eastAsia="Calibri" w:hAnsi="Times New Roman" w:cs="Times New Roman"/>
      <w:lang w:val="en-US"/>
    </w:rPr>
  </w:style>
  <w:style w:type="paragraph" w:customStyle="1" w:styleId="C-TableHeader">
    <w:name w:val="C-Table Header"/>
    <w:next w:val="C-TableText"/>
    <w:link w:val="C-TableHeaderChar"/>
    <w:uiPriority w:val="99"/>
    <w:rsid w:val="00FC77E7"/>
    <w:pPr>
      <w:keepNext/>
      <w:spacing w:before="60" w:after="60" w:line="240" w:lineRule="auto"/>
    </w:pPr>
    <w:rPr>
      <w:rFonts w:ascii="Times New Roman" w:eastAsia="Times New Roman" w:hAnsi="Times New Roman" w:cs="Times New Roman"/>
      <w:b/>
      <w:sz w:val="20"/>
      <w:szCs w:val="20"/>
      <w:lang w:val="en-US"/>
    </w:rPr>
  </w:style>
  <w:style w:type="character" w:customStyle="1" w:styleId="C-TableHeaderChar">
    <w:name w:val="C-Table Header Char"/>
    <w:basedOn w:val="DefaultParagraphFont"/>
    <w:link w:val="C-TableHeader"/>
    <w:uiPriority w:val="99"/>
    <w:rsid w:val="00FC77E7"/>
    <w:rPr>
      <w:rFonts w:ascii="Times New Roman" w:eastAsia="Times New Roman" w:hAnsi="Times New Roman" w:cs="Times New Roman"/>
      <w:b/>
      <w:sz w:val="20"/>
      <w:szCs w:val="20"/>
      <w:lang w:val="en-US"/>
    </w:rPr>
  </w:style>
  <w:style w:type="paragraph" w:customStyle="1" w:styleId="C-TableFootnote">
    <w:name w:val="C-Table Footnote"/>
    <w:next w:val="Normal"/>
    <w:uiPriority w:val="99"/>
    <w:rsid w:val="00FF31AB"/>
    <w:pPr>
      <w:tabs>
        <w:tab w:val="left" w:pos="144"/>
      </w:tabs>
      <w:spacing w:after="0" w:line="240" w:lineRule="auto"/>
      <w:ind w:left="144" w:hanging="144"/>
    </w:pPr>
    <w:rPr>
      <w:rFonts w:ascii="Times New Roman" w:eastAsia="Times New Roman" w:hAnsi="Times New Roman" w:cs="Arial"/>
      <w:sz w:val="20"/>
      <w:szCs w:val="20"/>
      <w:lang w:val="en-US"/>
    </w:rPr>
  </w:style>
  <w:style w:type="paragraph" w:customStyle="1" w:styleId="C-BodyText">
    <w:name w:val="C-Body Text"/>
    <w:link w:val="C-BodyTextChar"/>
    <w:rsid w:val="007D354B"/>
    <w:pPr>
      <w:spacing w:before="120" w:after="120" w:line="280" w:lineRule="atLeast"/>
    </w:pPr>
    <w:rPr>
      <w:rFonts w:ascii="Times New Roman" w:eastAsia="Calibri" w:hAnsi="Times New Roman" w:cs="Times New Roman"/>
      <w:sz w:val="24"/>
      <w:szCs w:val="20"/>
      <w:lang w:val="en-US"/>
    </w:rPr>
  </w:style>
  <w:style w:type="character" w:customStyle="1" w:styleId="C-BodyTextChar">
    <w:name w:val="C-Body Text Char"/>
    <w:basedOn w:val="DefaultParagraphFont"/>
    <w:link w:val="C-BodyText"/>
    <w:locked/>
    <w:rsid w:val="007D354B"/>
    <w:rPr>
      <w:rFonts w:ascii="Times New Roman" w:eastAsia="Calibri" w:hAnsi="Times New Roman" w:cs="Times New Roman"/>
      <w:sz w:val="24"/>
      <w:szCs w:val="20"/>
      <w:lang w:val="en-US"/>
    </w:rPr>
  </w:style>
  <w:style w:type="character" w:customStyle="1" w:styleId="C-TableCallout">
    <w:name w:val="C-Table Callout"/>
    <w:uiPriority w:val="99"/>
    <w:rsid w:val="007D354B"/>
    <w:rPr>
      <w:rFonts w:ascii="Times New Roman" w:hAnsi="Times New Roman"/>
      <w:color w:val="auto"/>
      <w:spacing w:val="0"/>
      <w:w w:val="100"/>
      <w:position w:val="0"/>
      <w:sz w:val="22"/>
      <w:u w:val="none"/>
      <w:effect w:val="none"/>
      <w:vertAlign w:val="superscript"/>
      <w:em w:val="none"/>
    </w:rPr>
  </w:style>
  <w:style w:type="paragraph" w:styleId="Revision">
    <w:name w:val="Revision"/>
    <w:hidden/>
    <w:uiPriority w:val="99"/>
    <w:semiHidden/>
    <w:rsid w:val="00D952DB"/>
    <w:pPr>
      <w:spacing w:after="0" w:line="240" w:lineRule="auto"/>
    </w:pPr>
  </w:style>
  <w:style w:type="paragraph" w:customStyle="1" w:styleId="Default">
    <w:name w:val="Default"/>
    <w:uiPriority w:val="99"/>
    <w:rsid w:val="00981321"/>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Bibliography">
    <w:name w:val="Bibliography"/>
    <w:basedOn w:val="Normal"/>
    <w:next w:val="Normal"/>
    <w:uiPriority w:val="37"/>
    <w:semiHidden/>
    <w:unhideWhenUsed/>
    <w:rsid w:val="00C05DF7"/>
  </w:style>
  <w:style w:type="paragraph" w:styleId="BlockText">
    <w:name w:val="Block Text"/>
    <w:basedOn w:val="Normal"/>
    <w:uiPriority w:val="99"/>
    <w:semiHidden/>
    <w:unhideWhenUsed/>
    <w:rsid w:val="00C05DF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C05DF7"/>
    <w:pPr>
      <w:spacing w:after="120" w:line="480" w:lineRule="auto"/>
    </w:pPr>
  </w:style>
  <w:style w:type="character" w:customStyle="1" w:styleId="BodyText2Char">
    <w:name w:val="Body Text 2 Char"/>
    <w:basedOn w:val="DefaultParagraphFont"/>
    <w:link w:val="BodyText2"/>
    <w:uiPriority w:val="99"/>
    <w:semiHidden/>
    <w:rsid w:val="00C05DF7"/>
  </w:style>
  <w:style w:type="paragraph" w:styleId="BodyText3">
    <w:name w:val="Body Text 3"/>
    <w:basedOn w:val="Normal"/>
    <w:link w:val="BodyText3Char"/>
    <w:uiPriority w:val="99"/>
    <w:semiHidden/>
    <w:unhideWhenUsed/>
    <w:rsid w:val="00C05DF7"/>
    <w:pPr>
      <w:spacing w:after="120"/>
    </w:pPr>
    <w:rPr>
      <w:sz w:val="16"/>
      <w:szCs w:val="16"/>
    </w:rPr>
  </w:style>
  <w:style w:type="character" w:customStyle="1" w:styleId="BodyText3Char">
    <w:name w:val="Body Text 3 Char"/>
    <w:basedOn w:val="DefaultParagraphFont"/>
    <w:link w:val="BodyText3"/>
    <w:uiPriority w:val="99"/>
    <w:semiHidden/>
    <w:rsid w:val="00C05DF7"/>
    <w:rPr>
      <w:sz w:val="16"/>
      <w:szCs w:val="16"/>
    </w:rPr>
  </w:style>
  <w:style w:type="paragraph" w:styleId="BodyTextFirstIndent">
    <w:name w:val="Body Text First Indent"/>
    <w:basedOn w:val="BodyText"/>
    <w:link w:val="BodyTextFirstIndentChar"/>
    <w:uiPriority w:val="99"/>
    <w:semiHidden/>
    <w:unhideWhenUsed/>
    <w:rsid w:val="00C05DF7"/>
    <w:pPr>
      <w:autoSpaceDE/>
      <w:autoSpaceDN/>
      <w:adjustRightInd/>
      <w:spacing w:before="0" w:after="200" w:line="276" w:lineRule="auto"/>
      <w:ind w:left="0" w:firstLine="360"/>
    </w:pPr>
    <w:rPr>
      <w:rFonts w:asciiTheme="minorHAnsi" w:eastAsiaTheme="minorHAnsi" w:hAnsiTheme="minorHAnsi" w:cstheme="minorBidi"/>
      <w:sz w:val="22"/>
      <w:szCs w:val="22"/>
      <w:lang w:val="en-AU" w:eastAsia="en-US"/>
    </w:rPr>
  </w:style>
  <w:style w:type="character" w:customStyle="1" w:styleId="BodyTextFirstIndentChar">
    <w:name w:val="Body Text First Indent Char"/>
    <w:basedOn w:val="BodyTextChar"/>
    <w:link w:val="BodyTextFirstIndent"/>
    <w:uiPriority w:val="99"/>
    <w:semiHidden/>
    <w:rsid w:val="00C05DF7"/>
    <w:rPr>
      <w:rFonts w:ascii="Times New Roman" w:eastAsia="Calibri" w:hAnsi="Times New Roman" w:cs="Times New Roman"/>
      <w:sz w:val="24"/>
      <w:szCs w:val="24"/>
      <w:lang w:val="en-GB" w:eastAsia="en-GB"/>
    </w:rPr>
  </w:style>
  <w:style w:type="paragraph" w:styleId="BodyTextIndent">
    <w:name w:val="Body Text Indent"/>
    <w:basedOn w:val="Normal"/>
    <w:link w:val="BodyTextIndentChar"/>
    <w:uiPriority w:val="99"/>
    <w:semiHidden/>
    <w:unhideWhenUsed/>
    <w:rsid w:val="00C05DF7"/>
    <w:pPr>
      <w:spacing w:after="120"/>
      <w:ind w:left="283"/>
    </w:pPr>
  </w:style>
  <w:style w:type="character" w:customStyle="1" w:styleId="BodyTextIndentChar">
    <w:name w:val="Body Text Indent Char"/>
    <w:basedOn w:val="DefaultParagraphFont"/>
    <w:link w:val="BodyTextIndent"/>
    <w:uiPriority w:val="99"/>
    <w:semiHidden/>
    <w:rsid w:val="00C05DF7"/>
  </w:style>
  <w:style w:type="paragraph" w:styleId="BodyTextFirstIndent2">
    <w:name w:val="Body Text First Indent 2"/>
    <w:basedOn w:val="BodyTextIndent"/>
    <w:link w:val="BodyTextFirstIndent2Char"/>
    <w:uiPriority w:val="99"/>
    <w:semiHidden/>
    <w:unhideWhenUsed/>
    <w:rsid w:val="00C05DF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05DF7"/>
  </w:style>
  <w:style w:type="paragraph" w:styleId="BodyTextIndent2">
    <w:name w:val="Body Text Indent 2"/>
    <w:basedOn w:val="Normal"/>
    <w:link w:val="BodyTextIndent2Char"/>
    <w:uiPriority w:val="99"/>
    <w:semiHidden/>
    <w:unhideWhenUsed/>
    <w:rsid w:val="00C05DF7"/>
    <w:pPr>
      <w:spacing w:after="120" w:line="480" w:lineRule="auto"/>
      <w:ind w:left="283"/>
    </w:pPr>
  </w:style>
  <w:style w:type="character" w:customStyle="1" w:styleId="BodyTextIndent2Char">
    <w:name w:val="Body Text Indent 2 Char"/>
    <w:basedOn w:val="DefaultParagraphFont"/>
    <w:link w:val="BodyTextIndent2"/>
    <w:uiPriority w:val="99"/>
    <w:semiHidden/>
    <w:rsid w:val="00C05DF7"/>
  </w:style>
  <w:style w:type="paragraph" w:styleId="BodyTextIndent3">
    <w:name w:val="Body Text Indent 3"/>
    <w:basedOn w:val="Normal"/>
    <w:link w:val="BodyTextIndent3Char"/>
    <w:uiPriority w:val="99"/>
    <w:semiHidden/>
    <w:unhideWhenUsed/>
    <w:rsid w:val="00C05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5DF7"/>
    <w:rPr>
      <w:sz w:val="16"/>
      <w:szCs w:val="16"/>
    </w:rPr>
  </w:style>
  <w:style w:type="paragraph" w:styleId="Closing">
    <w:name w:val="Closing"/>
    <w:basedOn w:val="Normal"/>
    <w:link w:val="ClosingChar"/>
    <w:uiPriority w:val="99"/>
    <w:semiHidden/>
    <w:unhideWhenUsed/>
    <w:rsid w:val="00C05DF7"/>
    <w:pPr>
      <w:spacing w:after="0" w:line="240" w:lineRule="auto"/>
      <w:ind w:left="4252"/>
    </w:pPr>
  </w:style>
  <w:style w:type="character" w:customStyle="1" w:styleId="ClosingChar">
    <w:name w:val="Closing Char"/>
    <w:basedOn w:val="DefaultParagraphFont"/>
    <w:link w:val="Closing"/>
    <w:uiPriority w:val="99"/>
    <w:semiHidden/>
    <w:rsid w:val="00C05DF7"/>
  </w:style>
  <w:style w:type="paragraph" w:styleId="CommentSubject">
    <w:name w:val="annotation subject"/>
    <w:basedOn w:val="CommentText"/>
    <w:next w:val="CommentText"/>
    <w:link w:val="CommentSubjectChar"/>
    <w:uiPriority w:val="99"/>
    <w:semiHidden/>
    <w:unhideWhenUsed/>
    <w:rsid w:val="00C05DF7"/>
    <w:rPr>
      <w:rFonts w:asciiTheme="minorHAnsi" w:hAnsiTheme="minorHAnsi"/>
      <w:b/>
      <w:bCs/>
    </w:rPr>
  </w:style>
  <w:style w:type="character" w:customStyle="1" w:styleId="CommentSubjectChar">
    <w:name w:val="Comment Subject Char"/>
    <w:basedOn w:val="CommentTextChar"/>
    <w:link w:val="CommentSubject"/>
    <w:uiPriority w:val="99"/>
    <w:semiHidden/>
    <w:rsid w:val="00C05DF7"/>
    <w:rPr>
      <w:rFonts w:ascii="Cambria" w:hAnsi="Cambria"/>
      <w:b/>
      <w:bCs/>
      <w:sz w:val="20"/>
      <w:szCs w:val="20"/>
    </w:rPr>
  </w:style>
  <w:style w:type="paragraph" w:styleId="Date">
    <w:name w:val="Date"/>
    <w:basedOn w:val="Normal"/>
    <w:next w:val="Normal"/>
    <w:link w:val="DateChar"/>
    <w:uiPriority w:val="99"/>
    <w:semiHidden/>
    <w:unhideWhenUsed/>
    <w:rsid w:val="00C05DF7"/>
  </w:style>
  <w:style w:type="character" w:customStyle="1" w:styleId="DateChar">
    <w:name w:val="Date Char"/>
    <w:basedOn w:val="DefaultParagraphFont"/>
    <w:link w:val="Date"/>
    <w:uiPriority w:val="99"/>
    <w:semiHidden/>
    <w:rsid w:val="00C05DF7"/>
  </w:style>
  <w:style w:type="paragraph" w:styleId="DocumentMap">
    <w:name w:val="Document Map"/>
    <w:basedOn w:val="Normal"/>
    <w:link w:val="DocumentMapChar"/>
    <w:uiPriority w:val="99"/>
    <w:semiHidden/>
    <w:unhideWhenUsed/>
    <w:rsid w:val="00C05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05DF7"/>
    <w:rPr>
      <w:rFonts w:ascii="Segoe UI" w:hAnsi="Segoe UI" w:cs="Segoe UI"/>
      <w:sz w:val="16"/>
      <w:szCs w:val="16"/>
    </w:rPr>
  </w:style>
  <w:style w:type="paragraph" w:styleId="E-mailSignature">
    <w:name w:val="E-mail Signature"/>
    <w:basedOn w:val="Normal"/>
    <w:link w:val="E-mailSignatureChar"/>
    <w:uiPriority w:val="99"/>
    <w:semiHidden/>
    <w:unhideWhenUsed/>
    <w:rsid w:val="00C05DF7"/>
    <w:pPr>
      <w:spacing w:after="0" w:line="240" w:lineRule="auto"/>
    </w:pPr>
  </w:style>
  <w:style w:type="character" w:customStyle="1" w:styleId="E-mailSignatureChar">
    <w:name w:val="E-mail Signature Char"/>
    <w:basedOn w:val="DefaultParagraphFont"/>
    <w:link w:val="E-mailSignature"/>
    <w:uiPriority w:val="99"/>
    <w:semiHidden/>
    <w:rsid w:val="00C05DF7"/>
  </w:style>
  <w:style w:type="paragraph" w:styleId="EndnoteText">
    <w:name w:val="endnote text"/>
    <w:basedOn w:val="Normal"/>
    <w:link w:val="EndnoteTextChar"/>
    <w:uiPriority w:val="99"/>
    <w:semiHidden/>
    <w:unhideWhenUsed/>
    <w:rsid w:val="00C05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5DF7"/>
    <w:rPr>
      <w:sz w:val="20"/>
      <w:szCs w:val="20"/>
    </w:rPr>
  </w:style>
  <w:style w:type="paragraph" w:styleId="EnvelopeAddress">
    <w:name w:val="envelope address"/>
    <w:basedOn w:val="Normal"/>
    <w:uiPriority w:val="99"/>
    <w:semiHidden/>
    <w:unhideWhenUsed/>
    <w:rsid w:val="00C05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5DF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05DF7"/>
    <w:pPr>
      <w:spacing w:after="0" w:line="240" w:lineRule="auto"/>
    </w:pPr>
    <w:rPr>
      <w:i/>
      <w:iCs/>
    </w:rPr>
  </w:style>
  <w:style w:type="character" w:customStyle="1" w:styleId="HTMLAddressChar">
    <w:name w:val="HTML Address Char"/>
    <w:basedOn w:val="DefaultParagraphFont"/>
    <w:link w:val="HTMLAddress"/>
    <w:uiPriority w:val="99"/>
    <w:semiHidden/>
    <w:rsid w:val="00C05DF7"/>
    <w:rPr>
      <w:i/>
      <w:iCs/>
    </w:rPr>
  </w:style>
  <w:style w:type="paragraph" w:styleId="HTMLPreformatted">
    <w:name w:val="HTML Preformatted"/>
    <w:basedOn w:val="Normal"/>
    <w:link w:val="HTMLPreformattedChar"/>
    <w:uiPriority w:val="99"/>
    <w:semiHidden/>
    <w:unhideWhenUsed/>
    <w:rsid w:val="00C05D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5DF7"/>
    <w:rPr>
      <w:rFonts w:ascii="Consolas" w:hAnsi="Consolas"/>
      <w:sz w:val="20"/>
      <w:szCs w:val="20"/>
    </w:rPr>
  </w:style>
  <w:style w:type="paragraph" w:styleId="Index1">
    <w:name w:val="index 1"/>
    <w:basedOn w:val="Normal"/>
    <w:next w:val="Normal"/>
    <w:autoRedefine/>
    <w:uiPriority w:val="99"/>
    <w:semiHidden/>
    <w:unhideWhenUsed/>
    <w:rsid w:val="00C05DF7"/>
    <w:pPr>
      <w:spacing w:after="0" w:line="240" w:lineRule="auto"/>
      <w:ind w:left="220" w:hanging="220"/>
    </w:pPr>
  </w:style>
  <w:style w:type="paragraph" w:styleId="Index2">
    <w:name w:val="index 2"/>
    <w:basedOn w:val="Normal"/>
    <w:next w:val="Normal"/>
    <w:autoRedefine/>
    <w:uiPriority w:val="99"/>
    <w:semiHidden/>
    <w:unhideWhenUsed/>
    <w:rsid w:val="00C05DF7"/>
    <w:pPr>
      <w:spacing w:after="0" w:line="240" w:lineRule="auto"/>
      <w:ind w:left="440" w:hanging="220"/>
    </w:pPr>
  </w:style>
  <w:style w:type="paragraph" w:styleId="Index3">
    <w:name w:val="index 3"/>
    <w:basedOn w:val="Normal"/>
    <w:next w:val="Normal"/>
    <w:autoRedefine/>
    <w:uiPriority w:val="99"/>
    <w:semiHidden/>
    <w:unhideWhenUsed/>
    <w:rsid w:val="00C05DF7"/>
    <w:pPr>
      <w:spacing w:after="0" w:line="240" w:lineRule="auto"/>
      <w:ind w:left="660" w:hanging="220"/>
    </w:pPr>
  </w:style>
  <w:style w:type="paragraph" w:styleId="Index4">
    <w:name w:val="index 4"/>
    <w:basedOn w:val="Normal"/>
    <w:next w:val="Normal"/>
    <w:autoRedefine/>
    <w:uiPriority w:val="99"/>
    <w:semiHidden/>
    <w:unhideWhenUsed/>
    <w:rsid w:val="00C05DF7"/>
    <w:pPr>
      <w:spacing w:after="0" w:line="240" w:lineRule="auto"/>
      <w:ind w:left="880" w:hanging="220"/>
    </w:pPr>
  </w:style>
  <w:style w:type="paragraph" w:styleId="Index5">
    <w:name w:val="index 5"/>
    <w:basedOn w:val="Normal"/>
    <w:next w:val="Normal"/>
    <w:autoRedefine/>
    <w:uiPriority w:val="99"/>
    <w:semiHidden/>
    <w:unhideWhenUsed/>
    <w:rsid w:val="00C05DF7"/>
    <w:pPr>
      <w:spacing w:after="0" w:line="240" w:lineRule="auto"/>
      <w:ind w:left="1100" w:hanging="220"/>
    </w:pPr>
  </w:style>
  <w:style w:type="paragraph" w:styleId="Index6">
    <w:name w:val="index 6"/>
    <w:basedOn w:val="Normal"/>
    <w:next w:val="Normal"/>
    <w:autoRedefine/>
    <w:uiPriority w:val="99"/>
    <w:semiHidden/>
    <w:unhideWhenUsed/>
    <w:rsid w:val="00C05DF7"/>
    <w:pPr>
      <w:spacing w:after="0" w:line="240" w:lineRule="auto"/>
      <w:ind w:left="1320" w:hanging="220"/>
    </w:pPr>
  </w:style>
  <w:style w:type="paragraph" w:styleId="Index7">
    <w:name w:val="index 7"/>
    <w:basedOn w:val="Normal"/>
    <w:next w:val="Normal"/>
    <w:autoRedefine/>
    <w:uiPriority w:val="99"/>
    <w:semiHidden/>
    <w:unhideWhenUsed/>
    <w:rsid w:val="00C05DF7"/>
    <w:pPr>
      <w:spacing w:after="0" w:line="240" w:lineRule="auto"/>
      <w:ind w:left="1540" w:hanging="220"/>
    </w:pPr>
  </w:style>
  <w:style w:type="paragraph" w:styleId="Index8">
    <w:name w:val="index 8"/>
    <w:basedOn w:val="Normal"/>
    <w:next w:val="Normal"/>
    <w:autoRedefine/>
    <w:uiPriority w:val="99"/>
    <w:semiHidden/>
    <w:unhideWhenUsed/>
    <w:rsid w:val="00C05DF7"/>
    <w:pPr>
      <w:spacing w:after="0" w:line="240" w:lineRule="auto"/>
      <w:ind w:left="1760" w:hanging="220"/>
    </w:pPr>
  </w:style>
  <w:style w:type="paragraph" w:styleId="Index9">
    <w:name w:val="index 9"/>
    <w:basedOn w:val="Normal"/>
    <w:next w:val="Normal"/>
    <w:autoRedefine/>
    <w:uiPriority w:val="99"/>
    <w:semiHidden/>
    <w:unhideWhenUsed/>
    <w:rsid w:val="00C05DF7"/>
    <w:pPr>
      <w:spacing w:after="0" w:line="240" w:lineRule="auto"/>
      <w:ind w:left="1980" w:hanging="220"/>
    </w:pPr>
  </w:style>
  <w:style w:type="paragraph" w:styleId="IndexHeading">
    <w:name w:val="index heading"/>
    <w:basedOn w:val="Normal"/>
    <w:next w:val="Index1"/>
    <w:uiPriority w:val="99"/>
    <w:semiHidden/>
    <w:unhideWhenUsed/>
    <w:rsid w:val="00C05D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5D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5DF7"/>
    <w:rPr>
      <w:i/>
      <w:iCs/>
      <w:color w:val="4F81BD" w:themeColor="accent1"/>
    </w:rPr>
  </w:style>
  <w:style w:type="paragraph" w:styleId="List">
    <w:name w:val="List"/>
    <w:basedOn w:val="Normal"/>
    <w:uiPriority w:val="99"/>
    <w:semiHidden/>
    <w:unhideWhenUsed/>
    <w:rsid w:val="00C05DF7"/>
    <w:pPr>
      <w:ind w:left="283" w:hanging="283"/>
      <w:contextualSpacing/>
    </w:pPr>
  </w:style>
  <w:style w:type="paragraph" w:styleId="List2">
    <w:name w:val="List 2"/>
    <w:basedOn w:val="Normal"/>
    <w:uiPriority w:val="99"/>
    <w:semiHidden/>
    <w:unhideWhenUsed/>
    <w:rsid w:val="00C05DF7"/>
    <w:pPr>
      <w:ind w:left="566" w:hanging="283"/>
      <w:contextualSpacing/>
    </w:pPr>
  </w:style>
  <w:style w:type="paragraph" w:styleId="List3">
    <w:name w:val="List 3"/>
    <w:basedOn w:val="Normal"/>
    <w:uiPriority w:val="99"/>
    <w:semiHidden/>
    <w:unhideWhenUsed/>
    <w:rsid w:val="00C05DF7"/>
    <w:pPr>
      <w:ind w:left="849" w:hanging="283"/>
      <w:contextualSpacing/>
    </w:pPr>
  </w:style>
  <w:style w:type="paragraph" w:styleId="List4">
    <w:name w:val="List 4"/>
    <w:basedOn w:val="Normal"/>
    <w:uiPriority w:val="99"/>
    <w:semiHidden/>
    <w:unhideWhenUsed/>
    <w:rsid w:val="00C05DF7"/>
    <w:pPr>
      <w:ind w:left="1132" w:hanging="283"/>
      <w:contextualSpacing/>
    </w:pPr>
  </w:style>
  <w:style w:type="paragraph" w:styleId="List5">
    <w:name w:val="List 5"/>
    <w:basedOn w:val="Normal"/>
    <w:uiPriority w:val="99"/>
    <w:semiHidden/>
    <w:unhideWhenUsed/>
    <w:rsid w:val="00C05DF7"/>
    <w:pPr>
      <w:ind w:left="1415" w:hanging="283"/>
      <w:contextualSpacing/>
    </w:pPr>
  </w:style>
  <w:style w:type="paragraph" w:styleId="ListBullet2">
    <w:name w:val="List Bullet 2"/>
    <w:basedOn w:val="Normal"/>
    <w:uiPriority w:val="99"/>
    <w:semiHidden/>
    <w:unhideWhenUsed/>
    <w:rsid w:val="00C05DF7"/>
    <w:pPr>
      <w:numPr>
        <w:numId w:val="13"/>
      </w:numPr>
      <w:contextualSpacing/>
    </w:pPr>
  </w:style>
  <w:style w:type="paragraph" w:styleId="ListBullet3">
    <w:name w:val="List Bullet 3"/>
    <w:basedOn w:val="Normal"/>
    <w:uiPriority w:val="99"/>
    <w:semiHidden/>
    <w:unhideWhenUsed/>
    <w:rsid w:val="00C05DF7"/>
    <w:pPr>
      <w:numPr>
        <w:numId w:val="14"/>
      </w:numPr>
      <w:contextualSpacing/>
    </w:pPr>
  </w:style>
  <w:style w:type="paragraph" w:styleId="ListBullet4">
    <w:name w:val="List Bullet 4"/>
    <w:basedOn w:val="Normal"/>
    <w:uiPriority w:val="99"/>
    <w:semiHidden/>
    <w:unhideWhenUsed/>
    <w:rsid w:val="00C05DF7"/>
    <w:pPr>
      <w:numPr>
        <w:numId w:val="15"/>
      </w:numPr>
      <w:contextualSpacing/>
    </w:pPr>
  </w:style>
  <w:style w:type="paragraph" w:styleId="ListBullet5">
    <w:name w:val="List Bullet 5"/>
    <w:basedOn w:val="Normal"/>
    <w:uiPriority w:val="99"/>
    <w:semiHidden/>
    <w:unhideWhenUsed/>
    <w:rsid w:val="00C05DF7"/>
    <w:pPr>
      <w:numPr>
        <w:numId w:val="16"/>
      </w:numPr>
      <w:contextualSpacing/>
    </w:pPr>
  </w:style>
  <w:style w:type="paragraph" w:styleId="ListContinue">
    <w:name w:val="List Continue"/>
    <w:basedOn w:val="Normal"/>
    <w:uiPriority w:val="99"/>
    <w:semiHidden/>
    <w:unhideWhenUsed/>
    <w:rsid w:val="00C05DF7"/>
    <w:pPr>
      <w:spacing w:after="120"/>
      <w:ind w:left="283"/>
      <w:contextualSpacing/>
    </w:pPr>
  </w:style>
  <w:style w:type="paragraph" w:styleId="ListContinue2">
    <w:name w:val="List Continue 2"/>
    <w:basedOn w:val="Normal"/>
    <w:uiPriority w:val="99"/>
    <w:semiHidden/>
    <w:unhideWhenUsed/>
    <w:rsid w:val="00C05DF7"/>
    <w:pPr>
      <w:spacing w:after="120"/>
      <w:ind w:left="566"/>
      <w:contextualSpacing/>
    </w:pPr>
  </w:style>
  <w:style w:type="paragraph" w:styleId="ListContinue3">
    <w:name w:val="List Continue 3"/>
    <w:basedOn w:val="Normal"/>
    <w:uiPriority w:val="99"/>
    <w:semiHidden/>
    <w:unhideWhenUsed/>
    <w:rsid w:val="00C05DF7"/>
    <w:pPr>
      <w:spacing w:after="120"/>
      <w:ind w:left="849"/>
      <w:contextualSpacing/>
    </w:pPr>
  </w:style>
  <w:style w:type="paragraph" w:styleId="ListContinue4">
    <w:name w:val="List Continue 4"/>
    <w:basedOn w:val="Normal"/>
    <w:uiPriority w:val="99"/>
    <w:semiHidden/>
    <w:unhideWhenUsed/>
    <w:rsid w:val="00C05DF7"/>
    <w:pPr>
      <w:spacing w:after="120"/>
      <w:ind w:left="1132"/>
      <w:contextualSpacing/>
    </w:pPr>
  </w:style>
  <w:style w:type="paragraph" w:styleId="ListContinue5">
    <w:name w:val="List Continue 5"/>
    <w:basedOn w:val="Normal"/>
    <w:uiPriority w:val="99"/>
    <w:semiHidden/>
    <w:unhideWhenUsed/>
    <w:rsid w:val="00C05DF7"/>
    <w:pPr>
      <w:spacing w:after="120"/>
      <w:ind w:left="1415"/>
      <w:contextualSpacing/>
    </w:pPr>
  </w:style>
  <w:style w:type="paragraph" w:styleId="ListNumber">
    <w:name w:val="List Number"/>
    <w:basedOn w:val="Normal"/>
    <w:uiPriority w:val="99"/>
    <w:semiHidden/>
    <w:unhideWhenUsed/>
    <w:rsid w:val="00C05DF7"/>
    <w:pPr>
      <w:numPr>
        <w:numId w:val="17"/>
      </w:numPr>
      <w:contextualSpacing/>
    </w:pPr>
  </w:style>
  <w:style w:type="paragraph" w:styleId="ListNumber2">
    <w:name w:val="List Number 2"/>
    <w:basedOn w:val="Normal"/>
    <w:uiPriority w:val="99"/>
    <w:semiHidden/>
    <w:unhideWhenUsed/>
    <w:rsid w:val="00C05DF7"/>
    <w:pPr>
      <w:numPr>
        <w:numId w:val="18"/>
      </w:numPr>
      <w:contextualSpacing/>
    </w:pPr>
  </w:style>
  <w:style w:type="paragraph" w:styleId="ListNumber3">
    <w:name w:val="List Number 3"/>
    <w:basedOn w:val="Normal"/>
    <w:uiPriority w:val="99"/>
    <w:semiHidden/>
    <w:unhideWhenUsed/>
    <w:rsid w:val="00C05DF7"/>
    <w:pPr>
      <w:numPr>
        <w:numId w:val="19"/>
      </w:numPr>
      <w:contextualSpacing/>
    </w:pPr>
  </w:style>
  <w:style w:type="paragraph" w:styleId="ListNumber4">
    <w:name w:val="List Number 4"/>
    <w:basedOn w:val="Normal"/>
    <w:uiPriority w:val="99"/>
    <w:semiHidden/>
    <w:unhideWhenUsed/>
    <w:rsid w:val="00C05DF7"/>
    <w:pPr>
      <w:numPr>
        <w:numId w:val="20"/>
      </w:numPr>
      <w:contextualSpacing/>
    </w:pPr>
  </w:style>
  <w:style w:type="paragraph" w:styleId="ListNumber5">
    <w:name w:val="List Number 5"/>
    <w:basedOn w:val="Normal"/>
    <w:uiPriority w:val="99"/>
    <w:semiHidden/>
    <w:unhideWhenUsed/>
    <w:rsid w:val="00C05DF7"/>
    <w:pPr>
      <w:numPr>
        <w:numId w:val="21"/>
      </w:numPr>
      <w:contextualSpacing/>
    </w:pPr>
  </w:style>
  <w:style w:type="paragraph" w:styleId="MacroText">
    <w:name w:val="macro"/>
    <w:link w:val="MacroTextChar"/>
    <w:uiPriority w:val="99"/>
    <w:semiHidden/>
    <w:unhideWhenUsed/>
    <w:rsid w:val="00C05D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05DF7"/>
    <w:rPr>
      <w:rFonts w:ascii="Consolas" w:hAnsi="Consolas"/>
      <w:sz w:val="20"/>
      <w:szCs w:val="20"/>
    </w:rPr>
  </w:style>
  <w:style w:type="paragraph" w:styleId="MessageHeader">
    <w:name w:val="Message Header"/>
    <w:basedOn w:val="Normal"/>
    <w:link w:val="MessageHeaderChar"/>
    <w:uiPriority w:val="99"/>
    <w:semiHidden/>
    <w:unhideWhenUsed/>
    <w:rsid w:val="00C05D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5DF7"/>
    <w:rPr>
      <w:rFonts w:asciiTheme="majorHAnsi" w:eastAsiaTheme="majorEastAsia" w:hAnsiTheme="majorHAnsi" w:cstheme="majorBidi"/>
      <w:sz w:val="24"/>
      <w:szCs w:val="24"/>
      <w:shd w:val="pct20" w:color="auto" w:fill="auto"/>
    </w:rPr>
  </w:style>
  <w:style w:type="paragraph" w:styleId="NoSpacing">
    <w:name w:val="No Spacing"/>
    <w:uiPriority w:val="1"/>
    <w:qFormat/>
    <w:rsid w:val="00C05DF7"/>
    <w:pPr>
      <w:spacing w:after="0" w:line="240" w:lineRule="auto"/>
    </w:pPr>
  </w:style>
  <w:style w:type="paragraph" w:styleId="NormalWeb">
    <w:name w:val="Normal (Web)"/>
    <w:basedOn w:val="Normal"/>
    <w:uiPriority w:val="99"/>
    <w:semiHidden/>
    <w:unhideWhenUsed/>
    <w:rsid w:val="00C05DF7"/>
    <w:rPr>
      <w:rFonts w:ascii="Times New Roman" w:hAnsi="Times New Roman" w:cs="Times New Roman"/>
      <w:sz w:val="24"/>
      <w:szCs w:val="24"/>
    </w:rPr>
  </w:style>
  <w:style w:type="paragraph" w:styleId="NormalIndent">
    <w:name w:val="Normal Indent"/>
    <w:basedOn w:val="Normal"/>
    <w:uiPriority w:val="99"/>
    <w:semiHidden/>
    <w:unhideWhenUsed/>
    <w:rsid w:val="00C05DF7"/>
    <w:pPr>
      <w:ind w:left="720"/>
    </w:pPr>
  </w:style>
  <w:style w:type="paragraph" w:styleId="NoteHeading">
    <w:name w:val="Note Heading"/>
    <w:basedOn w:val="Normal"/>
    <w:next w:val="Normal"/>
    <w:link w:val="NoteHeadingChar"/>
    <w:uiPriority w:val="99"/>
    <w:semiHidden/>
    <w:unhideWhenUsed/>
    <w:rsid w:val="00C05DF7"/>
    <w:pPr>
      <w:spacing w:after="0" w:line="240" w:lineRule="auto"/>
    </w:pPr>
  </w:style>
  <w:style w:type="character" w:customStyle="1" w:styleId="NoteHeadingChar">
    <w:name w:val="Note Heading Char"/>
    <w:basedOn w:val="DefaultParagraphFont"/>
    <w:link w:val="NoteHeading"/>
    <w:uiPriority w:val="99"/>
    <w:semiHidden/>
    <w:rsid w:val="00C05DF7"/>
  </w:style>
  <w:style w:type="paragraph" w:styleId="PlainText">
    <w:name w:val="Plain Text"/>
    <w:basedOn w:val="Normal"/>
    <w:link w:val="PlainTextChar"/>
    <w:uiPriority w:val="99"/>
    <w:semiHidden/>
    <w:unhideWhenUsed/>
    <w:rsid w:val="00C05D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5DF7"/>
    <w:rPr>
      <w:rFonts w:ascii="Consolas" w:hAnsi="Consolas"/>
      <w:sz w:val="21"/>
      <w:szCs w:val="21"/>
    </w:rPr>
  </w:style>
  <w:style w:type="paragraph" w:styleId="Quote">
    <w:name w:val="Quote"/>
    <w:basedOn w:val="Normal"/>
    <w:next w:val="Normal"/>
    <w:link w:val="QuoteChar"/>
    <w:uiPriority w:val="29"/>
    <w:qFormat/>
    <w:rsid w:val="00C05D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5DF7"/>
    <w:rPr>
      <w:i/>
      <w:iCs/>
      <w:color w:val="404040" w:themeColor="text1" w:themeTint="BF"/>
    </w:rPr>
  </w:style>
  <w:style w:type="paragraph" w:styleId="Salutation">
    <w:name w:val="Salutation"/>
    <w:basedOn w:val="Normal"/>
    <w:next w:val="Normal"/>
    <w:link w:val="SalutationChar"/>
    <w:uiPriority w:val="99"/>
    <w:semiHidden/>
    <w:unhideWhenUsed/>
    <w:rsid w:val="00C05DF7"/>
  </w:style>
  <w:style w:type="character" w:customStyle="1" w:styleId="SalutationChar">
    <w:name w:val="Salutation Char"/>
    <w:basedOn w:val="DefaultParagraphFont"/>
    <w:link w:val="Salutation"/>
    <w:uiPriority w:val="99"/>
    <w:semiHidden/>
    <w:rsid w:val="00C05DF7"/>
  </w:style>
  <w:style w:type="paragraph" w:styleId="Signature">
    <w:name w:val="Signature"/>
    <w:basedOn w:val="Normal"/>
    <w:link w:val="SignatureChar"/>
    <w:uiPriority w:val="99"/>
    <w:semiHidden/>
    <w:unhideWhenUsed/>
    <w:rsid w:val="00C05DF7"/>
    <w:pPr>
      <w:spacing w:after="0" w:line="240" w:lineRule="auto"/>
      <w:ind w:left="4252"/>
    </w:pPr>
  </w:style>
  <w:style w:type="character" w:customStyle="1" w:styleId="SignatureChar">
    <w:name w:val="Signature Char"/>
    <w:basedOn w:val="DefaultParagraphFont"/>
    <w:link w:val="Signature"/>
    <w:uiPriority w:val="99"/>
    <w:semiHidden/>
    <w:rsid w:val="00C05DF7"/>
  </w:style>
  <w:style w:type="paragraph" w:styleId="Subtitle">
    <w:name w:val="Subtitle"/>
    <w:basedOn w:val="Normal"/>
    <w:next w:val="Normal"/>
    <w:link w:val="SubtitleChar"/>
    <w:uiPriority w:val="11"/>
    <w:qFormat/>
    <w:rsid w:val="00C05D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5DF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05DF7"/>
    <w:pPr>
      <w:spacing w:after="0"/>
      <w:ind w:left="220" w:hanging="220"/>
    </w:pPr>
  </w:style>
  <w:style w:type="paragraph" w:styleId="TableofFigures">
    <w:name w:val="table of figures"/>
    <w:basedOn w:val="Normal"/>
    <w:next w:val="Normal"/>
    <w:uiPriority w:val="99"/>
    <w:semiHidden/>
    <w:unhideWhenUsed/>
    <w:rsid w:val="00C05DF7"/>
    <w:pPr>
      <w:spacing w:after="0"/>
    </w:pPr>
  </w:style>
  <w:style w:type="paragraph" w:styleId="Title">
    <w:name w:val="Title"/>
    <w:basedOn w:val="Normal"/>
    <w:next w:val="Normal"/>
    <w:link w:val="TitleChar"/>
    <w:uiPriority w:val="10"/>
    <w:qFormat/>
    <w:rsid w:val="00C05D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D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05D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05DF7"/>
    <w:pPr>
      <w:spacing w:after="100"/>
    </w:pPr>
  </w:style>
  <w:style w:type="paragraph" w:styleId="TOC2">
    <w:name w:val="toc 2"/>
    <w:basedOn w:val="Normal"/>
    <w:next w:val="Normal"/>
    <w:autoRedefine/>
    <w:uiPriority w:val="39"/>
    <w:semiHidden/>
    <w:unhideWhenUsed/>
    <w:rsid w:val="00C05DF7"/>
    <w:pPr>
      <w:spacing w:after="100"/>
      <w:ind w:left="220"/>
    </w:pPr>
  </w:style>
  <w:style w:type="paragraph" w:styleId="TOC3">
    <w:name w:val="toc 3"/>
    <w:basedOn w:val="Normal"/>
    <w:next w:val="Normal"/>
    <w:autoRedefine/>
    <w:uiPriority w:val="39"/>
    <w:semiHidden/>
    <w:unhideWhenUsed/>
    <w:rsid w:val="00C05DF7"/>
    <w:pPr>
      <w:spacing w:after="100"/>
      <w:ind w:left="440"/>
    </w:pPr>
  </w:style>
  <w:style w:type="paragraph" w:styleId="TOC4">
    <w:name w:val="toc 4"/>
    <w:basedOn w:val="Normal"/>
    <w:next w:val="Normal"/>
    <w:autoRedefine/>
    <w:uiPriority w:val="39"/>
    <w:semiHidden/>
    <w:unhideWhenUsed/>
    <w:rsid w:val="00C05DF7"/>
    <w:pPr>
      <w:spacing w:after="100"/>
      <w:ind w:left="660"/>
    </w:pPr>
  </w:style>
  <w:style w:type="paragraph" w:styleId="TOC5">
    <w:name w:val="toc 5"/>
    <w:basedOn w:val="Normal"/>
    <w:next w:val="Normal"/>
    <w:autoRedefine/>
    <w:uiPriority w:val="39"/>
    <w:semiHidden/>
    <w:unhideWhenUsed/>
    <w:rsid w:val="00C05DF7"/>
    <w:pPr>
      <w:spacing w:after="100"/>
      <w:ind w:left="880"/>
    </w:pPr>
  </w:style>
  <w:style w:type="paragraph" w:styleId="TOC6">
    <w:name w:val="toc 6"/>
    <w:basedOn w:val="Normal"/>
    <w:next w:val="Normal"/>
    <w:autoRedefine/>
    <w:uiPriority w:val="39"/>
    <w:semiHidden/>
    <w:unhideWhenUsed/>
    <w:rsid w:val="00C05DF7"/>
    <w:pPr>
      <w:spacing w:after="100"/>
      <w:ind w:left="1100"/>
    </w:pPr>
  </w:style>
  <w:style w:type="paragraph" w:styleId="TOC7">
    <w:name w:val="toc 7"/>
    <w:basedOn w:val="Normal"/>
    <w:next w:val="Normal"/>
    <w:autoRedefine/>
    <w:uiPriority w:val="39"/>
    <w:semiHidden/>
    <w:unhideWhenUsed/>
    <w:rsid w:val="00C05DF7"/>
    <w:pPr>
      <w:spacing w:after="100"/>
      <w:ind w:left="1320"/>
    </w:pPr>
  </w:style>
  <w:style w:type="paragraph" w:styleId="TOC8">
    <w:name w:val="toc 8"/>
    <w:basedOn w:val="Normal"/>
    <w:next w:val="Normal"/>
    <w:autoRedefine/>
    <w:uiPriority w:val="39"/>
    <w:semiHidden/>
    <w:unhideWhenUsed/>
    <w:rsid w:val="00C05DF7"/>
    <w:pPr>
      <w:spacing w:after="100"/>
      <w:ind w:left="1540"/>
    </w:pPr>
  </w:style>
  <w:style w:type="paragraph" w:styleId="TOC9">
    <w:name w:val="toc 9"/>
    <w:basedOn w:val="Normal"/>
    <w:next w:val="Normal"/>
    <w:autoRedefine/>
    <w:uiPriority w:val="39"/>
    <w:semiHidden/>
    <w:unhideWhenUsed/>
    <w:rsid w:val="00C05DF7"/>
    <w:pPr>
      <w:spacing w:after="100"/>
      <w:ind w:left="1760"/>
    </w:pPr>
  </w:style>
  <w:style w:type="paragraph" w:styleId="TOCHeading">
    <w:name w:val="TOC Heading"/>
    <w:basedOn w:val="Heading1"/>
    <w:next w:val="Normal"/>
    <w:uiPriority w:val="39"/>
    <w:semiHidden/>
    <w:unhideWhenUsed/>
    <w:qFormat/>
    <w:rsid w:val="00C05DF7"/>
    <w:pPr>
      <w:numPr>
        <w:numId w:val="0"/>
      </w:numPr>
      <w:spacing w:before="240"/>
      <w:outlineLvl w:val="9"/>
    </w:pPr>
    <w:rPr>
      <w:b w:val="0"/>
      <w:bCs w:val="0"/>
      <w:caps w:val="0"/>
      <w:color w:val="365F91" w:themeColor="accent1" w:themeShade="BF"/>
      <w:sz w:val="32"/>
      <w:szCs w:val="32"/>
    </w:rPr>
  </w:style>
  <w:style w:type="paragraph" w:customStyle="1" w:styleId="C-BodyTextIndent">
    <w:name w:val="C-Body Text Indent"/>
    <w:rsid w:val="00DB49B2"/>
    <w:pPr>
      <w:spacing w:before="120" w:after="120" w:line="280" w:lineRule="atLeast"/>
      <w:ind w:left="360"/>
    </w:pPr>
    <w:rPr>
      <w:rFonts w:ascii="Times New Roman" w:eastAsia="Times New Roman" w:hAnsi="Times New Roman" w:cs="Times New Roman"/>
      <w:sz w:val="24"/>
      <w:szCs w:val="20"/>
      <w:lang w:val="en-US"/>
    </w:rPr>
  </w:style>
  <w:style w:type="paragraph" w:customStyle="1" w:styleId="C-CaptionContinued">
    <w:name w:val="C-Caption Continued"/>
    <w:next w:val="C-BodyText"/>
    <w:rsid w:val="00DB49B2"/>
    <w:pPr>
      <w:keepNext/>
      <w:spacing w:before="120" w:after="120" w:line="280" w:lineRule="atLeast"/>
      <w:ind w:left="1440" w:hanging="1440"/>
    </w:pPr>
    <w:rPr>
      <w:rFonts w:ascii="Times New Roman" w:eastAsia="Times New Roman" w:hAnsi="Times New Roman" w:cs="Arial"/>
      <w:b/>
      <w:sz w:val="24"/>
      <w:szCs w:val="20"/>
      <w:lang w:val="en-US"/>
    </w:rPr>
  </w:style>
  <w:style w:type="character" w:styleId="FollowedHyperlink">
    <w:name w:val="FollowedHyperlink"/>
    <w:basedOn w:val="DefaultParagraphFont"/>
    <w:uiPriority w:val="99"/>
    <w:semiHidden/>
    <w:unhideWhenUsed/>
    <w:rsid w:val="00044AE3"/>
    <w:rPr>
      <w:color w:val="800080" w:themeColor="followedHyperlink"/>
      <w:u w:val="single"/>
    </w:rPr>
  </w:style>
  <w:style w:type="table" w:customStyle="1" w:styleId="TableGrid1">
    <w:name w:val="Table Grid1"/>
    <w:basedOn w:val="TableNormal"/>
    <w:next w:val="TableGrid"/>
    <w:uiPriority w:val="59"/>
    <w:rsid w:val="00EE2059"/>
    <w:pPr>
      <w:spacing w:before="120"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9381">
      <w:bodyDiv w:val="1"/>
      <w:marLeft w:val="0"/>
      <w:marRight w:val="0"/>
      <w:marTop w:val="0"/>
      <w:marBottom w:val="0"/>
      <w:divBdr>
        <w:top w:val="none" w:sz="0" w:space="0" w:color="auto"/>
        <w:left w:val="none" w:sz="0" w:space="0" w:color="auto"/>
        <w:bottom w:val="none" w:sz="0" w:space="0" w:color="auto"/>
        <w:right w:val="none" w:sz="0" w:space="0" w:color="auto"/>
      </w:divBdr>
    </w:div>
    <w:div w:id="317923020">
      <w:bodyDiv w:val="1"/>
      <w:marLeft w:val="0"/>
      <w:marRight w:val="0"/>
      <w:marTop w:val="0"/>
      <w:marBottom w:val="0"/>
      <w:divBdr>
        <w:top w:val="none" w:sz="0" w:space="0" w:color="auto"/>
        <w:left w:val="none" w:sz="0" w:space="0" w:color="auto"/>
        <w:bottom w:val="none" w:sz="0" w:space="0" w:color="auto"/>
        <w:right w:val="none" w:sz="0" w:space="0" w:color="auto"/>
      </w:divBdr>
    </w:div>
    <w:div w:id="109828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ocelect.com/products/kodate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reporting-problem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ga.gov.au/reporting-problems"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C19B-BEA4-444E-A799-280B19E7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5633</Words>
  <Characters>30986</Characters>
  <Application>Microsoft Office Word</Application>
  <DocSecurity>0</DocSecurity>
  <Lines>794</Lines>
  <Paragraphs>381</Paragraphs>
  <ScaleCrop>false</ScaleCrop>
  <HeadingPairs>
    <vt:vector size="2" baseType="variant">
      <vt:variant>
        <vt:lpstr>Title</vt:lpstr>
      </vt:variant>
      <vt:variant>
        <vt:i4>1</vt:i4>
      </vt:variant>
    </vt:vector>
  </HeadingPairs>
  <TitlesOfParts>
    <vt:vector size="1" baseType="lpstr">
      <vt:lpstr>Attachment: Product Information: Tafenoquine succinate</vt:lpstr>
    </vt:vector>
  </TitlesOfParts>
  <LinksUpToDate>false</LinksUpToDate>
  <CharactersWithSpaces>36238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Tafenoquine succinate</dc:title>
  <dc:subject>prescription medicines</dc:subject>
  <dc:creator/>
  <cp:lastModifiedBy/>
  <cp:revision>1</cp:revision>
  <dcterms:created xsi:type="dcterms:W3CDTF">2019-06-25T01:42:00Z</dcterms:created>
  <dcterms:modified xsi:type="dcterms:W3CDTF">2019-06-25T02:36:00Z</dcterms:modified>
</cp:coreProperties>
</file>