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Y="9863"/>
        <w:tblOverlap w:val="never"/>
        <w:tblW w:w="94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00"/>
      </w:tblGrid>
      <w:tr w:rsidR="008E7846" w:rsidRPr="00487162" w14:paraId="7B1FD9BF" w14:textId="77777777" w:rsidTr="00970674">
        <w:trPr>
          <w:trHeight w:val="1847"/>
        </w:trPr>
        <w:tc>
          <w:tcPr>
            <w:tcW w:w="9400" w:type="dxa"/>
            <w:tcBorders>
              <w:top w:val="nil"/>
              <w:left w:val="nil"/>
              <w:bottom w:val="nil"/>
              <w:right w:val="nil"/>
            </w:tcBorders>
          </w:tcPr>
          <w:p w14:paraId="4047E317" w14:textId="77777777" w:rsidR="00970674" w:rsidRDefault="00970674" w:rsidP="00970674">
            <w:pPr>
              <w:ind w:left="3119" w:hanging="3119"/>
              <w:rPr>
                <w:rFonts w:ascii="Arial" w:hAnsi="Arial" w:cs="Arial"/>
                <w:b/>
                <w:sz w:val="28"/>
                <w:szCs w:val="28"/>
              </w:rPr>
            </w:pPr>
            <w:r>
              <w:rPr>
                <w:rFonts w:ascii="Arial" w:hAnsi="Arial" w:cs="Arial"/>
                <w:b/>
                <w:sz w:val="28"/>
                <w:szCs w:val="28"/>
              </w:rPr>
              <w:t>Date of first round report:</w:t>
            </w:r>
            <w:r w:rsidR="00342116">
              <w:rPr>
                <w:rFonts w:ascii="Arial" w:hAnsi="Arial" w:cs="Arial"/>
                <w:b/>
                <w:sz w:val="28"/>
                <w:szCs w:val="28"/>
              </w:rPr>
              <w:t xml:space="preserve"> </w:t>
            </w:r>
            <w:r>
              <w:rPr>
                <w:rFonts w:ascii="Arial" w:hAnsi="Arial" w:cs="Arial"/>
                <w:b/>
                <w:sz w:val="28"/>
                <w:szCs w:val="28"/>
              </w:rPr>
              <w:t>13 April 2015</w:t>
            </w:r>
          </w:p>
          <w:p w14:paraId="419B3A7E" w14:textId="7D99FE24" w:rsidR="008E7846" w:rsidRPr="0017078F" w:rsidRDefault="00970674" w:rsidP="0017078F">
            <w:pPr>
              <w:rPr>
                <w:rFonts w:ascii="Arial" w:hAnsi="Arial" w:cs="Arial"/>
                <w:b/>
                <w:color w:val="002C47"/>
                <w:sz w:val="36"/>
                <w:szCs w:val="36"/>
              </w:rPr>
            </w:pPr>
            <w:r>
              <w:rPr>
                <w:rFonts w:ascii="Arial" w:hAnsi="Arial" w:cs="Arial"/>
                <w:b/>
                <w:sz w:val="28"/>
                <w:szCs w:val="28"/>
              </w:rPr>
              <w:t>Date of second round report:</w:t>
            </w:r>
            <w:r w:rsidR="00342116">
              <w:rPr>
                <w:rFonts w:ascii="Arial" w:hAnsi="Arial" w:cs="Arial"/>
                <w:b/>
                <w:sz w:val="28"/>
                <w:szCs w:val="28"/>
              </w:rPr>
              <w:t xml:space="preserve"> </w:t>
            </w:r>
            <w:r>
              <w:rPr>
                <w:rFonts w:ascii="Arial" w:hAnsi="Arial" w:cs="Arial"/>
                <w:b/>
                <w:sz w:val="28"/>
                <w:szCs w:val="28"/>
              </w:rPr>
              <w:t>3 September 2015</w:t>
            </w:r>
          </w:p>
        </w:tc>
      </w:tr>
    </w:tbl>
    <w:tbl>
      <w:tblPr>
        <w:tblpPr w:leftFromText="180" w:rightFromText="180" w:vertAnchor="page" w:tblpY="3316"/>
        <w:tblW w:w="10056" w:type="dxa"/>
        <w:tblLayout w:type="fixed"/>
        <w:tblLook w:val="04A0" w:firstRow="1" w:lastRow="0" w:firstColumn="1" w:lastColumn="0" w:noHBand="0" w:noVBand="1"/>
      </w:tblPr>
      <w:tblGrid>
        <w:gridCol w:w="10056"/>
      </w:tblGrid>
      <w:tr w:rsidR="0032583B" w:rsidRPr="00A964D1" w14:paraId="3E4BE86E" w14:textId="77777777" w:rsidTr="00970674">
        <w:trPr>
          <w:trHeight w:val="1434"/>
        </w:trPr>
        <w:tc>
          <w:tcPr>
            <w:tcW w:w="10056" w:type="dxa"/>
          </w:tcPr>
          <w:p w14:paraId="0FF17CC2" w14:textId="77777777" w:rsidR="0032583B" w:rsidRPr="00A964D1" w:rsidRDefault="00E07F15" w:rsidP="00A964D1">
            <w:pPr>
              <w:pStyle w:val="Title"/>
              <w:rPr>
                <w:color w:val="FFFFFF" w:themeColor="background1"/>
              </w:rPr>
            </w:pPr>
            <w:proofErr w:type="spellStart"/>
            <w:r>
              <w:rPr>
                <w:color w:val="FFFFFF" w:themeColor="background1"/>
              </w:rPr>
              <w:t>AusPAR</w:t>
            </w:r>
            <w:proofErr w:type="spellEnd"/>
            <w:r>
              <w:rPr>
                <w:color w:val="FFFFFF" w:themeColor="background1"/>
              </w:rPr>
              <w:t xml:space="preserve"> Attachment 2</w:t>
            </w:r>
          </w:p>
        </w:tc>
      </w:tr>
      <w:tr w:rsidR="00E07F15" w:rsidRPr="00A964D1" w14:paraId="5CEDA0A6" w14:textId="77777777" w:rsidTr="00970674">
        <w:trPr>
          <w:trHeight w:val="804"/>
        </w:trPr>
        <w:tc>
          <w:tcPr>
            <w:tcW w:w="10056" w:type="dxa"/>
          </w:tcPr>
          <w:p w14:paraId="0120A885" w14:textId="4A471F6D" w:rsidR="00E07F15" w:rsidRPr="00A964D1" w:rsidRDefault="00E07F15" w:rsidP="006214A2">
            <w:pPr>
              <w:pStyle w:val="Title"/>
              <w:rPr>
                <w:color w:val="FFFFFF" w:themeColor="background1"/>
              </w:rPr>
            </w:pPr>
            <w:r>
              <w:rPr>
                <w:color w:val="FFFFFF" w:themeColor="background1"/>
              </w:rPr>
              <w:t>Extract from the Clinical Evaluation Report</w:t>
            </w:r>
            <w:r w:rsidRPr="00A964D1">
              <w:rPr>
                <w:color w:val="FFFFFF" w:themeColor="background1"/>
              </w:rPr>
              <w:t xml:space="preserve"> for</w:t>
            </w:r>
            <w:r w:rsidR="00970674">
              <w:rPr>
                <w:rFonts w:cs="Arial"/>
                <w:b/>
                <w:sz w:val="28"/>
                <w:szCs w:val="28"/>
              </w:rPr>
              <w:t xml:space="preserve"> </w:t>
            </w:r>
            <w:proofErr w:type="spellStart"/>
            <w:r w:rsidR="00970674" w:rsidRPr="00970674">
              <w:rPr>
                <w:rFonts w:cs="Arial"/>
                <w:color w:val="FFFFFF" w:themeColor="background1"/>
              </w:rPr>
              <w:t>Talimogene</w:t>
            </w:r>
            <w:proofErr w:type="spellEnd"/>
            <w:r w:rsidR="00970674" w:rsidRPr="00970674">
              <w:rPr>
                <w:rFonts w:cs="Arial"/>
                <w:color w:val="FFFFFF" w:themeColor="background1"/>
              </w:rPr>
              <w:t xml:space="preserve"> </w:t>
            </w:r>
            <w:proofErr w:type="spellStart"/>
            <w:r w:rsidR="006214A2">
              <w:rPr>
                <w:rFonts w:cs="Arial"/>
                <w:color w:val="FFFFFF" w:themeColor="background1"/>
              </w:rPr>
              <w:t>L</w:t>
            </w:r>
            <w:r w:rsidR="006214A2" w:rsidRPr="00970674">
              <w:rPr>
                <w:rFonts w:cs="Arial"/>
                <w:color w:val="FFFFFF" w:themeColor="background1"/>
              </w:rPr>
              <w:t>aherparepvec</w:t>
            </w:r>
            <w:proofErr w:type="spellEnd"/>
          </w:p>
        </w:tc>
      </w:tr>
      <w:tr w:rsidR="00E07F15" w:rsidRPr="00B64760" w14:paraId="5AB05110" w14:textId="77777777" w:rsidTr="00970674">
        <w:trPr>
          <w:trHeight w:val="875"/>
        </w:trPr>
        <w:tc>
          <w:tcPr>
            <w:tcW w:w="10056" w:type="dxa"/>
          </w:tcPr>
          <w:p w14:paraId="2338F233" w14:textId="3E3566D1" w:rsidR="00E07F15" w:rsidRPr="00970674" w:rsidRDefault="00E07F15" w:rsidP="00E07F15">
            <w:pPr>
              <w:pStyle w:val="Subtitle"/>
              <w:rPr>
                <w:color w:val="FFFFFF" w:themeColor="background1"/>
                <w:szCs w:val="40"/>
              </w:rPr>
            </w:pPr>
            <w:r w:rsidRPr="00970674">
              <w:rPr>
                <w:color w:val="FFFFFF" w:themeColor="background1"/>
                <w:szCs w:val="40"/>
              </w:rPr>
              <w:t>Proprietary Product Name:</w:t>
            </w:r>
            <w:r w:rsidR="00BA348C">
              <w:rPr>
                <w:color w:val="FFFFFF" w:themeColor="background1"/>
                <w:szCs w:val="40"/>
              </w:rPr>
              <w:t xml:space="preserve"> </w:t>
            </w:r>
            <w:proofErr w:type="spellStart"/>
            <w:r w:rsidR="002C0543">
              <w:rPr>
                <w:rFonts w:cs="Arial"/>
                <w:color w:val="FFFFFF" w:themeColor="background1"/>
                <w:szCs w:val="40"/>
              </w:rPr>
              <w:t>Imlygic</w:t>
            </w:r>
            <w:proofErr w:type="spellEnd"/>
          </w:p>
        </w:tc>
      </w:tr>
      <w:tr w:rsidR="00E07F15" w:rsidRPr="00B64760" w14:paraId="03FB40B0" w14:textId="77777777" w:rsidTr="00970674">
        <w:trPr>
          <w:trHeight w:val="450"/>
        </w:trPr>
        <w:tc>
          <w:tcPr>
            <w:tcW w:w="10056" w:type="dxa"/>
          </w:tcPr>
          <w:p w14:paraId="3922B80B" w14:textId="77777777" w:rsidR="00E07F15" w:rsidRPr="00970674" w:rsidRDefault="00E07F15" w:rsidP="00E07F15">
            <w:pPr>
              <w:pStyle w:val="Subtitle"/>
              <w:rPr>
                <w:color w:val="FFFFFF" w:themeColor="background1"/>
                <w:szCs w:val="40"/>
              </w:rPr>
            </w:pPr>
            <w:r w:rsidRPr="00970674">
              <w:rPr>
                <w:color w:val="FFFFFF" w:themeColor="background1"/>
                <w:szCs w:val="40"/>
              </w:rPr>
              <w:t>Sponsor:</w:t>
            </w:r>
            <w:r w:rsidR="00BA348C">
              <w:rPr>
                <w:color w:val="FFFFFF" w:themeColor="background1"/>
                <w:szCs w:val="40"/>
              </w:rPr>
              <w:t xml:space="preserve"> </w:t>
            </w:r>
            <w:r w:rsidR="00970674" w:rsidRPr="00970674">
              <w:rPr>
                <w:rFonts w:cs="Arial"/>
                <w:color w:val="FFFFFF" w:themeColor="background1"/>
                <w:szCs w:val="40"/>
              </w:rPr>
              <w:t>Amgen Australia</w:t>
            </w:r>
          </w:p>
        </w:tc>
      </w:tr>
    </w:tbl>
    <w:p w14:paraId="58ED4660" w14:textId="77777777" w:rsidR="008E7846" w:rsidRDefault="008E7846" w:rsidP="008E7846">
      <w:pPr>
        <w:pStyle w:val="NonTOCHeading2"/>
      </w:pPr>
      <w:r>
        <w:br w:type="page"/>
      </w:r>
    </w:p>
    <w:p w14:paraId="21B1B1AF" w14:textId="77777777" w:rsidR="008E7846" w:rsidRPr="001F6CBA" w:rsidRDefault="008E7846" w:rsidP="008E7846">
      <w:pPr>
        <w:pStyle w:val="NonTOCHeading2"/>
      </w:pPr>
      <w:r w:rsidRPr="001F6CBA">
        <w:lastRenderedPageBreak/>
        <w:t>About the Therapeutic Goods Administration (TGA)</w:t>
      </w:r>
    </w:p>
    <w:p w14:paraId="38FA5420" w14:textId="77777777" w:rsidR="008E7846" w:rsidRDefault="008E7846" w:rsidP="001429A2">
      <w:pPr>
        <w:pStyle w:val="ListBullet"/>
        <w:numPr>
          <w:ilvl w:val="0"/>
          <w:numId w:val="1"/>
        </w:numPr>
        <w:ind w:left="357" w:hanging="357"/>
      </w:pPr>
      <w:r>
        <w:t xml:space="preserve">The Therapeutic Goods Administration (TGA) is </w:t>
      </w:r>
      <w:r w:rsidR="00E624A5">
        <w:t xml:space="preserve">part </w:t>
      </w:r>
      <w:r>
        <w:t>of the Australian Government Department of Health, and is responsible for regulating medicines and medical devices.</w:t>
      </w:r>
    </w:p>
    <w:p w14:paraId="767A2963" w14:textId="77777777" w:rsidR="008E7846" w:rsidRDefault="00C811C0" w:rsidP="001429A2">
      <w:pPr>
        <w:pStyle w:val="ListBullet"/>
        <w:numPr>
          <w:ilvl w:val="0"/>
          <w:numId w:val="1"/>
        </w:numPr>
        <w:ind w:left="357" w:hanging="357"/>
      </w:pPr>
      <w:r>
        <w:t xml:space="preserve">The </w:t>
      </w:r>
      <w:r w:rsidR="008E7846">
        <w:t xml:space="preserve">TGA administers the </w:t>
      </w:r>
      <w:r w:rsidR="008E7846" w:rsidRPr="00F640B6">
        <w:rPr>
          <w:i/>
        </w:rPr>
        <w:t>Therapeutic Goods Act 1989</w:t>
      </w:r>
      <w:r w:rsidR="008E7846">
        <w:t xml:space="preserve"> (the Act), applying a risk management approach designed to ensure therapeutic goods supplied in Australia meet acceptable standards of quality, safety and efficacy (performance), when necessary.</w:t>
      </w:r>
    </w:p>
    <w:p w14:paraId="4792AC08" w14:textId="77777777" w:rsidR="008E7846" w:rsidRDefault="008E7846" w:rsidP="001429A2">
      <w:pPr>
        <w:pStyle w:val="ListBullet"/>
        <w:numPr>
          <w:ilvl w:val="0"/>
          <w:numId w:val="1"/>
        </w:numPr>
        <w:ind w:left="357" w:hanging="357"/>
      </w:pPr>
      <w:r>
        <w:t>The work of the TGA is based on applying scientific and clinical expertise to decision-making, to ensure that the benefits to consumers outweigh any risks associated with the use of medicines and medical devices.</w:t>
      </w:r>
    </w:p>
    <w:p w14:paraId="60DE8C7D" w14:textId="77777777" w:rsidR="008E7846" w:rsidRDefault="008E7846" w:rsidP="001429A2">
      <w:pPr>
        <w:pStyle w:val="ListBullet"/>
        <w:numPr>
          <w:ilvl w:val="0"/>
          <w:numId w:val="1"/>
        </w:numPr>
        <w:ind w:left="357" w:hanging="357"/>
      </w:pPr>
      <w:r>
        <w:t>The TGA relies on the public, healthcare professionals and industry to report problems with medicines or medical devices. TGA investigates reports received by it to determine any necessary regulatory action.</w:t>
      </w:r>
    </w:p>
    <w:p w14:paraId="54C09297" w14:textId="77777777" w:rsidR="008E7846" w:rsidRDefault="008E7846" w:rsidP="001429A2">
      <w:pPr>
        <w:pStyle w:val="ListBullet"/>
        <w:numPr>
          <w:ilvl w:val="0"/>
          <w:numId w:val="1"/>
        </w:numPr>
        <w:ind w:left="357" w:hanging="357"/>
      </w:pPr>
      <w:r>
        <w:t>To report a problem with a medicine or medical device, please see the information on the TGA website</w:t>
      </w:r>
      <w:r w:rsidR="00112F56">
        <w:t xml:space="preserve"> &lt;</w:t>
      </w:r>
      <w:hyperlink r:id="rId9" w:history="1">
        <w:r w:rsidR="00E979F4" w:rsidRPr="00FE02B1">
          <w:rPr>
            <w:rStyle w:val="Hyperlink"/>
          </w:rPr>
          <w:t>https://www.tga.gov.au</w:t>
        </w:r>
      </w:hyperlink>
      <w:r w:rsidR="00112F56">
        <w:t>&gt;</w:t>
      </w:r>
      <w:r>
        <w:t>.</w:t>
      </w:r>
    </w:p>
    <w:p w14:paraId="7AC49C5E" w14:textId="77777777" w:rsidR="0017078F" w:rsidRPr="001F6CBA" w:rsidRDefault="0017078F" w:rsidP="0017078F">
      <w:pPr>
        <w:pStyle w:val="NonTOCHeading2"/>
      </w:pPr>
      <w:r w:rsidRPr="001F6CBA">
        <w:t xml:space="preserve">About the </w:t>
      </w:r>
      <w:r w:rsidRPr="0017078F">
        <w:t>Extract</w:t>
      </w:r>
      <w:r>
        <w:t xml:space="preserve"> from the Clinical Evaluation Report</w:t>
      </w:r>
    </w:p>
    <w:p w14:paraId="63AFC978" w14:textId="77777777" w:rsidR="0017078F" w:rsidRDefault="003D0A3B" w:rsidP="0017078F">
      <w:pPr>
        <w:pStyle w:val="ListBullet"/>
      </w:pPr>
      <w:r w:rsidRPr="003D0A3B">
        <w:t>This document provides a more detailed evaluation of the clinical findings, extracted from the Clinical Evaluation Report (CER) prepared by the TGA. This extract does not include sections from the CER regarding product documentation or post market activities.</w:t>
      </w:r>
    </w:p>
    <w:p w14:paraId="69D0DC3B" w14:textId="77777777" w:rsidR="003D0A3B" w:rsidRDefault="003D0A3B" w:rsidP="003D0A3B">
      <w:pPr>
        <w:pStyle w:val="ListBullet"/>
      </w:pPr>
      <w:r w:rsidRPr="003D0A3B">
        <w:t>The words [Information redacted], where they appear in this document, indicate that confidential information has been deleted.</w:t>
      </w:r>
    </w:p>
    <w:p w14:paraId="0C9DA2E5" w14:textId="77777777" w:rsidR="0017078F" w:rsidRDefault="003D0A3B" w:rsidP="0017078F">
      <w:pPr>
        <w:pStyle w:val="ListBullet"/>
      </w:pPr>
      <w:r w:rsidRPr="003D0A3B">
        <w:t>For the most recent Product Information (PI), please refer to the TGA website</w:t>
      </w:r>
      <w:r>
        <w:t xml:space="preserve"> </w:t>
      </w:r>
      <w:r w:rsidR="00B1425E" w:rsidRPr="00B1425E">
        <w:t>&lt;</w:t>
      </w:r>
      <w:hyperlink r:id="rId10" w:history="1">
        <w:r w:rsidR="0010193C">
          <w:rPr>
            <w:rStyle w:val="Hyperlink"/>
          </w:rPr>
          <w:t>https://www.tga.gov.au/product-information-pi</w:t>
        </w:r>
      </w:hyperlink>
      <w:r w:rsidR="0017078F">
        <w:t>&gt;.</w:t>
      </w:r>
    </w:p>
    <w:p w14:paraId="167EEE68" w14:textId="77777777" w:rsidR="00924482" w:rsidRPr="00DF1D7F" w:rsidRDefault="00924482" w:rsidP="0017078F">
      <w:pPr>
        <w:pStyle w:val="LegalSubheading"/>
        <w:spacing w:before="4320"/>
      </w:pPr>
      <w:r w:rsidRPr="00DF1D7F">
        <w:t>Copyright</w:t>
      </w:r>
    </w:p>
    <w:p w14:paraId="1E8CBCA3" w14:textId="77777777" w:rsidR="00924482" w:rsidRDefault="00924482" w:rsidP="00924482">
      <w:pPr>
        <w:pStyle w:val="LegalCopy"/>
      </w:pPr>
      <w:r w:rsidRPr="00191B3B">
        <w:rPr>
          <w:rFonts w:cs="Arial"/>
          <w:lang w:val="en-GB"/>
        </w:rPr>
        <w:t>© Comm</w:t>
      </w:r>
      <w:r>
        <w:rPr>
          <w:rFonts w:cs="Arial"/>
          <w:lang w:val="en-GB"/>
        </w:rPr>
        <w:t>onwealth of Australia 201</w:t>
      </w:r>
      <w:r w:rsidR="00E77B22">
        <w:rPr>
          <w:rFonts w:cs="Arial"/>
          <w:lang w:val="en-GB"/>
        </w:rPr>
        <w:t>6</w:t>
      </w:r>
      <w:r w:rsidRPr="00191B3B">
        <w:rPr>
          <w:rFonts w:cs="Arial"/>
          <w:lang w:val="en-GB"/>
        </w:rPr>
        <w:br/>
      </w:r>
      <w:proofErr w:type="gramStart"/>
      <w:r w:rsidRPr="00191B3B">
        <w:rPr>
          <w:rFonts w:cs="Arial"/>
          <w:lang w:val="en-GB"/>
        </w:rPr>
        <w:t>This</w:t>
      </w:r>
      <w:proofErr w:type="gramEnd"/>
      <w:r w:rsidRPr="00191B3B">
        <w:rPr>
          <w:rFonts w:cs="Arial"/>
          <w:lang w:val="en-GB"/>
        </w:rPr>
        <w:t xml:space="preserve">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t>
      </w:r>
      <w:proofErr w:type="spellStart"/>
      <w:r w:rsidRPr="00191B3B">
        <w:rPr>
          <w:rFonts w:cs="Arial"/>
          <w:lang w:val="en-GB"/>
        </w:rPr>
        <w:t>Woden</w:t>
      </w:r>
      <w:proofErr w:type="spellEnd"/>
      <w:r w:rsidRPr="00191B3B">
        <w:rPr>
          <w:rFonts w:cs="Arial"/>
          <w:lang w:val="en-GB"/>
        </w:rPr>
        <w:t xml:space="preserve"> ACT 2606 or emailed to &lt;</w:t>
      </w:r>
      <w:hyperlink r:id="rId11" w:history="1">
        <w:r w:rsidRPr="00191B3B">
          <w:rPr>
            <w:rStyle w:val="Hyperlink"/>
            <w:rFonts w:cs="Arial"/>
            <w:lang w:val="en-GB"/>
          </w:rPr>
          <w:t>tga.copyright@tga.gov.au</w:t>
        </w:r>
      </w:hyperlink>
      <w:r w:rsidRPr="00191B3B">
        <w:rPr>
          <w:rFonts w:cs="Arial"/>
        </w:rPr>
        <w:t>&gt;.</w:t>
      </w:r>
    </w:p>
    <w:p w14:paraId="182D7D2D" w14:textId="77777777" w:rsidR="00924482" w:rsidRDefault="00924482" w:rsidP="00924482">
      <w:pPr>
        <w:pStyle w:val="LegalCopy"/>
        <w:sectPr w:rsidR="00924482" w:rsidSect="003D1E62">
          <w:headerReference w:type="default" r:id="rId12"/>
          <w:footerReference w:type="default" r:id="rId13"/>
          <w:headerReference w:type="first" r:id="rId14"/>
          <w:pgSz w:w="11906" w:h="16838" w:code="9"/>
          <w:pgMar w:top="426" w:right="1701" w:bottom="0" w:left="1701" w:header="907" w:footer="142" w:gutter="0"/>
          <w:pgNumType w:fmt="lowerRoman" w:start="1"/>
          <w:cols w:space="708"/>
          <w:titlePg/>
          <w:docGrid w:linePitch="360"/>
        </w:sectPr>
      </w:pPr>
    </w:p>
    <w:bookmarkStart w:id="0" w:name="_Toc196046425" w:displacedByCustomXml="next"/>
    <w:bookmarkStart w:id="1" w:name="_Toc247691501"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14:paraId="2427F786" w14:textId="77777777" w:rsidR="0089635C" w:rsidRPr="0089635C" w:rsidRDefault="0089635C" w:rsidP="0010788A">
          <w:pPr>
            <w:pStyle w:val="Contents"/>
          </w:pPr>
          <w:r w:rsidRPr="0010788A">
            <w:t>Content</w:t>
          </w:r>
          <w:bookmarkStart w:id="2" w:name="_GoBack"/>
          <w:bookmarkEnd w:id="2"/>
          <w:r w:rsidRPr="0010788A">
            <w:t>s</w:t>
          </w:r>
        </w:p>
        <w:p w14:paraId="5CD16945" w14:textId="77777777" w:rsidR="001429A2" w:rsidRDefault="004F4AF5">
          <w:pPr>
            <w:pStyle w:val="TOC2"/>
            <w:rPr>
              <w:rFonts w:asciiTheme="minorHAnsi" w:eastAsiaTheme="minorEastAsia" w:hAnsiTheme="minorHAnsi" w:cstheme="minorBidi"/>
              <w:b w:val="0"/>
              <w:noProof/>
              <w:sz w:val="22"/>
              <w:lang w:eastAsia="en-AU"/>
            </w:rPr>
          </w:pPr>
          <w:r>
            <w:fldChar w:fldCharType="begin"/>
          </w:r>
          <w:r w:rsidR="0089635C">
            <w:instrText xml:space="preserve"> TOC \o "1-3" \h \z \u </w:instrText>
          </w:r>
          <w:r>
            <w:fldChar w:fldCharType="separate"/>
          </w:r>
          <w:hyperlink w:anchor="_Toc452631074" w:history="1">
            <w:r w:rsidR="001429A2" w:rsidRPr="00A043D1">
              <w:rPr>
                <w:rStyle w:val="Hyperlink"/>
                <w:noProof/>
              </w:rPr>
              <w:t>List of common abbreviations</w:t>
            </w:r>
            <w:r w:rsidR="001429A2">
              <w:rPr>
                <w:noProof/>
                <w:webHidden/>
              </w:rPr>
              <w:tab/>
            </w:r>
            <w:r w:rsidR="001429A2">
              <w:rPr>
                <w:noProof/>
                <w:webHidden/>
              </w:rPr>
              <w:fldChar w:fldCharType="begin"/>
            </w:r>
            <w:r w:rsidR="001429A2">
              <w:rPr>
                <w:noProof/>
                <w:webHidden/>
              </w:rPr>
              <w:instrText xml:space="preserve"> PAGEREF _Toc452631074 \h </w:instrText>
            </w:r>
            <w:r w:rsidR="001429A2">
              <w:rPr>
                <w:noProof/>
                <w:webHidden/>
              </w:rPr>
            </w:r>
            <w:r w:rsidR="001429A2">
              <w:rPr>
                <w:noProof/>
                <w:webHidden/>
              </w:rPr>
              <w:fldChar w:fldCharType="separate"/>
            </w:r>
            <w:r w:rsidR="001429A2">
              <w:rPr>
                <w:noProof/>
                <w:webHidden/>
              </w:rPr>
              <w:t>5</w:t>
            </w:r>
            <w:r w:rsidR="001429A2">
              <w:rPr>
                <w:noProof/>
                <w:webHidden/>
              </w:rPr>
              <w:fldChar w:fldCharType="end"/>
            </w:r>
          </w:hyperlink>
        </w:p>
        <w:p w14:paraId="68C07107" w14:textId="77777777" w:rsidR="001429A2" w:rsidRDefault="001429A2">
          <w:pPr>
            <w:pStyle w:val="TOC2"/>
            <w:tabs>
              <w:tab w:val="left" w:pos="1100"/>
            </w:tabs>
            <w:rPr>
              <w:rFonts w:asciiTheme="minorHAnsi" w:eastAsiaTheme="minorEastAsia" w:hAnsiTheme="minorHAnsi" w:cstheme="minorBidi"/>
              <w:b w:val="0"/>
              <w:noProof/>
              <w:sz w:val="22"/>
              <w:lang w:eastAsia="en-AU"/>
            </w:rPr>
          </w:pPr>
          <w:hyperlink w:anchor="_Toc452631075" w:history="1">
            <w:r w:rsidRPr="00A043D1">
              <w:rPr>
                <w:rStyle w:val="Hyperlink"/>
                <w:noProof/>
                <w:lang w:eastAsia="en-AU"/>
              </w:rPr>
              <w:t>1.</w:t>
            </w:r>
            <w:r>
              <w:rPr>
                <w:rFonts w:asciiTheme="minorHAnsi" w:eastAsiaTheme="minorEastAsia" w:hAnsiTheme="minorHAnsi" w:cstheme="minorBidi"/>
                <w:b w:val="0"/>
                <w:noProof/>
                <w:sz w:val="22"/>
                <w:lang w:eastAsia="en-AU"/>
              </w:rPr>
              <w:tab/>
            </w:r>
            <w:r w:rsidRPr="00A043D1">
              <w:rPr>
                <w:rStyle w:val="Hyperlink"/>
                <w:noProof/>
                <w:lang w:eastAsia="en-AU"/>
              </w:rPr>
              <w:t>Introduction</w:t>
            </w:r>
            <w:r>
              <w:rPr>
                <w:noProof/>
                <w:webHidden/>
              </w:rPr>
              <w:tab/>
            </w:r>
            <w:r>
              <w:rPr>
                <w:noProof/>
                <w:webHidden/>
              </w:rPr>
              <w:fldChar w:fldCharType="begin"/>
            </w:r>
            <w:r>
              <w:rPr>
                <w:noProof/>
                <w:webHidden/>
              </w:rPr>
              <w:instrText xml:space="preserve"> PAGEREF _Toc452631075 \h </w:instrText>
            </w:r>
            <w:r>
              <w:rPr>
                <w:noProof/>
                <w:webHidden/>
              </w:rPr>
            </w:r>
            <w:r>
              <w:rPr>
                <w:noProof/>
                <w:webHidden/>
              </w:rPr>
              <w:fldChar w:fldCharType="separate"/>
            </w:r>
            <w:r>
              <w:rPr>
                <w:noProof/>
                <w:webHidden/>
              </w:rPr>
              <w:t>8</w:t>
            </w:r>
            <w:r>
              <w:rPr>
                <w:noProof/>
                <w:webHidden/>
              </w:rPr>
              <w:fldChar w:fldCharType="end"/>
            </w:r>
          </w:hyperlink>
        </w:p>
        <w:p w14:paraId="39BD0823" w14:textId="77777777" w:rsidR="001429A2" w:rsidRDefault="001429A2">
          <w:pPr>
            <w:pStyle w:val="TOC2"/>
            <w:tabs>
              <w:tab w:val="left" w:pos="1100"/>
            </w:tabs>
            <w:rPr>
              <w:rFonts w:asciiTheme="minorHAnsi" w:eastAsiaTheme="minorEastAsia" w:hAnsiTheme="minorHAnsi" w:cstheme="minorBidi"/>
              <w:b w:val="0"/>
              <w:noProof/>
              <w:sz w:val="22"/>
              <w:lang w:eastAsia="en-AU"/>
            </w:rPr>
          </w:pPr>
          <w:hyperlink w:anchor="_Toc452631076" w:history="1">
            <w:r w:rsidRPr="00A043D1">
              <w:rPr>
                <w:rStyle w:val="Hyperlink"/>
                <w:noProof/>
              </w:rPr>
              <w:t>2.</w:t>
            </w:r>
            <w:r>
              <w:rPr>
                <w:rFonts w:asciiTheme="minorHAnsi" w:eastAsiaTheme="minorEastAsia" w:hAnsiTheme="minorHAnsi" w:cstheme="minorBidi"/>
                <w:b w:val="0"/>
                <w:noProof/>
                <w:sz w:val="22"/>
                <w:lang w:eastAsia="en-AU"/>
              </w:rPr>
              <w:tab/>
            </w:r>
            <w:r w:rsidRPr="00A043D1">
              <w:rPr>
                <w:rStyle w:val="Hyperlink"/>
                <w:noProof/>
              </w:rPr>
              <w:t>Clinical rationale</w:t>
            </w:r>
            <w:r>
              <w:rPr>
                <w:noProof/>
                <w:webHidden/>
              </w:rPr>
              <w:tab/>
            </w:r>
            <w:r>
              <w:rPr>
                <w:noProof/>
                <w:webHidden/>
              </w:rPr>
              <w:fldChar w:fldCharType="begin"/>
            </w:r>
            <w:r>
              <w:rPr>
                <w:noProof/>
                <w:webHidden/>
              </w:rPr>
              <w:instrText xml:space="preserve"> PAGEREF _Toc452631076 \h </w:instrText>
            </w:r>
            <w:r>
              <w:rPr>
                <w:noProof/>
                <w:webHidden/>
              </w:rPr>
            </w:r>
            <w:r>
              <w:rPr>
                <w:noProof/>
                <w:webHidden/>
              </w:rPr>
              <w:fldChar w:fldCharType="separate"/>
            </w:r>
            <w:r>
              <w:rPr>
                <w:noProof/>
                <w:webHidden/>
              </w:rPr>
              <w:t>8</w:t>
            </w:r>
            <w:r>
              <w:rPr>
                <w:noProof/>
                <w:webHidden/>
              </w:rPr>
              <w:fldChar w:fldCharType="end"/>
            </w:r>
          </w:hyperlink>
        </w:p>
        <w:p w14:paraId="23EE0474" w14:textId="77777777" w:rsidR="001429A2" w:rsidRDefault="001429A2">
          <w:pPr>
            <w:pStyle w:val="TOC2"/>
            <w:tabs>
              <w:tab w:val="left" w:pos="1100"/>
            </w:tabs>
            <w:rPr>
              <w:rFonts w:asciiTheme="minorHAnsi" w:eastAsiaTheme="minorEastAsia" w:hAnsiTheme="minorHAnsi" w:cstheme="minorBidi"/>
              <w:b w:val="0"/>
              <w:noProof/>
              <w:sz w:val="22"/>
              <w:lang w:eastAsia="en-AU"/>
            </w:rPr>
          </w:pPr>
          <w:hyperlink w:anchor="_Toc452631077" w:history="1">
            <w:r w:rsidRPr="00A043D1">
              <w:rPr>
                <w:rStyle w:val="Hyperlink"/>
                <w:noProof/>
                <w:lang w:eastAsia="en-AU"/>
              </w:rPr>
              <w:t>3.</w:t>
            </w:r>
            <w:r>
              <w:rPr>
                <w:rFonts w:asciiTheme="minorHAnsi" w:eastAsiaTheme="minorEastAsia" w:hAnsiTheme="minorHAnsi" w:cstheme="minorBidi"/>
                <w:b w:val="0"/>
                <w:noProof/>
                <w:sz w:val="22"/>
                <w:lang w:eastAsia="en-AU"/>
              </w:rPr>
              <w:tab/>
            </w:r>
            <w:r w:rsidRPr="00A043D1">
              <w:rPr>
                <w:rStyle w:val="Hyperlink"/>
                <w:noProof/>
                <w:lang w:eastAsia="en-AU"/>
              </w:rPr>
              <w:t>Contents of the clinical dossier</w:t>
            </w:r>
            <w:r>
              <w:rPr>
                <w:noProof/>
                <w:webHidden/>
              </w:rPr>
              <w:tab/>
            </w:r>
            <w:r>
              <w:rPr>
                <w:noProof/>
                <w:webHidden/>
              </w:rPr>
              <w:fldChar w:fldCharType="begin"/>
            </w:r>
            <w:r>
              <w:rPr>
                <w:noProof/>
                <w:webHidden/>
              </w:rPr>
              <w:instrText xml:space="preserve"> PAGEREF _Toc452631077 \h </w:instrText>
            </w:r>
            <w:r>
              <w:rPr>
                <w:noProof/>
                <w:webHidden/>
              </w:rPr>
            </w:r>
            <w:r>
              <w:rPr>
                <w:noProof/>
                <w:webHidden/>
              </w:rPr>
              <w:fldChar w:fldCharType="separate"/>
            </w:r>
            <w:r>
              <w:rPr>
                <w:noProof/>
                <w:webHidden/>
              </w:rPr>
              <w:t>9</w:t>
            </w:r>
            <w:r>
              <w:rPr>
                <w:noProof/>
                <w:webHidden/>
              </w:rPr>
              <w:fldChar w:fldCharType="end"/>
            </w:r>
          </w:hyperlink>
        </w:p>
        <w:p w14:paraId="7D2D9288" w14:textId="77777777" w:rsidR="001429A2" w:rsidRDefault="001429A2">
          <w:pPr>
            <w:pStyle w:val="TOC3"/>
            <w:tabs>
              <w:tab w:val="left" w:pos="1760"/>
            </w:tabs>
            <w:rPr>
              <w:rFonts w:asciiTheme="minorHAnsi" w:eastAsiaTheme="minorEastAsia" w:hAnsiTheme="minorHAnsi" w:cstheme="minorBidi"/>
              <w:noProof/>
              <w:lang w:eastAsia="en-AU"/>
            </w:rPr>
          </w:pPr>
          <w:hyperlink w:anchor="_Toc452631078" w:history="1">
            <w:r w:rsidRPr="00A043D1">
              <w:rPr>
                <w:rStyle w:val="Hyperlink"/>
                <w:noProof/>
              </w:rPr>
              <w:t>3.1.</w:t>
            </w:r>
            <w:r>
              <w:rPr>
                <w:rFonts w:asciiTheme="minorHAnsi" w:eastAsiaTheme="minorEastAsia" w:hAnsiTheme="minorHAnsi" w:cstheme="minorBidi"/>
                <w:noProof/>
                <w:lang w:eastAsia="en-AU"/>
              </w:rPr>
              <w:tab/>
            </w:r>
            <w:r w:rsidRPr="00A043D1">
              <w:rPr>
                <w:rStyle w:val="Hyperlink"/>
                <w:noProof/>
              </w:rPr>
              <w:t>Scope of the clinical dossier</w:t>
            </w:r>
            <w:r>
              <w:rPr>
                <w:noProof/>
                <w:webHidden/>
              </w:rPr>
              <w:tab/>
            </w:r>
            <w:r>
              <w:rPr>
                <w:noProof/>
                <w:webHidden/>
              </w:rPr>
              <w:fldChar w:fldCharType="begin"/>
            </w:r>
            <w:r>
              <w:rPr>
                <w:noProof/>
                <w:webHidden/>
              </w:rPr>
              <w:instrText xml:space="preserve"> PAGEREF _Toc452631078 \h </w:instrText>
            </w:r>
            <w:r>
              <w:rPr>
                <w:noProof/>
                <w:webHidden/>
              </w:rPr>
            </w:r>
            <w:r>
              <w:rPr>
                <w:noProof/>
                <w:webHidden/>
              </w:rPr>
              <w:fldChar w:fldCharType="separate"/>
            </w:r>
            <w:r>
              <w:rPr>
                <w:noProof/>
                <w:webHidden/>
              </w:rPr>
              <w:t>9</w:t>
            </w:r>
            <w:r>
              <w:rPr>
                <w:noProof/>
                <w:webHidden/>
              </w:rPr>
              <w:fldChar w:fldCharType="end"/>
            </w:r>
          </w:hyperlink>
        </w:p>
        <w:p w14:paraId="585B54AE" w14:textId="77777777" w:rsidR="001429A2" w:rsidRDefault="001429A2">
          <w:pPr>
            <w:pStyle w:val="TOC3"/>
            <w:tabs>
              <w:tab w:val="left" w:pos="1760"/>
            </w:tabs>
            <w:rPr>
              <w:rFonts w:asciiTheme="minorHAnsi" w:eastAsiaTheme="minorEastAsia" w:hAnsiTheme="minorHAnsi" w:cstheme="minorBidi"/>
              <w:noProof/>
              <w:lang w:eastAsia="en-AU"/>
            </w:rPr>
          </w:pPr>
          <w:hyperlink w:anchor="_Toc452631079" w:history="1">
            <w:r w:rsidRPr="00A043D1">
              <w:rPr>
                <w:rStyle w:val="Hyperlink"/>
                <w:noProof/>
              </w:rPr>
              <w:t>3.2.</w:t>
            </w:r>
            <w:r>
              <w:rPr>
                <w:rFonts w:asciiTheme="minorHAnsi" w:eastAsiaTheme="minorEastAsia" w:hAnsiTheme="minorHAnsi" w:cstheme="minorBidi"/>
                <w:noProof/>
                <w:lang w:eastAsia="en-AU"/>
              </w:rPr>
              <w:tab/>
            </w:r>
            <w:r w:rsidRPr="00A043D1">
              <w:rPr>
                <w:rStyle w:val="Hyperlink"/>
                <w:noProof/>
              </w:rPr>
              <w:t>Paediatric data</w:t>
            </w:r>
            <w:r>
              <w:rPr>
                <w:noProof/>
                <w:webHidden/>
              </w:rPr>
              <w:tab/>
            </w:r>
            <w:r>
              <w:rPr>
                <w:noProof/>
                <w:webHidden/>
              </w:rPr>
              <w:fldChar w:fldCharType="begin"/>
            </w:r>
            <w:r>
              <w:rPr>
                <w:noProof/>
                <w:webHidden/>
              </w:rPr>
              <w:instrText xml:space="preserve"> PAGEREF _Toc452631079 \h </w:instrText>
            </w:r>
            <w:r>
              <w:rPr>
                <w:noProof/>
                <w:webHidden/>
              </w:rPr>
            </w:r>
            <w:r>
              <w:rPr>
                <w:noProof/>
                <w:webHidden/>
              </w:rPr>
              <w:fldChar w:fldCharType="separate"/>
            </w:r>
            <w:r>
              <w:rPr>
                <w:noProof/>
                <w:webHidden/>
              </w:rPr>
              <w:t>9</w:t>
            </w:r>
            <w:r>
              <w:rPr>
                <w:noProof/>
                <w:webHidden/>
              </w:rPr>
              <w:fldChar w:fldCharType="end"/>
            </w:r>
          </w:hyperlink>
        </w:p>
        <w:p w14:paraId="42CC78FE" w14:textId="77777777" w:rsidR="001429A2" w:rsidRDefault="001429A2">
          <w:pPr>
            <w:pStyle w:val="TOC3"/>
            <w:tabs>
              <w:tab w:val="left" w:pos="1760"/>
            </w:tabs>
            <w:rPr>
              <w:rFonts w:asciiTheme="minorHAnsi" w:eastAsiaTheme="minorEastAsia" w:hAnsiTheme="minorHAnsi" w:cstheme="minorBidi"/>
              <w:noProof/>
              <w:lang w:eastAsia="en-AU"/>
            </w:rPr>
          </w:pPr>
          <w:hyperlink w:anchor="_Toc452631080" w:history="1">
            <w:r w:rsidRPr="00A043D1">
              <w:rPr>
                <w:rStyle w:val="Hyperlink"/>
                <w:noProof/>
              </w:rPr>
              <w:t>3.3.</w:t>
            </w:r>
            <w:r>
              <w:rPr>
                <w:rFonts w:asciiTheme="minorHAnsi" w:eastAsiaTheme="minorEastAsia" w:hAnsiTheme="minorHAnsi" w:cstheme="minorBidi"/>
                <w:noProof/>
                <w:lang w:eastAsia="en-AU"/>
              </w:rPr>
              <w:tab/>
            </w:r>
            <w:r w:rsidRPr="00A043D1">
              <w:rPr>
                <w:rStyle w:val="Hyperlink"/>
                <w:noProof/>
              </w:rPr>
              <w:t>Good clinical practice</w:t>
            </w:r>
            <w:r>
              <w:rPr>
                <w:noProof/>
                <w:webHidden/>
              </w:rPr>
              <w:tab/>
            </w:r>
            <w:r>
              <w:rPr>
                <w:noProof/>
                <w:webHidden/>
              </w:rPr>
              <w:fldChar w:fldCharType="begin"/>
            </w:r>
            <w:r>
              <w:rPr>
                <w:noProof/>
                <w:webHidden/>
              </w:rPr>
              <w:instrText xml:space="preserve"> PAGEREF _Toc452631080 \h </w:instrText>
            </w:r>
            <w:r>
              <w:rPr>
                <w:noProof/>
                <w:webHidden/>
              </w:rPr>
            </w:r>
            <w:r>
              <w:rPr>
                <w:noProof/>
                <w:webHidden/>
              </w:rPr>
              <w:fldChar w:fldCharType="separate"/>
            </w:r>
            <w:r>
              <w:rPr>
                <w:noProof/>
                <w:webHidden/>
              </w:rPr>
              <w:t>9</w:t>
            </w:r>
            <w:r>
              <w:rPr>
                <w:noProof/>
                <w:webHidden/>
              </w:rPr>
              <w:fldChar w:fldCharType="end"/>
            </w:r>
          </w:hyperlink>
        </w:p>
        <w:p w14:paraId="394A83B0" w14:textId="77777777" w:rsidR="001429A2" w:rsidRDefault="001429A2">
          <w:pPr>
            <w:pStyle w:val="TOC2"/>
            <w:tabs>
              <w:tab w:val="left" w:pos="1100"/>
            </w:tabs>
            <w:rPr>
              <w:rFonts w:asciiTheme="minorHAnsi" w:eastAsiaTheme="minorEastAsia" w:hAnsiTheme="minorHAnsi" w:cstheme="minorBidi"/>
              <w:b w:val="0"/>
              <w:noProof/>
              <w:sz w:val="22"/>
              <w:lang w:eastAsia="en-AU"/>
            </w:rPr>
          </w:pPr>
          <w:hyperlink w:anchor="_Toc452631081" w:history="1">
            <w:r w:rsidRPr="00A043D1">
              <w:rPr>
                <w:rStyle w:val="Hyperlink"/>
                <w:noProof/>
              </w:rPr>
              <w:t>4.</w:t>
            </w:r>
            <w:r>
              <w:rPr>
                <w:rFonts w:asciiTheme="minorHAnsi" w:eastAsiaTheme="minorEastAsia" w:hAnsiTheme="minorHAnsi" w:cstheme="minorBidi"/>
                <w:b w:val="0"/>
                <w:noProof/>
                <w:sz w:val="22"/>
                <w:lang w:eastAsia="en-AU"/>
              </w:rPr>
              <w:tab/>
            </w:r>
            <w:r w:rsidRPr="00A043D1">
              <w:rPr>
                <w:rStyle w:val="Hyperlink"/>
                <w:noProof/>
              </w:rPr>
              <w:t>Pharmacokinetics</w:t>
            </w:r>
            <w:r>
              <w:rPr>
                <w:noProof/>
                <w:webHidden/>
              </w:rPr>
              <w:tab/>
            </w:r>
            <w:r>
              <w:rPr>
                <w:noProof/>
                <w:webHidden/>
              </w:rPr>
              <w:fldChar w:fldCharType="begin"/>
            </w:r>
            <w:r>
              <w:rPr>
                <w:noProof/>
                <w:webHidden/>
              </w:rPr>
              <w:instrText xml:space="preserve"> PAGEREF _Toc452631081 \h </w:instrText>
            </w:r>
            <w:r>
              <w:rPr>
                <w:noProof/>
                <w:webHidden/>
              </w:rPr>
            </w:r>
            <w:r>
              <w:rPr>
                <w:noProof/>
                <w:webHidden/>
              </w:rPr>
              <w:fldChar w:fldCharType="separate"/>
            </w:r>
            <w:r>
              <w:rPr>
                <w:noProof/>
                <w:webHidden/>
              </w:rPr>
              <w:t>9</w:t>
            </w:r>
            <w:r>
              <w:rPr>
                <w:noProof/>
                <w:webHidden/>
              </w:rPr>
              <w:fldChar w:fldCharType="end"/>
            </w:r>
          </w:hyperlink>
        </w:p>
        <w:p w14:paraId="7AAAC17D" w14:textId="77777777" w:rsidR="001429A2" w:rsidRDefault="001429A2">
          <w:pPr>
            <w:pStyle w:val="TOC3"/>
            <w:tabs>
              <w:tab w:val="left" w:pos="1760"/>
            </w:tabs>
            <w:rPr>
              <w:rFonts w:asciiTheme="minorHAnsi" w:eastAsiaTheme="minorEastAsia" w:hAnsiTheme="minorHAnsi" w:cstheme="minorBidi"/>
              <w:noProof/>
              <w:lang w:eastAsia="en-AU"/>
            </w:rPr>
          </w:pPr>
          <w:hyperlink w:anchor="_Toc452631082" w:history="1">
            <w:r w:rsidRPr="00A043D1">
              <w:rPr>
                <w:rStyle w:val="Hyperlink"/>
                <w:noProof/>
              </w:rPr>
              <w:t>4.1.</w:t>
            </w:r>
            <w:r>
              <w:rPr>
                <w:rFonts w:asciiTheme="minorHAnsi" w:eastAsiaTheme="minorEastAsia" w:hAnsiTheme="minorHAnsi" w:cstheme="minorBidi"/>
                <w:noProof/>
                <w:lang w:eastAsia="en-AU"/>
              </w:rPr>
              <w:tab/>
            </w:r>
            <w:r w:rsidRPr="00A043D1">
              <w:rPr>
                <w:rStyle w:val="Hyperlink"/>
                <w:noProof/>
              </w:rPr>
              <w:t>Studies providing pharmacokinetic data</w:t>
            </w:r>
            <w:r>
              <w:rPr>
                <w:noProof/>
                <w:webHidden/>
              </w:rPr>
              <w:tab/>
            </w:r>
            <w:r>
              <w:rPr>
                <w:noProof/>
                <w:webHidden/>
              </w:rPr>
              <w:fldChar w:fldCharType="begin"/>
            </w:r>
            <w:r>
              <w:rPr>
                <w:noProof/>
                <w:webHidden/>
              </w:rPr>
              <w:instrText xml:space="preserve"> PAGEREF _Toc452631082 \h </w:instrText>
            </w:r>
            <w:r>
              <w:rPr>
                <w:noProof/>
                <w:webHidden/>
              </w:rPr>
            </w:r>
            <w:r>
              <w:rPr>
                <w:noProof/>
                <w:webHidden/>
              </w:rPr>
              <w:fldChar w:fldCharType="separate"/>
            </w:r>
            <w:r>
              <w:rPr>
                <w:noProof/>
                <w:webHidden/>
              </w:rPr>
              <w:t>9</w:t>
            </w:r>
            <w:r>
              <w:rPr>
                <w:noProof/>
                <w:webHidden/>
              </w:rPr>
              <w:fldChar w:fldCharType="end"/>
            </w:r>
          </w:hyperlink>
        </w:p>
        <w:p w14:paraId="03CDCE5A" w14:textId="77777777" w:rsidR="001429A2" w:rsidRDefault="001429A2">
          <w:pPr>
            <w:pStyle w:val="TOC3"/>
            <w:tabs>
              <w:tab w:val="left" w:pos="1760"/>
            </w:tabs>
            <w:rPr>
              <w:rFonts w:asciiTheme="minorHAnsi" w:eastAsiaTheme="minorEastAsia" w:hAnsiTheme="minorHAnsi" w:cstheme="minorBidi"/>
              <w:noProof/>
              <w:lang w:eastAsia="en-AU"/>
            </w:rPr>
          </w:pPr>
          <w:hyperlink w:anchor="_Toc452631083" w:history="1">
            <w:r w:rsidRPr="00A043D1">
              <w:rPr>
                <w:rStyle w:val="Hyperlink"/>
                <w:noProof/>
              </w:rPr>
              <w:t>4.2.</w:t>
            </w:r>
            <w:r>
              <w:rPr>
                <w:rFonts w:asciiTheme="minorHAnsi" w:eastAsiaTheme="minorEastAsia" w:hAnsiTheme="minorHAnsi" w:cstheme="minorBidi"/>
                <w:noProof/>
                <w:lang w:eastAsia="en-AU"/>
              </w:rPr>
              <w:tab/>
            </w:r>
            <w:r w:rsidRPr="00A043D1">
              <w:rPr>
                <w:rStyle w:val="Hyperlink"/>
                <w:noProof/>
              </w:rPr>
              <w:t>Summary of pharmacokinetics</w:t>
            </w:r>
            <w:r>
              <w:rPr>
                <w:noProof/>
                <w:webHidden/>
              </w:rPr>
              <w:tab/>
            </w:r>
            <w:r>
              <w:rPr>
                <w:noProof/>
                <w:webHidden/>
              </w:rPr>
              <w:fldChar w:fldCharType="begin"/>
            </w:r>
            <w:r>
              <w:rPr>
                <w:noProof/>
                <w:webHidden/>
              </w:rPr>
              <w:instrText xml:space="preserve"> PAGEREF _Toc452631083 \h </w:instrText>
            </w:r>
            <w:r>
              <w:rPr>
                <w:noProof/>
                <w:webHidden/>
              </w:rPr>
            </w:r>
            <w:r>
              <w:rPr>
                <w:noProof/>
                <w:webHidden/>
              </w:rPr>
              <w:fldChar w:fldCharType="separate"/>
            </w:r>
            <w:r>
              <w:rPr>
                <w:noProof/>
                <w:webHidden/>
              </w:rPr>
              <w:t>10</w:t>
            </w:r>
            <w:r>
              <w:rPr>
                <w:noProof/>
                <w:webHidden/>
              </w:rPr>
              <w:fldChar w:fldCharType="end"/>
            </w:r>
          </w:hyperlink>
        </w:p>
        <w:p w14:paraId="0972026E" w14:textId="77777777" w:rsidR="001429A2" w:rsidRDefault="001429A2">
          <w:pPr>
            <w:pStyle w:val="TOC3"/>
            <w:tabs>
              <w:tab w:val="left" w:pos="1760"/>
            </w:tabs>
            <w:rPr>
              <w:rFonts w:asciiTheme="minorHAnsi" w:eastAsiaTheme="minorEastAsia" w:hAnsiTheme="minorHAnsi" w:cstheme="minorBidi"/>
              <w:noProof/>
              <w:lang w:eastAsia="en-AU"/>
            </w:rPr>
          </w:pPr>
          <w:hyperlink w:anchor="_Toc452631084" w:history="1">
            <w:r w:rsidRPr="00A043D1">
              <w:rPr>
                <w:rStyle w:val="Hyperlink"/>
                <w:noProof/>
              </w:rPr>
              <w:t>4.3.</w:t>
            </w:r>
            <w:r>
              <w:rPr>
                <w:rFonts w:asciiTheme="minorHAnsi" w:eastAsiaTheme="minorEastAsia" w:hAnsiTheme="minorHAnsi" w:cstheme="minorBidi"/>
                <w:noProof/>
                <w:lang w:eastAsia="en-AU"/>
              </w:rPr>
              <w:tab/>
            </w:r>
            <w:r w:rsidRPr="00A043D1">
              <w:rPr>
                <w:rStyle w:val="Hyperlink"/>
                <w:noProof/>
              </w:rPr>
              <w:t>Evaluator’s overall conclusions on pharmacokinetics</w:t>
            </w:r>
            <w:r>
              <w:rPr>
                <w:noProof/>
                <w:webHidden/>
              </w:rPr>
              <w:tab/>
            </w:r>
            <w:r>
              <w:rPr>
                <w:noProof/>
                <w:webHidden/>
              </w:rPr>
              <w:fldChar w:fldCharType="begin"/>
            </w:r>
            <w:r>
              <w:rPr>
                <w:noProof/>
                <w:webHidden/>
              </w:rPr>
              <w:instrText xml:space="preserve"> PAGEREF _Toc452631084 \h </w:instrText>
            </w:r>
            <w:r>
              <w:rPr>
                <w:noProof/>
                <w:webHidden/>
              </w:rPr>
            </w:r>
            <w:r>
              <w:rPr>
                <w:noProof/>
                <w:webHidden/>
              </w:rPr>
              <w:fldChar w:fldCharType="separate"/>
            </w:r>
            <w:r>
              <w:rPr>
                <w:noProof/>
                <w:webHidden/>
              </w:rPr>
              <w:t>13</w:t>
            </w:r>
            <w:r>
              <w:rPr>
                <w:noProof/>
                <w:webHidden/>
              </w:rPr>
              <w:fldChar w:fldCharType="end"/>
            </w:r>
          </w:hyperlink>
        </w:p>
        <w:p w14:paraId="75D3DE1F" w14:textId="77777777" w:rsidR="001429A2" w:rsidRDefault="001429A2">
          <w:pPr>
            <w:pStyle w:val="TOC2"/>
            <w:tabs>
              <w:tab w:val="left" w:pos="1100"/>
            </w:tabs>
            <w:rPr>
              <w:rFonts w:asciiTheme="minorHAnsi" w:eastAsiaTheme="minorEastAsia" w:hAnsiTheme="minorHAnsi" w:cstheme="minorBidi"/>
              <w:b w:val="0"/>
              <w:noProof/>
              <w:sz w:val="22"/>
              <w:lang w:eastAsia="en-AU"/>
            </w:rPr>
          </w:pPr>
          <w:hyperlink w:anchor="_Toc452631085" w:history="1">
            <w:r w:rsidRPr="00A043D1">
              <w:rPr>
                <w:rStyle w:val="Hyperlink"/>
                <w:noProof/>
              </w:rPr>
              <w:t>5.</w:t>
            </w:r>
            <w:r>
              <w:rPr>
                <w:rFonts w:asciiTheme="minorHAnsi" w:eastAsiaTheme="minorEastAsia" w:hAnsiTheme="minorHAnsi" w:cstheme="minorBidi"/>
                <w:b w:val="0"/>
                <w:noProof/>
                <w:sz w:val="22"/>
                <w:lang w:eastAsia="en-AU"/>
              </w:rPr>
              <w:tab/>
            </w:r>
            <w:r w:rsidRPr="00A043D1">
              <w:rPr>
                <w:rStyle w:val="Hyperlink"/>
                <w:noProof/>
              </w:rPr>
              <w:t>Pharmacodynamics</w:t>
            </w:r>
            <w:r>
              <w:rPr>
                <w:noProof/>
                <w:webHidden/>
              </w:rPr>
              <w:tab/>
            </w:r>
            <w:r>
              <w:rPr>
                <w:noProof/>
                <w:webHidden/>
              </w:rPr>
              <w:fldChar w:fldCharType="begin"/>
            </w:r>
            <w:r>
              <w:rPr>
                <w:noProof/>
                <w:webHidden/>
              </w:rPr>
              <w:instrText xml:space="preserve"> PAGEREF _Toc452631085 \h </w:instrText>
            </w:r>
            <w:r>
              <w:rPr>
                <w:noProof/>
                <w:webHidden/>
              </w:rPr>
            </w:r>
            <w:r>
              <w:rPr>
                <w:noProof/>
                <w:webHidden/>
              </w:rPr>
              <w:fldChar w:fldCharType="separate"/>
            </w:r>
            <w:r>
              <w:rPr>
                <w:noProof/>
                <w:webHidden/>
              </w:rPr>
              <w:t>13</w:t>
            </w:r>
            <w:r>
              <w:rPr>
                <w:noProof/>
                <w:webHidden/>
              </w:rPr>
              <w:fldChar w:fldCharType="end"/>
            </w:r>
          </w:hyperlink>
        </w:p>
        <w:p w14:paraId="5BFD32E3" w14:textId="77777777" w:rsidR="001429A2" w:rsidRDefault="001429A2">
          <w:pPr>
            <w:pStyle w:val="TOC3"/>
            <w:tabs>
              <w:tab w:val="left" w:pos="1760"/>
            </w:tabs>
            <w:rPr>
              <w:rFonts w:asciiTheme="minorHAnsi" w:eastAsiaTheme="minorEastAsia" w:hAnsiTheme="minorHAnsi" w:cstheme="minorBidi"/>
              <w:noProof/>
              <w:lang w:eastAsia="en-AU"/>
            </w:rPr>
          </w:pPr>
          <w:hyperlink w:anchor="_Toc452631086" w:history="1">
            <w:r w:rsidRPr="00A043D1">
              <w:rPr>
                <w:rStyle w:val="Hyperlink"/>
                <w:noProof/>
              </w:rPr>
              <w:t>5.1.</w:t>
            </w:r>
            <w:r>
              <w:rPr>
                <w:rFonts w:asciiTheme="minorHAnsi" w:eastAsiaTheme="minorEastAsia" w:hAnsiTheme="minorHAnsi" w:cstheme="minorBidi"/>
                <w:noProof/>
                <w:lang w:eastAsia="en-AU"/>
              </w:rPr>
              <w:tab/>
            </w:r>
            <w:r w:rsidRPr="00A043D1">
              <w:rPr>
                <w:rStyle w:val="Hyperlink"/>
                <w:noProof/>
              </w:rPr>
              <w:t>Studies providing pharmacodynamic data</w:t>
            </w:r>
            <w:r>
              <w:rPr>
                <w:noProof/>
                <w:webHidden/>
              </w:rPr>
              <w:tab/>
            </w:r>
            <w:r>
              <w:rPr>
                <w:noProof/>
                <w:webHidden/>
              </w:rPr>
              <w:fldChar w:fldCharType="begin"/>
            </w:r>
            <w:r>
              <w:rPr>
                <w:noProof/>
                <w:webHidden/>
              </w:rPr>
              <w:instrText xml:space="preserve"> PAGEREF _Toc452631086 \h </w:instrText>
            </w:r>
            <w:r>
              <w:rPr>
                <w:noProof/>
                <w:webHidden/>
              </w:rPr>
            </w:r>
            <w:r>
              <w:rPr>
                <w:noProof/>
                <w:webHidden/>
              </w:rPr>
              <w:fldChar w:fldCharType="separate"/>
            </w:r>
            <w:r>
              <w:rPr>
                <w:noProof/>
                <w:webHidden/>
              </w:rPr>
              <w:t>13</w:t>
            </w:r>
            <w:r>
              <w:rPr>
                <w:noProof/>
                <w:webHidden/>
              </w:rPr>
              <w:fldChar w:fldCharType="end"/>
            </w:r>
          </w:hyperlink>
        </w:p>
        <w:p w14:paraId="1B961066" w14:textId="77777777" w:rsidR="001429A2" w:rsidRDefault="001429A2">
          <w:pPr>
            <w:pStyle w:val="TOC3"/>
            <w:tabs>
              <w:tab w:val="left" w:pos="1760"/>
            </w:tabs>
            <w:rPr>
              <w:rFonts w:asciiTheme="minorHAnsi" w:eastAsiaTheme="minorEastAsia" w:hAnsiTheme="minorHAnsi" w:cstheme="minorBidi"/>
              <w:noProof/>
              <w:lang w:eastAsia="en-AU"/>
            </w:rPr>
          </w:pPr>
          <w:hyperlink w:anchor="_Toc452631087" w:history="1">
            <w:r w:rsidRPr="00A043D1">
              <w:rPr>
                <w:rStyle w:val="Hyperlink"/>
                <w:noProof/>
              </w:rPr>
              <w:t>5.2.</w:t>
            </w:r>
            <w:r>
              <w:rPr>
                <w:rFonts w:asciiTheme="minorHAnsi" w:eastAsiaTheme="minorEastAsia" w:hAnsiTheme="minorHAnsi" w:cstheme="minorBidi"/>
                <w:noProof/>
                <w:lang w:eastAsia="en-AU"/>
              </w:rPr>
              <w:tab/>
            </w:r>
            <w:r w:rsidRPr="00A043D1">
              <w:rPr>
                <w:rStyle w:val="Hyperlink"/>
                <w:noProof/>
              </w:rPr>
              <w:t>Summary of pharmacodynamics</w:t>
            </w:r>
            <w:r>
              <w:rPr>
                <w:noProof/>
                <w:webHidden/>
              </w:rPr>
              <w:tab/>
            </w:r>
            <w:r>
              <w:rPr>
                <w:noProof/>
                <w:webHidden/>
              </w:rPr>
              <w:fldChar w:fldCharType="begin"/>
            </w:r>
            <w:r>
              <w:rPr>
                <w:noProof/>
                <w:webHidden/>
              </w:rPr>
              <w:instrText xml:space="preserve"> PAGEREF _Toc452631087 \h </w:instrText>
            </w:r>
            <w:r>
              <w:rPr>
                <w:noProof/>
                <w:webHidden/>
              </w:rPr>
            </w:r>
            <w:r>
              <w:rPr>
                <w:noProof/>
                <w:webHidden/>
              </w:rPr>
              <w:fldChar w:fldCharType="separate"/>
            </w:r>
            <w:r>
              <w:rPr>
                <w:noProof/>
                <w:webHidden/>
              </w:rPr>
              <w:t>13</w:t>
            </w:r>
            <w:r>
              <w:rPr>
                <w:noProof/>
                <w:webHidden/>
              </w:rPr>
              <w:fldChar w:fldCharType="end"/>
            </w:r>
          </w:hyperlink>
        </w:p>
        <w:p w14:paraId="66FFDC0A" w14:textId="77777777" w:rsidR="001429A2" w:rsidRDefault="001429A2">
          <w:pPr>
            <w:pStyle w:val="TOC3"/>
            <w:tabs>
              <w:tab w:val="left" w:pos="1760"/>
            </w:tabs>
            <w:rPr>
              <w:rFonts w:asciiTheme="minorHAnsi" w:eastAsiaTheme="minorEastAsia" w:hAnsiTheme="minorHAnsi" w:cstheme="minorBidi"/>
              <w:noProof/>
              <w:lang w:eastAsia="en-AU"/>
            </w:rPr>
          </w:pPr>
          <w:hyperlink w:anchor="_Toc452631088" w:history="1">
            <w:r w:rsidRPr="00A043D1">
              <w:rPr>
                <w:rStyle w:val="Hyperlink"/>
                <w:noProof/>
              </w:rPr>
              <w:t>5.3.</w:t>
            </w:r>
            <w:r>
              <w:rPr>
                <w:rFonts w:asciiTheme="minorHAnsi" w:eastAsiaTheme="minorEastAsia" w:hAnsiTheme="minorHAnsi" w:cstheme="minorBidi"/>
                <w:noProof/>
                <w:lang w:eastAsia="en-AU"/>
              </w:rPr>
              <w:tab/>
            </w:r>
            <w:r w:rsidRPr="00A043D1">
              <w:rPr>
                <w:rStyle w:val="Hyperlink"/>
                <w:noProof/>
              </w:rPr>
              <w:t>Evaluator’s overall conclusions on pharmacodynamics</w:t>
            </w:r>
            <w:r>
              <w:rPr>
                <w:noProof/>
                <w:webHidden/>
              </w:rPr>
              <w:tab/>
            </w:r>
            <w:r>
              <w:rPr>
                <w:noProof/>
                <w:webHidden/>
              </w:rPr>
              <w:fldChar w:fldCharType="begin"/>
            </w:r>
            <w:r>
              <w:rPr>
                <w:noProof/>
                <w:webHidden/>
              </w:rPr>
              <w:instrText xml:space="preserve"> PAGEREF _Toc452631088 \h </w:instrText>
            </w:r>
            <w:r>
              <w:rPr>
                <w:noProof/>
                <w:webHidden/>
              </w:rPr>
            </w:r>
            <w:r>
              <w:rPr>
                <w:noProof/>
                <w:webHidden/>
              </w:rPr>
              <w:fldChar w:fldCharType="separate"/>
            </w:r>
            <w:r>
              <w:rPr>
                <w:noProof/>
                <w:webHidden/>
              </w:rPr>
              <w:t>15</w:t>
            </w:r>
            <w:r>
              <w:rPr>
                <w:noProof/>
                <w:webHidden/>
              </w:rPr>
              <w:fldChar w:fldCharType="end"/>
            </w:r>
          </w:hyperlink>
        </w:p>
        <w:p w14:paraId="00A95450" w14:textId="77777777" w:rsidR="001429A2" w:rsidRDefault="001429A2">
          <w:pPr>
            <w:pStyle w:val="TOC2"/>
            <w:tabs>
              <w:tab w:val="left" w:pos="1100"/>
            </w:tabs>
            <w:rPr>
              <w:rFonts w:asciiTheme="minorHAnsi" w:eastAsiaTheme="minorEastAsia" w:hAnsiTheme="minorHAnsi" w:cstheme="minorBidi"/>
              <w:b w:val="0"/>
              <w:noProof/>
              <w:sz w:val="22"/>
              <w:lang w:eastAsia="en-AU"/>
            </w:rPr>
          </w:pPr>
          <w:hyperlink w:anchor="_Toc452631089" w:history="1">
            <w:r w:rsidRPr="00A043D1">
              <w:rPr>
                <w:rStyle w:val="Hyperlink"/>
                <w:noProof/>
              </w:rPr>
              <w:t>6.</w:t>
            </w:r>
            <w:r>
              <w:rPr>
                <w:rFonts w:asciiTheme="minorHAnsi" w:eastAsiaTheme="minorEastAsia" w:hAnsiTheme="minorHAnsi" w:cstheme="minorBidi"/>
                <w:b w:val="0"/>
                <w:noProof/>
                <w:sz w:val="22"/>
                <w:lang w:eastAsia="en-AU"/>
              </w:rPr>
              <w:tab/>
            </w:r>
            <w:r w:rsidRPr="00A043D1">
              <w:rPr>
                <w:rStyle w:val="Hyperlink"/>
                <w:noProof/>
              </w:rPr>
              <w:t>Dosage selection for the pivotal studies</w:t>
            </w:r>
            <w:r>
              <w:rPr>
                <w:noProof/>
                <w:webHidden/>
              </w:rPr>
              <w:tab/>
            </w:r>
            <w:r>
              <w:rPr>
                <w:noProof/>
                <w:webHidden/>
              </w:rPr>
              <w:fldChar w:fldCharType="begin"/>
            </w:r>
            <w:r>
              <w:rPr>
                <w:noProof/>
                <w:webHidden/>
              </w:rPr>
              <w:instrText xml:space="preserve"> PAGEREF _Toc452631089 \h </w:instrText>
            </w:r>
            <w:r>
              <w:rPr>
                <w:noProof/>
                <w:webHidden/>
              </w:rPr>
            </w:r>
            <w:r>
              <w:rPr>
                <w:noProof/>
                <w:webHidden/>
              </w:rPr>
              <w:fldChar w:fldCharType="separate"/>
            </w:r>
            <w:r>
              <w:rPr>
                <w:noProof/>
                <w:webHidden/>
              </w:rPr>
              <w:t>15</w:t>
            </w:r>
            <w:r>
              <w:rPr>
                <w:noProof/>
                <w:webHidden/>
              </w:rPr>
              <w:fldChar w:fldCharType="end"/>
            </w:r>
          </w:hyperlink>
        </w:p>
        <w:p w14:paraId="7B142B05" w14:textId="77777777" w:rsidR="001429A2" w:rsidRDefault="001429A2">
          <w:pPr>
            <w:pStyle w:val="TOC2"/>
            <w:tabs>
              <w:tab w:val="left" w:pos="1100"/>
            </w:tabs>
            <w:rPr>
              <w:rFonts w:asciiTheme="minorHAnsi" w:eastAsiaTheme="minorEastAsia" w:hAnsiTheme="minorHAnsi" w:cstheme="minorBidi"/>
              <w:b w:val="0"/>
              <w:noProof/>
              <w:sz w:val="22"/>
              <w:lang w:eastAsia="en-AU"/>
            </w:rPr>
          </w:pPr>
          <w:hyperlink w:anchor="_Toc452631090" w:history="1">
            <w:r w:rsidRPr="00A043D1">
              <w:rPr>
                <w:rStyle w:val="Hyperlink"/>
                <w:noProof/>
              </w:rPr>
              <w:t>7.</w:t>
            </w:r>
            <w:r>
              <w:rPr>
                <w:rFonts w:asciiTheme="minorHAnsi" w:eastAsiaTheme="minorEastAsia" w:hAnsiTheme="minorHAnsi" w:cstheme="minorBidi"/>
                <w:b w:val="0"/>
                <w:noProof/>
                <w:sz w:val="22"/>
                <w:lang w:eastAsia="en-AU"/>
              </w:rPr>
              <w:tab/>
            </w:r>
            <w:r w:rsidRPr="00A043D1">
              <w:rPr>
                <w:rStyle w:val="Hyperlink"/>
                <w:noProof/>
              </w:rPr>
              <w:t>Clinical efficacy</w:t>
            </w:r>
            <w:r>
              <w:rPr>
                <w:noProof/>
                <w:webHidden/>
              </w:rPr>
              <w:tab/>
            </w:r>
            <w:r>
              <w:rPr>
                <w:noProof/>
                <w:webHidden/>
              </w:rPr>
              <w:fldChar w:fldCharType="begin"/>
            </w:r>
            <w:r>
              <w:rPr>
                <w:noProof/>
                <w:webHidden/>
              </w:rPr>
              <w:instrText xml:space="preserve"> PAGEREF _Toc452631090 \h </w:instrText>
            </w:r>
            <w:r>
              <w:rPr>
                <w:noProof/>
                <w:webHidden/>
              </w:rPr>
            </w:r>
            <w:r>
              <w:rPr>
                <w:noProof/>
                <w:webHidden/>
              </w:rPr>
              <w:fldChar w:fldCharType="separate"/>
            </w:r>
            <w:r>
              <w:rPr>
                <w:noProof/>
                <w:webHidden/>
              </w:rPr>
              <w:t>16</w:t>
            </w:r>
            <w:r>
              <w:rPr>
                <w:noProof/>
                <w:webHidden/>
              </w:rPr>
              <w:fldChar w:fldCharType="end"/>
            </w:r>
          </w:hyperlink>
        </w:p>
        <w:p w14:paraId="4FC3543B" w14:textId="77777777" w:rsidR="001429A2" w:rsidRDefault="001429A2">
          <w:pPr>
            <w:pStyle w:val="TOC3"/>
            <w:tabs>
              <w:tab w:val="left" w:pos="1760"/>
            </w:tabs>
            <w:rPr>
              <w:rFonts w:asciiTheme="minorHAnsi" w:eastAsiaTheme="minorEastAsia" w:hAnsiTheme="minorHAnsi" w:cstheme="minorBidi"/>
              <w:noProof/>
              <w:lang w:eastAsia="en-AU"/>
            </w:rPr>
          </w:pPr>
          <w:hyperlink w:anchor="_Toc452631091" w:history="1">
            <w:r w:rsidRPr="00A043D1">
              <w:rPr>
                <w:rStyle w:val="Hyperlink"/>
                <w:noProof/>
              </w:rPr>
              <w:t>7.1.</w:t>
            </w:r>
            <w:r>
              <w:rPr>
                <w:rFonts w:asciiTheme="minorHAnsi" w:eastAsiaTheme="minorEastAsia" w:hAnsiTheme="minorHAnsi" w:cstheme="minorBidi"/>
                <w:noProof/>
                <w:lang w:eastAsia="en-AU"/>
              </w:rPr>
              <w:tab/>
            </w:r>
            <w:r w:rsidRPr="00A043D1">
              <w:rPr>
                <w:rStyle w:val="Hyperlink"/>
                <w:noProof/>
              </w:rPr>
              <w:t>Melanoma</w:t>
            </w:r>
            <w:r>
              <w:rPr>
                <w:noProof/>
                <w:webHidden/>
              </w:rPr>
              <w:tab/>
            </w:r>
            <w:r>
              <w:rPr>
                <w:noProof/>
                <w:webHidden/>
              </w:rPr>
              <w:fldChar w:fldCharType="begin"/>
            </w:r>
            <w:r>
              <w:rPr>
                <w:noProof/>
                <w:webHidden/>
              </w:rPr>
              <w:instrText xml:space="preserve"> PAGEREF _Toc452631091 \h </w:instrText>
            </w:r>
            <w:r>
              <w:rPr>
                <w:noProof/>
                <w:webHidden/>
              </w:rPr>
            </w:r>
            <w:r>
              <w:rPr>
                <w:noProof/>
                <w:webHidden/>
              </w:rPr>
              <w:fldChar w:fldCharType="separate"/>
            </w:r>
            <w:r>
              <w:rPr>
                <w:noProof/>
                <w:webHidden/>
              </w:rPr>
              <w:t>16</w:t>
            </w:r>
            <w:r>
              <w:rPr>
                <w:noProof/>
                <w:webHidden/>
              </w:rPr>
              <w:fldChar w:fldCharType="end"/>
            </w:r>
          </w:hyperlink>
        </w:p>
        <w:p w14:paraId="13833294" w14:textId="77777777" w:rsidR="001429A2" w:rsidRDefault="001429A2">
          <w:pPr>
            <w:pStyle w:val="TOC3"/>
            <w:tabs>
              <w:tab w:val="left" w:pos="1760"/>
            </w:tabs>
            <w:rPr>
              <w:rFonts w:asciiTheme="minorHAnsi" w:eastAsiaTheme="minorEastAsia" w:hAnsiTheme="minorHAnsi" w:cstheme="minorBidi"/>
              <w:noProof/>
              <w:lang w:eastAsia="en-AU"/>
            </w:rPr>
          </w:pPr>
          <w:hyperlink w:anchor="_Toc452631092" w:history="1">
            <w:r w:rsidRPr="00A043D1">
              <w:rPr>
                <w:rStyle w:val="Hyperlink"/>
                <w:noProof/>
              </w:rPr>
              <w:t>7.2.</w:t>
            </w:r>
            <w:r>
              <w:rPr>
                <w:rFonts w:asciiTheme="minorHAnsi" w:eastAsiaTheme="minorEastAsia" w:hAnsiTheme="minorHAnsi" w:cstheme="minorBidi"/>
                <w:noProof/>
                <w:lang w:eastAsia="en-AU"/>
              </w:rPr>
              <w:tab/>
            </w:r>
            <w:r w:rsidRPr="00A043D1">
              <w:rPr>
                <w:rStyle w:val="Hyperlink"/>
                <w:noProof/>
              </w:rPr>
              <w:t>Analyses performed across trials (pooled analyses and meta-analyses)</w:t>
            </w:r>
            <w:r>
              <w:rPr>
                <w:noProof/>
                <w:webHidden/>
              </w:rPr>
              <w:tab/>
            </w:r>
            <w:r>
              <w:rPr>
                <w:noProof/>
                <w:webHidden/>
              </w:rPr>
              <w:fldChar w:fldCharType="begin"/>
            </w:r>
            <w:r>
              <w:rPr>
                <w:noProof/>
                <w:webHidden/>
              </w:rPr>
              <w:instrText xml:space="preserve"> PAGEREF _Toc452631092 \h </w:instrText>
            </w:r>
            <w:r>
              <w:rPr>
                <w:noProof/>
                <w:webHidden/>
              </w:rPr>
            </w:r>
            <w:r>
              <w:rPr>
                <w:noProof/>
                <w:webHidden/>
              </w:rPr>
              <w:fldChar w:fldCharType="separate"/>
            </w:r>
            <w:r>
              <w:rPr>
                <w:noProof/>
                <w:webHidden/>
              </w:rPr>
              <w:t>27</w:t>
            </w:r>
            <w:r>
              <w:rPr>
                <w:noProof/>
                <w:webHidden/>
              </w:rPr>
              <w:fldChar w:fldCharType="end"/>
            </w:r>
          </w:hyperlink>
        </w:p>
        <w:p w14:paraId="2B3814C2" w14:textId="77777777" w:rsidR="001429A2" w:rsidRDefault="001429A2">
          <w:pPr>
            <w:pStyle w:val="TOC3"/>
            <w:tabs>
              <w:tab w:val="left" w:pos="1760"/>
            </w:tabs>
            <w:rPr>
              <w:rFonts w:asciiTheme="minorHAnsi" w:eastAsiaTheme="minorEastAsia" w:hAnsiTheme="minorHAnsi" w:cstheme="minorBidi"/>
              <w:noProof/>
              <w:lang w:eastAsia="en-AU"/>
            </w:rPr>
          </w:pPr>
          <w:hyperlink w:anchor="_Toc452631093" w:history="1">
            <w:r w:rsidRPr="00A043D1">
              <w:rPr>
                <w:rStyle w:val="Hyperlink"/>
                <w:noProof/>
              </w:rPr>
              <w:t>7.3.</w:t>
            </w:r>
            <w:r>
              <w:rPr>
                <w:rFonts w:asciiTheme="minorHAnsi" w:eastAsiaTheme="minorEastAsia" w:hAnsiTheme="minorHAnsi" w:cstheme="minorBidi"/>
                <w:noProof/>
                <w:lang w:eastAsia="en-AU"/>
              </w:rPr>
              <w:tab/>
            </w:r>
            <w:r w:rsidRPr="00A043D1">
              <w:rPr>
                <w:rStyle w:val="Hyperlink"/>
                <w:noProof/>
              </w:rPr>
              <w:t>Evaluator’s conclusions on clinical efficacy for melanoma</w:t>
            </w:r>
            <w:r>
              <w:rPr>
                <w:noProof/>
                <w:webHidden/>
              </w:rPr>
              <w:tab/>
            </w:r>
            <w:r>
              <w:rPr>
                <w:noProof/>
                <w:webHidden/>
              </w:rPr>
              <w:fldChar w:fldCharType="begin"/>
            </w:r>
            <w:r>
              <w:rPr>
                <w:noProof/>
                <w:webHidden/>
              </w:rPr>
              <w:instrText xml:space="preserve"> PAGEREF _Toc452631093 \h </w:instrText>
            </w:r>
            <w:r>
              <w:rPr>
                <w:noProof/>
                <w:webHidden/>
              </w:rPr>
            </w:r>
            <w:r>
              <w:rPr>
                <w:noProof/>
                <w:webHidden/>
              </w:rPr>
              <w:fldChar w:fldCharType="separate"/>
            </w:r>
            <w:r>
              <w:rPr>
                <w:noProof/>
                <w:webHidden/>
              </w:rPr>
              <w:t>30</w:t>
            </w:r>
            <w:r>
              <w:rPr>
                <w:noProof/>
                <w:webHidden/>
              </w:rPr>
              <w:fldChar w:fldCharType="end"/>
            </w:r>
          </w:hyperlink>
        </w:p>
        <w:p w14:paraId="21812AC6" w14:textId="77777777" w:rsidR="001429A2" w:rsidRDefault="001429A2">
          <w:pPr>
            <w:pStyle w:val="TOC2"/>
            <w:tabs>
              <w:tab w:val="left" w:pos="1100"/>
            </w:tabs>
            <w:rPr>
              <w:rFonts w:asciiTheme="minorHAnsi" w:eastAsiaTheme="minorEastAsia" w:hAnsiTheme="minorHAnsi" w:cstheme="minorBidi"/>
              <w:b w:val="0"/>
              <w:noProof/>
              <w:sz w:val="22"/>
              <w:lang w:eastAsia="en-AU"/>
            </w:rPr>
          </w:pPr>
          <w:hyperlink w:anchor="_Toc452631094" w:history="1">
            <w:r w:rsidRPr="00A043D1">
              <w:rPr>
                <w:rStyle w:val="Hyperlink"/>
                <w:noProof/>
              </w:rPr>
              <w:t>8.</w:t>
            </w:r>
            <w:r>
              <w:rPr>
                <w:rFonts w:asciiTheme="minorHAnsi" w:eastAsiaTheme="minorEastAsia" w:hAnsiTheme="minorHAnsi" w:cstheme="minorBidi"/>
                <w:b w:val="0"/>
                <w:noProof/>
                <w:sz w:val="22"/>
                <w:lang w:eastAsia="en-AU"/>
              </w:rPr>
              <w:tab/>
            </w:r>
            <w:r w:rsidRPr="00A043D1">
              <w:rPr>
                <w:rStyle w:val="Hyperlink"/>
                <w:noProof/>
              </w:rPr>
              <w:t>Clinical safety</w:t>
            </w:r>
            <w:r>
              <w:rPr>
                <w:noProof/>
                <w:webHidden/>
              </w:rPr>
              <w:tab/>
            </w:r>
            <w:r>
              <w:rPr>
                <w:noProof/>
                <w:webHidden/>
              </w:rPr>
              <w:fldChar w:fldCharType="begin"/>
            </w:r>
            <w:r>
              <w:rPr>
                <w:noProof/>
                <w:webHidden/>
              </w:rPr>
              <w:instrText xml:space="preserve"> PAGEREF _Toc452631094 \h </w:instrText>
            </w:r>
            <w:r>
              <w:rPr>
                <w:noProof/>
                <w:webHidden/>
              </w:rPr>
            </w:r>
            <w:r>
              <w:rPr>
                <w:noProof/>
                <w:webHidden/>
              </w:rPr>
              <w:fldChar w:fldCharType="separate"/>
            </w:r>
            <w:r>
              <w:rPr>
                <w:noProof/>
                <w:webHidden/>
              </w:rPr>
              <w:t>33</w:t>
            </w:r>
            <w:r>
              <w:rPr>
                <w:noProof/>
                <w:webHidden/>
              </w:rPr>
              <w:fldChar w:fldCharType="end"/>
            </w:r>
          </w:hyperlink>
        </w:p>
        <w:p w14:paraId="7352AEAA" w14:textId="77777777" w:rsidR="001429A2" w:rsidRDefault="001429A2">
          <w:pPr>
            <w:pStyle w:val="TOC3"/>
            <w:tabs>
              <w:tab w:val="left" w:pos="1760"/>
            </w:tabs>
            <w:rPr>
              <w:rFonts w:asciiTheme="minorHAnsi" w:eastAsiaTheme="minorEastAsia" w:hAnsiTheme="minorHAnsi" w:cstheme="minorBidi"/>
              <w:noProof/>
              <w:lang w:eastAsia="en-AU"/>
            </w:rPr>
          </w:pPr>
          <w:hyperlink w:anchor="_Toc452631095" w:history="1">
            <w:r w:rsidRPr="00A043D1">
              <w:rPr>
                <w:rStyle w:val="Hyperlink"/>
                <w:noProof/>
              </w:rPr>
              <w:t>8.1.</w:t>
            </w:r>
            <w:r>
              <w:rPr>
                <w:rFonts w:asciiTheme="minorHAnsi" w:eastAsiaTheme="minorEastAsia" w:hAnsiTheme="minorHAnsi" w:cstheme="minorBidi"/>
                <w:noProof/>
                <w:lang w:eastAsia="en-AU"/>
              </w:rPr>
              <w:tab/>
            </w:r>
            <w:r w:rsidRPr="00A043D1">
              <w:rPr>
                <w:rStyle w:val="Hyperlink"/>
                <w:noProof/>
              </w:rPr>
              <w:t>Studies providing evaluable safety data</w:t>
            </w:r>
            <w:r>
              <w:rPr>
                <w:noProof/>
                <w:webHidden/>
              </w:rPr>
              <w:tab/>
            </w:r>
            <w:r>
              <w:rPr>
                <w:noProof/>
                <w:webHidden/>
              </w:rPr>
              <w:fldChar w:fldCharType="begin"/>
            </w:r>
            <w:r>
              <w:rPr>
                <w:noProof/>
                <w:webHidden/>
              </w:rPr>
              <w:instrText xml:space="preserve"> PAGEREF _Toc452631095 \h </w:instrText>
            </w:r>
            <w:r>
              <w:rPr>
                <w:noProof/>
                <w:webHidden/>
              </w:rPr>
            </w:r>
            <w:r>
              <w:rPr>
                <w:noProof/>
                <w:webHidden/>
              </w:rPr>
              <w:fldChar w:fldCharType="separate"/>
            </w:r>
            <w:r>
              <w:rPr>
                <w:noProof/>
                <w:webHidden/>
              </w:rPr>
              <w:t>33</w:t>
            </w:r>
            <w:r>
              <w:rPr>
                <w:noProof/>
                <w:webHidden/>
              </w:rPr>
              <w:fldChar w:fldCharType="end"/>
            </w:r>
          </w:hyperlink>
        </w:p>
        <w:p w14:paraId="4603AD90" w14:textId="77777777" w:rsidR="001429A2" w:rsidRDefault="001429A2">
          <w:pPr>
            <w:pStyle w:val="TOC3"/>
            <w:tabs>
              <w:tab w:val="left" w:pos="1760"/>
            </w:tabs>
            <w:rPr>
              <w:rFonts w:asciiTheme="minorHAnsi" w:eastAsiaTheme="minorEastAsia" w:hAnsiTheme="minorHAnsi" w:cstheme="minorBidi"/>
              <w:noProof/>
              <w:lang w:eastAsia="en-AU"/>
            </w:rPr>
          </w:pPr>
          <w:hyperlink w:anchor="_Toc452631096" w:history="1">
            <w:r w:rsidRPr="00A043D1">
              <w:rPr>
                <w:rStyle w:val="Hyperlink"/>
                <w:noProof/>
              </w:rPr>
              <w:t>8.2.</w:t>
            </w:r>
            <w:r>
              <w:rPr>
                <w:rFonts w:asciiTheme="minorHAnsi" w:eastAsiaTheme="minorEastAsia" w:hAnsiTheme="minorHAnsi" w:cstheme="minorBidi"/>
                <w:noProof/>
                <w:lang w:eastAsia="en-AU"/>
              </w:rPr>
              <w:tab/>
            </w:r>
            <w:r w:rsidRPr="00A043D1">
              <w:rPr>
                <w:rStyle w:val="Hyperlink"/>
                <w:noProof/>
              </w:rPr>
              <w:t>Patient exposure</w:t>
            </w:r>
            <w:r>
              <w:rPr>
                <w:noProof/>
                <w:webHidden/>
              </w:rPr>
              <w:tab/>
            </w:r>
            <w:r>
              <w:rPr>
                <w:noProof/>
                <w:webHidden/>
              </w:rPr>
              <w:fldChar w:fldCharType="begin"/>
            </w:r>
            <w:r>
              <w:rPr>
                <w:noProof/>
                <w:webHidden/>
              </w:rPr>
              <w:instrText xml:space="preserve"> PAGEREF _Toc452631096 \h </w:instrText>
            </w:r>
            <w:r>
              <w:rPr>
                <w:noProof/>
                <w:webHidden/>
              </w:rPr>
            </w:r>
            <w:r>
              <w:rPr>
                <w:noProof/>
                <w:webHidden/>
              </w:rPr>
              <w:fldChar w:fldCharType="separate"/>
            </w:r>
            <w:r>
              <w:rPr>
                <w:noProof/>
                <w:webHidden/>
              </w:rPr>
              <w:t>37</w:t>
            </w:r>
            <w:r>
              <w:rPr>
                <w:noProof/>
                <w:webHidden/>
              </w:rPr>
              <w:fldChar w:fldCharType="end"/>
            </w:r>
          </w:hyperlink>
        </w:p>
        <w:p w14:paraId="16264641" w14:textId="77777777" w:rsidR="001429A2" w:rsidRDefault="001429A2">
          <w:pPr>
            <w:pStyle w:val="TOC3"/>
            <w:tabs>
              <w:tab w:val="left" w:pos="1760"/>
            </w:tabs>
            <w:rPr>
              <w:rFonts w:asciiTheme="minorHAnsi" w:eastAsiaTheme="minorEastAsia" w:hAnsiTheme="minorHAnsi" w:cstheme="minorBidi"/>
              <w:noProof/>
              <w:lang w:eastAsia="en-AU"/>
            </w:rPr>
          </w:pPr>
          <w:hyperlink w:anchor="_Toc452631097" w:history="1">
            <w:r w:rsidRPr="00A043D1">
              <w:rPr>
                <w:rStyle w:val="Hyperlink"/>
                <w:noProof/>
              </w:rPr>
              <w:t>8.3.</w:t>
            </w:r>
            <w:r>
              <w:rPr>
                <w:rFonts w:asciiTheme="minorHAnsi" w:eastAsiaTheme="minorEastAsia" w:hAnsiTheme="minorHAnsi" w:cstheme="minorBidi"/>
                <w:noProof/>
                <w:lang w:eastAsia="en-AU"/>
              </w:rPr>
              <w:tab/>
            </w:r>
            <w:r w:rsidRPr="00A043D1">
              <w:rPr>
                <w:rStyle w:val="Hyperlink"/>
                <w:noProof/>
              </w:rPr>
              <w:t>Adverse events</w:t>
            </w:r>
            <w:r>
              <w:rPr>
                <w:noProof/>
                <w:webHidden/>
              </w:rPr>
              <w:tab/>
            </w:r>
            <w:r>
              <w:rPr>
                <w:noProof/>
                <w:webHidden/>
              </w:rPr>
              <w:fldChar w:fldCharType="begin"/>
            </w:r>
            <w:r>
              <w:rPr>
                <w:noProof/>
                <w:webHidden/>
              </w:rPr>
              <w:instrText xml:space="preserve"> PAGEREF _Toc452631097 \h </w:instrText>
            </w:r>
            <w:r>
              <w:rPr>
                <w:noProof/>
                <w:webHidden/>
              </w:rPr>
            </w:r>
            <w:r>
              <w:rPr>
                <w:noProof/>
                <w:webHidden/>
              </w:rPr>
              <w:fldChar w:fldCharType="separate"/>
            </w:r>
            <w:r>
              <w:rPr>
                <w:noProof/>
                <w:webHidden/>
              </w:rPr>
              <w:t>39</w:t>
            </w:r>
            <w:r>
              <w:rPr>
                <w:noProof/>
                <w:webHidden/>
              </w:rPr>
              <w:fldChar w:fldCharType="end"/>
            </w:r>
          </w:hyperlink>
        </w:p>
        <w:p w14:paraId="5561F664" w14:textId="77777777" w:rsidR="001429A2" w:rsidRDefault="001429A2">
          <w:pPr>
            <w:pStyle w:val="TOC3"/>
            <w:tabs>
              <w:tab w:val="left" w:pos="1760"/>
            </w:tabs>
            <w:rPr>
              <w:rFonts w:asciiTheme="minorHAnsi" w:eastAsiaTheme="minorEastAsia" w:hAnsiTheme="minorHAnsi" w:cstheme="minorBidi"/>
              <w:noProof/>
              <w:lang w:eastAsia="en-AU"/>
            </w:rPr>
          </w:pPr>
          <w:hyperlink w:anchor="_Toc452631098" w:history="1">
            <w:r w:rsidRPr="00A043D1">
              <w:rPr>
                <w:rStyle w:val="Hyperlink"/>
                <w:noProof/>
              </w:rPr>
              <w:t>8.4.</w:t>
            </w:r>
            <w:r>
              <w:rPr>
                <w:rFonts w:asciiTheme="minorHAnsi" w:eastAsiaTheme="minorEastAsia" w:hAnsiTheme="minorHAnsi" w:cstheme="minorBidi"/>
                <w:noProof/>
                <w:lang w:eastAsia="en-AU"/>
              </w:rPr>
              <w:tab/>
            </w:r>
            <w:r w:rsidRPr="00A043D1">
              <w:rPr>
                <w:rStyle w:val="Hyperlink"/>
                <w:noProof/>
              </w:rPr>
              <w:t>Laboratory tests</w:t>
            </w:r>
            <w:r>
              <w:rPr>
                <w:noProof/>
                <w:webHidden/>
              </w:rPr>
              <w:tab/>
            </w:r>
            <w:r>
              <w:rPr>
                <w:noProof/>
                <w:webHidden/>
              </w:rPr>
              <w:fldChar w:fldCharType="begin"/>
            </w:r>
            <w:r>
              <w:rPr>
                <w:noProof/>
                <w:webHidden/>
              </w:rPr>
              <w:instrText xml:space="preserve"> PAGEREF _Toc452631098 \h </w:instrText>
            </w:r>
            <w:r>
              <w:rPr>
                <w:noProof/>
                <w:webHidden/>
              </w:rPr>
            </w:r>
            <w:r>
              <w:rPr>
                <w:noProof/>
                <w:webHidden/>
              </w:rPr>
              <w:fldChar w:fldCharType="separate"/>
            </w:r>
            <w:r>
              <w:rPr>
                <w:noProof/>
                <w:webHidden/>
              </w:rPr>
              <w:t>45</w:t>
            </w:r>
            <w:r>
              <w:rPr>
                <w:noProof/>
                <w:webHidden/>
              </w:rPr>
              <w:fldChar w:fldCharType="end"/>
            </w:r>
          </w:hyperlink>
        </w:p>
        <w:p w14:paraId="2A363ECF" w14:textId="77777777" w:rsidR="001429A2" w:rsidRDefault="001429A2">
          <w:pPr>
            <w:pStyle w:val="TOC3"/>
            <w:tabs>
              <w:tab w:val="left" w:pos="1760"/>
            </w:tabs>
            <w:rPr>
              <w:rFonts w:asciiTheme="minorHAnsi" w:eastAsiaTheme="minorEastAsia" w:hAnsiTheme="minorHAnsi" w:cstheme="minorBidi"/>
              <w:noProof/>
              <w:lang w:eastAsia="en-AU"/>
            </w:rPr>
          </w:pPr>
          <w:hyperlink w:anchor="_Toc452631099" w:history="1">
            <w:r w:rsidRPr="00A043D1">
              <w:rPr>
                <w:rStyle w:val="Hyperlink"/>
                <w:noProof/>
              </w:rPr>
              <w:t>8.5.</w:t>
            </w:r>
            <w:r>
              <w:rPr>
                <w:rFonts w:asciiTheme="minorHAnsi" w:eastAsiaTheme="minorEastAsia" w:hAnsiTheme="minorHAnsi" w:cstheme="minorBidi"/>
                <w:noProof/>
                <w:lang w:eastAsia="en-AU"/>
              </w:rPr>
              <w:tab/>
            </w:r>
            <w:r w:rsidRPr="00A043D1">
              <w:rPr>
                <w:rStyle w:val="Hyperlink"/>
                <w:noProof/>
              </w:rPr>
              <w:t>Post-marketing experience</w:t>
            </w:r>
            <w:r>
              <w:rPr>
                <w:noProof/>
                <w:webHidden/>
              </w:rPr>
              <w:tab/>
            </w:r>
            <w:r>
              <w:rPr>
                <w:noProof/>
                <w:webHidden/>
              </w:rPr>
              <w:fldChar w:fldCharType="begin"/>
            </w:r>
            <w:r>
              <w:rPr>
                <w:noProof/>
                <w:webHidden/>
              </w:rPr>
              <w:instrText xml:space="preserve"> PAGEREF _Toc452631099 \h </w:instrText>
            </w:r>
            <w:r>
              <w:rPr>
                <w:noProof/>
                <w:webHidden/>
              </w:rPr>
            </w:r>
            <w:r>
              <w:rPr>
                <w:noProof/>
                <w:webHidden/>
              </w:rPr>
              <w:fldChar w:fldCharType="separate"/>
            </w:r>
            <w:r>
              <w:rPr>
                <w:noProof/>
                <w:webHidden/>
              </w:rPr>
              <w:t>47</w:t>
            </w:r>
            <w:r>
              <w:rPr>
                <w:noProof/>
                <w:webHidden/>
              </w:rPr>
              <w:fldChar w:fldCharType="end"/>
            </w:r>
          </w:hyperlink>
        </w:p>
        <w:p w14:paraId="7E1454ED" w14:textId="77777777" w:rsidR="001429A2" w:rsidRDefault="001429A2">
          <w:pPr>
            <w:pStyle w:val="TOC3"/>
            <w:tabs>
              <w:tab w:val="left" w:pos="1760"/>
            </w:tabs>
            <w:rPr>
              <w:rFonts w:asciiTheme="minorHAnsi" w:eastAsiaTheme="minorEastAsia" w:hAnsiTheme="minorHAnsi" w:cstheme="minorBidi"/>
              <w:noProof/>
              <w:lang w:eastAsia="en-AU"/>
            </w:rPr>
          </w:pPr>
          <w:hyperlink w:anchor="_Toc452631100" w:history="1">
            <w:r w:rsidRPr="00A043D1">
              <w:rPr>
                <w:rStyle w:val="Hyperlink"/>
                <w:noProof/>
              </w:rPr>
              <w:t>8.6.</w:t>
            </w:r>
            <w:r>
              <w:rPr>
                <w:rFonts w:asciiTheme="minorHAnsi" w:eastAsiaTheme="minorEastAsia" w:hAnsiTheme="minorHAnsi" w:cstheme="minorBidi"/>
                <w:noProof/>
                <w:lang w:eastAsia="en-AU"/>
              </w:rPr>
              <w:tab/>
            </w:r>
            <w:r w:rsidRPr="00A043D1">
              <w:rPr>
                <w:rStyle w:val="Hyperlink"/>
                <w:noProof/>
              </w:rPr>
              <w:t>Evaluator’s overall conclusions on clinical safety</w:t>
            </w:r>
            <w:r>
              <w:rPr>
                <w:noProof/>
                <w:webHidden/>
              </w:rPr>
              <w:tab/>
            </w:r>
            <w:r>
              <w:rPr>
                <w:noProof/>
                <w:webHidden/>
              </w:rPr>
              <w:fldChar w:fldCharType="begin"/>
            </w:r>
            <w:r>
              <w:rPr>
                <w:noProof/>
                <w:webHidden/>
              </w:rPr>
              <w:instrText xml:space="preserve"> PAGEREF _Toc452631100 \h </w:instrText>
            </w:r>
            <w:r>
              <w:rPr>
                <w:noProof/>
                <w:webHidden/>
              </w:rPr>
            </w:r>
            <w:r>
              <w:rPr>
                <w:noProof/>
                <w:webHidden/>
              </w:rPr>
              <w:fldChar w:fldCharType="separate"/>
            </w:r>
            <w:r>
              <w:rPr>
                <w:noProof/>
                <w:webHidden/>
              </w:rPr>
              <w:t>47</w:t>
            </w:r>
            <w:r>
              <w:rPr>
                <w:noProof/>
                <w:webHidden/>
              </w:rPr>
              <w:fldChar w:fldCharType="end"/>
            </w:r>
          </w:hyperlink>
        </w:p>
        <w:p w14:paraId="6D0AFE1B" w14:textId="77777777" w:rsidR="001429A2" w:rsidRDefault="001429A2">
          <w:pPr>
            <w:pStyle w:val="TOC2"/>
            <w:tabs>
              <w:tab w:val="left" w:pos="1100"/>
            </w:tabs>
            <w:rPr>
              <w:rFonts w:asciiTheme="minorHAnsi" w:eastAsiaTheme="minorEastAsia" w:hAnsiTheme="minorHAnsi" w:cstheme="minorBidi"/>
              <w:b w:val="0"/>
              <w:noProof/>
              <w:sz w:val="22"/>
              <w:lang w:eastAsia="en-AU"/>
            </w:rPr>
          </w:pPr>
          <w:hyperlink w:anchor="_Toc452631101" w:history="1">
            <w:r w:rsidRPr="00A043D1">
              <w:rPr>
                <w:rStyle w:val="Hyperlink"/>
                <w:noProof/>
              </w:rPr>
              <w:t>9.</w:t>
            </w:r>
            <w:r>
              <w:rPr>
                <w:rFonts w:asciiTheme="minorHAnsi" w:eastAsiaTheme="minorEastAsia" w:hAnsiTheme="minorHAnsi" w:cstheme="minorBidi"/>
                <w:b w:val="0"/>
                <w:noProof/>
                <w:sz w:val="22"/>
                <w:lang w:eastAsia="en-AU"/>
              </w:rPr>
              <w:tab/>
            </w:r>
            <w:r w:rsidRPr="00A043D1">
              <w:rPr>
                <w:rStyle w:val="Hyperlink"/>
                <w:noProof/>
              </w:rPr>
              <w:t>First round benefit-risk assessment</w:t>
            </w:r>
            <w:r>
              <w:rPr>
                <w:noProof/>
                <w:webHidden/>
              </w:rPr>
              <w:tab/>
            </w:r>
            <w:r>
              <w:rPr>
                <w:noProof/>
                <w:webHidden/>
              </w:rPr>
              <w:fldChar w:fldCharType="begin"/>
            </w:r>
            <w:r>
              <w:rPr>
                <w:noProof/>
                <w:webHidden/>
              </w:rPr>
              <w:instrText xml:space="preserve"> PAGEREF _Toc452631101 \h </w:instrText>
            </w:r>
            <w:r>
              <w:rPr>
                <w:noProof/>
                <w:webHidden/>
              </w:rPr>
            </w:r>
            <w:r>
              <w:rPr>
                <w:noProof/>
                <w:webHidden/>
              </w:rPr>
              <w:fldChar w:fldCharType="separate"/>
            </w:r>
            <w:r>
              <w:rPr>
                <w:noProof/>
                <w:webHidden/>
              </w:rPr>
              <w:t>48</w:t>
            </w:r>
            <w:r>
              <w:rPr>
                <w:noProof/>
                <w:webHidden/>
              </w:rPr>
              <w:fldChar w:fldCharType="end"/>
            </w:r>
          </w:hyperlink>
        </w:p>
        <w:p w14:paraId="59C3554E" w14:textId="77777777" w:rsidR="001429A2" w:rsidRDefault="001429A2">
          <w:pPr>
            <w:pStyle w:val="TOC3"/>
            <w:tabs>
              <w:tab w:val="left" w:pos="1760"/>
            </w:tabs>
            <w:rPr>
              <w:rFonts w:asciiTheme="minorHAnsi" w:eastAsiaTheme="minorEastAsia" w:hAnsiTheme="minorHAnsi" w:cstheme="minorBidi"/>
              <w:noProof/>
              <w:lang w:eastAsia="en-AU"/>
            </w:rPr>
          </w:pPr>
          <w:hyperlink w:anchor="_Toc452631102" w:history="1">
            <w:r w:rsidRPr="00A043D1">
              <w:rPr>
                <w:rStyle w:val="Hyperlink"/>
                <w:noProof/>
              </w:rPr>
              <w:t>9.1.</w:t>
            </w:r>
            <w:r>
              <w:rPr>
                <w:rFonts w:asciiTheme="minorHAnsi" w:eastAsiaTheme="minorEastAsia" w:hAnsiTheme="minorHAnsi" w:cstheme="minorBidi"/>
                <w:noProof/>
                <w:lang w:eastAsia="en-AU"/>
              </w:rPr>
              <w:tab/>
            </w:r>
            <w:r w:rsidRPr="00A043D1">
              <w:rPr>
                <w:rStyle w:val="Hyperlink"/>
                <w:noProof/>
              </w:rPr>
              <w:t>First round assessment of benefits</w:t>
            </w:r>
            <w:r>
              <w:rPr>
                <w:noProof/>
                <w:webHidden/>
              </w:rPr>
              <w:tab/>
            </w:r>
            <w:r>
              <w:rPr>
                <w:noProof/>
                <w:webHidden/>
              </w:rPr>
              <w:fldChar w:fldCharType="begin"/>
            </w:r>
            <w:r>
              <w:rPr>
                <w:noProof/>
                <w:webHidden/>
              </w:rPr>
              <w:instrText xml:space="preserve"> PAGEREF _Toc452631102 \h </w:instrText>
            </w:r>
            <w:r>
              <w:rPr>
                <w:noProof/>
                <w:webHidden/>
              </w:rPr>
            </w:r>
            <w:r>
              <w:rPr>
                <w:noProof/>
                <w:webHidden/>
              </w:rPr>
              <w:fldChar w:fldCharType="separate"/>
            </w:r>
            <w:r>
              <w:rPr>
                <w:noProof/>
                <w:webHidden/>
              </w:rPr>
              <w:t>48</w:t>
            </w:r>
            <w:r>
              <w:rPr>
                <w:noProof/>
                <w:webHidden/>
              </w:rPr>
              <w:fldChar w:fldCharType="end"/>
            </w:r>
          </w:hyperlink>
        </w:p>
        <w:p w14:paraId="35AC8926" w14:textId="77777777" w:rsidR="001429A2" w:rsidRDefault="001429A2">
          <w:pPr>
            <w:pStyle w:val="TOC3"/>
            <w:tabs>
              <w:tab w:val="left" w:pos="1760"/>
            </w:tabs>
            <w:rPr>
              <w:rFonts w:asciiTheme="minorHAnsi" w:eastAsiaTheme="minorEastAsia" w:hAnsiTheme="minorHAnsi" w:cstheme="minorBidi"/>
              <w:noProof/>
              <w:lang w:eastAsia="en-AU"/>
            </w:rPr>
          </w:pPr>
          <w:hyperlink w:anchor="_Toc452631103" w:history="1">
            <w:r w:rsidRPr="00A043D1">
              <w:rPr>
                <w:rStyle w:val="Hyperlink"/>
                <w:noProof/>
              </w:rPr>
              <w:t>9.2.</w:t>
            </w:r>
            <w:r>
              <w:rPr>
                <w:rFonts w:asciiTheme="minorHAnsi" w:eastAsiaTheme="minorEastAsia" w:hAnsiTheme="minorHAnsi" w:cstheme="minorBidi"/>
                <w:noProof/>
                <w:lang w:eastAsia="en-AU"/>
              </w:rPr>
              <w:tab/>
            </w:r>
            <w:r w:rsidRPr="00A043D1">
              <w:rPr>
                <w:rStyle w:val="Hyperlink"/>
                <w:noProof/>
              </w:rPr>
              <w:t>First round assessment of risks</w:t>
            </w:r>
            <w:r>
              <w:rPr>
                <w:noProof/>
                <w:webHidden/>
              </w:rPr>
              <w:tab/>
            </w:r>
            <w:r>
              <w:rPr>
                <w:noProof/>
                <w:webHidden/>
              </w:rPr>
              <w:fldChar w:fldCharType="begin"/>
            </w:r>
            <w:r>
              <w:rPr>
                <w:noProof/>
                <w:webHidden/>
              </w:rPr>
              <w:instrText xml:space="preserve"> PAGEREF _Toc452631103 \h </w:instrText>
            </w:r>
            <w:r>
              <w:rPr>
                <w:noProof/>
                <w:webHidden/>
              </w:rPr>
            </w:r>
            <w:r>
              <w:rPr>
                <w:noProof/>
                <w:webHidden/>
              </w:rPr>
              <w:fldChar w:fldCharType="separate"/>
            </w:r>
            <w:r>
              <w:rPr>
                <w:noProof/>
                <w:webHidden/>
              </w:rPr>
              <w:t>48</w:t>
            </w:r>
            <w:r>
              <w:rPr>
                <w:noProof/>
                <w:webHidden/>
              </w:rPr>
              <w:fldChar w:fldCharType="end"/>
            </w:r>
          </w:hyperlink>
        </w:p>
        <w:p w14:paraId="37163B4A" w14:textId="77777777" w:rsidR="001429A2" w:rsidRDefault="001429A2">
          <w:pPr>
            <w:pStyle w:val="TOC3"/>
            <w:tabs>
              <w:tab w:val="left" w:pos="1760"/>
            </w:tabs>
            <w:rPr>
              <w:rFonts w:asciiTheme="minorHAnsi" w:eastAsiaTheme="minorEastAsia" w:hAnsiTheme="minorHAnsi" w:cstheme="minorBidi"/>
              <w:noProof/>
              <w:lang w:eastAsia="en-AU"/>
            </w:rPr>
          </w:pPr>
          <w:hyperlink w:anchor="_Toc452631104" w:history="1">
            <w:r w:rsidRPr="00A043D1">
              <w:rPr>
                <w:rStyle w:val="Hyperlink"/>
                <w:noProof/>
              </w:rPr>
              <w:t>9.3.</w:t>
            </w:r>
            <w:r>
              <w:rPr>
                <w:rFonts w:asciiTheme="minorHAnsi" w:eastAsiaTheme="minorEastAsia" w:hAnsiTheme="minorHAnsi" w:cstheme="minorBidi"/>
                <w:noProof/>
                <w:lang w:eastAsia="en-AU"/>
              </w:rPr>
              <w:tab/>
            </w:r>
            <w:r w:rsidRPr="00A043D1">
              <w:rPr>
                <w:rStyle w:val="Hyperlink"/>
                <w:noProof/>
              </w:rPr>
              <w:t>First round assessment of benefit-risk balance</w:t>
            </w:r>
            <w:r>
              <w:rPr>
                <w:noProof/>
                <w:webHidden/>
              </w:rPr>
              <w:tab/>
            </w:r>
            <w:r>
              <w:rPr>
                <w:noProof/>
                <w:webHidden/>
              </w:rPr>
              <w:fldChar w:fldCharType="begin"/>
            </w:r>
            <w:r>
              <w:rPr>
                <w:noProof/>
                <w:webHidden/>
              </w:rPr>
              <w:instrText xml:space="preserve"> PAGEREF _Toc452631104 \h </w:instrText>
            </w:r>
            <w:r>
              <w:rPr>
                <w:noProof/>
                <w:webHidden/>
              </w:rPr>
            </w:r>
            <w:r>
              <w:rPr>
                <w:noProof/>
                <w:webHidden/>
              </w:rPr>
              <w:fldChar w:fldCharType="separate"/>
            </w:r>
            <w:r>
              <w:rPr>
                <w:noProof/>
                <w:webHidden/>
              </w:rPr>
              <w:t>48</w:t>
            </w:r>
            <w:r>
              <w:rPr>
                <w:noProof/>
                <w:webHidden/>
              </w:rPr>
              <w:fldChar w:fldCharType="end"/>
            </w:r>
          </w:hyperlink>
        </w:p>
        <w:p w14:paraId="6AED6078" w14:textId="77777777" w:rsidR="001429A2" w:rsidRDefault="001429A2">
          <w:pPr>
            <w:pStyle w:val="TOC3"/>
            <w:tabs>
              <w:tab w:val="left" w:pos="1760"/>
            </w:tabs>
            <w:rPr>
              <w:rFonts w:asciiTheme="minorHAnsi" w:eastAsiaTheme="minorEastAsia" w:hAnsiTheme="minorHAnsi" w:cstheme="minorBidi"/>
              <w:noProof/>
              <w:lang w:eastAsia="en-AU"/>
            </w:rPr>
          </w:pPr>
          <w:hyperlink w:anchor="_Toc452631105" w:history="1">
            <w:r w:rsidRPr="00A043D1">
              <w:rPr>
                <w:rStyle w:val="Hyperlink"/>
                <w:noProof/>
              </w:rPr>
              <w:t>9.4.</w:t>
            </w:r>
            <w:r>
              <w:rPr>
                <w:rFonts w:asciiTheme="minorHAnsi" w:eastAsiaTheme="minorEastAsia" w:hAnsiTheme="minorHAnsi" w:cstheme="minorBidi"/>
                <w:noProof/>
                <w:lang w:eastAsia="en-AU"/>
              </w:rPr>
              <w:tab/>
            </w:r>
            <w:r w:rsidRPr="00A043D1">
              <w:rPr>
                <w:rStyle w:val="Hyperlink"/>
                <w:noProof/>
              </w:rPr>
              <w:t>First round recommendation regarding authorisation</w:t>
            </w:r>
            <w:r>
              <w:rPr>
                <w:noProof/>
                <w:webHidden/>
              </w:rPr>
              <w:tab/>
            </w:r>
            <w:r>
              <w:rPr>
                <w:noProof/>
                <w:webHidden/>
              </w:rPr>
              <w:fldChar w:fldCharType="begin"/>
            </w:r>
            <w:r>
              <w:rPr>
                <w:noProof/>
                <w:webHidden/>
              </w:rPr>
              <w:instrText xml:space="preserve"> PAGEREF _Toc452631105 \h </w:instrText>
            </w:r>
            <w:r>
              <w:rPr>
                <w:noProof/>
                <w:webHidden/>
              </w:rPr>
            </w:r>
            <w:r>
              <w:rPr>
                <w:noProof/>
                <w:webHidden/>
              </w:rPr>
              <w:fldChar w:fldCharType="separate"/>
            </w:r>
            <w:r>
              <w:rPr>
                <w:noProof/>
                <w:webHidden/>
              </w:rPr>
              <w:t>48</w:t>
            </w:r>
            <w:r>
              <w:rPr>
                <w:noProof/>
                <w:webHidden/>
              </w:rPr>
              <w:fldChar w:fldCharType="end"/>
            </w:r>
          </w:hyperlink>
        </w:p>
        <w:p w14:paraId="2F9ACC96" w14:textId="77777777" w:rsidR="001429A2" w:rsidRDefault="001429A2">
          <w:pPr>
            <w:pStyle w:val="TOC2"/>
            <w:tabs>
              <w:tab w:val="left" w:pos="1320"/>
            </w:tabs>
            <w:rPr>
              <w:rFonts w:asciiTheme="minorHAnsi" w:eastAsiaTheme="minorEastAsia" w:hAnsiTheme="minorHAnsi" w:cstheme="minorBidi"/>
              <w:b w:val="0"/>
              <w:noProof/>
              <w:sz w:val="22"/>
              <w:lang w:eastAsia="en-AU"/>
            </w:rPr>
          </w:pPr>
          <w:hyperlink w:anchor="_Toc452631106" w:history="1">
            <w:r w:rsidRPr="00A043D1">
              <w:rPr>
                <w:rStyle w:val="Hyperlink"/>
                <w:noProof/>
              </w:rPr>
              <w:t>10.</w:t>
            </w:r>
            <w:r>
              <w:rPr>
                <w:rFonts w:asciiTheme="minorHAnsi" w:eastAsiaTheme="minorEastAsia" w:hAnsiTheme="minorHAnsi" w:cstheme="minorBidi"/>
                <w:b w:val="0"/>
                <w:noProof/>
                <w:sz w:val="22"/>
                <w:lang w:eastAsia="en-AU"/>
              </w:rPr>
              <w:tab/>
            </w:r>
            <w:r w:rsidRPr="00A043D1">
              <w:rPr>
                <w:rStyle w:val="Hyperlink"/>
                <w:noProof/>
              </w:rPr>
              <w:t>Clinical questions</w:t>
            </w:r>
            <w:r>
              <w:rPr>
                <w:noProof/>
                <w:webHidden/>
              </w:rPr>
              <w:tab/>
            </w:r>
            <w:r>
              <w:rPr>
                <w:noProof/>
                <w:webHidden/>
              </w:rPr>
              <w:fldChar w:fldCharType="begin"/>
            </w:r>
            <w:r>
              <w:rPr>
                <w:noProof/>
                <w:webHidden/>
              </w:rPr>
              <w:instrText xml:space="preserve"> PAGEREF _Toc452631106 \h </w:instrText>
            </w:r>
            <w:r>
              <w:rPr>
                <w:noProof/>
                <w:webHidden/>
              </w:rPr>
            </w:r>
            <w:r>
              <w:rPr>
                <w:noProof/>
                <w:webHidden/>
              </w:rPr>
              <w:fldChar w:fldCharType="separate"/>
            </w:r>
            <w:r>
              <w:rPr>
                <w:noProof/>
                <w:webHidden/>
              </w:rPr>
              <w:t>49</w:t>
            </w:r>
            <w:r>
              <w:rPr>
                <w:noProof/>
                <w:webHidden/>
              </w:rPr>
              <w:fldChar w:fldCharType="end"/>
            </w:r>
          </w:hyperlink>
        </w:p>
        <w:p w14:paraId="60A76D08" w14:textId="77777777" w:rsidR="001429A2" w:rsidRDefault="001429A2">
          <w:pPr>
            <w:pStyle w:val="TOC3"/>
            <w:tabs>
              <w:tab w:val="left" w:pos="1760"/>
            </w:tabs>
            <w:rPr>
              <w:rFonts w:asciiTheme="minorHAnsi" w:eastAsiaTheme="minorEastAsia" w:hAnsiTheme="minorHAnsi" w:cstheme="minorBidi"/>
              <w:noProof/>
              <w:lang w:eastAsia="en-AU"/>
            </w:rPr>
          </w:pPr>
          <w:hyperlink w:anchor="_Toc452631107" w:history="1">
            <w:r w:rsidRPr="00A043D1">
              <w:rPr>
                <w:rStyle w:val="Hyperlink"/>
                <w:noProof/>
              </w:rPr>
              <w:t>10.1.</w:t>
            </w:r>
            <w:r>
              <w:rPr>
                <w:rFonts w:asciiTheme="minorHAnsi" w:eastAsiaTheme="minorEastAsia" w:hAnsiTheme="minorHAnsi" w:cstheme="minorBidi"/>
                <w:noProof/>
                <w:lang w:eastAsia="en-AU"/>
              </w:rPr>
              <w:tab/>
            </w:r>
            <w:r w:rsidRPr="00A043D1">
              <w:rPr>
                <w:rStyle w:val="Hyperlink"/>
                <w:noProof/>
              </w:rPr>
              <w:t>Additional expert input</w:t>
            </w:r>
            <w:r>
              <w:rPr>
                <w:noProof/>
                <w:webHidden/>
              </w:rPr>
              <w:tab/>
            </w:r>
            <w:r>
              <w:rPr>
                <w:noProof/>
                <w:webHidden/>
              </w:rPr>
              <w:fldChar w:fldCharType="begin"/>
            </w:r>
            <w:r>
              <w:rPr>
                <w:noProof/>
                <w:webHidden/>
              </w:rPr>
              <w:instrText xml:space="preserve"> PAGEREF _Toc452631107 \h </w:instrText>
            </w:r>
            <w:r>
              <w:rPr>
                <w:noProof/>
                <w:webHidden/>
              </w:rPr>
            </w:r>
            <w:r>
              <w:rPr>
                <w:noProof/>
                <w:webHidden/>
              </w:rPr>
              <w:fldChar w:fldCharType="separate"/>
            </w:r>
            <w:r>
              <w:rPr>
                <w:noProof/>
                <w:webHidden/>
              </w:rPr>
              <w:t>49</w:t>
            </w:r>
            <w:r>
              <w:rPr>
                <w:noProof/>
                <w:webHidden/>
              </w:rPr>
              <w:fldChar w:fldCharType="end"/>
            </w:r>
          </w:hyperlink>
        </w:p>
        <w:p w14:paraId="120EC43F" w14:textId="77777777" w:rsidR="001429A2" w:rsidRDefault="001429A2">
          <w:pPr>
            <w:pStyle w:val="TOC3"/>
            <w:tabs>
              <w:tab w:val="left" w:pos="1760"/>
            </w:tabs>
            <w:rPr>
              <w:rFonts w:asciiTheme="minorHAnsi" w:eastAsiaTheme="minorEastAsia" w:hAnsiTheme="minorHAnsi" w:cstheme="minorBidi"/>
              <w:noProof/>
              <w:lang w:eastAsia="en-AU"/>
            </w:rPr>
          </w:pPr>
          <w:hyperlink w:anchor="_Toc452631108" w:history="1">
            <w:r w:rsidRPr="00A043D1">
              <w:rPr>
                <w:rStyle w:val="Hyperlink"/>
                <w:noProof/>
              </w:rPr>
              <w:t>10.2.</w:t>
            </w:r>
            <w:r>
              <w:rPr>
                <w:rFonts w:asciiTheme="minorHAnsi" w:eastAsiaTheme="minorEastAsia" w:hAnsiTheme="minorHAnsi" w:cstheme="minorBidi"/>
                <w:noProof/>
                <w:lang w:eastAsia="en-AU"/>
              </w:rPr>
              <w:tab/>
            </w:r>
            <w:r w:rsidRPr="00A043D1">
              <w:rPr>
                <w:rStyle w:val="Hyperlink"/>
                <w:noProof/>
              </w:rPr>
              <w:t>Clinical questions</w:t>
            </w:r>
            <w:r>
              <w:rPr>
                <w:noProof/>
                <w:webHidden/>
              </w:rPr>
              <w:tab/>
            </w:r>
            <w:r>
              <w:rPr>
                <w:noProof/>
                <w:webHidden/>
              </w:rPr>
              <w:fldChar w:fldCharType="begin"/>
            </w:r>
            <w:r>
              <w:rPr>
                <w:noProof/>
                <w:webHidden/>
              </w:rPr>
              <w:instrText xml:space="preserve"> PAGEREF _Toc452631108 \h </w:instrText>
            </w:r>
            <w:r>
              <w:rPr>
                <w:noProof/>
                <w:webHidden/>
              </w:rPr>
            </w:r>
            <w:r>
              <w:rPr>
                <w:noProof/>
                <w:webHidden/>
              </w:rPr>
              <w:fldChar w:fldCharType="separate"/>
            </w:r>
            <w:r>
              <w:rPr>
                <w:noProof/>
                <w:webHidden/>
              </w:rPr>
              <w:t>49</w:t>
            </w:r>
            <w:r>
              <w:rPr>
                <w:noProof/>
                <w:webHidden/>
              </w:rPr>
              <w:fldChar w:fldCharType="end"/>
            </w:r>
          </w:hyperlink>
        </w:p>
        <w:p w14:paraId="5B8B4D6C" w14:textId="77777777" w:rsidR="001429A2" w:rsidRDefault="001429A2">
          <w:pPr>
            <w:pStyle w:val="TOC2"/>
            <w:tabs>
              <w:tab w:val="left" w:pos="1320"/>
            </w:tabs>
            <w:rPr>
              <w:rFonts w:asciiTheme="minorHAnsi" w:eastAsiaTheme="minorEastAsia" w:hAnsiTheme="minorHAnsi" w:cstheme="minorBidi"/>
              <w:b w:val="0"/>
              <w:noProof/>
              <w:sz w:val="22"/>
              <w:lang w:eastAsia="en-AU"/>
            </w:rPr>
          </w:pPr>
          <w:hyperlink w:anchor="_Toc452631109" w:history="1">
            <w:r w:rsidRPr="00A043D1">
              <w:rPr>
                <w:rStyle w:val="Hyperlink"/>
                <w:noProof/>
              </w:rPr>
              <w:t>11.</w:t>
            </w:r>
            <w:r>
              <w:rPr>
                <w:rFonts w:asciiTheme="minorHAnsi" w:eastAsiaTheme="minorEastAsia" w:hAnsiTheme="minorHAnsi" w:cstheme="minorBidi"/>
                <w:b w:val="0"/>
                <w:noProof/>
                <w:sz w:val="22"/>
                <w:lang w:eastAsia="en-AU"/>
              </w:rPr>
              <w:tab/>
            </w:r>
            <w:r w:rsidRPr="00A043D1">
              <w:rPr>
                <w:rStyle w:val="Hyperlink"/>
                <w:noProof/>
              </w:rPr>
              <w:t>Second round evaluation of clinical data submitted in response to questions</w:t>
            </w:r>
            <w:r>
              <w:rPr>
                <w:noProof/>
                <w:webHidden/>
              </w:rPr>
              <w:tab/>
            </w:r>
            <w:r>
              <w:rPr>
                <w:noProof/>
                <w:webHidden/>
              </w:rPr>
              <w:fldChar w:fldCharType="begin"/>
            </w:r>
            <w:r>
              <w:rPr>
                <w:noProof/>
                <w:webHidden/>
              </w:rPr>
              <w:instrText xml:space="preserve"> PAGEREF _Toc452631109 \h </w:instrText>
            </w:r>
            <w:r>
              <w:rPr>
                <w:noProof/>
                <w:webHidden/>
              </w:rPr>
            </w:r>
            <w:r>
              <w:rPr>
                <w:noProof/>
                <w:webHidden/>
              </w:rPr>
              <w:fldChar w:fldCharType="separate"/>
            </w:r>
            <w:r>
              <w:rPr>
                <w:noProof/>
                <w:webHidden/>
              </w:rPr>
              <w:t>50</w:t>
            </w:r>
            <w:r>
              <w:rPr>
                <w:noProof/>
                <w:webHidden/>
              </w:rPr>
              <w:fldChar w:fldCharType="end"/>
            </w:r>
          </w:hyperlink>
        </w:p>
        <w:p w14:paraId="0A260C58" w14:textId="77777777" w:rsidR="001429A2" w:rsidRDefault="001429A2">
          <w:pPr>
            <w:pStyle w:val="TOC3"/>
            <w:tabs>
              <w:tab w:val="left" w:pos="1760"/>
            </w:tabs>
            <w:rPr>
              <w:rFonts w:asciiTheme="minorHAnsi" w:eastAsiaTheme="minorEastAsia" w:hAnsiTheme="minorHAnsi" w:cstheme="minorBidi"/>
              <w:noProof/>
              <w:lang w:eastAsia="en-AU"/>
            </w:rPr>
          </w:pPr>
          <w:hyperlink w:anchor="_Toc452631110" w:history="1">
            <w:r w:rsidRPr="00A043D1">
              <w:rPr>
                <w:rStyle w:val="Hyperlink"/>
                <w:rFonts w:eastAsia="MS Mincho"/>
                <w:noProof/>
                <w:lang w:val="en-US"/>
              </w:rPr>
              <w:t>11.1.</w:t>
            </w:r>
            <w:r>
              <w:rPr>
                <w:rFonts w:asciiTheme="minorHAnsi" w:eastAsiaTheme="minorEastAsia" w:hAnsiTheme="minorHAnsi" w:cstheme="minorBidi"/>
                <w:noProof/>
                <w:lang w:eastAsia="en-AU"/>
              </w:rPr>
              <w:tab/>
            </w:r>
            <w:r w:rsidRPr="00A043D1">
              <w:rPr>
                <w:rStyle w:val="Hyperlink"/>
                <w:rFonts w:eastAsia="MS Mincho"/>
                <w:noProof/>
                <w:lang w:val="en-US"/>
              </w:rPr>
              <w:t>Question 1</w:t>
            </w:r>
            <w:r>
              <w:rPr>
                <w:noProof/>
                <w:webHidden/>
              </w:rPr>
              <w:tab/>
            </w:r>
            <w:r>
              <w:rPr>
                <w:noProof/>
                <w:webHidden/>
              </w:rPr>
              <w:fldChar w:fldCharType="begin"/>
            </w:r>
            <w:r>
              <w:rPr>
                <w:noProof/>
                <w:webHidden/>
              </w:rPr>
              <w:instrText xml:space="preserve"> PAGEREF _Toc452631110 \h </w:instrText>
            </w:r>
            <w:r>
              <w:rPr>
                <w:noProof/>
                <w:webHidden/>
              </w:rPr>
            </w:r>
            <w:r>
              <w:rPr>
                <w:noProof/>
                <w:webHidden/>
              </w:rPr>
              <w:fldChar w:fldCharType="separate"/>
            </w:r>
            <w:r>
              <w:rPr>
                <w:noProof/>
                <w:webHidden/>
              </w:rPr>
              <w:t>50</w:t>
            </w:r>
            <w:r>
              <w:rPr>
                <w:noProof/>
                <w:webHidden/>
              </w:rPr>
              <w:fldChar w:fldCharType="end"/>
            </w:r>
          </w:hyperlink>
        </w:p>
        <w:p w14:paraId="70B432DB" w14:textId="77777777" w:rsidR="001429A2" w:rsidRDefault="001429A2">
          <w:pPr>
            <w:pStyle w:val="TOC3"/>
            <w:tabs>
              <w:tab w:val="left" w:pos="1760"/>
            </w:tabs>
            <w:rPr>
              <w:rFonts w:asciiTheme="minorHAnsi" w:eastAsiaTheme="minorEastAsia" w:hAnsiTheme="minorHAnsi" w:cstheme="minorBidi"/>
              <w:noProof/>
              <w:lang w:eastAsia="en-AU"/>
            </w:rPr>
          </w:pPr>
          <w:hyperlink w:anchor="_Toc452631111" w:history="1">
            <w:r w:rsidRPr="00A043D1">
              <w:rPr>
                <w:rStyle w:val="Hyperlink"/>
                <w:rFonts w:eastAsia="MS Mincho"/>
                <w:noProof/>
                <w:lang w:val="en-US"/>
              </w:rPr>
              <w:t>11.2.</w:t>
            </w:r>
            <w:r>
              <w:rPr>
                <w:rFonts w:asciiTheme="minorHAnsi" w:eastAsiaTheme="minorEastAsia" w:hAnsiTheme="minorHAnsi" w:cstheme="minorBidi"/>
                <w:noProof/>
                <w:lang w:eastAsia="en-AU"/>
              </w:rPr>
              <w:tab/>
            </w:r>
            <w:r w:rsidRPr="00A043D1">
              <w:rPr>
                <w:rStyle w:val="Hyperlink"/>
                <w:rFonts w:eastAsia="MS Mincho"/>
                <w:noProof/>
                <w:lang w:val="en-US"/>
              </w:rPr>
              <w:t>Question 2</w:t>
            </w:r>
            <w:r>
              <w:rPr>
                <w:noProof/>
                <w:webHidden/>
              </w:rPr>
              <w:tab/>
            </w:r>
            <w:r>
              <w:rPr>
                <w:noProof/>
                <w:webHidden/>
              </w:rPr>
              <w:fldChar w:fldCharType="begin"/>
            </w:r>
            <w:r>
              <w:rPr>
                <w:noProof/>
                <w:webHidden/>
              </w:rPr>
              <w:instrText xml:space="preserve"> PAGEREF _Toc452631111 \h </w:instrText>
            </w:r>
            <w:r>
              <w:rPr>
                <w:noProof/>
                <w:webHidden/>
              </w:rPr>
            </w:r>
            <w:r>
              <w:rPr>
                <w:noProof/>
                <w:webHidden/>
              </w:rPr>
              <w:fldChar w:fldCharType="separate"/>
            </w:r>
            <w:r>
              <w:rPr>
                <w:noProof/>
                <w:webHidden/>
              </w:rPr>
              <w:t>51</w:t>
            </w:r>
            <w:r>
              <w:rPr>
                <w:noProof/>
                <w:webHidden/>
              </w:rPr>
              <w:fldChar w:fldCharType="end"/>
            </w:r>
          </w:hyperlink>
        </w:p>
        <w:p w14:paraId="4C0FDFD0" w14:textId="77777777" w:rsidR="001429A2" w:rsidRDefault="001429A2">
          <w:pPr>
            <w:pStyle w:val="TOC3"/>
            <w:tabs>
              <w:tab w:val="left" w:pos="1760"/>
            </w:tabs>
            <w:rPr>
              <w:rFonts w:asciiTheme="minorHAnsi" w:eastAsiaTheme="minorEastAsia" w:hAnsiTheme="minorHAnsi" w:cstheme="minorBidi"/>
              <w:noProof/>
              <w:lang w:eastAsia="en-AU"/>
            </w:rPr>
          </w:pPr>
          <w:hyperlink w:anchor="_Toc452631112" w:history="1">
            <w:r w:rsidRPr="00A043D1">
              <w:rPr>
                <w:rStyle w:val="Hyperlink"/>
                <w:rFonts w:eastAsia="MS Mincho"/>
                <w:noProof/>
                <w:lang w:val="en-US"/>
              </w:rPr>
              <w:t>11.3.</w:t>
            </w:r>
            <w:r>
              <w:rPr>
                <w:rFonts w:asciiTheme="minorHAnsi" w:eastAsiaTheme="minorEastAsia" w:hAnsiTheme="minorHAnsi" w:cstheme="minorBidi"/>
                <w:noProof/>
                <w:lang w:eastAsia="en-AU"/>
              </w:rPr>
              <w:tab/>
            </w:r>
            <w:r w:rsidRPr="00A043D1">
              <w:rPr>
                <w:rStyle w:val="Hyperlink"/>
                <w:rFonts w:eastAsia="MS Mincho"/>
                <w:noProof/>
                <w:lang w:val="en-US"/>
              </w:rPr>
              <w:t>Question 3</w:t>
            </w:r>
            <w:r>
              <w:rPr>
                <w:noProof/>
                <w:webHidden/>
              </w:rPr>
              <w:tab/>
            </w:r>
            <w:r>
              <w:rPr>
                <w:noProof/>
                <w:webHidden/>
              </w:rPr>
              <w:fldChar w:fldCharType="begin"/>
            </w:r>
            <w:r>
              <w:rPr>
                <w:noProof/>
                <w:webHidden/>
              </w:rPr>
              <w:instrText xml:space="preserve"> PAGEREF _Toc452631112 \h </w:instrText>
            </w:r>
            <w:r>
              <w:rPr>
                <w:noProof/>
                <w:webHidden/>
              </w:rPr>
            </w:r>
            <w:r>
              <w:rPr>
                <w:noProof/>
                <w:webHidden/>
              </w:rPr>
              <w:fldChar w:fldCharType="separate"/>
            </w:r>
            <w:r>
              <w:rPr>
                <w:noProof/>
                <w:webHidden/>
              </w:rPr>
              <w:t>52</w:t>
            </w:r>
            <w:r>
              <w:rPr>
                <w:noProof/>
                <w:webHidden/>
              </w:rPr>
              <w:fldChar w:fldCharType="end"/>
            </w:r>
          </w:hyperlink>
        </w:p>
        <w:p w14:paraId="180A09C1" w14:textId="77777777" w:rsidR="001429A2" w:rsidRDefault="001429A2">
          <w:pPr>
            <w:pStyle w:val="TOC3"/>
            <w:tabs>
              <w:tab w:val="left" w:pos="1760"/>
            </w:tabs>
            <w:rPr>
              <w:rFonts w:asciiTheme="minorHAnsi" w:eastAsiaTheme="minorEastAsia" w:hAnsiTheme="minorHAnsi" w:cstheme="minorBidi"/>
              <w:noProof/>
              <w:lang w:eastAsia="en-AU"/>
            </w:rPr>
          </w:pPr>
          <w:hyperlink w:anchor="_Toc452631113" w:history="1">
            <w:r w:rsidRPr="00A043D1">
              <w:rPr>
                <w:rStyle w:val="Hyperlink"/>
                <w:rFonts w:eastAsia="MS Mincho"/>
                <w:noProof/>
                <w:lang w:val="en-US"/>
              </w:rPr>
              <w:t>11.4.</w:t>
            </w:r>
            <w:r>
              <w:rPr>
                <w:rFonts w:asciiTheme="minorHAnsi" w:eastAsiaTheme="minorEastAsia" w:hAnsiTheme="minorHAnsi" w:cstheme="minorBidi"/>
                <w:noProof/>
                <w:lang w:eastAsia="en-AU"/>
              </w:rPr>
              <w:tab/>
            </w:r>
            <w:r w:rsidRPr="00A043D1">
              <w:rPr>
                <w:rStyle w:val="Hyperlink"/>
                <w:rFonts w:eastAsia="MS Mincho"/>
                <w:noProof/>
                <w:lang w:val="en-US"/>
              </w:rPr>
              <w:t>Question 4</w:t>
            </w:r>
            <w:r>
              <w:rPr>
                <w:noProof/>
                <w:webHidden/>
              </w:rPr>
              <w:tab/>
            </w:r>
            <w:r>
              <w:rPr>
                <w:noProof/>
                <w:webHidden/>
              </w:rPr>
              <w:fldChar w:fldCharType="begin"/>
            </w:r>
            <w:r>
              <w:rPr>
                <w:noProof/>
                <w:webHidden/>
              </w:rPr>
              <w:instrText xml:space="preserve"> PAGEREF _Toc452631113 \h </w:instrText>
            </w:r>
            <w:r>
              <w:rPr>
                <w:noProof/>
                <w:webHidden/>
              </w:rPr>
            </w:r>
            <w:r>
              <w:rPr>
                <w:noProof/>
                <w:webHidden/>
              </w:rPr>
              <w:fldChar w:fldCharType="separate"/>
            </w:r>
            <w:r>
              <w:rPr>
                <w:noProof/>
                <w:webHidden/>
              </w:rPr>
              <w:t>52</w:t>
            </w:r>
            <w:r>
              <w:rPr>
                <w:noProof/>
                <w:webHidden/>
              </w:rPr>
              <w:fldChar w:fldCharType="end"/>
            </w:r>
          </w:hyperlink>
        </w:p>
        <w:p w14:paraId="5424E6C3" w14:textId="77777777" w:rsidR="001429A2" w:rsidRDefault="001429A2">
          <w:pPr>
            <w:pStyle w:val="TOC3"/>
            <w:tabs>
              <w:tab w:val="left" w:pos="1760"/>
            </w:tabs>
            <w:rPr>
              <w:rFonts w:asciiTheme="minorHAnsi" w:eastAsiaTheme="minorEastAsia" w:hAnsiTheme="minorHAnsi" w:cstheme="minorBidi"/>
              <w:noProof/>
              <w:lang w:eastAsia="en-AU"/>
            </w:rPr>
          </w:pPr>
          <w:hyperlink w:anchor="_Toc452631114" w:history="1">
            <w:r w:rsidRPr="00A043D1">
              <w:rPr>
                <w:rStyle w:val="Hyperlink"/>
                <w:rFonts w:eastAsia="MS Mincho"/>
                <w:noProof/>
                <w:lang w:val="en-US"/>
              </w:rPr>
              <w:t>11.5.</w:t>
            </w:r>
            <w:r>
              <w:rPr>
                <w:rFonts w:asciiTheme="minorHAnsi" w:eastAsiaTheme="minorEastAsia" w:hAnsiTheme="minorHAnsi" w:cstheme="minorBidi"/>
                <w:noProof/>
                <w:lang w:eastAsia="en-AU"/>
              </w:rPr>
              <w:tab/>
            </w:r>
            <w:r w:rsidRPr="00A043D1">
              <w:rPr>
                <w:rStyle w:val="Hyperlink"/>
                <w:rFonts w:eastAsia="MS Mincho"/>
                <w:noProof/>
                <w:lang w:val="en-US"/>
              </w:rPr>
              <w:t>Question 5</w:t>
            </w:r>
            <w:r>
              <w:rPr>
                <w:noProof/>
                <w:webHidden/>
              </w:rPr>
              <w:tab/>
            </w:r>
            <w:r>
              <w:rPr>
                <w:noProof/>
                <w:webHidden/>
              </w:rPr>
              <w:fldChar w:fldCharType="begin"/>
            </w:r>
            <w:r>
              <w:rPr>
                <w:noProof/>
                <w:webHidden/>
              </w:rPr>
              <w:instrText xml:space="preserve"> PAGEREF _Toc452631114 \h </w:instrText>
            </w:r>
            <w:r>
              <w:rPr>
                <w:noProof/>
                <w:webHidden/>
              </w:rPr>
            </w:r>
            <w:r>
              <w:rPr>
                <w:noProof/>
                <w:webHidden/>
              </w:rPr>
              <w:fldChar w:fldCharType="separate"/>
            </w:r>
            <w:r>
              <w:rPr>
                <w:noProof/>
                <w:webHidden/>
              </w:rPr>
              <w:t>54</w:t>
            </w:r>
            <w:r>
              <w:rPr>
                <w:noProof/>
                <w:webHidden/>
              </w:rPr>
              <w:fldChar w:fldCharType="end"/>
            </w:r>
          </w:hyperlink>
        </w:p>
        <w:p w14:paraId="26B5A2C7" w14:textId="77777777" w:rsidR="001429A2" w:rsidRDefault="001429A2">
          <w:pPr>
            <w:pStyle w:val="TOC3"/>
            <w:tabs>
              <w:tab w:val="left" w:pos="1760"/>
            </w:tabs>
            <w:rPr>
              <w:rFonts w:asciiTheme="minorHAnsi" w:eastAsiaTheme="minorEastAsia" w:hAnsiTheme="minorHAnsi" w:cstheme="minorBidi"/>
              <w:noProof/>
              <w:lang w:eastAsia="en-AU"/>
            </w:rPr>
          </w:pPr>
          <w:hyperlink w:anchor="_Toc452631115" w:history="1">
            <w:r w:rsidRPr="00A043D1">
              <w:rPr>
                <w:rStyle w:val="Hyperlink"/>
                <w:noProof/>
              </w:rPr>
              <w:t>11.6.</w:t>
            </w:r>
            <w:r>
              <w:rPr>
                <w:rFonts w:asciiTheme="minorHAnsi" w:eastAsiaTheme="minorEastAsia" w:hAnsiTheme="minorHAnsi" w:cstheme="minorBidi"/>
                <w:noProof/>
                <w:lang w:eastAsia="en-AU"/>
              </w:rPr>
              <w:tab/>
            </w:r>
            <w:r w:rsidRPr="00A043D1">
              <w:rPr>
                <w:rStyle w:val="Hyperlink"/>
                <w:noProof/>
              </w:rPr>
              <w:t>Second round benefit-risk assessment</w:t>
            </w:r>
            <w:r>
              <w:rPr>
                <w:noProof/>
                <w:webHidden/>
              </w:rPr>
              <w:tab/>
            </w:r>
            <w:r>
              <w:rPr>
                <w:noProof/>
                <w:webHidden/>
              </w:rPr>
              <w:fldChar w:fldCharType="begin"/>
            </w:r>
            <w:r>
              <w:rPr>
                <w:noProof/>
                <w:webHidden/>
              </w:rPr>
              <w:instrText xml:space="preserve"> PAGEREF _Toc452631115 \h </w:instrText>
            </w:r>
            <w:r>
              <w:rPr>
                <w:noProof/>
                <w:webHidden/>
              </w:rPr>
            </w:r>
            <w:r>
              <w:rPr>
                <w:noProof/>
                <w:webHidden/>
              </w:rPr>
              <w:fldChar w:fldCharType="separate"/>
            </w:r>
            <w:r>
              <w:rPr>
                <w:noProof/>
                <w:webHidden/>
              </w:rPr>
              <w:t>55</w:t>
            </w:r>
            <w:r>
              <w:rPr>
                <w:noProof/>
                <w:webHidden/>
              </w:rPr>
              <w:fldChar w:fldCharType="end"/>
            </w:r>
          </w:hyperlink>
        </w:p>
        <w:p w14:paraId="21328144" w14:textId="77777777" w:rsidR="001429A2" w:rsidRDefault="001429A2">
          <w:pPr>
            <w:pStyle w:val="TOC3"/>
            <w:tabs>
              <w:tab w:val="left" w:pos="1760"/>
            </w:tabs>
            <w:rPr>
              <w:rFonts w:asciiTheme="minorHAnsi" w:eastAsiaTheme="minorEastAsia" w:hAnsiTheme="minorHAnsi" w:cstheme="minorBidi"/>
              <w:noProof/>
              <w:lang w:eastAsia="en-AU"/>
            </w:rPr>
          </w:pPr>
          <w:hyperlink w:anchor="_Toc452631116" w:history="1">
            <w:r w:rsidRPr="00A043D1">
              <w:rPr>
                <w:rStyle w:val="Hyperlink"/>
                <w:noProof/>
              </w:rPr>
              <w:t>11.7.</w:t>
            </w:r>
            <w:r>
              <w:rPr>
                <w:rFonts w:asciiTheme="minorHAnsi" w:eastAsiaTheme="minorEastAsia" w:hAnsiTheme="minorHAnsi" w:cstheme="minorBidi"/>
                <w:noProof/>
                <w:lang w:eastAsia="en-AU"/>
              </w:rPr>
              <w:tab/>
            </w:r>
            <w:r w:rsidRPr="00A043D1">
              <w:rPr>
                <w:rStyle w:val="Hyperlink"/>
                <w:noProof/>
              </w:rPr>
              <w:t>Second round recommendation regarding authorisation</w:t>
            </w:r>
            <w:r>
              <w:rPr>
                <w:noProof/>
                <w:webHidden/>
              </w:rPr>
              <w:tab/>
            </w:r>
            <w:r>
              <w:rPr>
                <w:noProof/>
                <w:webHidden/>
              </w:rPr>
              <w:fldChar w:fldCharType="begin"/>
            </w:r>
            <w:r>
              <w:rPr>
                <w:noProof/>
                <w:webHidden/>
              </w:rPr>
              <w:instrText xml:space="preserve"> PAGEREF _Toc452631116 \h </w:instrText>
            </w:r>
            <w:r>
              <w:rPr>
                <w:noProof/>
                <w:webHidden/>
              </w:rPr>
            </w:r>
            <w:r>
              <w:rPr>
                <w:noProof/>
                <w:webHidden/>
              </w:rPr>
              <w:fldChar w:fldCharType="separate"/>
            </w:r>
            <w:r>
              <w:rPr>
                <w:noProof/>
                <w:webHidden/>
              </w:rPr>
              <w:t>55</w:t>
            </w:r>
            <w:r>
              <w:rPr>
                <w:noProof/>
                <w:webHidden/>
              </w:rPr>
              <w:fldChar w:fldCharType="end"/>
            </w:r>
          </w:hyperlink>
        </w:p>
        <w:p w14:paraId="2995C06E" w14:textId="77777777" w:rsidR="001429A2" w:rsidRDefault="001429A2">
          <w:pPr>
            <w:pStyle w:val="TOC2"/>
            <w:tabs>
              <w:tab w:val="left" w:pos="1320"/>
            </w:tabs>
            <w:rPr>
              <w:rFonts w:asciiTheme="minorHAnsi" w:eastAsiaTheme="minorEastAsia" w:hAnsiTheme="minorHAnsi" w:cstheme="minorBidi"/>
              <w:b w:val="0"/>
              <w:noProof/>
              <w:sz w:val="22"/>
              <w:lang w:eastAsia="en-AU"/>
            </w:rPr>
          </w:pPr>
          <w:hyperlink w:anchor="_Toc452631117" w:history="1">
            <w:r w:rsidRPr="00A043D1">
              <w:rPr>
                <w:rStyle w:val="Hyperlink"/>
                <w:noProof/>
              </w:rPr>
              <w:t>12.</w:t>
            </w:r>
            <w:r>
              <w:rPr>
                <w:rFonts w:asciiTheme="minorHAnsi" w:eastAsiaTheme="minorEastAsia" w:hAnsiTheme="minorHAnsi" w:cstheme="minorBidi"/>
                <w:b w:val="0"/>
                <w:noProof/>
                <w:sz w:val="22"/>
                <w:lang w:eastAsia="en-AU"/>
              </w:rPr>
              <w:tab/>
            </w:r>
            <w:r w:rsidRPr="00A043D1">
              <w:rPr>
                <w:rStyle w:val="Hyperlink"/>
                <w:noProof/>
              </w:rPr>
              <w:t>References</w:t>
            </w:r>
            <w:r>
              <w:rPr>
                <w:noProof/>
                <w:webHidden/>
              </w:rPr>
              <w:tab/>
            </w:r>
            <w:r>
              <w:rPr>
                <w:noProof/>
                <w:webHidden/>
              </w:rPr>
              <w:fldChar w:fldCharType="begin"/>
            </w:r>
            <w:r>
              <w:rPr>
                <w:noProof/>
                <w:webHidden/>
              </w:rPr>
              <w:instrText xml:space="preserve"> PAGEREF _Toc452631117 \h </w:instrText>
            </w:r>
            <w:r>
              <w:rPr>
                <w:noProof/>
                <w:webHidden/>
              </w:rPr>
            </w:r>
            <w:r>
              <w:rPr>
                <w:noProof/>
                <w:webHidden/>
              </w:rPr>
              <w:fldChar w:fldCharType="separate"/>
            </w:r>
            <w:r>
              <w:rPr>
                <w:noProof/>
                <w:webHidden/>
              </w:rPr>
              <w:t>55</w:t>
            </w:r>
            <w:r>
              <w:rPr>
                <w:noProof/>
                <w:webHidden/>
              </w:rPr>
              <w:fldChar w:fldCharType="end"/>
            </w:r>
          </w:hyperlink>
        </w:p>
        <w:p w14:paraId="7D356C62" w14:textId="77777777" w:rsidR="003A7F6C" w:rsidRPr="00B811C6" w:rsidRDefault="004F4AF5" w:rsidP="00B811C6">
          <w:pPr>
            <w:pStyle w:val="TOC2"/>
          </w:pPr>
          <w:r>
            <w:fldChar w:fldCharType="end"/>
          </w:r>
        </w:p>
      </w:sdtContent>
    </w:sdt>
    <w:bookmarkStart w:id="3" w:name="_Toc314842482" w:displacedByCustomXml="prev"/>
    <w:p w14:paraId="058BD9D3" w14:textId="77777777" w:rsidR="001A4B22" w:rsidRDefault="001A4B22">
      <w:pPr>
        <w:spacing w:before="0" w:after="200" w:line="0" w:lineRule="auto"/>
        <w:rPr>
          <w:rFonts w:ascii="Arial" w:eastAsia="Times New Roman" w:hAnsi="Arial"/>
          <w:b/>
          <w:bCs/>
          <w:sz w:val="32"/>
          <w:szCs w:val="26"/>
          <w:lang w:eastAsia="ja-JP"/>
        </w:rPr>
      </w:pPr>
      <w:bookmarkStart w:id="4" w:name="_Toc351716269"/>
      <w:bookmarkStart w:id="5" w:name="_Toc351718881"/>
      <w:bookmarkStart w:id="6" w:name="_Toc355338616"/>
      <w:r>
        <w:br w:type="page"/>
      </w:r>
    </w:p>
    <w:p w14:paraId="61302E9F" w14:textId="77777777" w:rsidR="00586F98" w:rsidRDefault="00586F98" w:rsidP="00586F98">
      <w:pPr>
        <w:pStyle w:val="Heading2"/>
        <w:numPr>
          <w:ilvl w:val="0"/>
          <w:numId w:val="0"/>
        </w:numPr>
      </w:pPr>
      <w:bookmarkStart w:id="7" w:name="_Toc452631074"/>
      <w:r>
        <w:lastRenderedPageBreak/>
        <w:t xml:space="preserve">List of </w:t>
      </w:r>
      <w:r w:rsidR="00970674">
        <w:t xml:space="preserve">common </w:t>
      </w:r>
      <w:r>
        <w:t>abbreviations</w:t>
      </w:r>
      <w:bookmarkEnd w:id="4"/>
      <w:bookmarkEnd w:id="5"/>
      <w:bookmarkEnd w:id="6"/>
      <w:bookmarkEnd w:id="7"/>
    </w:p>
    <w:p w14:paraId="107961BB" w14:textId="77777777" w:rsidR="00970674" w:rsidRPr="00FD119B" w:rsidRDefault="00970674" w:rsidP="00970674">
      <w:pPr>
        <w:spacing w:before="0" w:after="200" w:line="0" w:lineRule="auto"/>
        <w:rPr>
          <w:b/>
          <w:i/>
          <w:sz w:val="24"/>
          <w:szCs w:val="24"/>
        </w:rPr>
      </w:pPr>
      <w:bookmarkStart w:id="8" w:name="_Toc351718900"/>
      <w:bookmarkStart w:id="9" w:name="_Toc355338635"/>
    </w:p>
    <w:tbl>
      <w:tblPr>
        <w:tblStyle w:val="TableTGAblue1"/>
        <w:tblW w:w="0" w:type="auto"/>
        <w:tblInd w:w="0" w:type="dxa"/>
        <w:tblLook w:val="04A0" w:firstRow="1" w:lastRow="0" w:firstColumn="1" w:lastColumn="0" w:noHBand="0" w:noVBand="1"/>
      </w:tblPr>
      <w:tblGrid>
        <w:gridCol w:w="1550"/>
        <w:gridCol w:w="7347"/>
      </w:tblGrid>
      <w:tr w:rsidR="00970674" w14:paraId="7BD6A889" w14:textId="77777777" w:rsidTr="00970674">
        <w:trPr>
          <w:cnfStyle w:val="100000000000" w:firstRow="1" w:lastRow="0" w:firstColumn="0" w:lastColumn="0" w:oddVBand="0" w:evenVBand="0" w:oddHBand="0" w:evenHBand="0" w:firstRowFirstColumn="0" w:firstRowLastColumn="0" w:lastRowFirstColumn="0" w:lastRowLastColumn="0"/>
          <w:cantSplit/>
          <w:tblHeader/>
        </w:trPr>
        <w:tc>
          <w:tcPr>
            <w:tcW w:w="1550" w:type="dxa"/>
          </w:tcPr>
          <w:p w14:paraId="1BA6FFDA" w14:textId="77777777" w:rsidR="00970674" w:rsidRPr="00FD119B" w:rsidRDefault="00970674" w:rsidP="00970674">
            <w:r w:rsidRPr="00FD119B">
              <w:t>Abbreviation</w:t>
            </w:r>
          </w:p>
        </w:tc>
        <w:tc>
          <w:tcPr>
            <w:tcW w:w="7347" w:type="dxa"/>
          </w:tcPr>
          <w:p w14:paraId="70B21B85" w14:textId="77777777" w:rsidR="00970674" w:rsidRPr="00FD119B" w:rsidRDefault="00970674" w:rsidP="00970674">
            <w:r w:rsidRPr="00FD119B">
              <w:t>Meaning</w:t>
            </w:r>
          </w:p>
        </w:tc>
      </w:tr>
      <w:tr w:rsidR="00970674" w14:paraId="48DF6842" w14:textId="77777777" w:rsidTr="00970674">
        <w:trPr>
          <w:trHeight w:val="445"/>
        </w:trPr>
        <w:tc>
          <w:tcPr>
            <w:tcW w:w="1550" w:type="dxa"/>
            <w:hideMark/>
          </w:tcPr>
          <w:p w14:paraId="750C8D46" w14:textId="77777777" w:rsidR="00970674" w:rsidRPr="00E420FF" w:rsidRDefault="00970674" w:rsidP="00E420FF">
            <w:pPr>
              <w:rPr>
                <w:rFonts w:asciiTheme="minorHAnsi" w:hAnsiTheme="minorHAnsi"/>
                <w:kern w:val="16"/>
                <w:szCs w:val="22"/>
                <w:lang w:val="en-US"/>
              </w:rPr>
            </w:pPr>
            <w:r w:rsidRPr="00E420FF">
              <w:rPr>
                <w:rFonts w:asciiTheme="minorHAnsi" w:hAnsiTheme="minorHAnsi"/>
                <w:szCs w:val="22"/>
                <w:lang w:val="en-US"/>
              </w:rPr>
              <w:t xml:space="preserve">ALP </w:t>
            </w:r>
          </w:p>
        </w:tc>
        <w:tc>
          <w:tcPr>
            <w:tcW w:w="7347" w:type="dxa"/>
            <w:hideMark/>
          </w:tcPr>
          <w:p w14:paraId="7D9499DB" w14:textId="676D4DE7" w:rsidR="00970674" w:rsidRPr="00E420FF" w:rsidRDefault="008572F8" w:rsidP="00E420FF">
            <w:pPr>
              <w:rPr>
                <w:rFonts w:asciiTheme="minorHAnsi" w:hAnsiTheme="minorHAnsi"/>
                <w:kern w:val="16"/>
                <w:szCs w:val="22"/>
                <w:lang w:val="en-US"/>
              </w:rPr>
            </w:pPr>
            <w:r w:rsidRPr="00E420FF">
              <w:rPr>
                <w:rFonts w:asciiTheme="minorHAnsi" w:hAnsiTheme="minorHAnsi"/>
                <w:szCs w:val="22"/>
                <w:lang w:val="en-US"/>
              </w:rPr>
              <w:t>Alkaline phosphatase</w:t>
            </w:r>
          </w:p>
        </w:tc>
      </w:tr>
      <w:tr w:rsidR="00970674" w14:paraId="51C8435B" w14:textId="77777777" w:rsidTr="00970674">
        <w:tc>
          <w:tcPr>
            <w:tcW w:w="1550" w:type="dxa"/>
            <w:hideMark/>
          </w:tcPr>
          <w:p w14:paraId="3DAF9600" w14:textId="77777777" w:rsidR="00970674" w:rsidRPr="00E420FF" w:rsidRDefault="00970674" w:rsidP="00E420FF">
            <w:pPr>
              <w:rPr>
                <w:rFonts w:asciiTheme="minorHAnsi" w:hAnsiTheme="minorHAnsi"/>
                <w:kern w:val="16"/>
                <w:szCs w:val="22"/>
              </w:rPr>
            </w:pPr>
            <w:r w:rsidRPr="00E420FF">
              <w:rPr>
                <w:rFonts w:asciiTheme="minorHAnsi" w:hAnsiTheme="minorHAnsi"/>
                <w:szCs w:val="22"/>
              </w:rPr>
              <w:t xml:space="preserve">ALQ </w:t>
            </w:r>
          </w:p>
        </w:tc>
        <w:tc>
          <w:tcPr>
            <w:tcW w:w="7347" w:type="dxa"/>
            <w:hideMark/>
          </w:tcPr>
          <w:p w14:paraId="141A58AB" w14:textId="634916CA" w:rsidR="00970674" w:rsidRPr="00E420FF" w:rsidRDefault="008572F8" w:rsidP="00E420FF">
            <w:pPr>
              <w:rPr>
                <w:rFonts w:asciiTheme="minorHAnsi" w:hAnsiTheme="minorHAnsi"/>
                <w:kern w:val="16"/>
                <w:szCs w:val="22"/>
              </w:rPr>
            </w:pPr>
            <w:r w:rsidRPr="00E420FF">
              <w:rPr>
                <w:rFonts w:asciiTheme="minorHAnsi" w:hAnsiTheme="minorHAnsi"/>
                <w:szCs w:val="22"/>
              </w:rPr>
              <w:t>Above the limit of quantitation</w:t>
            </w:r>
          </w:p>
        </w:tc>
      </w:tr>
      <w:tr w:rsidR="00970674" w14:paraId="7A76C748" w14:textId="77777777" w:rsidTr="00970674">
        <w:tc>
          <w:tcPr>
            <w:tcW w:w="1550" w:type="dxa"/>
            <w:hideMark/>
          </w:tcPr>
          <w:p w14:paraId="0ACCCC7C" w14:textId="77777777" w:rsidR="00970674" w:rsidRPr="00E420FF" w:rsidRDefault="00970674" w:rsidP="00E420FF">
            <w:pPr>
              <w:rPr>
                <w:rFonts w:asciiTheme="minorHAnsi" w:hAnsiTheme="minorHAnsi"/>
                <w:kern w:val="16"/>
                <w:szCs w:val="22"/>
                <w:lang w:val="en-US"/>
              </w:rPr>
            </w:pPr>
            <w:r w:rsidRPr="00E420FF">
              <w:rPr>
                <w:rFonts w:asciiTheme="minorHAnsi" w:hAnsiTheme="minorHAnsi"/>
                <w:szCs w:val="22"/>
                <w:lang w:val="en-US"/>
              </w:rPr>
              <w:t xml:space="preserve">ALT </w:t>
            </w:r>
          </w:p>
        </w:tc>
        <w:tc>
          <w:tcPr>
            <w:tcW w:w="7347" w:type="dxa"/>
            <w:hideMark/>
          </w:tcPr>
          <w:p w14:paraId="6DCD5D07" w14:textId="37721D6B" w:rsidR="00970674" w:rsidRPr="00E420FF" w:rsidRDefault="008572F8" w:rsidP="00E420FF">
            <w:pPr>
              <w:rPr>
                <w:rFonts w:asciiTheme="minorHAnsi" w:hAnsiTheme="minorHAnsi"/>
                <w:kern w:val="16"/>
                <w:szCs w:val="22"/>
                <w:lang w:val="en-US"/>
              </w:rPr>
            </w:pPr>
            <w:r w:rsidRPr="00E420FF">
              <w:rPr>
                <w:rFonts w:asciiTheme="minorHAnsi" w:hAnsiTheme="minorHAnsi"/>
                <w:szCs w:val="22"/>
                <w:lang w:val="en-US"/>
              </w:rPr>
              <w:t>Alanine aminotransferase</w:t>
            </w:r>
          </w:p>
        </w:tc>
      </w:tr>
      <w:tr w:rsidR="00970674" w14:paraId="11F0DCDA" w14:textId="77777777" w:rsidTr="00970674">
        <w:tc>
          <w:tcPr>
            <w:tcW w:w="1550" w:type="dxa"/>
            <w:hideMark/>
          </w:tcPr>
          <w:p w14:paraId="39C80B2B" w14:textId="77777777" w:rsidR="00970674" w:rsidRPr="00E420FF" w:rsidRDefault="00970674" w:rsidP="00E420FF">
            <w:pPr>
              <w:rPr>
                <w:rFonts w:asciiTheme="minorHAnsi" w:hAnsiTheme="minorHAnsi"/>
                <w:kern w:val="16"/>
                <w:szCs w:val="22"/>
                <w:lang w:val="en-US"/>
              </w:rPr>
            </w:pPr>
            <w:r w:rsidRPr="00E420FF">
              <w:rPr>
                <w:rFonts w:asciiTheme="minorHAnsi" w:hAnsiTheme="minorHAnsi"/>
                <w:szCs w:val="22"/>
                <w:lang w:val="en-US"/>
              </w:rPr>
              <w:t xml:space="preserve">AST </w:t>
            </w:r>
          </w:p>
        </w:tc>
        <w:tc>
          <w:tcPr>
            <w:tcW w:w="7347" w:type="dxa"/>
            <w:hideMark/>
          </w:tcPr>
          <w:p w14:paraId="4A614DC2" w14:textId="2806245F" w:rsidR="00970674" w:rsidRPr="00E420FF" w:rsidRDefault="008572F8" w:rsidP="00E420FF">
            <w:pPr>
              <w:rPr>
                <w:rFonts w:asciiTheme="minorHAnsi" w:hAnsiTheme="minorHAnsi"/>
                <w:kern w:val="16"/>
                <w:szCs w:val="22"/>
                <w:lang w:val="en-US"/>
              </w:rPr>
            </w:pPr>
            <w:r w:rsidRPr="00E420FF">
              <w:rPr>
                <w:rFonts w:asciiTheme="minorHAnsi" w:hAnsiTheme="minorHAnsi"/>
                <w:szCs w:val="22"/>
                <w:lang w:val="en-US"/>
              </w:rPr>
              <w:t>Aspartate aminotransferase</w:t>
            </w:r>
          </w:p>
        </w:tc>
      </w:tr>
      <w:tr w:rsidR="00970674" w14:paraId="3C1C9745" w14:textId="77777777" w:rsidTr="00970674">
        <w:tc>
          <w:tcPr>
            <w:tcW w:w="1550" w:type="dxa"/>
            <w:hideMark/>
          </w:tcPr>
          <w:p w14:paraId="605554B6" w14:textId="77777777" w:rsidR="00970674" w:rsidRPr="00E420FF" w:rsidRDefault="00970674" w:rsidP="00E420FF">
            <w:pPr>
              <w:rPr>
                <w:rFonts w:asciiTheme="minorHAnsi" w:hAnsiTheme="minorHAnsi"/>
                <w:kern w:val="16"/>
                <w:szCs w:val="22"/>
              </w:rPr>
            </w:pPr>
            <w:r w:rsidRPr="00E420FF">
              <w:rPr>
                <w:rFonts w:asciiTheme="minorHAnsi" w:hAnsiTheme="minorHAnsi"/>
                <w:szCs w:val="22"/>
              </w:rPr>
              <w:t xml:space="preserve">BLQ </w:t>
            </w:r>
          </w:p>
        </w:tc>
        <w:tc>
          <w:tcPr>
            <w:tcW w:w="7347" w:type="dxa"/>
            <w:hideMark/>
          </w:tcPr>
          <w:p w14:paraId="449FA8D4" w14:textId="4665A0DD" w:rsidR="00970674" w:rsidRPr="00E420FF" w:rsidRDefault="008572F8" w:rsidP="00E420FF">
            <w:pPr>
              <w:rPr>
                <w:rFonts w:asciiTheme="minorHAnsi" w:hAnsiTheme="minorHAnsi"/>
                <w:kern w:val="16"/>
                <w:szCs w:val="22"/>
              </w:rPr>
            </w:pPr>
            <w:r w:rsidRPr="00E420FF">
              <w:rPr>
                <w:rFonts w:asciiTheme="minorHAnsi" w:hAnsiTheme="minorHAnsi"/>
                <w:szCs w:val="22"/>
              </w:rPr>
              <w:t>Below the limit of quantitation</w:t>
            </w:r>
          </w:p>
        </w:tc>
      </w:tr>
      <w:tr w:rsidR="00970674" w14:paraId="01976BB5" w14:textId="77777777" w:rsidTr="00970674">
        <w:tc>
          <w:tcPr>
            <w:tcW w:w="1550" w:type="dxa"/>
            <w:hideMark/>
          </w:tcPr>
          <w:p w14:paraId="2FE40C22" w14:textId="77777777" w:rsidR="00970674" w:rsidRPr="00E420FF" w:rsidRDefault="00970674" w:rsidP="00E420FF">
            <w:pPr>
              <w:rPr>
                <w:rFonts w:asciiTheme="minorHAnsi" w:hAnsiTheme="minorHAnsi"/>
                <w:kern w:val="16"/>
                <w:szCs w:val="22"/>
                <w:lang w:val="en-US"/>
              </w:rPr>
            </w:pPr>
            <w:r w:rsidRPr="00E420FF">
              <w:rPr>
                <w:rFonts w:asciiTheme="minorHAnsi" w:hAnsiTheme="minorHAnsi"/>
                <w:szCs w:val="22"/>
                <w:lang w:val="en-US"/>
              </w:rPr>
              <w:t xml:space="preserve">CDMS </w:t>
            </w:r>
          </w:p>
        </w:tc>
        <w:tc>
          <w:tcPr>
            <w:tcW w:w="7347" w:type="dxa"/>
            <w:hideMark/>
          </w:tcPr>
          <w:p w14:paraId="5AB23490" w14:textId="7C0EE351" w:rsidR="00970674" w:rsidRPr="00E420FF" w:rsidRDefault="008572F8" w:rsidP="00E420FF">
            <w:pPr>
              <w:rPr>
                <w:rFonts w:asciiTheme="minorHAnsi" w:hAnsiTheme="minorHAnsi"/>
                <w:kern w:val="16"/>
                <w:szCs w:val="22"/>
                <w:lang w:val="en-US"/>
              </w:rPr>
            </w:pPr>
            <w:r w:rsidRPr="00E420FF">
              <w:rPr>
                <w:rFonts w:asciiTheme="minorHAnsi" w:hAnsiTheme="minorHAnsi"/>
                <w:szCs w:val="22"/>
                <w:lang w:val="en-US"/>
              </w:rPr>
              <w:t>Clinical data management system</w:t>
            </w:r>
          </w:p>
        </w:tc>
      </w:tr>
      <w:tr w:rsidR="00970674" w14:paraId="051C2F03" w14:textId="77777777" w:rsidTr="00970674">
        <w:tc>
          <w:tcPr>
            <w:tcW w:w="1550" w:type="dxa"/>
            <w:hideMark/>
          </w:tcPr>
          <w:p w14:paraId="290BA7BE" w14:textId="77777777" w:rsidR="00970674" w:rsidRPr="00E420FF" w:rsidRDefault="00970674" w:rsidP="00E420FF">
            <w:pPr>
              <w:rPr>
                <w:rFonts w:asciiTheme="minorHAnsi" w:hAnsiTheme="minorHAnsi"/>
                <w:kern w:val="16"/>
                <w:szCs w:val="22"/>
                <w:lang w:val="en-US"/>
              </w:rPr>
            </w:pPr>
            <w:r w:rsidRPr="00E420FF">
              <w:rPr>
                <w:rFonts w:asciiTheme="minorHAnsi" w:hAnsiTheme="minorHAnsi"/>
                <w:szCs w:val="22"/>
                <w:lang w:val="en-US"/>
              </w:rPr>
              <w:t xml:space="preserve">CMV </w:t>
            </w:r>
          </w:p>
        </w:tc>
        <w:tc>
          <w:tcPr>
            <w:tcW w:w="7347" w:type="dxa"/>
            <w:hideMark/>
          </w:tcPr>
          <w:p w14:paraId="3F2EE536" w14:textId="71134068" w:rsidR="00970674" w:rsidRPr="00E420FF" w:rsidRDefault="008572F8" w:rsidP="00E420FF">
            <w:pPr>
              <w:rPr>
                <w:rFonts w:asciiTheme="minorHAnsi" w:hAnsiTheme="minorHAnsi"/>
                <w:kern w:val="16"/>
                <w:szCs w:val="22"/>
                <w:lang w:val="en-US"/>
              </w:rPr>
            </w:pPr>
            <w:r w:rsidRPr="00E420FF">
              <w:rPr>
                <w:rFonts w:asciiTheme="minorHAnsi" w:hAnsiTheme="minorHAnsi"/>
                <w:szCs w:val="22"/>
                <w:lang w:val="en-US"/>
              </w:rPr>
              <w:t>Cytomegalovirus</w:t>
            </w:r>
          </w:p>
        </w:tc>
      </w:tr>
      <w:tr w:rsidR="00970674" w14:paraId="6CA5FECB" w14:textId="77777777" w:rsidTr="00970674">
        <w:tc>
          <w:tcPr>
            <w:tcW w:w="1550" w:type="dxa"/>
            <w:hideMark/>
          </w:tcPr>
          <w:p w14:paraId="25442E8E" w14:textId="77777777" w:rsidR="00970674" w:rsidRPr="00E420FF" w:rsidRDefault="00970674" w:rsidP="00E420FF">
            <w:pPr>
              <w:rPr>
                <w:rFonts w:asciiTheme="minorHAnsi" w:hAnsiTheme="minorHAnsi"/>
                <w:kern w:val="16"/>
                <w:szCs w:val="22"/>
              </w:rPr>
            </w:pPr>
            <w:r w:rsidRPr="00E420FF">
              <w:rPr>
                <w:rFonts w:asciiTheme="minorHAnsi" w:hAnsiTheme="minorHAnsi"/>
                <w:szCs w:val="22"/>
              </w:rPr>
              <w:t>CR</w:t>
            </w:r>
          </w:p>
        </w:tc>
        <w:tc>
          <w:tcPr>
            <w:tcW w:w="7347" w:type="dxa"/>
            <w:hideMark/>
          </w:tcPr>
          <w:p w14:paraId="43BAB45C" w14:textId="70551E9F" w:rsidR="00970674" w:rsidRPr="00E420FF" w:rsidRDefault="008572F8" w:rsidP="00E420FF">
            <w:pPr>
              <w:rPr>
                <w:rFonts w:asciiTheme="minorHAnsi" w:hAnsiTheme="minorHAnsi"/>
                <w:szCs w:val="22"/>
              </w:rPr>
            </w:pPr>
            <w:r w:rsidRPr="00E420FF">
              <w:rPr>
                <w:rFonts w:asciiTheme="minorHAnsi" w:hAnsiTheme="minorHAnsi"/>
                <w:szCs w:val="22"/>
              </w:rPr>
              <w:t>Complete response</w:t>
            </w:r>
          </w:p>
        </w:tc>
      </w:tr>
      <w:tr w:rsidR="00970674" w14:paraId="56A430DE" w14:textId="77777777" w:rsidTr="00970674">
        <w:tc>
          <w:tcPr>
            <w:tcW w:w="1550" w:type="dxa"/>
            <w:hideMark/>
          </w:tcPr>
          <w:p w14:paraId="372C95A0" w14:textId="77777777" w:rsidR="00970674" w:rsidRPr="00E420FF" w:rsidRDefault="00970674" w:rsidP="00E420FF">
            <w:pPr>
              <w:rPr>
                <w:rFonts w:asciiTheme="minorHAnsi" w:hAnsiTheme="minorHAnsi"/>
                <w:kern w:val="16"/>
                <w:szCs w:val="22"/>
                <w:lang w:val="en-US"/>
              </w:rPr>
            </w:pPr>
            <w:r w:rsidRPr="00E420FF">
              <w:rPr>
                <w:rFonts w:asciiTheme="minorHAnsi" w:hAnsiTheme="minorHAnsi"/>
                <w:szCs w:val="22"/>
                <w:lang w:val="en-US"/>
              </w:rPr>
              <w:t xml:space="preserve">CRF </w:t>
            </w:r>
          </w:p>
        </w:tc>
        <w:tc>
          <w:tcPr>
            <w:tcW w:w="7347" w:type="dxa"/>
            <w:hideMark/>
          </w:tcPr>
          <w:p w14:paraId="4474F9E9" w14:textId="5AB3EC57" w:rsidR="00970674" w:rsidRPr="00E420FF" w:rsidRDefault="008572F8" w:rsidP="00E420FF">
            <w:pPr>
              <w:rPr>
                <w:rFonts w:asciiTheme="minorHAnsi" w:hAnsiTheme="minorHAnsi"/>
                <w:kern w:val="16"/>
                <w:szCs w:val="22"/>
                <w:lang w:val="en-US"/>
              </w:rPr>
            </w:pPr>
            <w:r w:rsidRPr="00E420FF">
              <w:rPr>
                <w:rFonts w:asciiTheme="minorHAnsi" w:hAnsiTheme="minorHAnsi"/>
                <w:szCs w:val="22"/>
                <w:lang w:val="en-US"/>
              </w:rPr>
              <w:t>Case report form</w:t>
            </w:r>
          </w:p>
        </w:tc>
      </w:tr>
      <w:tr w:rsidR="00970674" w14:paraId="0A3733DB" w14:textId="77777777" w:rsidTr="00970674">
        <w:tc>
          <w:tcPr>
            <w:tcW w:w="1550" w:type="dxa"/>
            <w:hideMark/>
          </w:tcPr>
          <w:p w14:paraId="73F38A97" w14:textId="77777777" w:rsidR="00970674" w:rsidRPr="00E420FF" w:rsidRDefault="00970674" w:rsidP="00E420FF">
            <w:pPr>
              <w:rPr>
                <w:rFonts w:asciiTheme="minorHAnsi" w:hAnsiTheme="minorHAnsi"/>
                <w:kern w:val="16"/>
                <w:szCs w:val="22"/>
                <w:lang w:val="en-US"/>
              </w:rPr>
            </w:pPr>
            <w:r w:rsidRPr="00E420FF">
              <w:rPr>
                <w:rFonts w:asciiTheme="minorHAnsi" w:hAnsiTheme="minorHAnsi"/>
                <w:szCs w:val="22"/>
                <w:lang w:val="en-US"/>
              </w:rPr>
              <w:t xml:space="preserve">CRO </w:t>
            </w:r>
          </w:p>
        </w:tc>
        <w:tc>
          <w:tcPr>
            <w:tcW w:w="7347" w:type="dxa"/>
            <w:hideMark/>
          </w:tcPr>
          <w:p w14:paraId="6118A9CE" w14:textId="6F2A2261" w:rsidR="00970674" w:rsidRPr="00E420FF" w:rsidRDefault="008572F8" w:rsidP="00E420FF">
            <w:pPr>
              <w:rPr>
                <w:rFonts w:asciiTheme="minorHAnsi" w:hAnsiTheme="minorHAnsi"/>
                <w:kern w:val="16"/>
                <w:szCs w:val="22"/>
                <w:lang w:val="en-US"/>
              </w:rPr>
            </w:pPr>
            <w:r w:rsidRPr="00E420FF">
              <w:rPr>
                <w:rFonts w:asciiTheme="minorHAnsi" w:hAnsiTheme="minorHAnsi"/>
                <w:szCs w:val="22"/>
                <w:lang w:val="en-US"/>
              </w:rPr>
              <w:t>Contract research organization</w:t>
            </w:r>
          </w:p>
        </w:tc>
      </w:tr>
      <w:tr w:rsidR="00970674" w14:paraId="7A43B3FF" w14:textId="77777777" w:rsidTr="00970674">
        <w:tc>
          <w:tcPr>
            <w:tcW w:w="1550" w:type="dxa"/>
            <w:hideMark/>
          </w:tcPr>
          <w:p w14:paraId="02CD213E" w14:textId="77777777" w:rsidR="00970674" w:rsidRPr="00E420FF" w:rsidRDefault="00970674" w:rsidP="00E420FF">
            <w:pPr>
              <w:rPr>
                <w:rFonts w:asciiTheme="minorHAnsi" w:hAnsiTheme="minorHAnsi"/>
                <w:kern w:val="16"/>
                <w:szCs w:val="22"/>
                <w:lang w:val="en-US"/>
              </w:rPr>
            </w:pPr>
            <w:r w:rsidRPr="00E420FF">
              <w:rPr>
                <w:rFonts w:asciiTheme="minorHAnsi" w:hAnsiTheme="minorHAnsi"/>
                <w:szCs w:val="22"/>
                <w:lang w:val="en-US"/>
              </w:rPr>
              <w:t xml:space="preserve">CT </w:t>
            </w:r>
          </w:p>
        </w:tc>
        <w:tc>
          <w:tcPr>
            <w:tcW w:w="7347" w:type="dxa"/>
            <w:hideMark/>
          </w:tcPr>
          <w:p w14:paraId="12810258" w14:textId="4BB19713" w:rsidR="00970674" w:rsidRPr="00E420FF" w:rsidRDefault="008572F8" w:rsidP="00E420FF">
            <w:pPr>
              <w:rPr>
                <w:rFonts w:asciiTheme="minorHAnsi" w:hAnsiTheme="minorHAnsi"/>
                <w:kern w:val="16"/>
                <w:szCs w:val="22"/>
                <w:lang w:val="en-US"/>
              </w:rPr>
            </w:pPr>
            <w:r w:rsidRPr="00E420FF">
              <w:rPr>
                <w:rFonts w:asciiTheme="minorHAnsi" w:hAnsiTheme="minorHAnsi"/>
                <w:szCs w:val="22"/>
                <w:lang w:val="en-US"/>
              </w:rPr>
              <w:t>Computed tomography</w:t>
            </w:r>
          </w:p>
        </w:tc>
      </w:tr>
      <w:tr w:rsidR="00970674" w14:paraId="48A76809" w14:textId="77777777" w:rsidTr="00970674">
        <w:tc>
          <w:tcPr>
            <w:tcW w:w="1550" w:type="dxa"/>
            <w:hideMark/>
          </w:tcPr>
          <w:p w14:paraId="125D402A" w14:textId="77777777" w:rsidR="00970674" w:rsidRPr="00E420FF" w:rsidRDefault="00970674" w:rsidP="00E420FF">
            <w:pPr>
              <w:rPr>
                <w:rFonts w:asciiTheme="minorHAnsi" w:hAnsiTheme="minorHAnsi"/>
                <w:kern w:val="16"/>
                <w:szCs w:val="22"/>
                <w:lang w:val="en-US"/>
              </w:rPr>
            </w:pPr>
            <w:r w:rsidRPr="00E420FF">
              <w:rPr>
                <w:rFonts w:asciiTheme="minorHAnsi" w:hAnsiTheme="minorHAnsi"/>
                <w:szCs w:val="22"/>
                <w:lang w:val="en-US"/>
              </w:rPr>
              <w:t xml:space="preserve">CTCAE </w:t>
            </w:r>
          </w:p>
        </w:tc>
        <w:tc>
          <w:tcPr>
            <w:tcW w:w="7347" w:type="dxa"/>
            <w:hideMark/>
          </w:tcPr>
          <w:p w14:paraId="1E734EEC" w14:textId="77777777" w:rsidR="00970674" w:rsidRPr="00E420FF" w:rsidRDefault="00970674" w:rsidP="00E420FF">
            <w:pPr>
              <w:rPr>
                <w:rFonts w:asciiTheme="minorHAnsi" w:hAnsiTheme="minorHAnsi"/>
                <w:kern w:val="16"/>
                <w:szCs w:val="22"/>
                <w:lang w:val="en-US"/>
              </w:rPr>
            </w:pPr>
            <w:r w:rsidRPr="00E420FF">
              <w:rPr>
                <w:rFonts w:asciiTheme="minorHAnsi" w:hAnsiTheme="minorHAnsi"/>
                <w:szCs w:val="22"/>
                <w:lang w:val="en-US"/>
              </w:rPr>
              <w:t>Common Toxicity Criteria for Adverse Events</w:t>
            </w:r>
          </w:p>
        </w:tc>
      </w:tr>
      <w:tr w:rsidR="00970674" w14:paraId="47DDE1E3" w14:textId="77777777" w:rsidTr="00970674">
        <w:tc>
          <w:tcPr>
            <w:tcW w:w="1550" w:type="dxa"/>
            <w:hideMark/>
          </w:tcPr>
          <w:p w14:paraId="594EF2DD" w14:textId="77777777" w:rsidR="00970674" w:rsidRPr="00E420FF" w:rsidRDefault="00970674" w:rsidP="00E420FF">
            <w:pPr>
              <w:rPr>
                <w:rFonts w:asciiTheme="minorHAnsi" w:hAnsiTheme="minorHAnsi"/>
                <w:kern w:val="16"/>
                <w:szCs w:val="22"/>
                <w:lang w:val="en-US"/>
              </w:rPr>
            </w:pPr>
            <w:r w:rsidRPr="00E420FF">
              <w:rPr>
                <w:rFonts w:asciiTheme="minorHAnsi" w:hAnsiTheme="minorHAnsi"/>
                <w:szCs w:val="22"/>
                <w:lang w:val="en-US"/>
              </w:rPr>
              <w:t>DLST</w:t>
            </w:r>
          </w:p>
        </w:tc>
        <w:tc>
          <w:tcPr>
            <w:tcW w:w="7347" w:type="dxa"/>
            <w:hideMark/>
          </w:tcPr>
          <w:p w14:paraId="44C80112" w14:textId="7ACB85D1" w:rsidR="00970674" w:rsidRPr="00E420FF" w:rsidRDefault="008572F8" w:rsidP="00E420FF">
            <w:pPr>
              <w:rPr>
                <w:rFonts w:asciiTheme="minorHAnsi" w:hAnsiTheme="minorHAnsi"/>
                <w:kern w:val="16"/>
                <w:szCs w:val="22"/>
                <w:lang w:val="en-US"/>
              </w:rPr>
            </w:pPr>
            <w:r w:rsidRPr="00E420FF">
              <w:rPr>
                <w:rFonts w:asciiTheme="minorHAnsi" w:hAnsiTheme="minorHAnsi"/>
                <w:szCs w:val="22"/>
                <w:lang w:val="en-US"/>
              </w:rPr>
              <w:t>Dose level review team</w:t>
            </w:r>
          </w:p>
        </w:tc>
      </w:tr>
      <w:tr w:rsidR="00970674" w14:paraId="38FA3E38" w14:textId="77777777" w:rsidTr="00970674">
        <w:tc>
          <w:tcPr>
            <w:tcW w:w="1550" w:type="dxa"/>
            <w:hideMark/>
          </w:tcPr>
          <w:p w14:paraId="262F8CD8" w14:textId="77777777" w:rsidR="00970674" w:rsidRPr="00E420FF" w:rsidRDefault="00970674" w:rsidP="00E420FF">
            <w:pPr>
              <w:rPr>
                <w:rFonts w:asciiTheme="minorHAnsi" w:hAnsiTheme="minorHAnsi"/>
                <w:kern w:val="16"/>
                <w:szCs w:val="22"/>
              </w:rPr>
            </w:pPr>
            <w:r w:rsidRPr="00E420FF">
              <w:rPr>
                <w:rFonts w:asciiTheme="minorHAnsi" w:hAnsiTheme="minorHAnsi"/>
                <w:szCs w:val="22"/>
              </w:rPr>
              <w:t>DRR</w:t>
            </w:r>
          </w:p>
        </w:tc>
        <w:tc>
          <w:tcPr>
            <w:tcW w:w="7347" w:type="dxa"/>
            <w:hideMark/>
          </w:tcPr>
          <w:p w14:paraId="093B09F9" w14:textId="7556AF18" w:rsidR="00970674" w:rsidRPr="00E420FF" w:rsidRDefault="008572F8" w:rsidP="00E420FF">
            <w:pPr>
              <w:rPr>
                <w:rFonts w:asciiTheme="minorHAnsi" w:hAnsiTheme="minorHAnsi"/>
                <w:szCs w:val="22"/>
              </w:rPr>
            </w:pPr>
            <w:r w:rsidRPr="00E420FF">
              <w:rPr>
                <w:rFonts w:asciiTheme="minorHAnsi" w:hAnsiTheme="minorHAnsi"/>
                <w:szCs w:val="22"/>
              </w:rPr>
              <w:t>Durable response rate</w:t>
            </w:r>
          </w:p>
        </w:tc>
      </w:tr>
      <w:tr w:rsidR="00970674" w14:paraId="7567936B" w14:textId="77777777" w:rsidTr="00970674">
        <w:tc>
          <w:tcPr>
            <w:tcW w:w="1550" w:type="dxa"/>
            <w:hideMark/>
          </w:tcPr>
          <w:p w14:paraId="7331BCFD" w14:textId="77777777" w:rsidR="00970674" w:rsidRPr="00E420FF" w:rsidRDefault="00970674" w:rsidP="00E420FF">
            <w:pPr>
              <w:rPr>
                <w:rFonts w:asciiTheme="minorHAnsi" w:hAnsiTheme="minorHAnsi"/>
                <w:kern w:val="16"/>
                <w:szCs w:val="22"/>
              </w:rPr>
            </w:pPr>
            <w:r w:rsidRPr="00E420FF">
              <w:rPr>
                <w:rFonts w:asciiTheme="minorHAnsi" w:hAnsiTheme="minorHAnsi"/>
                <w:szCs w:val="22"/>
              </w:rPr>
              <w:t>EAC</w:t>
            </w:r>
          </w:p>
        </w:tc>
        <w:tc>
          <w:tcPr>
            <w:tcW w:w="7347" w:type="dxa"/>
            <w:hideMark/>
          </w:tcPr>
          <w:p w14:paraId="562C1D29" w14:textId="152FAF55" w:rsidR="00970674" w:rsidRPr="00E420FF" w:rsidRDefault="008572F8" w:rsidP="00E420FF">
            <w:pPr>
              <w:rPr>
                <w:rFonts w:asciiTheme="minorHAnsi" w:hAnsiTheme="minorHAnsi"/>
                <w:szCs w:val="22"/>
              </w:rPr>
            </w:pPr>
            <w:r w:rsidRPr="00E420FF">
              <w:rPr>
                <w:rFonts w:asciiTheme="minorHAnsi" w:hAnsiTheme="minorHAnsi"/>
                <w:szCs w:val="22"/>
              </w:rPr>
              <w:t>Endpoint assessment committee</w:t>
            </w:r>
          </w:p>
        </w:tc>
      </w:tr>
      <w:tr w:rsidR="00970674" w14:paraId="35B861A5" w14:textId="77777777" w:rsidTr="00970674">
        <w:tc>
          <w:tcPr>
            <w:tcW w:w="1550" w:type="dxa"/>
            <w:hideMark/>
          </w:tcPr>
          <w:p w14:paraId="218F74CC" w14:textId="77777777" w:rsidR="00970674" w:rsidRPr="00E420FF" w:rsidRDefault="00970674" w:rsidP="00E420FF">
            <w:pPr>
              <w:rPr>
                <w:rFonts w:asciiTheme="minorHAnsi" w:hAnsiTheme="minorHAnsi"/>
                <w:kern w:val="16"/>
                <w:szCs w:val="22"/>
                <w:lang w:val="en-US"/>
              </w:rPr>
            </w:pPr>
            <w:r w:rsidRPr="00E420FF">
              <w:rPr>
                <w:rFonts w:asciiTheme="minorHAnsi" w:hAnsiTheme="minorHAnsi"/>
                <w:szCs w:val="22"/>
                <w:lang w:val="en-US"/>
              </w:rPr>
              <w:t xml:space="preserve">ECG </w:t>
            </w:r>
          </w:p>
        </w:tc>
        <w:tc>
          <w:tcPr>
            <w:tcW w:w="7347" w:type="dxa"/>
            <w:hideMark/>
          </w:tcPr>
          <w:p w14:paraId="17807294" w14:textId="24394D99" w:rsidR="00970674" w:rsidRPr="00E420FF" w:rsidRDefault="008572F8" w:rsidP="00E420FF">
            <w:pPr>
              <w:rPr>
                <w:rFonts w:asciiTheme="minorHAnsi" w:hAnsiTheme="minorHAnsi"/>
                <w:kern w:val="16"/>
                <w:szCs w:val="22"/>
                <w:lang w:val="en-US"/>
              </w:rPr>
            </w:pPr>
            <w:r w:rsidRPr="00E420FF">
              <w:rPr>
                <w:rFonts w:asciiTheme="minorHAnsi" w:hAnsiTheme="minorHAnsi"/>
                <w:szCs w:val="22"/>
                <w:lang w:val="en-US"/>
              </w:rPr>
              <w:t>Electrocardiogram</w:t>
            </w:r>
          </w:p>
        </w:tc>
      </w:tr>
      <w:tr w:rsidR="00970674" w14:paraId="23CAD071" w14:textId="77777777" w:rsidTr="00970674">
        <w:tc>
          <w:tcPr>
            <w:tcW w:w="1550" w:type="dxa"/>
            <w:hideMark/>
          </w:tcPr>
          <w:p w14:paraId="7D86D486" w14:textId="77777777" w:rsidR="00970674" w:rsidRPr="00E420FF" w:rsidRDefault="00970674" w:rsidP="00E420FF">
            <w:pPr>
              <w:rPr>
                <w:rFonts w:asciiTheme="minorHAnsi" w:hAnsiTheme="minorHAnsi"/>
                <w:kern w:val="16"/>
                <w:szCs w:val="22"/>
                <w:lang w:val="en-US"/>
              </w:rPr>
            </w:pPr>
            <w:r w:rsidRPr="00E420FF">
              <w:rPr>
                <w:rFonts w:asciiTheme="minorHAnsi" w:hAnsiTheme="minorHAnsi"/>
                <w:szCs w:val="22"/>
                <w:lang w:val="en-US"/>
              </w:rPr>
              <w:t xml:space="preserve">ECOG </w:t>
            </w:r>
          </w:p>
        </w:tc>
        <w:tc>
          <w:tcPr>
            <w:tcW w:w="7347" w:type="dxa"/>
            <w:hideMark/>
          </w:tcPr>
          <w:p w14:paraId="389413DD" w14:textId="7840639E" w:rsidR="00970674" w:rsidRPr="00E420FF" w:rsidRDefault="00970674" w:rsidP="00E420FF">
            <w:pPr>
              <w:rPr>
                <w:rFonts w:asciiTheme="minorHAnsi" w:hAnsiTheme="minorHAnsi"/>
                <w:kern w:val="16"/>
                <w:szCs w:val="22"/>
                <w:lang w:val="en-US"/>
              </w:rPr>
            </w:pPr>
            <w:r w:rsidRPr="00E420FF">
              <w:rPr>
                <w:rFonts w:asciiTheme="minorHAnsi" w:hAnsiTheme="minorHAnsi"/>
                <w:szCs w:val="22"/>
                <w:lang w:val="en-US"/>
              </w:rPr>
              <w:t>E</w:t>
            </w:r>
            <w:r w:rsidR="008572F8" w:rsidRPr="00E420FF">
              <w:rPr>
                <w:rFonts w:asciiTheme="minorHAnsi" w:hAnsiTheme="minorHAnsi"/>
                <w:szCs w:val="22"/>
                <w:lang w:val="en-US"/>
              </w:rPr>
              <w:t>astern cooperative oncology group</w:t>
            </w:r>
          </w:p>
        </w:tc>
      </w:tr>
      <w:tr w:rsidR="00970674" w14:paraId="68672F7B" w14:textId="77777777" w:rsidTr="00970674">
        <w:tc>
          <w:tcPr>
            <w:tcW w:w="1550" w:type="dxa"/>
            <w:hideMark/>
          </w:tcPr>
          <w:p w14:paraId="36AB39A5" w14:textId="77777777" w:rsidR="00970674" w:rsidRPr="00E420FF" w:rsidRDefault="00970674" w:rsidP="00E420FF">
            <w:pPr>
              <w:rPr>
                <w:rFonts w:asciiTheme="minorHAnsi" w:hAnsiTheme="minorHAnsi"/>
                <w:kern w:val="16"/>
                <w:szCs w:val="22"/>
              </w:rPr>
            </w:pPr>
            <w:r w:rsidRPr="00E420FF">
              <w:rPr>
                <w:rFonts w:asciiTheme="minorHAnsi" w:hAnsiTheme="minorHAnsi"/>
                <w:szCs w:val="22"/>
              </w:rPr>
              <w:t>ELISA</w:t>
            </w:r>
          </w:p>
        </w:tc>
        <w:tc>
          <w:tcPr>
            <w:tcW w:w="7347" w:type="dxa"/>
            <w:hideMark/>
          </w:tcPr>
          <w:p w14:paraId="61CF4A6D" w14:textId="3B30C974" w:rsidR="00970674" w:rsidRPr="00E420FF" w:rsidRDefault="008572F8" w:rsidP="00E420FF">
            <w:pPr>
              <w:rPr>
                <w:rFonts w:asciiTheme="minorHAnsi" w:hAnsiTheme="minorHAnsi"/>
                <w:kern w:val="16"/>
                <w:szCs w:val="22"/>
              </w:rPr>
            </w:pPr>
            <w:r w:rsidRPr="00E420FF">
              <w:rPr>
                <w:rFonts w:asciiTheme="minorHAnsi" w:hAnsiTheme="minorHAnsi"/>
                <w:szCs w:val="22"/>
              </w:rPr>
              <w:t>Enzyme-linked immunosorbent assay</w:t>
            </w:r>
          </w:p>
        </w:tc>
      </w:tr>
      <w:tr w:rsidR="00970674" w14:paraId="2FA9B419" w14:textId="77777777" w:rsidTr="00970674">
        <w:tc>
          <w:tcPr>
            <w:tcW w:w="1550" w:type="dxa"/>
            <w:hideMark/>
          </w:tcPr>
          <w:p w14:paraId="59957380" w14:textId="77777777" w:rsidR="00970674" w:rsidRPr="00E420FF" w:rsidRDefault="00970674" w:rsidP="00E420FF">
            <w:pPr>
              <w:rPr>
                <w:rFonts w:asciiTheme="minorHAnsi" w:hAnsiTheme="minorHAnsi"/>
                <w:kern w:val="16"/>
                <w:szCs w:val="22"/>
                <w:lang w:val="en-US"/>
              </w:rPr>
            </w:pPr>
            <w:r w:rsidRPr="00E420FF">
              <w:rPr>
                <w:rFonts w:asciiTheme="minorHAnsi" w:hAnsiTheme="minorHAnsi"/>
                <w:szCs w:val="22"/>
                <w:lang w:val="en-US"/>
              </w:rPr>
              <w:t xml:space="preserve">EU </w:t>
            </w:r>
          </w:p>
        </w:tc>
        <w:tc>
          <w:tcPr>
            <w:tcW w:w="7347" w:type="dxa"/>
            <w:hideMark/>
          </w:tcPr>
          <w:p w14:paraId="557CCBF7" w14:textId="641BEBF4" w:rsidR="00970674" w:rsidRPr="00E420FF" w:rsidRDefault="008572F8" w:rsidP="00E420FF">
            <w:pPr>
              <w:rPr>
                <w:rFonts w:asciiTheme="minorHAnsi" w:hAnsiTheme="minorHAnsi"/>
                <w:kern w:val="16"/>
                <w:szCs w:val="22"/>
                <w:lang w:val="en-US"/>
              </w:rPr>
            </w:pPr>
            <w:r w:rsidRPr="00E420FF">
              <w:rPr>
                <w:rFonts w:asciiTheme="minorHAnsi" w:hAnsiTheme="minorHAnsi"/>
                <w:szCs w:val="22"/>
                <w:lang w:val="en-US"/>
              </w:rPr>
              <w:t>European union</w:t>
            </w:r>
          </w:p>
        </w:tc>
      </w:tr>
      <w:tr w:rsidR="00970674" w14:paraId="36BFBA1F" w14:textId="77777777" w:rsidTr="00970674">
        <w:tc>
          <w:tcPr>
            <w:tcW w:w="1550" w:type="dxa"/>
            <w:hideMark/>
          </w:tcPr>
          <w:p w14:paraId="1C6EF61B" w14:textId="77777777" w:rsidR="00970674" w:rsidRPr="00E420FF" w:rsidRDefault="00970674" w:rsidP="00E420FF">
            <w:pPr>
              <w:rPr>
                <w:rFonts w:asciiTheme="minorHAnsi" w:hAnsiTheme="minorHAnsi"/>
                <w:kern w:val="16"/>
                <w:szCs w:val="22"/>
              </w:rPr>
            </w:pPr>
            <w:r w:rsidRPr="00E420FF">
              <w:rPr>
                <w:rFonts w:asciiTheme="minorHAnsi" w:hAnsiTheme="minorHAnsi"/>
                <w:szCs w:val="22"/>
              </w:rPr>
              <w:t>EUS</w:t>
            </w:r>
          </w:p>
        </w:tc>
        <w:tc>
          <w:tcPr>
            <w:tcW w:w="7347" w:type="dxa"/>
            <w:hideMark/>
          </w:tcPr>
          <w:p w14:paraId="67E4272C" w14:textId="5E221AE1" w:rsidR="00970674" w:rsidRPr="00E420FF" w:rsidRDefault="008572F8" w:rsidP="00E420FF">
            <w:pPr>
              <w:rPr>
                <w:rFonts w:asciiTheme="minorHAnsi" w:hAnsiTheme="minorHAnsi"/>
                <w:kern w:val="16"/>
                <w:szCs w:val="22"/>
              </w:rPr>
            </w:pPr>
            <w:r w:rsidRPr="00E420FF">
              <w:rPr>
                <w:rFonts w:asciiTheme="minorHAnsi" w:hAnsiTheme="minorHAnsi"/>
                <w:szCs w:val="22"/>
              </w:rPr>
              <w:t>Endoscopic ultrasound</w:t>
            </w:r>
          </w:p>
        </w:tc>
      </w:tr>
      <w:tr w:rsidR="00970674" w14:paraId="49E7A301" w14:textId="77777777" w:rsidTr="00970674">
        <w:tc>
          <w:tcPr>
            <w:tcW w:w="1550" w:type="dxa"/>
            <w:hideMark/>
          </w:tcPr>
          <w:p w14:paraId="745409C1" w14:textId="77777777" w:rsidR="00970674" w:rsidRPr="00E420FF" w:rsidRDefault="00970674" w:rsidP="00E420FF">
            <w:pPr>
              <w:rPr>
                <w:rFonts w:asciiTheme="minorHAnsi" w:hAnsiTheme="minorHAnsi"/>
                <w:kern w:val="16"/>
                <w:szCs w:val="22"/>
              </w:rPr>
            </w:pPr>
            <w:r w:rsidRPr="00E420FF">
              <w:rPr>
                <w:rFonts w:asciiTheme="minorHAnsi" w:hAnsiTheme="minorHAnsi"/>
                <w:szCs w:val="22"/>
              </w:rPr>
              <w:t>FIH</w:t>
            </w:r>
          </w:p>
        </w:tc>
        <w:tc>
          <w:tcPr>
            <w:tcW w:w="7347" w:type="dxa"/>
            <w:hideMark/>
          </w:tcPr>
          <w:p w14:paraId="570730CA" w14:textId="77777777" w:rsidR="00970674" w:rsidRPr="00E420FF" w:rsidRDefault="00970674" w:rsidP="00E420FF">
            <w:pPr>
              <w:rPr>
                <w:rFonts w:asciiTheme="minorHAnsi" w:hAnsiTheme="minorHAnsi"/>
                <w:kern w:val="16"/>
                <w:szCs w:val="22"/>
              </w:rPr>
            </w:pPr>
            <w:r w:rsidRPr="00E420FF">
              <w:rPr>
                <w:rFonts w:asciiTheme="minorHAnsi" w:hAnsiTheme="minorHAnsi"/>
                <w:szCs w:val="22"/>
              </w:rPr>
              <w:t>First-in-Human</w:t>
            </w:r>
          </w:p>
        </w:tc>
      </w:tr>
      <w:tr w:rsidR="00970674" w14:paraId="4E45453E" w14:textId="77777777" w:rsidTr="00970674">
        <w:tc>
          <w:tcPr>
            <w:tcW w:w="1550" w:type="dxa"/>
            <w:hideMark/>
          </w:tcPr>
          <w:p w14:paraId="56652D3C" w14:textId="77777777" w:rsidR="00970674" w:rsidRPr="00E420FF" w:rsidRDefault="00970674" w:rsidP="00E420FF">
            <w:pPr>
              <w:rPr>
                <w:rFonts w:asciiTheme="minorHAnsi" w:hAnsiTheme="minorHAnsi"/>
                <w:kern w:val="16"/>
                <w:szCs w:val="22"/>
              </w:rPr>
            </w:pPr>
            <w:r w:rsidRPr="00E420FF">
              <w:rPr>
                <w:rFonts w:asciiTheme="minorHAnsi" w:hAnsiTheme="minorHAnsi"/>
                <w:szCs w:val="22"/>
              </w:rPr>
              <w:t>FNI</w:t>
            </w:r>
          </w:p>
        </w:tc>
        <w:tc>
          <w:tcPr>
            <w:tcW w:w="7347" w:type="dxa"/>
            <w:hideMark/>
          </w:tcPr>
          <w:p w14:paraId="028548C4" w14:textId="6232A36D" w:rsidR="00970674" w:rsidRPr="00E420FF" w:rsidRDefault="008572F8" w:rsidP="00E420FF">
            <w:pPr>
              <w:rPr>
                <w:rFonts w:asciiTheme="minorHAnsi" w:hAnsiTheme="minorHAnsi"/>
                <w:kern w:val="16"/>
                <w:szCs w:val="22"/>
              </w:rPr>
            </w:pPr>
            <w:r w:rsidRPr="00E420FF">
              <w:rPr>
                <w:rFonts w:asciiTheme="minorHAnsi" w:hAnsiTheme="minorHAnsi"/>
                <w:szCs w:val="22"/>
              </w:rPr>
              <w:t>Fine needle injection</w:t>
            </w:r>
          </w:p>
        </w:tc>
      </w:tr>
      <w:tr w:rsidR="00970674" w14:paraId="4D43F5E3" w14:textId="77777777" w:rsidTr="00970674">
        <w:tc>
          <w:tcPr>
            <w:tcW w:w="1550" w:type="dxa"/>
            <w:hideMark/>
          </w:tcPr>
          <w:p w14:paraId="527E44A6" w14:textId="77777777" w:rsidR="00970674" w:rsidRPr="00E420FF" w:rsidRDefault="00970674" w:rsidP="00E420FF">
            <w:pPr>
              <w:rPr>
                <w:rFonts w:asciiTheme="minorHAnsi" w:hAnsiTheme="minorHAnsi"/>
                <w:kern w:val="16"/>
                <w:szCs w:val="22"/>
                <w:lang w:val="en-US"/>
              </w:rPr>
            </w:pPr>
            <w:r w:rsidRPr="00E420FF">
              <w:rPr>
                <w:rFonts w:asciiTheme="minorHAnsi" w:hAnsiTheme="minorHAnsi"/>
                <w:szCs w:val="22"/>
                <w:lang w:val="en-US"/>
              </w:rPr>
              <w:t xml:space="preserve">GCP </w:t>
            </w:r>
          </w:p>
        </w:tc>
        <w:tc>
          <w:tcPr>
            <w:tcW w:w="7347" w:type="dxa"/>
            <w:hideMark/>
          </w:tcPr>
          <w:p w14:paraId="511C7F14" w14:textId="63ECFB4C" w:rsidR="00970674" w:rsidRPr="00E420FF" w:rsidRDefault="008572F8" w:rsidP="00E420FF">
            <w:pPr>
              <w:rPr>
                <w:rFonts w:asciiTheme="minorHAnsi" w:hAnsiTheme="minorHAnsi"/>
                <w:kern w:val="16"/>
                <w:szCs w:val="22"/>
                <w:lang w:val="en-US"/>
              </w:rPr>
            </w:pPr>
            <w:r w:rsidRPr="00E420FF">
              <w:rPr>
                <w:rFonts w:asciiTheme="minorHAnsi" w:hAnsiTheme="minorHAnsi"/>
                <w:szCs w:val="22"/>
                <w:lang w:val="en-US"/>
              </w:rPr>
              <w:t>Good clinical practice</w:t>
            </w:r>
          </w:p>
        </w:tc>
      </w:tr>
      <w:tr w:rsidR="00970674" w14:paraId="71F93F4C" w14:textId="77777777" w:rsidTr="00970674">
        <w:tc>
          <w:tcPr>
            <w:tcW w:w="1550" w:type="dxa"/>
            <w:hideMark/>
          </w:tcPr>
          <w:p w14:paraId="433CD437" w14:textId="77777777" w:rsidR="00970674" w:rsidRPr="00E420FF" w:rsidRDefault="00970674" w:rsidP="00E420FF">
            <w:pPr>
              <w:rPr>
                <w:rFonts w:asciiTheme="minorHAnsi" w:hAnsiTheme="minorHAnsi"/>
                <w:kern w:val="16"/>
                <w:szCs w:val="22"/>
                <w:lang w:val="en-US"/>
              </w:rPr>
            </w:pPr>
            <w:r w:rsidRPr="00E420FF">
              <w:rPr>
                <w:rFonts w:asciiTheme="minorHAnsi" w:hAnsiTheme="minorHAnsi"/>
                <w:szCs w:val="22"/>
                <w:lang w:val="en-US"/>
              </w:rPr>
              <w:t xml:space="preserve">GM-CSF </w:t>
            </w:r>
          </w:p>
        </w:tc>
        <w:tc>
          <w:tcPr>
            <w:tcW w:w="7347" w:type="dxa"/>
            <w:hideMark/>
          </w:tcPr>
          <w:p w14:paraId="0FA61827" w14:textId="3C266045" w:rsidR="00970674" w:rsidRPr="00E420FF" w:rsidRDefault="008572F8" w:rsidP="00E420FF">
            <w:pPr>
              <w:rPr>
                <w:rFonts w:asciiTheme="minorHAnsi" w:hAnsiTheme="minorHAnsi"/>
                <w:kern w:val="16"/>
                <w:szCs w:val="22"/>
                <w:lang w:val="en-US"/>
              </w:rPr>
            </w:pPr>
            <w:r w:rsidRPr="00E420FF">
              <w:rPr>
                <w:rFonts w:asciiTheme="minorHAnsi" w:hAnsiTheme="minorHAnsi"/>
                <w:szCs w:val="22"/>
                <w:lang w:val="en-US"/>
              </w:rPr>
              <w:t>Granulocyte macrophage colony stimulating factor</w:t>
            </w:r>
          </w:p>
        </w:tc>
      </w:tr>
      <w:tr w:rsidR="00970674" w14:paraId="0A994A11" w14:textId="77777777" w:rsidTr="00970674">
        <w:tc>
          <w:tcPr>
            <w:tcW w:w="1550" w:type="dxa"/>
            <w:hideMark/>
          </w:tcPr>
          <w:p w14:paraId="01FE2A1E" w14:textId="77777777" w:rsidR="00970674" w:rsidRPr="00E420FF" w:rsidRDefault="00970674" w:rsidP="00E420FF">
            <w:pPr>
              <w:rPr>
                <w:rFonts w:asciiTheme="minorHAnsi" w:hAnsiTheme="minorHAnsi"/>
                <w:kern w:val="16"/>
                <w:szCs w:val="22"/>
                <w:lang w:val="en-US"/>
              </w:rPr>
            </w:pPr>
            <w:r w:rsidRPr="00E420FF">
              <w:rPr>
                <w:rFonts w:asciiTheme="minorHAnsi" w:hAnsiTheme="minorHAnsi"/>
                <w:szCs w:val="22"/>
                <w:lang w:val="en-US"/>
              </w:rPr>
              <w:lastRenderedPageBreak/>
              <w:t>GMO</w:t>
            </w:r>
          </w:p>
        </w:tc>
        <w:tc>
          <w:tcPr>
            <w:tcW w:w="7347" w:type="dxa"/>
            <w:hideMark/>
          </w:tcPr>
          <w:p w14:paraId="0EA27CC5" w14:textId="0F11703F" w:rsidR="00970674" w:rsidRPr="00E420FF" w:rsidRDefault="008572F8" w:rsidP="00E420FF">
            <w:pPr>
              <w:rPr>
                <w:rFonts w:asciiTheme="minorHAnsi" w:hAnsiTheme="minorHAnsi"/>
                <w:szCs w:val="22"/>
              </w:rPr>
            </w:pPr>
            <w:r w:rsidRPr="00E420FF">
              <w:rPr>
                <w:rFonts w:asciiTheme="minorHAnsi" w:hAnsiTheme="minorHAnsi"/>
                <w:szCs w:val="22"/>
                <w:lang w:val="en-US"/>
              </w:rPr>
              <w:t>Genetically modified organism</w:t>
            </w:r>
          </w:p>
        </w:tc>
      </w:tr>
      <w:tr w:rsidR="00970674" w14:paraId="509726D5" w14:textId="77777777" w:rsidTr="00970674">
        <w:tc>
          <w:tcPr>
            <w:tcW w:w="1550" w:type="dxa"/>
            <w:hideMark/>
          </w:tcPr>
          <w:p w14:paraId="35BB3702" w14:textId="77777777" w:rsidR="00970674" w:rsidRPr="00E420FF" w:rsidRDefault="00970674" w:rsidP="00E420FF">
            <w:pPr>
              <w:rPr>
                <w:rFonts w:asciiTheme="minorHAnsi" w:hAnsiTheme="minorHAnsi"/>
                <w:kern w:val="16"/>
                <w:szCs w:val="22"/>
                <w:lang w:val="en-US"/>
              </w:rPr>
            </w:pPr>
            <w:r w:rsidRPr="00E420FF">
              <w:rPr>
                <w:rFonts w:asciiTheme="minorHAnsi" w:hAnsiTheme="minorHAnsi"/>
                <w:szCs w:val="22"/>
                <w:lang w:val="en-US"/>
              </w:rPr>
              <w:t xml:space="preserve">HCMV IE </w:t>
            </w:r>
          </w:p>
        </w:tc>
        <w:tc>
          <w:tcPr>
            <w:tcW w:w="7347" w:type="dxa"/>
            <w:hideMark/>
          </w:tcPr>
          <w:p w14:paraId="6A3A107B" w14:textId="00885DD5" w:rsidR="00970674" w:rsidRPr="00E420FF" w:rsidRDefault="008572F8" w:rsidP="00E420FF">
            <w:pPr>
              <w:rPr>
                <w:rFonts w:asciiTheme="minorHAnsi" w:hAnsiTheme="minorHAnsi"/>
                <w:kern w:val="16"/>
                <w:szCs w:val="22"/>
                <w:lang w:val="en-US"/>
              </w:rPr>
            </w:pPr>
            <w:r w:rsidRPr="00E420FF">
              <w:rPr>
                <w:rFonts w:asciiTheme="minorHAnsi" w:hAnsiTheme="minorHAnsi"/>
                <w:szCs w:val="22"/>
                <w:lang w:val="en-US"/>
              </w:rPr>
              <w:t>Human cytomegalovirus immediate early promoter</w:t>
            </w:r>
          </w:p>
        </w:tc>
      </w:tr>
      <w:tr w:rsidR="00970674" w14:paraId="68AB3CF2" w14:textId="77777777" w:rsidTr="00970674">
        <w:tc>
          <w:tcPr>
            <w:tcW w:w="1550" w:type="dxa"/>
            <w:hideMark/>
          </w:tcPr>
          <w:p w14:paraId="51B9A5A6" w14:textId="77777777" w:rsidR="00970674" w:rsidRPr="00E420FF" w:rsidRDefault="00970674" w:rsidP="00E420FF">
            <w:pPr>
              <w:rPr>
                <w:rFonts w:asciiTheme="minorHAnsi" w:hAnsiTheme="minorHAnsi"/>
                <w:kern w:val="16"/>
                <w:szCs w:val="22"/>
                <w:lang w:val="en-US"/>
              </w:rPr>
            </w:pPr>
            <w:proofErr w:type="spellStart"/>
            <w:r w:rsidRPr="00E420FF">
              <w:rPr>
                <w:rFonts w:asciiTheme="minorHAnsi" w:hAnsiTheme="minorHAnsi"/>
                <w:szCs w:val="22"/>
                <w:lang w:val="en-US"/>
              </w:rPr>
              <w:t>hGM</w:t>
            </w:r>
            <w:proofErr w:type="spellEnd"/>
            <w:r w:rsidRPr="00E420FF">
              <w:rPr>
                <w:rFonts w:asciiTheme="minorHAnsi" w:hAnsiTheme="minorHAnsi"/>
                <w:szCs w:val="22"/>
                <w:lang w:val="en-US"/>
              </w:rPr>
              <w:t xml:space="preserve">-CSF </w:t>
            </w:r>
          </w:p>
        </w:tc>
        <w:tc>
          <w:tcPr>
            <w:tcW w:w="7347" w:type="dxa"/>
            <w:hideMark/>
          </w:tcPr>
          <w:p w14:paraId="5A14BD33" w14:textId="128E8562" w:rsidR="00970674" w:rsidRPr="00E420FF" w:rsidRDefault="008572F8" w:rsidP="00E420FF">
            <w:pPr>
              <w:rPr>
                <w:rFonts w:asciiTheme="minorHAnsi" w:hAnsiTheme="minorHAnsi"/>
                <w:kern w:val="16"/>
                <w:szCs w:val="22"/>
                <w:lang w:val="en-US"/>
              </w:rPr>
            </w:pPr>
            <w:r w:rsidRPr="00E420FF">
              <w:rPr>
                <w:rFonts w:asciiTheme="minorHAnsi" w:hAnsiTheme="minorHAnsi"/>
                <w:szCs w:val="22"/>
                <w:lang w:val="en-US"/>
              </w:rPr>
              <w:t>Human granulocyte macrophage colony stimulating factor</w:t>
            </w:r>
          </w:p>
        </w:tc>
      </w:tr>
      <w:tr w:rsidR="00970674" w14:paraId="289AAAD6" w14:textId="77777777" w:rsidTr="00970674">
        <w:tc>
          <w:tcPr>
            <w:tcW w:w="1550" w:type="dxa"/>
            <w:hideMark/>
          </w:tcPr>
          <w:p w14:paraId="0C4DED94" w14:textId="77777777" w:rsidR="00970674" w:rsidRPr="00E420FF" w:rsidRDefault="00970674" w:rsidP="00E420FF">
            <w:pPr>
              <w:rPr>
                <w:rFonts w:asciiTheme="minorHAnsi" w:hAnsiTheme="minorHAnsi"/>
                <w:kern w:val="16"/>
                <w:szCs w:val="22"/>
                <w:lang w:val="en-US"/>
              </w:rPr>
            </w:pPr>
            <w:r w:rsidRPr="00E420FF">
              <w:rPr>
                <w:rFonts w:asciiTheme="minorHAnsi" w:hAnsiTheme="minorHAnsi"/>
                <w:szCs w:val="22"/>
                <w:lang w:val="en-US"/>
              </w:rPr>
              <w:t xml:space="preserve">HIV </w:t>
            </w:r>
          </w:p>
        </w:tc>
        <w:tc>
          <w:tcPr>
            <w:tcW w:w="7347" w:type="dxa"/>
            <w:hideMark/>
          </w:tcPr>
          <w:p w14:paraId="249FFC31" w14:textId="0CC482BC" w:rsidR="00970674" w:rsidRPr="00E420FF" w:rsidRDefault="008572F8" w:rsidP="00E420FF">
            <w:pPr>
              <w:rPr>
                <w:rFonts w:asciiTheme="minorHAnsi" w:hAnsiTheme="minorHAnsi"/>
                <w:kern w:val="16"/>
                <w:szCs w:val="22"/>
                <w:lang w:val="en-US"/>
              </w:rPr>
            </w:pPr>
            <w:r w:rsidRPr="00E420FF">
              <w:rPr>
                <w:rFonts w:asciiTheme="minorHAnsi" w:hAnsiTheme="minorHAnsi"/>
                <w:szCs w:val="22"/>
                <w:lang w:val="en-US"/>
              </w:rPr>
              <w:t>Human immunodeficiency virus</w:t>
            </w:r>
          </w:p>
        </w:tc>
      </w:tr>
      <w:tr w:rsidR="00970674" w14:paraId="47B46CE9" w14:textId="77777777" w:rsidTr="00970674">
        <w:tc>
          <w:tcPr>
            <w:tcW w:w="1550" w:type="dxa"/>
            <w:hideMark/>
          </w:tcPr>
          <w:p w14:paraId="50988EB6" w14:textId="77777777" w:rsidR="00970674" w:rsidRPr="00E420FF" w:rsidRDefault="00970674" w:rsidP="00E420FF">
            <w:pPr>
              <w:rPr>
                <w:rFonts w:asciiTheme="minorHAnsi" w:hAnsiTheme="minorHAnsi"/>
                <w:kern w:val="16"/>
                <w:szCs w:val="22"/>
                <w:lang w:val="en-US"/>
              </w:rPr>
            </w:pPr>
            <w:r w:rsidRPr="00E420FF">
              <w:rPr>
                <w:rFonts w:asciiTheme="minorHAnsi" w:hAnsiTheme="minorHAnsi"/>
                <w:szCs w:val="22"/>
                <w:lang w:val="en-US"/>
              </w:rPr>
              <w:t xml:space="preserve">HLA </w:t>
            </w:r>
          </w:p>
        </w:tc>
        <w:tc>
          <w:tcPr>
            <w:tcW w:w="7347" w:type="dxa"/>
            <w:hideMark/>
          </w:tcPr>
          <w:p w14:paraId="07A7B416" w14:textId="22D04920" w:rsidR="00970674" w:rsidRPr="00E420FF" w:rsidRDefault="008572F8" w:rsidP="00E420FF">
            <w:pPr>
              <w:rPr>
                <w:rFonts w:asciiTheme="minorHAnsi" w:hAnsiTheme="minorHAnsi"/>
                <w:kern w:val="16"/>
                <w:szCs w:val="22"/>
                <w:lang w:val="en-US"/>
              </w:rPr>
            </w:pPr>
            <w:r w:rsidRPr="00E420FF">
              <w:rPr>
                <w:rFonts w:asciiTheme="minorHAnsi" w:hAnsiTheme="minorHAnsi"/>
                <w:szCs w:val="22"/>
                <w:lang w:val="en-US"/>
              </w:rPr>
              <w:t>Human lymphocyte antigen</w:t>
            </w:r>
          </w:p>
        </w:tc>
      </w:tr>
      <w:tr w:rsidR="00970674" w14:paraId="65E06691" w14:textId="77777777" w:rsidTr="00970674">
        <w:tc>
          <w:tcPr>
            <w:tcW w:w="1550" w:type="dxa"/>
            <w:hideMark/>
          </w:tcPr>
          <w:p w14:paraId="6FC2F3F8" w14:textId="77777777" w:rsidR="00970674" w:rsidRPr="00E420FF" w:rsidRDefault="00970674" w:rsidP="00E420FF">
            <w:pPr>
              <w:rPr>
                <w:rFonts w:asciiTheme="minorHAnsi" w:hAnsiTheme="minorHAnsi"/>
                <w:kern w:val="16"/>
                <w:szCs w:val="22"/>
                <w:lang w:val="en-US"/>
              </w:rPr>
            </w:pPr>
            <w:r w:rsidRPr="00E420FF">
              <w:rPr>
                <w:rFonts w:asciiTheme="minorHAnsi" w:hAnsiTheme="minorHAnsi"/>
                <w:szCs w:val="22"/>
                <w:lang w:val="en-US"/>
              </w:rPr>
              <w:t xml:space="preserve">HSV </w:t>
            </w:r>
          </w:p>
        </w:tc>
        <w:tc>
          <w:tcPr>
            <w:tcW w:w="7347" w:type="dxa"/>
            <w:hideMark/>
          </w:tcPr>
          <w:p w14:paraId="25165C51" w14:textId="1FECFA7E" w:rsidR="00970674" w:rsidRPr="00E420FF" w:rsidRDefault="008572F8" w:rsidP="00E420FF">
            <w:pPr>
              <w:rPr>
                <w:rFonts w:asciiTheme="minorHAnsi" w:hAnsiTheme="minorHAnsi"/>
                <w:kern w:val="16"/>
                <w:szCs w:val="22"/>
                <w:lang w:val="en-US"/>
              </w:rPr>
            </w:pPr>
            <w:r w:rsidRPr="00E420FF">
              <w:rPr>
                <w:rFonts w:asciiTheme="minorHAnsi" w:hAnsiTheme="minorHAnsi"/>
                <w:szCs w:val="22"/>
                <w:lang w:val="en-US"/>
              </w:rPr>
              <w:t>Herpes simplex virus</w:t>
            </w:r>
          </w:p>
        </w:tc>
      </w:tr>
      <w:tr w:rsidR="00970674" w14:paraId="221D22B5" w14:textId="77777777" w:rsidTr="00970674">
        <w:tc>
          <w:tcPr>
            <w:tcW w:w="1550" w:type="dxa"/>
            <w:hideMark/>
          </w:tcPr>
          <w:p w14:paraId="6CCBAC07" w14:textId="77777777" w:rsidR="00970674" w:rsidRPr="00E420FF" w:rsidRDefault="00970674" w:rsidP="00E420FF">
            <w:pPr>
              <w:rPr>
                <w:rFonts w:asciiTheme="minorHAnsi" w:hAnsiTheme="minorHAnsi"/>
                <w:kern w:val="16"/>
                <w:szCs w:val="22"/>
                <w:lang w:val="en-US"/>
              </w:rPr>
            </w:pPr>
            <w:r w:rsidRPr="00E420FF">
              <w:rPr>
                <w:rFonts w:asciiTheme="minorHAnsi" w:hAnsiTheme="minorHAnsi"/>
                <w:szCs w:val="22"/>
                <w:lang w:val="en-US"/>
              </w:rPr>
              <w:t xml:space="preserve">HSV-1 </w:t>
            </w:r>
          </w:p>
        </w:tc>
        <w:tc>
          <w:tcPr>
            <w:tcW w:w="7347" w:type="dxa"/>
            <w:hideMark/>
          </w:tcPr>
          <w:p w14:paraId="5C938333" w14:textId="34BF6C59" w:rsidR="00970674" w:rsidRPr="00E420FF" w:rsidRDefault="008572F8" w:rsidP="00E420FF">
            <w:pPr>
              <w:rPr>
                <w:rFonts w:asciiTheme="minorHAnsi" w:hAnsiTheme="minorHAnsi"/>
                <w:kern w:val="16"/>
                <w:szCs w:val="22"/>
                <w:lang w:val="en-US"/>
              </w:rPr>
            </w:pPr>
            <w:r w:rsidRPr="00E420FF">
              <w:rPr>
                <w:rFonts w:asciiTheme="minorHAnsi" w:hAnsiTheme="minorHAnsi"/>
                <w:szCs w:val="22"/>
                <w:lang w:val="en-US"/>
              </w:rPr>
              <w:t>Herpes simplex virus, type 1</w:t>
            </w:r>
          </w:p>
        </w:tc>
      </w:tr>
      <w:tr w:rsidR="00970674" w14:paraId="08F9DA88" w14:textId="77777777" w:rsidTr="00970674">
        <w:tc>
          <w:tcPr>
            <w:tcW w:w="1550" w:type="dxa"/>
            <w:hideMark/>
          </w:tcPr>
          <w:p w14:paraId="52C931CD" w14:textId="77777777" w:rsidR="00970674" w:rsidRPr="00E420FF" w:rsidRDefault="00970674" w:rsidP="00E420FF">
            <w:pPr>
              <w:rPr>
                <w:rFonts w:asciiTheme="minorHAnsi" w:hAnsiTheme="minorHAnsi"/>
                <w:kern w:val="16"/>
                <w:szCs w:val="22"/>
                <w:lang w:val="en-US"/>
              </w:rPr>
            </w:pPr>
            <w:r w:rsidRPr="00E420FF">
              <w:rPr>
                <w:rFonts w:asciiTheme="minorHAnsi" w:hAnsiTheme="minorHAnsi"/>
                <w:szCs w:val="22"/>
                <w:lang w:val="en-US"/>
              </w:rPr>
              <w:t xml:space="preserve">ICH </w:t>
            </w:r>
          </w:p>
        </w:tc>
        <w:tc>
          <w:tcPr>
            <w:tcW w:w="7347" w:type="dxa"/>
            <w:hideMark/>
          </w:tcPr>
          <w:p w14:paraId="0B885A38" w14:textId="77777777" w:rsidR="00970674" w:rsidRPr="00E420FF" w:rsidRDefault="00970674" w:rsidP="00E420FF">
            <w:pPr>
              <w:rPr>
                <w:rFonts w:asciiTheme="minorHAnsi" w:hAnsiTheme="minorHAnsi"/>
                <w:kern w:val="16"/>
                <w:szCs w:val="22"/>
                <w:lang w:val="en-US"/>
              </w:rPr>
            </w:pPr>
            <w:r w:rsidRPr="00E420FF">
              <w:rPr>
                <w:rFonts w:asciiTheme="minorHAnsi" w:hAnsiTheme="minorHAnsi"/>
                <w:szCs w:val="22"/>
                <w:lang w:val="en-US"/>
              </w:rPr>
              <w:t>Inte</w:t>
            </w:r>
            <w:r w:rsidR="001A4B22">
              <w:rPr>
                <w:rFonts w:asciiTheme="minorHAnsi" w:hAnsiTheme="minorHAnsi"/>
                <w:szCs w:val="22"/>
                <w:lang w:val="en-US"/>
              </w:rPr>
              <w:t>rnational Conference on Harmoniz</w:t>
            </w:r>
            <w:r w:rsidRPr="00E420FF">
              <w:rPr>
                <w:rFonts w:asciiTheme="minorHAnsi" w:hAnsiTheme="minorHAnsi"/>
                <w:szCs w:val="22"/>
                <w:lang w:val="en-US"/>
              </w:rPr>
              <w:t>ation</w:t>
            </w:r>
          </w:p>
        </w:tc>
      </w:tr>
      <w:tr w:rsidR="00970674" w14:paraId="384A19EB" w14:textId="77777777" w:rsidTr="00970674">
        <w:tc>
          <w:tcPr>
            <w:tcW w:w="1550" w:type="dxa"/>
            <w:hideMark/>
          </w:tcPr>
          <w:p w14:paraId="7441521E" w14:textId="77777777" w:rsidR="00970674" w:rsidRPr="00E420FF" w:rsidRDefault="00970674" w:rsidP="00E420FF">
            <w:pPr>
              <w:rPr>
                <w:rFonts w:asciiTheme="minorHAnsi" w:hAnsiTheme="minorHAnsi"/>
                <w:kern w:val="16"/>
                <w:szCs w:val="22"/>
                <w:lang w:val="en-US"/>
              </w:rPr>
            </w:pPr>
            <w:r w:rsidRPr="00E420FF">
              <w:rPr>
                <w:rFonts w:asciiTheme="minorHAnsi" w:hAnsiTheme="minorHAnsi"/>
                <w:szCs w:val="22"/>
                <w:lang w:val="en-US"/>
              </w:rPr>
              <w:t xml:space="preserve">Ig </w:t>
            </w:r>
          </w:p>
        </w:tc>
        <w:tc>
          <w:tcPr>
            <w:tcW w:w="7347" w:type="dxa"/>
            <w:hideMark/>
          </w:tcPr>
          <w:p w14:paraId="08F84A61" w14:textId="286B1DE6" w:rsidR="00970674" w:rsidRPr="00E420FF" w:rsidRDefault="008572F8" w:rsidP="00E420FF">
            <w:pPr>
              <w:rPr>
                <w:rFonts w:asciiTheme="minorHAnsi" w:hAnsiTheme="minorHAnsi"/>
                <w:kern w:val="16"/>
                <w:szCs w:val="22"/>
                <w:lang w:val="en-US"/>
              </w:rPr>
            </w:pPr>
            <w:r w:rsidRPr="00E420FF">
              <w:rPr>
                <w:rFonts w:asciiTheme="minorHAnsi" w:hAnsiTheme="minorHAnsi"/>
                <w:szCs w:val="22"/>
                <w:lang w:val="en-US"/>
              </w:rPr>
              <w:t>Immunoglobulin</w:t>
            </w:r>
          </w:p>
        </w:tc>
      </w:tr>
      <w:tr w:rsidR="00970674" w14:paraId="695FC032" w14:textId="77777777" w:rsidTr="00970674">
        <w:tc>
          <w:tcPr>
            <w:tcW w:w="1550" w:type="dxa"/>
            <w:hideMark/>
          </w:tcPr>
          <w:p w14:paraId="0DD12C6F" w14:textId="77777777" w:rsidR="00970674" w:rsidRPr="00E420FF" w:rsidRDefault="00970674" w:rsidP="00E420FF">
            <w:pPr>
              <w:rPr>
                <w:rFonts w:asciiTheme="minorHAnsi" w:hAnsiTheme="minorHAnsi"/>
                <w:kern w:val="16"/>
                <w:szCs w:val="22"/>
                <w:lang w:val="en-US"/>
              </w:rPr>
            </w:pPr>
            <w:r w:rsidRPr="00E420FF">
              <w:rPr>
                <w:rFonts w:asciiTheme="minorHAnsi" w:hAnsiTheme="minorHAnsi"/>
                <w:szCs w:val="22"/>
                <w:lang w:val="en-US"/>
              </w:rPr>
              <w:t xml:space="preserve">IRB </w:t>
            </w:r>
          </w:p>
        </w:tc>
        <w:tc>
          <w:tcPr>
            <w:tcW w:w="7347" w:type="dxa"/>
            <w:hideMark/>
          </w:tcPr>
          <w:p w14:paraId="2CA24C8E" w14:textId="7234849F" w:rsidR="00970674" w:rsidRPr="00E420FF" w:rsidRDefault="008572F8" w:rsidP="00E420FF">
            <w:pPr>
              <w:rPr>
                <w:rFonts w:asciiTheme="minorHAnsi" w:hAnsiTheme="minorHAnsi"/>
                <w:kern w:val="16"/>
                <w:szCs w:val="22"/>
                <w:lang w:val="en-US"/>
              </w:rPr>
            </w:pPr>
            <w:r w:rsidRPr="00E420FF">
              <w:rPr>
                <w:rFonts w:asciiTheme="minorHAnsi" w:hAnsiTheme="minorHAnsi"/>
                <w:szCs w:val="22"/>
                <w:lang w:val="en-US"/>
              </w:rPr>
              <w:t>Institutional review board</w:t>
            </w:r>
          </w:p>
        </w:tc>
      </w:tr>
      <w:tr w:rsidR="00970674" w14:paraId="67E7AE3B" w14:textId="77777777" w:rsidTr="00970674">
        <w:tc>
          <w:tcPr>
            <w:tcW w:w="1550" w:type="dxa"/>
            <w:hideMark/>
          </w:tcPr>
          <w:p w14:paraId="195D2B7D" w14:textId="77777777" w:rsidR="00970674" w:rsidRPr="00E420FF" w:rsidRDefault="00970674" w:rsidP="00E420FF">
            <w:pPr>
              <w:rPr>
                <w:rFonts w:asciiTheme="minorHAnsi" w:hAnsiTheme="minorHAnsi"/>
                <w:kern w:val="16"/>
                <w:szCs w:val="22"/>
              </w:rPr>
            </w:pPr>
            <w:r w:rsidRPr="00E420FF">
              <w:rPr>
                <w:rFonts w:asciiTheme="minorHAnsi" w:hAnsiTheme="minorHAnsi"/>
                <w:szCs w:val="22"/>
              </w:rPr>
              <w:t>ITT</w:t>
            </w:r>
          </w:p>
        </w:tc>
        <w:tc>
          <w:tcPr>
            <w:tcW w:w="7347" w:type="dxa"/>
            <w:hideMark/>
          </w:tcPr>
          <w:p w14:paraId="265A0E6A" w14:textId="5C4C1833" w:rsidR="00970674" w:rsidRPr="00E420FF" w:rsidRDefault="008572F8" w:rsidP="00E420FF">
            <w:pPr>
              <w:rPr>
                <w:rFonts w:asciiTheme="minorHAnsi" w:hAnsiTheme="minorHAnsi"/>
                <w:szCs w:val="22"/>
              </w:rPr>
            </w:pPr>
            <w:r w:rsidRPr="00E420FF">
              <w:rPr>
                <w:rFonts w:asciiTheme="minorHAnsi" w:hAnsiTheme="minorHAnsi"/>
                <w:szCs w:val="22"/>
              </w:rPr>
              <w:t>Intent to treat</w:t>
            </w:r>
          </w:p>
        </w:tc>
      </w:tr>
      <w:tr w:rsidR="00970674" w14:paraId="4FB5DD9B" w14:textId="77777777" w:rsidTr="00970674">
        <w:tc>
          <w:tcPr>
            <w:tcW w:w="1550" w:type="dxa"/>
            <w:hideMark/>
          </w:tcPr>
          <w:p w14:paraId="3E13F057" w14:textId="77777777" w:rsidR="00970674" w:rsidRPr="00E420FF" w:rsidRDefault="00970674" w:rsidP="00E420FF">
            <w:pPr>
              <w:rPr>
                <w:rFonts w:asciiTheme="minorHAnsi" w:hAnsiTheme="minorHAnsi"/>
                <w:kern w:val="16"/>
                <w:szCs w:val="22"/>
                <w:lang w:val="en-US"/>
              </w:rPr>
            </w:pPr>
            <w:r w:rsidRPr="00E420FF">
              <w:rPr>
                <w:rFonts w:asciiTheme="minorHAnsi" w:hAnsiTheme="minorHAnsi"/>
                <w:szCs w:val="22"/>
                <w:lang w:val="en-US"/>
              </w:rPr>
              <w:t xml:space="preserve">LDH </w:t>
            </w:r>
          </w:p>
        </w:tc>
        <w:tc>
          <w:tcPr>
            <w:tcW w:w="7347" w:type="dxa"/>
            <w:hideMark/>
          </w:tcPr>
          <w:p w14:paraId="1DF80A75" w14:textId="0B69924C" w:rsidR="00970674" w:rsidRPr="00E420FF" w:rsidRDefault="008572F8" w:rsidP="00E420FF">
            <w:pPr>
              <w:rPr>
                <w:rFonts w:asciiTheme="minorHAnsi" w:hAnsiTheme="minorHAnsi"/>
                <w:kern w:val="16"/>
                <w:szCs w:val="22"/>
                <w:lang w:val="en-US"/>
              </w:rPr>
            </w:pPr>
            <w:r w:rsidRPr="00E420FF">
              <w:rPr>
                <w:rFonts w:asciiTheme="minorHAnsi" w:hAnsiTheme="minorHAnsi"/>
                <w:szCs w:val="22"/>
                <w:lang w:val="en-US"/>
              </w:rPr>
              <w:t>Lactate dehydrogenase</w:t>
            </w:r>
          </w:p>
        </w:tc>
      </w:tr>
      <w:tr w:rsidR="00970674" w14:paraId="238A187E" w14:textId="77777777" w:rsidTr="00970674">
        <w:tc>
          <w:tcPr>
            <w:tcW w:w="1550" w:type="dxa"/>
            <w:hideMark/>
          </w:tcPr>
          <w:p w14:paraId="0F035881" w14:textId="77777777" w:rsidR="00970674" w:rsidRPr="00E420FF" w:rsidRDefault="00970674" w:rsidP="00E420FF">
            <w:pPr>
              <w:rPr>
                <w:rFonts w:asciiTheme="minorHAnsi" w:hAnsiTheme="minorHAnsi"/>
                <w:kern w:val="16"/>
                <w:szCs w:val="22"/>
                <w:lang w:val="en-US"/>
              </w:rPr>
            </w:pPr>
            <w:r w:rsidRPr="00E420FF">
              <w:rPr>
                <w:rFonts w:asciiTheme="minorHAnsi" w:hAnsiTheme="minorHAnsi"/>
                <w:szCs w:val="22"/>
                <w:lang w:val="en-US"/>
              </w:rPr>
              <w:t xml:space="preserve">MCHC </w:t>
            </w:r>
          </w:p>
        </w:tc>
        <w:tc>
          <w:tcPr>
            <w:tcW w:w="7347" w:type="dxa"/>
            <w:hideMark/>
          </w:tcPr>
          <w:p w14:paraId="0E671480" w14:textId="5994E9EC" w:rsidR="00970674" w:rsidRPr="00E420FF" w:rsidRDefault="008572F8" w:rsidP="00E420FF">
            <w:pPr>
              <w:rPr>
                <w:rFonts w:asciiTheme="minorHAnsi" w:hAnsiTheme="minorHAnsi"/>
                <w:kern w:val="16"/>
                <w:szCs w:val="22"/>
                <w:lang w:val="en-US"/>
              </w:rPr>
            </w:pPr>
            <w:r w:rsidRPr="00E420FF">
              <w:rPr>
                <w:rFonts w:asciiTheme="minorHAnsi" w:hAnsiTheme="minorHAnsi"/>
                <w:szCs w:val="22"/>
                <w:lang w:val="en-US"/>
              </w:rPr>
              <w:t>Mean corpuscular hemoglobin concentration</w:t>
            </w:r>
          </w:p>
        </w:tc>
      </w:tr>
      <w:tr w:rsidR="00970674" w14:paraId="28F0E4FD" w14:textId="77777777" w:rsidTr="00970674">
        <w:tc>
          <w:tcPr>
            <w:tcW w:w="1550" w:type="dxa"/>
            <w:hideMark/>
          </w:tcPr>
          <w:p w14:paraId="03DA50C6" w14:textId="77777777" w:rsidR="00970674" w:rsidRPr="00E420FF" w:rsidRDefault="00970674" w:rsidP="00E420FF">
            <w:pPr>
              <w:rPr>
                <w:rFonts w:asciiTheme="minorHAnsi" w:hAnsiTheme="minorHAnsi"/>
                <w:kern w:val="16"/>
                <w:szCs w:val="22"/>
                <w:lang w:val="en-US"/>
              </w:rPr>
            </w:pPr>
            <w:r w:rsidRPr="00E420FF">
              <w:rPr>
                <w:rFonts w:asciiTheme="minorHAnsi" w:hAnsiTheme="minorHAnsi"/>
                <w:szCs w:val="22"/>
                <w:lang w:val="en-US"/>
              </w:rPr>
              <w:t xml:space="preserve">MCV </w:t>
            </w:r>
          </w:p>
        </w:tc>
        <w:tc>
          <w:tcPr>
            <w:tcW w:w="7347" w:type="dxa"/>
            <w:hideMark/>
          </w:tcPr>
          <w:p w14:paraId="69597BD7" w14:textId="4492191A" w:rsidR="00970674" w:rsidRPr="00E420FF" w:rsidRDefault="008572F8" w:rsidP="00E420FF">
            <w:pPr>
              <w:rPr>
                <w:rFonts w:asciiTheme="minorHAnsi" w:hAnsiTheme="minorHAnsi"/>
                <w:kern w:val="16"/>
                <w:szCs w:val="22"/>
                <w:lang w:val="en-US"/>
              </w:rPr>
            </w:pPr>
            <w:r w:rsidRPr="00E420FF">
              <w:rPr>
                <w:rFonts w:asciiTheme="minorHAnsi" w:hAnsiTheme="minorHAnsi"/>
                <w:szCs w:val="22"/>
                <w:lang w:val="en-US"/>
              </w:rPr>
              <w:t>Mean corpuscular vol</w:t>
            </w:r>
            <w:r w:rsidR="00970674" w:rsidRPr="00E420FF">
              <w:rPr>
                <w:rFonts w:asciiTheme="minorHAnsi" w:hAnsiTheme="minorHAnsi"/>
                <w:szCs w:val="22"/>
                <w:lang w:val="en-US"/>
              </w:rPr>
              <w:t>ume</w:t>
            </w:r>
          </w:p>
        </w:tc>
      </w:tr>
      <w:tr w:rsidR="00970674" w14:paraId="4B76C1DB" w14:textId="77777777" w:rsidTr="00970674">
        <w:tc>
          <w:tcPr>
            <w:tcW w:w="1550" w:type="dxa"/>
            <w:hideMark/>
          </w:tcPr>
          <w:p w14:paraId="3C8D7761" w14:textId="77777777" w:rsidR="00970674" w:rsidRPr="00E420FF" w:rsidRDefault="00970674" w:rsidP="00E420FF">
            <w:pPr>
              <w:rPr>
                <w:rFonts w:asciiTheme="minorHAnsi" w:hAnsiTheme="minorHAnsi"/>
                <w:kern w:val="16"/>
                <w:szCs w:val="22"/>
                <w:lang w:val="en-US"/>
              </w:rPr>
            </w:pPr>
            <w:proofErr w:type="spellStart"/>
            <w:r w:rsidRPr="00E420FF">
              <w:rPr>
                <w:rFonts w:asciiTheme="minorHAnsi" w:hAnsiTheme="minorHAnsi"/>
                <w:szCs w:val="22"/>
                <w:lang w:val="en-US"/>
              </w:rPr>
              <w:t>MedDRA</w:t>
            </w:r>
            <w:proofErr w:type="spellEnd"/>
            <w:r w:rsidRPr="00E420FF">
              <w:rPr>
                <w:rFonts w:asciiTheme="minorHAnsi" w:hAnsiTheme="minorHAnsi"/>
                <w:szCs w:val="22"/>
                <w:lang w:val="en-US"/>
              </w:rPr>
              <w:t xml:space="preserve"> </w:t>
            </w:r>
          </w:p>
        </w:tc>
        <w:tc>
          <w:tcPr>
            <w:tcW w:w="7347" w:type="dxa"/>
            <w:hideMark/>
          </w:tcPr>
          <w:p w14:paraId="1A29AA4B" w14:textId="77777777" w:rsidR="00970674" w:rsidRPr="00E420FF" w:rsidRDefault="00970674" w:rsidP="00E420FF">
            <w:pPr>
              <w:rPr>
                <w:rFonts w:asciiTheme="minorHAnsi" w:hAnsiTheme="minorHAnsi"/>
                <w:kern w:val="16"/>
                <w:szCs w:val="22"/>
                <w:lang w:val="en-US"/>
              </w:rPr>
            </w:pPr>
            <w:r w:rsidRPr="00E420FF">
              <w:rPr>
                <w:rFonts w:asciiTheme="minorHAnsi" w:hAnsiTheme="minorHAnsi"/>
                <w:szCs w:val="22"/>
                <w:lang w:val="en-US"/>
              </w:rPr>
              <w:t>Medical Dictionary for Regulatory Activities</w:t>
            </w:r>
          </w:p>
        </w:tc>
      </w:tr>
      <w:tr w:rsidR="00970674" w14:paraId="1FD18A2D" w14:textId="77777777" w:rsidTr="00970674">
        <w:tc>
          <w:tcPr>
            <w:tcW w:w="1550" w:type="dxa"/>
            <w:hideMark/>
          </w:tcPr>
          <w:p w14:paraId="25F7DAC2" w14:textId="77777777" w:rsidR="00970674" w:rsidRPr="00E420FF" w:rsidRDefault="00970674" w:rsidP="00E420FF">
            <w:pPr>
              <w:rPr>
                <w:rFonts w:asciiTheme="minorHAnsi" w:hAnsiTheme="minorHAnsi"/>
                <w:kern w:val="16"/>
                <w:szCs w:val="22"/>
                <w:lang w:val="en-US"/>
              </w:rPr>
            </w:pPr>
            <w:r w:rsidRPr="00E420FF">
              <w:rPr>
                <w:rFonts w:asciiTheme="minorHAnsi" w:hAnsiTheme="minorHAnsi"/>
                <w:szCs w:val="22"/>
                <w:lang w:val="en-US"/>
              </w:rPr>
              <w:t xml:space="preserve">MHC </w:t>
            </w:r>
          </w:p>
        </w:tc>
        <w:tc>
          <w:tcPr>
            <w:tcW w:w="7347" w:type="dxa"/>
            <w:hideMark/>
          </w:tcPr>
          <w:p w14:paraId="3090030B" w14:textId="495DE769" w:rsidR="00970674" w:rsidRPr="00E420FF" w:rsidRDefault="008572F8" w:rsidP="00E420FF">
            <w:pPr>
              <w:rPr>
                <w:rFonts w:asciiTheme="minorHAnsi" w:hAnsiTheme="minorHAnsi"/>
                <w:kern w:val="16"/>
                <w:szCs w:val="22"/>
                <w:lang w:val="en-US"/>
              </w:rPr>
            </w:pPr>
            <w:r w:rsidRPr="00E420FF">
              <w:rPr>
                <w:rFonts w:asciiTheme="minorHAnsi" w:hAnsiTheme="minorHAnsi"/>
                <w:szCs w:val="22"/>
                <w:lang w:val="en-US"/>
              </w:rPr>
              <w:t>Major histocompatibility complex</w:t>
            </w:r>
          </w:p>
        </w:tc>
      </w:tr>
      <w:tr w:rsidR="00970674" w14:paraId="601D6B83" w14:textId="77777777" w:rsidTr="00970674">
        <w:tc>
          <w:tcPr>
            <w:tcW w:w="1550" w:type="dxa"/>
            <w:hideMark/>
          </w:tcPr>
          <w:p w14:paraId="44AE9745" w14:textId="77777777" w:rsidR="00970674" w:rsidRPr="00E420FF" w:rsidRDefault="00970674" w:rsidP="00E420FF">
            <w:pPr>
              <w:rPr>
                <w:rFonts w:asciiTheme="minorHAnsi" w:hAnsiTheme="minorHAnsi"/>
                <w:kern w:val="16"/>
                <w:szCs w:val="22"/>
                <w:lang w:val="en-US"/>
              </w:rPr>
            </w:pPr>
            <w:r w:rsidRPr="00E420FF">
              <w:rPr>
                <w:rFonts w:asciiTheme="minorHAnsi" w:hAnsiTheme="minorHAnsi"/>
                <w:szCs w:val="22"/>
                <w:lang w:val="en-US"/>
              </w:rPr>
              <w:t xml:space="preserve">MRI </w:t>
            </w:r>
          </w:p>
        </w:tc>
        <w:tc>
          <w:tcPr>
            <w:tcW w:w="7347" w:type="dxa"/>
            <w:hideMark/>
          </w:tcPr>
          <w:p w14:paraId="78EE115F" w14:textId="7C64F948" w:rsidR="00970674" w:rsidRPr="00E420FF" w:rsidRDefault="008572F8" w:rsidP="00E420FF">
            <w:pPr>
              <w:rPr>
                <w:rFonts w:asciiTheme="minorHAnsi" w:hAnsiTheme="minorHAnsi"/>
                <w:kern w:val="16"/>
                <w:szCs w:val="22"/>
                <w:lang w:val="en-US"/>
              </w:rPr>
            </w:pPr>
            <w:r w:rsidRPr="00E420FF">
              <w:rPr>
                <w:rFonts w:asciiTheme="minorHAnsi" w:hAnsiTheme="minorHAnsi"/>
                <w:szCs w:val="22"/>
                <w:lang w:val="en-US"/>
              </w:rPr>
              <w:t>Magnetic resonance imaging</w:t>
            </w:r>
          </w:p>
        </w:tc>
      </w:tr>
      <w:tr w:rsidR="00970674" w14:paraId="249A32EF" w14:textId="77777777" w:rsidTr="00970674">
        <w:tc>
          <w:tcPr>
            <w:tcW w:w="1550" w:type="dxa"/>
            <w:hideMark/>
          </w:tcPr>
          <w:p w14:paraId="63B2601F" w14:textId="77777777" w:rsidR="00970674" w:rsidRPr="00E420FF" w:rsidRDefault="00970674" w:rsidP="00E420FF">
            <w:pPr>
              <w:rPr>
                <w:rFonts w:asciiTheme="minorHAnsi" w:hAnsiTheme="minorHAnsi"/>
                <w:kern w:val="16"/>
                <w:szCs w:val="22"/>
              </w:rPr>
            </w:pPr>
            <w:r w:rsidRPr="00E420FF">
              <w:rPr>
                <w:rFonts w:asciiTheme="minorHAnsi" w:hAnsiTheme="minorHAnsi"/>
                <w:szCs w:val="22"/>
              </w:rPr>
              <w:t>OECD</w:t>
            </w:r>
          </w:p>
        </w:tc>
        <w:tc>
          <w:tcPr>
            <w:tcW w:w="7347" w:type="dxa"/>
            <w:hideMark/>
          </w:tcPr>
          <w:p w14:paraId="4D1E75CE" w14:textId="77777777" w:rsidR="00970674" w:rsidRPr="00E420FF" w:rsidRDefault="00970674" w:rsidP="00E420FF">
            <w:pPr>
              <w:rPr>
                <w:rFonts w:asciiTheme="minorHAnsi" w:hAnsiTheme="minorHAnsi"/>
                <w:kern w:val="16"/>
                <w:szCs w:val="22"/>
              </w:rPr>
            </w:pPr>
            <w:r w:rsidRPr="00E420FF">
              <w:rPr>
                <w:rFonts w:asciiTheme="minorHAnsi" w:hAnsiTheme="minorHAnsi"/>
                <w:szCs w:val="22"/>
              </w:rPr>
              <w:t>Organization for Economic Cooperation and Development</w:t>
            </w:r>
          </w:p>
        </w:tc>
      </w:tr>
      <w:tr w:rsidR="00970674" w14:paraId="070251BC" w14:textId="77777777" w:rsidTr="00970674">
        <w:tc>
          <w:tcPr>
            <w:tcW w:w="1550" w:type="dxa"/>
            <w:hideMark/>
          </w:tcPr>
          <w:p w14:paraId="4AA0BF29" w14:textId="77777777" w:rsidR="00970674" w:rsidRPr="00E420FF" w:rsidRDefault="00970674" w:rsidP="00E420FF">
            <w:pPr>
              <w:rPr>
                <w:rFonts w:asciiTheme="minorHAnsi" w:hAnsiTheme="minorHAnsi"/>
                <w:kern w:val="16"/>
                <w:szCs w:val="22"/>
              </w:rPr>
            </w:pPr>
            <w:r w:rsidRPr="00E420FF">
              <w:rPr>
                <w:rFonts w:asciiTheme="minorHAnsi" w:hAnsiTheme="minorHAnsi"/>
                <w:szCs w:val="22"/>
              </w:rPr>
              <w:t>ORR</w:t>
            </w:r>
          </w:p>
        </w:tc>
        <w:tc>
          <w:tcPr>
            <w:tcW w:w="7347" w:type="dxa"/>
            <w:hideMark/>
          </w:tcPr>
          <w:p w14:paraId="13D2548D" w14:textId="779B4C64" w:rsidR="00970674" w:rsidRPr="00E420FF" w:rsidRDefault="008572F8" w:rsidP="00E420FF">
            <w:pPr>
              <w:rPr>
                <w:rFonts w:asciiTheme="minorHAnsi" w:hAnsiTheme="minorHAnsi"/>
                <w:kern w:val="16"/>
                <w:szCs w:val="22"/>
              </w:rPr>
            </w:pPr>
            <w:r w:rsidRPr="00E420FF">
              <w:rPr>
                <w:rFonts w:asciiTheme="minorHAnsi" w:hAnsiTheme="minorHAnsi"/>
                <w:szCs w:val="22"/>
              </w:rPr>
              <w:t xml:space="preserve">Objective </w:t>
            </w:r>
            <w:r w:rsidR="00970674" w:rsidRPr="00E420FF">
              <w:rPr>
                <w:rFonts w:asciiTheme="minorHAnsi" w:hAnsiTheme="minorHAnsi"/>
                <w:szCs w:val="22"/>
              </w:rPr>
              <w:t>response rate (=[PR+CR])</w:t>
            </w:r>
          </w:p>
        </w:tc>
      </w:tr>
      <w:tr w:rsidR="00970674" w14:paraId="1B54AC3E" w14:textId="77777777" w:rsidTr="00970674">
        <w:tc>
          <w:tcPr>
            <w:tcW w:w="1550" w:type="dxa"/>
            <w:hideMark/>
          </w:tcPr>
          <w:p w14:paraId="7F0648B9" w14:textId="77777777" w:rsidR="00970674" w:rsidRPr="00E420FF" w:rsidRDefault="00970674" w:rsidP="00E420FF">
            <w:pPr>
              <w:rPr>
                <w:rFonts w:asciiTheme="minorHAnsi" w:hAnsiTheme="minorHAnsi"/>
                <w:kern w:val="16"/>
                <w:szCs w:val="22"/>
                <w:lang w:val="en-US"/>
              </w:rPr>
            </w:pPr>
            <w:r w:rsidRPr="00E420FF">
              <w:rPr>
                <w:rFonts w:asciiTheme="minorHAnsi" w:hAnsiTheme="minorHAnsi"/>
                <w:szCs w:val="22"/>
                <w:lang w:val="en-US"/>
              </w:rPr>
              <w:t>OS</w:t>
            </w:r>
          </w:p>
        </w:tc>
        <w:tc>
          <w:tcPr>
            <w:tcW w:w="7347" w:type="dxa"/>
            <w:hideMark/>
          </w:tcPr>
          <w:p w14:paraId="2F20E096" w14:textId="5FAA4BFB" w:rsidR="00970674" w:rsidRPr="00E420FF" w:rsidRDefault="008572F8" w:rsidP="00E420FF">
            <w:pPr>
              <w:rPr>
                <w:rFonts w:asciiTheme="minorHAnsi" w:hAnsiTheme="minorHAnsi"/>
                <w:kern w:val="16"/>
                <w:szCs w:val="22"/>
                <w:lang w:val="en-US"/>
              </w:rPr>
            </w:pPr>
            <w:r w:rsidRPr="00E420FF">
              <w:rPr>
                <w:rFonts w:asciiTheme="minorHAnsi" w:hAnsiTheme="minorHAnsi"/>
                <w:szCs w:val="22"/>
                <w:lang w:val="en-US"/>
              </w:rPr>
              <w:t>Overall survival</w:t>
            </w:r>
          </w:p>
        </w:tc>
      </w:tr>
      <w:tr w:rsidR="00970674" w14:paraId="4594535D" w14:textId="77777777" w:rsidTr="00970674">
        <w:tc>
          <w:tcPr>
            <w:tcW w:w="1550" w:type="dxa"/>
            <w:hideMark/>
          </w:tcPr>
          <w:p w14:paraId="1A608085" w14:textId="77777777" w:rsidR="00970674" w:rsidRPr="00E420FF" w:rsidRDefault="00970674" w:rsidP="00E420FF">
            <w:pPr>
              <w:rPr>
                <w:rFonts w:asciiTheme="minorHAnsi" w:hAnsiTheme="minorHAnsi"/>
                <w:kern w:val="16"/>
                <w:szCs w:val="22"/>
              </w:rPr>
            </w:pPr>
            <w:r w:rsidRPr="00E420FF">
              <w:rPr>
                <w:rFonts w:asciiTheme="minorHAnsi" w:hAnsiTheme="minorHAnsi"/>
                <w:szCs w:val="22"/>
              </w:rPr>
              <w:t>PCR</w:t>
            </w:r>
          </w:p>
        </w:tc>
        <w:tc>
          <w:tcPr>
            <w:tcW w:w="7347" w:type="dxa"/>
            <w:hideMark/>
          </w:tcPr>
          <w:p w14:paraId="032F386D" w14:textId="496244D6" w:rsidR="00970674" w:rsidRPr="00E420FF" w:rsidRDefault="008572F8" w:rsidP="00E420FF">
            <w:pPr>
              <w:rPr>
                <w:rFonts w:asciiTheme="minorHAnsi" w:hAnsiTheme="minorHAnsi"/>
                <w:kern w:val="16"/>
                <w:szCs w:val="22"/>
              </w:rPr>
            </w:pPr>
            <w:r w:rsidRPr="00E420FF">
              <w:rPr>
                <w:rFonts w:asciiTheme="minorHAnsi" w:hAnsiTheme="minorHAnsi"/>
                <w:szCs w:val="22"/>
              </w:rPr>
              <w:t>Polymerase chain reaction</w:t>
            </w:r>
          </w:p>
        </w:tc>
      </w:tr>
      <w:tr w:rsidR="00970674" w14:paraId="2C781C2A" w14:textId="77777777" w:rsidTr="00970674">
        <w:tc>
          <w:tcPr>
            <w:tcW w:w="1550" w:type="dxa"/>
            <w:hideMark/>
          </w:tcPr>
          <w:p w14:paraId="664EDF3E" w14:textId="77777777" w:rsidR="00970674" w:rsidRPr="00E420FF" w:rsidRDefault="00970674" w:rsidP="00E420FF">
            <w:pPr>
              <w:rPr>
                <w:rFonts w:asciiTheme="minorHAnsi" w:hAnsiTheme="minorHAnsi"/>
                <w:kern w:val="16"/>
                <w:szCs w:val="22"/>
                <w:lang w:val="en-US"/>
              </w:rPr>
            </w:pPr>
            <w:r w:rsidRPr="00E420FF">
              <w:rPr>
                <w:rFonts w:asciiTheme="minorHAnsi" w:hAnsiTheme="minorHAnsi"/>
                <w:szCs w:val="22"/>
                <w:lang w:val="en-US"/>
              </w:rPr>
              <w:t xml:space="preserve">PD </w:t>
            </w:r>
          </w:p>
        </w:tc>
        <w:tc>
          <w:tcPr>
            <w:tcW w:w="7347" w:type="dxa"/>
            <w:hideMark/>
          </w:tcPr>
          <w:p w14:paraId="7AD730CD" w14:textId="0D473692" w:rsidR="00970674" w:rsidRPr="00E420FF" w:rsidRDefault="008572F8" w:rsidP="00E420FF">
            <w:pPr>
              <w:rPr>
                <w:rFonts w:asciiTheme="minorHAnsi" w:hAnsiTheme="minorHAnsi"/>
                <w:kern w:val="16"/>
                <w:szCs w:val="22"/>
                <w:lang w:val="en-US"/>
              </w:rPr>
            </w:pPr>
            <w:r w:rsidRPr="00E420FF">
              <w:rPr>
                <w:rFonts w:asciiTheme="minorHAnsi" w:hAnsiTheme="minorHAnsi"/>
                <w:szCs w:val="22"/>
                <w:lang w:val="en-US"/>
              </w:rPr>
              <w:t>Progressive disease</w:t>
            </w:r>
          </w:p>
        </w:tc>
      </w:tr>
      <w:tr w:rsidR="00970674" w14:paraId="101BDD1F" w14:textId="77777777" w:rsidTr="00970674">
        <w:tc>
          <w:tcPr>
            <w:tcW w:w="1550" w:type="dxa"/>
            <w:hideMark/>
          </w:tcPr>
          <w:p w14:paraId="16DD3C1F" w14:textId="77777777" w:rsidR="00970674" w:rsidRPr="00E420FF" w:rsidRDefault="00970674" w:rsidP="00E420FF">
            <w:pPr>
              <w:rPr>
                <w:rFonts w:asciiTheme="minorHAnsi" w:hAnsiTheme="minorHAnsi"/>
                <w:kern w:val="16"/>
                <w:szCs w:val="22"/>
              </w:rPr>
            </w:pPr>
            <w:r w:rsidRPr="00E420FF">
              <w:rPr>
                <w:rFonts w:asciiTheme="minorHAnsi" w:hAnsiTheme="minorHAnsi"/>
                <w:szCs w:val="22"/>
              </w:rPr>
              <w:t>PFU</w:t>
            </w:r>
          </w:p>
        </w:tc>
        <w:tc>
          <w:tcPr>
            <w:tcW w:w="7347" w:type="dxa"/>
            <w:hideMark/>
          </w:tcPr>
          <w:p w14:paraId="405821F7" w14:textId="6186EE19" w:rsidR="00970674" w:rsidRPr="00E420FF" w:rsidRDefault="008572F8" w:rsidP="00E420FF">
            <w:pPr>
              <w:rPr>
                <w:rFonts w:asciiTheme="minorHAnsi" w:hAnsiTheme="minorHAnsi"/>
                <w:kern w:val="16"/>
                <w:szCs w:val="22"/>
              </w:rPr>
            </w:pPr>
            <w:r w:rsidRPr="00E420FF">
              <w:rPr>
                <w:rFonts w:asciiTheme="minorHAnsi" w:hAnsiTheme="minorHAnsi"/>
                <w:szCs w:val="22"/>
              </w:rPr>
              <w:t>Plaque forming units</w:t>
            </w:r>
          </w:p>
        </w:tc>
      </w:tr>
      <w:tr w:rsidR="00970674" w14:paraId="57F33758" w14:textId="77777777" w:rsidTr="00970674">
        <w:tc>
          <w:tcPr>
            <w:tcW w:w="1550" w:type="dxa"/>
            <w:hideMark/>
          </w:tcPr>
          <w:p w14:paraId="17FEA051" w14:textId="77777777" w:rsidR="00970674" w:rsidRPr="00E420FF" w:rsidRDefault="00970674" w:rsidP="00E420FF">
            <w:pPr>
              <w:rPr>
                <w:rFonts w:asciiTheme="minorHAnsi" w:hAnsiTheme="minorHAnsi"/>
                <w:kern w:val="16"/>
                <w:szCs w:val="22"/>
              </w:rPr>
            </w:pPr>
            <w:r w:rsidRPr="00E420FF">
              <w:rPr>
                <w:rFonts w:asciiTheme="minorHAnsi" w:hAnsiTheme="minorHAnsi"/>
                <w:szCs w:val="22"/>
              </w:rPr>
              <w:t>PR</w:t>
            </w:r>
          </w:p>
        </w:tc>
        <w:tc>
          <w:tcPr>
            <w:tcW w:w="7347" w:type="dxa"/>
            <w:hideMark/>
          </w:tcPr>
          <w:p w14:paraId="1E5903CB" w14:textId="2D65059E" w:rsidR="00970674" w:rsidRPr="00E420FF" w:rsidRDefault="008572F8" w:rsidP="00E420FF">
            <w:pPr>
              <w:rPr>
                <w:rFonts w:asciiTheme="minorHAnsi" w:hAnsiTheme="minorHAnsi"/>
                <w:szCs w:val="22"/>
              </w:rPr>
            </w:pPr>
            <w:r w:rsidRPr="00E420FF">
              <w:rPr>
                <w:rFonts w:asciiTheme="minorHAnsi" w:hAnsiTheme="minorHAnsi"/>
                <w:szCs w:val="22"/>
              </w:rPr>
              <w:t>Partial response</w:t>
            </w:r>
          </w:p>
        </w:tc>
      </w:tr>
      <w:tr w:rsidR="00970674" w14:paraId="1EBD85C2" w14:textId="77777777" w:rsidTr="00970674">
        <w:tc>
          <w:tcPr>
            <w:tcW w:w="1550" w:type="dxa"/>
            <w:hideMark/>
          </w:tcPr>
          <w:p w14:paraId="289F1871" w14:textId="77777777" w:rsidR="00970674" w:rsidRPr="00E420FF" w:rsidRDefault="00970674" w:rsidP="00E420FF">
            <w:pPr>
              <w:rPr>
                <w:rFonts w:asciiTheme="minorHAnsi" w:hAnsiTheme="minorHAnsi"/>
                <w:kern w:val="16"/>
                <w:szCs w:val="22"/>
              </w:rPr>
            </w:pPr>
            <w:r w:rsidRPr="00E420FF">
              <w:rPr>
                <w:rFonts w:asciiTheme="minorHAnsi" w:hAnsiTheme="minorHAnsi"/>
                <w:szCs w:val="22"/>
              </w:rPr>
              <w:t>qPCR</w:t>
            </w:r>
          </w:p>
        </w:tc>
        <w:tc>
          <w:tcPr>
            <w:tcW w:w="7347" w:type="dxa"/>
            <w:hideMark/>
          </w:tcPr>
          <w:p w14:paraId="7A7968FC" w14:textId="5584038F" w:rsidR="00970674" w:rsidRPr="00E420FF" w:rsidRDefault="008572F8" w:rsidP="00E420FF">
            <w:pPr>
              <w:rPr>
                <w:rFonts w:asciiTheme="minorHAnsi" w:hAnsiTheme="minorHAnsi"/>
                <w:kern w:val="16"/>
                <w:szCs w:val="22"/>
              </w:rPr>
            </w:pPr>
            <w:r w:rsidRPr="00E420FF">
              <w:rPr>
                <w:rFonts w:asciiTheme="minorHAnsi" w:hAnsiTheme="minorHAnsi"/>
                <w:szCs w:val="22"/>
              </w:rPr>
              <w:t>Quantitative polymerase chain reaction</w:t>
            </w:r>
          </w:p>
        </w:tc>
      </w:tr>
      <w:tr w:rsidR="00970674" w14:paraId="1ABC5006" w14:textId="77777777" w:rsidTr="00970674">
        <w:tc>
          <w:tcPr>
            <w:tcW w:w="1550" w:type="dxa"/>
            <w:hideMark/>
          </w:tcPr>
          <w:p w14:paraId="67C120D7" w14:textId="77777777" w:rsidR="00970674" w:rsidRPr="00E420FF" w:rsidRDefault="00970674" w:rsidP="00E420FF">
            <w:pPr>
              <w:rPr>
                <w:rFonts w:asciiTheme="minorHAnsi" w:hAnsiTheme="minorHAnsi"/>
                <w:kern w:val="16"/>
                <w:szCs w:val="22"/>
                <w:lang w:val="en-US"/>
              </w:rPr>
            </w:pPr>
            <w:r w:rsidRPr="00E420FF">
              <w:rPr>
                <w:rFonts w:asciiTheme="minorHAnsi" w:hAnsiTheme="minorHAnsi"/>
                <w:szCs w:val="22"/>
                <w:lang w:val="en-US"/>
              </w:rPr>
              <w:lastRenderedPageBreak/>
              <w:t xml:space="preserve">RECIST </w:t>
            </w:r>
          </w:p>
        </w:tc>
        <w:tc>
          <w:tcPr>
            <w:tcW w:w="7347" w:type="dxa"/>
            <w:hideMark/>
          </w:tcPr>
          <w:p w14:paraId="7715CF3D" w14:textId="77777777" w:rsidR="00970674" w:rsidRPr="00E420FF" w:rsidRDefault="006C1597" w:rsidP="001A4B22">
            <w:pPr>
              <w:rPr>
                <w:rFonts w:asciiTheme="minorHAnsi" w:hAnsiTheme="minorHAnsi"/>
                <w:kern w:val="16"/>
                <w:szCs w:val="22"/>
                <w:lang w:val="en-US"/>
              </w:rPr>
            </w:pPr>
            <w:r w:rsidRPr="00E420FF">
              <w:rPr>
                <w:rFonts w:asciiTheme="minorHAnsi" w:hAnsiTheme="minorHAnsi"/>
                <w:szCs w:val="22"/>
                <w:lang w:val="en-US"/>
              </w:rPr>
              <w:t xml:space="preserve">Response Evaluation Criteria In Solid </w:t>
            </w:r>
            <w:r w:rsidR="001A4B22">
              <w:rPr>
                <w:rFonts w:asciiTheme="minorHAnsi" w:hAnsiTheme="minorHAnsi"/>
                <w:szCs w:val="22"/>
                <w:lang w:val="en-US"/>
              </w:rPr>
              <w:t>Tumo</w:t>
            </w:r>
            <w:r>
              <w:rPr>
                <w:rFonts w:asciiTheme="minorHAnsi" w:hAnsiTheme="minorHAnsi"/>
                <w:szCs w:val="22"/>
                <w:lang w:val="en-US"/>
              </w:rPr>
              <w:t>r</w:t>
            </w:r>
            <w:r w:rsidRPr="00E420FF">
              <w:rPr>
                <w:rFonts w:asciiTheme="minorHAnsi" w:hAnsiTheme="minorHAnsi"/>
                <w:szCs w:val="22"/>
                <w:lang w:val="en-US"/>
              </w:rPr>
              <w:t>s</w:t>
            </w:r>
          </w:p>
        </w:tc>
      </w:tr>
      <w:tr w:rsidR="00970674" w14:paraId="08D24E71" w14:textId="77777777" w:rsidTr="00970674">
        <w:tc>
          <w:tcPr>
            <w:tcW w:w="1550" w:type="dxa"/>
            <w:hideMark/>
          </w:tcPr>
          <w:p w14:paraId="4556A935" w14:textId="77777777" w:rsidR="00970674" w:rsidRPr="00E420FF" w:rsidRDefault="00970674" w:rsidP="00E420FF">
            <w:pPr>
              <w:rPr>
                <w:rFonts w:asciiTheme="minorHAnsi" w:hAnsiTheme="minorHAnsi"/>
                <w:kern w:val="16"/>
                <w:szCs w:val="22"/>
              </w:rPr>
            </w:pPr>
            <w:r w:rsidRPr="00E420FF">
              <w:rPr>
                <w:rFonts w:asciiTheme="minorHAnsi" w:hAnsiTheme="minorHAnsi"/>
                <w:szCs w:val="22"/>
              </w:rPr>
              <w:t>SCCHN</w:t>
            </w:r>
          </w:p>
        </w:tc>
        <w:tc>
          <w:tcPr>
            <w:tcW w:w="7347" w:type="dxa"/>
            <w:hideMark/>
          </w:tcPr>
          <w:p w14:paraId="28A6247B" w14:textId="77777777" w:rsidR="00970674" w:rsidRPr="00E420FF" w:rsidRDefault="006C1597" w:rsidP="00E420FF">
            <w:pPr>
              <w:rPr>
                <w:rFonts w:asciiTheme="minorHAnsi" w:hAnsiTheme="minorHAnsi"/>
                <w:kern w:val="16"/>
                <w:szCs w:val="22"/>
              </w:rPr>
            </w:pPr>
            <w:r w:rsidRPr="00E420FF">
              <w:rPr>
                <w:rFonts w:asciiTheme="minorHAnsi" w:hAnsiTheme="minorHAnsi"/>
                <w:szCs w:val="22"/>
              </w:rPr>
              <w:t>Squamous Cell Carcinoma Of The Head And Neck</w:t>
            </w:r>
          </w:p>
        </w:tc>
      </w:tr>
      <w:tr w:rsidR="00970674" w14:paraId="78F8D418" w14:textId="77777777" w:rsidTr="00970674">
        <w:tc>
          <w:tcPr>
            <w:tcW w:w="1550" w:type="dxa"/>
            <w:hideMark/>
          </w:tcPr>
          <w:p w14:paraId="0717EAAB" w14:textId="77777777" w:rsidR="00970674" w:rsidRPr="00E420FF" w:rsidRDefault="006C1597" w:rsidP="00E420FF">
            <w:pPr>
              <w:rPr>
                <w:rFonts w:asciiTheme="minorHAnsi" w:hAnsiTheme="minorHAnsi"/>
                <w:kern w:val="16"/>
                <w:szCs w:val="22"/>
              </w:rPr>
            </w:pPr>
            <w:r>
              <w:rPr>
                <w:rFonts w:asciiTheme="minorHAnsi" w:hAnsiTheme="minorHAnsi"/>
                <w:szCs w:val="22"/>
              </w:rPr>
              <w:t>SC</w:t>
            </w:r>
          </w:p>
        </w:tc>
        <w:tc>
          <w:tcPr>
            <w:tcW w:w="7347" w:type="dxa"/>
            <w:hideMark/>
          </w:tcPr>
          <w:p w14:paraId="3B925CA4" w14:textId="6539FABA" w:rsidR="00970674" w:rsidRPr="00E420FF" w:rsidRDefault="008572F8" w:rsidP="00E420FF">
            <w:pPr>
              <w:rPr>
                <w:rFonts w:asciiTheme="minorHAnsi" w:hAnsiTheme="minorHAnsi"/>
                <w:kern w:val="16"/>
                <w:szCs w:val="22"/>
              </w:rPr>
            </w:pPr>
            <w:r w:rsidRPr="00E420FF">
              <w:rPr>
                <w:rFonts w:asciiTheme="minorHAnsi" w:hAnsiTheme="minorHAnsi"/>
                <w:szCs w:val="22"/>
              </w:rPr>
              <w:t>Sub</w:t>
            </w:r>
            <w:r w:rsidR="00970674" w:rsidRPr="00E420FF">
              <w:rPr>
                <w:rFonts w:asciiTheme="minorHAnsi" w:hAnsiTheme="minorHAnsi"/>
                <w:szCs w:val="22"/>
              </w:rPr>
              <w:t>cutaneous</w:t>
            </w:r>
          </w:p>
        </w:tc>
      </w:tr>
      <w:tr w:rsidR="00970674" w14:paraId="69EEB43D" w14:textId="77777777" w:rsidTr="00970674">
        <w:tc>
          <w:tcPr>
            <w:tcW w:w="1550" w:type="dxa"/>
            <w:hideMark/>
          </w:tcPr>
          <w:p w14:paraId="7CED98B9" w14:textId="77777777" w:rsidR="00970674" w:rsidRPr="00E420FF" w:rsidRDefault="00970674" w:rsidP="00E420FF">
            <w:pPr>
              <w:rPr>
                <w:rFonts w:asciiTheme="minorHAnsi" w:hAnsiTheme="minorHAnsi"/>
                <w:kern w:val="16"/>
                <w:szCs w:val="22"/>
                <w:lang w:val="en-US"/>
              </w:rPr>
            </w:pPr>
            <w:r w:rsidRPr="00E420FF">
              <w:rPr>
                <w:rFonts w:asciiTheme="minorHAnsi" w:hAnsiTheme="minorHAnsi"/>
                <w:szCs w:val="22"/>
                <w:lang w:val="en-US"/>
              </w:rPr>
              <w:t xml:space="preserve">SD </w:t>
            </w:r>
          </w:p>
        </w:tc>
        <w:tc>
          <w:tcPr>
            <w:tcW w:w="7347" w:type="dxa"/>
            <w:hideMark/>
          </w:tcPr>
          <w:p w14:paraId="4208E2B9" w14:textId="52C58932" w:rsidR="00970674" w:rsidRPr="00E420FF" w:rsidRDefault="008572F8" w:rsidP="00E420FF">
            <w:pPr>
              <w:rPr>
                <w:rFonts w:asciiTheme="minorHAnsi" w:hAnsiTheme="minorHAnsi"/>
                <w:kern w:val="16"/>
                <w:szCs w:val="22"/>
                <w:lang w:val="en-US"/>
              </w:rPr>
            </w:pPr>
            <w:r w:rsidRPr="00E420FF">
              <w:rPr>
                <w:rFonts w:asciiTheme="minorHAnsi" w:hAnsiTheme="minorHAnsi"/>
                <w:szCs w:val="22"/>
                <w:lang w:val="en-US"/>
              </w:rPr>
              <w:t>Stable disease</w:t>
            </w:r>
          </w:p>
        </w:tc>
      </w:tr>
      <w:tr w:rsidR="00970674" w14:paraId="4C8A104D" w14:textId="77777777" w:rsidTr="00970674">
        <w:tc>
          <w:tcPr>
            <w:tcW w:w="1550" w:type="dxa"/>
            <w:hideMark/>
          </w:tcPr>
          <w:p w14:paraId="05856A9F" w14:textId="77777777" w:rsidR="00970674" w:rsidRPr="00E420FF" w:rsidRDefault="00970674" w:rsidP="00E420FF">
            <w:pPr>
              <w:rPr>
                <w:rFonts w:asciiTheme="minorHAnsi" w:hAnsiTheme="minorHAnsi"/>
                <w:kern w:val="16"/>
                <w:szCs w:val="22"/>
                <w:lang w:val="en-US"/>
              </w:rPr>
            </w:pPr>
            <w:r w:rsidRPr="00E420FF">
              <w:rPr>
                <w:rFonts w:asciiTheme="minorHAnsi" w:hAnsiTheme="minorHAnsi"/>
                <w:szCs w:val="22"/>
                <w:lang w:val="en-US"/>
              </w:rPr>
              <w:t xml:space="preserve">SD </w:t>
            </w:r>
          </w:p>
        </w:tc>
        <w:tc>
          <w:tcPr>
            <w:tcW w:w="7347" w:type="dxa"/>
            <w:hideMark/>
          </w:tcPr>
          <w:p w14:paraId="6A57FCCC" w14:textId="00A1C255" w:rsidR="00970674" w:rsidRPr="00E420FF" w:rsidRDefault="008572F8" w:rsidP="00E420FF">
            <w:pPr>
              <w:rPr>
                <w:rFonts w:asciiTheme="minorHAnsi" w:hAnsiTheme="minorHAnsi"/>
                <w:kern w:val="16"/>
                <w:szCs w:val="22"/>
                <w:lang w:val="en-US"/>
              </w:rPr>
            </w:pPr>
            <w:r w:rsidRPr="00E420FF">
              <w:rPr>
                <w:rFonts w:asciiTheme="minorHAnsi" w:hAnsiTheme="minorHAnsi"/>
                <w:szCs w:val="22"/>
                <w:lang w:val="en-US"/>
              </w:rPr>
              <w:t>Standard deviation</w:t>
            </w:r>
          </w:p>
        </w:tc>
      </w:tr>
      <w:tr w:rsidR="00970674" w14:paraId="0FBFBD40" w14:textId="77777777" w:rsidTr="00970674">
        <w:tc>
          <w:tcPr>
            <w:tcW w:w="1550" w:type="dxa"/>
            <w:hideMark/>
          </w:tcPr>
          <w:p w14:paraId="67A02CEB" w14:textId="77777777" w:rsidR="00970674" w:rsidRPr="00E420FF" w:rsidRDefault="00970674" w:rsidP="00E420FF">
            <w:pPr>
              <w:rPr>
                <w:rFonts w:asciiTheme="minorHAnsi" w:hAnsiTheme="minorHAnsi"/>
                <w:kern w:val="16"/>
                <w:szCs w:val="22"/>
                <w:lang w:val="en-US"/>
              </w:rPr>
            </w:pPr>
            <w:r w:rsidRPr="00E420FF">
              <w:rPr>
                <w:rFonts w:asciiTheme="minorHAnsi" w:hAnsiTheme="minorHAnsi"/>
                <w:szCs w:val="22"/>
                <w:lang w:val="en-US"/>
              </w:rPr>
              <w:t xml:space="preserve">SOC </w:t>
            </w:r>
          </w:p>
        </w:tc>
        <w:tc>
          <w:tcPr>
            <w:tcW w:w="7347" w:type="dxa"/>
            <w:hideMark/>
          </w:tcPr>
          <w:p w14:paraId="06E81023" w14:textId="638F7297" w:rsidR="00970674" w:rsidRPr="00E420FF" w:rsidRDefault="008572F8" w:rsidP="00E420FF">
            <w:pPr>
              <w:rPr>
                <w:rFonts w:asciiTheme="minorHAnsi" w:hAnsiTheme="minorHAnsi"/>
                <w:kern w:val="16"/>
                <w:szCs w:val="22"/>
                <w:lang w:val="en-US"/>
              </w:rPr>
            </w:pPr>
            <w:r w:rsidRPr="00E420FF">
              <w:rPr>
                <w:rFonts w:asciiTheme="minorHAnsi" w:hAnsiTheme="minorHAnsi"/>
                <w:szCs w:val="22"/>
                <w:lang w:val="en-US"/>
              </w:rPr>
              <w:t>Standard of care</w:t>
            </w:r>
          </w:p>
        </w:tc>
      </w:tr>
      <w:tr w:rsidR="00970674" w14:paraId="7558A12C" w14:textId="77777777" w:rsidTr="00970674">
        <w:tc>
          <w:tcPr>
            <w:tcW w:w="1550" w:type="dxa"/>
            <w:hideMark/>
          </w:tcPr>
          <w:p w14:paraId="49CBEC02" w14:textId="77777777" w:rsidR="00970674" w:rsidRPr="00E420FF" w:rsidRDefault="00970674" w:rsidP="00E420FF">
            <w:pPr>
              <w:rPr>
                <w:rFonts w:asciiTheme="minorHAnsi" w:hAnsiTheme="minorHAnsi"/>
                <w:kern w:val="16"/>
                <w:szCs w:val="22"/>
                <w:lang w:val="en-US"/>
              </w:rPr>
            </w:pPr>
            <w:r w:rsidRPr="00E420FF">
              <w:rPr>
                <w:rFonts w:asciiTheme="minorHAnsi" w:hAnsiTheme="minorHAnsi"/>
                <w:szCs w:val="22"/>
                <w:lang w:val="en-US"/>
              </w:rPr>
              <w:t xml:space="preserve">UK </w:t>
            </w:r>
          </w:p>
        </w:tc>
        <w:tc>
          <w:tcPr>
            <w:tcW w:w="7347" w:type="dxa"/>
            <w:hideMark/>
          </w:tcPr>
          <w:p w14:paraId="2F29E590" w14:textId="60D3BA14" w:rsidR="00970674" w:rsidRPr="00E420FF" w:rsidRDefault="008572F8" w:rsidP="00E420FF">
            <w:pPr>
              <w:rPr>
                <w:rFonts w:asciiTheme="minorHAnsi" w:hAnsiTheme="minorHAnsi"/>
                <w:kern w:val="16"/>
                <w:szCs w:val="22"/>
                <w:lang w:val="en-US"/>
              </w:rPr>
            </w:pPr>
            <w:r w:rsidRPr="00E420FF">
              <w:rPr>
                <w:rFonts w:asciiTheme="minorHAnsi" w:hAnsiTheme="minorHAnsi"/>
                <w:szCs w:val="22"/>
                <w:lang w:val="en-US"/>
              </w:rPr>
              <w:t>United kingdom</w:t>
            </w:r>
          </w:p>
        </w:tc>
      </w:tr>
      <w:tr w:rsidR="00970674" w14:paraId="377324B5" w14:textId="77777777" w:rsidTr="00970674">
        <w:tc>
          <w:tcPr>
            <w:tcW w:w="1550" w:type="dxa"/>
            <w:hideMark/>
          </w:tcPr>
          <w:p w14:paraId="642C0959" w14:textId="77777777" w:rsidR="00970674" w:rsidRPr="00E420FF" w:rsidRDefault="00970674" w:rsidP="00E420FF">
            <w:pPr>
              <w:rPr>
                <w:rFonts w:asciiTheme="minorHAnsi" w:hAnsiTheme="minorHAnsi"/>
                <w:kern w:val="16"/>
                <w:szCs w:val="22"/>
                <w:lang w:val="en-US"/>
              </w:rPr>
            </w:pPr>
            <w:r w:rsidRPr="00E420FF">
              <w:rPr>
                <w:rFonts w:asciiTheme="minorHAnsi" w:hAnsiTheme="minorHAnsi"/>
                <w:szCs w:val="22"/>
                <w:lang w:val="en-US"/>
              </w:rPr>
              <w:t xml:space="preserve">ULN </w:t>
            </w:r>
          </w:p>
        </w:tc>
        <w:tc>
          <w:tcPr>
            <w:tcW w:w="7347" w:type="dxa"/>
            <w:hideMark/>
          </w:tcPr>
          <w:p w14:paraId="086F789F" w14:textId="68160B47" w:rsidR="00970674" w:rsidRPr="00E420FF" w:rsidRDefault="008572F8" w:rsidP="00E420FF">
            <w:pPr>
              <w:rPr>
                <w:rFonts w:asciiTheme="minorHAnsi" w:hAnsiTheme="minorHAnsi"/>
                <w:kern w:val="16"/>
                <w:szCs w:val="22"/>
                <w:lang w:val="en-US"/>
              </w:rPr>
            </w:pPr>
            <w:r w:rsidRPr="00E420FF">
              <w:rPr>
                <w:rFonts w:asciiTheme="minorHAnsi" w:hAnsiTheme="minorHAnsi"/>
                <w:szCs w:val="22"/>
                <w:lang w:val="en-US"/>
              </w:rPr>
              <w:t>Upper limit of normal range</w:t>
            </w:r>
          </w:p>
        </w:tc>
      </w:tr>
      <w:tr w:rsidR="00970674" w14:paraId="67DE5E97" w14:textId="77777777" w:rsidTr="00970674">
        <w:tc>
          <w:tcPr>
            <w:tcW w:w="1550" w:type="dxa"/>
            <w:hideMark/>
          </w:tcPr>
          <w:p w14:paraId="57540F64" w14:textId="77777777" w:rsidR="00970674" w:rsidRPr="00E420FF" w:rsidRDefault="00970674" w:rsidP="00E420FF">
            <w:pPr>
              <w:rPr>
                <w:rFonts w:asciiTheme="minorHAnsi" w:hAnsiTheme="minorHAnsi"/>
                <w:kern w:val="16"/>
                <w:szCs w:val="22"/>
                <w:lang w:val="en-US"/>
              </w:rPr>
            </w:pPr>
            <w:r w:rsidRPr="00E420FF">
              <w:rPr>
                <w:rFonts w:asciiTheme="minorHAnsi" w:hAnsiTheme="minorHAnsi"/>
                <w:szCs w:val="22"/>
                <w:lang w:val="en-US"/>
              </w:rPr>
              <w:t xml:space="preserve">US </w:t>
            </w:r>
          </w:p>
        </w:tc>
        <w:tc>
          <w:tcPr>
            <w:tcW w:w="7347" w:type="dxa"/>
            <w:hideMark/>
          </w:tcPr>
          <w:p w14:paraId="4EDF4EC9" w14:textId="77777777" w:rsidR="00970674" w:rsidRPr="00E420FF" w:rsidRDefault="00970674" w:rsidP="00E420FF">
            <w:pPr>
              <w:rPr>
                <w:rFonts w:asciiTheme="minorHAnsi" w:hAnsiTheme="minorHAnsi"/>
                <w:kern w:val="16"/>
                <w:szCs w:val="22"/>
                <w:lang w:val="en-US"/>
              </w:rPr>
            </w:pPr>
            <w:r w:rsidRPr="00E420FF">
              <w:rPr>
                <w:rFonts w:asciiTheme="minorHAnsi" w:hAnsiTheme="minorHAnsi"/>
                <w:szCs w:val="22"/>
                <w:lang w:val="en-US"/>
              </w:rPr>
              <w:t>United States</w:t>
            </w:r>
          </w:p>
        </w:tc>
      </w:tr>
      <w:tr w:rsidR="00970674" w14:paraId="0F0E707B" w14:textId="77777777" w:rsidTr="00970674">
        <w:tc>
          <w:tcPr>
            <w:tcW w:w="1550" w:type="dxa"/>
            <w:hideMark/>
          </w:tcPr>
          <w:p w14:paraId="58DFC46F" w14:textId="77777777" w:rsidR="00970674" w:rsidRPr="00E420FF" w:rsidRDefault="00970674" w:rsidP="00E420FF">
            <w:pPr>
              <w:rPr>
                <w:rFonts w:asciiTheme="minorHAnsi" w:hAnsiTheme="minorHAnsi"/>
                <w:kern w:val="16"/>
                <w:szCs w:val="22"/>
                <w:lang w:val="en-US"/>
              </w:rPr>
            </w:pPr>
            <w:r w:rsidRPr="00E420FF">
              <w:rPr>
                <w:rFonts w:asciiTheme="minorHAnsi" w:hAnsiTheme="minorHAnsi"/>
                <w:szCs w:val="22"/>
                <w:lang w:val="en-US"/>
              </w:rPr>
              <w:t xml:space="preserve">WBC </w:t>
            </w:r>
          </w:p>
        </w:tc>
        <w:tc>
          <w:tcPr>
            <w:tcW w:w="7347" w:type="dxa"/>
            <w:hideMark/>
          </w:tcPr>
          <w:p w14:paraId="1B7FC0A6" w14:textId="27B11619" w:rsidR="00970674" w:rsidRPr="00E420FF" w:rsidRDefault="008572F8" w:rsidP="00E420FF">
            <w:pPr>
              <w:rPr>
                <w:rFonts w:asciiTheme="minorHAnsi" w:hAnsiTheme="minorHAnsi"/>
                <w:kern w:val="16"/>
                <w:szCs w:val="22"/>
                <w:lang w:val="en-US"/>
              </w:rPr>
            </w:pPr>
            <w:r w:rsidRPr="00E420FF">
              <w:rPr>
                <w:rFonts w:asciiTheme="minorHAnsi" w:hAnsiTheme="minorHAnsi"/>
                <w:szCs w:val="22"/>
                <w:lang w:val="en-US"/>
              </w:rPr>
              <w:t>White blood cell count</w:t>
            </w:r>
          </w:p>
        </w:tc>
      </w:tr>
      <w:tr w:rsidR="00970674" w14:paraId="2FED1C2B" w14:textId="77777777" w:rsidTr="00970674">
        <w:tc>
          <w:tcPr>
            <w:tcW w:w="1550" w:type="dxa"/>
            <w:hideMark/>
          </w:tcPr>
          <w:p w14:paraId="37FDDFCC" w14:textId="77777777" w:rsidR="00970674" w:rsidRPr="00E420FF" w:rsidRDefault="00970674" w:rsidP="00E420FF">
            <w:pPr>
              <w:rPr>
                <w:rFonts w:asciiTheme="minorHAnsi" w:hAnsiTheme="minorHAnsi"/>
                <w:kern w:val="16"/>
                <w:szCs w:val="22"/>
                <w:lang w:val="en-US"/>
              </w:rPr>
            </w:pPr>
            <w:r w:rsidRPr="00E420FF">
              <w:rPr>
                <w:rFonts w:asciiTheme="minorHAnsi" w:hAnsiTheme="minorHAnsi"/>
                <w:szCs w:val="22"/>
                <w:lang w:val="en-US"/>
              </w:rPr>
              <w:t xml:space="preserve">WHO </w:t>
            </w:r>
          </w:p>
        </w:tc>
        <w:tc>
          <w:tcPr>
            <w:tcW w:w="7347" w:type="dxa"/>
            <w:hideMark/>
          </w:tcPr>
          <w:p w14:paraId="217F6908" w14:textId="77777777" w:rsidR="00970674" w:rsidRPr="00E420FF" w:rsidRDefault="00970674" w:rsidP="00E420FF">
            <w:pPr>
              <w:rPr>
                <w:rFonts w:asciiTheme="minorHAnsi" w:hAnsiTheme="minorHAnsi"/>
                <w:kern w:val="16"/>
                <w:szCs w:val="22"/>
              </w:rPr>
            </w:pPr>
            <w:r w:rsidRPr="00E420FF">
              <w:rPr>
                <w:rFonts w:asciiTheme="minorHAnsi" w:hAnsiTheme="minorHAnsi"/>
                <w:szCs w:val="22"/>
                <w:lang w:val="en-US"/>
              </w:rPr>
              <w:t xml:space="preserve">World Health </w:t>
            </w:r>
            <w:r w:rsidR="00E420FF">
              <w:rPr>
                <w:rFonts w:asciiTheme="minorHAnsi" w:hAnsiTheme="minorHAnsi"/>
                <w:szCs w:val="22"/>
                <w:lang w:val="en-US"/>
              </w:rPr>
              <w:t>Organiz</w:t>
            </w:r>
            <w:r w:rsidRPr="00E420FF">
              <w:rPr>
                <w:rFonts w:asciiTheme="minorHAnsi" w:hAnsiTheme="minorHAnsi"/>
                <w:szCs w:val="22"/>
                <w:lang w:val="en-US"/>
              </w:rPr>
              <w:t>ation</w:t>
            </w:r>
          </w:p>
        </w:tc>
      </w:tr>
      <w:tr w:rsidR="00970674" w14:paraId="533F31EF" w14:textId="77777777" w:rsidTr="00970674">
        <w:tc>
          <w:tcPr>
            <w:tcW w:w="1550" w:type="dxa"/>
            <w:hideMark/>
          </w:tcPr>
          <w:p w14:paraId="365E634E" w14:textId="77777777" w:rsidR="00970674" w:rsidRPr="00E420FF" w:rsidRDefault="00970674" w:rsidP="00E420FF">
            <w:pPr>
              <w:rPr>
                <w:rFonts w:asciiTheme="minorHAnsi" w:hAnsiTheme="minorHAnsi"/>
                <w:kern w:val="16"/>
                <w:szCs w:val="22"/>
              </w:rPr>
            </w:pPr>
            <w:r w:rsidRPr="00E420FF">
              <w:rPr>
                <w:rFonts w:asciiTheme="minorHAnsi" w:hAnsiTheme="minorHAnsi"/>
                <w:szCs w:val="22"/>
              </w:rPr>
              <w:t>WT</w:t>
            </w:r>
          </w:p>
        </w:tc>
        <w:tc>
          <w:tcPr>
            <w:tcW w:w="7347" w:type="dxa"/>
            <w:hideMark/>
          </w:tcPr>
          <w:p w14:paraId="5E147E54" w14:textId="34BFB38F" w:rsidR="00970674" w:rsidRPr="00E420FF" w:rsidRDefault="008572F8" w:rsidP="00E420FF">
            <w:pPr>
              <w:rPr>
                <w:rFonts w:asciiTheme="minorHAnsi" w:hAnsiTheme="minorHAnsi"/>
                <w:kern w:val="16"/>
                <w:szCs w:val="22"/>
              </w:rPr>
            </w:pPr>
            <w:r w:rsidRPr="00E420FF">
              <w:rPr>
                <w:rFonts w:asciiTheme="minorHAnsi" w:hAnsiTheme="minorHAnsi"/>
                <w:szCs w:val="22"/>
              </w:rPr>
              <w:t>Wild</w:t>
            </w:r>
            <w:r w:rsidR="00970674" w:rsidRPr="00E420FF">
              <w:rPr>
                <w:rFonts w:asciiTheme="minorHAnsi" w:hAnsiTheme="minorHAnsi"/>
                <w:szCs w:val="22"/>
              </w:rPr>
              <w:t>-type</w:t>
            </w:r>
          </w:p>
        </w:tc>
      </w:tr>
    </w:tbl>
    <w:p w14:paraId="3A6B7A5C" w14:textId="77777777" w:rsidR="0094614A" w:rsidRDefault="0094614A" w:rsidP="0043797D">
      <w:pPr>
        <w:pStyle w:val="Heading2"/>
        <w:pageBreakBefore/>
        <w:rPr>
          <w:lang w:eastAsia="en-AU"/>
        </w:rPr>
      </w:pPr>
      <w:bookmarkStart w:id="10" w:name="_Toc452631075"/>
      <w:r>
        <w:rPr>
          <w:lang w:eastAsia="en-AU"/>
        </w:rPr>
        <w:lastRenderedPageBreak/>
        <w:t>Introduction</w:t>
      </w:r>
      <w:bookmarkEnd w:id="10"/>
    </w:p>
    <w:p w14:paraId="484201C6" w14:textId="77777777" w:rsidR="00970674" w:rsidRDefault="00970674" w:rsidP="00970674">
      <w:pPr>
        <w:rPr>
          <w:lang w:val="en-US"/>
        </w:rPr>
      </w:pPr>
      <w:r>
        <w:t xml:space="preserve">This is a submission to register a </w:t>
      </w:r>
      <w:r>
        <w:rPr>
          <w:lang w:val="en-US"/>
        </w:rPr>
        <w:t>new chemical entity, an oncolytic immunotherapy derived from the wild-type HSV-1 genome (newly isolated strain JS1; ECAAC Accession Number 01010209). It is based on an attenuated non</w:t>
      </w:r>
      <w:r w:rsidR="00E420FF">
        <w:rPr>
          <w:lang w:val="en-US"/>
        </w:rPr>
        <w:t>-</w:t>
      </w:r>
      <w:r>
        <w:rPr>
          <w:lang w:val="en-US"/>
        </w:rPr>
        <w:t xml:space="preserve">integrating HSV-1 (a non-integrating double-stranded DNA virus) that is designed to selectively replicate in </w:t>
      </w:r>
      <w:proofErr w:type="spellStart"/>
      <w:r w:rsidR="00BA348C">
        <w:rPr>
          <w:lang w:val="en-US"/>
        </w:rPr>
        <w:t>tumour</w:t>
      </w:r>
      <w:proofErr w:type="spellEnd"/>
      <w:r>
        <w:rPr>
          <w:lang w:val="en-US"/>
        </w:rPr>
        <w:t xml:space="preserve"> tissues. In particular, genes that encode for </w:t>
      </w:r>
      <w:proofErr w:type="spellStart"/>
      <w:r>
        <w:rPr>
          <w:lang w:val="en-US"/>
        </w:rPr>
        <w:t>neurovirulence</w:t>
      </w:r>
      <w:proofErr w:type="spellEnd"/>
      <w:r>
        <w:rPr>
          <w:lang w:val="en-US"/>
        </w:rPr>
        <w:t xml:space="preserve"> (both copies of the genes encoding ICP34.5) have been removed and replaced with coding sequences for GM-CSF to enhance the systemic response to </w:t>
      </w:r>
      <w:proofErr w:type="spellStart"/>
      <w:r w:rsidR="00BA348C">
        <w:rPr>
          <w:lang w:val="en-US"/>
        </w:rPr>
        <w:t>tumour</w:t>
      </w:r>
      <w:proofErr w:type="spellEnd"/>
      <w:r>
        <w:rPr>
          <w:lang w:val="en-US"/>
        </w:rPr>
        <w:t xml:space="preserve"> antigens released during virus replication. </w:t>
      </w:r>
    </w:p>
    <w:p w14:paraId="274AE76B" w14:textId="77777777" w:rsidR="00970674" w:rsidRDefault="00970674" w:rsidP="00970674">
      <w:pPr>
        <w:rPr>
          <w:lang w:val="en-US"/>
        </w:rPr>
      </w:pPr>
      <w:r>
        <w:t xml:space="preserve">The proposed indication is </w:t>
      </w:r>
      <w:r>
        <w:rPr>
          <w:iCs/>
          <w:lang w:val="en-US"/>
        </w:rPr>
        <w:t>the treatment of melanoma that is regionally or distantly metastatic.</w:t>
      </w:r>
      <w:r>
        <w:rPr>
          <w:i/>
          <w:iCs/>
          <w:lang w:val="en-US"/>
        </w:rPr>
        <w:t xml:space="preserve"> </w:t>
      </w:r>
    </w:p>
    <w:p w14:paraId="7F9CA937" w14:textId="77777777" w:rsidR="00586F98" w:rsidRDefault="00586F98" w:rsidP="006B4C50">
      <w:pPr>
        <w:pStyle w:val="Heading2"/>
      </w:pPr>
      <w:bookmarkStart w:id="11" w:name="_Toc452631076"/>
      <w:r w:rsidRPr="0094614A">
        <w:t>Clinical rationale</w:t>
      </w:r>
      <w:bookmarkEnd w:id="11"/>
    </w:p>
    <w:p w14:paraId="3814AFC6" w14:textId="77777777" w:rsidR="00970674" w:rsidRDefault="00970674" w:rsidP="00E420FF">
      <w:pPr>
        <w:rPr>
          <w:lang w:val="en-US"/>
        </w:rPr>
      </w:pPr>
      <w:r>
        <w:rPr>
          <w:lang w:val="en-US"/>
        </w:rPr>
        <w:t xml:space="preserve">The </w:t>
      </w:r>
      <w:r w:rsidR="00E420FF">
        <w:rPr>
          <w:lang w:val="en-US"/>
        </w:rPr>
        <w:t>s</w:t>
      </w:r>
      <w:r>
        <w:rPr>
          <w:lang w:val="en-US"/>
        </w:rPr>
        <w:t xml:space="preserve">ponsor’s Clinical Overview states: In Australia 12,500 people (50 per 100,000) are diagnosed with melanoma and 1560 people (6 per 100,000) die of melanoma annually. Melanoma is responsible for 3.6% of total cancer deaths in Australia and the number of new cases of melanoma in Australia has been increasing for the last 30 years. </w:t>
      </w:r>
    </w:p>
    <w:p w14:paraId="0CA7FE19" w14:textId="77777777" w:rsidR="00970674" w:rsidRDefault="00970674" w:rsidP="00E420FF">
      <w:pPr>
        <w:rPr>
          <w:lang w:val="en-US"/>
        </w:rPr>
      </w:pPr>
      <w:r>
        <w:rPr>
          <w:lang w:val="en-US"/>
        </w:rPr>
        <w:t>Recently, several novel therapies for advanced melanoma have been approved: a v-</w:t>
      </w:r>
      <w:proofErr w:type="spellStart"/>
      <w:r>
        <w:rPr>
          <w:lang w:val="en-US"/>
        </w:rPr>
        <w:t>raf</w:t>
      </w:r>
      <w:proofErr w:type="spellEnd"/>
      <w:r>
        <w:rPr>
          <w:lang w:val="en-US"/>
        </w:rPr>
        <w:t xml:space="preserve"> murine sarcoma viral oncogene homolog </w:t>
      </w:r>
      <w:proofErr w:type="spellStart"/>
      <w:r>
        <w:rPr>
          <w:lang w:val="en-US"/>
        </w:rPr>
        <w:t>Bl</w:t>
      </w:r>
      <w:proofErr w:type="spellEnd"/>
      <w:r>
        <w:rPr>
          <w:lang w:val="en-US"/>
        </w:rPr>
        <w:t xml:space="preserve"> (BRAF) inhibitor, </w:t>
      </w:r>
      <w:proofErr w:type="spellStart"/>
      <w:r>
        <w:rPr>
          <w:lang w:val="en-US"/>
        </w:rPr>
        <w:t>vemurafenib</w:t>
      </w:r>
      <w:proofErr w:type="spellEnd"/>
      <w:r>
        <w:rPr>
          <w:lang w:val="en-US"/>
        </w:rPr>
        <w:t xml:space="preserve"> (</w:t>
      </w:r>
      <w:proofErr w:type="spellStart"/>
      <w:r>
        <w:rPr>
          <w:lang w:val="en-US"/>
        </w:rPr>
        <w:t>Zelbora</w:t>
      </w:r>
      <w:proofErr w:type="spellEnd"/>
      <w:r>
        <w:rPr>
          <w:lang w:val="en-US"/>
        </w:rPr>
        <w:t xml:space="preserve">®); an immune stimulatory agent, </w:t>
      </w:r>
      <w:proofErr w:type="spellStart"/>
      <w:r>
        <w:rPr>
          <w:lang w:val="en-US"/>
        </w:rPr>
        <w:t>ipilimumab</w:t>
      </w:r>
      <w:proofErr w:type="spellEnd"/>
      <w:r>
        <w:rPr>
          <w:lang w:val="en-US"/>
        </w:rPr>
        <w:t xml:space="preserve"> (</w:t>
      </w:r>
      <w:proofErr w:type="spellStart"/>
      <w:r>
        <w:rPr>
          <w:lang w:val="en-US"/>
        </w:rPr>
        <w:t>Yervoy</w:t>
      </w:r>
      <w:proofErr w:type="spellEnd"/>
      <w:r>
        <w:rPr>
          <w:lang w:val="en-US"/>
        </w:rPr>
        <w:t xml:space="preserve">®; a BRAF inhibitor in the same class as </w:t>
      </w:r>
      <w:proofErr w:type="spellStart"/>
      <w:r>
        <w:rPr>
          <w:lang w:val="en-US"/>
        </w:rPr>
        <w:t>vemurafenib</w:t>
      </w:r>
      <w:proofErr w:type="spellEnd"/>
      <w:r>
        <w:rPr>
          <w:lang w:val="en-US"/>
        </w:rPr>
        <w:t xml:space="preserve"> </w:t>
      </w:r>
      <w:proofErr w:type="spellStart"/>
      <w:r>
        <w:rPr>
          <w:lang w:val="en-US"/>
        </w:rPr>
        <w:t>dabrafenib</w:t>
      </w:r>
      <w:proofErr w:type="spellEnd"/>
      <w:r>
        <w:rPr>
          <w:lang w:val="en-US"/>
        </w:rPr>
        <w:t xml:space="preserve"> (</w:t>
      </w:r>
      <w:proofErr w:type="spellStart"/>
      <w:r>
        <w:rPr>
          <w:lang w:val="en-US"/>
        </w:rPr>
        <w:t>Tafinlar</w:t>
      </w:r>
      <w:proofErr w:type="spellEnd"/>
      <w:r>
        <w:rPr>
          <w:lang w:val="en-US"/>
        </w:rPr>
        <w:t xml:space="preserve">®) and </w:t>
      </w:r>
      <w:proofErr w:type="spellStart"/>
      <w:r>
        <w:rPr>
          <w:lang w:val="en-US"/>
        </w:rPr>
        <w:t>trametinib</w:t>
      </w:r>
      <w:proofErr w:type="spellEnd"/>
      <w:r>
        <w:rPr>
          <w:lang w:val="en-US"/>
        </w:rPr>
        <w:t xml:space="preserve"> (</w:t>
      </w:r>
      <w:proofErr w:type="spellStart"/>
      <w:r>
        <w:rPr>
          <w:lang w:val="en-US"/>
        </w:rPr>
        <w:t>Mekinist</w:t>
      </w:r>
      <w:proofErr w:type="spellEnd"/>
      <w:r>
        <w:rPr>
          <w:lang w:val="en-US"/>
        </w:rPr>
        <w:t xml:space="preserve">®), a MEK inhibitor indicated in BRAFV600 mutant melanoma without prior BRAF inhibition. </w:t>
      </w:r>
    </w:p>
    <w:p w14:paraId="23CBBD48" w14:textId="77777777" w:rsidR="00970674" w:rsidRPr="00342116" w:rsidRDefault="00970674" w:rsidP="00E420FF">
      <w:pPr>
        <w:rPr>
          <w:lang w:val="en-US"/>
        </w:rPr>
      </w:pPr>
      <w:r>
        <w:rPr>
          <w:lang w:val="en-US"/>
        </w:rPr>
        <w:t xml:space="preserve">While the approval of these agents represents a clear advance in the treatment of advanced melanoma, they have inherent limitations. Results for all 4 treatments demonstrate a low percentage of complete responses. In addition, </w:t>
      </w:r>
      <w:proofErr w:type="spellStart"/>
      <w:r>
        <w:rPr>
          <w:lang w:val="en-US"/>
        </w:rPr>
        <w:t>vemurafenib</w:t>
      </w:r>
      <w:proofErr w:type="spellEnd"/>
      <w:r>
        <w:rPr>
          <w:lang w:val="en-US"/>
        </w:rPr>
        <w:t xml:space="preserve">, </w:t>
      </w:r>
      <w:proofErr w:type="spellStart"/>
      <w:r>
        <w:rPr>
          <w:lang w:val="en-US"/>
        </w:rPr>
        <w:t>dabrafenib</w:t>
      </w:r>
      <w:proofErr w:type="spellEnd"/>
      <w:r>
        <w:rPr>
          <w:lang w:val="en-US"/>
        </w:rPr>
        <w:t xml:space="preserve">, and </w:t>
      </w:r>
      <w:proofErr w:type="spellStart"/>
      <w:r>
        <w:rPr>
          <w:lang w:val="en-US"/>
        </w:rPr>
        <w:t>trametinib</w:t>
      </w:r>
      <w:proofErr w:type="spellEnd"/>
      <w:r>
        <w:rPr>
          <w:lang w:val="en-US"/>
        </w:rPr>
        <w:t xml:space="preserve"> are</w:t>
      </w:r>
      <w:r w:rsidR="00E420FF">
        <w:rPr>
          <w:lang w:val="en-US"/>
        </w:rPr>
        <w:t xml:space="preserve"> </w:t>
      </w:r>
      <w:r>
        <w:rPr>
          <w:lang w:val="en-US"/>
        </w:rPr>
        <w:t xml:space="preserve">indicated in patients with </w:t>
      </w:r>
      <w:r w:rsidRPr="00342116">
        <w:rPr>
          <w:lang w:val="en-US"/>
        </w:rPr>
        <w:t xml:space="preserve">BRAFV600 mutations, which are found in between 25-46% of melanoma depending on age (Menzies et al., 2012). These treatments are commonly associated with resistance and responses are rarely durable. </w:t>
      </w:r>
    </w:p>
    <w:p w14:paraId="5A292F79" w14:textId="77777777" w:rsidR="00970674" w:rsidRDefault="00970674" w:rsidP="00E420FF">
      <w:pPr>
        <w:pStyle w:val="Comment"/>
        <w:rPr>
          <w:lang w:val="en-US"/>
        </w:rPr>
      </w:pPr>
      <w:r w:rsidRPr="00342116">
        <w:rPr>
          <w:b/>
          <w:lang w:val="en-US"/>
        </w:rPr>
        <w:t>Comment</w:t>
      </w:r>
      <w:r w:rsidR="00E420FF" w:rsidRPr="00342116">
        <w:rPr>
          <w:b/>
          <w:lang w:val="en-US"/>
        </w:rPr>
        <w:t>:</w:t>
      </w:r>
      <w:r w:rsidR="00BA348C" w:rsidRPr="00342116">
        <w:rPr>
          <w:b/>
          <w:lang w:val="en-US"/>
        </w:rPr>
        <w:t xml:space="preserve"> </w:t>
      </w:r>
      <w:r w:rsidRPr="00342116">
        <w:rPr>
          <w:lang w:val="en-US"/>
        </w:rPr>
        <w:t>The introduction of immunotherapy with monoclonal antibodies (</w:t>
      </w:r>
      <w:proofErr w:type="spellStart"/>
      <w:r w:rsidRPr="00342116">
        <w:rPr>
          <w:lang w:val="en-US"/>
        </w:rPr>
        <w:t>MAbs</w:t>
      </w:r>
      <w:proofErr w:type="spellEnd"/>
      <w:r w:rsidRPr="00342116">
        <w:rPr>
          <w:lang w:val="en-US"/>
        </w:rPr>
        <w:t>) against immune checkpoints on lymphocytes has</w:t>
      </w:r>
      <w:r w:rsidR="00BA348C" w:rsidRPr="00342116">
        <w:rPr>
          <w:lang w:val="en-US"/>
        </w:rPr>
        <w:t xml:space="preserve"> </w:t>
      </w:r>
      <w:r w:rsidRPr="00342116">
        <w:rPr>
          <w:lang w:val="en-US"/>
        </w:rPr>
        <w:t xml:space="preserve">been a major advance in treatment of melanoma. Responses are seen in patients irrespective of the mutation status of the melanoma and the stage of melanoma including the most advanced </w:t>
      </w:r>
      <w:r w:rsidR="00E420FF" w:rsidRPr="00342116">
        <w:rPr>
          <w:lang w:val="en-US"/>
        </w:rPr>
        <w:t>S</w:t>
      </w:r>
      <w:r w:rsidRPr="00342116">
        <w:rPr>
          <w:lang w:val="en-US"/>
        </w:rPr>
        <w:t xml:space="preserve">tage IV M1c (Robert et al., 2014; Hamid et al., 2013). The MSD </w:t>
      </w:r>
      <w:proofErr w:type="spellStart"/>
      <w:r w:rsidRPr="00342116">
        <w:rPr>
          <w:lang w:val="en-US"/>
        </w:rPr>
        <w:t>MAb</w:t>
      </w:r>
      <w:proofErr w:type="spellEnd"/>
      <w:r w:rsidRPr="00342116">
        <w:rPr>
          <w:lang w:val="en-US"/>
        </w:rPr>
        <w:t xml:space="preserve"> </w:t>
      </w:r>
      <w:r w:rsidR="00E420FF" w:rsidRPr="00342116">
        <w:rPr>
          <w:lang w:val="en-US"/>
        </w:rPr>
        <w:t>‘</w:t>
      </w:r>
      <w:proofErr w:type="spellStart"/>
      <w:r w:rsidR="001A4B22">
        <w:rPr>
          <w:lang w:val="en-US"/>
        </w:rPr>
        <w:t>K</w:t>
      </w:r>
      <w:r w:rsidRPr="00342116">
        <w:rPr>
          <w:lang w:val="en-US"/>
        </w:rPr>
        <w:t>eytruda</w:t>
      </w:r>
      <w:proofErr w:type="spellEnd"/>
      <w:r w:rsidR="00E420FF" w:rsidRPr="00342116">
        <w:rPr>
          <w:lang w:val="en-US"/>
        </w:rPr>
        <w:t>’</w:t>
      </w:r>
      <w:r w:rsidRPr="00342116">
        <w:rPr>
          <w:lang w:val="en-US"/>
        </w:rPr>
        <w:t xml:space="preserve"> against programmed death receptor 1 (PD1) on T cells was</w:t>
      </w:r>
      <w:r>
        <w:rPr>
          <w:lang w:val="en-US"/>
        </w:rPr>
        <w:t xml:space="preserve"> approved for treatment of melanoma by the FDA in September 2014. It induced responses in approximately 38% of patients and 1 year survivals of approximately 70%. Similarly the BMS </w:t>
      </w:r>
      <w:proofErr w:type="spellStart"/>
      <w:r>
        <w:rPr>
          <w:lang w:val="en-US"/>
        </w:rPr>
        <w:t>MAb</w:t>
      </w:r>
      <w:proofErr w:type="spellEnd"/>
      <w:r>
        <w:rPr>
          <w:lang w:val="en-US"/>
        </w:rPr>
        <w:t xml:space="preserve"> </w:t>
      </w:r>
      <w:r w:rsidR="00E420FF">
        <w:rPr>
          <w:lang w:val="en-US"/>
        </w:rPr>
        <w:t>‘</w:t>
      </w:r>
      <w:proofErr w:type="spellStart"/>
      <w:r w:rsidR="001A4B22">
        <w:rPr>
          <w:lang w:val="en-US"/>
        </w:rPr>
        <w:t>O</w:t>
      </w:r>
      <w:r>
        <w:rPr>
          <w:lang w:val="en-US"/>
        </w:rPr>
        <w:t>pdivo</w:t>
      </w:r>
      <w:proofErr w:type="spellEnd"/>
      <w:r w:rsidR="00E420FF">
        <w:rPr>
          <w:lang w:val="en-US"/>
        </w:rPr>
        <w:t>’</w:t>
      </w:r>
      <w:r>
        <w:rPr>
          <w:lang w:val="en-US"/>
        </w:rPr>
        <w:t xml:space="preserve"> against PD1 induced responses in approximately 40% of patients and 1 year survivals of 72%. It was approved for treatment of melanoma by the FDA in December 2014 Grade 3-4 toxicities were minimal during treatment with either of these agents. Investigators treating melanoma now regard these agents as the standard of care in treatment of melanoma.</w:t>
      </w:r>
      <w:r w:rsidR="00BA348C">
        <w:rPr>
          <w:lang w:val="en-US"/>
        </w:rPr>
        <w:t xml:space="preserve"> </w:t>
      </w:r>
      <w:r>
        <w:rPr>
          <w:lang w:val="en-US"/>
        </w:rPr>
        <w:t xml:space="preserve">It is understood that both agents are before the TGA for approval in treatment of melanoma. </w:t>
      </w:r>
      <w:proofErr w:type="spellStart"/>
      <w:r>
        <w:rPr>
          <w:lang w:val="en-US"/>
        </w:rPr>
        <w:t>Keytruda</w:t>
      </w:r>
      <w:proofErr w:type="spellEnd"/>
      <w:r>
        <w:rPr>
          <w:lang w:val="en-US"/>
        </w:rPr>
        <w:t xml:space="preserve"> (Merck) was approved 20</w:t>
      </w:r>
      <w:r w:rsidR="00E420FF">
        <w:rPr>
          <w:lang w:val="en-US"/>
        </w:rPr>
        <w:t xml:space="preserve"> January </w:t>
      </w:r>
      <w:r>
        <w:rPr>
          <w:lang w:val="en-US"/>
        </w:rPr>
        <w:t>2015</w:t>
      </w:r>
      <w:r w:rsidR="00E420FF">
        <w:rPr>
          <w:lang w:val="en-US"/>
        </w:rPr>
        <w:t>.</w:t>
      </w:r>
    </w:p>
    <w:p w14:paraId="790F1743" w14:textId="77777777" w:rsidR="00970674" w:rsidRDefault="00970674" w:rsidP="00970674">
      <w:pPr>
        <w:rPr>
          <w:lang w:val="en-US"/>
        </w:rPr>
      </w:pPr>
      <w:r>
        <w:rPr>
          <w:lang w:val="en-US"/>
        </w:rPr>
        <w:t xml:space="preserve">There remains an important need to offer additional therapies to melanoma patients that are both safe and effective. In particular, a high unmet medical need exists among patients with disease that is limited to regional metastases, non-visceral distant metastases, and low volume and/or stable visceral metastases, to attain local and distant disease control and regression without the toxicities associated with systemically administered therapies. </w:t>
      </w:r>
    </w:p>
    <w:p w14:paraId="52FC4B2B" w14:textId="77777777" w:rsidR="00970674" w:rsidRDefault="00970674" w:rsidP="00970674">
      <w:pPr>
        <w:rPr>
          <w:lang w:val="en-US"/>
        </w:rPr>
      </w:pPr>
    </w:p>
    <w:p w14:paraId="33DC84C4" w14:textId="34ED8D6E" w:rsidR="00970674" w:rsidRDefault="00970674" w:rsidP="00E420FF">
      <w:pPr>
        <w:pStyle w:val="Comment"/>
        <w:rPr>
          <w:lang w:val="en-US"/>
        </w:rPr>
      </w:pPr>
      <w:r>
        <w:rPr>
          <w:b/>
          <w:lang w:val="en-US"/>
        </w:rPr>
        <w:t>Comment</w:t>
      </w:r>
      <w:r w:rsidR="00E420FF">
        <w:rPr>
          <w:b/>
          <w:lang w:val="en-US"/>
        </w:rPr>
        <w:t>:</w:t>
      </w:r>
      <w:r>
        <w:rPr>
          <w:b/>
          <w:lang w:val="en-US"/>
        </w:rPr>
        <w:t xml:space="preserve"> </w:t>
      </w:r>
      <w:r>
        <w:rPr>
          <w:lang w:val="en-US"/>
        </w:rPr>
        <w:t xml:space="preserve">The introduction of treatments against PD1/PD-L1 has reduced the unmet need so that the need now is for treatments that increase the percentage of patients that respond to these agents or which increase the duration of responses to them. It is unlikely that </w:t>
      </w:r>
      <w:proofErr w:type="spellStart"/>
      <w:r w:rsidR="002C0543">
        <w:rPr>
          <w:lang w:val="en-US"/>
        </w:rPr>
        <w:t>Imlygic</w:t>
      </w:r>
      <w:proofErr w:type="spellEnd"/>
      <w:r>
        <w:rPr>
          <w:lang w:val="en-US"/>
        </w:rPr>
        <w:t xml:space="preserve"> would be used in preference to the anti PD1/PD-L1 agents but after future study may have a role to increase and maintain responses to them when given in combination </w:t>
      </w:r>
    </w:p>
    <w:p w14:paraId="2DDE2C5F" w14:textId="77777777" w:rsidR="00970674" w:rsidRDefault="00970674" w:rsidP="00970674">
      <w:pPr>
        <w:pStyle w:val="Heading4"/>
      </w:pPr>
      <w:bookmarkStart w:id="12" w:name="_Toc429143879"/>
      <w:bookmarkStart w:id="13" w:name="_Toc290846231"/>
      <w:bookmarkStart w:id="14" w:name="_Toc272414609"/>
      <w:r>
        <w:t>Guidance</w:t>
      </w:r>
      <w:bookmarkEnd w:id="12"/>
      <w:bookmarkEnd w:id="13"/>
      <w:bookmarkEnd w:id="14"/>
    </w:p>
    <w:p w14:paraId="3F58F1D5" w14:textId="77777777" w:rsidR="00970674" w:rsidRDefault="00970674" w:rsidP="00970674">
      <w:r>
        <w:t>The TGA has adopted the following guidelines relevant to this submission:</w:t>
      </w:r>
    </w:p>
    <w:p w14:paraId="5242507E" w14:textId="77777777" w:rsidR="00970674" w:rsidRDefault="00970674" w:rsidP="00E420FF">
      <w:pPr>
        <w:pStyle w:val="ListBullet"/>
        <w:rPr>
          <w:lang w:val="en-US"/>
        </w:rPr>
      </w:pPr>
      <w:r>
        <w:rPr>
          <w:lang w:val="en-US"/>
        </w:rPr>
        <w:t>Guideline on the evaluation of anticancer medicinal products in man</w:t>
      </w:r>
      <w:r w:rsidR="00E420FF">
        <w:rPr>
          <w:lang w:val="en-US"/>
        </w:rPr>
        <w:t xml:space="preserve"> </w:t>
      </w:r>
      <w:r>
        <w:rPr>
          <w:lang w:val="en-US"/>
        </w:rPr>
        <w:t>EMA/CHMP/205/95/Rev.4 effective 1 April 2014</w:t>
      </w:r>
    </w:p>
    <w:p w14:paraId="5516E2FD" w14:textId="77777777" w:rsidR="00586F98" w:rsidRDefault="00586F98" w:rsidP="00586F98">
      <w:pPr>
        <w:pStyle w:val="Heading2"/>
        <w:rPr>
          <w:lang w:eastAsia="en-AU"/>
        </w:rPr>
      </w:pPr>
      <w:bookmarkStart w:id="15" w:name="_Toc452631077"/>
      <w:r>
        <w:rPr>
          <w:lang w:eastAsia="en-AU"/>
        </w:rPr>
        <w:t>Contents of the clinical dossier</w:t>
      </w:r>
      <w:bookmarkEnd w:id="8"/>
      <w:bookmarkEnd w:id="9"/>
      <w:bookmarkEnd w:id="15"/>
    </w:p>
    <w:p w14:paraId="6A0EEF5B" w14:textId="77777777" w:rsidR="00586F98" w:rsidRDefault="00586F98" w:rsidP="00586F98">
      <w:pPr>
        <w:pStyle w:val="Heading3"/>
      </w:pPr>
      <w:bookmarkStart w:id="16" w:name="_Toc452631078"/>
      <w:r>
        <w:t>Scope of the clinical dossier</w:t>
      </w:r>
      <w:bookmarkEnd w:id="16"/>
    </w:p>
    <w:p w14:paraId="5A016207" w14:textId="77777777" w:rsidR="00970674" w:rsidRDefault="00970674" w:rsidP="00970674">
      <w:r>
        <w:t>The clinical dosser documented a full clinical development program of pharmacology, efficacy and safety studies.</w:t>
      </w:r>
    </w:p>
    <w:p w14:paraId="021A9CEF" w14:textId="77777777" w:rsidR="00970674" w:rsidRDefault="00970674" w:rsidP="00970674">
      <w:r>
        <w:t>The submission contained the following clinical information:</w:t>
      </w:r>
    </w:p>
    <w:p w14:paraId="52033000" w14:textId="77777777" w:rsidR="00970674" w:rsidRDefault="00970674" w:rsidP="00970674">
      <w:pPr>
        <w:pStyle w:val="Bullet2"/>
        <w:spacing w:after="120"/>
      </w:pPr>
      <w:r>
        <w:t>1 clinical pharmacology study that provided bio distribution and biological activity (rather than pharmacokinetic) data</w:t>
      </w:r>
      <w:r w:rsidR="00E420FF">
        <w:t>:</w:t>
      </w:r>
      <w:r>
        <w:t xml:space="preserve"> Study 001/01.</w:t>
      </w:r>
    </w:p>
    <w:p w14:paraId="5F554C2A" w14:textId="77777777" w:rsidR="00970674" w:rsidRDefault="00970674" w:rsidP="00970674">
      <w:pPr>
        <w:pStyle w:val="Bullet2"/>
        <w:spacing w:after="120"/>
      </w:pPr>
      <w:r>
        <w:t>1 pivotal efficacy/safety study (plus extension)</w:t>
      </w:r>
      <w:r w:rsidR="00E420FF">
        <w:t>:</w:t>
      </w:r>
      <w:r>
        <w:t xml:space="preserve"> Study 005/05</w:t>
      </w:r>
      <w:r w:rsidR="00BA348C">
        <w:t xml:space="preserve"> </w:t>
      </w:r>
      <w:r>
        <w:t>and Study 005/05e –comparator granulocyte macrophage colony-stimulating factor (GM-CSF)</w:t>
      </w:r>
    </w:p>
    <w:p w14:paraId="6657C1C5" w14:textId="77777777" w:rsidR="00970674" w:rsidRDefault="00970674" w:rsidP="00970674">
      <w:pPr>
        <w:pStyle w:val="Bullet2"/>
        <w:spacing w:after="120"/>
      </w:pPr>
      <w:r>
        <w:t>1 safety study (plus extension) in Melanoma</w:t>
      </w:r>
      <w:r w:rsidR="00E420FF">
        <w:t>:</w:t>
      </w:r>
      <w:r>
        <w:t xml:space="preserve"> Study 002/03 and Study 002/03e</w:t>
      </w:r>
    </w:p>
    <w:p w14:paraId="4FB18C97" w14:textId="77777777" w:rsidR="00970674" w:rsidRDefault="00970674" w:rsidP="00970674">
      <w:pPr>
        <w:pStyle w:val="Bullet2"/>
        <w:spacing w:after="120"/>
      </w:pPr>
      <w:r>
        <w:t>5 other efficacy/safety studies</w:t>
      </w:r>
      <w:r w:rsidR="00E420FF">
        <w:t>:</w:t>
      </w:r>
      <w:r w:rsidR="00BA348C">
        <w:t xml:space="preserve"> </w:t>
      </w:r>
      <w:r>
        <w:t xml:space="preserve">including 3 related to other cancers (head and neck, GI), 1x </w:t>
      </w:r>
      <w:r w:rsidR="00E420FF">
        <w:t>P</w:t>
      </w:r>
      <w:r>
        <w:t>hase 1b related to Melanoma, plus 1 registry study</w:t>
      </w:r>
    </w:p>
    <w:p w14:paraId="696B5784" w14:textId="77777777" w:rsidR="00586F98" w:rsidRDefault="00586F98" w:rsidP="00586F98">
      <w:pPr>
        <w:pStyle w:val="Heading3"/>
      </w:pPr>
      <w:bookmarkStart w:id="17" w:name="_Toc452631079"/>
      <w:r>
        <w:t>Paediatric data</w:t>
      </w:r>
      <w:bookmarkEnd w:id="17"/>
    </w:p>
    <w:p w14:paraId="56095AEA" w14:textId="77777777" w:rsidR="00970674" w:rsidRDefault="00970674" w:rsidP="00970674">
      <w:r>
        <w:t>The submission did not include paediatric data.</w:t>
      </w:r>
    </w:p>
    <w:p w14:paraId="3FF1956E" w14:textId="77777777" w:rsidR="00586F98" w:rsidRDefault="00586F98" w:rsidP="00586F98">
      <w:pPr>
        <w:pStyle w:val="Heading3"/>
      </w:pPr>
      <w:bookmarkStart w:id="18" w:name="_Toc452631080"/>
      <w:r>
        <w:t>Good clinical practice</w:t>
      </w:r>
      <w:bookmarkEnd w:id="18"/>
    </w:p>
    <w:p w14:paraId="31FE6F4F" w14:textId="77777777" w:rsidR="00970674" w:rsidRDefault="00970674" w:rsidP="00970674">
      <w:bookmarkStart w:id="19" w:name="_Toc241374282"/>
      <w:r>
        <w:rPr>
          <w:lang w:val="en-US"/>
        </w:rPr>
        <w:t>Clinical studies were conducted under Good Clinical Practices as described in International Conference on Harmonization (ICH) Tripartite Guideline E6 (ICH, 1996), under the principles of the Declaration of Helsinki, and in accordance with local and regional regulations.</w:t>
      </w:r>
      <w:bookmarkEnd w:id="19"/>
    </w:p>
    <w:p w14:paraId="0900F515" w14:textId="77777777" w:rsidR="00586F98" w:rsidRDefault="00970674" w:rsidP="00E420FF">
      <w:pPr>
        <w:pStyle w:val="Heading2"/>
      </w:pPr>
      <w:r w:rsidRPr="0094614A">
        <w:t xml:space="preserve"> </w:t>
      </w:r>
      <w:bookmarkStart w:id="20" w:name="_Toc355338639"/>
      <w:bookmarkStart w:id="21" w:name="_Toc452631081"/>
      <w:r w:rsidR="00586F98">
        <w:t>Pharmacokinetics</w:t>
      </w:r>
      <w:bookmarkEnd w:id="20"/>
      <w:bookmarkEnd w:id="21"/>
      <w:r w:rsidR="00586F98">
        <w:t xml:space="preserve"> </w:t>
      </w:r>
    </w:p>
    <w:p w14:paraId="04C6CFC5" w14:textId="77777777" w:rsidR="00970674" w:rsidRDefault="00970674" w:rsidP="00E420FF">
      <w:pPr>
        <w:pStyle w:val="Heading3"/>
      </w:pPr>
      <w:bookmarkStart w:id="22" w:name="_Ref271018934"/>
      <w:bookmarkStart w:id="23" w:name="_Ref271018924"/>
      <w:bookmarkStart w:id="24" w:name="_Ref271017296"/>
      <w:bookmarkStart w:id="25" w:name="_Toc429143886"/>
      <w:bookmarkStart w:id="26" w:name="_Toc290846238"/>
      <w:bookmarkStart w:id="27" w:name="_Toc272414614"/>
      <w:bookmarkStart w:id="28" w:name="_Toc452631082"/>
      <w:r>
        <w:t>Studies</w:t>
      </w:r>
      <w:bookmarkEnd w:id="22"/>
      <w:bookmarkEnd w:id="23"/>
      <w:bookmarkEnd w:id="24"/>
      <w:r>
        <w:t xml:space="preserve"> providing pharmacokinetic data</w:t>
      </w:r>
      <w:bookmarkEnd w:id="25"/>
      <w:bookmarkEnd w:id="26"/>
      <w:bookmarkEnd w:id="27"/>
      <w:bookmarkEnd w:id="28"/>
    </w:p>
    <w:p w14:paraId="5A1D6153" w14:textId="77777777" w:rsidR="00970674" w:rsidRDefault="00E420FF" w:rsidP="00970674">
      <w:r>
        <w:t>Table 1</w:t>
      </w:r>
      <w:r w:rsidR="00970674">
        <w:t xml:space="preserve"> shows the studies relating to each pharmacokinetic topic and the location of each study summary.</w:t>
      </w:r>
    </w:p>
    <w:p w14:paraId="342BA62A" w14:textId="77777777" w:rsidR="00970674" w:rsidRDefault="00970674" w:rsidP="00970674"/>
    <w:p w14:paraId="09925A26" w14:textId="77777777" w:rsidR="00970674" w:rsidRDefault="00E420FF" w:rsidP="00E420FF">
      <w:pPr>
        <w:pStyle w:val="Tabletitle"/>
      </w:pPr>
      <w:bookmarkStart w:id="29" w:name="_Ref272426277"/>
      <w:r>
        <w:lastRenderedPageBreak/>
        <w:t>Table 1:</w:t>
      </w:r>
      <w:bookmarkEnd w:id="29"/>
      <w:r w:rsidR="00970674">
        <w:t xml:space="preserve"> Submitted pharmacokinetic studies.</w:t>
      </w:r>
    </w:p>
    <w:tbl>
      <w:tblPr>
        <w:tblStyle w:val="TableTGAblue"/>
        <w:tblW w:w="8330" w:type="dxa"/>
        <w:tblLayout w:type="fixed"/>
        <w:tblLook w:val="04A0" w:firstRow="1" w:lastRow="0" w:firstColumn="1" w:lastColumn="0" w:noHBand="0" w:noVBand="1"/>
      </w:tblPr>
      <w:tblGrid>
        <w:gridCol w:w="2235"/>
        <w:gridCol w:w="4110"/>
        <w:gridCol w:w="1276"/>
        <w:gridCol w:w="709"/>
      </w:tblGrid>
      <w:tr w:rsidR="00E420FF" w14:paraId="2D6FD74E" w14:textId="77777777" w:rsidTr="00E420FF">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235" w:type="dxa"/>
            <w:hideMark/>
          </w:tcPr>
          <w:p w14:paraId="4E9922D2" w14:textId="77777777" w:rsidR="00E420FF" w:rsidRDefault="00E420FF" w:rsidP="00853C0C">
            <w:pPr>
              <w:rPr>
                <w:b w:val="0"/>
              </w:rPr>
            </w:pPr>
            <w:r>
              <w:t>PK topic</w:t>
            </w:r>
          </w:p>
        </w:tc>
        <w:tc>
          <w:tcPr>
            <w:tcW w:w="4110" w:type="dxa"/>
            <w:hideMark/>
          </w:tcPr>
          <w:p w14:paraId="63D9A2E9" w14:textId="77777777" w:rsidR="00E420FF" w:rsidRDefault="00E420FF" w:rsidP="00853C0C">
            <w:pPr>
              <w:cnfStyle w:val="100000000000" w:firstRow="1" w:lastRow="0" w:firstColumn="0" w:lastColumn="0" w:oddVBand="0" w:evenVBand="0" w:oddHBand="0" w:evenHBand="0" w:firstRowFirstColumn="0" w:firstRowLastColumn="0" w:lastRowFirstColumn="0" w:lastRowLastColumn="0"/>
              <w:rPr>
                <w:b w:val="0"/>
              </w:rPr>
            </w:pPr>
            <w:r>
              <w:t>Subtopic</w:t>
            </w:r>
          </w:p>
        </w:tc>
        <w:tc>
          <w:tcPr>
            <w:tcW w:w="1276" w:type="dxa"/>
            <w:hideMark/>
          </w:tcPr>
          <w:p w14:paraId="2F4BAF92" w14:textId="77777777" w:rsidR="00E420FF" w:rsidRDefault="00E420FF" w:rsidP="00853C0C">
            <w:pPr>
              <w:cnfStyle w:val="100000000000" w:firstRow="1" w:lastRow="0" w:firstColumn="0" w:lastColumn="0" w:oddVBand="0" w:evenVBand="0" w:oddHBand="0" w:evenHBand="0" w:firstRowFirstColumn="0" w:firstRowLastColumn="0" w:lastRowFirstColumn="0" w:lastRowLastColumn="0"/>
              <w:rPr>
                <w:b w:val="0"/>
              </w:rPr>
            </w:pPr>
            <w:r>
              <w:t>Study ID</w:t>
            </w:r>
          </w:p>
        </w:tc>
        <w:tc>
          <w:tcPr>
            <w:tcW w:w="709" w:type="dxa"/>
            <w:hideMark/>
          </w:tcPr>
          <w:p w14:paraId="059B2F3C" w14:textId="77777777" w:rsidR="00E420FF" w:rsidRDefault="00E420FF" w:rsidP="00853C0C">
            <w:pPr>
              <w:cnfStyle w:val="100000000000" w:firstRow="1" w:lastRow="0" w:firstColumn="0" w:lastColumn="0" w:oddVBand="0" w:evenVBand="0" w:oddHBand="0" w:evenHBand="0" w:firstRowFirstColumn="0" w:firstRowLastColumn="0" w:lastRowFirstColumn="0" w:lastRowLastColumn="0"/>
              <w:rPr>
                <w:b w:val="0"/>
              </w:rPr>
            </w:pPr>
            <w:r>
              <w:t>*</w:t>
            </w:r>
          </w:p>
        </w:tc>
      </w:tr>
      <w:tr w:rsidR="00E420FF" w14:paraId="4A2ABA50" w14:textId="77777777" w:rsidTr="00E420FF">
        <w:tc>
          <w:tcPr>
            <w:cnfStyle w:val="001000000000" w:firstRow="0" w:lastRow="0" w:firstColumn="1" w:lastColumn="0" w:oddVBand="0" w:evenVBand="0" w:oddHBand="0" w:evenHBand="0" w:firstRowFirstColumn="0" w:firstRowLastColumn="0" w:lastRowFirstColumn="0" w:lastRowLastColumn="0"/>
            <w:tcW w:w="2235" w:type="dxa"/>
            <w:vMerge w:val="restart"/>
          </w:tcPr>
          <w:p w14:paraId="36A3A241" w14:textId="77777777" w:rsidR="00E420FF" w:rsidRDefault="00E420FF" w:rsidP="00853C0C">
            <w:pPr>
              <w:rPr>
                <w:kern w:val="16"/>
                <w:sz w:val="20"/>
                <w:szCs w:val="20"/>
              </w:rPr>
            </w:pPr>
            <w:r>
              <w:t>PK in healthy adults</w:t>
            </w:r>
          </w:p>
          <w:p w14:paraId="3E946610" w14:textId="77777777" w:rsidR="00E420FF" w:rsidRDefault="00E420FF" w:rsidP="00853C0C"/>
        </w:tc>
        <w:tc>
          <w:tcPr>
            <w:tcW w:w="4110" w:type="dxa"/>
            <w:hideMark/>
          </w:tcPr>
          <w:p w14:paraId="5E1C5478" w14:textId="77777777" w:rsidR="00E420FF" w:rsidRDefault="00E420FF" w:rsidP="00853C0C">
            <w:pPr>
              <w:cnfStyle w:val="000000000000" w:firstRow="0" w:lastRow="0" w:firstColumn="0" w:lastColumn="0" w:oddVBand="0" w:evenVBand="0" w:oddHBand="0" w:evenHBand="0" w:firstRowFirstColumn="0" w:firstRowLastColumn="0" w:lastRowFirstColumn="0" w:lastRowLastColumn="0"/>
            </w:pPr>
            <w:r>
              <w:t>General PK</w:t>
            </w:r>
            <w:r>
              <w:tab/>
              <w:t>- Single dose</w:t>
            </w:r>
          </w:p>
        </w:tc>
        <w:tc>
          <w:tcPr>
            <w:tcW w:w="1276" w:type="dxa"/>
            <w:hideMark/>
          </w:tcPr>
          <w:p w14:paraId="7FE16591" w14:textId="77777777" w:rsidR="00E420FF" w:rsidRDefault="00E420FF" w:rsidP="00853C0C">
            <w:pPr>
              <w:cnfStyle w:val="000000000000" w:firstRow="0" w:lastRow="0" w:firstColumn="0" w:lastColumn="0" w:oddVBand="0" w:evenVBand="0" w:oddHBand="0" w:evenHBand="0" w:firstRowFirstColumn="0" w:firstRowLastColumn="0" w:lastRowFirstColumn="0" w:lastRowLastColumn="0"/>
            </w:pPr>
            <w:r>
              <w:t>N/A</w:t>
            </w:r>
          </w:p>
        </w:tc>
        <w:tc>
          <w:tcPr>
            <w:tcW w:w="709" w:type="dxa"/>
          </w:tcPr>
          <w:p w14:paraId="0502740D" w14:textId="77777777" w:rsidR="00E420FF" w:rsidRDefault="00E420FF" w:rsidP="00853C0C">
            <w:pPr>
              <w:cnfStyle w:val="000000000000" w:firstRow="0" w:lastRow="0" w:firstColumn="0" w:lastColumn="0" w:oddVBand="0" w:evenVBand="0" w:oddHBand="0" w:evenHBand="0" w:firstRowFirstColumn="0" w:firstRowLastColumn="0" w:lastRowFirstColumn="0" w:lastRowLastColumn="0"/>
            </w:pPr>
          </w:p>
        </w:tc>
      </w:tr>
      <w:tr w:rsidR="00E420FF" w14:paraId="6071320D" w14:textId="77777777" w:rsidTr="00E420FF">
        <w:tc>
          <w:tcPr>
            <w:cnfStyle w:val="001000000000" w:firstRow="0" w:lastRow="0" w:firstColumn="1" w:lastColumn="0" w:oddVBand="0" w:evenVBand="0" w:oddHBand="0" w:evenHBand="0" w:firstRowFirstColumn="0" w:firstRowLastColumn="0" w:lastRowFirstColumn="0" w:lastRowLastColumn="0"/>
            <w:tcW w:w="2235" w:type="dxa"/>
            <w:vMerge/>
            <w:hideMark/>
          </w:tcPr>
          <w:p w14:paraId="643A739D" w14:textId="77777777" w:rsidR="00E420FF" w:rsidRDefault="00E420FF" w:rsidP="00853C0C">
            <w:pPr>
              <w:rPr>
                <w:kern w:val="16"/>
                <w:sz w:val="20"/>
                <w:szCs w:val="20"/>
              </w:rPr>
            </w:pPr>
          </w:p>
        </w:tc>
        <w:tc>
          <w:tcPr>
            <w:tcW w:w="4110" w:type="dxa"/>
            <w:hideMark/>
          </w:tcPr>
          <w:p w14:paraId="31724519" w14:textId="77777777" w:rsidR="00E420FF" w:rsidRDefault="00E420FF" w:rsidP="00853C0C">
            <w:pPr>
              <w:cnfStyle w:val="000000000000" w:firstRow="0" w:lastRow="0" w:firstColumn="0" w:lastColumn="0" w:oddVBand="0" w:evenVBand="0" w:oddHBand="0" w:evenHBand="0" w:firstRowFirstColumn="0" w:firstRowLastColumn="0" w:lastRowFirstColumn="0" w:lastRowLastColumn="0"/>
            </w:pPr>
            <w:r>
              <w:tab/>
            </w:r>
            <w:r>
              <w:tab/>
              <w:t>- Multi-dose</w:t>
            </w:r>
          </w:p>
        </w:tc>
        <w:tc>
          <w:tcPr>
            <w:tcW w:w="1276" w:type="dxa"/>
            <w:hideMark/>
          </w:tcPr>
          <w:p w14:paraId="07D19B9D" w14:textId="77777777" w:rsidR="00E420FF" w:rsidRDefault="00E420FF" w:rsidP="00853C0C">
            <w:pPr>
              <w:cnfStyle w:val="000000000000" w:firstRow="0" w:lastRow="0" w:firstColumn="0" w:lastColumn="0" w:oddVBand="0" w:evenVBand="0" w:oddHBand="0" w:evenHBand="0" w:firstRowFirstColumn="0" w:firstRowLastColumn="0" w:lastRowFirstColumn="0" w:lastRowLastColumn="0"/>
            </w:pPr>
            <w:r>
              <w:t>N/A</w:t>
            </w:r>
          </w:p>
        </w:tc>
        <w:tc>
          <w:tcPr>
            <w:tcW w:w="709" w:type="dxa"/>
          </w:tcPr>
          <w:p w14:paraId="0F4B8D1C" w14:textId="77777777" w:rsidR="00E420FF" w:rsidRDefault="00E420FF" w:rsidP="00853C0C">
            <w:pPr>
              <w:cnfStyle w:val="000000000000" w:firstRow="0" w:lastRow="0" w:firstColumn="0" w:lastColumn="0" w:oddVBand="0" w:evenVBand="0" w:oddHBand="0" w:evenHBand="0" w:firstRowFirstColumn="0" w:firstRowLastColumn="0" w:lastRowFirstColumn="0" w:lastRowLastColumn="0"/>
            </w:pPr>
          </w:p>
        </w:tc>
      </w:tr>
      <w:tr w:rsidR="00E420FF" w14:paraId="72E0ED99" w14:textId="77777777" w:rsidTr="00E420FF">
        <w:tc>
          <w:tcPr>
            <w:cnfStyle w:val="001000000000" w:firstRow="0" w:lastRow="0" w:firstColumn="1" w:lastColumn="0" w:oddVBand="0" w:evenVBand="0" w:oddHBand="0" w:evenHBand="0" w:firstRowFirstColumn="0" w:firstRowLastColumn="0" w:lastRowFirstColumn="0" w:lastRowLastColumn="0"/>
            <w:tcW w:w="2235" w:type="dxa"/>
            <w:vMerge/>
            <w:hideMark/>
          </w:tcPr>
          <w:p w14:paraId="719A167A" w14:textId="77777777" w:rsidR="00E420FF" w:rsidRDefault="00E420FF" w:rsidP="00853C0C">
            <w:pPr>
              <w:rPr>
                <w:kern w:val="16"/>
                <w:sz w:val="20"/>
                <w:szCs w:val="20"/>
              </w:rPr>
            </w:pPr>
          </w:p>
        </w:tc>
        <w:tc>
          <w:tcPr>
            <w:tcW w:w="4110" w:type="dxa"/>
            <w:hideMark/>
          </w:tcPr>
          <w:p w14:paraId="3F5D4CE4" w14:textId="77777777" w:rsidR="00E420FF" w:rsidRDefault="00E420FF" w:rsidP="00853C0C">
            <w:pPr>
              <w:cnfStyle w:val="000000000000" w:firstRow="0" w:lastRow="0" w:firstColumn="0" w:lastColumn="0" w:oddVBand="0" w:evenVBand="0" w:oddHBand="0" w:evenHBand="0" w:firstRowFirstColumn="0" w:firstRowLastColumn="0" w:lastRowFirstColumn="0" w:lastRowLastColumn="0"/>
            </w:pPr>
            <w:r>
              <w:t>Bioequivalence† - Single dose</w:t>
            </w:r>
          </w:p>
        </w:tc>
        <w:tc>
          <w:tcPr>
            <w:tcW w:w="1276" w:type="dxa"/>
            <w:hideMark/>
          </w:tcPr>
          <w:p w14:paraId="795BA95B" w14:textId="77777777" w:rsidR="00E420FF" w:rsidRDefault="00E420FF" w:rsidP="00853C0C">
            <w:pPr>
              <w:cnfStyle w:val="000000000000" w:firstRow="0" w:lastRow="0" w:firstColumn="0" w:lastColumn="0" w:oddVBand="0" w:evenVBand="0" w:oddHBand="0" w:evenHBand="0" w:firstRowFirstColumn="0" w:firstRowLastColumn="0" w:lastRowFirstColumn="0" w:lastRowLastColumn="0"/>
            </w:pPr>
            <w:r>
              <w:t>N/A</w:t>
            </w:r>
          </w:p>
        </w:tc>
        <w:tc>
          <w:tcPr>
            <w:tcW w:w="709" w:type="dxa"/>
          </w:tcPr>
          <w:p w14:paraId="4C7D02CA" w14:textId="77777777" w:rsidR="00E420FF" w:rsidRDefault="00E420FF" w:rsidP="00853C0C">
            <w:pPr>
              <w:cnfStyle w:val="000000000000" w:firstRow="0" w:lastRow="0" w:firstColumn="0" w:lastColumn="0" w:oddVBand="0" w:evenVBand="0" w:oddHBand="0" w:evenHBand="0" w:firstRowFirstColumn="0" w:firstRowLastColumn="0" w:lastRowFirstColumn="0" w:lastRowLastColumn="0"/>
            </w:pPr>
          </w:p>
        </w:tc>
      </w:tr>
      <w:tr w:rsidR="00E420FF" w14:paraId="6808A1CE" w14:textId="77777777" w:rsidTr="00E420FF">
        <w:tc>
          <w:tcPr>
            <w:cnfStyle w:val="001000000000" w:firstRow="0" w:lastRow="0" w:firstColumn="1" w:lastColumn="0" w:oddVBand="0" w:evenVBand="0" w:oddHBand="0" w:evenHBand="0" w:firstRowFirstColumn="0" w:firstRowLastColumn="0" w:lastRowFirstColumn="0" w:lastRowLastColumn="0"/>
            <w:tcW w:w="2235" w:type="dxa"/>
            <w:vMerge/>
            <w:hideMark/>
          </w:tcPr>
          <w:p w14:paraId="3A080E34" w14:textId="77777777" w:rsidR="00E420FF" w:rsidRDefault="00E420FF" w:rsidP="00853C0C">
            <w:pPr>
              <w:rPr>
                <w:kern w:val="16"/>
                <w:sz w:val="20"/>
                <w:szCs w:val="20"/>
              </w:rPr>
            </w:pPr>
          </w:p>
        </w:tc>
        <w:tc>
          <w:tcPr>
            <w:tcW w:w="4110" w:type="dxa"/>
            <w:hideMark/>
          </w:tcPr>
          <w:p w14:paraId="6215B209" w14:textId="77777777" w:rsidR="00E420FF" w:rsidRDefault="00E420FF" w:rsidP="00853C0C">
            <w:pPr>
              <w:cnfStyle w:val="000000000000" w:firstRow="0" w:lastRow="0" w:firstColumn="0" w:lastColumn="0" w:oddVBand="0" w:evenVBand="0" w:oddHBand="0" w:evenHBand="0" w:firstRowFirstColumn="0" w:firstRowLastColumn="0" w:lastRowFirstColumn="0" w:lastRowLastColumn="0"/>
            </w:pPr>
            <w:r>
              <w:t>- Multi-dose</w:t>
            </w:r>
          </w:p>
        </w:tc>
        <w:tc>
          <w:tcPr>
            <w:tcW w:w="1276" w:type="dxa"/>
            <w:hideMark/>
          </w:tcPr>
          <w:p w14:paraId="755BF89B" w14:textId="77777777" w:rsidR="00E420FF" w:rsidRDefault="00E420FF" w:rsidP="00853C0C">
            <w:pPr>
              <w:cnfStyle w:val="000000000000" w:firstRow="0" w:lastRow="0" w:firstColumn="0" w:lastColumn="0" w:oddVBand="0" w:evenVBand="0" w:oddHBand="0" w:evenHBand="0" w:firstRowFirstColumn="0" w:firstRowLastColumn="0" w:lastRowFirstColumn="0" w:lastRowLastColumn="0"/>
            </w:pPr>
            <w:r>
              <w:t>N/A</w:t>
            </w:r>
          </w:p>
        </w:tc>
        <w:tc>
          <w:tcPr>
            <w:tcW w:w="709" w:type="dxa"/>
          </w:tcPr>
          <w:p w14:paraId="645D3D61" w14:textId="77777777" w:rsidR="00E420FF" w:rsidRDefault="00E420FF" w:rsidP="00853C0C">
            <w:pPr>
              <w:cnfStyle w:val="000000000000" w:firstRow="0" w:lastRow="0" w:firstColumn="0" w:lastColumn="0" w:oddVBand="0" w:evenVBand="0" w:oddHBand="0" w:evenHBand="0" w:firstRowFirstColumn="0" w:firstRowLastColumn="0" w:lastRowFirstColumn="0" w:lastRowLastColumn="0"/>
            </w:pPr>
          </w:p>
        </w:tc>
      </w:tr>
      <w:tr w:rsidR="00E420FF" w14:paraId="41941E63" w14:textId="77777777" w:rsidTr="00E420FF">
        <w:tc>
          <w:tcPr>
            <w:cnfStyle w:val="001000000000" w:firstRow="0" w:lastRow="0" w:firstColumn="1" w:lastColumn="0" w:oddVBand="0" w:evenVBand="0" w:oddHBand="0" w:evenHBand="0" w:firstRowFirstColumn="0" w:firstRowLastColumn="0" w:lastRowFirstColumn="0" w:lastRowLastColumn="0"/>
            <w:tcW w:w="2235" w:type="dxa"/>
            <w:vMerge/>
            <w:hideMark/>
          </w:tcPr>
          <w:p w14:paraId="2E34476F" w14:textId="77777777" w:rsidR="00E420FF" w:rsidRDefault="00E420FF" w:rsidP="00853C0C">
            <w:pPr>
              <w:rPr>
                <w:kern w:val="16"/>
                <w:sz w:val="20"/>
                <w:szCs w:val="20"/>
              </w:rPr>
            </w:pPr>
          </w:p>
        </w:tc>
        <w:tc>
          <w:tcPr>
            <w:tcW w:w="4110" w:type="dxa"/>
            <w:hideMark/>
          </w:tcPr>
          <w:p w14:paraId="26A540DF" w14:textId="77777777" w:rsidR="00E420FF" w:rsidRDefault="00E420FF" w:rsidP="00853C0C">
            <w:pPr>
              <w:cnfStyle w:val="000000000000" w:firstRow="0" w:lastRow="0" w:firstColumn="0" w:lastColumn="0" w:oddVBand="0" w:evenVBand="0" w:oddHBand="0" w:evenHBand="0" w:firstRowFirstColumn="0" w:firstRowLastColumn="0" w:lastRowFirstColumn="0" w:lastRowLastColumn="0"/>
            </w:pPr>
            <w:r>
              <w:t>Food effect</w:t>
            </w:r>
          </w:p>
        </w:tc>
        <w:tc>
          <w:tcPr>
            <w:tcW w:w="1276" w:type="dxa"/>
            <w:hideMark/>
          </w:tcPr>
          <w:p w14:paraId="2CB672CB" w14:textId="77777777" w:rsidR="00E420FF" w:rsidRDefault="00E420FF" w:rsidP="00853C0C">
            <w:pPr>
              <w:cnfStyle w:val="000000000000" w:firstRow="0" w:lastRow="0" w:firstColumn="0" w:lastColumn="0" w:oddVBand="0" w:evenVBand="0" w:oddHBand="0" w:evenHBand="0" w:firstRowFirstColumn="0" w:firstRowLastColumn="0" w:lastRowFirstColumn="0" w:lastRowLastColumn="0"/>
            </w:pPr>
            <w:r>
              <w:t>N/A</w:t>
            </w:r>
          </w:p>
        </w:tc>
        <w:tc>
          <w:tcPr>
            <w:tcW w:w="709" w:type="dxa"/>
          </w:tcPr>
          <w:p w14:paraId="6E5EB008" w14:textId="77777777" w:rsidR="00E420FF" w:rsidRDefault="00E420FF" w:rsidP="00853C0C">
            <w:pPr>
              <w:cnfStyle w:val="000000000000" w:firstRow="0" w:lastRow="0" w:firstColumn="0" w:lastColumn="0" w:oddVBand="0" w:evenVBand="0" w:oddHBand="0" w:evenHBand="0" w:firstRowFirstColumn="0" w:firstRowLastColumn="0" w:lastRowFirstColumn="0" w:lastRowLastColumn="0"/>
            </w:pPr>
          </w:p>
        </w:tc>
      </w:tr>
      <w:tr w:rsidR="00E420FF" w14:paraId="3341EC40" w14:textId="77777777" w:rsidTr="00E420FF">
        <w:tc>
          <w:tcPr>
            <w:cnfStyle w:val="001000000000" w:firstRow="0" w:lastRow="0" w:firstColumn="1" w:lastColumn="0" w:oddVBand="0" w:evenVBand="0" w:oddHBand="0" w:evenHBand="0" w:firstRowFirstColumn="0" w:firstRowLastColumn="0" w:lastRowFirstColumn="0" w:lastRowLastColumn="0"/>
            <w:tcW w:w="2235" w:type="dxa"/>
            <w:vMerge w:val="restart"/>
          </w:tcPr>
          <w:p w14:paraId="6A5EA2FD" w14:textId="77777777" w:rsidR="00E420FF" w:rsidRDefault="00E420FF" w:rsidP="00853C0C">
            <w:pPr>
              <w:rPr>
                <w:kern w:val="16"/>
                <w:sz w:val="20"/>
                <w:szCs w:val="20"/>
              </w:rPr>
            </w:pPr>
            <w:r>
              <w:t>Bio-distribution/biological activity in special populations</w:t>
            </w:r>
          </w:p>
          <w:p w14:paraId="4B9FBABF" w14:textId="77777777" w:rsidR="00E420FF" w:rsidRDefault="00E420FF" w:rsidP="00853C0C"/>
        </w:tc>
        <w:tc>
          <w:tcPr>
            <w:tcW w:w="4110" w:type="dxa"/>
            <w:hideMark/>
          </w:tcPr>
          <w:p w14:paraId="49CC0E5F" w14:textId="77777777" w:rsidR="00E420FF" w:rsidRDefault="00E420FF" w:rsidP="00853C0C">
            <w:pPr>
              <w:cnfStyle w:val="000000000000" w:firstRow="0" w:lastRow="0" w:firstColumn="0" w:lastColumn="0" w:oddVBand="0" w:evenVBand="0" w:oddHBand="0" w:evenHBand="0" w:firstRowFirstColumn="0" w:firstRowLastColumn="0" w:lastRowFirstColumn="0" w:lastRowLastColumn="0"/>
            </w:pPr>
            <w:r>
              <w:t>Target population § - Single dose</w:t>
            </w:r>
          </w:p>
        </w:tc>
        <w:tc>
          <w:tcPr>
            <w:tcW w:w="1276" w:type="dxa"/>
            <w:hideMark/>
          </w:tcPr>
          <w:p w14:paraId="34503C50" w14:textId="77777777" w:rsidR="00E420FF" w:rsidRDefault="00E420FF" w:rsidP="00853C0C">
            <w:pPr>
              <w:cnfStyle w:val="000000000000" w:firstRow="0" w:lastRow="0" w:firstColumn="0" w:lastColumn="0" w:oddVBand="0" w:evenVBand="0" w:oddHBand="0" w:evenHBand="0" w:firstRowFirstColumn="0" w:firstRowLastColumn="0" w:lastRowFirstColumn="0" w:lastRowLastColumn="0"/>
            </w:pPr>
            <w:r>
              <w:t>001-01</w:t>
            </w:r>
          </w:p>
        </w:tc>
        <w:tc>
          <w:tcPr>
            <w:tcW w:w="709" w:type="dxa"/>
          </w:tcPr>
          <w:p w14:paraId="05268ED3" w14:textId="77777777" w:rsidR="00E420FF" w:rsidRDefault="00E420FF" w:rsidP="00853C0C">
            <w:pPr>
              <w:cnfStyle w:val="000000000000" w:firstRow="0" w:lastRow="0" w:firstColumn="0" w:lastColumn="0" w:oddVBand="0" w:evenVBand="0" w:oddHBand="0" w:evenHBand="0" w:firstRowFirstColumn="0" w:firstRowLastColumn="0" w:lastRowFirstColumn="0" w:lastRowLastColumn="0"/>
            </w:pPr>
          </w:p>
        </w:tc>
      </w:tr>
      <w:tr w:rsidR="00E420FF" w14:paraId="70B0EFB4" w14:textId="77777777" w:rsidTr="00E420FF">
        <w:tc>
          <w:tcPr>
            <w:cnfStyle w:val="001000000000" w:firstRow="0" w:lastRow="0" w:firstColumn="1" w:lastColumn="0" w:oddVBand="0" w:evenVBand="0" w:oddHBand="0" w:evenHBand="0" w:firstRowFirstColumn="0" w:firstRowLastColumn="0" w:lastRowFirstColumn="0" w:lastRowLastColumn="0"/>
            <w:tcW w:w="2235" w:type="dxa"/>
            <w:vMerge/>
            <w:hideMark/>
          </w:tcPr>
          <w:p w14:paraId="0311248D" w14:textId="77777777" w:rsidR="00E420FF" w:rsidRDefault="00E420FF" w:rsidP="00853C0C">
            <w:pPr>
              <w:rPr>
                <w:kern w:val="16"/>
                <w:sz w:val="20"/>
                <w:szCs w:val="20"/>
              </w:rPr>
            </w:pPr>
          </w:p>
        </w:tc>
        <w:tc>
          <w:tcPr>
            <w:tcW w:w="4110" w:type="dxa"/>
            <w:hideMark/>
          </w:tcPr>
          <w:p w14:paraId="43B3EBC5" w14:textId="77777777" w:rsidR="00E420FF" w:rsidRDefault="00E420FF" w:rsidP="00853C0C">
            <w:pPr>
              <w:cnfStyle w:val="000000000000" w:firstRow="0" w:lastRow="0" w:firstColumn="0" w:lastColumn="0" w:oddVBand="0" w:evenVBand="0" w:oddHBand="0" w:evenHBand="0" w:firstRowFirstColumn="0" w:firstRowLastColumn="0" w:lastRowFirstColumn="0" w:lastRowLastColumn="0"/>
            </w:pPr>
            <w:r>
              <w:tab/>
            </w:r>
            <w:r>
              <w:tab/>
            </w:r>
            <w:r w:rsidR="00BA348C">
              <w:t xml:space="preserve">   </w:t>
            </w:r>
            <w:r>
              <w:t>- Multi-dose</w:t>
            </w:r>
          </w:p>
        </w:tc>
        <w:tc>
          <w:tcPr>
            <w:tcW w:w="1276" w:type="dxa"/>
            <w:hideMark/>
          </w:tcPr>
          <w:p w14:paraId="6868C766" w14:textId="77777777" w:rsidR="00E420FF" w:rsidRDefault="00E420FF" w:rsidP="00853C0C">
            <w:pPr>
              <w:cnfStyle w:val="000000000000" w:firstRow="0" w:lastRow="0" w:firstColumn="0" w:lastColumn="0" w:oddVBand="0" w:evenVBand="0" w:oddHBand="0" w:evenHBand="0" w:firstRowFirstColumn="0" w:firstRowLastColumn="0" w:lastRowFirstColumn="0" w:lastRowLastColumn="0"/>
            </w:pPr>
            <w:r>
              <w:t>001-01</w:t>
            </w:r>
          </w:p>
        </w:tc>
        <w:tc>
          <w:tcPr>
            <w:tcW w:w="709" w:type="dxa"/>
          </w:tcPr>
          <w:p w14:paraId="16B674F1" w14:textId="77777777" w:rsidR="00E420FF" w:rsidRDefault="00E420FF" w:rsidP="00853C0C">
            <w:pPr>
              <w:cnfStyle w:val="000000000000" w:firstRow="0" w:lastRow="0" w:firstColumn="0" w:lastColumn="0" w:oddVBand="0" w:evenVBand="0" w:oddHBand="0" w:evenHBand="0" w:firstRowFirstColumn="0" w:firstRowLastColumn="0" w:lastRowFirstColumn="0" w:lastRowLastColumn="0"/>
            </w:pPr>
          </w:p>
        </w:tc>
      </w:tr>
      <w:tr w:rsidR="00E420FF" w14:paraId="65D1B254" w14:textId="77777777" w:rsidTr="00E420FF">
        <w:tc>
          <w:tcPr>
            <w:cnfStyle w:val="001000000000" w:firstRow="0" w:lastRow="0" w:firstColumn="1" w:lastColumn="0" w:oddVBand="0" w:evenVBand="0" w:oddHBand="0" w:evenHBand="0" w:firstRowFirstColumn="0" w:firstRowLastColumn="0" w:lastRowFirstColumn="0" w:lastRowLastColumn="0"/>
            <w:tcW w:w="2235" w:type="dxa"/>
            <w:vMerge/>
            <w:hideMark/>
          </w:tcPr>
          <w:p w14:paraId="4EE8C865" w14:textId="77777777" w:rsidR="00E420FF" w:rsidRDefault="00E420FF" w:rsidP="00853C0C">
            <w:pPr>
              <w:rPr>
                <w:kern w:val="16"/>
                <w:sz w:val="20"/>
                <w:szCs w:val="20"/>
              </w:rPr>
            </w:pPr>
          </w:p>
        </w:tc>
        <w:tc>
          <w:tcPr>
            <w:tcW w:w="4110" w:type="dxa"/>
            <w:hideMark/>
          </w:tcPr>
          <w:p w14:paraId="535CBC35" w14:textId="77777777" w:rsidR="00E420FF" w:rsidRDefault="00E420FF" w:rsidP="00853C0C">
            <w:pPr>
              <w:cnfStyle w:val="000000000000" w:firstRow="0" w:lastRow="0" w:firstColumn="0" w:lastColumn="0" w:oddVBand="0" w:evenVBand="0" w:oddHBand="0" w:evenHBand="0" w:firstRowFirstColumn="0" w:firstRowLastColumn="0" w:lastRowFirstColumn="0" w:lastRowLastColumn="0"/>
            </w:pPr>
            <w:r>
              <w:t>Hepatic impairment</w:t>
            </w:r>
          </w:p>
        </w:tc>
        <w:tc>
          <w:tcPr>
            <w:tcW w:w="1276" w:type="dxa"/>
            <w:hideMark/>
          </w:tcPr>
          <w:p w14:paraId="27AD1E37" w14:textId="77777777" w:rsidR="00E420FF" w:rsidRDefault="00E420FF" w:rsidP="00853C0C">
            <w:pPr>
              <w:cnfStyle w:val="000000000000" w:firstRow="0" w:lastRow="0" w:firstColumn="0" w:lastColumn="0" w:oddVBand="0" w:evenVBand="0" w:oddHBand="0" w:evenHBand="0" w:firstRowFirstColumn="0" w:firstRowLastColumn="0" w:lastRowFirstColumn="0" w:lastRowLastColumn="0"/>
            </w:pPr>
            <w:r>
              <w:t>N/A</w:t>
            </w:r>
          </w:p>
        </w:tc>
        <w:tc>
          <w:tcPr>
            <w:tcW w:w="709" w:type="dxa"/>
          </w:tcPr>
          <w:p w14:paraId="376CD91B" w14:textId="77777777" w:rsidR="00E420FF" w:rsidRDefault="00E420FF" w:rsidP="00853C0C">
            <w:pPr>
              <w:cnfStyle w:val="000000000000" w:firstRow="0" w:lastRow="0" w:firstColumn="0" w:lastColumn="0" w:oddVBand="0" w:evenVBand="0" w:oddHBand="0" w:evenHBand="0" w:firstRowFirstColumn="0" w:firstRowLastColumn="0" w:lastRowFirstColumn="0" w:lastRowLastColumn="0"/>
            </w:pPr>
          </w:p>
        </w:tc>
      </w:tr>
      <w:tr w:rsidR="00E420FF" w14:paraId="4414A612" w14:textId="77777777" w:rsidTr="00E420FF">
        <w:tc>
          <w:tcPr>
            <w:cnfStyle w:val="001000000000" w:firstRow="0" w:lastRow="0" w:firstColumn="1" w:lastColumn="0" w:oddVBand="0" w:evenVBand="0" w:oddHBand="0" w:evenHBand="0" w:firstRowFirstColumn="0" w:firstRowLastColumn="0" w:lastRowFirstColumn="0" w:lastRowLastColumn="0"/>
            <w:tcW w:w="2235" w:type="dxa"/>
            <w:vMerge/>
            <w:hideMark/>
          </w:tcPr>
          <w:p w14:paraId="38B33255" w14:textId="77777777" w:rsidR="00E420FF" w:rsidRDefault="00E420FF" w:rsidP="00853C0C">
            <w:pPr>
              <w:rPr>
                <w:kern w:val="16"/>
                <w:sz w:val="20"/>
                <w:szCs w:val="20"/>
              </w:rPr>
            </w:pPr>
          </w:p>
        </w:tc>
        <w:tc>
          <w:tcPr>
            <w:tcW w:w="4110" w:type="dxa"/>
            <w:hideMark/>
          </w:tcPr>
          <w:p w14:paraId="4D9EBD58" w14:textId="77777777" w:rsidR="00E420FF" w:rsidRDefault="00E420FF" w:rsidP="00853C0C">
            <w:pPr>
              <w:cnfStyle w:val="000000000000" w:firstRow="0" w:lastRow="0" w:firstColumn="0" w:lastColumn="0" w:oddVBand="0" w:evenVBand="0" w:oddHBand="0" w:evenHBand="0" w:firstRowFirstColumn="0" w:firstRowLastColumn="0" w:lastRowFirstColumn="0" w:lastRowLastColumn="0"/>
            </w:pPr>
            <w:r>
              <w:t>Renal impairment</w:t>
            </w:r>
          </w:p>
        </w:tc>
        <w:tc>
          <w:tcPr>
            <w:tcW w:w="1276" w:type="dxa"/>
            <w:hideMark/>
          </w:tcPr>
          <w:p w14:paraId="5DD2CA55" w14:textId="77777777" w:rsidR="00E420FF" w:rsidRDefault="00E420FF" w:rsidP="00853C0C">
            <w:pPr>
              <w:cnfStyle w:val="000000000000" w:firstRow="0" w:lastRow="0" w:firstColumn="0" w:lastColumn="0" w:oddVBand="0" w:evenVBand="0" w:oddHBand="0" w:evenHBand="0" w:firstRowFirstColumn="0" w:firstRowLastColumn="0" w:lastRowFirstColumn="0" w:lastRowLastColumn="0"/>
            </w:pPr>
            <w:r>
              <w:t>N/A</w:t>
            </w:r>
          </w:p>
        </w:tc>
        <w:tc>
          <w:tcPr>
            <w:tcW w:w="709" w:type="dxa"/>
          </w:tcPr>
          <w:p w14:paraId="7AA91842" w14:textId="77777777" w:rsidR="00E420FF" w:rsidRDefault="00E420FF" w:rsidP="00853C0C">
            <w:pPr>
              <w:cnfStyle w:val="000000000000" w:firstRow="0" w:lastRow="0" w:firstColumn="0" w:lastColumn="0" w:oddVBand="0" w:evenVBand="0" w:oddHBand="0" w:evenHBand="0" w:firstRowFirstColumn="0" w:firstRowLastColumn="0" w:lastRowFirstColumn="0" w:lastRowLastColumn="0"/>
            </w:pPr>
          </w:p>
        </w:tc>
      </w:tr>
      <w:tr w:rsidR="00E420FF" w14:paraId="37C1AA9C" w14:textId="77777777" w:rsidTr="00E420FF">
        <w:tc>
          <w:tcPr>
            <w:cnfStyle w:val="001000000000" w:firstRow="0" w:lastRow="0" w:firstColumn="1" w:lastColumn="0" w:oddVBand="0" w:evenVBand="0" w:oddHBand="0" w:evenHBand="0" w:firstRowFirstColumn="0" w:firstRowLastColumn="0" w:lastRowFirstColumn="0" w:lastRowLastColumn="0"/>
            <w:tcW w:w="2235" w:type="dxa"/>
            <w:vMerge/>
            <w:hideMark/>
          </w:tcPr>
          <w:p w14:paraId="6733D162" w14:textId="77777777" w:rsidR="00E420FF" w:rsidRDefault="00E420FF" w:rsidP="00853C0C">
            <w:pPr>
              <w:rPr>
                <w:kern w:val="16"/>
                <w:sz w:val="20"/>
                <w:szCs w:val="20"/>
              </w:rPr>
            </w:pPr>
          </w:p>
        </w:tc>
        <w:tc>
          <w:tcPr>
            <w:tcW w:w="4110" w:type="dxa"/>
            <w:hideMark/>
          </w:tcPr>
          <w:p w14:paraId="49F49C6E" w14:textId="77777777" w:rsidR="00E420FF" w:rsidRDefault="00E420FF" w:rsidP="00853C0C">
            <w:pPr>
              <w:cnfStyle w:val="000000000000" w:firstRow="0" w:lastRow="0" w:firstColumn="0" w:lastColumn="0" w:oddVBand="0" w:evenVBand="0" w:oddHBand="0" w:evenHBand="0" w:firstRowFirstColumn="0" w:firstRowLastColumn="0" w:lastRowFirstColumn="0" w:lastRowLastColumn="0"/>
            </w:pPr>
            <w:r>
              <w:t>Neonates/infants/children/adolescents</w:t>
            </w:r>
          </w:p>
        </w:tc>
        <w:tc>
          <w:tcPr>
            <w:tcW w:w="1276" w:type="dxa"/>
            <w:hideMark/>
          </w:tcPr>
          <w:p w14:paraId="4821FD27" w14:textId="77777777" w:rsidR="00E420FF" w:rsidRDefault="00E420FF" w:rsidP="00853C0C">
            <w:pPr>
              <w:cnfStyle w:val="000000000000" w:firstRow="0" w:lastRow="0" w:firstColumn="0" w:lastColumn="0" w:oddVBand="0" w:evenVBand="0" w:oddHBand="0" w:evenHBand="0" w:firstRowFirstColumn="0" w:firstRowLastColumn="0" w:lastRowFirstColumn="0" w:lastRowLastColumn="0"/>
            </w:pPr>
            <w:r>
              <w:t>N/A</w:t>
            </w:r>
          </w:p>
        </w:tc>
        <w:tc>
          <w:tcPr>
            <w:tcW w:w="709" w:type="dxa"/>
          </w:tcPr>
          <w:p w14:paraId="5AF9AF29" w14:textId="77777777" w:rsidR="00E420FF" w:rsidRDefault="00E420FF" w:rsidP="00853C0C">
            <w:pPr>
              <w:cnfStyle w:val="000000000000" w:firstRow="0" w:lastRow="0" w:firstColumn="0" w:lastColumn="0" w:oddVBand="0" w:evenVBand="0" w:oddHBand="0" w:evenHBand="0" w:firstRowFirstColumn="0" w:firstRowLastColumn="0" w:lastRowFirstColumn="0" w:lastRowLastColumn="0"/>
            </w:pPr>
          </w:p>
        </w:tc>
      </w:tr>
      <w:tr w:rsidR="00E420FF" w14:paraId="50FCB4FD" w14:textId="77777777" w:rsidTr="00E420FF">
        <w:tc>
          <w:tcPr>
            <w:cnfStyle w:val="001000000000" w:firstRow="0" w:lastRow="0" w:firstColumn="1" w:lastColumn="0" w:oddVBand="0" w:evenVBand="0" w:oddHBand="0" w:evenHBand="0" w:firstRowFirstColumn="0" w:firstRowLastColumn="0" w:lastRowFirstColumn="0" w:lastRowLastColumn="0"/>
            <w:tcW w:w="2235" w:type="dxa"/>
            <w:vMerge/>
            <w:hideMark/>
          </w:tcPr>
          <w:p w14:paraId="1BBB0009" w14:textId="77777777" w:rsidR="00E420FF" w:rsidRDefault="00E420FF" w:rsidP="00853C0C">
            <w:pPr>
              <w:rPr>
                <w:kern w:val="16"/>
                <w:sz w:val="20"/>
                <w:szCs w:val="20"/>
              </w:rPr>
            </w:pPr>
          </w:p>
        </w:tc>
        <w:tc>
          <w:tcPr>
            <w:tcW w:w="4110" w:type="dxa"/>
            <w:hideMark/>
          </w:tcPr>
          <w:p w14:paraId="6FFD192E" w14:textId="77777777" w:rsidR="00E420FF" w:rsidRDefault="00E420FF" w:rsidP="00853C0C">
            <w:pPr>
              <w:cnfStyle w:val="000000000000" w:firstRow="0" w:lastRow="0" w:firstColumn="0" w:lastColumn="0" w:oddVBand="0" w:evenVBand="0" w:oddHBand="0" w:evenHBand="0" w:firstRowFirstColumn="0" w:firstRowLastColumn="0" w:lastRowFirstColumn="0" w:lastRowLastColumn="0"/>
            </w:pPr>
            <w:r>
              <w:t>Elderly</w:t>
            </w:r>
          </w:p>
        </w:tc>
        <w:tc>
          <w:tcPr>
            <w:tcW w:w="1276" w:type="dxa"/>
            <w:hideMark/>
          </w:tcPr>
          <w:p w14:paraId="5BBBF797" w14:textId="77777777" w:rsidR="00E420FF" w:rsidRDefault="00E420FF" w:rsidP="00853C0C">
            <w:pPr>
              <w:cnfStyle w:val="000000000000" w:firstRow="0" w:lastRow="0" w:firstColumn="0" w:lastColumn="0" w:oddVBand="0" w:evenVBand="0" w:oddHBand="0" w:evenHBand="0" w:firstRowFirstColumn="0" w:firstRowLastColumn="0" w:lastRowFirstColumn="0" w:lastRowLastColumn="0"/>
            </w:pPr>
            <w:r>
              <w:t>N/A</w:t>
            </w:r>
          </w:p>
        </w:tc>
        <w:tc>
          <w:tcPr>
            <w:tcW w:w="709" w:type="dxa"/>
          </w:tcPr>
          <w:p w14:paraId="55163BB0" w14:textId="77777777" w:rsidR="00E420FF" w:rsidRDefault="00E420FF" w:rsidP="00853C0C">
            <w:pPr>
              <w:cnfStyle w:val="000000000000" w:firstRow="0" w:lastRow="0" w:firstColumn="0" w:lastColumn="0" w:oddVBand="0" w:evenVBand="0" w:oddHBand="0" w:evenHBand="0" w:firstRowFirstColumn="0" w:firstRowLastColumn="0" w:lastRowFirstColumn="0" w:lastRowLastColumn="0"/>
            </w:pPr>
          </w:p>
        </w:tc>
      </w:tr>
      <w:tr w:rsidR="00E420FF" w14:paraId="3A97D2DB" w14:textId="77777777" w:rsidTr="00E420FF">
        <w:tc>
          <w:tcPr>
            <w:cnfStyle w:val="001000000000" w:firstRow="0" w:lastRow="0" w:firstColumn="1" w:lastColumn="0" w:oddVBand="0" w:evenVBand="0" w:oddHBand="0" w:evenHBand="0" w:firstRowFirstColumn="0" w:firstRowLastColumn="0" w:lastRowFirstColumn="0" w:lastRowLastColumn="0"/>
            <w:tcW w:w="2235" w:type="dxa"/>
            <w:hideMark/>
          </w:tcPr>
          <w:p w14:paraId="09B836E3" w14:textId="77777777" w:rsidR="00E420FF" w:rsidRDefault="00E420FF" w:rsidP="00853C0C">
            <w:r>
              <w:t>Genetic/gender-related PK</w:t>
            </w:r>
          </w:p>
        </w:tc>
        <w:tc>
          <w:tcPr>
            <w:tcW w:w="4110" w:type="dxa"/>
            <w:hideMark/>
          </w:tcPr>
          <w:p w14:paraId="7B1E684B" w14:textId="77777777" w:rsidR="00E420FF" w:rsidRDefault="00E420FF" w:rsidP="00853C0C">
            <w:pPr>
              <w:cnfStyle w:val="000000000000" w:firstRow="0" w:lastRow="0" w:firstColumn="0" w:lastColumn="0" w:oddVBand="0" w:evenVBand="0" w:oddHBand="0" w:evenHBand="0" w:firstRowFirstColumn="0" w:firstRowLastColumn="0" w:lastRowFirstColumn="0" w:lastRowLastColumn="0"/>
            </w:pPr>
            <w:r>
              <w:t xml:space="preserve">Males </w:t>
            </w:r>
            <w:r w:rsidR="003A2634">
              <w:t>versus</w:t>
            </w:r>
            <w:r>
              <w:t xml:space="preserve"> females</w:t>
            </w:r>
          </w:p>
        </w:tc>
        <w:tc>
          <w:tcPr>
            <w:tcW w:w="1276" w:type="dxa"/>
            <w:hideMark/>
          </w:tcPr>
          <w:p w14:paraId="58941089" w14:textId="77777777" w:rsidR="00E420FF" w:rsidRDefault="00E420FF" w:rsidP="00853C0C">
            <w:pPr>
              <w:cnfStyle w:val="000000000000" w:firstRow="0" w:lastRow="0" w:firstColumn="0" w:lastColumn="0" w:oddVBand="0" w:evenVBand="0" w:oddHBand="0" w:evenHBand="0" w:firstRowFirstColumn="0" w:firstRowLastColumn="0" w:lastRowFirstColumn="0" w:lastRowLastColumn="0"/>
            </w:pPr>
            <w:r>
              <w:t>N/A</w:t>
            </w:r>
          </w:p>
        </w:tc>
        <w:tc>
          <w:tcPr>
            <w:tcW w:w="709" w:type="dxa"/>
          </w:tcPr>
          <w:p w14:paraId="434B4B62" w14:textId="77777777" w:rsidR="00E420FF" w:rsidRDefault="00E420FF" w:rsidP="00853C0C">
            <w:pPr>
              <w:cnfStyle w:val="000000000000" w:firstRow="0" w:lastRow="0" w:firstColumn="0" w:lastColumn="0" w:oddVBand="0" w:evenVBand="0" w:oddHBand="0" w:evenHBand="0" w:firstRowFirstColumn="0" w:firstRowLastColumn="0" w:lastRowFirstColumn="0" w:lastRowLastColumn="0"/>
            </w:pPr>
          </w:p>
        </w:tc>
      </w:tr>
      <w:tr w:rsidR="00E420FF" w14:paraId="5067D59D" w14:textId="77777777" w:rsidTr="00E420FF">
        <w:tc>
          <w:tcPr>
            <w:cnfStyle w:val="001000000000" w:firstRow="0" w:lastRow="0" w:firstColumn="1" w:lastColumn="0" w:oddVBand="0" w:evenVBand="0" w:oddHBand="0" w:evenHBand="0" w:firstRowFirstColumn="0" w:firstRowLastColumn="0" w:lastRowFirstColumn="0" w:lastRowLastColumn="0"/>
            <w:tcW w:w="2235" w:type="dxa"/>
            <w:hideMark/>
          </w:tcPr>
          <w:p w14:paraId="6D80F6BE" w14:textId="77777777" w:rsidR="00E420FF" w:rsidRDefault="00E420FF" w:rsidP="00853C0C">
            <w:r>
              <w:t>PK interactions</w:t>
            </w:r>
          </w:p>
        </w:tc>
        <w:tc>
          <w:tcPr>
            <w:tcW w:w="4110" w:type="dxa"/>
          </w:tcPr>
          <w:p w14:paraId="0786D967" w14:textId="77777777" w:rsidR="00E420FF" w:rsidRDefault="00E420FF" w:rsidP="00853C0C">
            <w:pPr>
              <w:cnfStyle w:val="000000000000" w:firstRow="0" w:lastRow="0" w:firstColumn="0" w:lastColumn="0" w:oddVBand="0" w:evenVBand="0" w:oddHBand="0" w:evenHBand="0" w:firstRowFirstColumn="0" w:firstRowLastColumn="0" w:lastRowFirstColumn="0" w:lastRowLastColumn="0"/>
            </w:pPr>
          </w:p>
        </w:tc>
        <w:tc>
          <w:tcPr>
            <w:tcW w:w="1276" w:type="dxa"/>
          </w:tcPr>
          <w:p w14:paraId="5B4EF9FE" w14:textId="77777777" w:rsidR="00E420FF" w:rsidRDefault="00E420FF" w:rsidP="00853C0C">
            <w:pPr>
              <w:cnfStyle w:val="000000000000" w:firstRow="0" w:lastRow="0" w:firstColumn="0" w:lastColumn="0" w:oddVBand="0" w:evenVBand="0" w:oddHBand="0" w:evenHBand="0" w:firstRowFirstColumn="0" w:firstRowLastColumn="0" w:lastRowFirstColumn="0" w:lastRowLastColumn="0"/>
            </w:pPr>
            <w:r>
              <w:t>N/A</w:t>
            </w:r>
          </w:p>
        </w:tc>
        <w:tc>
          <w:tcPr>
            <w:tcW w:w="709" w:type="dxa"/>
          </w:tcPr>
          <w:p w14:paraId="7FD95A3D" w14:textId="77777777" w:rsidR="00E420FF" w:rsidRDefault="00E420FF" w:rsidP="00853C0C">
            <w:pPr>
              <w:cnfStyle w:val="000000000000" w:firstRow="0" w:lastRow="0" w:firstColumn="0" w:lastColumn="0" w:oddVBand="0" w:evenVBand="0" w:oddHBand="0" w:evenHBand="0" w:firstRowFirstColumn="0" w:firstRowLastColumn="0" w:lastRowFirstColumn="0" w:lastRowLastColumn="0"/>
            </w:pPr>
          </w:p>
        </w:tc>
      </w:tr>
      <w:tr w:rsidR="00E420FF" w14:paraId="11C1EF69" w14:textId="77777777" w:rsidTr="00E420FF">
        <w:tc>
          <w:tcPr>
            <w:cnfStyle w:val="001000000000" w:firstRow="0" w:lastRow="0" w:firstColumn="1" w:lastColumn="0" w:oddVBand="0" w:evenVBand="0" w:oddHBand="0" w:evenHBand="0" w:firstRowFirstColumn="0" w:firstRowLastColumn="0" w:lastRowFirstColumn="0" w:lastRowLastColumn="0"/>
            <w:tcW w:w="2235" w:type="dxa"/>
            <w:vMerge w:val="restart"/>
            <w:hideMark/>
          </w:tcPr>
          <w:p w14:paraId="3A7AC0D3" w14:textId="77777777" w:rsidR="00E420FF" w:rsidRDefault="00E420FF" w:rsidP="00853C0C">
            <w:r>
              <w:t>Population PK analyses</w:t>
            </w:r>
          </w:p>
        </w:tc>
        <w:tc>
          <w:tcPr>
            <w:tcW w:w="4110" w:type="dxa"/>
            <w:hideMark/>
          </w:tcPr>
          <w:p w14:paraId="124441DC" w14:textId="77777777" w:rsidR="00E420FF" w:rsidRDefault="00E420FF" w:rsidP="00853C0C">
            <w:pPr>
              <w:cnfStyle w:val="000000000000" w:firstRow="0" w:lastRow="0" w:firstColumn="0" w:lastColumn="0" w:oddVBand="0" w:evenVBand="0" w:oddHBand="0" w:evenHBand="0" w:firstRowFirstColumn="0" w:firstRowLastColumn="0" w:lastRowFirstColumn="0" w:lastRowLastColumn="0"/>
            </w:pPr>
            <w:r>
              <w:t>Healthy subjects</w:t>
            </w:r>
          </w:p>
        </w:tc>
        <w:tc>
          <w:tcPr>
            <w:tcW w:w="1276" w:type="dxa"/>
          </w:tcPr>
          <w:p w14:paraId="5F9F5B47" w14:textId="77777777" w:rsidR="00E420FF" w:rsidRDefault="00E420FF" w:rsidP="00853C0C">
            <w:pPr>
              <w:cnfStyle w:val="000000000000" w:firstRow="0" w:lastRow="0" w:firstColumn="0" w:lastColumn="0" w:oddVBand="0" w:evenVBand="0" w:oddHBand="0" w:evenHBand="0" w:firstRowFirstColumn="0" w:firstRowLastColumn="0" w:lastRowFirstColumn="0" w:lastRowLastColumn="0"/>
            </w:pPr>
          </w:p>
        </w:tc>
        <w:tc>
          <w:tcPr>
            <w:tcW w:w="709" w:type="dxa"/>
          </w:tcPr>
          <w:p w14:paraId="7F7DA222" w14:textId="77777777" w:rsidR="00E420FF" w:rsidRDefault="00E420FF" w:rsidP="00853C0C">
            <w:pPr>
              <w:cnfStyle w:val="000000000000" w:firstRow="0" w:lastRow="0" w:firstColumn="0" w:lastColumn="0" w:oddVBand="0" w:evenVBand="0" w:oddHBand="0" w:evenHBand="0" w:firstRowFirstColumn="0" w:firstRowLastColumn="0" w:lastRowFirstColumn="0" w:lastRowLastColumn="0"/>
            </w:pPr>
          </w:p>
        </w:tc>
      </w:tr>
      <w:tr w:rsidR="00E420FF" w14:paraId="4C67A7C3" w14:textId="77777777" w:rsidTr="00E420FF">
        <w:tc>
          <w:tcPr>
            <w:cnfStyle w:val="001000000000" w:firstRow="0" w:lastRow="0" w:firstColumn="1" w:lastColumn="0" w:oddVBand="0" w:evenVBand="0" w:oddHBand="0" w:evenHBand="0" w:firstRowFirstColumn="0" w:firstRowLastColumn="0" w:lastRowFirstColumn="0" w:lastRowLastColumn="0"/>
            <w:tcW w:w="2235" w:type="dxa"/>
            <w:vMerge/>
            <w:hideMark/>
          </w:tcPr>
          <w:p w14:paraId="580A48C3" w14:textId="77777777" w:rsidR="00E420FF" w:rsidRDefault="00E420FF" w:rsidP="00853C0C">
            <w:pPr>
              <w:rPr>
                <w:kern w:val="16"/>
                <w:sz w:val="20"/>
                <w:szCs w:val="20"/>
              </w:rPr>
            </w:pPr>
          </w:p>
        </w:tc>
        <w:tc>
          <w:tcPr>
            <w:tcW w:w="4110" w:type="dxa"/>
            <w:hideMark/>
          </w:tcPr>
          <w:p w14:paraId="1D9654D5" w14:textId="77777777" w:rsidR="00E420FF" w:rsidRDefault="00E420FF" w:rsidP="00853C0C">
            <w:pPr>
              <w:cnfStyle w:val="000000000000" w:firstRow="0" w:lastRow="0" w:firstColumn="0" w:lastColumn="0" w:oddVBand="0" w:evenVBand="0" w:oddHBand="0" w:evenHBand="0" w:firstRowFirstColumn="0" w:firstRowLastColumn="0" w:lastRowFirstColumn="0" w:lastRowLastColumn="0"/>
            </w:pPr>
            <w:r>
              <w:t>Target population</w:t>
            </w:r>
          </w:p>
        </w:tc>
        <w:tc>
          <w:tcPr>
            <w:tcW w:w="1276" w:type="dxa"/>
            <w:hideMark/>
          </w:tcPr>
          <w:p w14:paraId="2B4129C0" w14:textId="77777777" w:rsidR="00E420FF" w:rsidRDefault="00E420FF" w:rsidP="00853C0C">
            <w:pPr>
              <w:cnfStyle w:val="000000000000" w:firstRow="0" w:lastRow="0" w:firstColumn="0" w:lastColumn="0" w:oddVBand="0" w:evenVBand="0" w:oddHBand="0" w:evenHBand="0" w:firstRowFirstColumn="0" w:firstRowLastColumn="0" w:lastRowFirstColumn="0" w:lastRowLastColumn="0"/>
            </w:pPr>
            <w:r>
              <w:t>001-01</w:t>
            </w:r>
          </w:p>
        </w:tc>
        <w:tc>
          <w:tcPr>
            <w:tcW w:w="709" w:type="dxa"/>
          </w:tcPr>
          <w:p w14:paraId="7DEB7154" w14:textId="77777777" w:rsidR="00E420FF" w:rsidRDefault="00E420FF" w:rsidP="00853C0C">
            <w:pPr>
              <w:cnfStyle w:val="000000000000" w:firstRow="0" w:lastRow="0" w:firstColumn="0" w:lastColumn="0" w:oddVBand="0" w:evenVBand="0" w:oddHBand="0" w:evenHBand="0" w:firstRowFirstColumn="0" w:firstRowLastColumn="0" w:lastRowFirstColumn="0" w:lastRowLastColumn="0"/>
            </w:pPr>
          </w:p>
        </w:tc>
      </w:tr>
      <w:tr w:rsidR="00E420FF" w14:paraId="00CC9AD2" w14:textId="77777777" w:rsidTr="00E420FF">
        <w:tc>
          <w:tcPr>
            <w:cnfStyle w:val="001000000000" w:firstRow="0" w:lastRow="0" w:firstColumn="1" w:lastColumn="0" w:oddVBand="0" w:evenVBand="0" w:oddHBand="0" w:evenHBand="0" w:firstRowFirstColumn="0" w:firstRowLastColumn="0" w:lastRowFirstColumn="0" w:lastRowLastColumn="0"/>
            <w:tcW w:w="2235" w:type="dxa"/>
            <w:vMerge/>
            <w:hideMark/>
          </w:tcPr>
          <w:p w14:paraId="3F9BD49B" w14:textId="77777777" w:rsidR="00E420FF" w:rsidRDefault="00E420FF" w:rsidP="00853C0C">
            <w:pPr>
              <w:rPr>
                <w:kern w:val="16"/>
                <w:sz w:val="20"/>
                <w:szCs w:val="20"/>
              </w:rPr>
            </w:pPr>
          </w:p>
        </w:tc>
        <w:tc>
          <w:tcPr>
            <w:tcW w:w="4110" w:type="dxa"/>
            <w:hideMark/>
          </w:tcPr>
          <w:p w14:paraId="5838264F" w14:textId="77777777" w:rsidR="00E420FF" w:rsidRDefault="00E420FF" w:rsidP="00853C0C">
            <w:pPr>
              <w:cnfStyle w:val="000000000000" w:firstRow="0" w:lastRow="0" w:firstColumn="0" w:lastColumn="0" w:oddVBand="0" w:evenVBand="0" w:oddHBand="0" w:evenHBand="0" w:firstRowFirstColumn="0" w:firstRowLastColumn="0" w:lastRowFirstColumn="0" w:lastRowLastColumn="0"/>
            </w:pPr>
            <w:r>
              <w:t>Other</w:t>
            </w:r>
          </w:p>
        </w:tc>
        <w:tc>
          <w:tcPr>
            <w:tcW w:w="1276" w:type="dxa"/>
          </w:tcPr>
          <w:p w14:paraId="7D228308" w14:textId="77777777" w:rsidR="00E420FF" w:rsidRDefault="00E420FF" w:rsidP="00853C0C">
            <w:pPr>
              <w:cnfStyle w:val="000000000000" w:firstRow="0" w:lastRow="0" w:firstColumn="0" w:lastColumn="0" w:oddVBand="0" w:evenVBand="0" w:oddHBand="0" w:evenHBand="0" w:firstRowFirstColumn="0" w:firstRowLastColumn="0" w:lastRowFirstColumn="0" w:lastRowLastColumn="0"/>
            </w:pPr>
          </w:p>
        </w:tc>
        <w:tc>
          <w:tcPr>
            <w:tcW w:w="709" w:type="dxa"/>
          </w:tcPr>
          <w:p w14:paraId="3009BE0C" w14:textId="77777777" w:rsidR="00E420FF" w:rsidRDefault="00E420FF" w:rsidP="00853C0C">
            <w:pPr>
              <w:cnfStyle w:val="000000000000" w:firstRow="0" w:lastRow="0" w:firstColumn="0" w:lastColumn="0" w:oddVBand="0" w:evenVBand="0" w:oddHBand="0" w:evenHBand="0" w:firstRowFirstColumn="0" w:firstRowLastColumn="0" w:lastRowFirstColumn="0" w:lastRowLastColumn="0"/>
            </w:pPr>
          </w:p>
        </w:tc>
      </w:tr>
    </w:tbl>
    <w:p w14:paraId="445C1034" w14:textId="77777777" w:rsidR="00970674" w:rsidRDefault="00970674" w:rsidP="00E420FF">
      <w:pPr>
        <w:pStyle w:val="TableDescription"/>
      </w:pPr>
      <w:r>
        <w:t>* Indicates the primary aim of the study.</w:t>
      </w:r>
      <w:r w:rsidR="00E420FF">
        <w:t xml:space="preserve"> </w:t>
      </w:r>
      <w:r>
        <w:t>† Bioequivalence of different formulations.</w:t>
      </w:r>
      <w:r w:rsidR="00E420FF">
        <w:t xml:space="preserve"> </w:t>
      </w:r>
      <w:r>
        <w:t>§ Subjects who would be eligible to receive the drug if approved for the proposed indication.</w:t>
      </w:r>
    </w:p>
    <w:p w14:paraId="1AE67149" w14:textId="77777777" w:rsidR="00970674" w:rsidRDefault="00970674" w:rsidP="00E420FF">
      <w:pPr>
        <w:pStyle w:val="Heading3"/>
      </w:pPr>
      <w:bookmarkStart w:id="30" w:name="_Toc429143887"/>
      <w:bookmarkStart w:id="31" w:name="_Toc290846239"/>
      <w:bookmarkStart w:id="32" w:name="_Toc272414616"/>
      <w:bookmarkStart w:id="33" w:name="_Ref269118175"/>
      <w:bookmarkStart w:id="34" w:name="_Toc452631083"/>
      <w:r>
        <w:t>Summary of pharmacokinetics</w:t>
      </w:r>
      <w:bookmarkEnd w:id="30"/>
      <w:bookmarkEnd w:id="31"/>
      <w:bookmarkEnd w:id="32"/>
      <w:bookmarkEnd w:id="33"/>
      <w:bookmarkEnd w:id="34"/>
    </w:p>
    <w:p w14:paraId="1594CD05" w14:textId="77777777" w:rsidR="00970674" w:rsidRDefault="00970674" w:rsidP="00970674">
      <w:r>
        <w:rPr>
          <w:lang w:val="en-US"/>
        </w:rPr>
        <w:t xml:space="preserve">Traditional pharmacokinetic studies investigating absorption, distribution, metabolism and excretion are not relevant for </w:t>
      </w:r>
      <w:proofErr w:type="spellStart"/>
      <w:r>
        <w:rPr>
          <w:lang w:val="en-US"/>
        </w:rPr>
        <w:t>talimogene</w:t>
      </w:r>
      <w:proofErr w:type="spellEnd"/>
      <w:r>
        <w:rPr>
          <w:lang w:val="en-US"/>
        </w:rPr>
        <w:t xml:space="preserve"> </w:t>
      </w:r>
      <w:proofErr w:type="spellStart"/>
      <w:r>
        <w:rPr>
          <w:lang w:val="en-US"/>
        </w:rPr>
        <w:t>laherparepvec</w:t>
      </w:r>
      <w:proofErr w:type="spellEnd"/>
      <w:r>
        <w:rPr>
          <w:lang w:val="en-US"/>
        </w:rPr>
        <w:t xml:space="preserve">. </w:t>
      </w:r>
      <w:r>
        <w:t xml:space="preserve">Pharmacokinetic studies focused on issues more relevant to this type of product including virus </w:t>
      </w:r>
      <w:proofErr w:type="spellStart"/>
      <w:r>
        <w:t>biodistribution</w:t>
      </w:r>
      <w:proofErr w:type="spellEnd"/>
      <w:r>
        <w:t xml:space="preserve"> to body tissues (using a validated qPCR assay) and assessment of viral shedding following various routes of administration.</w:t>
      </w:r>
    </w:p>
    <w:p w14:paraId="088A07F2" w14:textId="77777777" w:rsidR="00970674" w:rsidRDefault="00970674" w:rsidP="00215B9C">
      <w:pPr>
        <w:pStyle w:val="Heading4"/>
      </w:pPr>
      <w:bookmarkStart w:id="35" w:name="_Toc429143888"/>
      <w:bookmarkStart w:id="36" w:name="_Toc290846240"/>
      <w:bookmarkStart w:id="37" w:name="_Toc272414617"/>
      <w:r>
        <w:t>Physical characteristics of the active substance</w:t>
      </w:r>
      <w:bookmarkEnd w:id="35"/>
      <w:bookmarkEnd w:id="36"/>
      <w:bookmarkEnd w:id="37"/>
    </w:p>
    <w:p w14:paraId="325F7B33" w14:textId="77777777" w:rsidR="00970674" w:rsidRDefault="00970674" w:rsidP="00970674">
      <w:pPr>
        <w:rPr>
          <w:lang w:val="en-US"/>
        </w:rPr>
      </w:pPr>
      <w:proofErr w:type="spellStart"/>
      <w:r>
        <w:rPr>
          <w:lang w:val="en-US"/>
        </w:rPr>
        <w:t>Talimogene</w:t>
      </w:r>
      <w:proofErr w:type="spellEnd"/>
      <w:r>
        <w:rPr>
          <w:lang w:val="en-US"/>
        </w:rPr>
        <w:t xml:space="preserve"> </w:t>
      </w:r>
      <w:proofErr w:type="spellStart"/>
      <w:r>
        <w:rPr>
          <w:lang w:val="en-US"/>
        </w:rPr>
        <w:t>laherparepvec</w:t>
      </w:r>
      <w:proofErr w:type="spellEnd"/>
      <w:r>
        <w:rPr>
          <w:lang w:val="en-US"/>
        </w:rPr>
        <w:t xml:space="preserve"> is derived from a novel primary viral isolate (JS1, ECACC Accession Number 01010209), which demonstrates enhanced oncolytic activity towards </w:t>
      </w:r>
      <w:proofErr w:type="spellStart"/>
      <w:r w:rsidR="00BA348C">
        <w:rPr>
          <w:lang w:val="en-US"/>
        </w:rPr>
        <w:t>tumour</w:t>
      </w:r>
      <w:proofErr w:type="spellEnd"/>
      <w:r>
        <w:rPr>
          <w:lang w:val="en-US"/>
        </w:rPr>
        <w:t xml:space="preserve"> cells as </w:t>
      </w:r>
      <w:r>
        <w:rPr>
          <w:lang w:val="en-US"/>
        </w:rPr>
        <w:lastRenderedPageBreak/>
        <w:t xml:space="preserve">compared to the commonly used laboratory strains and other </w:t>
      </w:r>
      <w:r w:rsidRPr="00342116">
        <w:rPr>
          <w:lang w:val="en-US"/>
        </w:rPr>
        <w:t>primary isolates (Liu et al. 2003).</w:t>
      </w:r>
      <w:r>
        <w:rPr>
          <w:lang w:val="en-US"/>
        </w:rPr>
        <w:t xml:space="preserve"> JS1 was subsequently genetically modified to improve anti-</w:t>
      </w:r>
      <w:proofErr w:type="spellStart"/>
      <w:r w:rsidR="00BA348C">
        <w:rPr>
          <w:lang w:val="en-US"/>
        </w:rPr>
        <w:t>tumour</w:t>
      </w:r>
      <w:proofErr w:type="spellEnd"/>
      <w:r>
        <w:rPr>
          <w:lang w:val="en-US"/>
        </w:rPr>
        <w:t xml:space="preserve"> activity and patient safety. The HSV-1 genome consists of linear, double-stranded DNA that is divided into two components, L (long) and S (short). Each component contains a unique region (UL and US) flanked by inverted repeat regions, both internally (IRL and IRS) and at the termini (TRL and TRS). Genetic modifications have been made that involve four genes: deletion of ICP34.5 and ICP47, immediate-early expression of US11 under the ICP47 promoter, and insertion of human granulocyte-monocyte colony stimulating factor (</w:t>
      </w:r>
      <w:proofErr w:type="spellStart"/>
      <w:r>
        <w:rPr>
          <w:lang w:val="en-US"/>
        </w:rPr>
        <w:t>hGM</w:t>
      </w:r>
      <w:proofErr w:type="spellEnd"/>
      <w:r>
        <w:rPr>
          <w:lang w:val="en-US"/>
        </w:rPr>
        <w:t xml:space="preserve">-CSF), as depicted in Figure 1. The ICP47 gene is situated in the US region and the ICP34.5 gene is situated in the long repeats. </w:t>
      </w:r>
    </w:p>
    <w:p w14:paraId="1406146B" w14:textId="6E792966" w:rsidR="00970674" w:rsidRDefault="00970674" w:rsidP="00215B9C">
      <w:pPr>
        <w:pStyle w:val="FigureTitle"/>
        <w:rPr>
          <w:lang w:val="en-US"/>
        </w:rPr>
      </w:pPr>
      <w:bookmarkStart w:id="38" w:name="_Toc291240595"/>
      <w:r>
        <w:t xml:space="preserve">Figure </w:t>
      </w:r>
      <w:r w:rsidR="00215B9C">
        <w:t>1</w:t>
      </w:r>
      <w:r w:rsidR="00215B9C">
        <w:rPr>
          <w:noProof/>
        </w:rPr>
        <w:t>:</w:t>
      </w:r>
      <w:r>
        <w:t xml:space="preserve"> Schematic of </w:t>
      </w:r>
      <w:proofErr w:type="spellStart"/>
      <w:r w:rsidR="006214A2">
        <w:t>talimogene</w:t>
      </w:r>
      <w:proofErr w:type="spellEnd"/>
      <w:r w:rsidR="006214A2">
        <w:t xml:space="preserve"> </w:t>
      </w:r>
      <w:proofErr w:type="spellStart"/>
      <w:r w:rsidR="006214A2">
        <w:t>laherparepvec</w:t>
      </w:r>
      <w:proofErr w:type="spellEnd"/>
      <w:r w:rsidR="006214A2">
        <w:t xml:space="preserve"> </w:t>
      </w:r>
      <w:r>
        <w:t>genome</w:t>
      </w:r>
      <w:bookmarkEnd w:id="38"/>
    </w:p>
    <w:p w14:paraId="484A0BE3" w14:textId="77777777" w:rsidR="00970674" w:rsidRDefault="00970674" w:rsidP="00970674">
      <w:r>
        <w:rPr>
          <w:noProof/>
          <w:lang w:eastAsia="en-AU"/>
        </w:rPr>
        <w:drawing>
          <wp:inline distT="0" distB="0" distL="0" distR="0" wp14:anchorId="31B26263" wp14:editId="2CD49B57">
            <wp:extent cx="4878562" cy="1870735"/>
            <wp:effectExtent l="0" t="0" r="0" b="0"/>
            <wp:docPr id="5" name="Picture 5" descr="The talimogene laherparepvec genome is shown with positions of the ICP34.5 and ICP47 deletions marked as Δ34.5 and Δ47, respectively; immediate early expression of US11 is driven by the ICP47 promotor. The site of hGM-CSF expression cassette is shown in pink and expanded to show the composition of the hGM-CSF expression cassette; the cytomegalovirus (CMV) promotor, hGM-CSF cDNA and a bovine growth hormone polyadenylation signal (pA) signal." title="Figure 1: Schematic of Talimogene Laherparepvec gen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5">
                      <a:extLst>
                        <a:ext uri="{28A0092B-C50C-407E-A947-70E740481C1C}">
                          <a14:useLocalDpi xmlns:a14="http://schemas.microsoft.com/office/drawing/2010/main" val="0"/>
                        </a:ext>
                      </a:extLst>
                    </a:blip>
                    <a:srcRect t="11716" b="5384"/>
                    <a:stretch/>
                  </pic:blipFill>
                  <pic:spPr bwMode="auto">
                    <a:xfrm>
                      <a:off x="0" y="0"/>
                      <a:ext cx="4881429" cy="1871835"/>
                    </a:xfrm>
                    <a:prstGeom prst="rect">
                      <a:avLst/>
                    </a:prstGeom>
                    <a:noFill/>
                    <a:ln>
                      <a:noFill/>
                    </a:ln>
                    <a:extLst>
                      <a:ext uri="{53640926-AAD7-44D8-BBD7-CCE9431645EC}">
                        <a14:shadowObscured xmlns:a14="http://schemas.microsoft.com/office/drawing/2010/main"/>
                      </a:ext>
                    </a:extLst>
                  </pic:spPr>
                </pic:pic>
              </a:graphicData>
            </a:graphic>
          </wp:inline>
        </w:drawing>
      </w:r>
    </w:p>
    <w:p w14:paraId="5BB6D416" w14:textId="77777777" w:rsidR="00970674" w:rsidRDefault="00970674" w:rsidP="00853C0C">
      <w:pPr>
        <w:pStyle w:val="Heading4"/>
      </w:pPr>
      <w:bookmarkStart w:id="39" w:name="_Toc429143889"/>
      <w:bookmarkStart w:id="40" w:name="_Toc290846241"/>
      <w:bookmarkStart w:id="41" w:name="_Toc272414618"/>
      <w:bookmarkStart w:id="42" w:name="_Ref271189143"/>
      <w:bookmarkStart w:id="43" w:name="_Ref271189106"/>
      <w:r w:rsidRPr="00853C0C">
        <w:t>Pharmacokinetics</w:t>
      </w:r>
      <w:bookmarkEnd w:id="39"/>
      <w:r>
        <w:t xml:space="preserve"> </w:t>
      </w:r>
      <w:bookmarkEnd w:id="40"/>
      <w:bookmarkEnd w:id="41"/>
      <w:bookmarkEnd w:id="42"/>
      <w:bookmarkEnd w:id="43"/>
    </w:p>
    <w:p w14:paraId="0FF33AEB" w14:textId="77777777" w:rsidR="00970674" w:rsidRDefault="00970674" w:rsidP="00853C0C">
      <w:pPr>
        <w:pStyle w:val="Heading5"/>
      </w:pPr>
      <w:bookmarkStart w:id="44" w:name="_Toc429143890"/>
      <w:proofErr w:type="spellStart"/>
      <w:r w:rsidRPr="00853C0C">
        <w:t>Biodistribution</w:t>
      </w:r>
      <w:bookmarkEnd w:id="44"/>
      <w:proofErr w:type="spellEnd"/>
    </w:p>
    <w:p w14:paraId="01280492" w14:textId="77777777" w:rsidR="00970674" w:rsidRDefault="00970674" w:rsidP="00215B9C">
      <w:r>
        <w:rPr>
          <w:lang w:val="en-US"/>
        </w:rPr>
        <w:t xml:space="preserve">A total of 5 nonclinical studies were conducted to assess the </w:t>
      </w:r>
      <w:proofErr w:type="spellStart"/>
      <w:r>
        <w:rPr>
          <w:lang w:val="en-US"/>
        </w:rPr>
        <w:t>biodistribution</w:t>
      </w:r>
      <w:proofErr w:type="spellEnd"/>
      <w:r>
        <w:rPr>
          <w:lang w:val="en-US"/>
        </w:rPr>
        <w:t xml:space="preserve"> of </w:t>
      </w:r>
      <w:proofErr w:type="spellStart"/>
      <w:r>
        <w:rPr>
          <w:lang w:val="en-US"/>
        </w:rPr>
        <w:t>talimogene</w:t>
      </w:r>
      <w:proofErr w:type="spellEnd"/>
      <w:r>
        <w:rPr>
          <w:lang w:val="en-US"/>
        </w:rPr>
        <w:t xml:space="preserve"> </w:t>
      </w:r>
      <w:proofErr w:type="spellStart"/>
      <w:r>
        <w:rPr>
          <w:lang w:val="en-US"/>
        </w:rPr>
        <w:t>laherparepvec</w:t>
      </w:r>
      <w:proofErr w:type="spellEnd"/>
      <w:r>
        <w:rPr>
          <w:lang w:val="en-US"/>
        </w:rPr>
        <w:t xml:space="preserve"> to body tissues and </w:t>
      </w:r>
      <w:proofErr w:type="spellStart"/>
      <w:r w:rsidR="00BA348C">
        <w:rPr>
          <w:lang w:val="en-US"/>
        </w:rPr>
        <w:t>tumour</w:t>
      </w:r>
      <w:r>
        <w:rPr>
          <w:lang w:val="en-US"/>
        </w:rPr>
        <w:t>s</w:t>
      </w:r>
      <w:proofErr w:type="spellEnd"/>
      <w:r>
        <w:rPr>
          <w:lang w:val="en-US"/>
        </w:rPr>
        <w:t xml:space="preserve"> and viral shedding in excreta. In addition, the expression of GM-CSF, a direct evidence of </w:t>
      </w:r>
      <w:proofErr w:type="spellStart"/>
      <w:r>
        <w:rPr>
          <w:lang w:val="en-US"/>
        </w:rPr>
        <w:t>talimogene</w:t>
      </w:r>
      <w:proofErr w:type="spellEnd"/>
      <w:r>
        <w:rPr>
          <w:lang w:val="en-US"/>
        </w:rPr>
        <w:t xml:space="preserve"> </w:t>
      </w:r>
      <w:proofErr w:type="spellStart"/>
      <w:r>
        <w:rPr>
          <w:lang w:val="en-US"/>
        </w:rPr>
        <w:t>laherparepvec</w:t>
      </w:r>
      <w:proofErr w:type="spellEnd"/>
      <w:r>
        <w:rPr>
          <w:lang w:val="en-US"/>
        </w:rPr>
        <w:t xml:space="preserve"> presence, was measured in </w:t>
      </w:r>
      <w:proofErr w:type="spellStart"/>
      <w:r w:rsidR="00BA348C">
        <w:rPr>
          <w:lang w:val="en-US"/>
        </w:rPr>
        <w:t>tumour</w:t>
      </w:r>
      <w:proofErr w:type="spellEnd"/>
      <w:r>
        <w:rPr>
          <w:lang w:val="en-US"/>
        </w:rPr>
        <w:t xml:space="preserve"> and serum samples. Four of these studies were conducted in BALB/c mice, a relevant and sensitive model for evaluating the safety and </w:t>
      </w:r>
      <w:proofErr w:type="spellStart"/>
      <w:r>
        <w:rPr>
          <w:lang w:val="en-US"/>
        </w:rPr>
        <w:t>neurovirulenc</w:t>
      </w:r>
      <w:r w:rsidR="00215B9C">
        <w:rPr>
          <w:lang w:val="en-US"/>
        </w:rPr>
        <w:t>e</w:t>
      </w:r>
      <w:proofErr w:type="spellEnd"/>
      <w:r w:rsidR="00215B9C">
        <w:rPr>
          <w:lang w:val="en-US"/>
        </w:rPr>
        <w:t xml:space="preserve"> of an HSV-1-based therapeutic</w:t>
      </w:r>
      <w:r>
        <w:rPr>
          <w:lang w:val="en-US"/>
        </w:rPr>
        <w:t xml:space="preserve">; one study evaluating the </w:t>
      </w:r>
      <w:proofErr w:type="spellStart"/>
      <w:r>
        <w:rPr>
          <w:lang w:val="en-US"/>
        </w:rPr>
        <w:t>biodistribution</w:t>
      </w:r>
      <w:proofErr w:type="spellEnd"/>
      <w:r>
        <w:rPr>
          <w:lang w:val="en-US"/>
        </w:rPr>
        <w:t xml:space="preserve"> of </w:t>
      </w:r>
      <w:proofErr w:type="spellStart"/>
      <w:r>
        <w:rPr>
          <w:lang w:val="en-US"/>
        </w:rPr>
        <w:t>talimogene</w:t>
      </w:r>
      <w:proofErr w:type="spellEnd"/>
      <w:r>
        <w:rPr>
          <w:lang w:val="en-US"/>
        </w:rPr>
        <w:t xml:space="preserve"> </w:t>
      </w:r>
      <w:proofErr w:type="spellStart"/>
      <w:r>
        <w:rPr>
          <w:lang w:val="en-US"/>
        </w:rPr>
        <w:t>laherparepvec</w:t>
      </w:r>
      <w:proofErr w:type="spellEnd"/>
      <w:r>
        <w:rPr>
          <w:lang w:val="en-US"/>
        </w:rPr>
        <w:t xml:space="preserve"> was conducted in dogs to support potential clinical testing of </w:t>
      </w:r>
      <w:proofErr w:type="spellStart"/>
      <w:r>
        <w:rPr>
          <w:lang w:val="en-US"/>
        </w:rPr>
        <w:t>talimogene</w:t>
      </w:r>
      <w:proofErr w:type="spellEnd"/>
      <w:r>
        <w:rPr>
          <w:lang w:val="en-US"/>
        </w:rPr>
        <w:t xml:space="preserve"> </w:t>
      </w:r>
      <w:proofErr w:type="spellStart"/>
      <w:r>
        <w:rPr>
          <w:lang w:val="en-US"/>
        </w:rPr>
        <w:t>laherparepvec</w:t>
      </w:r>
      <w:proofErr w:type="spellEnd"/>
      <w:r>
        <w:rPr>
          <w:lang w:val="en-US"/>
        </w:rPr>
        <w:t xml:space="preserve"> in patients with prostate cancer. In addition, an embryo-fetal development study was conducted to evaluate placental transfer.</w:t>
      </w:r>
    </w:p>
    <w:p w14:paraId="7743F52E" w14:textId="77777777" w:rsidR="00970674" w:rsidRDefault="00970674" w:rsidP="00215B9C">
      <w:pPr>
        <w:rPr>
          <w:lang w:val="en-US"/>
        </w:rPr>
      </w:pPr>
      <w:r>
        <w:rPr>
          <w:lang w:val="en-US"/>
        </w:rPr>
        <w:t xml:space="preserve">The most comprehensive data regarding viral </w:t>
      </w:r>
      <w:proofErr w:type="spellStart"/>
      <w:r>
        <w:rPr>
          <w:lang w:val="en-US"/>
        </w:rPr>
        <w:t>biodistribution</w:t>
      </w:r>
      <w:proofErr w:type="spellEnd"/>
      <w:r>
        <w:rPr>
          <w:lang w:val="en-US"/>
        </w:rPr>
        <w:t xml:space="preserve"> was obtained from the</w:t>
      </w:r>
      <w:r w:rsidR="00215B9C">
        <w:rPr>
          <w:lang w:val="en-US"/>
        </w:rPr>
        <w:t xml:space="preserve"> </w:t>
      </w:r>
      <w:r>
        <w:rPr>
          <w:lang w:val="en-US"/>
        </w:rPr>
        <w:t xml:space="preserve">2-part first-in-human Study 001/01, which enrolled subjects with varied </w:t>
      </w:r>
      <w:proofErr w:type="spellStart"/>
      <w:r w:rsidR="00BA348C">
        <w:rPr>
          <w:lang w:val="en-US"/>
        </w:rPr>
        <w:t>tumour</w:t>
      </w:r>
      <w:proofErr w:type="spellEnd"/>
      <w:r>
        <w:rPr>
          <w:lang w:val="en-US"/>
        </w:rPr>
        <w:t xml:space="preserve"> types, including melanoma. Subjects in Part 1 received single doses of 10</w:t>
      </w:r>
      <w:r>
        <w:rPr>
          <w:vertAlign w:val="superscript"/>
          <w:lang w:val="en-US"/>
        </w:rPr>
        <w:t>6</w:t>
      </w:r>
      <w:r>
        <w:rPr>
          <w:lang w:val="en-US"/>
        </w:rPr>
        <w:t>, 10</w:t>
      </w:r>
      <w:r>
        <w:rPr>
          <w:vertAlign w:val="superscript"/>
          <w:lang w:val="en-US"/>
        </w:rPr>
        <w:t>7</w:t>
      </w:r>
      <w:r>
        <w:rPr>
          <w:lang w:val="en-US"/>
        </w:rPr>
        <w:t>and 10</w:t>
      </w:r>
      <w:r>
        <w:rPr>
          <w:vertAlign w:val="superscript"/>
          <w:lang w:val="en-US"/>
        </w:rPr>
        <w:t>8</w:t>
      </w:r>
      <w:r>
        <w:rPr>
          <w:lang w:val="en-US"/>
        </w:rPr>
        <w:t xml:space="preserve"> plaque-forming units (PFU)/mL in separate dose cohorts, while subjects in Part 2 received one dose of 10</w:t>
      </w:r>
      <w:r>
        <w:rPr>
          <w:vertAlign w:val="superscript"/>
          <w:lang w:val="en-US"/>
        </w:rPr>
        <w:t>6</w:t>
      </w:r>
      <w:r>
        <w:rPr>
          <w:lang w:val="en-US"/>
        </w:rPr>
        <w:t xml:space="preserve"> PFU/mL followed by 2 doses of either 10</w:t>
      </w:r>
      <w:r>
        <w:rPr>
          <w:vertAlign w:val="superscript"/>
          <w:lang w:val="en-US"/>
        </w:rPr>
        <w:t>7</w:t>
      </w:r>
      <w:r>
        <w:rPr>
          <w:lang w:val="en-US"/>
        </w:rPr>
        <w:t xml:space="preserve"> or 10</w:t>
      </w:r>
      <w:r>
        <w:rPr>
          <w:vertAlign w:val="superscript"/>
          <w:lang w:val="en-US"/>
        </w:rPr>
        <w:t xml:space="preserve">8 </w:t>
      </w:r>
      <w:r>
        <w:rPr>
          <w:lang w:val="en-US"/>
        </w:rPr>
        <w:t>PFU/</w:t>
      </w:r>
      <w:proofErr w:type="spellStart"/>
      <w:r>
        <w:rPr>
          <w:lang w:val="en-US"/>
        </w:rPr>
        <w:t>mL.</w:t>
      </w:r>
      <w:proofErr w:type="spellEnd"/>
    </w:p>
    <w:p w14:paraId="0521E2FF" w14:textId="77777777" w:rsidR="00970674" w:rsidRDefault="00970674" w:rsidP="00215B9C">
      <w:pPr>
        <w:rPr>
          <w:lang w:val="en-US"/>
        </w:rPr>
      </w:pPr>
      <w:r>
        <w:rPr>
          <w:lang w:val="en-US"/>
        </w:rPr>
        <w:t xml:space="preserve">Viral DNA was not detected in the urine samples collected from subjects treated with this dosing regimen during </w:t>
      </w:r>
      <w:r w:rsidR="00215B9C">
        <w:rPr>
          <w:lang w:val="en-US"/>
        </w:rPr>
        <w:t>P</w:t>
      </w:r>
      <w:r>
        <w:rPr>
          <w:lang w:val="en-US"/>
        </w:rPr>
        <w:t xml:space="preserve">art 2 when multiple doses were administered. This study provided the primary evidence for the pattern of </w:t>
      </w:r>
      <w:proofErr w:type="spellStart"/>
      <w:r>
        <w:rPr>
          <w:lang w:val="en-US"/>
        </w:rPr>
        <w:t>talimogene</w:t>
      </w:r>
      <w:proofErr w:type="spellEnd"/>
      <w:r>
        <w:rPr>
          <w:lang w:val="en-US"/>
        </w:rPr>
        <w:t xml:space="preserve"> </w:t>
      </w:r>
      <w:proofErr w:type="spellStart"/>
      <w:r>
        <w:rPr>
          <w:lang w:val="en-US"/>
        </w:rPr>
        <w:t>laherparepvec</w:t>
      </w:r>
      <w:proofErr w:type="spellEnd"/>
      <w:r>
        <w:rPr>
          <w:lang w:val="en-US"/>
        </w:rPr>
        <w:t xml:space="preserve"> </w:t>
      </w:r>
      <w:proofErr w:type="spellStart"/>
      <w:r>
        <w:rPr>
          <w:lang w:val="en-US"/>
        </w:rPr>
        <w:t>biodistribution</w:t>
      </w:r>
      <w:proofErr w:type="spellEnd"/>
      <w:r>
        <w:rPr>
          <w:lang w:val="en-US"/>
        </w:rPr>
        <w:t xml:space="preserve"> that informed these assessments for all subsequent clinical studies.</w:t>
      </w:r>
    </w:p>
    <w:p w14:paraId="000E0444" w14:textId="77777777" w:rsidR="00970674" w:rsidRDefault="00970674" w:rsidP="00215B9C">
      <w:pPr>
        <w:rPr>
          <w:lang w:val="en-US"/>
        </w:rPr>
      </w:pPr>
      <w:r>
        <w:rPr>
          <w:lang w:val="en-US"/>
        </w:rPr>
        <w:t>Results from 28 subjects who had completed their first cycle of administration in Study 002/03 were consistent with those from subjects in Study 001/01 in that viral DNA was infrequently detected in blood and urine samples.</w:t>
      </w:r>
    </w:p>
    <w:p w14:paraId="34C65DF3" w14:textId="77777777" w:rsidR="00970674" w:rsidRDefault="00970674" w:rsidP="00215B9C">
      <w:pPr>
        <w:rPr>
          <w:lang w:val="en-US"/>
        </w:rPr>
      </w:pPr>
      <w:r>
        <w:rPr>
          <w:lang w:val="en-US"/>
        </w:rPr>
        <w:t xml:space="preserve">Subsequent studies (004/04 and 005/04) showed a similar pattern of </w:t>
      </w:r>
      <w:proofErr w:type="spellStart"/>
      <w:r>
        <w:rPr>
          <w:lang w:val="en-US"/>
        </w:rPr>
        <w:t>biodistribution</w:t>
      </w:r>
      <w:proofErr w:type="spellEnd"/>
      <w:r>
        <w:rPr>
          <w:lang w:val="en-US"/>
        </w:rPr>
        <w:t>.</w:t>
      </w:r>
    </w:p>
    <w:p w14:paraId="390F046D" w14:textId="77777777" w:rsidR="00970674" w:rsidRDefault="00970674" w:rsidP="00215B9C">
      <w:pPr>
        <w:rPr>
          <w:lang w:val="en-US"/>
        </w:rPr>
      </w:pPr>
      <w:r>
        <w:rPr>
          <w:lang w:val="en-US"/>
        </w:rPr>
        <w:t xml:space="preserve">In Study 004/04 viral DNA was measured in biopsies. This confirmed results observed in preclinical studies whereby viral DNA was detected predominantly in </w:t>
      </w:r>
      <w:proofErr w:type="spellStart"/>
      <w:r w:rsidR="00BA348C">
        <w:rPr>
          <w:lang w:val="en-US"/>
        </w:rPr>
        <w:t>tumour</w:t>
      </w:r>
      <w:r>
        <w:rPr>
          <w:lang w:val="en-US"/>
        </w:rPr>
        <w:t>s</w:t>
      </w:r>
      <w:proofErr w:type="spellEnd"/>
      <w:r>
        <w:rPr>
          <w:lang w:val="en-US"/>
        </w:rPr>
        <w:t xml:space="preserve"> as opposed to the blood. This suggests that viral replication was predominantly confined within the </w:t>
      </w:r>
      <w:proofErr w:type="spellStart"/>
      <w:r w:rsidR="00BA348C">
        <w:rPr>
          <w:lang w:val="en-US"/>
        </w:rPr>
        <w:t>tumour</w:t>
      </w:r>
      <w:proofErr w:type="spellEnd"/>
      <w:r>
        <w:rPr>
          <w:lang w:val="en-US"/>
        </w:rPr>
        <w:t xml:space="preserve">, </w:t>
      </w:r>
      <w:r>
        <w:rPr>
          <w:lang w:val="en-US"/>
        </w:rPr>
        <w:lastRenderedPageBreak/>
        <w:t>thus resulting in comparatively lower levels of viral DNA being detected in blood and urine samples.</w:t>
      </w:r>
    </w:p>
    <w:p w14:paraId="1029A636" w14:textId="77777777" w:rsidR="00970674" w:rsidRDefault="00970674" w:rsidP="00970674">
      <w:pPr>
        <w:autoSpaceDE w:val="0"/>
        <w:autoSpaceDN w:val="0"/>
        <w:adjustRightInd w:val="0"/>
        <w:rPr>
          <w:lang w:val="en-US"/>
        </w:rPr>
      </w:pPr>
      <w:r>
        <w:rPr>
          <w:lang w:val="en-US"/>
        </w:rPr>
        <w:t xml:space="preserve">The </w:t>
      </w:r>
      <w:proofErr w:type="spellStart"/>
      <w:r>
        <w:rPr>
          <w:lang w:val="en-US"/>
        </w:rPr>
        <w:t>biodistribution</w:t>
      </w:r>
      <w:proofErr w:type="spellEnd"/>
      <w:r>
        <w:rPr>
          <w:lang w:val="en-US"/>
        </w:rPr>
        <w:t xml:space="preserve"> pattern of </w:t>
      </w:r>
      <w:proofErr w:type="spellStart"/>
      <w:r>
        <w:rPr>
          <w:lang w:val="en-US"/>
        </w:rPr>
        <w:t>talimogene</w:t>
      </w:r>
      <w:proofErr w:type="spellEnd"/>
      <w:r>
        <w:rPr>
          <w:lang w:val="en-US"/>
        </w:rPr>
        <w:t xml:space="preserve"> </w:t>
      </w:r>
      <w:proofErr w:type="spellStart"/>
      <w:r>
        <w:rPr>
          <w:lang w:val="en-US"/>
        </w:rPr>
        <w:t>laherparepvec</w:t>
      </w:r>
      <w:proofErr w:type="spellEnd"/>
      <w:r>
        <w:rPr>
          <w:lang w:val="en-US"/>
        </w:rPr>
        <w:t xml:space="preserve"> in blood and urine demonstrated consistently across studies that low copy numbers of viral DNA were sporadically detected in blood samples from 33% of subjects and urine samples from 22% of subjects from 1 hour to 1 week after </w:t>
      </w:r>
      <w:proofErr w:type="spellStart"/>
      <w:r>
        <w:rPr>
          <w:lang w:val="en-US"/>
        </w:rPr>
        <w:t>intralesional</w:t>
      </w:r>
      <w:proofErr w:type="spellEnd"/>
      <w:r>
        <w:rPr>
          <w:lang w:val="en-US"/>
        </w:rPr>
        <w:t xml:space="preserve"> injection. Blood and urine samples were negative by 2 weeks post-injection in those subjects for whom additional samples were available. The copy numbers of virus detected in blood and urine in all subjects at all collection time points was far lower than the doses administered during treatment</w:t>
      </w:r>
    </w:p>
    <w:p w14:paraId="28DA2C93" w14:textId="77777777" w:rsidR="00970674" w:rsidRDefault="00970674" w:rsidP="00215B9C">
      <w:pPr>
        <w:pStyle w:val="Heading5"/>
      </w:pPr>
      <w:bookmarkStart w:id="45" w:name="_Toc429143891"/>
      <w:r>
        <w:t>Viral Shedding</w:t>
      </w:r>
      <w:bookmarkEnd w:id="45"/>
    </w:p>
    <w:p w14:paraId="54ECDDC4" w14:textId="77777777" w:rsidR="00970674" w:rsidRDefault="00970674" w:rsidP="00970674">
      <w:pPr>
        <w:autoSpaceDE w:val="0"/>
        <w:autoSpaceDN w:val="0"/>
        <w:adjustRightInd w:val="0"/>
        <w:rPr>
          <w:lang w:val="en-US"/>
        </w:rPr>
      </w:pPr>
      <w:r>
        <w:rPr>
          <w:lang w:val="en-US"/>
        </w:rPr>
        <w:t xml:space="preserve">Viral shedding was assessed by the collection of swab samples from the surface of injected </w:t>
      </w:r>
      <w:proofErr w:type="spellStart"/>
      <w:r w:rsidR="00BA348C">
        <w:rPr>
          <w:lang w:val="en-US"/>
        </w:rPr>
        <w:t>tumour</w:t>
      </w:r>
      <w:r>
        <w:rPr>
          <w:lang w:val="en-US"/>
        </w:rPr>
        <w:t>s</w:t>
      </w:r>
      <w:proofErr w:type="spellEnd"/>
      <w:r>
        <w:rPr>
          <w:lang w:val="en-US"/>
        </w:rPr>
        <w:t xml:space="preserve"> and the exterior d</w:t>
      </w:r>
      <w:r w:rsidR="00E10416">
        <w:rPr>
          <w:lang w:val="en-US"/>
        </w:rPr>
        <w:t xml:space="preserve">ressing. The samples were </w:t>
      </w:r>
      <w:proofErr w:type="spellStart"/>
      <w:r w:rsidR="00E10416">
        <w:rPr>
          <w:lang w:val="en-US"/>
        </w:rPr>
        <w:t>analys</w:t>
      </w:r>
      <w:r>
        <w:rPr>
          <w:lang w:val="en-US"/>
        </w:rPr>
        <w:t>ed</w:t>
      </w:r>
      <w:proofErr w:type="spellEnd"/>
      <w:r>
        <w:rPr>
          <w:lang w:val="en-US"/>
        </w:rPr>
        <w:t xml:space="preserve"> by a plaque assay to determine if any infectious virus was present and to assess whether the occlusive dressings provided adequate containment for virus present at the </w:t>
      </w:r>
      <w:proofErr w:type="spellStart"/>
      <w:r w:rsidR="00BA348C">
        <w:rPr>
          <w:lang w:val="en-US"/>
        </w:rPr>
        <w:t>tumour</w:t>
      </w:r>
      <w:proofErr w:type="spellEnd"/>
      <w:r>
        <w:rPr>
          <w:lang w:val="en-US"/>
        </w:rPr>
        <w:t xml:space="preserve"> surface. The plaque assay did not distinguish between wild-type (WT) HSV-1 and </w:t>
      </w:r>
      <w:proofErr w:type="spellStart"/>
      <w:r>
        <w:rPr>
          <w:lang w:val="en-US"/>
        </w:rPr>
        <w:t>talimogene</w:t>
      </w:r>
      <w:proofErr w:type="spellEnd"/>
      <w:r>
        <w:rPr>
          <w:lang w:val="en-US"/>
        </w:rPr>
        <w:t xml:space="preserve"> </w:t>
      </w:r>
      <w:proofErr w:type="spellStart"/>
      <w:r>
        <w:rPr>
          <w:lang w:val="en-US"/>
        </w:rPr>
        <w:t>laherparepvec</w:t>
      </w:r>
      <w:proofErr w:type="spellEnd"/>
      <w:r>
        <w:rPr>
          <w:lang w:val="en-US"/>
        </w:rPr>
        <w:t xml:space="preserve">. It was assumed that a positive plaque assay result indicated the presence of </w:t>
      </w:r>
      <w:proofErr w:type="spellStart"/>
      <w:r>
        <w:rPr>
          <w:lang w:val="en-US"/>
        </w:rPr>
        <w:t>talimogene</w:t>
      </w:r>
      <w:proofErr w:type="spellEnd"/>
      <w:r>
        <w:rPr>
          <w:lang w:val="en-US"/>
        </w:rPr>
        <w:t xml:space="preserve"> </w:t>
      </w:r>
      <w:proofErr w:type="spellStart"/>
      <w:r>
        <w:rPr>
          <w:lang w:val="en-US"/>
        </w:rPr>
        <w:t>laherparepvec</w:t>
      </w:r>
      <w:proofErr w:type="spellEnd"/>
      <w:r>
        <w:rPr>
          <w:lang w:val="en-US"/>
        </w:rPr>
        <w:t xml:space="preserve"> since the probability that WT HSV present on the surface of injected </w:t>
      </w:r>
      <w:proofErr w:type="spellStart"/>
      <w:r w:rsidR="00BA348C">
        <w:rPr>
          <w:lang w:val="en-US"/>
        </w:rPr>
        <w:t>tumour</w:t>
      </w:r>
      <w:r>
        <w:rPr>
          <w:lang w:val="en-US"/>
        </w:rPr>
        <w:t>s</w:t>
      </w:r>
      <w:proofErr w:type="spellEnd"/>
      <w:r>
        <w:rPr>
          <w:lang w:val="en-US"/>
        </w:rPr>
        <w:t xml:space="preserve"> and/or dressings would be very low.</w:t>
      </w:r>
    </w:p>
    <w:p w14:paraId="1E04844B" w14:textId="77777777" w:rsidR="00970674" w:rsidRDefault="00970674" w:rsidP="00970674">
      <w:pPr>
        <w:autoSpaceDE w:val="0"/>
        <w:autoSpaceDN w:val="0"/>
        <w:adjustRightInd w:val="0"/>
        <w:rPr>
          <w:lang w:val="en-US"/>
        </w:rPr>
      </w:pPr>
      <w:r>
        <w:rPr>
          <w:lang w:val="en-US"/>
        </w:rPr>
        <w:t xml:space="preserve">Investigative swab samples were collected after each injection in Studies 001/01 and 004/04 and after the first injection in Study 002/03. In all studies (with the exception of pancreatic cancer Study 005/04), </w:t>
      </w:r>
      <w:r w:rsidR="00E420FF">
        <w:rPr>
          <w:lang w:val="en-US"/>
        </w:rPr>
        <w:t>‘</w:t>
      </w:r>
      <w:r>
        <w:rPr>
          <w:lang w:val="en-US"/>
        </w:rPr>
        <w:t>reactive</w:t>
      </w:r>
      <w:r w:rsidR="00E420FF">
        <w:rPr>
          <w:lang w:val="en-US"/>
        </w:rPr>
        <w:t>’</w:t>
      </w:r>
      <w:r>
        <w:rPr>
          <w:lang w:val="en-US"/>
        </w:rPr>
        <w:t xml:space="preserve"> swabs were collected from herpes </w:t>
      </w:r>
      <w:proofErr w:type="spellStart"/>
      <w:r>
        <w:rPr>
          <w:lang w:val="en-US"/>
        </w:rPr>
        <w:t>labialis</w:t>
      </w:r>
      <w:proofErr w:type="spellEnd"/>
      <w:r>
        <w:rPr>
          <w:lang w:val="en-US"/>
        </w:rPr>
        <w:t xml:space="preserve"> or other non-injected lesions that arose during treatment and that were suspected to be herpetic in origin, and from injected </w:t>
      </w:r>
      <w:proofErr w:type="spellStart"/>
      <w:r w:rsidR="00BA348C">
        <w:rPr>
          <w:lang w:val="en-US"/>
        </w:rPr>
        <w:t>tumour</w:t>
      </w:r>
      <w:r>
        <w:rPr>
          <w:lang w:val="en-US"/>
        </w:rPr>
        <w:t>s</w:t>
      </w:r>
      <w:proofErr w:type="spellEnd"/>
      <w:r>
        <w:rPr>
          <w:lang w:val="en-US"/>
        </w:rPr>
        <w:t xml:space="preserve"> that were oozing or weeping</w:t>
      </w:r>
    </w:p>
    <w:p w14:paraId="2E53EDCA" w14:textId="77777777" w:rsidR="00970674" w:rsidRDefault="00970674" w:rsidP="00970674">
      <w:pPr>
        <w:autoSpaceDE w:val="0"/>
        <w:autoSpaceDN w:val="0"/>
        <w:adjustRightInd w:val="0"/>
        <w:rPr>
          <w:lang w:val="en-US"/>
        </w:rPr>
      </w:pPr>
      <w:r>
        <w:rPr>
          <w:lang w:val="en-US"/>
        </w:rPr>
        <w:t>The most comprehensive set of samples (</w:t>
      </w:r>
      <w:r w:rsidR="00BA348C">
        <w:rPr>
          <w:lang w:val="en-US"/>
        </w:rPr>
        <w:t>that is,</w:t>
      </w:r>
      <w:r>
        <w:rPr>
          <w:lang w:val="en-US"/>
        </w:rPr>
        <w:t xml:space="preserve"> in terms of the number of time points tested) was obtained from Study 001/01. Overall, at any time point, a low percentage of subjects (13% [4/30]) had swabs that were positive for virus at the </w:t>
      </w:r>
      <w:proofErr w:type="spellStart"/>
      <w:r w:rsidR="00BA348C">
        <w:rPr>
          <w:lang w:val="en-US"/>
        </w:rPr>
        <w:t>tumour</w:t>
      </w:r>
      <w:proofErr w:type="spellEnd"/>
      <w:r>
        <w:rPr>
          <w:lang w:val="en-US"/>
        </w:rPr>
        <w:t xml:space="preserve"> site. These samples were further tested by a specific custom polymerase chain reaction (PCR) assay to distinguish between </w:t>
      </w:r>
      <w:proofErr w:type="spellStart"/>
      <w:r>
        <w:rPr>
          <w:lang w:val="en-US"/>
        </w:rPr>
        <w:t>talimogene</w:t>
      </w:r>
      <w:proofErr w:type="spellEnd"/>
      <w:r>
        <w:rPr>
          <w:lang w:val="en-US"/>
        </w:rPr>
        <w:t xml:space="preserve"> </w:t>
      </w:r>
      <w:proofErr w:type="spellStart"/>
      <w:r>
        <w:rPr>
          <w:lang w:val="en-US"/>
        </w:rPr>
        <w:t>laherparepvec</w:t>
      </w:r>
      <w:proofErr w:type="spellEnd"/>
      <w:r>
        <w:rPr>
          <w:lang w:val="en-US"/>
        </w:rPr>
        <w:t xml:space="preserve"> and WT HSV; it was determined that the virus detected in 3 of the swab samples was </w:t>
      </w:r>
      <w:proofErr w:type="spellStart"/>
      <w:r>
        <w:rPr>
          <w:lang w:val="en-US"/>
        </w:rPr>
        <w:t>talimogene</w:t>
      </w:r>
      <w:proofErr w:type="spellEnd"/>
      <w:r>
        <w:rPr>
          <w:lang w:val="en-US"/>
        </w:rPr>
        <w:t xml:space="preserve"> </w:t>
      </w:r>
      <w:proofErr w:type="spellStart"/>
      <w:r>
        <w:rPr>
          <w:lang w:val="en-US"/>
        </w:rPr>
        <w:t>laherparepvec</w:t>
      </w:r>
      <w:proofErr w:type="spellEnd"/>
      <w:r>
        <w:rPr>
          <w:lang w:val="en-US"/>
        </w:rPr>
        <w:t xml:space="preserve"> and not WT HSV.</w:t>
      </w:r>
    </w:p>
    <w:p w14:paraId="64D62F3B" w14:textId="77777777" w:rsidR="00970674" w:rsidRDefault="00970674" w:rsidP="00970674">
      <w:pPr>
        <w:autoSpaceDE w:val="0"/>
        <w:autoSpaceDN w:val="0"/>
        <w:adjustRightInd w:val="0"/>
        <w:rPr>
          <w:lang w:val="en-US"/>
        </w:rPr>
      </w:pPr>
      <w:r>
        <w:rPr>
          <w:lang w:val="en-US"/>
        </w:rPr>
        <w:t xml:space="preserve">Results from Studies 002/03 and 004/04 were consistent with those from Study 001/01. Investigative swabs showed that only a single subject (4%) had a positive investigative swab sample from the </w:t>
      </w:r>
      <w:proofErr w:type="spellStart"/>
      <w:r w:rsidR="00BA348C">
        <w:rPr>
          <w:lang w:val="en-US"/>
        </w:rPr>
        <w:t>tumour</w:t>
      </w:r>
      <w:proofErr w:type="spellEnd"/>
      <w:r>
        <w:rPr>
          <w:lang w:val="en-US"/>
        </w:rPr>
        <w:t xml:space="preserve"> site and 3/17 subjects (18%) in Study 004/04 had investigative swabs that were positive at the </w:t>
      </w:r>
      <w:proofErr w:type="spellStart"/>
      <w:r w:rsidR="00BA348C">
        <w:rPr>
          <w:lang w:val="en-US"/>
        </w:rPr>
        <w:t>tumour</w:t>
      </w:r>
      <w:proofErr w:type="spellEnd"/>
      <w:r>
        <w:rPr>
          <w:lang w:val="en-US"/>
        </w:rPr>
        <w:t xml:space="preserve"> site.</w:t>
      </w:r>
    </w:p>
    <w:p w14:paraId="07DEC3E7" w14:textId="77777777" w:rsidR="00970674" w:rsidRDefault="00970674" w:rsidP="00970674">
      <w:pPr>
        <w:autoSpaceDE w:val="0"/>
        <w:autoSpaceDN w:val="0"/>
        <w:adjustRightInd w:val="0"/>
        <w:rPr>
          <w:lang w:val="en-US"/>
        </w:rPr>
      </w:pPr>
      <w:r>
        <w:rPr>
          <w:lang w:val="en-US"/>
        </w:rPr>
        <w:t xml:space="preserve">All swabs of the exterior of the dressing were negative at all time points tested across all studies. See </w:t>
      </w:r>
      <w:r w:rsidR="00BA348C" w:rsidRPr="00BA348C">
        <w:rPr>
          <w:i/>
          <w:lang w:val="en-US"/>
        </w:rPr>
        <w:t>Clinical efficacy</w:t>
      </w:r>
      <w:r w:rsidR="00BA348C">
        <w:rPr>
          <w:lang w:val="en-US"/>
        </w:rPr>
        <w:t xml:space="preserve"> below</w:t>
      </w:r>
      <w:r>
        <w:rPr>
          <w:lang w:val="en-US"/>
        </w:rPr>
        <w:t xml:space="preserve"> for results.</w:t>
      </w:r>
    </w:p>
    <w:p w14:paraId="080E23C0" w14:textId="77777777" w:rsidR="00970674" w:rsidRDefault="00970674" w:rsidP="00BA348C">
      <w:pPr>
        <w:pStyle w:val="Heading5"/>
      </w:pPr>
      <w:bookmarkStart w:id="46" w:name="_Toc429143892"/>
      <w:r>
        <w:t>Dosing optimisation regime</w:t>
      </w:r>
      <w:bookmarkEnd w:id="46"/>
    </w:p>
    <w:p w14:paraId="217E4462" w14:textId="77777777" w:rsidR="00970674" w:rsidRDefault="00BA348C" w:rsidP="00970674">
      <w:pPr>
        <w:tabs>
          <w:tab w:val="left" w:pos="720"/>
        </w:tabs>
        <w:autoSpaceDE w:val="0"/>
        <w:autoSpaceDN w:val="0"/>
        <w:adjustRightInd w:val="0"/>
        <w:rPr>
          <w:lang w:val="en-US"/>
        </w:rPr>
      </w:pPr>
      <w:r>
        <w:rPr>
          <w:lang w:val="en-US"/>
        </w:rPr>
        <w:t>The dosing regimen for the P</w:t>
      </w:r>
      <w:r w:rsidR="00970674">
        <w:rPr>
          <w:lang w:val="en-US"/>
        </w:rPr>
        <w:t xml:space="preserve">hase </w:t>
      </w:r>
      <w:r>
        <w:rPr>
          <w:lang w:val="en-US"/>
        </w:rPr>
        <w:t>II</w:t>
      </w:r>
      <w:r w:rsidR="00970674">
        <w:rPr>
          <w:lang w:val="en-US"/>
        </w:rPr>
        <w:t xml:space="preserve"> and </w:t>
      </w:r>
      <w:r>
        <w:rPr>
          <w:lang w:val="en-US"/>
        </w:rPr>
        <w:t>P</w:t>
      </w:r>
      <w:r w:rsidR="00970674">
        <w:rPr>
          <w:lang w:val="en-US"/>
        </w:rPr>
        <w:t xml:space="preserve">hase </w:t>
      </w:r>
      <w:r>
        <w:rPr>
          <w:lang w:val="en-US"/>
        </w:rPr>
        <w:t>III</w:t>
      </w:r>
      <w:r w:rsidR="00970674">
        <w:rPr>
          <w:lang w:val="en-US"/>
        </w:rPr>
        <w:t xml:space="preserve"> studies was based on results from Study 001/01. In part 1, single doses at concentrations of 10</w:t>
      </w:r>
      <w:r w:rsidR="00970674">
        <w:rPr>
          <w:vertAlign w:val="superscript"/>
          <w:lang w:val="en-US"/>
        </w:rPr>
        <w:t>6</w:t>
      </w:r>
      <w:r w:rsidR="00970674">
        <w:rPr>
          <w:lang w:val="en-US"/>
        </w:rPr>
        <w:t xml:space="preserve"> PFU/mL, 10</w:t>
      </w:r>
      <w:r w:rsidR="00970674">
        <w:rPr>
          <w:vertAlign w:val="superscript"/>
          <w:lang w:val="en-US"/>
        </w:rPr>
        <w:t>7</w:t>
      </w:r>
      <w:r w:rsidR="00970674">
        <w:rPr>
          <w:lang w:val="en-US"/>
        </w:rPr>
        <w:t xml:space="preserve"> PFU/mL, and 10</w:t>
      </w:r>
      <w:r w:rsidR="00970674">
        <w:rPr>
          <w:vertAlign w:val="superscript"/>
          <w:lang w:val="en-US"/>
        </w:rPr>
        <w:t>8</w:t>
      </w:r>
      <w:r w:rsidR="00970674">
        <w:rPr>
          <w:lang w:val="en-US"/>
        </w:rPr>
        <w:t xml:space="preserve"> PFU/mL (up to 4 mL) were evaluated. In Study 001/01, pyrexia and chills (</w:t>
      </w:r>
      <w:r w:rsidR="00E420FF">
        <w:rPr>
          <w:lang w:val="en-US"/>
        </w:rPr>
        <w:t>‘</w:t>
      </w:r>
      <w:r w:rsidR="00970674">
        <w:rPr>
          <w:lang w:val="en-US"/>
        </w:rPr>
        <w:t>rigor</w:t>
      </w:r>
      <w:r w:rsidR="00E420FF">
        <w:rPr>
          <w:lang w:val="en-US"/>
        </w:rPr>
        <w:t>’</w:t>
      </w:r>
      <w:r w:rsidR="00970674">
        <w:rPr>
          <w:lang w:val="en-US"/>
        </w:rPr>
        <w:t>) were more frequent and included serious adverse events among subjects who were HSV seronegative at study entry and received doses at concentrations of 10</w:t>
      </w:r>
      <w:r w:rsidR="00970674">
        <w:rPr>
          <w:vertAlign w:val="superscript"/>
          <w:lang w:val="en-US"/>
        </w:rPr>
        <w:t>7</w:t>
      </w:r>
      <w:r w:rsidR="00970674">
        <w:rPr>
          <w:lang w:val="en-US"/>
        </w:rPr>
        <w:t xml:space="preserve"> PFU/mL and higher.</w:t>
      </w:r>
    </w:p>
    <w:p w14:paraId="04122FF5" w14:textId="77777777" w:rsidR="00970674" w:rsidRDefault="00970674" w:rsidP="00970674">
      <w:pPr>
        <w:tabs>
          <w:tab w:val="left" w:pos="720"/>
        </w:tabs>
        <w:autoSpaceDE w:val="0"/>
        <w:autoSpaceDN w:val="0"/>
        <w:adjustRightInd w:val="0"/>
        <w:rPr>
          <w:lang w:val="en-US"/>
        </w:rPr>
      </w:pPr>
      <w:r>
        <w:rPr>
          <w:lang w:val="en-US"/>
        </w:rPr>
        <w:t xml:space="preserve">In </w:t>
      </w:r>
      <w:r w:rsidR="00BA348C">
        <w:rPr>
          <w:lang w:val="en-US"/>
        </w:rPr>
        <w:t>P</w:t>
      </w:r>
      <w:r>
        <w:rPr>
          <w:lang w:val="en-US"/>
        </w:rPr>
        <w:t>art 2 of the study, a dosing regimen that included an initial lower dose of 10</w:t>
      </w:r>
      <w:r w:rsidRPr="00090F4E">
        <w:rPr>
          <w:vertAlign w:val="superscript"/>
          <w:lang w:val="en-US"/>
        </w:rPr>
        <w:t>6</w:t>
      </w:r>
      <w:r>
        <w:rPr>
          <w:lang w:val="en-US"/>
        </w:rPr>
        <w:t xml:space="preserve"> PFU/mL in all subjects followed by subsequent doses of 10</w:t>
      </w:r>
      <w:r w:rsidRPr="00BA348C">
        <w:rPr>
          <w:vertAlign w:val="superscript"/>
          <w:lang w:val="en-US"/>
        </w:rPr>
        <w:t>8</w:t>
      </w:r>
      <w:r>
        <w:rPr>
          <w:lang w:val="en-US"/>
        </w:rPr>
        <w:t xml:space="preserve"> PFU/mL given every 2 weeks thereafter (the second dose was given 3 weeks after the first dose), was better tolerated regardless of HSV </w:t>
      </w:r>
      <w:proofErr w:type="spellStart"/>
      <w:r>
        <w:rPr>
          <w:lang w:val="en-US"/>
        </w:rPr>
        <w:t>serostatus</w:t>
      </w:r>
      <w:proofErr w:type="spellEnd"/>
      <w:r>
        <w:rPr>
          <w:lang w:val="en-US"/>
        </w:rPr>
        <w:t>.</w:t>
      </w:r>
    </w:p>
    <w:p w14:paraId="48C68100" w14:textId="77777777" w:rsidR="00970674" w:rsidRDefault="00970674" w:rsidP="00970674">
      <w:pPr>
        <w:autoSpaceDE w:val="0"/>
        <w:autoSpaceDN w:val="0"/>
        <w:adjustRightInd w:val="0"/>
      </w:pPr>
      <w:r>
        <w:rPr>
          <w:lang w:val="en-US"/>
        </w:rPr>
        <w:t xml:space="preserve">The dosing regimen selected for </w:t>
      </w:r>
      <w:r w:rsidR="00BA348C">
        <w:rPr>
          <w:lang w:val="en-US"/>
        </w:rPr>
        <w:t>Phase III</w:t>
      </w:r>
      <w:r>
        <w:rPr>
          <w:lang w:val="en-US"/>
        </w:rPr>
        <w:t xml:space="preserve"> Study 005/05 employed an initial dose of 10</w:t>
      </w:r>
      <w:r>
        <w:rPr>
          <w:vertAlign w:val="superscript"/>
          <w:lang w:val="en-US"/>
        </w:rPr>
        <w:t>6</w:t>
      </w:r>
      <w:r>
        <w:rPr>
          <w:lang w:val="en-US"/>
        </w:rPr>
        <w:t xml:space="preserve"> PFU/mL followed by subsequent doses of 10</w:t>
      </w:r>
      <w:r>
        <w:rPr>
          <w:vertAlign w:val="superscript"/>
          <w:lang w:val="en-US"/>
        </w:rPr>
        <w:t>8</w:t>
      </w:r>
      <w:r>
        <w:rPr>
          <w:lang w:val="en-US"/>
        </w:rPr>
        <w:t xml:space="preserve"> PFU/mL in all subjects.</w:t>
      </w:r>
    </w:p>
    <w:p w14:paraId="024FC348" w14:textId="77777777" w:rsidR="00970674" w:rsidRDefault="00970674" w:rsidP="00BA348C">
      <w:pPr>
        <w:pStyle w:val="Heading4"/>
      </w:pPr>
      <w:bookmarkStart w:id="47" w:name="_Toc429143893"/>
      <w:bookmarkStart w:id="48" w:name="_Toc290846255"/>
      <w:bookmarkStart w:id="49" w:name="_Toc272414632"/>
      <w:bookmarkStart w:id="50" w:name="_Toc241374294"/>
      <w:r>
        <w:lastRenderedPageBreak/>
        <w:t>Pharmacokinetic interactions</w:t>
      </w:r>
      <w:bookmarkEnd w:id="47"/>
      <w:bookmarkEnd w:id="48"/>
      <w:bookmarkEnd w:id="49"/>
      <w:bookmarkEnd w:id="50"/>
    </w:p>
    <w:p w14:paraId="4903524F" w14:textId="77777777" w:rsidR="00970674" w:rsidRDefault="00970674" w:rsidP="00BA348C">
      <w:pPr>
        <w:pStyle w:val="Heading5"/>
      </w:pPr>
      <w:bookmarkStart w:id="51" w:name="_Toc429143894"/>
      <w:bookmarkStart w:id="52" w:name="_Toc290846256"/>
      <w:bookmarkStart w:id="53" w:name="_Toc272414633"/>
      <w:r>
        <w:t>Pharmacokinetic interactions demonstrated in human studies</w:t>
      </w:r>
      <w:bookmarkEnd w:id="51"/>
      <w:bookmarkEnd w:id="52"/>
      <w:bookmarkEnd w:id="53"/>
    </w:p>
    <w:p w14:paraId="1F79808A" w14:textId="77777777" w:rsidR="00970674" w:rsidRDefault="00970674" w:rsidP="00970674">
      <w:pPr>
        <w:autoSpaceDE w:val="0"/>
        <w:autoSpaceDN w:val="0"/>
        <w:adjustRightInd w:val="0"/>
      </w:pPr>
      <w:r>
        <w:t>A perfect oncolytic virus would be one that would preferentially infect cancer cells and not normal cells.</w:t>
      </w:r>
      <w:r w:rsidR="00BA348C">
        <w:t xml:space="preserve"> </w:t>
      </w:r>
      <w:r>
        <w:t xml:space="preserve">Evidence provided indicates that the genetically modified HSV virus appears to preferentially multiply in the injected </w:t>
      </w:r>
      <w:r w:rsidR="00BA348C">
        <w:t>tumour</w:t>
      </w:r>
      <w:r>
        <w:t xml:space="preserve">s and that shedding into the circulation is minimal and transient (no longer than 2 weeks). Importantly it does not appear to have been investigated whether virus shed into the circulation would infect non injected metastases. Such a result would presumably add to the efficacy of the virus. </w:t>
      </w:r>
    </w:p>
    <w:p w14:paraId="1344DE77" w14:textId="77777777" w:rsidR="00970674" w:rsidRDefault="00970674" w:rsidP="00970674">
      <w:pPr>
        <w:autoSpaceDE w:val="0"/>
        <w:autoSpaceDN w:val="0"/>
        <w:adjustRightInd w:val="0"/>
      </w:pPr>
      <w:r>
        <w:t>Virus was infrequently detected in exudates from injected tumo</w:t>
      </w:r>
      <w:r w:rsidR="00BA348C">
        <w:t>u</w:t>
      </w:r>
      <w:r>
        <w:t>rs (4-18%)</w:t>
      </w:r>
      <w:r w:rsidR="00BA348C">
        <w:t xml:space="preserve"> </w:t>
      </w:r>
      <w:r>
        <w:t>and not on the exterior of dressings.</w:t>
      </w:r>
      <w:r w:rsidR="00BA348C">
        <w:t xml:space="preserve"> </w:t>
      </w:r>
      <w:r w:rsidR="00E420FF">
        <w:t>‘</w:t>
      </w:r>
      <w:r>
        <w:t>Herpetic like</w:t>
      </w:r>
      <w:r w:rsidR="00E420FF">
        <w:t>’</w:t>
      </w:r>
      <w:r w:rsidR="00BA348C">
        <w:t xml:space="preserve"> </w:t>
      </w:r>
      <w:r>
        <w:t>lesions in patients were apparently tested for wild type or genetically modified virus. Details were not available but apparently there was no evidence of infection of normal cells with the genetically altered virus</w:t>
      </w:r>
      <w:r w:rsidR="00BA348C">
        <w:t>.</w:t>
      </w:r>
    </w:p>
    <w:p w14:paraId="541734C6" w14:textId="77777777" w:rsidR="00970674" w:rsidRDefault="00970674" w:rsidP="00BA348C">
      <w:pPr>
        <w:pStyle w:val="Heading5"/>
      </w:pPr>
      <w:bookmarkStart w:id="54" w:name="_Toc429143895"/>
      <w:bookmarkStart w:id="55" w:name="_Toc290846257"/>
      <w:bookmarkStart w:id="56" w:name="_Toc272414634"/>
      <w:r>
        <w:t>Clinical implications of in vitro findings</w:t>
      </w:r>
      <w:bookmarkEnd w:id="54"/>
      <w:bookmarkEnd w:id="55"/>
      <w:bookmarkEnd w:id="56"/>
    </w:p>
    <w:p w14:paraId="19507CF4" w14:textId="77777777" w:rsidR="00970674" w:rsidRDefault="00970674" w:rsidP="00970674">
      <w:r>
        <w:t>Conclusions from the in-vitro</w:t>
      </w:r>
      <w:r w:rsidR="00BA348C">
        <w:t xml:space="preserve"> findings are two-</w:t>
      </w:r>
      <w:r>
        <w:t xml:space="preserve">fold. Firstly they suggest that transmission of the virus to normal cells in patients such as labial epithelia are unlikely. Secondly they suggest that secondary transmission from injected lesions in patients would be unlikely but nevertheless care was recommended in disposal of dressings and avoidance of contact with infants, pregnant females and people with immunosuppression. The sponsor appears to </w:t>
      </w:r>
      <w:r w:rsidR="001A4B22">
        <w:t xml:space="preserve">have </w:t>
      </w:r>
      <w:r>
        <w:t>missed the opportunity of showing whether there was transfer of virus to non</w:t>
      </w:r>
      <w:r w:rsidR="00BA348C">
        <w:t>-</w:t>
      </w:r>
      <w:r>
        <w:t>injected metastases</w:t>
      </w:r>
      <w:r w:rsidR="00BA348C">
        <w:t>.</w:t>
      </w:r>
    </w:p>
    <w:p w14:paraId="3FD65B22" w14:textId="77777777" w:rsidR="00970674" w:rsidRDefault="00970674" w:rsidP="00BA348C">
      <w:pPr>
        <w:pStyle w:val="Heading3"/>
      </w:pPr>
      <w:bookmarkStart w:id="57" w:name="_Toc429143896"/>
      <w:bookmarkStart w:id="58" w:name="_Toc290846258"/>
      <w:bookmarkStart w:id="59" w:name="_Toc272414635"/>
      <w:bookmarkStart w:id="60" w:name="_Ref271018755"/>
      <w:bookmarkStart w:id="61" w:name="_Ref271018704"/>
      <w:bookmarkStart w:id="62" w:name="_Ref269982040"/>
      <w:bookmarkStart w:id="63" w:name="_Toc241374296"/>
      <w:bookmarkStart w:id="64" w:name="_Toc452631084"/>
      <w:r>
        <w:t>Evaluator’s overall conclusions on pharmacokinetics</w:t>
      </w:r>
      <w:bookmarkEnd w:id="57"/>
      <w:bookmarkEnd w:id="58"/>
      <w:bookmarkEnd w:id="59"/>
      <w:bookmarkEnd w:id="60"/>
      <w:bookmarkEnd w:id="61"/>
      <w:bookmarkEnd w:id="62"/>
      <w:bookmarkEnd w:id="63"/>
      <w:bookmarkEnd w:id="64"/>
    </w:p>
    <w:p w14:paraId="1D72ED90" w14:textId="77777777" w:rsidR="00970674" w:rsidRDefault="00970674" w:rsidP="00970674">
      <w:r>
        <w:t>The overall conclusion is that the modified herpes virus does not appear to pose a risk to patients when injected into individual melanoma metastases. There also appears no or very little risk of secondary transmission to caregivers or healthy adult people in contact with the patient.</w:t>
      </w:r>
    </w:p>
    <w:p w14:paraId="5D10685B" w14:textId="77777777" w:rsidR="00970674" w:rsidRDefault="00342116" w:rsidP="00BA348C">
      <w:pPr>
        <w:pStyle w:val="Heading2"/>
      </w:pPr>
      <w:bookmarkStart w:id="65" w:name="_Toc429143897"/>
      <w:bookmarkStart w:id="66" w:name="_Toc290846259"/>
      <w:bookmarkStart w:id="67" w:name="_Toc272414636"/>
      <w:bookmarkStart w:id="68" w:name="_Ref269223275"/>
      <w:bookmarkStart w:id="69" w:name="_Toc241374297"/>
      <w:bookmarkStart w:id="70" w:name="_Toc452631085"/>
      <w:r>
        <w:t>Pharmacodynamics</w:t>
      </w:r>
      <w:bookmarkEnd w:id="65"/>
      <w:bookmarkEnd w:id="66"/>
      <w:bookmarkEnd w:id="67"/>
      <w:bookmarkEnd w:id="68"/>
      <w:bookmarkEnd w:id="70"/>
    </w:p>
    <w:p w14:paraId="598049FE" w14:textId="77777777" w:rsidR="00970674" w:rsidRDefault="00970674" w:rsidP="00BA348C">
      <w:pPr>
        <w:pStyle w:val="Heading3"/>
      </w:pPr>
      <w:bookmarkStart w:id="71" w:name="_Toc429143898"/>
      <w:bookmarkStart w:id="72" w:name="_Toc290846260"/>
      <w:bookmarkStart w:id="73" w:name="_Toc272414637"/>
      <w:bookmarkStart w:id="74" w:name="_Toc452631086"/>
      <w:r>
        <w:t xml:space="preserve">Studies providing </w:t>
      </w:r>
      <w:proofErr w:type="spellStart"/>
      <w:r>
        <w:t>pharmacodynamic</w:t>
      </w:r>
      <w:proofErr w:type="spellEnd"/>
      <w:r>
        <w:t xml:space="preserve"> data</w:t>
      </w:r>
      <w:bookmarkEnd w:id="71"/>
      <w:bookmarkEnd w:id="72"/>
      <w:bookmarkEnd w:id="73"/>
      <w:bookmarkEnd w:id="74"/>
    </w:p>
    <w:p w14:paraId="29A3746F" w14:textId="77777777" w:rsidR="00970674" w:rsidRDefault="00970674" w:rsidP="00970674">
      <w:r>
        <w:t>See below</w:t>
      </w:r>
      <w:r w:rsidR="00BA348C">
        <w:t>.</w:t>
      </w:r>
    </w:p>
    <w:p w14:paraId="7EB69405" w14:textId="77777777" w:rsidR="00970674" w:rsidRDefault="00970674" w:rsidP="00BA348C">
      <w:pPr>
        <w:pStyle w:val="Heading3"/>
      </w:pPr>
      <w:bookmarkStart w:id="75" w:name="_Toc429143899"/>
      <w:bookmarkStart w:id="76" w:name="_Toc290846261"/>
      <w:bookmarkStart w:id="77" w:name="_Toc272414639"/>
      <w:bookmarkStart w:id="78" w:name="_Ref269119989"/>
      <w:bookmarkStart w:id="79" w:name="_Toc452631087"/>
      <w:r>
        <w:t>Summary of pharmacodynamics</w:t>
      </w:r>
      <w:bookmarkEnd w:id="75"/>
      <w:bookmarkEnd w:id="76"/>
      <w:bookmarkEnd w:id="77"/>
      <w:bookmarkEnd w:id="78"/>
      <w:bookmarkEnd w:id="79"/>
    </w:p>
    <w:p w14:paraId="3D5991E2" w14:textId="77777777" w:rsidR="00970674" w:rsidRDefault="00970674" w:rsidP="00970674">
      <w:r>
        <w:t xml:space="preserve">Traditional pharmacokinetic studies investigating absorption, distribution, metabolism, elimination, and drug-drug interactions are not relevant in evaluating oncolytic virus therapies such as </w:t>
      </w:r>
      <w:proofErr w:type="spellStart"/>
      <w:r>
        <w:t>talimogene</w:t>
      </w:r>
      <w:proofErr w:type="spellEnd"/>
      <w:r>
        <w:t xml:space="preserve"> </w:t>
      </w:r>
      <w:proofErr w:type="spellStart"/>
      <w:r>
        <w:t>laherparepvec</w:t>
      </w:r>
      <w:proofErr w:type="spellEnd"/>
      <w:r>
        <w:t xml:space="preserve"> (US FDA, 2012)</w:t>
      </w:r>
      <w:r w:rsidR="00BA348C">
        <w:t>.</w:t>
      </w:r>
    </w:p>
    <w:p w14:paraId="303E4D90" w14:textId="77777777" w:rsidR="00970674" w:rsidRDefault="00970674" w:rsidP="00970674">
      <w:pPr>
        <w:rPr>
          <w:lang w:val="en-US"/>
        </w:rPr>
      </w:pPr>
      <w:r>
        <w:rPr>
          <w:lang w:val="en-US"/>
        </w:rPr>
        <w:t xml:space="preserve">The clinical pharmacology assessments of </w:t>
      </w:r>
      <w:proofErr w:type="spellStart"/>
      <w:r>
        <w:rPr>
          <w:lang w:val="en-US"/>
        </w:rPr>
        <w:t>talimogen</w:t>
      </w:r>
      <w:r w:rsidR="00BA348C">
        <w:rPr>
          <w:lang w:val="en-US"/>
        </w:rPr>
        <w:t>e</w:t>
      </w:r>
      <w:proofErr w:type="spellEnd"/>
      <w:r w:rsidR="00BA348C">
        <w:rPr>
          <w:lang w:val="en-US"/>
        </w:rPr>
        <w:t xml:space="preserve"> </w:t>
      </w:r>
      <w:proofErr w:type="spellStart"/>
      <w:r w:rsidR="00BA348C">
        <w:rPr>
          <w:lang w:val="en-US"/>
        </w:rPr>
        <w:t>laherparepvec</w:t>
      </w:r>
      <w:proofErr w:type="spellEnd"/>
      <w:r w:rsidR="00BA348C">
        <w:rPr>
          <w:lang w:val="en-US"/>
        </w:rPr>
        <w:t xml:space="preserve"> included </w:t>
      </w:r>
      <w:proofErr w:type="spellStart"/>
      <w:r w:rsidR="00BA348C">
        <w:rPr>
          <w:lang w:val="en-US"/>
        </w:rPr>
        <w:t>optimis</w:t>
      </w:r>
      <w:r>
        <w:rPr>
          <w:lang w:val="en-US"/>
        </w:rPr>
        <w:t>ation</w:t>
      </w:r>
      <w:proofErr w:type="spellEnd"/>
      <w:r>
        <w:rPr>
          <w:lang w:val="en-US"/>
        </w:rPr>
        <w:t xml:space="preserve"> of the dosing regimen, assessment of the kinetics of viral clearance through </w:t>
      </w:r>
      <w:proofErr w:type="spellStart"/>
      <w:r>
        <w:rPr>
          <w:lang w:val="en-US"/>
        </w:rPr>
        <w:t>biodistribution</w:t>
      </w:r>
      <w:proofErr w:type="spellEnd"/>
      <w:r>
        <w:rPr>
          <w:lang w:val="en-US"/>
        </w:rPr>
        <w:t xml:space="preserve"> in the blood and urine, shedding from the </w:t>
      </w:r>
      <w:proofErr w:type="spellStart"/>
      <w:r w:rsidR="00BA348C">
        <w:rPr>
          <w:lang w:val="en-US"/>
        </w:rPr>
        <w:t>tumour</w:t>
      </w:r>
      <w:proofErr w:type="spellEnd"/>
      <w:r>
        <w:rPr>
          <w:lang w:val="en-US"/>
        </w:rPr>
        <w:t xml:space="preserve"> and exterior of the dressing, anti-HSV-1 </w:t>
      </w:r>
      <w:proofErr w:type="spellStart"/>
      <w:r>
        <w:rPr>
          <w:lang w:val="en-US"/>
        </w:rPr>
        <w:t>serostatus</w:t>
      </w:r>
      <w:proofErr w:type="spellEnd"/>
      <w:r>
        <w:rPr>
          <w:lang w:val="en-US"/>
        </w:rPr>
        <w:t xml:space="preserve">, and GM-CSF expression in </w:t>
      </w:r>
      <w:proofErr w:type="spellStart"/>
      <w:r w:rsidR="00BA348C">
        <w:rPr>
          <w:lang w:val="en-US"/>
        </w:rPr>
        <w:t>tumour</w:t>
      </w:r>
      <w:proofErr w:type="spellEnd"/>
      <w:r>
        <w:rPr>
          <w:lang w:val="en-US"/>
        </w:rPr>
        <w:t xml:space="preserve"> tissue and serum.</w:t>
      </w:r>
    </w:p>
    <w:p w14:paraId="61326B92" w14:textId="77777777" w:rsidR="00970674" w:rsidRDefault="00970674" w:rsidP="00970674">
      <w:r>
        <w:t xml:space="preserve">Oral absorption studies have not been conducted because </w:t>
      </w:r>
      <w:proofErr w:type="spellStart"/>
      <w:r>
        <w:t>talimogene</w:t>
      </w:r>
      <w:proofErr w:type="spellEnd"/>
      <w:r>
        <w:t xml:space="preserve"> </w:t>
      </w:r>
      <w:proofErr w:type="spellStart"/>
      <w:r>
        <w:t>laherparepvec</w:t>
      </w:r>
      <w:proofErr w:type="spellEnd"/>
      <w:r>
        <w:t xml:space="preserve"> is administered by injection. In addition, hepatic impairment and drug interaction studies (</w:t>
      </w:r>
      <w:r w:rsidR="00BA348C">
        <w:t>for example,</w:t>
      </w:r>
      <w:r>
        <w:t xml:space="preserve"> with cytochrome P450 enzyme inhibitors) have not been conducted because </w:t>
      </w:r>
      <w:proofErr w:type="spellStart"/>
      <w:r>
        <w:t>talimogene</w:t>
      </w:r>
      <w:proofErr w:type="spellEnd"/>
      <w:r>
        <w:t xml:space="preserve"> </w:t>
      </w:r>
      <w:proofErr w:type="spellStart"/>
      <w:r>
        <w:t>laherparepvec</w:t>
      </w:r>
      <w:proofErr w:type="spellEnd"/>
      <w:r>
        <w:t xml:space="preserve"> is not eliminated via hepatic metabolic mechanisms (</w:t>
      </w:r>
      <w:r w:rsidR="00BA348C">
        <w:t>for example,</w:t>
      </w:r>
      <w:r>
        <w:t xml:space="preserve"> by cytochrome P450 enzymes). </w:t>
      </w:r>
      <w:proofErr w:type="spellStart"/>
      <w:r>
        <w:t>Talimogene</w:t>
      </w:r>
      <w:proofErr w:type="spellEnd"/>
      <w:r>
        <w:t xml:space="preserve"> </w:t>
      </w:r>
      <w:proofErr w:type="spellStart"/>
      <w:r>
        <w:t>laherparepvec</w:t>
      </w:r>
      <w:proofErr w:type="spellEnd"/>
      <w:r>
        <w:t xml:space="preserve"> is cleared through mechanisms </w:t>
      </w:r>
      <w:r>
        <w:lastRenderedPageBreak/>
        <w:t>including autophagy and adaptive immune response and is expected to be degraded by typical endogenous protein and DNA catabolic pathways.</w:t>
      </w:r>
    </w:p>
    <w:p w14:paraId="6655AD35" w14:textId="77777777" w:rsidR="00970674" w:rsidRDefault="00970674" w:rsidP="00970674">
      <w:pPr>
        <w:rPr>
          <w:lang w:val="en-US"/>
        </w:rPr>
      </w:pPr>
      <w:r>
        <w:rPr>
          <w:lang w:val="en-US"/>
        </w:rPr>
        <w:t xml:space="preserve">Table </w:t>
      </w:r>
      <w:r w:rsidR="00BA348C">
        <w:rPr>
          <w:lang w:val="en-US"/>
        </w:rPr>
        <w:t xml:space="preserve">2 </w:t>
      </w:r>
      <w:proofErr w:type="spellStart"/>
      <w:r w:rsidR="00BA348C">
        <w:rPr>
          <w:lang w:val="en-US"/>
        </w:rPr>
        <w:t>summaris</w:t>
      </w:r>
      <w:r>
        <w:rPr>
          <w:lang w:val="en-US"/>
        </w:rPr>
        <w:t>es</w:t>
      </w:r>
      <w:proofErr w:type="spellEnd"/>
      <w:r>
        <w:rPr>
          <w:lang w:val="en-US"/>
        </w:rPr>
        <w:t xml:space="preserve"> the </w:t>
      </w:r>
      <w:proofErr w:type="spellStart"/>
      <w:r>
        <w:rPr>
          <w:lang w:val="en-US"/>
        </w:rPr>
        <w:t>biodistribution</w:t>
      </w:r>
      <w:proofErr w:type="spellEnd"/>
      <w:r>
        <w:rPr>
          <w:lang w:val="en-US"/>
        </w:rPr>
        <w:t xml:space="preserve"> and shedding tests conducted during each clinical study. Based on the comprehensive nonclinical results, assessment of </w:t>
      </w:r>
      <w:proofErr w:type="spellStart"/>
      <w:r>
        <w:rPr>
          <w:lang w:val="en-US"/>
        </w:rPr>
        <w:t>biodistribution</w:t>
      </w:r>
      <w:proofErr w:type="spellEnd"/>
      <w:r>
        <w:rPr>
          <w:lang w:val="en-US"/>
        </w:rPr>
        <w:t xml:space="preserve"> in clinical studies evaluated the presence of </w:t>
      </w:r>
      <w:proofErr w:type="spellStart"/>
      <w:r>
        <w:rPr>
          <w:lang w:val="en-US"/>
        </w:rPr>
        <w:t>talimogene</w:t>
      </w:r>
      <w:proofErr w:type="spellEnd"/>
      <w:r>
        <w:rPr>
          <w:lang w:val="en-US"/>
        </w:rPr>
        <w:t xml:space="preserve"> </w:t>
      </w:r>
      <w:proofErr w:type="spellStart"/>
      <w:r>
        <w:rPr>
          <w:lang w:val="en-US"/>
        </w:rPr>
        <w:t>laherparepvec</w:t>
      </w:r>
      <w:proofErr w:type="spellEnd"/>
      <w:r>
        <w:rPr>
          <w:lang w:val="en-US"/>
        </w:rPr>
        <w:t xml:space="preserve"> DNA in blood and urine, and the presence of virus using swabs of the injected </w:t>
      </w:r>
      <w:proofErr w:type="spellStart"/>
      <w:r w:rsidR="00BA348C">
        <w:rPr>
          <w:lang w:val="en-US"/>
        </w:rPr>
        <w:t>tumour</w:t>
      </w:r>
      <w:proofErr w:type="spellEnd"/>
      <w:r>
        <w:rPr>
          <w:lang w:val="en-US"/>
        </w:rPr>
        <w:t xml:space="preserve"> site(s).</w:t>
      </w:r>
    </w:p>
    <w:p w14:paraId="7FE2BD0A" w14:textId="77777777" w:rsidR="00970674" w:rsidRDefault="00970674" w:rsidP="00BA348C">
      <w:pPr>
        <w:pStyle w:val="Tabletitle"/>
        <w:rPr>
          <w:szCs w:val="24"/>
        </w:rPr>
      </w:pPr>
      <w:bookmarkStart w:id="80" w:name="_Toc291240576"/>
      <w:r>
        <w:t>Table</w:t>
      </w:r>
      <w:r w:rsidR="00BA348C">
        <w:t xml:space="preserve"> 2:</w:t>
      </w:r>
      <w:r>
        <w:t xml:space="preserve"> Overview of </w:t>
      </w:r>
      <w:proofErr w:type="spellStart"/>
      <w:r>
        <w:t>Biodistribution</w:t>
      </w:r>
      <w:proofErr w:type="spellEnd"/>
      <w:r>
        <w:t xml:space="preserve"> and Viral Shedding, Data Obtained in each clinical study of </w:t>
      </w:r>
      <w:proofErr w:type="spellStart"/>
      <w:r>
        <w:t>Talimogene</w:t>
      </w:r>
      <w:proofErr w:type="spellEnd"/>
      <w:r>
        <w:t xml:space="preserve"> </w:t>
      </w:r>
      <w:proofErr w:type="spellStart"/>
      <w:r>
        <w:t>Laherparepvec</w:t>
      </w:r>
      <w:bookmarkEnd w:id="80"/>
      <w:proofErr w:type="spellEnd"/>
    </w:p>
    <w:p w14:paraId="387B3353" w14:textId="77777777" w:rsidR="00970674" w:rsidRDefault="00970674" w:rsidP="00970674">
      <w:r>
        <w:rPr>
          <w:noProof/>
          <w:lang w:eastAsia="en-AU"/>
        </w:rPr>
        <w:drawing>
          <wp:inline distT="0" distB="0" distL="0" distR="0" wp14:anchorId="616FE59E" wp14:editId="0852A41D">
            <wp:extent cx="4159727" cy="2189671"/>
            <wp:effectExtent l="0" t="0" r="0" b="1270"/>
            <wp:docPr id="4" name="Picture 4" descr="Table 2: Overview of Biodistribution and Viral Shedding, Data Obtained in each clinical study of Talimogene Laherparepv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16">
                      <a:extLst>
                        <a:ext uri="{28A0092B-C50C-407E-A947-70E740481C1C}">
                          <a14:useLocalDpi xmlns:a14="http://schemas.microsoft.com/office/drawing/2010/main" val="0"/>
                        </a:ext>
                      </a:extLst>
                    </a:blip>
                    <a:srcRect t="11697" b="2510"/>
                    <a:stretch/>
                  </pic:blipFill>
                  <pic:spPr bwMode="auto">
                    <a:xfrm>
                      <a:off x="0" y="0"/>
                      <a:ext cx="4160886" cy="2190281"/>
                    </a:xfrm>
                    <a:prstGeom prst="rect">
                      <a:avLst/>
                    </a:prstGeom>
                    <a:noFill/>
                    <a:ln>
                      <a:noFill/>
                    </a:ln>
                    <a:extLst>
                      <a:ext uri="{53640926-AAD7-44D8-BBD7-CCE9431645EC}">
                        <a14:shadowObscured xmlns:a14="http://schemas.microsoft.com/office/drawing/2010/main"/>
                      </a:ext>
                    </a:extLst>
                  </pic:spPr>
                </pic:pic>
              </a:graphicData>
            </a:graphic>
          </wp:inline>
        </w:drawing>
      </w:r>
    </w:p>
    <w:p w14:paraId="696CD962" w14:textId="77777777" w:rsidR="00970674" w:rsidRDefault="00970674" w:rsidP="00BA348C">
      <w:pPr>
        <w:pStyle w:val="TableDescription"/>
      </w:pPr>
      <w:r>
        <w:t xml:space="preserve">(Note that Study 005/05 was not evaluated in the assessment of viral </w:t>
      </w:r>
      <w:proofErr w:type="spellStart"/>
      <w:r>
        <w:t>biodistribution</w:t>
      </w:r>
      <w:proofErr w:type="spellEnd"/>
      <w:r>
        <w:t>)</w:t>
      </w:r>
    </w:p>
    <w:p w14:paraId="0FDC6377" w14:textId="77777777" w:rsidR="00970674" w:rsidRDefault="00970674" w:rsidP="00BA348C">
      <w:pPr>
        <w:pStyle w:val="Heading4"/>
      </w:pPr>
      <w:bookmarkStart w:id="81" w:name="_Toc429143900"/>
      <w:bookmarkStart w:id="82" w:name="_Toc290846262"/>
      <w:bookmarkStart w:id="83" w:name="_Toc272414640"/>
      <w:bookmarkStart w:id="84" w:name="_Toc241374299"/>
      <w:bookmarkEnd w:id="69"/>
      <w:r>
        <w:t>Mechanism of action</w:t>
      </w:r>
      <w:bookmarkEnd w:id="81"/>
      <w:bookmarkEnd w:id="82"/>
      <w:bookmarkEnd w:id="83"/>
      <w:bookmarkEnd w:id="84"/>
    </w:p>
    <w:p w14:paraId="14E07E10" w14:textId="77777777" w:rsidR="00970674" w:rsidRDefault="00970674" w:rsidP="00970674">
      <w:pPr>
        <w:rPr>
          <w:lang w:val="en-US"/>
        </w:rPr>
      </w:pPr>
      <w:proofErr w:type="spellStart"/>
      <w:r>
        <w:rPr>
          <w:lang w:val="en-US"/>
        </w:rPr>
        <w:t>Talimogene</w:t>
      </w:r>
      <w:proofErr w:type="spellEnd"/>
      <w:r>
        <w:rPr>
          <w:lang w:val="en-US"/>
        </w:rPr>
        <w:t xml:space="preserve"> </w:t>
      </w:r>
      <w:proofErr w:type="spellStart"/>
      <w:r>
        <w:rPr>
          <w:lang w:val="en-US"/>
        </w:rPr>
        <w:t>laherparepvec</w:t>
      </w:r>
      <w:proofErr w:type="spellEnd"/>
      <w:r>
        <w:rPr>
          <w:lang w:val="en-US"/>
        </w:rPr>
        <w:t xml:space="preserve"> is an oncolytic immunotherapy derived from the wild-type HSV-1 genome (newly isolated strain JS1; ECAAC Accession Number 01010209). It is based on an attenuated non-integrating HSV-1 (a non-integrating double-stranded DNA virus) that is designed to selectively replicate in </w:t>
      </w:r>
      <w:proofErr w:type="spellStart"/>
      <w:r w:rsidR="00BA348C">
        <w:rPr>
          <w:lang w:val="en-US"/>
        </w:rPr>
        <w:t>tumour</w:t>
      </w:r>
      <w:proofErr w:type="spellEnd"/>
      <w:r>
        <w:rPr>
          <w:lang w:val="en-US"/>
        </w:rPr>
        <w:t xml:space="preserve"> tissues. In particular, genes that encode for </w:t>
      </w:r>
      <w:proofErr w:type="spellStart"/>
      <w:r>
        <w:rPr>
          <w:lang w:val="en-US"/>
        </w:rPr>
        <w:t>neurovirulence</w:t>
      </w:r>
      <w:proofErr w:type="spellEnd"/>
      <w:r>
        <w:rPr>
          <w:lang w:val="en-US"/>
        </w:rPr>
        <w:t xml:space="preserve"> (both copies of the genes encoding ICP34.5) have been removed and replaced with coding sequences for GM-CSF to enhance the systemic response to </w:t>
      </w:r>
      <w:proofErr w:type="spellStart"/>
      <w:r w:rsidR="00BA348C">
        <w:rPr>
          <w:lang w:val="en-US"/>
        </w:rPr>
        <w:t>tumour</w:t>
      </w:r>
      <w:proofErr w:type="spellEnd"/>
      <w:r>
        <w:rPr>
          <w:lang w:val="en-US"/>
        </w:rPr>
        <w:t xml:space="preserve"> antigens released during virus replication. The proposed therapeutic mechanism of action of </w:t>
      </w:r>
      <w:proofErr w:type="spellStart"/>
      <w:r>
        <w:rPr>
          <w:lang w:val="en-US"/>
        </w:rPr>
        <w:t>talimogene</w:t>
      </w:r>
      <w:proofErr w:type="spellEnd"/>
      <w:r>
        <w:rPr>
          <w:lang w:val="en-US"/>
        </w:rPr>
        <w:t xml:space="preserve"> </w:t>
      </w:r>
      <w:proofErr w:type="spellStart"/>
      <w:r>
        <w:rPr>
          <w:lang w:val="en-US"/>
        </w:rPr>
        <w:t>laherparepvec</w:t>
      </w:r>
      <w:proofErr w:type="spellEnd"/>
      <w:r>
        <w:rPr>
          <w:lang w:val="en-US"/>
        </w:rPr>
        <w:t xml:space="preserve"> is </w:t>
      </w:r>
      <w:r w:rsidR="00BA348C">
        <w:rPr>
          <w:lang w:val="en-US"/>
        </w:rPr>
        <w:t>two</w:t>
      </w:r>
      <w:r>
        <w:rPr>
          <w:lang w:val="en-US"/>
        </w:rPr>
        <w:t xml:space="preserve">-fold (see </w:t>
      </w:r>
      <w:r w:rsidR="00BA348C">
        <w:rPr>
          <w:lang w:val="en-US"/>
        </w:rPr>
        <w:t xml:space="preserve">also </w:t>
      </w:r>
      <w:r>
        <w:rPr>
          <w:lang w:val="en-US"/>
        </w:rPr>
        <w:t>figure below)</w:t>
      </w:r>
      <w:r w:rsidR="00BA348C">
        <w:rPr>
          <w:lang w:val="en-US"/>
        </w:rPr>
        <w:t>:</w:t>
      </w:r>
    </w:p>
    <w:p w14:paraId="0350D746" w14:textId="77777777" w:rsidR="00970674" w:rsidRDefault="00970674" w:rsidP="00BA348C">
      <w:pPr>
        <w:pStyle w:val="Numberbullet0"/>
        <w:rPr>
          <w:lang w:val="en-US"/>
        </w:rPr>
      </w:pPr>
      <w:proofErr w:type="gramStart"/>
      <w:r>
        <w:rPr>
          <w:lang w:val="en-US"/>
        </w:rPr>
        <w:t>a</w:t>
      </w:r>
      <w:proofErr w:type="gramEnd"/>
      <w:r>
        <w:rPr>
          <w:lang w:val="en-US"/>
        </w:rPr>
        <w:t xml:space="preserve"> direct oncolytic effect is achieved following </w:t>
      </w:r>
      <w:proofErr w:type="spellStart"/>
      <w:r>
        <w:rPr>
          <w:lang w:val="en-US"/>
        </w:rPr>
        <w:t>intralesional</w:t>
      </w:r>
      <w:proofErr w:type="spellEnd"/>
      <w:r>
        <w:rPr>
          <w:lang w:val="en-US"/>
        </w:rPr>
        <w:t xml:space="preserve"> administration by viral replication in </w:t>
      </w:r>
      <w:proofErr w:type="spellStart"/>
      <w:r w:rsidR="00BA348C">
        <w:rPr>
          <w:lang w:val="en-US"/>
        </w:rPr>
        <w:t>tumour</w:t>
      </w:r>
      <w:proofErr w:type="spellEnd"/>
      <w:r>
        <w:rPr>
          <w:lang w:val="en-US"/>
        </w:rPr>
        <w:t xml:space="preserve"> tissue, resulting in </w:t>
      </w:r>
      <w:proofErr w:type="spellStart"/>
      <w:r w:rsidR="00BA348C">
        <w:rPr>
          <w:lang w:val="en-US"/>
        </w:rPr>
        <w:t>tumour</w:t>
      </w:r>
      <w:proofErr w:type="spellEnd"/>
      <w:r>
        <w:rPr>
          <w:lang w:val="en-US"/>
        </w:rPr>
        <w:t xml:space="preserve"> cell lysis and release of putative </w:t>
      </w:r>
      <w:proofErr w:type="spellStart"/>
      <w:r>
        <w:rPr>
          <w:lang w:val="en-US"/>
        </w:rPr>
        <w:t>tumo</w:t>
      </w:r>
      <w:r w:rsidR="00BA348C">
        <w:rPr>
          <w:lang w:val="en-US"/>
        </w:rPr>
        <w:t>u</w:t>
      </w:r>
      <w:r>
        <w:rPr>
          <w:lang w:val="en-US"/>
        </w:rPr>
        <w:t>r</w:t>
      </w:r>
      <w:proofErr w:type="spellEnd"/>
      <w:r>
        <w:rPr>
          <w:lang w:val="en-US"/>
        </w:rPr>
        <w:t>-derived antigens.</w:t>
      </w:r>
    </w:p>
    <w:p w14:paraId="4F5F5964" w14:textId="77777777" w:rsidR="00970674" w:rsidRDefault="00970674" w:rsidP="00BA348C">
      <w:pPr>
        <w:pStyle w:val="Numberbullet0"/>
        <w:rPr>
          <w:lang w:val="en-US"/>
        </w:rPr>
      </w:pPr>
      <w:proofErr w:type="gramStart"/>
      <w:r>
        <w:rPr>
          <w:lang w:val="en-US"/>
        </w:rPr>
        <w:t>to</w:t>
      </w:r>
      <w:proofErr w:type="gramEnd"/>
      <w:r>
        <w:rPr>
          <w:lang w:val="en-US"/>
        </w:rPr>
        <w:t xml:space="preserve"> promote the development of an anti-</w:t>
      </w:r>
      <w:proofErr w:type="spellStart"/>
      <w:r w:rsidR="00BA348C">
        <w:rPr>
          <w:lang w:val="en-US"/>
        </w:rPr>
        <w:t>tumour</w:t>
      </w:r>
      <w:proofErr w:type="spellEnd"/>
      <w:r>
        <w:rPr>
          <w:lang w:val="en-US"/>
        </w:rPr>
        <w:t xml:space="preserve"> adaptive immune response, the virally produced GM-CSF is expressed locally in order to promote the local maturation of antigen presenting cells which can take up released </w:t>
      </w:r>
      <w:proofErr w:type="spellStart"/>
      <w:r w:rsidR="00BA348C">
        <w:rPr>
          <w:lang w:val="en-US"/>
        </w:rPr>
        <w:t>tumour</w:t>
      </w:r>
      <w:proofErr w:type="spellEnd"/>
      <w:r>
        <w:rPr>
          <w:lang w:val="en-US"/>
        </w:rPr>
        <w:t xml:space="preserve"> antigens, travel to lymph nodes, and induce a systemic anti</w:t>
      </w:r>
      <w:r w:rsidR="00BA348C">
        <w:rPr>
          <w:lang w:val="en-US"/>
        </w:rPr>
        <w:t>-</w:t>
      </w:r>
      <w:proofErr w:type="spellStart"/>
      <w:r w:rsidR="00BA348C">
        <w:rPr>
          <w:lang w:val="en-US"/>
        </w:rPr>
        <w:t>tumour</w:t>
      </w:r>
      <w:proofErr w:type="spellEnd"/>
      <w:r>
        <w:rPr>
          <w:lang w:val="en-US"/>
        </w:rPr>
        <w:t xml:space="preserve"> immune response following presentation to T-cells. This strategy results in the destruction of injected and non-injected </w:t>
      </w:r>
      <w:proofErr w:type="spellStart"/>
      <w:r w:rsidR="00BA348C">
        <w:rPr>
          <w:lang w:val="en-US"/>
        </w:rPr>
        <w:t>tumour</w:t>
      </w:r>
      <w:r>
        <w:rPr>
          <w:lang w:val="en-US"/>
        </w:rPr>
        <w:t>s</w:t>
      </w:r>
      <w:proofErr w:type="spellEnd"/>
      <w:r>
        <w:rPr>
          <w:lang w:val="en-US"/>
        </w:rPr>
        <w:t xml:space="preserve"> (including micro-metastatic disease) and reduces the development of new metastases.</w:t>
      </w:r>
    </w:p>
    <w:p w14:paraId="17F53DAE" w14:textId="77777777" w:rsidR="00970674" w:rsidRDefault="00970674" w:rsidP="00970674">
      <w:pPr>
        <w:tabs>
          <w:tab w:val="left" w:pos="709"/>
        </w:tabs>
        <w:rPr>
          <w:lang w:val="en-US"/>
        </w:rPr>
      </w:pPr>
      <w:r>
        <w:rPr>
          <w:lang w:val="en-US"/>
        </w:rPr>
        <w:t xml:space="preserve">Clinically, the intended biologic effects are delay or prevention of disease progression and relapse, and prolongation of OS. </w:t>
      </w:r>
    </w:p>
    <w:p w14:paraId="364BF95A" w14:textId="77777777" w:rsidR="00970674" w:rsidRDefault="00970674" w:rsidP="00970674">
      <w:r>
        <w:rPr>
          <w:lang w:val="en-US"/>
        </w:rPr>
        <w:t>Herpes simplex virus type 1 has several advantages over other viruses for development as an oncolytic agent. It infects a wide variety of cell types, has a rapid replication cycle resulting in cell lysis, allows the incorporation of single or multiple inserted genes, which may improve the anti-</w:t>
      </w:r>
      <w:proofErr w:type="spellStart"/>
      <w:r w:rsidR="00BA348C">
        <w:rPr>
          <w:lang w:val="en-US"/>
        </w:rPr>
        <w:t>tumour</w:t>
      </w:r>
      <w:proofErr w:type="spellEnd"/>
      <w:r>
        <w:rPr>
          <w:lang w:val="en-US"/>
        </w:rPr>
        <w:t xml:space="preserve"> effect, and appropriate titers can be produced in quantities sufficient for clinical use.</w:t>
      </w:r>
    </w:p>
    <w:p w14:paraId="1BA9D3EE" w14:textId="77777777" w:rsidR="00970674" w:rsidRDefault="00970674" w:rsidP="00970674">
      <w:pPr>
        <w:rPr>
          <w:lang w:val="en-US"/>
        </w:rPr>
      </w:pPr>
      <w:r>
        <w:rPr>
          <w:lang w:val="en-US"/>
        </w:rPr>
        <w:lastRenderedPageBreak/>
        <w:t xml:space="preserve">Nonclinical and clinical data have shown that </w:t>
      </w:r>
      <w:r w:rsidRPr="00342116">
        <w:rPr>
          <w:lang w:val="en-US"/>
        </w:rPr>
        <w:t xml:space="preserve">selective deletion of HSV genes encoding ICP34.5 results in a non-pathogenic virus with promising properties for cancer therapy (Harrington et al, 2010; </w:t>
      </w:r>
      <w:proofErr w:type="spellStart"/>
      <w:r w:rsidRPr="00342116">
        <w:rPr>
          <w:lang w:val="en-US"/>
        </w:rPr>
        <w:t>Senzer</w:t>
      </w:r>
      <w:proofErr w:type="spellEnd"/>
      <w:r w:rsidRPr="00342116">
        <w:rPr>
          <w:lang w:val="en-US"/>
        </w:rPr>
        <w:t xml:space="preserve"> et al, 2009; Hu et al, 2006; </w:t>
      </w:r>
      <w:proofErr w:type="spellStart"/>
      <w:r w:rsidRPr="00342116">
        <w:rPr>
          <w:lang w:val="en-US"/>
        </w:rPr>
        <w:t>MacKie</w:t>
      </w:r>
      <w:proofErr w:type="spellEnd"/>
      <w:r w:rsidRPr="00342116">
        <w:rPr>
          <w:lang w:val="en-US"/>
        </w:rPr>
        <w:t xml:space="preserve"> et al, 2001; </w:t>
      </w:r>
      <w:proofErr w:type="spellStart"/>
      <w:r w:rsidRPr="00342116">
        <w:rPr>
          <w:lang w:val="en-US"/>
        </w:rPr>
        <w:t>Markert</w:t>
      </w:r>
      <w:proofErr w:type="spellEnd"/>
      <w:r w:rsidRPr="00342116">
        <w:rPr>
          <w:lang w:val="en-US"/>
        </w:rPr>
        <w:t xml:space="preserve"> et al, 2000; </w:t>
      </w:r>
      <w:proofErr w:type="spellStart"/>
      <w:r w:rsidRPr="00342116">
        <w:rPr>
          <w:lang w:val="en-US"/>
        </w:rPr>
        <w:t>Rampling</w:t>
      </w:r>
      <w:proofErr w:type="spellEnd"/>
      <w:r w:rsidRPr="00342116">
        <w:rPr>
          <w:lang w:val="en-US"/>
        </w:rPr>
        <w:t xml:space="preserve"> et al, 2000; </w:t>
      </w:r>
      <w:proofErr w:type="spellStart"/>
      <w:r w:rsidRPr="00342116">
        <w:rPr>
          <w:lang w:val="en-US"/>
        </w:rPr>
        <w:t>Mineta</w:t>
      </w:r>
      <w:proofErr w:type="spellEnd"/>
      <w:r w:rsidRPr="00342116">
        <w:rPr>
          <w:lang w:val="en-US"/>
        </w:rPr>
        <w:t xml:space="preserve"> et al, 1995).</w:t>
      </w:r>
    </w:p>
    <w:p w14:paraId="5D3409F5" w14:textId="77777777" w:rsidR="00970674" w:rsidRDefault="00970674" w:rsidP="00BA348C">
      <w:pPr>
        <w:pStyle w:val="FigureTitle"/>
        <w:rPr>
          <w:lang w:val="en-US"/>
        </w:rPr>
      </w:pPr>
      <w:bookmarkStart w:id="85" w:name="_Toc291240596"/>
      <w:r>
        <w:t xml:space="preserve">Figure </w:t>
      </w:r>
      <w:r w:rsidR="00BA348C">
        <w:t>2:</w:t>
      </w:r>
      <w:r>
        <w:t xml:space="preserve"> Proposed Mechanism of action for </w:t>
      </w:r>
      <w:proofErr w:type="spellStart"/>
      <w:r>
        <w:t>Talimogene</w:t>
      </w:r>
      <w:proofErr w:type="spellEnd"/>
      <w:r>
        <w:t xml:space="preserve"> </w:t>
      </w:r>
      <w:proofErr w:type="spellStart"/>
      <w:r>
        <w:t>Laherparepvec</w:t>
      </w:r>
      <w:bookmarkEnd w:id="85"/>
      <w:proofErr w:type="spellEnd"/>
    </w:p>
    <w:p w14:paraId="306ED432" w14:textId="77777777" w:rsidR="00970674" w:rsidRDefault="00970674" w:rsidP="00970674">
      <w:r>
        <w:rPr>
          <w:noProof/>
          <w:lang w:eastAsia="en-AU"/>
        </w:rPr>
        <w:drawing>
          <wp:inline distT="0" distB="0" distL="0" distR="0" wp14:anchorId="5B061131" wp14:editId="6A308D31">
            <wp:extent cx="5923274" cy="2097741"/>
            <wp:effectExtent l="0" t="0" r="1905" b="0"/>
            <wp:docPr id="3" name="Picture 3" descr="Local effect: Tumour cell lysis&#10;1: Selective viral replication in tumour tissue&#10;2: Tumour cells rupture for an oncolytic effect&#10;Systemic effect: Tumour specific immune response&#10;3: Systemic tumour-specific immune response&#10;4: Death of distant tumour cells&#10;" title="Figure 2: Proposed Mechanism of action for Talimogene Laherparepv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7">
                      <a:extLst>
                        <a:ext uri="{28A0092B-C50C-407E-A947-70E740481C1C}">
                          <a14:useLocalDpi xmlns:a14="http://schemas.microsoft.com/office/drawing/2010/main" val="0"/>
                        </a:ext>
                      </a:extLst>
                    </a:blip>
                    <a:srcRect t="12466" b="5131"/>
                    <a:stretch/>
                  </pic:blipFill>
                  <pic:spPr bwMode="auto">
                    <a:xfrm>
                      <a:off x="0" y="0"/>
                      <a:ext cx="5924550" cy="2098193"/>
                    </a:xfrm>
                    <a:prstGeom prst="rect">
                      <a:avLst/>
                    </a:prstGeom>
                    <a:noFill/>
                    <a:ln>
                      <a:noFill/>
                    </a:ln>
                    <a:extLst>
                      <a:ext uri="{53640926-AAD7-44D8-BBD7-CCE9431645EC}">
                        <a14:shadowObscured xmlns:a14="http://schemas.microsoft.com/office/drawing/2010/main"/>
                      </a:ext>
                    </a:extLst>
                  </pic:spPr>
                </pic:pic>
              </a:graphicData>
            </a:graphic>
          </wp:inline>
        </w:drawing>
      </w:r>
    </w:p>
    <w:p w14:paraId="26CF53FD" w14:textId="77777777" w:rsidR="00970674" w:rsidRDefault="00970674" w:rsidP="00BA348C">
      <w:pPr>
        <w:pStyle w:val="Heading3"/>
      </w:pPr>
      <w:bookmarkStart w:id="86" w:name="_Toc429143901"/>
      <w:bookmarkStart w:id="87" w:name="_Toc290846270"/>
      <w:bookmarkStart w:id="88" w:name="_Toc272414648"/>
      <w:bookmarkStart w:id="89" w:name="_Ref269983272"/>
      <w:bookmarkStart w:id="90" w:name="_Toc452631088"/>
      <w:r>
        <w:t>Evaluator’s overall conclusions on pharmacodynamics</w:t>
      </w:r>
      <w:bookmarkEnd w:id="86"/>
      <w:bookmarkEnd w:id="87"/>
      <w:bookmarkEnd w:id="88"/>
      <w:bookmarkEnd w:id="89"/>
      <w:bookmarkEnd w:id="90"/>
    </w:p>
    <w:p w14:paraId="7AD5D1DF" w14:textId="77777777" w:rsidR="00970674" w:rsidRDefault="00970674" w:rsidP="00970674">
      <w:r>
        <w:t xml:space="preserve">Enthusiasm for use of oncolytic viruses in treatment of cancer has </w:t>
      </w:r>
      <w:r w:rsidR="001A4B22">
        <w:t>centred</w:t>
      </w:r>
      <w:r>
        <w:t xml:space="preserve"> on their ability to selectively destroy cancer cells either because the cancer cell (but not normal cells) express receptors for the virus (as for </w:t>
      </w:r>
      <w:proofErr w:type="spellStart"/>
      <w:r>
        <w:t>Coxackie</w:t>
      </w:r>
      <w:proofErr w:type="spellEnd"/>
      <w:r>
        <w:t xml:space="preserve"> A21) or because normal cells but not cancer cells can kill the virus as proposed for the genetically modified HSV described in this application. Increasingly proponents of treatments with oncolytic viruses see them as agents that stimulate immune responses against the </w:t>
      </w:r>
      <w:r w:rsidR="00BA348C">
        <w:t>tumour</w:t>
      </w:r>
      <w:r>
        <w:t xml:space="preserve"> (or even v</w:t>
      </w:r>
      <w:r w:rsidR="001A4B22">
        <w:t>i</w:t>
      </w:r>
      <w:r>
        <w:t xml:space="preserve">ral antigens expressed in </w:t>
      </w:r>
      <w:r w:rsidR="00BA348C">
        <w:t>tumour</w:t>
      </w:r>
      <w:r>
        <w:t xml:space="preserve"> cells) rather than as direct oncolytic agents. </w:t>
      </w:r>
    </w:p>
    <w:p w14:paraId="77E1445B" w14:textId="77777777" w:rsidR="00C22678" w:rsidRPr="00586F98" w:rsidRDefault="00970674" w:rsidP="00970674">
      <w:pPr>
        <w:rPr>
          <w:lang w:eastAsia="ja-JP"/>
        </w:rPr>
      </w:pPr>
      <w:r>
        <w:t>The genetically modified virus in this study attempted to increase this aspect by incorporating production of a cytokine believed to increase antigen presentation by adjacent dendritic cells (GM-CSF)</w:t>
      </w:r>
      <w:r w:rsidR="003A2634">
        <w:t xml:space="preserve"> </w:t>
      </w:r>
      <w:r>
        <w:t xml:space="preserve">and deletion of a gene that inhibited antigen processing in the cancer cell. Given these features it is surprising that very little information was provided as to the effectiveness on this aspect of </w:t>
      </w:r>
      <w:proofErr w:type="spellStart"/>
      <w:r>
        <w:t>pharmacodynamic</w:t>
      </w:r>
      <w:proofErr w:type="spellEnd"/>
      <w:r>
        <w:t xml:space="preserve"> effects of the </w:t>
      </w:r>
      <w:r w:rsidRPr="00342116">
        <w:t>treatment on anti</w:t>
      </w:r>
      <w:r w:rsidR="003A2634" w:rsidRPr="00342116">
        <w:t>-</w:t>
      </w:r>
      <w:r w:rsidR="00BA348C" w:rsidRPr="00342116">
        <w:t>tumour</w:t>
      </w:r>
      <w:r w:rsidRPr="00342116">
        <w:t xml:space="preserve"> effects against the </w:t>
      </w:r>
      <w:r w:rsidR="00BA348C" w:rsidRPr="00342116">
        <w:t>tumour</w:t>
      </w:r>
      <w:r w:rsidRPr="00342116">
        <w:t>. (Only one study appears to have been conducted (Kaufman et al., 2010). Such studies</w:t>
      </w:r>
      <w:r>
        <w:t xml:space="preserve"> are difficult and debate continues on immune correlates with clinical responses. Nevertheless simple assessments of the effect of the treatment on T cell infiltration into injected and non</w:t>
      </w:r>
      <w:r w:rsidR="003A2634">
        <w:noBreakHyphen/>
      </w:r>
      <w:r>
        <w:t>injected metastases might have been expected.</w:t>
      </w:r>
      <w:r w:rsidR="00BA348C">
        <w:t xml:space="preserve"> </w:t>
      </w:r>
      <w:r>
        <w:t>The pharmacodynamics study is incomplete without such information. There is no mention of biomarkers that might be helpful in patient selection.</w:t>
      </w:r>
    </w:p>
    <w:p w14:paraId="18084A14" w14:textId="77777777" w:rsidR="00586F98" w:rsidRDefault="00C22678" w:rsidP="003A2634">
      <w:pPr>
        <w:pStyle w:val="Heading2"/>
      </w:pPr>
      <w:bookmarkStart w:id="91" w:name="_Toc452631089"/>
      <w:r>
        <w:t>Dosage selection for the pivotal studies</w:t>
      </w:r>
      <w:bookmarkEnd w:id="91"/>
    </w:p>
    <w:p w14:paraId="110E8DDA" w14:textId="77777777" w:rsidR="00970674" w:rsidRDefault="00970674" w:rsidP="00970674">
      <w:pPr>
        <w:rPr>
          <w:lang w:val="en-US"/>
        </w:rPr>
      </w:pPr>
      <w:r>
        <w:rPr>
          <w:lang w:val="en-US"/>
        </w:rPr>
        <w:t xml:space="preserve">The dosing regimen selected for evaluation in the </w:t>
      </w:r>
      <w:r w:rsidR="00BA348C">
        <w:rPr>
          <w:lang w:val="en-US"/>
        </w:rPr>
        <w:t>Phase II</w:t>
      </w:r>
      <w:r>
        <w:rPr>
          <w:lang w:val="en-US"/>
        </w:rPr>
        <w:t xml:space="preserve"> and </w:t>
      </w:r>
      <w:r w:rsidR="003A2634">
        <w:rPr>
          <w:lang w:val="en-US"/>
        </w:rPr>
        <w:t>III</w:t>
      </w:r>
      <w:r>
        <w:rPr>
          <w:lang w:val="en-US"/>
        </w:rPr>
        <w:t xml:space="preserve"> studies was based on results from the FIH study (Study 001/01) which included subjects with melanoma. The dosing regimen consisted of an initial dose of </w:t>
      </w:r>
      <w:proofErr w:type="spellStart"/>
      <w:r>
        <w:rPr>
          <w:lang w:val="en-US"/>
        </w:rPr>
        <w:t>talimogene</w:t>
      </w:r>
      <w:proofErr w:type="spellEnd"/>
      <w:r>
        <w:rPr>
          <w:lang w:val="en-US"/>
        </w:rPr>
        <w:t xml:space="preserve"> </w:t>
      </w:r>
      <w:proofErr w:type="spellStart"/>
      <w:r>
        <w:rPr>
          <w:lang w:val="en-US"/>
        </w:rPr>
        <w:t>laherparepvec</w:t>
      </w:r>
      <w:proofErr w:type="spellEnd"/>
      <w:r>
        <w:rPr>
          <w:lang w:val="en-US"/>
        </w:rPr>
        <w:t xml:space="preserve"> of up to 4 mL of 10</w:t>
      </w:r>
      <w:r>
        <w:rPr>
          <w:vertAlign w:val="superscript"/>
          <w:lang w:val="en-US"/>
        </w:rPr>
        <w:t>6</w:t>
      </w:r>
      <w:r>
        <w:rPr>
          <w:lang w:val="en-US"/>
        </w:rPr>
        <w:t xml:space="preserve"> PFU/mL followed by 4 mL of 10</w:t>
      </w:r>
      <w:r>
        <w:rPr>
          <w:vertAlign w:val="superscript"/>
          <w:lang w:val="en-US"/>
        </w:rPr>
        <w:t>8</w:t>
      </w:r>
      <w:r>
        <w:rPr>
          <w:lang w:val="en-US"/>
        </w:rPr>
        <w:t xml:space="preserve"> PFU/mL administered 3 weeks later; thereafter, subsequent doses of 4 mL of 10</w:t>
      </w:r>
      <w:r>
        <w:rPr>
          <w:vertAlign w:val="superscript"/>
          <w:lang w:val="en-US"/>
        </w:rPr>
        <w:t>8</w:t>
      </w:r>
      <w:r>
        <w:rPr>
          <w:lang w:val="en-US"/>
        </w:rPr>
        <w:t xml:space="preserve"> PFU/mL are administered every 2 weeks. </w:t>
      </w:r>
    </w:p>
    <w:p w14:paraId="76649A97" w14:textId="77777777" w:rsidR="00970674" w:rsidRDefault="00970674" w:rsidP="00970674">
      <w:r>
        <w:rPr>
          <w:lang w:val="en-US"/>
        </w:rPr>
        <w:t xml:space="preserve">This dosing regimen was based on biological activity of the virus observed in the FIH study. In Study 001/01, </w:t>
      </w:r>
      <w:proofErr w:type="spellStart"/>
      <w:r>
        <w:rPr>
          <w:lang w:val="en-US"/>
        </w:rPr>
        <w:t>talimogene</w:t>
      </w:r>
      <w:proofErr w:type="spellEnd"/>
      <w:r>
        <w:rPr>
          <w:lang w:val="en-US"/>
        </w:rPr>
        <w:t xml:space="preserve"> </w:t>
      </w:r>
      <w:proofErr w:type="spellStart"/>
      <w:r>
        <w:rPr>
          <w:lang w:val="en-US"/>
        </w:rPr>
        <w:t>laherparepvec</w:t>
      </w:r>
      <w:proofErr w:type="spellEnd"/>
      <w:r>
        <w:rPr>
          <w:lang w:val="en-US"/>
        </w:rPr>
        <w:t xml:space="preserve"> was administered in single ascending doses of 10</w:t>
      </w:r>
      <w:r>
        <w:rPr>
          <w:vertAlign w:val="superscript"/>
          <w:lang w:val="en-US"/>
        </w:rPr>
        <w:t>6</w:t>
      </w:r>
      <w:r>
        <w:rPr>
          <w:lang w:val="en-US"/>
        </w:rPr>
        <w:t>, 10</w:t>
      </w:r>
      <w:r>
        <w:rPr>
          <w:vertAlign w:val="superscript"/>
          <w:lang w:val="en-US"/>
        </w:rPr>
        <w:t>7</w:t>
      </w:r>
      <w:r>
        <w:rPr>
          <w:lang w:val="en-US"/>
        </w:rPr>
        <w:t>, or 10</w:t>
      </w:r>
      <w:r>
        <w:rPr>
          <w:vertAlign w:val="superscript"/>
          <w:lang w:val="en-US"/>
        </w:rPr>
        <w:t>8</w:t>
      </w:r>
      <w:r>
        <w:rPr>
          <w:lang w:val="en-US"/>
        </w:rPr>
        <w:t xml:space="preserve"> PFU/mL (up to 4 mL). In the first 2 single-dose cohorts, subjects who were HSV-1 seronegative at study entry experienced more adverse events, including febrile influenza-like </w:t>
      </w:r>
      <w:r>
        <w:rPr>
          <w:lang w:val="en-US"/>
        </w:rPr>
        <w:lastRenderedPageBreak/>
        <w:t>syndromes associated with symptoms of fatigue, rigors, erythematous skin rashes and small vesicles in the skin. At the highest dose (10</w:t>
      </w:r>
      <w:r>
        <w:rPr>
          <w:vertAlign w:val="superscript"/>
          <w:lang w:val="en-US"/>
        </w:rPr>
        <w:t>8</w:t>
      </w:r>
      <w:r>
        <w:rPr>
          <w:lang w:val="en-US"/>
        </w:rPr>
        <w:t xml:space="preserve"> PFU/mL), only HSV-1 seropositive subjects received </w:t>
      </w:r>
      <w:proofErr w:type="spellStart"/>
      <w:r>
        <w:rPr>
          <w:lang w:val="en-US"/>
        </w:rPr>
        <w:t>talimogene</w:t>
      </w:r>
      <w:proofErr w:type="spellEnd"/>
      <w:r>
        <w:rPr>
          <w:lang w:val="en-US"/>
        </w:rPr>
        <w:t xml:space="preserve"> </w:t>
      </w:r>
      <w:proofErr w:type="spellStart"/>
      <w:r>
        <w:rPr>
          <w:lang w:val="en-US"/>
        </w:rPr>
        <w:t>laherparepvec</w:t>
      </w:r>
      <w:proofErr w:type="spellEnd"/>
      <w:r>
        <w:rPr>
          <w:lang w:val="en-US"/>
        </w:rPr>
        <w:t xml:space="preserve"> and no rashes or rigors were observed. Virus was also detected on the surface of some of the injected </w:t>
      </w:r>
      <w:proofErr w:type="spellStart"/>
      <w:r w:rsidR="00BA348C">
        <w:rPr>
          <w:lang w:val="en-US"/>
        </w:rPr>
        <w:t>tumour</w:t>
      </w:r>
      <w:r>
        <w:rPr>
          <w:lang w:val="en-US"/>
        </w:rPr>
        <w:t>s</w:t>
      </w:r>
      <w:proofErr w:type="spellEnd"/>
      <w:r>
        <w:rPr>
          <w:lang w:val="en-US"/>
        </w:rPr>
        <w:t>. However, virus was never detected on the exterior of the dressing covering the injection site. In the subsequent multi</w:t>
      </w:r>
      <w:r w:rsidR="003A2634">
        <w:rPr>
          <w:lang w:val="en-US"/>
        </w:rPr>
        <w:t>-</w:t>
      </w:r>
      <w:r>
        <w:rPr>
          <w:lang w:val="en-US"/>
        </w:rPr>
        <w:t xml:space="preserve">dose part of Study 001/01, </w:t>
      </w:r>
      <w:proofErr w:type="spellStart"/>
      <w:r>
        <w:rPr>
          <w:lang w:val="en-US"/>
        </w:rPr>
        <w:t>talimogene</w:t>
      </w:r>
      <w:proofErr w:type="spellEnd"/>
      <w:r>
        <w:rPr>
          <w:lang w:val="en-US"/>
        </w:rPr>
        <w:t xml:space="preserve"> </w:t>
      </w:r>
      <w:proofErr w:type="spellStart"/>
      <w:r>
        <w:rPr>
          <w:lang w:val="en-US"/>
        </w:rPr>
        <w:t>laherparepvec</w:t>
      </w:r>
      <w:proofErr w:type="spellEnd"/>
      <w:r>
        <w:rPr>
          <w:lang w:val="en-US"/>
        </w:rPr>
        <w:t xml:space="preserve"> was well tolerated in HSV-1 seronegative or seropositive subjects who received a first dose of 10</w:t>
      </w:r>
      <w:r>
        <w:rPr>
          <w:vertAlign w:val="superscript"/>
          <w:lang w:val="en-US"/>
        </w:rPr>
        <w:t>6</w:t>
      </w:r>
      <w:r>
        <w:rPr>
          <w:lang w:val="en-US"/>
        </w:rPr>
        <w:t xml:space="preserve"> PFU/mL, followed by 2 doses of 10</w:t>
      </w:r>
      <w:r>
        <w:rPr>
          <w:vertAlign w:val="superscript"/>
          <w:lang w:val="en-US"/>
        </w:rPr>
        <w:t>8</w:t>
      </w:r>
      <w:r>
        <w:rPr>
          <w:lang w:val="en-US"/>
        </w:rPr>
        <w:t xml:space="preserve"> PFU/</w:t>
      </w:r>
      <w:proofErr w:type="spellStart"/>
      <w:r>
        <w:rPr>
          <w:lang w:val="en-US"/>
        </w:rPr>
        <w:t>mL.</w:t>
      </w:r>
      <w:proofErr w:type="spellEnd"/>
      <w:r>
        <w:rPr>
          <w:lang w:val="en-US"/>
        </w:rPr>
        <w:t xml:space="preserve"> Febrile responses were minimal, there was no detection of virus on the surface of the injected </w:t>
      </w:r>
      <w:proofErr w:type="spellStart"/>
      <w:r w:rsidR="00BA348C">
        <w:rPr>
          <w:lang w:val="en-US"/>
        </w:rPr>
        <w:t>tumour</w:t>
      </w:r>
      <w:r>
        <w:rPr>
          <w:lang w:val="en-US"/>
        </w:rPr>
        <w:t>s</w:t>
      </w:r>
      <w:proofErr w:type="spellEnd"/>
      <w:r w:rsidR="003A2634">
        <w:rPr>
          <w:lang w:val="en-US"/>
        </w:rPr>
        <w:t>,</w:t>
      </w:r>
      <w:r>
        <w:rPr>
          <w:lang w:val="en-US"/>
        </w:rPr>
        <w:t xml:space="preserve"> and vesicles were not seen. Of the 17 subjects, 7 subjects were HSV-1 seronegative at baseline and after given an initial dose of 10</w:t>
      </w:r>
      <w:r>
        <w:rPr>
          <w:vertAlign w:val="superscript"/>
          <w:lang w:val="en-US"/>
        </w:rPr>
        <w:t>6</w:t>
      </w:r>
      <w:r>
        <w:rPr>
          <w:lang w:val="en-US"/>
        </w:rPr>
        <w:t xml:space="preserve"> PFU/mL before higher doses of 10</w:t>
      </w:r>
      <w:r>
        <w:rPr>
          <w:vertAlign w:val="superscript"/>
          <w:lang w:val="en-US"/>
        </w:rPr>
        <w:t>8</w:t>
      </w:r>
      <w:r>
        <w:rPr>
          <w:lang w:val="en-US"/>
        </w:rPr>
        <w:t xml:space="preserve"> PFU/mL, 6 of the 7 subjects seroconverted within 3 weeks. Human GM-CSF expression levels appeared to increase with the increasing dose and were generally higher in subjects who were seronegative at baseline.</w:t>
      </w:r>
    </w:p>
    <w:p w14:paraId="0C8B8E1E" w14:textId="77777777" w:rsidR="00C22678" w:rsidRDefault="00C22678" w:rsidP="00C22678">
      <w:pPr>
        <w:pStyle w:val="Heading2"/>
      </w:pPr>
      <w:bookmarkStart w:id="92" w:name="_Toc452631090"/>
      <w:r>
        <w:t>Clinical efficacy</w:t>
      </w:r>
      <w:bookmarkEnd w:id="92"/>
    </w:p>
    <w:p w14:paraId="60D7C0BB" w14:textId="77777777" w:rsidR="00970674" w:rsidRDefault="00970674" w:rsidP="003A2634">
      <w:pPr>
        <w:pStyle w:val="Heading3"/>
      </w:pPr>
      <w:bookmarkStart w:id="93" w:name="_Toc429143904"/>
      <w:bookmarkStart w:id="94" w:name="_Toc452631091"/>
      <w:r>
        <w:t>Melanoma</w:t>
      </w:r>
      <w:bookmarkEnd w:id="93"/>
      <w:bookmarkEnd w:id="94"/>
    </w:p>
    <w:p w14:paraId="5009A9BD" w14:textId="77777777" w:rsidR="00970674" w:rsidRDefault="00970674" w:rsidP="003A2634">
      <w:pPr>
        <w:pStyle w:val="Heading4"/>
      </w:pPr>
      <w:bookmarkStart w:id="95" w:name="_Toc429143905"/>
      <w:bookmarkStart w:id="96" w:name="_Toc290846274"/>
      <w:bookmarkStart w:id="97" w:name="_Toc272414652"/>
      <w:bookmarkStart w:id="98" w:name="_Ref271037274"/>
      <w:r>
        <w:t>Pivotal efficacy studies</w:t>
      </w:r>
      <w:bookmarkEnd w:id="95"/>
      <w:bookmarkEnd w:id="96"/>
      <w:bookmarkEnd w:id="97"/>
      <w:bookmarkEnd w:id="98"/>
    </w:p>
    <w:p w14:paraId="1DC18F67" w14:textId="77777777" w:rsidR="00970674" w:rsidRDefault="00970674" w:rsidP="003A2634">
      <w:pPr>
        <w:pStyle w:val="Heading5"/>
      </w:pPr>
      <w:bookmarkStart w:id="99" w:name="_Toc290846275"/>
      <w:bookmarkStart w:id="100" w:name="_Toc272414653"/>
      <w:bookmarkStart w:id="101" w:name="_Ref271040932"/>
      <w:bookmarkStart w:id="102" w:name="_Ref271040927"/>
      <w:bookmarkStart w:id="103" w:name="_Ref243301615"/>
      <w:bookmarkStart w:id="104" w:name="_Toc429143906"/>
      <w:r>
        <w:t xml:space="preserve">Study </w:t>
      </w:r>
      <w:bookmarkEnd w:id="99"/>
      <w:bookmarkEnd w:id="100"/>
      <w:bookmarkEnd w:id="101"/>
      <w:bookmarkEnd w:id="102"/>
      <w:bookmarkEnd w:id="103"/>
      <w:r>
        <w:t>005-05 and 005-05e</w:t>
      </w:r>
      <w:bookmarkEnd w:id="104"/>
    </w:p>
    <w:p w14:paraId="25A730CB" w14:textId="77777777" w:rsidR="00970674" w:rsidRDefault="00970674" w:rsidP="003A2634">
      <w:pPr>
        <w:pStyle w:val="Heading6"/>
      </w:pPr>
      <w:r>
        <w:t>Study design, objectives, locations and dates</w:t>
      </w:r>
    </w:p>
    <w:p w14:paraId="1A07B570" w14:textId="21B63AE4" w:rsidR="00970674" w:rsidRDefault="00970674" w:rsidP="003A2634">
      <w:pPr>
        <w:rPr>
          <w:lang w:val="en-US"/>
        </w:rPr>
      </w:pPr>
      <w:proofErr w:type="gramStart"/>
      <w:r>
        <w:rPr>
          <w:lang w:val="en-US"/>
        </w:rPr>
        <w:t xml:space="preserve">A </w:t>
      </w:r>
      <w:r w:rsidR="00BA348C">
        <w:rPr>
          <w:lang w:val="en-US"/>
        </w:rPr>
        <w:t>Phase III</w:t>
      </w:r>
      <w:r>
        <w:rPr>
          <w:lang w:val="en-US"/>
        </w:rPr>
        <w:t xml:space="preserve"> multicenter, </w:t>
      </w:r>
      <w:proofErr w:type="spellStart"/>
      <w:r>
        <w:rPr>
          <w:lang w:val="en-US"/>
        </w:rPr>
        <w:t>randomi</w:t>
      </w:r>
      <w:r w:rsidR="003A2634">
        <w:rPr>
          <w:lang w:val="en-US"/>
        </w:rPr>
        <w:t>s</w:t>
      </w:r>
      <w:r>
        <w:rPr>
          <w:lang w:val="en-US"/>
        </w:rPr>
        <w:t>ed</w:t>
      </w:r>
      <w:proofErr w:type="spellEnd"/>
      <w:r>
        <w:rPr>
          <w:lang w:val="en-US"/>
        </w:rPr>
        <w:t xml:space="preserve">, open-label study to assess the efficacy and safety of </w:t>
      </w:r>
      <w:proofErr w:type="spellStart"/>
      <w:r>
        <w:rPr>
          <w:lang w:val="en-US"/>
        </w:rPr>
        <w:t>talimogene</w:t>
      </w:r>
      <w:proofErr w:type="spellEnd"/>
      <w:r>
        <w:rPr>
          <w:lang w:val="en-US"/>
        </w:rPr>
        <w:t xml:space="preserve"> </w:t>
      </w:r>
      <w:proofErr w:type="spellStart"/>
      <w:r>
        <w:rPr>
          <w:lang w:val="en-US"/>
        </w:rPr>
        <w:t>laherparepvec</w:t>
      </w:r>
      <w:proofErr w:type="spellEnd"/>
      <w:r>
        <w:rPr>
          <w:lang w:val="en-US"/>
        </w:rPr>
        <w:t xml:space="preserve"> monotherapy </w:t>
      </w:r>
      <w:r w:rsidR="003A2634">
        <w:rPr>
          <w:lang w:val="en-US"/>
        </w:rPr>
        <w:t>versus</w:t>
      </w:r>
      <w:r>
        <w:rPr>
          <w:lang w:val="en-US"/>
        </w:rPr>
        <w:t xml:space="preserve"> GM-CSF in subjects with </w:t>
      </w:r>
      <w:proofErr w:type="spellStart"/>
      <w:r>
        <w:rPr>
          <w:lang w:val="en-US"/>
        </w:rPr>
        <w:t>unresectable</w:t>
      </w:r>
      <w:proofErr w:type="spellEnd"/>
      <w:r>
        <w:rPr>
          <w:lang w:val="en-US"/>
        </w:rPr>
        <w:t xml:space="preserve"> </w:t>
      </w:r>
      <w:r w:rsidR="007C3083">
        <w:rPr>
          <w:lang w:val="en-US"/>
        </w:rPr>
        <w:t>Stage I</w:t>
      </w:r>
      <w:r>
        <w:rPr>
          <w:lang w:val="en-US"/>
        </w:rPr>
        <w:t>IIB, IIIC and IV melanoma.</w:t>
      </w:r>
      <w:proofErr w:type="gramEnd"/>
      <w:r>
        <w:rPr>
          <w:lang w:val="en-US"/>
        </w:rPr>
        <w:t xml:space="preserve"> Subjects were </w:t>
      </w:r>
      <w:proofErr w:type="spellStart"/>
      <w:r>
        <w:rPr>
          <w:lang w:val="en-US"/>
        </w:rPr>
        <w:t>randomi</w:t>
      </w:r>
      <w:r w:rsidR="003A2634">
        <w:rPr>
          <w:lang w:val="en-US"/>
        </w:rPr>
        <w:t>s</w:t>
      </w:r>
      <w:r>
        <w:rPr>
          <w:lang w:val="en-US"/>
        </w:rPr>
        <w:t>ed</w:t>
      </w:r>
      <w:proofErr w:type="spellEnd"/>
      <w:r>
        <w:rPr>
          <w:lang w:val="en-US"/>
        </w:rPr>
        <w:t xml:space="preserve"> in a 2:1 allocation to receive </w:t>
      </w:r>
      <w:proofErr w:type="spellStart"/>
      <w:r>
        <w:rPr>
          <w:lang w:val="en-US"/>
        </w:rPr>
        <w:t>talimogene</w:t>
      </w:r>
      <w:proofErr w:type="spellEnd"/>
      <w:r>
        <w:rPr>
          <w:lang w:val="en-US"/>
        </w:rPr>
        <w:t xml:space="preserve"> </w:t>
      </w:r>
      <w:proofErr w:type="spellStart"/>
      <w:r>
        <w:rPr>
          <w:lang w:val="en-US"/>
        </w:rPr>
        <w:t>laherparepvec</w:t>
      </w:r>
      <w:proofErr w:type="spellEnd"/>
      <w:r>
        <w:rPr>
          <w:lang w:val="en-US"/>
        </w:rPr>
        <w:t xml:space="preserve"> or GM-CSF.</w:t>
      </w:r>
    </w:p>
    <w:p w14:paraId="34C84D6C" w14:textId="77777777" w:rsidR="00970674" w:rsidRDefault="00970674" w:rsidP="003A2634">
      <w:pPr>
        <w:rPr>
          <w:lang w:val="en-US"/>
        </w:rPr>
      </w:pPr>
      <w:r>
        <w:rPr>
          <w:lang w:val="en-US"/>
        </w:rPr>
        <w:t xml:space="preserve">The objective of this study was to evaluate the efficacy and safety of treatment with </w:t>
      </w:r>
      <w:proofErr w:type="spellStart"/>
      <w:r>
        <w:rPr>
          <w:lang w:val="en-US"/>
        </w:rPr>
        <w:t>talimogene</w:t>
      </w:r>
      <w:proofErr w:type="spellEnd"/>
      <w:r>
        <w:rPr>
          <w:lang w:val="en-US"/>
        </w:rPr>
        <w:t xml:space="preserve"> </w:t>
      </w:r>
      <w:proofErr w:type="spellStart"/>
      <w:r>
        <w:rPr>
          <w:lang w:val="en-US"/>
        </w:rPr>
        <w:t>laherparepvec</w:t>
      </w:r>
      <w:proofErr w:type="spellEnd"/>
      <w:r>
        <w:rPr>
          <w:lang w:val="en-US"/>
        </w:rPr>
        <w:t xml:space="preserve"> compared to subcutaneously (SC) administered granulocyte macrophage colony-stimulating factor (GM-CSF) in patients with </w:t>
      </w:r>
      <w:proofErr w:type="spellStart"/>
      <w:r>
        <w:rPr>
          <w:lang w:val="en-US"/>
        </w:rPr>
        <w:t>unresectable</w:t>
      </w:r>
      <w:proofErr w:type="spellEnd"/>
      <w:r>
        <w:rPr>
          <w:lang w:val="en-US"/>
        </w:rPr>
        <w:t xml:space="preserve"> </w:t>
      </w:r>
      <w:r w:rsidR="007C3083">
        <w:rPr>
          <w:lang w:val="en-US"/>
        </w:rPr>
        <w:t>Stage I</w:t>
      </w:r>
      <w:r>
        <w:rPr>
          <w:lang w:val="en-US"/>
        </w:rPr>
        <w:t>IIB, IIIC, and IV melanoma.</w:t>
      </w:r>
    </w:p>
    <w:p w14:paraId="034F09DF" w14:textId="77777777" w:rsidR="00970674" w:rsidRDefault="00970674" w:rsidP="003A2634">
      <w:pPr>
        <w:rPr>
          <w:lang w:val="en-US"/>
        </w:rPr>
      </w:pPr>
      <w:r>
        <w:rPr>
          <w:lang w:val="en-US"/>
        </w:rPr>
        <w:t>Primary objective:</w:t>
      </w:r>
    </w:p>
    <w:p w14:paraId="0A3A5721" w14:textId="77777777" w:rsidR="00970674" w:rsidRDefault="00970674" w:rsidP="003A2634">
      <w:pPr>
        <w:pStyle w:val="ListBullet"/>
        <w:rPr>
          <w:lang w:val="en-US"/>
        </w:rPr>
      </w:pPr>
      <w:r>
        <w:rPr>
          <w:lang w:val="en-US"/>
        </w:rPr>
        <w:t>Achieving a statistically significant improvement in durable response rate (DRR), defined as the rate of objective response (complete response [CR] or partial response [PR]) lasting continuously for 6 or more months, as compared to control therapy, and beginning at any point within 12 months of initiating therapy</w:t>
      </w:r>
    </w:p>
    <w:p w14:paraId="7B2D396B" w14:textId="77777777" w:rsidR="00970674" w:rsidRDefault="00970674" w:rsidP="00970674">
      <w:pPr>
        <w:autoSpaceDE w:val="0"/>
        <w:autoSpaceDN w:val="0"/>
        <w:adjustRightInd w:val="0"/>
        <w:rPr>
          <w:lang w:val="en-US"/>
        </w:rPr>
      </w:pPr>
      <w:r>
        <w:rPr>
          <w:lang w:val="en-US"/>
        </w:rPr>
        <w:t>Secondary objectives:</w:t>
      </w:r>
    </w:p>
    <w:p w14:paraId="1100CA0E" w14:textId="77777777" w:rsidR="00970674" w:rsidRDefault="00970674" w:rsidP="003A2634">
      <w:pPr>
        <w:pStyle w:val="ListBullet"/>
        <w:rPr>
          <w:lang w:val="en-US"/>
        </w:rPr>
      </w:pPr>
      <w:r>
        <w:rPr>
          <w:lang w:val="en-US"/>
        </w:rPr>
        <w:t xml:space="preserve">To evaluate overall survival (OS) in subjects treated with </w:t>
      </w:r>
      <w:proofErr w:type="spellStart"/>
      <w:r>
        <w:rPr>
          <w:lang w:val="en-US"/>
        </w:rPr>
        <w:t>talimogene</w:t>
      </w:r>
      <w:proofErr w:type="spellEnd"/>
      <w:r>
        <w:rPr>
          <w:lang w:val="en-US"/>
        </w:rPr>
        <w:t xml:space="preserve"> </w:t>
      </w:r>
      <w:proofErr w:type="spellStart"/>
      <w:r>
        <w:rPr>
          <w:lang w:val="en-US"/>
        </w:rPr>
        <w:t>laherparepvec</w:t>
      </w:r>
      <w:proofErr w:type="spellEnd"/>
      <w:r>
        <w:rPr>
          <w:lang w:val="en-US"/>
        </w:rPr>
        <w:t xml:space="preserve"> as compared to control therapy </w:t>
      </w:r>
    </w:p>
    <w:p w14:paraId="66543FF1" w14:textId="77777777" w:rsidR="00970674" w:rsidRDefault="00970674" w:rsidP="003A2634">
      <w:pPr>
        <w:pStyle w:val="ListBullet"/>
        <w:rPr>
          <w:lang w:val="en-US"/>
        </w:rPr>
      </w:pPr>
      <w:r>
        <w:rPr>
          <w:lang w:val="en-US"/>
        </w:rPr>
        <w:t xml:space="preserve">To </w:t>
      </w:r>
      <w:proofErr w:type="spellStart"/>
      <w:r>
        <w:rPr>
          <w:lang w:val="en-US"/>
        </w:rPr>
        <w:t>analy</w:t>
      </w:r>
      <w:r w:rsidR="003A2634">
        <w:rPr>
          <w:lang w:val="en-US"/>
        </w:rPr>
        <w:t>s</w:t>
      </w:r>
      <w:r>
        <w:rPr>
          <w:lang w:val="en-US"/>
        </w:rPr>
        <w:t>e</w:t>
      </w:r>
      <w:proofErr w:type="spellEnd"/>
      <w:r>
        <w:rPr>
          <w:lang w:val="en-US"/>
        </w:rPr>
        <w:t xml:space="preserve"> response onset in subjects treated with </w:t>
      </w:r>
      <w:proofErr w:type="spellStart"/>
      <w:r>
        <w:rPr>
          <w:lang w:val="en-US"/>
        </w:rPr>
        <w:t>talimogene</w:t>
      </w:r>
      <w:proofErr w:type="spellEnd"/>
      <w:r>
        <w:rPr>
          <w:lang w:val="en-US"/>
        </w:rPr>
        <w:t xml:space="preserve"> </w:t>
      </w:r>
      <w:proofErr w:type="spellStart"/>
      <w:r>
        <w:rPr>
          <w:lang w:val="en-US"/>
        </w:rPr>
        <w:t>laherparepvec</w:t>
      </w:r>
      <w:proofErr w:type="spellEnd"/>
      <w:r>
        <w:rPr>
          <w:lang w:val="en-US"/>
        </w:rPr>
        <w:t xml:space="preserve"> or GM-CSF</w:t>
      </w:r>
    </w:p>
    <w:p w14:paraId="4925FDFB" w14:textId="77777777" w:rsidR="00970674" w:rsidRDefault="00970674" w:rsidP="003A2634">
      <w:pPr>
        <w:pStyle w:val="ListBullet"/>
        <w:rPr>
          <w:lang w:val="en-US"/>
        </w:rPr>
      </w:pPr>
      <w:r>
        <w:rPr>
          <w:lang w:val="en-US"/>
        </w:rPr>
        <w:t xml:space="preserve">To evaluate time to treatment failure in subjects treated with </w:t>
      </w:r>
      <w:proofErr w:type="spellStart"/>
      <w:r>
        <w:rPr>
          <w:lang w:val="en-US"/>
        </w:rPr>
        <w:t>talimogene</w:t>
      </w:r>
      <w:proofErr w:type="spellEnd"/>
      <w:r>
        <w:rPr>
          <w:lang w:val="en-US"/>
        </w:rPr>
        <w:t xml:space="preserve"> </w:t>
      </w:r>
      <w:proofErr w:type="spellStart"/>
      <w:r>
        <w:rPr>
          <w:lang w:val="en-US"/>
        </w:rPr>
        <w:t>laherparepvec</w:t>
      </w:r>
      <w:proofErr w:type="spellEnd"/>
      <w:r>
        <w:rPr>
          <w:lang w:val="en-US"/>
        </w:rPr>
        <w:t xml:space="preserve"> or GM-CSF</w:t>
      </w:r>
    </w:p>
    <w:p w14:paraId="518D6292" w14:textId="77777777" w:rsidR="00970674" w:rsidRDefault="00970674" w:rsidP="003A2634">
      <w:pPr>
        <w:pStyle w:val="ListBullet"/>
        <w:rPr>
          <w:lang w:val="en-US"/>
        </w:rPr>
      </w:pPr>
      <w:r>
        <w:rPr>
          <w:lang w:val="en-US"/>
        </w:rPr>
        <w:t xml:space="preserve">To estimate duration of response in subjects treated with </w:t>
      </w:r>
      <w:proofErr w:type="spellStart"/>
      <w:r>
        <w:rPr>
          <w:lang w:val="en-US"/>
        </w:rPr>
        <w:t>talimogene</w:t>
      </w:r>
      <w:proofErr w:type="spellEnd"/>
      <w:r>
        <w:rPr>
          <w:lang w:val="en-US"/>
        </w:rPr>
        <w:t xml:space="preserve"> </w:t>
      </w:r>
      <w:proofErr w:type="spellStart"/>
      <w:r>
        <w:rPr>
          <w:lang w:val="en-US"/>
        </w:rPr>
        <w:t>laherparepvec</w:t>
      </w:r>
      <w:proofErr w:type="spellEnd"/>
      <w:r>
        <w:rPr>
          <w:lang w:val="en-US"/>
        </w:rPr>
        <w:t xml:space="preserve"> or GM-CSF</w:t>
      </w:r>
    </w:p>
    <w:p w14:paraId="380B5375" w14:textId="77777777" w:rsidR="00970674" w:rsidRDefault="00970674" w:rsidP="003A2634">
      <w:pPr>
        <w:pStyle w:val="ListBullet"/>
        <w:rPr>
          <w:lang w:val="en-US"/>
        </w:rPr>
      </w:pPr>
      <w:r>
        <w:rPr>
          <w:lang w:val="en-US"/>
        </w:rPr>
        <w:t xml:space="preserve">To evaluate best response and disease burden in subjects treated with </w:t>
      </w:r>
      <w:proofErr w:type="spellStart"/>
      <w:r>
        <w:rPr>
          <w:lang w:val="en-US"/>
        </w:rPr>
        <w:t>talimogene</w:t>
      </w:r>
      <w:proofErr w:type="spellEnd"/>
      <w:r>
        <w:rPr>
          <w:lang w:val="en-US"/>
        </w:rPr>
        <w:t xml:space="preserve"> </w:t>
      </w:r>
      <w:proofErr w:type="spellStart"/>
      <w:r>
        <w:rPr>
          <w:lang w:val="en-US"/>
        </w:rPr>
        <w:t>laherparepvec</w:t>
      </w:r>
      <w:proofErr w:type="spellEnd"/>
      <w:r>
        <w:rPr>
          <w:lang w:val="en-US"/>
        </w:rPr>
        <w:t xml:space="preserve"> or GM-CSF</w:t>
      </w:r>
    </w:p>
    <w:p w14:paraId="258D6FDF" w14:textId="77777777" w:rsidR="00970674" w:rsidRDefault="003A2634" w:rsidP="003A2634">
      <w:pPr>
        <w:pStyle w:val="ListBullet"/>
      </w:pPr>
      <w:r>
        <w:rPr>
          <w:lang w:val="en-US"/>
        </w:rPr>
        <w:t xml:space="preserve">To </w:t>
      </w:r>
      <w:proofErr w:type="spellStart"/>
      <w:r>
        <w:rPr>
          <w:lang w:val="en-US"/>
        </w:rPr>
        <w:t>analys</w:t>
      </w:r>
      <w:r w:rsidR="00970674">
        <w:rPr>
          <w:lang w:val="en-US"/>
        </w:rPr>
        <w:t>e</w:t>
      </w:r>
      <w:proofErr w:type="spellEnd"/>
      <w:r w:rsidR="00970674">
        <w:rPr>
          <w:lang w:val="en-US"/>
        </w:rPr>
        <w:t xml:space="preserve"> response interval in the 2 treatment arms</w:t>
      </w:r>
    </w:p>
    <w:p w14:paraId="3E09729D" w14:textId="77777777" w:rsidR="00970674" w:rsidRDefault="00970674" w:rsidP="00970674">
      <w:pPr>
        <w:autoSpaceDE w:val="0"/>
        <w:autoSpaceDN w:val="0"/>
        <w:adjustRightInd w:val="0"/>
        <w:jc w:val="both"/>
        <w:rPr>
          <w:lang w:val="en-US"/>
        </w:rPr>
      </w:pPr>
      <w:r>
        <w:rPr>
          <w:lang w:val="en-US"/>
        </w:rPr>
        <w:lastRenderedPageBreak/>
        <w:t>This study was conducted at 64 centers in the United States, Canada, South Africa, and United Kingdom.</w:t>
      </w:r>
    </w:p>
    <w:p w14:paraId="0B7EB825" w14:textId="77777777" w:rsidR="00970674" w:rsidRDefault="00970674" w:rsidP="00970674">
      <w:pPr>
        <w:autoSpaceDE w:val="0"/>
        <w:autoSpaceDN w:val="0"/>
        <w:adjustRightInd w:val="0"/>
        <w:jc w:val="both"/>
      </w:pPr>
      <w:r>
        <w:rPr>
          <w:lang w:val="en-US"/>
        </w:rPr>
        <w:t>Study period</w:t>
      </w:r>
      <w:r w:rsidR="003A2634">
        <w:rPr>
          <w:lang w:val="en-US"/>
        </w:rPr>
        <w:t>:</w:t>
      </w:r>
      <w:r>
        <w:rPr>
          <w:lang w:val="en-US"/>
        </w:rPr>
        <w:t xml:space="preserve"> 29 April 2009 </w:t>
      </w:r>
      <w:r>
        <w:rPr>
          <w:bCs/>
          <w:lang w:val="en-US"/>
        </w:rPr>
        <w:t>(</w:t>
      </w:r>
      <w:r>
        <w:rPr>
          <w:lang w:val="en-US"/>
        </w:rPr>
        <w:t>date first subject enrolled) to 21 December 2013 (data</w:t>
      </w:r>
      <w:r w:rsidR="003A2634">
        <w:rPr>
          <w:lang w:val="en-US"/>
        </w:rPr>
        <w:t xml:space="preserve"> </w:t>
      </w:r>
      <w:r>
        <w:rPr>
          <w:lang w:val="en-US"/>
        </w:rPr>
        <w:t>cutoff date)</w:t>
      </w:r>
      <w:r w:rsidR="003A2634">
        <w:rPr>
          <w:lang w:val="en-US"/>
        </w:rPr>
        <w:t>.</w:t>
      </w:r>
    </w:p>
    <w:p w14:paraId="176B2562" w14:textId="77777777" w:rsidR="00970674" w:rsidRDefault="00970674" w:rsidP="003A2634">
      <w:pPr>
        <w:pStyle w:val="Heading6"/>
      </w:pPr>
      <w:r>
        <w:t>Inclusion and exclusion criteria</w:t>
      </w:r>
    </w:p>
    <w:p w14:paraId="0485CE16" w14:textId="77777777" w:rsidR="00970674" w:rsidRDefault="00970674" w:rsidP="00970674">
      <w:pPr>
        <w:autoSpaceDE w:val="0"/>
        <w:autoSpaceDN w:val="0"/>
        <w:adjustRightInd w:val="0"/>
        <w:jc w:val="both"/>
        <w:rPr>
          <w:lang w:val="en-US"/>
        </w:rPr>
      </w:pPr>
      <w:r>
        <w:rPr>
          <w:lang w:val="en-US"/>
        </w:rPr>
        <w:t>Inclusion Criteria:</w:t>
      </w:r>
    </w:p>
    <w:p w14:paraId="1C3FDF49" w14:textId="77777777" w:rsidR="00970674" w:rsidRPr="003A2634" w:rsidRDefault="00970674" w:rsidP="001429A2">
      <w:pPr>
        <w:pStyle w:val="Numberbullet0"/>
        <w:numPr>
          <w:ilvl w:val="0"/>
          <w:numId w:val="8"/>
        </w:numPr>
        <w:rPr>
          <w:lang w:val="en-US"/>
        </w:rPr>
      </w:pPr>
      <w:r w:rsidRPr="003A2634">
        <w:rPr>
          <w:lang w:val="en-US"/>
        </w:rPr>
        <w:t xml:space="preserve">Males or females age </w:t>
      </w:r>
      <w:r w:rsidR="003A2634">
        <w:rPr>
          <w:lang w:val="en-US"/>
        </w:rPr>
        <w:t>≥</w:t>
      </w:r>
      <w:r w:rsidRPr="003A2634">
        <w:rPr>
          <w:lang w:val="en-US"/>
        </w:rPr>
        <w:t xml:space="preserve"> 18 years.</w:t>
      </w:r>
    </w:p>
    <w:p w14:paraId="5965BD53" w14:textId="77777777" w:rsidR="00970674" w:rsidRPr="003A2634" w:rsidRDefault="00970674" w:rsidP="001429A2">
      <w:pPr>
        <w:pStyle w:val="Numberbullet0"/>
        <w:numPr>
          <w:ilvl w:val="0"/>
          <w:numId w:val="8"/>
        </w:numPr>
        <w:rPr>
          <w:lang w:val="en-US"/>
        </w:rPr>
      </w:pPr>
      <w:r w:rsidRPr="003A2634">
        <w:rPr>
          <w:lang w:val="en-US"/>
        </w:rPr>
        <w:t>Histologically confirmed diagnosis of malignant melanoma.</w:t>
      </w:r>
    </w:p>
    <w:p w14:paraId="2F1CEFC5" w14:textId="77777777" w:rsidR="00970674" w:rsidRPr="003A2634" w:rsidRDefault="00970674" w:rsidP="001429A2">
      <w:pPr>
        <w:pStyle w:val="Numberbullet0"/>
        <w:numPr>
          <w:ilvl w:val="0"/>
          <w:numId w:val="8"/>
        </w:numPr>
        <w:rPr>
          <w:lang w:val="en-US"/>
        </w:rPr>
      </w:pPr>
      <w:r w:rsidRPr="003A2634">
        <w:rPr>
          <w:lang w:val="en-US"/>
        </w:rPr>
        <w:t xml:space="preserve">Stage </w:t>
      </w:r>
      <w:proofErr w:type="spellStart"/>
      <w:r w:rsidRPr="003A2634">
        <w:rPr>
          <w:lang w:val="en-US"/>
        </w:rPr>
        <w:t>IIIb</w:t>
      </w:r>
      <w:proofErr w:type="spellEnd"/>
      <w:r w:rsidRPr="003A2634">
        <w:rPr>
          <w:lang w:val="en-US"/>
        </w:rPr>
        <w:t xml:space="preserve">, </w:t>
      </w:r>
      <w:proofErr w:type="spellStart"/>
      <w:r w:rsidRPr="003A2634">
        <w:rPr>
          <w:lang w:val="en-US"/>
        </w:rPr>
        <w:t>IIIc</w:t>
      </w:r>
      <w:proofErr w:type="spellEnd"/>
      <w:r w:rsidRPr="003A2634">
        <w:rPr>
          <w:lang w:val="en-US"/>
        </w:rPr>
        <w:t xml:space="preserve"> or </w:t>
      </w:r>
      <w:r w:rsidR="007C3083">
        <w:rPr>
          <w:lang w:val="en-US"/>
        </w:rPr>
        <w:t>Stage I</w:t>
      </w:r>
      <w:r w:rsidRPr="003A2634">
        <w:rPr>
          <w:lang w:val="en-US"/>
        </w:rPr>
        <w:t xml:space="preserve">V disease that is not surgically </w:t>
      </w:r>
      <w:proofErr w:type="spellStart"/>
      <w:r w:rsidRPr="003A2634">
        <w:rPr>
          <w:lang w:val="en-US"/>
        </w:rPr>
        <w:t>resectable</w:t>
      </w:r>
      <w:proofErr w:type="spellEnd"/>
      <w:r w:rsidRPr="003A2634">
        <w:rPr>
          <w:lang w:val="en-US"/>
        </w:rPr>
        <w:t>.</w:t>
      </w:r>
    </w:p>
    <w:p w14:paraId="04273183" w14:textId="77777777" w:rsidR="00970674" w:rsidRPr="003A2634" w:rsidRDefault="00970674" w:rsidP="001429A2">
      <w:pPr>
        <w:pStyle w:val="Numberbullet0"/>
        <w:numPr>
          <w:ilvl w:val="0"/>
          <w:numId w:val="8"/>
        </w:numPr>
        <w:rPr>
          <w:lang w:val="en-US"/>
        </w:rPr>
      </w:pPr>
      <w:r w:rsidRPr="003A2634">
        <w:rPr>
          <w:lang w:val="en-US"/>
        </w:rPr>
        <w:t>Measurable disease defined as:</w:t>
      </w:r>
    </w:p>
    <w:p w14:paraId="6EA31301" w14:textId="77777777" w:rsidR="00970674" w:rsidRDefault="00970674" w:rsidP="003A2634">
      <w:pPr>
        <w:pStyle w:val="ListBullet"/>
        <w:rPr>
          <w:lang w:val="en-US"/>
        </w:rPr>
      </w:pPr>
      <w:r>
        <w:rPr>
          <w:lang w:val="en-US"/>
        </w:rPr>
        <w:t>at least 1 melanoma lesion that can be accurately and serially measured in at least 2 dimensions and for which the greatest diameter is ≥ 10 mm as measured by contrast</w:t>
      </w:r>
      <w:r w:rsidR="003A2634">
        <w:rPr>
          <w:lang w:val="en-US"/>
        </w:rPr>
        <w:t xml:space="preserve"> </w:t>
      </w:r>
      <w:r>
        <w:rPr>
          <w:lang w:val="en-US"/>
        </w:rPr>
        <w:t>enhanced or spiral computed tomography (CT) scan for visceral or nodal/soft tissue disease (including lymph nodes) and/or;</w:t>
      </w:r>
    </w:p>
    <w:p w14:paraId="011CF1D9" w14:textId="77777777" w:rsidR="00970674" w:rsidRDefault="00970674" w:rsidP="003A2634">
      <w:pPr>
        <w:pStyle w:val="ListBullet"/>
        <w:rPr>
          <w:lang w:val="en-US"/>
        </w:rPr>
      </w:pPr>
      <w:r>
        <w:rPr>
          <w:lang w:val="en-US"/>
        </w:rPr>
        <w:t>at least 1 ≥ 10 mm superficial cutaneous melanoma lesion as measured by calipers and/or;</w:t>
      </w:r>
    </w:p>
    <w:p w14:paraId="4E76B546" w14:textId="77777777" w:rsidR="00970674" w:rsidRDefault="00970674" w:rsidP="003A2634">
      <w:pPr>
        <w:pStyle w:val="ListBullet"/>
        <w:rPr>
          <w:lang w:val="en-US"/>
        </w:rPr>
      </w:pPr>
      <w:r>
        <w:rPr>
          <w:lang w:val="en-US"/>
        </w:rPr>
        <w:t>at least 1 ≥ 10 mm subcutaneous melanoma lesion and/or;</w:t>
      </w:r>
    </w:p>
    <w:p w14:paraId="3B15150C" w14:textId="77777777" w:rsidR="00970674" w:rsidRDefault="00970674" w:rsidP="003A2634">
      <w:pPr>
        <w:pStyle w:val="ListBullet"/>
        <w:rPr>
          <w:lang w:val="en-US"/>
        </w:rPr>
      </w:pPr>
      <w:proofErr w:type="gramStart"/>
      <w:r>
        <w:rPr>
          <w:lang w:val="en-US"/>
        </w:rPr>
        <w:t>multiple</w:t>
      </w:r>
      <w:proofErr w:type="gramEnd"/>
      <w:r>
        <w:rPr>
          <w:lang w:val="en-US"/>
        </w:rPr>
        <w:t xml:space="preserve"> superficial melanoma lesions which in aggregate have a total diameter of ≥ 10 mm.</w:t>
      </w:r>
    </w:p>
    <w:p w14:paraId="32D551C4" w14:textId="77777777" w:rsidR="00970674" w:rsidRDefault="00970674" w:rsidP="00970674">
      <w:pPr>
        <w:autoSpaceDE w:val="0"/>
        <w:autoSpaceDN w:val="0"/>
        <w:adjustRightInd w:val="0"/>
        <w:jc w:val="both"/>
        <w:rPr>
          <w:lang w:val="en-US"/>
        </w:rPr>
      </w:pPr>
      <w:r>
        <w:rPr>
          <w:lang w:val="en-US"/>
        </w:rPr>
        <w:t>5. Injectable disease (</w:t>
      </w:r>
      <w:r w:rsidR="003A2634">
        <w:rPr>
          <w:lang w:val="en-US"/>
        </w:rPr>
        <w:t>that is,</w:t>
      </w:r>
      <w:r>
        <w:rPr>
          <w:lang w:val="en-US"/>
        </w:rPr>
        <w:t xml:space="preserve"> suitable for direct injection or through the use of ultrasound</w:t>
      </w:r>
      <w:r w:rsidR="003A2634">
        <w:rPr>
          <w:lang w:val="en-US"/>
        </w:rPr>
        <w:t xml:space="preserve"> </w:t>
      </w:r>
      <w:r>
        <w:rPr>
          <w:lang w:val="en-US"/>
        </w:rPr>
        <w:t>guidance) defined as:</w:t>
      </w:r>
    </w:p>
    <w:p w14:paraId="3CAE8EF7" w14:textId="77777777" w:rsidR="00970674" w:rsidRDefault="00970674" w:rsidP="003A2634">
      <w:pPr>
        <w:pStyle w:val="ListBullet"/>
        <w:rPr>
          <w:lang w:val="en-US"/>
        </w:rPr>
      </w:pPr>
      <w:r>
        <w:rPr>
          <w:lang w:val="en-US"/>
        </w:rPr>
        <w:t>at least 1 injectable cutaneous, subcutaneous or nodal melanoma lesion ≥ 10 mm in longest diameter or,</w:t>
      </w:r>
    </w:p>
    <w:p w14:paraId="0FAF6D81" w14:textId="77777777" w:rsidR="00970674" w:rsidRDefault="00970674" w:rsidP="003A2634">
      <w:pPr>
        <w:pStyle w:val="ListBullet"/>
        <w:rPr>
          <w:lang w:val="en-US"/>
        </w:rPr>
      </w:pPr>
      <w:proofErr w:type="gramStart"/>
      <w:r>
        <w:rPr>
          <w:lang w:val="en-US"/>
        </w:rPr>
        <w:t>multiple</w:t>
      </w:r>
      <w:proofErr w:type="gramEnd"/>
      <w:r>
        <w:rPr>
          <w:lang w:val="en-US"/>
        </w:rPr>
        <w:t xml:space="preserve"> injectable melanoma lesions which in aggregate have a longest diameter of ≥ 10 mm.</w:t>
      </w:r>
    </w:p>
    <w:p w14:paraId="5808A42F" w14:textId="77777777" w:rsidR="00970674" w:rsidRDefault="00970674" w:rsidP="003A2634">
      <w:pPr>
        <w:pStyle w:val="Numberbullet0"/>
        <w:rPr>
          <w:lang w:val="en-US"/>
        </w:rPr>
      </w:pPr>
      <w:r>
        <w:rPr>
          <w:lang w:val="en-US"/>
        </w:rPr>
        <w:t>Serum LDH levels ≤ 1.5 x ULN.</w:t>
      </w:r>
    </w:p>
    <w:p w14:paraId="5E8F935D" w14:textId="77777777" w:rsidR="00970674" w:rsidRDefault="00970674" w:rsidP="003A2634">
      <w:pPr>
        <w:pStyle w:val="Numberbullet0"/>
        <w:rPr>
          <w:lang w:val="en-US"/>
        </w:rPr>
      </w:pPr>
      <w:r>
        <w:rPr>
          <w:lang w:val="en-US"/>
        </w:rPr>
        <w:t>ECOG Performance Status of 0 or 1.</w:t>
      </w:r>
    </w:p>
    <w:p w14:paraId="45152D07" w14:textId="77777777" w:rsidR="00970674" w:rsidRDefault="00970674" w:rsidP="003A2634">
      <w:pPr>
        <w:pStyle w:val="Numberbullet0"/>
        <w:rPr>
          <w:lang w:val="en-US"/>
        </w:rPr>
      </w:pPr>
      <w:r>
        <w:rPr>
          <w:lang w:val="en-US"/>
        </w:rPr>
        <w:t xml:space="preserve">Life expectancy &gt;4 </w:t>
      </w:r>
      <w:r w:rsidR="003A2634">
        <w:rPr>
          <w:lang w:val="en-US"/>
        </w:rPr>
        <w:t xml:space="preserve">months from the date of </w:t>
      </w:r>
      <w:proofErr w:type="spellStart"/>
      <w:r w:rsidR="003A2634">
        <w:rPr>
          <w:lang w:val="en-US"/>
        </w:rPr>
        <w:t>randomis</w:t>
      </w:r>
      <w:r>
        <w:rPr>
          <w:lang w:val="en-US"/>
        </w:rPr>
        <w:t>ation</w:t>
      </w:r>
      <w:proofErr w:type="spellEnd"/>
      <w:r>
        <w:rPr>
          <w:lang w:val="en-US"/>
        </w:rPr>
        <w:t>.</w:t>
      </w:r>
    </w:p>
    <w:p w14:paraId="586D4201" w14:textId="77777777" w:rsidR="00970674" w:rsidRDefault="00970674" w:rsidP="003A2634">
      <w:pPr>
        <w:pStyle w:val="Numberbullet0"/>
        <w:rPr>
          <w:lang w:val="en-US"/>
        </w:rPr>
      </w:pPr>
      <w:r>
        <w:rPr>
          <w:lang w:val="en-US"/>
        </w:rPr>
        <w:t>Provide written informed consent in accordance with all applicable regulations and follow the study procedures. Patients must be capable of understanding the investigational nature, potential risks and benefits of the study.</w:t>
      </w:r>
    </w:p>
    <w:p w14:paraId="7289FFBF" w14:textId="77777777" w:rsidR="00970674" w:rsidRDefault="00970674" w:rsidP="003A2634">
      <w:pPr>
        <w:pStyle w:val="Numberbullet0"/>
        <w:rPr>
          <w:lang w:val="en-US"/>
        </w:rPr>
      </w:pPr>
      <w:r>
        <w:rPr>
          <w:lang w:val="en-US"/>
        </w:rPr>
        <w:t xml:space="preserve">Adequate organ function determined </w:t>
      </w:r>
      <w:r w:rsidR="003A2634">
        <w:rPr>
          <w:lang w:val="en-US"/>
        </w:rPr>
        <w:t xml:space="preserve">within 4 weeks prior to </w:t>
      </w:r>
      <w:proofErr w:type="spellStart"/>
      <w:r w:rsidR="003A2634">
        <w:rPr>
          <w:lang w:val="en-US"/>
        </w:rPr>
        <w:t>randomis</w:t>
      </w:r>
      <w:r>
        <w:rPr>
          <w:lang w:val="en-US"/>
        </w:rPr>
        <w:t>ation</w:t>
      </w:r>
      <w:proofErr w:type="spellEnd"/>
      <w:r>
        <w:rPr>
          <w:lang w:val="en-US"/>
        </w:rPr>
        <w:t>, defined as:</w:t>
      </w:r>
    </w:p>
    <w:p w14:paraId="332524FE" w14:textId="77777777" w:rsidR="00970674" w:rsidRDefault="00970674" w:rsidP="003A2634">
      <w:pPr>
        <w:pStyle w:val="ListBullet"/>
        <w:rPr>
          <w:lang w:val="en-US"/>
        </w:rPr>
      </w:pPr>
      <w:r>
        <w:rPr>
          <w:lang w:val="en-US"/>
        </w:rPr>
        <w:t>Absolute neutrophil count (ANC) ≥ 1500/mm</w:t>
      </w:r>
      <w:r w:rsidRPr="003A2634">
        <w:rPr>
          <w:vertAlign w:val="superscript"/>
          <w:lang w:val="en-US"/>
        </w:rPr>
        <w:t>3</w:t>
      </w:r>
    </w:p>
    <w:p w14:paraId="3308FF9D" w14:textId="77777777" w:rsidR="00970674" w:rsidRDefault="00970674" w:rsidP="003A2634">
      <w:pPr>
        <w:pStyle w:val="ListBullet"/>
        <w:rPr>
          <w:lang w:val="en-US"/>
        </w:rPr>
      </w:pPr>
      <w:r>
        <w:rPr>
          <w:lang w:val="en-US"/>
        </w:rPr>
        <w:t>Platelet count ≥ 100,000/mm</w:t>
      </w:r>
      <w:r w:rsidRPr="003A2634">
        <w:rPr>
          <w:vertAlign w:val="superscript"/>
          <w:lang w:val="en-US"/>
        </w:rPr>
        <w:t>3</w:t>
      </w:r>
    </w:p>
    <w:p w14:paraId="7B42ED9E" w14:textId="77777777" w:rsidR="00970674" w:rsidRDefault="00970674" w:rsidP="003A2634">
      <w:pPr>
        <w:pStyle w:val="ListBullet"/>
        <w:rPr>
          <w:lang w:val="en-US"/>
        </w:rPr>
      </w:pPr>
      <w:r>
        <w:rPr>
          <w:lang w:val="en-US"/>
        </w:rPr>
        <w:t>Hemoglobin ≥ 8 g/</w:t>
      </w:r>
      <w:proofErr w:type="spellStart"/>
      <w:r>
        <w:rPr>
          <w:lang w:val="en-US"/>
        </w:rPr>
        <w:t>dL</w:t>
      </w:r>
      <w:proofErr w:type="spellEnd"/>
      <w:r>
        <w:rPr>
          <w:lang w:val="en-US"/>
        </w:rPr>
        <w:t xml:space="preserve"> without need for hematopoietic growth factor or transfusion support</w:t>
      </w:r>
    </w:p>
    <w:p w14:paraId="51A2C075" w14:textId="77777777" w:rsidR="00970674" w:rsidRDefault="00970674" w:rsidP="003A2634">
      <w:pPr>
        <w:pStyle w:val="ListBullet"/>
        <w:rPr>
          <w:lang w:val="en-US"/>
        </w:rPr>
      </w:pPr>
      <w:r>
        <w:rPr>
          <w:lang w:val="en-US"/>
        </w:rPr>
        <w:t>Serum creatinine ≤ 1.5 x ULN, or 24</w:t>
      </w:r>
      <w:r w:rsidR="003A2634">
        <w:rPr>
          <w:lang w:val="en-US"/>
        </w:rPr>
        <w:t xml:space="preserve"> </w:t>
      </w:r>
      <w:r>
        <w:rPr>
          <w:lang w:val="en-US"/>
        </w:rPr>
        <w:t>hour creatinine clearance ≥50 cc/min. (Note: Creatinine clearance need not be determined if the baseline serum creatinine is within normal limits.)</w:t>
      </w:r>
    </w:p>
    <w:p w14:paraId="6BBE1E4B" w14:textId="77777777" w:rsidR="00970674" w:rsidRDefault="00970674" w:rsidP="003A2634">
      <w:pPr>
        <w:pStyle w:val="ListBullet"/>
        <w:rPr>
          <w:lang w:val="en-US"/>
        </w:rPr>
      </w:pPr>
      <w:r>
        <w:rPr>
          <w:lang w:val="en-US"/>
        </w:rPr>
        <w:t>Serum bilirubin ≤ 1.5 x ULN</w:t>
      </w:r>
    </w:p>
    <w:p w14:paraId="779D229F" w14:textId="77777777" w:rsidR="00970674" w:rsidRDefault="00970674" w:rsidP="003A2634">
      <w:pPr>
        <w:pStyle w:val="ListBullet"/>
        <w:rPr>
          <w:lang w:val="en-US"/>
        </w:rPr>
      </w:pPr>
      <w:r>
        <w:rPr>
          <w:lang w:val="en-US"/>
        </w:rPr>
        <w:t>Aspartate amino transferase (AST) ≤ 2.5 x ULN</w:t>
      </w:r>
    </w:p>
    <w:p w14:paraId="624625DF" w14:textId="77777777" w:rsidR="00970674" w:rsidRDefault="00970674" w:rsidP="003A2634">
      <w:pPr>
        <w:pStyle w:val="ListBullet"/>
        <w:rPr>
          <w:lang w:val="en-US"/>
        </w:rPr>
      </w:pPr>
      <w:r>
        <w:rPr>
          <w:lang w:val="en-US"/>
        </w:rPr>
        <w:t>Alanine amino transferase (ALT) &lt;2.5 x ULN</w:t>
      </w:r>
    </w:p>
    <w:p w14:paraId="3827BC72" w14:textId="77777777" w:rsidR="00970674" w:rsidRDefault="00970674" w:rsidP="003A2634">
      <w:pPr>
        <w:pStyle w:val="ListBullet"/>
        <w:rPr>
          <w:lang w:val="en-US"/>
        </w:rPr>
      </w:pPr>
      <w:r>
        <w:rPr>
          <w:lang w:val="en-US"/>
        </w:rPr>
        <w:t>Alkaline phosphatase ≤ 2.5 x ULN</w:t>
      </w:r>
    </w:p>
    <w:p w14:paraId="6775327C" w14:textId="77777777" w:rsidR="00970674" w:rsidRDefault="00970674" w:rsidP="003A2634">
      <w:pPr>
        <w:pStyle w:val="ListBullet"/>
        <w:rPr>
          <w:lang w:val="en-US"/>
        </w:rPr>
      </w:pPr>
      <w:r>
        <w:rPr>
          <w:lang w:val="en-US"/>
        </w:rPr>
        <w:t>Serum albumin ≥ 2.5 g/</w:t>
      </w:r>
      <w:proofErr w:type="spellStart"/>
      <w:r>
        <w:rPr>
          <w:lang w:val="en-US"/>
        </w:rPr>
        <w:t>dL</w:t>
      </w:r>
      <w:proofErr w:type="spellEnd"/>
      <w:r>
        <w:rPr>
          <w:lang w:val="en-US"/>
        </w:rPr>
        <w:t>.</w:t>
      </w:r>
    </w:p>
    <w:p w14:paraId="161EAD6B" w14:textId="77777777" w:rsidR="00970674" w:rsidRDefault="00970674" w:rsidP="003A2634">
      <w:pPr>
        <w:pStyle w:val="ListBullet"/>
        <w:rPr>
          <w:lang w:val="en-US"/>
        </w:rPr>
      </w:pPr>
      <w:r>
        <w:rPr>
          <w:lang w:val="en-US"/>
        </w:rPr>
        <w:lastRenderedPageBreak/>
        <w:t>Prothrombin time (PT) ≤ 1.5 x ULN (or INR ≤ 1.3)*</w:t>
      </w:r>
    </w:p>
    <w:p w14:paraId="31EFAAB4" w14:textId="77777777" w:rsidR="00970674" w:rsidRDefault="00970674" w:rsidP="003A2634">
      <w:pPr>
        <w:pStyle w:val="ListBullet"/>
        <w:rPr>
          <w:lang w:val="en-US"/>
        </w:rPr>
      </w:pPr>
      <w:r>
        <w:rPr>
          <w:lang w:val="en-US"/>
        </w:rPr>
        <w:t>Partial thromboplastin time (PTT) ≤ 1.5 x ULN*</w:t>
      </w:r>
    </w:p>
    <w:p w14:paraId="52748425" w14:textId="77777777" w:rsidR="00970674" w:rsidRDefault="00970674" w:rsidP="003A2634">
      <w:pPr>
        <w:rPr>
          <w:lang w:val="en-US"/>
        </w:rPr>
      </w:pPr>
      <w:r>
        <w:rPr>
          <w:lang w:val="en-US"/>
        </w:rPr>
        <w:t>*Prolongation in INR, PT, and PTT when the result is from therapeutic anticoagulation treatment are permitted for patients whose injectable lesions are cutaneous and/or subcutaneous such that direct pressure could be applied in the event of excessive bleeding.</w:t>
      </w:r>
    </w:p>
    <w:p w14:paraId="5AFE6797" w14:textId="77777777" w:rsidR="00970674" w:rsidRDefault="00970674" w:rsidP="003A2634">
      <w:pPr>
        <w:pStyle w:val="Heading6"/>
        <w:rPr>
          <w:lang w:val="en-US"/>
        </w:rPr>
      </w:pPr>
      <w:r>
        <w:rPr>
          <w:lang w:val="en-US"/>
        </w:rPr>
        <w:t>Exclusion Criteria</w:t>
      </w:r>
    </w:p>
    <w:p w14:paraId="6CD8F820" w14:textId="77777777" w:rsidR="00970674" w:rsidRPr="003A2634" w:rsidRDefault="00970674" w:rsidP="001429A2">
      <w:pPr>
        <w:pStyle w:val="Numberbullet0"/>
        <w:numPr>
          <w:ilvl w:val="0"/>
          <w:numId w:val="9"/>
        </w:numPr>
        <w:rPr>
          <w:lang w:val="en-US"/>
        </w:rPr>
      </w:pPr>
      <w:r w:rsidRPr="003A2634">
        <w:rPr>
          <w:lang w:val="en-US"/>
        </w:rPr>
        <w:t>Clinically active cerebral or any bone metastases. Patients with up to 3 (neurological performance status of 0) cerebral metastases may be enrolled, provided that all lesions have been adequately treated with stereotactic radiation therapy, craniotomy, gamma</w:t>
      </w:r>
      <w:r w:rsidR="001A4B22">
        <w:rPr>
          <w:lang w:val="en-US"/>
        </w:rPr>
        <w:t xml:space="preserve"> </w:t>
      </w:r>
      <w:r w:rsidRPr="003A2634">
        <w:rPr>
          <w:lang w:val="en-US"/>
        </w:rPr>
        <w:t>knife therapy, with no evidence of progression, and have not required steroids, for at least two months prior to randomization.</w:t>
      </w:r>
    </w:p>
    <w:p w14:paraId="5AB3CF85" w14:textId="77777777" w:rsidR="00970674" w:rsidRPr="003A2634" w:rsidRDefault="00970674" w:rsidP="001429A2">
      <w:pPr>
        <w:pStyle w:val="Numberbullet0"/>
        <w:numPr>
          <w:ilvl w:val="0"/>
          <w:numId w:val="9"/>
        </w:numPr>
        <w:rPr>
          <w:lang w:val="en-US"/>
        </w:rPr>
      </w:pPr>
      <w:r w:rsidRPr="003A2634">
        <w:rPr>
          <w:lang w:val="en-US"/>
        </w:rPr>
        <w:t>Greater than 3 visceral metastases (this does not include lung metastases or nodal metastases associated with visceral organs). For patients with ≤ 3 visceral metastases, no lesion &gt;3 cm, and liver lesions must meet RECIST criteria for SD for at least 1 month prior to randomization.</w:t>
      </w:r>
    </w:p>
    <w:p w14:paraId="3F2D10BC" w14:textId="77777777" w:rsidR="00970674" w:rsidRPr="003A2634" w:rsidRDefault="00970674" w:rsidP="001429A2">
      <w:pPr>
        <w:pStyle w:val="Numberbullet0"/>
        <w:numPr>
          <w:ilvl w:val="0"/>
          <w:numId w:val="9"/>
        </w:numPr>
        <w:rPr>
          <w:lang w:val="en-US"/>
        </w:rPr>
      </w:pPr>
      <w:r w:rsidRPr="003A2634">
        <w:rPr>
          <w:lang w:val="en-US"/>
        </w:rPr>
        <w:t xml:space="preserve">Any underlying medical condition, which in the opinion of the investigator, would make administration of the study drugs hazardous or make it difficult to monitor adverse effects. </w:t>
      </w:r>
    </w:p>
    <w:p w14:paraId="3EE7D9F5" w14:textId="77777777" w:rsidR="00970674" w:rsidRPr="003A2634" w:rsidRDefault="00970674" w:rsidP="001429A2">
      <w:pPr>
        <w:pStyle w:val="Numberbullet0"/>
        <w:numPr>
          <w:ilvl w:val="0"/>
          <w:numId w:val="9"/>
        </w:numPr>
        <w:rPr>
          <w:lang w:val="en-US"/>
        </w:rPr>
      </w:pPr>
      <w:r w:rsidRPr="003A2634">
        <w:rPr>
          <w:lang w:val="en-US"/>
        </w:rPr>
        <w:t>History of second cancer unless disease-free for &gt;</w:t>
      </w:r>
      <w:r w:rsidR="003A2634">
        <w:rPr>
          <w:lang w:val="en-US"/>
        </w:rPr>
        <w:t xml:space="preserve"> </w:t>
      </w:r>
      <w:r w:rsidRPr="003A2634">
        <w:rPr>
          <w:lang w:val="en-US"/>
        </w:rPr>
        <w:t>5 years. In the case of malignancies that are diagnosed at a stage where a definitive therapy results in near certain cure, a disease free interval of &lt;</w:t>
      </w:r>
      <w:r w:rsidR="003A2634">
        <w:rPr>
          <w:lang w:val="en-US"/>
        </w:rPr>
        <w:t xml:space="preserve"> </w:t>
      </w:r>
      <w:r w:rsidRPr="003A2634">
        <w:rPr>
          <w:lang w:val="en-US"/>
        </w:rPr>
        <w:t>5 years is permissible. The Medical Monitor must approve such patients.</w:t>
      </w:r>
    </w:p>
    <w:p w14:paraId="5FA167CA" w14:textId="77777777" w:rsidR="00970674" w:rsidRPr="003A2634" w:rsidRDefault="00970674" w:rsidP="001429A2">
      <w:pPr>
        <w:pStyle w:val="Numberbullet0"/>
        <w:numPr>
          <w:ilvl w:val="0"/>
          <w:numId w:val="9"/>
        </w:numPr>
        <w:rPr>
          <w:lang w:val="en-US"/>
        </w:rPr>
      </w:pPr>
      <w:r w:rsidRPr="003A2634">
        <w:rPr>
          <w:lang w:val="en-US"/>
        </w:rPr>
        <w:t>Primary ocular or mucosal melanoma.</w:t>
      </w:r>
    </w:p>
    <w:p w14:paraId="4E179DC7" w14:textId="77777777" w:rsidR="00970674" w:rsidRPr="003A2634" w:rsidRDefault="00970674" w:rsidP="001429A2">
      <w:pPr>
        <w:pStyle w:val="Numberbullet0"/>
        <w:numPr>
          <w:ilvl w:val="0"/>
          <w:numId w:val="9"/>
        </w:numPr>
        <w:rPr>
          <w:lang w:val="en-US"/>
        </w:rPr>
      </w:pPr>
      <w:r w:rsidRPr="003A2634">
        <w:rPr>
          <w:lang w:val="en-US"/>
        </w:rPr>
        <w:t>Evidence of immunosuppression for any reason:</w:t>
      </w:r>
    </w:p>
    <w:p w14:paraId="7B0CBC9F" w14:textId="77777777" w:rsidR="00970674" w:rsidRDefault="00970674" w:rsidP="003A2634">
      <w:pPr>
        <w:pStyle w:val="ListBullet"/>
        <w:rPr>
          <w:lang w:val="en-US"/>
        </w:rPr>
      </w:pPr>
      <w:r>
        <w:rPr>
          <w:lang w:val="en-US"/>
        </w:rPr>
        <w:t>known HIV disease</w:t>
      </w:r>
    </w:p>
    <w:p w14:paraId="32AD1E18" w14:textId="77777777" w:rsidR="00970674" w:rsidRDefault="00970674" w:rsidP="003A2634">
      <w:pPr>
        <w:pStyle w:val="ListBullet"/>
        <w:rPr>
          <w:lang w:val="en-US"/>
        </w:rPr>
      </w:pPr>
      <w:r>
        <w:rPr>
          <w:lang w:val="en-US"/>
        </w:rPr>
        <w:t>acute or chronic active hepatitis B or hepatitis C infection</w:t>
      </w:r>
    </w:p>
    <w:p w14:paraId="36683BC9" w14:textId="77777777" w:rsidR="00970674" w:rsidRDefault="00970674" w:rsidP="003A2634">
      <w:pPr>
        <w:pStyle w:val="ListBullet"/>
        <w:rPr>
          <w:lang w:val="en-US"/>
        </w:rPr>
      </w:pPr>
      <w:r>
        <w:rPr>
          <w:lang w:val="en-US"/>
        </w:rPr>
        <w:t>chronic oral or systemic steroid medication use at a dose of &gt;10 mg/day of prednisone or equivalent (steroids with low systemic absorption [</w:t>
      </w:r>
      <w:r w:rsidR="003A2634">
        <w:rPr>
          <w:lang w:val="en-US"/>
        </w:rPr>
        <w:t>for example,</w:t>
      </w:r>
      <w:r>
        <w:rPr>
          <w:lang w:val="en-US"/>
        </w:rPr>
        <w:t xml:space="preserve"> triamcinolone </w:t>
      </w:r>
      <w:proofErr w:type="spellStart"/>
      <w:r>
        <w:rPr>
          <w:lang w:val="en-US"/>
        </w:rPr>
        <w:t>hexacetonide</w:t>
      </w:r>
      <w:proofErr w:type="spellEnd"/>
      <w:r>
        <w:rPr>
          <w:lang w:val="en-US"/>
        </w:rPr>
        <w:t>] injected into a joint space is allowed</w:t>
      </w:r>
    </w:p>
    <w:p w14:paraId="57CA6948" w14:textId="77777777" w:rsidR="00970674" w:rsidRDefault="00970674" w:rsidP="003A2634">
      <w:pPr>
        <w:pStyle w:val="ListBullet"/>
        <w:rPr>
          <w:lang w:val="en-US"/>
        </w:rPr>
      </w:pPr>
      <w:r>
        <w:rPr>
          <w:lang w:val="en-US"/>
        </w:rPr>
        <w:t>other signs or symptoms of clinical immune system suppression</w:t>
      </w:r>
    </w:p>
    <w:p w14:paraId="0B35D224" w14:textId="77777777" w:rsidR="00970674" w:rsidRDefault="00970674" w:rsidP="003A2634">
      <w:pPr>
        <w:pStyle w:val="Numberbullet0"/>
        <w:rPr>
          <w:lang w:val="en-US"/>
        </w:rPr>
      </w:pPr>
      <w:r>
        <w:rPr>
          <w:lang w:val="en-US"/>
        </w:rPr>
        <w:t>Baseline prolongation of QT/</w:t>
      </w:r>
      <w:proofErr w:type="spellStart"/>
      <w:r>
        <w:rPr>
          <w:lang w:val="en-US"/>
        </w:rPr>
        <w:t>QTc</w:t>
      </w:r>
      <w:proofErr w:type="spellEnd"/>
      <w:r>
        <w:rPr>
          <w:lang w:val="en-US"/>
        </w:rPr>
        <w:t xml:space="preserve"> interval (</w:t>
      </w:r>
      <w:proofErr w:type="spellStart"/>
      <w:r>
        <w:rPr>
          <w:lang w:val="en-US"/>
        </w:rPr>
        <w:t>QTc</w:t>
      </w:r>
      <w:proofErr w:type="spellEnd"/>
      <w:r>
        <w:rPr>
          <w:lang w:val="en-US"/>
        </w:rPr>
        <w:t xml:space="preserve"> interval &gt;470 </w:t>
      </w:r>
      <w:proofErr w:type="spellStart"/>
      <w:r>
        <w:rPr>
          <w:lang w:val="en-US"/>
        </w:rPr>
        <w:t>msec</w:t>
      </w:r>
      <w:proofErr w:type="spellEnd"/>
      <w:r>
        <w:rPr>
          <w:lang w:val="en-US"/>
        </w:rPr>
        <w:t>).</w:t>
      </w:r>
    </w:p>
    <w:p w14:paraId="2ACB6088" w14:textId="77777777" w:rsidR="00970674" w:rsidRDefault="00970674" w:rsidP="003A2634">
      <w:pPr>
        <w:pStyle w:val="Numberbullet0"/>
        <w:rPr>
          <w:lang w:val="en-US"/>
        </w:rPr>
      </w:pPr>
      <w:r>
        <w:rPr>
          <w:lang w:val="en-US"/>
        </w:rPr>
        <w:t>Open herpetic skin lesions.</w:t>
      </w:r>
    </w:p>
    <w:p w14:paraId="574316C0" w14:textId="77777777" w:rsidR="00970674" w:rsidRDefault="00970674" w:rsidP="003A2634">
      <w:pPr>
        <w:pStyle w:val="Numberbullet0"/>
        <w:rPr>
          <w:lang w:val="en-US"/>
        </w:rPr>
      </w:pPr>
      <w:r>
        <w:rPr>
          <w:lang w:val="en-US"/>
        </w:rPr>
        <w:t xml:space="preserve">Pregnant or breast-feeding female. Confirmation that women of child-bearing potential are not pregnant. A negative serum or </w:t>
      </w:r>
      <w:r w:rsidRPr="001A4B22">
        <w:rPr>
          <w:lang w:val="en-US"/>
        </w:rPr>
        <w:t xml:space="preserve">urine </w:t>
      </w:r>
      <w:r w:rsidR="001A4B22" w:rsidRPr="001A4B22">
        <w:rPr>
          <w:bCs/>
          <w:lang w:val="en-US"/>
        </w:rPr>
        <w:t>β</w:t>
      </w:r>
      <w:r w:rsidRPr="001A4B22">
        <w:rPr>
          <w:lang w:val="en-US"/>
        </w:rPr>
        <w:t>-human chorionic gonadotropin (</w:t>
      </w:r>
      <w:r w:rsidR="001A4B22" w:rsidRPr="001A4B22">
        <w:rPr>
          <w:bCs/>
          <w:lang w:val="en-US"/>
        </w:rPr>
        <w:t>β</w:t>
      </w:r>
      <w:r w:rsidRPr="001A4B22">
        <w:rPr>
          <w:lang w:val="en-US"/>
        </w:rPr>
        <w:t>-</w:t>
      </w:r>
      <w:proofErr w:type="spellStart"/>
      <w:r w:rsidRPr="001A4B22">
        <w:rPr>
          <w:lang w:val="en-US"/>
        </w:rPr>
        <w:t>hCG</w:t>
      </w:r>
      <w:proofErr w:type="spellEnd"/>
      <w:r>
        <w:rPr>
          <w:lang w:val="en-US"/>
        </w:rPr>
        <w:t>) pregnancy test result must be obtained during the screening period.</w:t>
      </w:r>
    </w:p>
    <w:p w14:paraId="43CC9951" w14:textId="77777777" w:rsidR="00970674" w:rsidRDefault="00970674" w:rsidP="003A2634">
      <w:pPr>
        <w:pStyle w:val="Numberbullet0"/>
        <w:rPr>
          <w:lang w:val="en-US"/>
        </w:rPr>
      </w:pPr>
      <w:r>
        <w:rPr>
          <w:lang w:val="en-US"/>
        </w:rPr>
        <w:t>Fertile males and females who are unwilling to employ adequate means of contraception (</w:t>
      </w:r>
      <w:r w:rsidR="003A2634">
        <w:rPr>
          <w:lang w:val="en-US"/>
        </w:rPr>
        <w:t>for example,</w:t>
      </w:r>
      <w:r>
        <w:rPr>
          <w:lang w:val="en-US"/>
        </w:rPr>
        <w:t xml:space="preserve"> condom with spermicide, diaphragm with spermicide, birth control pills, injections, patches, or intrauterine device) during study treatment and through 30 days after the last dose of study treatment.</w:t>
      </w:r>
    </w:p>
    <w:p w14:paraId="1B22A2E7" w14:textId="77777777" w:rsidR="00970674" w:rsidRDefault="00970674" w:rsidP="003A2634">
      <w:pPr>
        <w:pStyle w:val="Numberbullet0"/>
        <w:rPr>
          <w:lang w:val="en-US"/>
        </w:rPr>
      </w:pPr>
      <w:r>
        <w:rPr>
          <w:lang w:val="en-US"/>
        </w:rPr>
        <w:t xml:space="preserve">Previous treatment with </w:t>
      </w:r>
      <w:proofErr w:type="spellStart"/>
      <w:r>
        <w:rPr>
          <w:lang w:val="en-US"/>
        </w:rPr>
        <w:t>OncoVEX</w:t>
      </w:r>
      <w:r w:rsidRPr="00090F4E">
        <w:rPr>
          <w:vertAlign w:val="superscript"/>
          <w:lang w:val="en-US"/>
        </w:rPr>
        <w:t>GM</w:t>
      </w:r>
      <w:proofErr w:type="spellEnd"/>
      <w:r w:rsidRPr="00090F4E">
        <w:rPr>
          <w:vertAlign w:val="superscript"/>
          <w:lang w:val="en-US"/>
        </w:rPr>
        <w:t>-CSF</w:t>
      </w:r>
      <w:r>
        <w:rPr>
          <w:lang w:val="en-US"/>
        </w:rPr>
        <w:t xml:space="preserve"> or treatment with GM-CSF for active disease (prior adjuvant therapy with GM-CSF is permitted).</w:t>
      </w:r>
    </w:p>
    <w:p w14:paraId="1AD02FAB" w14:textId="77777777" w:rsidR="00970674" w:rsidRDefault="00970674" w:rsidP="003A2634">
      <w:pPr>
        <w:pStyle w:val="Numberbullet0"/>
        <w:rPr>
          <w:lang w:val="en-US"/>
        </w:rPr>
      </w:pPr>
      <w:r>
        <w:rPr>
          <w:lang w:val="en-US"/>
        </w:rPr>
        <w:t>Currently enrolled in another clinical research study or received an investigational agent for any reason within 4 weeks prior to randomization.</w:t>
      </w:r>
    </w:p>
    <w:p w14:paraId="3FC16BFE" w14:textId="77777777" w:rsidR="00970674" w:rsidRDefault="00970674" w:rsidP="003A2634">
      <w:pPr>
        <w:pStyle w:val="Numberbullet0"/>
        <w:rPr>
          <w:lang w:val="en-US"/>
        </w:rPr>
      </w:pPr>
      <w:r>
        <w:rPr>
          <w:lang w:val="en-US"/>
        </w:rPr>
        <w:t>Require intermittent or chronic treatment with an anti-herpetic drug (</w:t>
      </w:r>
      <w:r w:rsidR="003A2634">
        <w:rPr>
          <w:lang w:val="en-US"/>
        </w:rPr>
        <w:t>for example,</w:t>
      </w:r>
      <w:r>
        <w:rPr>
          <w:lang w:val="en-US"/>
        </w:rPr>
        <w:t xml:space="preserve"> acyclovir), other than intermittent topical use.</w:t>
      </w:r>
    </w:p>
    <w:p w14:paraId="7A58C3F0" w14:textId="77777777" w:rsidR="00970674" w:rsidRDefault="00970674" w:rsidP="003A2634">
      <w:pPr>
        <w:pStyle w:val="Heading6"/>
        <w:rPr>
          <w:szCs w:val="24"/>
        </w:rPr>
      </w:pPr>
      <w:r>
        <w:lastRenderedPageBreak/>
        <w:t>Study treatments</w:t>
      </w:r>
    </w:p>
    <w:p w14:paraId="3A61D822" w14:textId="77777777" w:rsidR="00970674" w:rsidRDefault="00970674" w:rsidP="003A2634">
      <w:pPr>
        <w:rPr>
          <w:lang w:val="en-US"/>
        </w:rPr>
      </w:pPr>
      <w:proofErr w:type="spellStart"/>
      <w:proofErr w:type="gramStart"/>
      <w:r>
        <w:rPr>
          <w:lang w:val="en-US"/>
        </w:rPr>
        <w:t>OncoVEX</w:t>
      </w:r>
      <w:r w:rsidRPr="00090F4E">
        <w:rPr>
          <w:vertAlign w:val="superscript"/>
          <w:lang w:val="en-US"/>
        </w:rPr>
        <w:t>GM</w:t>
      </w:r>
      <w:proofErr w:type="spellEnd"/>
      <w:r w:rsidRPr="00090F4E">
        <w:rPr>
          <w:vertAlign w:val="superscript"/>
          <w:lang w:val="en-US"/>
        </w:rPr>
        <w:t>-CSF</w:t>
      </w:r>
      <w:r>
        <w:rPr>
          <w:lang w:val="en-US"/>
        </w:rPr>
        <w:t xml:space="preserve"> to be administered by injection into lesions every two weeks.</w:t>
      </w:r>
      <w:proofErr w:type="gramEnd"/>
      <w:r>
        <w:rPr>
          <w:lang w:val="en-US"/>
        </w:rPr>
        <w:t xml:space="preserve"> Each treatment cycle to be defined as 28 days, however Cycle 1 to be 5 weeks (second injection 3 weeks after the initial injection). </w:t>
      </w:r>
      <w:proofErr w:type="gramStart"/>
      <w:r>
        <w:rPr>
          <w:lang w:val="en-US"/>
        </w:rPr>
        <w:t xml:space="preserve">The first dose of </w:t>
      </w:r>
      <w:proofErr w:type="spellStart"/>
      <w:r>
        <w:rPr>
          <w:lang w:val="en-US"/>
        </w:rPr>
        <w:t>OncoVEX</w:t>
      </w:r>
      <w:r w:rsidRPr="00090F4E">
        <w:rPr>
          <w:vertAlign w:val="superscript"/>
          <w:lang w:val="en-US"/>
        </w:rPr>
        <w:t>GM</w:t>
      </w:r>
      <w:proofErr w:type="spellEnd"/>
      <w:r w:rsidRPr="00090F4E">
        <w:rPr>
          <w:vertAlign w:val="superscript"/>
          <w:lang w:val="en-US"/>
        </w:rPr>
        <w:t>-CSF</w:t>
      </w:r>
      <w:r>
        <w:rPr>
          <w:lang w:val="en-US"/>
        </w:rPr>
        <w:t xml:space="preserve"> to be up to 4 mL of 10</w:t>
      </w:r>
      <w:r>
        <w:rPr>
          <w:vertAlign w:val="superscript"/>
          <w:lang w:val="en-US"/>
        </w:rPr>
        <w:t>6</w:t>
      </w:r>
      <w:r>
        <w:rPr>
          <w:lang w:val="en-US"/>
        </w:rPr>
        <w:t xml:space="preserve"> </w:t>
      </w:r>
      <w:r w:rsidR="003A2634">
        <w:rPr>
          <w:lang w:val="en-US"/>
        </w:rPr>
        <w:t>PFU/mL</w:t>
      </w:r>
      <w:r>
        <w:rPr>
          <w:lang w:val="en-US"/>
        </w:rPr>
        <w:t xml:space="preserve"> (nominal).</w:t>
      </w:r>
      <w:proofErr w:type="gramEnd"/>
      <w:r>
        <w:rPr>
          <w:lang w:val="en-US"/>
        </w:rPr>
        <w:t xml:space="preserve"> </w:t>
      </w:r>
      <w:proofErr w:type="gramStart"/>
      <w:r>
        <w:rPr>
          <w:lang w:val="en-US"/>
        </w:rPr>
        <w:t>Subsequent doses to be up to 4 mL of 10</w:t>
      </w:r>
      <w:r>
        <w:rPr>
          <w:vertAlign w:val="superscript"/>
          <w:lang w:val="en-US"/>
        </w:rPr>
        <w:t>8</w:t>
      </w:r>
      <w:r>
        <w:rPr>
          <w:lang w:val="en-US"/>
        </w:rPr>
        <w:t xml:space="preserve"> </w:t>
      </w:r>
      <w:r w:rsidR="003A2634">
        <w:rPr>
          <w:lang w:val="en-US"/>
        </w:rPr>
        <w:t>PFU/mL</w:t>
      </w:r>
      <w:r>
        <w:rPr>
          <w:lang w:val="en-US"/>
        </w:rPr>
        <w:t xml:space="preserve"> (nominal).</w:t>
      </w:r>
      <w:proofErr w:type="gramEnd"/>
    </w:p>
    <w:p w14:paraId="56AD5343" w14:textId="77777777" w:rsidR="00970674" w:rsidRDefault="00970674" w:rsidP="003A2634">
      <w:pPr>
        <w:rPr>
          <w:lang w:val="en-US"/>
        </w:rPr>
      </w:pPr>
      <w:proofErr w:type="gramStart"/>
      <w:r>
        <w:rPr>
          <w:lang w:val="en-US"/>
        </w:rPr>
        <w:t>GM-CSF to be administered by subcutaneous injection.</w:t>
      </w:r>
      <w:proofErr w:type="gramEnd"/>
      <w:r>
        <w:rPr>
          <w:lang w:val="en-US"/>
        </w:rPr>
        <w:t xml:space="preserve"> The first injection to be administered in the study clinic to observe for any first-dose reactions (</w:t>
      </w:r>
      <w:r w:rsidR="003A2634">
        <w:rPr>
          <w:lang w:val="en-US"/>
        </w:rPr>
        <w:t>for example,</w:t>
      </w:r>
      <w:r>
        <w:rPr>
          <w:lang w:val="en-US"/>
        </w:rPr>
        <w:t xml:space="preserve"> flushing, faint, dizzy or weak spells). Subsequent GM-CSF injections may be administered at home by the patient or a caregiver. GM-CSF to be administered in multiple cycles, at a dose </w:t>
      </w:r>
      <w:proofErr w:type="gramStart"/>
      <w:r>
        <w:rPr>
          <w:lang w:val="en-US"/>
        </w:rPr>
        <w:t xml:space="preserve">of 125 </w:t>
      </w:r>
      <w:proofErr w:type="spellStart"/>
      <w:r>
        <w:rPr>
          <w:lang w:val="en-US"/>
        </w:rPr>
        <w:t>μg</w:t>
      </w:r>
      <w:proofErr w:type="spellEnd"/>
      <w:r>
        <w:rPr>
          <w:lang w:val="en-US"/>
        </w:rPr>
        <w:t>/m</w:t>
      </w:r>
      <w:r w:rsidRPr="00527073">
        <w:rPr>
          <w:vertAlign w:val="superscript"/>
          <w:lang w:val="en-US"/>
        </w:rPr>
        <w:t>2</w:t>
      </w:r>
      <w:r>
        <w:rPr>
          <w:lang w:val="en-US"/>
        </w:rPr>
        <w:t xml:space="preserve"> daily subcutaneously for 14 consecutive days followed by 14 days of rest</w:t>
      </w:r>
      <w:proofErr w:type="gramEnd"/>
      <w:r>
        <w:rPr>
          <w:lang w:val="en-US"/>
        </w:rPr>
        <w:t xml:space="preserve">. </w:t>
      </w:r>
      <w:proofErr w:type="gramStart"/>
      <w:r>
        <w:rPr>
          <w:lang w:val="en-US"/>
        </w:rPr>
        <w:t>Each cycle to be 28 days.</w:t>
      </w:r>
      <w:proofErr w:type="gramEnd"/>
      <w:r w:rsidR="001A4B22">
        <w:rPr>
          <w:lang w:val="en-US"/>
        </w:rPr>
        <w:t xml:space="preserve"> </w:t>
      </w:r>
      <w:proofErr w:type="gramStart"/>
      <w:r>
        <w:rPr>
          <w:lang w:val="en-US"/>
        </w:rPr>
        <w:t>All patients to return for clinic visits on Days 1 and 15 in each treatment cycle.</w:t>
      </w:r>
      <w:proofErr w:type="gramEnd"/>
    </w:p>
    <w:p w14:paraId="5260130C" w14:textId="77777777" w:rsidR="00970674" w:rsidRDefault="00970674" w:rsidP="003A2634">
      <w:pPr>
        <w:rPr>
          <w:lang w:val="en-US"/>
        </w:rPr>
      </w:pPr>
      <w:r>
        <w:rPr>
          <w:lang w:val="en-US"/>
        </w:rPr>
        <w:t xml:space="preserve">Subjects were to receive treatment until </w:t>
      </w:r>
      <w:r w:rsidR="00527073">
        <w:rPr>
          <w:lang w:val="en-US"/>
        </w:rPr>
        <w:t>W</w:t>
      </w:r>
      <w:r>
        <w:rPr>
          <w:lang w:val="en-US"/>
        </w:rPr>
        <w:t>eek 24 (even in the presence of disease progression, including the appearance of new lesions), or achievement of a CR, to allow for delayed immune-based anti-</w:t>
      </w:r>
      <w:proofErr w:type="spellStart"/>
      <w:r w:rsidR="00BA348C">
        <w:rPr>
          <w:lang w:val="en-US"/>
        </w:rPr>
        <w:t>tumour</w:t>
      </w:r>
      <w:proofErr w:type="spellEnd"/>
      <w:r>
        <w:rPr>
          <w:lang w:val="en-US"/>
        </w:rPr>
        <w:t xml:space="preserve"> effects to occur, unless other therapy for melanoma was required. After 24 weeks, subjects were to remain on study until clinically relevant disease progression (disease progression associated with a decline in performance status and/or alternative therapy was required in the opinion of the investigator), up to 12 months. Subjects in response at 12 months were to continue treatment for up to an additional 6 months or disease progression, whichever was earlier. Subjects with stable disease for &gt; 9 months were eligible for central review of </w:t>
      </w:r>
      <w:proofErr w:type="spellStart"/>
      <w:r w:rsidR="00BA348C">
        <w:rPr>
          <w:lang w:val="en-US"/>
        </w:rPr>
        <w:t>tumour</w:t>
      </w:r>
      <w:proofErr w:type="spellEnd"/>
      <w:r>
        <w:rPr>
          <w:lang w:val="en-US"/>
        </w:rPr>
        <w:t xml:space="preserve"> response; however, the results of the central review were not available for treatment decisions by the investigator. Thus, subjects with stable disease at 12 months were also allowed to remain on treatment for up to an additional 6 months if the investigator determined that the subject was likely to continue to receive benefit from additional treatment.</w:t>
      </w:r>
    </w:p>
    <w:p w14:paraId="4AC787CE" w14:textId="77777777" w:rsidR="00970674" w:rsidRDefault="00970674" w:rsidP="003A2634">
      <w:pPr>
        <w:rPr>
          <w:lang w:val="en-US"/>
        </w:rPr>
      </w:pPr>
      <w:r>
        <w:rPr>
          <w:lang w:val="en-US"/>
        </w:rPr>
        <w:t xml:space="preserve">In addition, subjects with lesions that progressed on treatment were permitted to be treated on a weekly basis at the investigator’s discretion for up to 12 weeks as long as progression was observed between each series of 4 weekly injections. Subjects who received 2 consecutive doses of </w:t>
      </w:r>
      <w:proofErr w:type="spellStart"/>
      <w:r>
        <w:rPr>
          <w:lang w:val="en-US"/>
        </w:rPr>
        <w:t>talimogene</w:t>
      </w:r>
      <w:proofErr w:type="spellEnd"/>
      <w:r>
        <w:rPr>
          <w:lang w:val="en-US"/>
        </w:rPr>
        <w:t xml:space="preserve"> </w:t>
      </w:r>
      <w:proofErr w:type="spellStart"/>
      <w:r>
        <w:rPr>
          <w:lang w:val="en-US"/>
        </w:rPr>
        <w:t>laherparepvec</w:t>
      </w:r>
      <w:proofErr w:type="spellEnd"/>
      <w:r>
        <w:rPr>
          <w:lang w:val="en-US"/>
        </w:rPr>
        <w:t xml:space="preserve"> less than 9 days apart were considered to have undergone accelerated dosing. As expected, the overall exposure to </w:t>
      </w:r>
      <w:proofErr w:type="spellStart"/>
      <w:r>
        <w:rPr>
          <w:lang w:val="en-US"/>
        </w:rPr>
        <w:t>talimogene</w:t>
      </w:r>
      <w:proofErr w:type="spellEnd"/>
      <w:r>
        <w:rPr>
          <w:lang w:val="en-US"/>
        </w:rPr>
        <w:t xml:space="preserve"> </w:t>
      </w:r>
      <w:proofErr w:type="spellStart"/>
      <w:r>
        <w:rPr>
          <w:lang w:val="en-US"/>
        </w:rPr>
        <w:t>laherparepvec</w:t>
      </w:r>
      <w:proofErr w:type="spellEnd"/>
      <w:r>
        <w:rPr>
          <w:lang w:val="en-US"/>
        </w:rPr>
        <w:t xml:space="preserve"> was higher in subjects who underwent accelerated dosing; higher mean cumulative doses were observed in this subgroup compared to subjects who did not undergo accelerated dosing (52.1 x 10</w:t>
      </w:r>
      <w:r>
        <w:rPr>
          <w:vertAlign w:val="superscript"/>
          <w:lang w:val="en-US"/>
        </w:rPr>
        <w:t>8</w:t>
      </w:r>
      <w:r>
        <w:rPr>
          <w:lang w:val="en-US"/>
        </w:rPr>
        <w:t xml:space="preserve"> PFU </w:t>
      </w:r>
      <w:r w:rsidR="003A2634">
        <w:rPr>
          <w:lang w:val="en-US"/>
        </w:rPr>
        <w:t>versus</w:t>
      </w:r>
      <w:r>
        <w:rPr>
          <w:lang w:val="en-US"/>
        </w:rPr>
        <w:t xml:space="preserve"> 27.1 x 10</w:t>
      </w:r>
      <w:r>
        <w:rPr>
          <w:vertAlign w:val="superscript"/>
          <w:lang w:val="en-US"/>
        </w:rPr>
        <w:t>8</w:t>
      </w:r>
      <w:r>
        <w:rPr>
          <w:lang w:val="en-US"/>
        </w:rPr>
        <w:t xml:space="preserve"> PFU, respectively.</w:t>
      </w:r>
    </w:p>
    <w:p w14:paraId="63B1B882" w14:textId="5E0C1911" w:rsidR="00970674" w:rsidRDefault="00970674" w:rsidP="00527073">
      <w:pPr>
        <w:pStyle w:val="Comment"/>
      </w:pPr>
      <w:r>
        <w:rPr>
          <w:b/>
        </w:rPr>
        <w:t>Comment:</w:t>
      </w:r>
      <w:r>
        <w:t xml:space="preserve"> </w:t>
      </w:r>
      <w:r w:rsidR="00527073">
        <w:t xml:space="preserve"> </w:t>
      </w:r>
      <w:r>
        <w:t xml:space="preserve">Although treatment was to be continued for 24 weeks in both groups the provision for continued treatment despite PD in the </w:t>
      </w:r>
      <w:proofErr w:type="spellStart"/>
      <w:r w:rsidR="002C0543">
        <w:t>Imlygic</w:t>
      </w:r>
      <w:proofErr w:type="spellEnd"/>
      <w:r>
        <w:t xml:space="preserve"> arm had the potential for longer treatment in the </w:t>
      </w:r>
      <w:proofErr w:type="spellStart"/>
      <w:r w:rsidR="002C0543">
        <w:t>Imlygic</w:t>
      </w:r>
      <w:proofErr w:type="spellEnd"/>
      <w:r>
        <w:t xml:space="preserve"> arm and bias in favour of this treatment arm.</w:t>
      </w:r>
      <w:r>
        <w:rPr>
          <w:rFonts w:asciiTheme="minorHAnsi" w:hAnsiTheme="minorHAnsi" w:cstheme="minorBidi"/>
          <w:color w:val="002C47" w:themeColor="dark2"/>
        </w:rPr>
        <w:t xml:space="preserve"> </w:t>
      </w:r>
      <w:r>
        <w:t xml:space="preserve">This was reflected in median times on treatment of 10 weeks in the GM-CSF arm compared to 23 weeks in the </w:t>
      </w:r>
      <w:proofErr w:type="spellStart"/>
      <w:r w:rsidR="006214A2" w:rsidRPr="006214A2">
        <w:t>talimogene</w:t>
      </w:r>
      <w:proofErr w:type="spellEnd"/>
      <w:r w:rsidR="006214A2" w:rsidRPr="006214A2">
        <w:t xml:space="preserve"> </w:t>
      </w:r>
      <w:proofErr w:type="spellStart"/>
      <w:r w:rsidR="006214A2" w:rsidRPr="006214A2">
        <w:t>laherparepvec</w:t>
      </w:r>
      <w:proofErr w:type="spellEnd"/>
      <w:r w:rsidR="006214A2">
        <w:t xml:space="preserve"> </w:t>
      </w:r>
      <w:r>
        <w:t>arm.</w:t>
      </w:r>
    </w:p>
    <w:p w14:paraId="340048CA" w14:textId="77777777" w:rsidR="00970674" w:rsidRDefault="00970674" w:rsidP="00527073">
      <w:pPr>
        <w:pStyle w:val="FigureTitle"/>
        <w:keepNext/>
        <w:rPr>
          <w:lang w:val="en-US"/>
        </w:rPr>
      </w:pPr>
      <w:bookmarkStart w:id="105" w:name="_Toc291240597"/>
      <w:r>
        <w:lastRenderedPageBreak/>
        <w:t xml:space="preserve">Figure </w:t>
      </w:r>
      <w:r w:rsidR="00527073">
        <w:t>3:</w:t>
      </w:r>
      <w:r>
        <w:rPr>
          <w:noProof/>
        </w:rPr>
        <w:t xml:space="preserve"> Study Design and Treatment Schema</w:t>
      </w:r>
      <w:bookmarkEnd w:id="105"/>
    </w:p>
    <w:p w14:paraId="09F54700" w14:textId="77777777" w:rsidR="00970674" w:rsidRDefault="00970674" w:rsidP="00527073">
      <w:pPr>
        <w:keepNext/>
        <w:autoSpaceDE w:val="0"/>
        <w:autoSpaceDN w:val="0"/>
        <w:adjustRightInd w:val="0"/>
        <w:jc w:val="both"/>
      </w:pPr>
      <w:r>
        <w:rPr>
          <w:noProof/>
          <w:lang w:eastAsia="en-AU"/>
        </w:rPr>
        <w:drawing>
          <wp:inline distT="0" distB="0" distL="0" distR="0" wp14:anchorId="168F5786" wp14:editId="0EBA12AF">
            <wp:extent cx="3842017" cy="2233032"/>
            <wp:effectExtent l="0" t="0" r="6350" b="0"/>
            <wp:docPr id="20" name="Picture 20" descr="Stratify by important prognostic factors&#10;Randomise&#10;Talimogene laherparepvec&#10;GM-CSF&#10;24 weeks&#10;PDr&#10;CR, PR, SD, PDn&#10;" title="Figure 3: Study Design and Treatment Sche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t="14349"/>
                    <a:stretch>
                      <a:fillRect/>
                    </a:stretch>
                  </pic:blipFill>
                  <pic:spPr bwMode="auto">
                    <a:xfrm>
                      <a:off x="0" y="0"/>
                      <a:ext cx="3852906" cy="2239361"/>
                    </a:xfrm>
                    <a:prstGeom prst="rect">
                      <a:avLst/>
                    </a:prstGeom>
                    <a:noFill/>
                    <a:ln>
                      <a:noFill/>
                    </a:ln>
                  </pic:spPr>
                </pic:pic>
              </a:graphicData>
            </a:graphic>
          </wp:inline>
        </w:drawing>
      </w:r>
    </w:p>
    <w:p w14:paraId="21B187C5" w14:textId="77777777" w:rsidR="00970674" w:rsidRDefault="00970674" w:rsidP="00527073">
      <w:pPr>
        <w:pStyle w:val="Heading6"/>
      </w:pPr>
      <w:r>
        <w:t>Efficacy variables and outcomes</w:t>
      </w:r>
    </w:p>
    <w:p w14:paraId="32B24FF5" w14:textId="77777777" w:rsidR="00970674" w:rsidRDefault="00970674" w:rsidP="00970674">
      <w:r>
        <w:t>The main efficacy variables were:</w:t>
      </w:r>
    </w:p>
    <w:p w14:paraId="7DB2371A" w14:textId="77777777" w:rsidR="00970674" w:rsidRDefault="00970674" w:rsidP="00527073">
      <w:pPr>
        <w:pStyle w:val="ListBullet"/>
      </w:pPr>
      <w:r>
        <w:rPr>
          <w:lang w:val="en-US"/>
        </w:rPr>
        <w:t xml:space="preserve">The primary endpoint in Study 005/05 was durable response rate (DRR) </w:t>
      </w:r>
    </w:p>
    <w:p w14:paraId="38F8DD20" w14:textId="77777777" w:rsidR="00970674" w:rsidRDefault="00970674" w:rsidP="00527073">
      <w:pPr>
        <w:pStyle w:val="ListBullet"/>
      </w:pPr>
      <w:r>
        <w:rPr>
          <w:lang w:val="en-US"/>
        </w:rPr>
        <w:t>Overall survival was a key secondary endpoint, defined as the time from the date of randomization to the date of death due to any cause.</w:t>
      </w:r>
    </w:p>
    <w:p w14:paraId="3E47F80E" w14:textId="77777777" w:rsidR="00970674" w:rsidRDefault="00970674" w:rsidP="00970674">
      <w:pPr>
        <w:rPr>
          <w:lang w:val="en-US"/>
        </w:rPr>
      </w:pPr>
      <w:r>
        <w:rPr>
          <w:lang w:val="en-US"/>
        </w:rPr>
        <w:t>(</w:t>
      </w:r>
      <w:proofErr w:type="spellStart"/>
      <w:r w:rsidR="00BA29E3">
        <w:rPr>
          <w:lang w:val="en-US"/>
        </w:rPr>
        <w:t>Tumour</w:t>
      </w:r>
      <w:proofErr w:type="spellEnd"/>
      <w:r>
        <w:rPr>
          <w:lang w:val="en-US"/>
        </w:rPr>
        <w:t xml:space="preserve"> response was evaluated using modified WHO criteria in Study 005/05 (by central review and investigator assessment) and modified RECIST in Study 002/03 (based on derived </w:t>
      </w:r>
      <w:proofErr w:type="spellStart"/>
      <w:r w:rsidR="00BA348C">
        <w:rPr>
          <w:lang w:val="en-US"/>
        </w:rPr>
        <w:t>tumour</w:t>
      </w:r>
      <w:proofErr w:type="spellEnd"/>
      <w:r>
        <w:rPr>
          <w:lang w:val="en-US"/>
        </w:rPr>
        <w:t xml:space="preserve"> burden change and investigator assessment). The </w:t>
      </w:r>
      <w:proofErr w:type="spellStart"/>
      <w:r w:rsidR="00BA348C">
        <w:rPr>
          <w:lang w:val="en-US"/>
        </w:rPr>
        <w:t>tumour</w:t>
      </w:r>
      <w:proofErr w:type="spellEnd"/>
      <w:r>
        <w:rPr>
          <w:lang w:val="en-US"/>
        </w:rPr>
        <w:t xml:space="preserve"> response data in the side-by-side analyses were based on investigator assessment for both studies.)</w:t>
      </w:r>
    </w:p>
    <w:p w14:paraId="6A040C59" w14:textId="112A8CA0" w:rsidR="00970674" w:rsidRDefault="00970674" w:rsidP="00970674">
      <w:r>
        <w:t xml:space="preserve">Outcomes assessed by investigator and an independent endpoint assessment committee. </w:t>
      </w:r>
      <w:proofErr w:type="gramStart"/>
      <w:r>
        <w:t xml:space="preserve">Modified WHO criteria </w:t>
      </w:r>
      <w:r w:rsidR="002A7505">
        <w:t xml:space="preserve">were </w:t>
      </w:r>
      <w:r>
        <w:t>used</w:t>
      </w:r>
      <w:r w:rsidR="002A7505">
        <w:t xml:space="preserve"> to assess outcome</w:t>
      </w:r>
      <w:r>
        <w:t xml:space="preserve"> rather than RECIST 1.1 due to variable shape of lesions.</w:t>
      </w:r>
      <w:proofErr w:type="gramEnd"/>
      <w:r>
        <w:t xml:space="preserve"> Nevertheless RECIST was used for non</w:t>
      </w:r>
      <w:r w:rsidR="00527073">
        <w:t>-</w:t>
      </w:r>
      <w:r>
        <w:t xml:space="preserve">injected visceral lesions. </w:t>
      </w:r>
    </w:p>
    <w:p w14:paraId="385A9550" w14:textId="78A770C0" w:rsidR="00970674" w:rsidRDefault="00970674" w:rsidP="00527073">
      <w:pPr>
        <w:pStyle w:val="Comment"/>
      </w:pPr>
      <w:r>
        <w:rPr>
          <w:b/>
          <w:lang w:val="en-US"/>
        </w:rPr>
        <w:t>Comment</w:t>
      </w:r>
      <w:r>
        <w:rPr>
          <w:lang w:val="en-US"/>
        </w:rPr>
        <w:t xml:space="preserve">: </w:t>
      </w:r>
      <w:r w:rsidR="00527073">
        <w:rPr>
          <w:lang w:val="en-US"/>
        </w:rPr>
        <w:t xml:space="preserve"> </w:t>
      </w:r>
      <w:r>
        <w:rPr>
          <w:lang w:val="en-US"/>
        </w:rPr>
        <w:t>In RECIST criteria, 2 selected lesions per organ are measured in the longest dimension and the sum of the lesions used for comparison. PD defined as an increase of 20% or more. WHO criteria measure all lesions, the product of the 2 longest diameters in perpendicular dimensions, and the sum of these added. In the 005/05 lesions could be less than 10</w:t>
      </w:r>
      <w:r w:rsidR="00527073">
        <w:rPr>
          <w:lang w:val="en-US"/>
        </w:rPr>
        <w:t xml:space="preserve"> </w:t>
      </w:r>
      <w:r>
        <w:rPr>
          <w:lang w:val="en-US"/>
        </w:rPr>
        <w:t>mm in diameter but the smaller lesions had to add up to 10</w:t>
      </w:r>
      <w:r w:rsidR="00527073">
        <w:rPr>
          <w:lang w:val="en-US"/>
        </w:rPr>
        <w:t xml:space="preserve"> </w:t>
      </w:r>
      <w:r>
        <w:rPr>
          <w:lang w:val="en-US"/>
        </w:rPr>
        <w:t>mm or greater. WHO criteria were used</w:t>
      </w:r>
      <w:r w:rsidR="002A7505">
        <w:rPr>
          <w:lang w:val="en-US"/>
        </w:rPr>
        <w:t xml:space="preserve"> to assess outcome</w:t>
      </w:r>
      <w:r>
        <w:rPr>
          <w:lang w:val="en-US"/>
        </w:rPr>
        <w:t xml:space="preserve"> in this study to take into account different shapes of the lesions</w:t>
      </w:r>
      <w:r w:rsidR="002A7505">
        <w:rPr>
          <w:lang w:val="en-US"/>
        </w:rPr>
        <w:t>;</w:t>
      </w:r>
      <w:r>
        <w:rPr>
          <w:lang w:val="en-US"/>
        </w:rPr>
        <w:t xml:space="preserve"> but in general WHO criteria have fallen out of </w:t>
      </w:r>
      <w:proofErr w:type="spellStart"/>
      <w:r>
        <w:rPr>
          <w:lang w:val="en-US"/>
        </w:rPr>
        <w:t>favour</w:t>
      </w:r>
      <w:proofErr w:type="spellEnd"/>
      <w:r>
        <w:rPr>
          <w:lang w:val="en-US"/>
        </w:rPr>
        <w:t xml:space="preserve"> due to the time involved and inaccuracy of measurements. It was also not clear whether regrowth of lesions were regarded as PD or reinjected. By WHO criteria PD is taken as a 30% increase in the measures and PR greater than a 50% reduction.</w:t>
      </w:r>
    </w:p>
    <w:p w14:paraId="061EF5E2" w14:textId="77777777" w:rsidR="00970674" w:rsidRDefault="00970674" w:rsidP="005C297A">
      <w:pPr>
        <w:pStyle w:val="Heading6"/>
      </w:pPr>
      <w:r>
        <w:t xml:space="preserve">The primary </w:t>
      </w:r>
      <w:r w:rsidRPr="005C297A">
        <w:t>efficacy</w:t>
      </w:r>
      <w:r>
        <w:t xml:space="preserve"> outcome was</w:t>
      </w:r>
    </w:p>
    <w:p w14:paraId="6CCB8E14" w14:textId="77777777" w:rsidR="00970674" w:rsidRDefault="00970674" w:rsidP="00970674">
      <w:pPr>
        <w:rPr>
          <w:lang w:val="en-US"/>
        </w:rPr>
      </w:pPr>
      <w:proofErr w:type="spellStart"/>
      <w:r>
        <w:rPr>
          <w:lang w:val="en-US"/>
        </w:rPr>
        <w:t>Talimogene</w:t>
      </w:r>
      <w:proofErr w:type="spellEnd"/>
      <w:r>
        <w:rPr>
          <w:lang w:val="en-US"/>
        </w:rPr>
        <w:t xml:space="preserve"> </w:t>
      </w:r>
      <w:proofErr w:type="spellStart"/>
      <w:r>
        <w:rPr>
          <w:lang w:val="en-US"/>
        </w:rPr>
        <w:t>laherparepvec</w:t>
      </w:r>
      <w:proofErr w:type="spellEnd"/>
      <w:r>
        <w:rPr>
          <w:lang w:val="en-US"/>
        </w:rPr>
        <w:t xml:space="preserve"> demonstrated a statistically significant improvement in the durable response rate compared to GM-CSF (16.3% v</w:t>
      </w:r>
      <w:r w:rsidR="00527073">
        <w:rPr>
          <w:lang w:val="en-US"/>
        </w:rPr>
        <w:t>ersu</w:t>
      </w:r>
      <w:r>
        <w:rPr>
          <w:lang w:val="en-US"/>
        </w:rPr>
        <w:t xml:space="preserve">s 2.1% per EAC), based on data from the parent study only (005/05). The unadjusted odds ratio (95% CI) was 8.9 (2.7, 29.2), with a p-value of &lt; 0.0001 (Table </w:t>
      </w:r>
      <w:r w:rsidR="00527073">
        <w:rPr>
          <w:lang w:val="en-US"/>
        </w:rPr>
        <w:t>4</w:t>
      </w:r>
      <w:r>
        <w:rPr>
          <w:lang w:val="en-US"/>
        </w:rPr>
        <w:t xml:space="preserve">). Similar results were observed using the per-protocol population and in a sensitivity analysis based on all available central review data (including data from the extension protocol, 005/05-E). Similar results were also observed using evaluations by the investigator (ITT and per-protocol populations) (Table </w:t>
      </w:r>
      <w:r w:rsidR="00527073">
        <w:rPr>
          <w:lang w:val="en-US"/>
        </w:rPr>
        <w:t>4</w:t>
      </w:r>
      <w:r>
        <w:rPr>
          <w:lang w:val="en-US"/>
        </w:rPr>
        <w:t>).</w:t>
      </w:r>
    </w:p>
    <w:p w14:paraId="58169132" w14:textId="77777777" w:rsidR="00970674" w:rsidRDefault="00970674" w:rsidP="00527073">
      <w:pPr>
        <w:pStyle w:val="Tabletitle"/>
      </w:pPr>
      <w:bookmarkStart w:id="106" w:name="_Toc291240577"/>
      <w:r>
        <w:lastRenderedPageBreak/>
        <w:t xml:space="preserve">Table </w:t>
      </w:r>
      <w:r w:rsidR="00FD3D6E">
        <w:fldChar w:fldCharType="begin"/>
      </w:r>
      <w:r w:rsidR="00FD3D6E">
        <w:instrText xml:space="preserve"> SEQ Table \* ARABIC </w:instrText>
      </w:r>
      <w:r w:rsidR="00FD3D6E">
        <w:fldChar w:fldCharType="separate"/>
      </w:r>
      <w:r w:rsidR="008572F8">
        <w:rPr>
          <w:noProof/>
        </w:rPr>
        <w:t>1</w:t>
      </w:r>
      <w:r w:rsidR="00FD3D6E">
        <w:rPr>
          <w:noProof/>
        </w:rPr>
        <w:fldChar w:fldCharType="end"/>
      </w:r>
      <w:r w:rsidR="00527073">
        <w:t>:</w:t>
      </w:r>
      <w:r w:rsidR="00BA348C">
        <w:t xml:space="preserve"> </w:t>
      </w:r>
      <w:r>
        <w:t>Study 005/05: Summary of Durable Response rate</w:t>
      </w:r>
      <w:bookmarkEnd w:id="106"/>
    </w:p>
    <w:p w14:paraId="74CD15C9" w14:textId="77777777" w:rsidR="00970674" w:rsidRDefault="00970674" w:rsidP="00970674">
      <w:r>
        <w:rPr>
          <w:noProof/>
          <w:lang w:eastAsia="en-AU"/>
        </w:rPr>
        <w:drawing>
          <wp:inline distT="0" distB="0" distL="0" distR="0" wp14:anchorId="468E85E9" wp14:editId="05F72D13">
            <wp:extent cx="5179838" cy="1478034"/>
            <wp:effectExtent l="0" t="0" r="1905" b="8255"/>
            <wp:docPr id="19" name="Picture 19" descr="Table 4: Study 005/05: Summary of Durable Response r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19">
                      <a:extLst>
                        <a:ext uri="{28A0092B-C50C-407E-A947-70E740481C1C}">
                          <a14:useLocalDpi xmlns:a14="http://schemas.microsoft.com/office/drawing/2010/main" val="0"/>
                        </a:ext>
                      </a:extLst>
                    </a:blip>
                    <a:srcRect t="11003" b="10019"/>
                    <a:stretch/>
                  </pic:blipFill>
                  <pic:spPr bwMode="auto">
                    <a:xfrm>
                      <a:off x="0" y="0"/>
                      <a:ext cx="5184832" cy="1479459"/>
                    </a:xfrm>
                    <a:prstGeom prst="rect">
                      <a:avLst/>
                    </a:prstGeom>
                    <a:noFill/>
                    <a:ln>
                      <a:noFill/>
                    </a:ln>
                    <a:extLst>
                      <a:ext uri="{53640926-AAD7-44D8-BBD7-CCE9431645EC}">
                        <a14:shadowObscured xmlns:a14="http://schemas.microsoft.com/office/drawing/2010/main"/>
                      </a:ext>
                    </a:extLst>
                  </pic:spPr>
                </pic:pic>
              </a:graphicData>
            </a:graphic>
          </wp:inline>
        </w:drawing>
      </w:r>
    </w:p>
    <w:p w14:paraId="7AC9AC10" w14:textId="77777777" w:rsidR="00970674" w:rsidRDefault="00970674" w:rsidP="00527073">
      <w:pPr>
        <w:pStyle w:val="Heading6"/>
        <w:rPr>
          <w:lang w:val="en-US"/>
        </w:rPr>
      </w:pPr>
      <w:r>
        <w:rPr>
          <w:lang w:val="en-US"/>
        </w:rPr>
        <w:t xml:space="preserve">Secondary outcomes </w:t>
      </w:r>
    </w:p>
    <w:p w14:paraId="25DADF52" w14:textId="77777777" w:rsidR="00970674" w:rsidRDefault="00970674" w:rsidP="00527073">
      <w:pPr>
        <w:rPr>
          <w:lang w:val="en-US"/>
        </w:rPr>
      </w:pPr>
      <w:r>
        <w:rPr>
          <w:lang w:val="en-US"/>
        </w:rPr>
        <w:t xml:space="preserve">Although </w:t>
      </w:r>
      <w:proofErr w:type="spellStart"/>
      <w:r>
        <w:rPr>
          <w:lang w:val="en-US"/>
        </w:rPr>
        <w:t>talimogene</w:t>
      </w:r>
      <w:proofErr w:type="spellEnd"/>
      <w:r>
        <w:rPr>
          <w:lang w:val="en-US"/>
        </w:rPr>
        <w:t xml:space="preserve"> </w:t>
      </w:r>
      <w:proofErr w:type="spellStart"/>
      <w:r>
        <w:rPr>
          <w:lang w:val="en-US"/>
        </w:rPr>
        <w:t>laherparepvec</w:t>
      </w:r>
      <w:proofErr w:type="spellEnd"/>
      <w:r>
        <w:rPr>
          <w:lang w:val="en-US"/>
        </w:rPr>
        <w:t xml:space="preserve"> improved OS over GM-CSF in the primary analysis of the ITT population (based on 290 events), this improvement was of borderline statistical </w:t>
      </w:r>
      <w:r w:rsidRPr="005C297A">
        <w:rPr>
          <w:lang w:val="en-US"/>
        </w:rPr>
        <w:t xml:space="preserve">significance (Table </w:t>
      </w:r>
      <w:r w:rsidR="005C297A" w:rsidRPr="005C297A">
        <w:rPr>
          <w:lang w:val="en-US"/>
        </w:rPr>
        <w:t>5</w:t>
      </w:r>
      <w:r w:rsidRPr="005C297A">
        <w:rPr>
          <w:lang w:val="en-US"/>
        </w:rPr>
        <w:t>). The pre-</w:t>
      </w:r>
      <w:r>
        <w:rPr>
          <w:lang w:val="en-US"/>
        </w:rPr>
        <w:t>planned un</w:t>
      </w:r>
      <w:r w:rsidR="00527073">
        <w:rPr>
          <w:lang w:val="en-US"/>
        </w:rPr>
        <w:t>-</w:t>
      </w:r>
      <w:r>
        <w:rPr>
          <w:lang w:val="en-US"/>
        </w:rPr>
        <w:t xml:space="preserve">stratified hazard ratio for </w:t>
      </w:r>
      <w:proofErr w:type="spellStart"/>
      <w:r>
        <w:rPr>
          <w:lang w:val="en-US"/>
        </w:rPr>
        <w:t>talimogene</w:t>
      </w:r>
      <w:proofErr w:type="spellEnd"/>
      <w:r>
        <w:rPr>
          <w:lang w:val="en-US"/>
        </w:rPr>
        <w:t xml:space="preserve"> </w:t>
      </w:r>
      <w:proofErr w:type="spellStart"/>
      <w:r>
        <w:rPr>
          <w:lang w:val="en-US"/>
        </w:rPr>
        <w:t>laherparepvec</w:t>
      </w:r>
      <w:proofErr w:type="spellEnd"/>
      <w:r>
        <w:rPr>
          <w:lang w:val="en-US"/>
        </w:rPr>
        <w:t xml:space="preserve"> relative to GM-CSF was 0.79 (95% CI: 0.62, 1.00), p = 0.051. The Kaplan-Meier median estimates for OS time were 23.3 months for </w:t>
      </w:r>
      <w:proofErr w:type="spellStart"/>
      <w:r>
        <w:rPr>
          <w:lang w:val="en-US"/>
        </w:rPr>
        <w:t>talimogene</w:t>
      </w:r>
      <w:proofErr w:type="spellEnd"/>
      <w:r>
        <w:rPr>
          <w:lang w:val="en-US"/>
        </w:rPr>
        <w:t xml:space="preserve"> </w:t>
      </w:r>
      <w:proofErr w:type="spellStart"/>
      <w:r>
        <w:rPr>
          <w:lang w:val="en-US"/>
        </w:rPr>
        <w:t>laherparepvec</w:t>
      </w:r>
      <w:proofErr w:type="spellEnd"/>
      <w:r>
        <w:rPr>
          <w:lang w:val="en-US"/>
        </w:rPr>
        <w:t xml:space="preserve"> and 18.9 months for GM-CSF; therefore, subjects who received </w:t>
      </w:r>
      <w:proofErr w:type="spellStart"/>
      <w:r>
        <w:rPr>
          <w:lang w:val="en-US"/>
        </w:rPr>
        <w:t>talimogene</w:t>
      </w:r>
      <w:proofErr w:type="spellEnd"/>
      <w:r>
        <w:rPr>
          <w:lang w:val="en-US"/>
        </w:rPr>
        <w:t xml:space="preserve"> </w:t>
      </w:r>
      <w:proofErr w:type="spellStart"/>
      <w:r>
        <w:rPr>
          <w:lang w:val="en-US"/>
        </w:rPr>
        <w:t>laherparepvec</w:t>
      </w:r>
      <w:proofErr w:type="spellEnd"/>
      <w:r>
        <w:rPr>
          <w:lang w:val="en-US"/>
        </w:rPr>
        <w:t xml:space="preserve"> lived a median of 4.4 months longer than subjects who received GM-CSF. At the time of the primary analysis, the median potential follow-up for all subjects was 44.4 months (range: 32.4 to 58.7 months); therefore, Kaplan-Meier survival rates could be reliably estimated through approximately 3 years. </w:t>
      </w:r>
    </w:p>
    <w:p w14:paraId="58B609DB" w14:textId="77777777" w:rsidR="00970674" w:rsidRDefault="00970674" w:rsidP="00527073">
      <w:pPr>
        <w:rPr>
          <w:lang w:val="en-US"/>
        </w:rPr>
      </w:pPr>
      <w:r>
        <w:rPr>
          <w:lang w:val="en-US"/>
        </w:rPr>
        <w:t xml:space="preserve">In the interim OS analysis based on 250 events, treatment with </w:t>
      </w:r>
      <w:proofErr w:type="spellStart"/>
      <w:r>
        <w:rPr>
          <w:lang w:val="en-US"/>
        </w:rPr>
        <w:t>talimogene</w:t>
      </w:r>
      <w:proofErr w:type="spellEnd"/>
      <w:r>
        <w:rPr>
          <w:lang w:val="en-US"/>
        </w:rPr>
        <w:t xml:space="preserve"> </w:t>
      </w:r>
      <w:proofErr w:type="spellStart"/>
      <w:r>
        <w:rPr>
          <w:lang w:val="en-US"/>
        </w:rPr>
        <w:t>laherparepvec</w:t>
      </w:r>
      <w:proofErr w:type="spellEnd"/>
      <w:r>
        <w:rPr>
          <w:lang w:val="en-US"/>
        </w:rPr>
        <w:t xml:space="preserve"> resulted in a (non-significant) improvement in OS compared with GM-CSF (median of 23 months vs 19 months; hazard ratio 0.79; 95% CI: 0.61, 1.02).</w:t>
      </w:r>
    </w:p>
    <w:p w14:paraId="5AA4F1D2" w14:textId="77777777" w:rsidR="00970674" w:rsidRPr="005C297A" w:rsidRDefault="00970674" w:rsidP="00527073">
      <w:r w:rsidRPr="005C297A">
        <w:t xml:space="preserve">The </w:t>
      </w:r>
      <w:r w:rsidRPr="005C297A">
        <w:rPr>
          <w:i/>
        </w:rPr>
        <w:t>objective response rate</w:t>
      </w:r>
      <w:r w:rsidRPr="005C297A">
        <w:t xml:space="preserve"> (CR and PR) (95% Cl) per EAC was 5.7% (1.9%, 9.5%) in the GM-CSF group and 26.4% (21.4%, 31.5%) in the </w:t>
      </w:r>
      <w:proofErr w:type="spellStart"/>
      <w:r w:rsidRPr="005C297A">
        <w:t>talimogene</w:t>
      </w:r>
      <w:proofErr w:type="spellEnd"/>
      <w:r w:rsidRPr="005C297A">
        <w:t xml:space="preserve"> </w:t>
      </w:r>
      <w:proofErr w:type="spellStart"/>
      <w:r w:rsidRPr="005C297A">
        <w:t>laherparepvec</w:t>
      </w:r>
      <w:proofErr w:type="spellEnd"/>
      <w:r w:rsidRPr="005C297A">
        <w:t xml:space="preserve"> group; p-value &lt; 0.0001 (Table 6). The percentage of CRs was 0.7% and 10.8%, respectively. Similar results were observed when using EAC evaluable subjects or evaluations from the investigator (Table 6). A high degree of correlation was observed between the EAC and investigators. Kappa statistics were calculated to assess the agreement between EAC and the investigators. The kappa (95% Cl) was 0.82 (0.76, 0.89). </w:t>
      </w:r>
      <w:r w:rsidRPr="005C297A">
        <w:rPr>
          <w:lang w:val="en-US"/>
        </w:rPr>
        <w:t xml:space="preserve">Of the 78 overall responders in the </w:t>
      </w:r>
      <w:proofErr w:type="spellStart"/>
      <w:r w:rsidRPr="005C297A">
        <w:rPr>
          <w:lang w:val="en-US"/>
        </w:rPr>
        <w:t>talimogene</w:t>
      </w:r>
      <w:proofErr w:type="spellEnd"/>
      <w:r w:rsidRPr="005C297A">
        <w:rPr>
          <w:lang w:val="en-US"/>
        </w:rPr>
        <w:t xml:space="preserve"> </w:t>
      </w:r>
      <w:proofErr w:type="spellStart"/>
      <w:r w:rsidRPr="005C297A">
        <w:rPr>
          <w:lang w:val="en-US"/>
        </w:rPr>
        <w:t>laherparepvec</w:t>
      </w:r>
      <w:proofErr w:type="spellEnd"/>
      <w:r w:rsidRPr="005C297A">
        <w:rPr>
          <w:lang w:val="en-US"/>
        </w:rPr>
        <w:t xml:space="preserve"> arm, 42 (54%) progressed before achieving a response.</w:t>
      </w:r>
    </w:p>
    <w:p w14:paraId="04DDE846" w14:textId="77777777" w:rsidR="00970674" w:rsidRDefault="00970674" w:rsidP="00527073">
      <w:pPr>
        <w:rPr>
          <w:lang w:val="en-US"/>
        </w:rPr>
      </w:pPr>
      <w:r w:rsidRPr="005C297A">
        <w:rPr>
          <w:lang w:val="en-US"/>
        </w:rPr>
        <w:t>Results for objective response rate by subgroups for disease stage and HSV-1 status are shown in Table 7. Objective responses were observed in all subsets of subjects by stage and HSV-1 status; however, it was not</w:t>
      </w:r>
      <w:r>
        <w:rPr>
          <w:lang w:val="en-US"/>
        </w:rPr>
        <w:t xml:space="preserve"> improved over GM-CSF in the subjects with </w:t>
      </w:r>
      <w:r w:rsidR="00527073">
        <w:rPr>
          <w:lang w:val="en-US"/>
        </w:rPr>
        <w:t>S</w:t>
      </w:r>
      <w:r>
        <w:rPr>
          <w:lang w:val="en-US"/>
        </w:rPr>
        <w:t xml:space="preserve">tage IV M1b or IV M1c disease. </w:t>
      </w:r>
    </w:p>
    <w:p w14:paraId="502476E2" w14:textId="77777777" w:rsidR="00970674" w:rsidRDefault="00970674" w:rsidP="00970674">
      <w:pPr>
        <w:rPr>
          <w:lang w:val="en-US"/>
        </w:rPr>
      </w:pPr>
      <w:r w:rsidRPr="00527073">
        <w:rPr>
          <w:i/>
          <w:lang w:val="en-US"/>
        </w:rPr>
        <w:t>Best Overall Response and Disease Burden:</w:t>
      </w:r>
      <w:r w:rsidR="00527073">
        <w:rPr>
          <w:i/>
          <w:lang w:val="en-US"/>
        </w:rPr>
        <w:t xml:space="preserve"> </w:t>
      </w:r>
      <w:r>
        <w:rPr>
          <w:lang w:val="en-US"/>
        </w:rPr>
        <w:t xml:space="preserve">Since </w:t>
      </w:r>
      <w:proofErr w:type="spellStart"/>
      <w:r>
        <w:rPr>
          <w:lang w:val="en-US"/>
        </w:rPr>
        <w:t>talimogene</w:t>
      </w:r>
      <w:proofErr w:type="spellEnd"/>
      <w:r>
        <w:rPr>
          <w:lang w:val="en-US"/>
        </w:rPr>
        <w:t xml:space="preserve"> </w:t>
      </w:r>
      <w:proofErr w:type="spellStart"/>
      <w:r>
        <w:rPr>
          <w:lang w:val="en-US"/>
        </w:rPr>
        <w:t>laherparepvec</w:t>
      </w:r>
      <w:proofErr w:type="spellEnd"/>
      <w:r>
        <w:rPr>
          <w:lang w:val="en-US"/>
        </w:rPr>
        <w:t xml:space="preserve"> and GM-CSF elicit immune responses, some subjects may experience a lag before demonstrating a visible response. An ad hoc analysis of 86 objective responders (per EAC.</w:t>
      </w:r>
      <w:r w:rsidR="00527073">
        <w:rPr>
          <w:lang w:val="en-US"/>
        </w:rPr>
        <w:t xml:space="preserve"> </w:t>
      </w:r>
      <w:r>
        <w:rPr>
          <w:lang w:val="en-US"/>
        </w:rPr>
        <w:t xml:space="preserve">in the ITT population showed 45 subjects progressed before ultimately responding to treatment. Of the 78 objective responders on the </w:t>
      </w:r>
      <w:proofErr w:type="spellStart"/>
      <w:r>
        <w:rPr>
          <w:lang w:val="en-US"/>
        </w:rPr>
        <w:t>talimogene</w:t>
      </w:r>
      <w:proofErr w:type="spellEnd"/>
      <w:r>
        <w:rPr>
          <w:lang w:val="en-US"/>
        </w:rPr>
        <w:t xml:space="preserve"> </w:t>
      </w:r>
      <w:proofErr w:type="spellStart"/>
      <w:r>
        <w:rPr>
          <w:lang w:val="en-US"/>
        </w:rPr>
        <w:t>laherparepvec</w:t>
      </w:r>
      <w:proofErr w:type="spellEnd"/>
      <w:r>
        <w:rPr>
          <w:lang w:val="en-US"/>
        </w:rPr>
        <w:t xml:space="preserve"> arm, (54%) progressed before responding, and of the 8 objective responders in the GM-CSF arm, 3 (38%) progressed before responding.</w:t>
      </w:r>
    </w:p>
    <w:p w14:paraId="21F19172" w14:textId="77777777" w:rsidR="00970674" w:rsidRDefault="00970674" w:rsidP="00970674">
      <w:pPr>
        <w:rPr>
          <w:lang w:val="en-US"/>
        </w:rPr>
      </w:pPr>
      <w:r>
        <w:rPr>
          <w:lang w:val="en-US"/>
        </w:rPr>
        <w:t xml:space="preserve">Progression was defined as either an increase of at least 25% in </w:t>
      </w:r>
      <w:proofErr w:type="spellStart"/>
      <w:r w:rsidR="00BA348C">
        <w:rPr>
          <w:lang w:val="en-US"/>
        </w:rPr>
        <w:t>tumour</w:t>
      </w:r>
      <w:proofErr w:type="spellEnd"/>
      <w:r>
        <w:rPr>
          <w:lang w:val="en-US"/>
        </w:rPr>
        <w:t xml:space="preserve"> burden relative to baseline, or the appearance of a new lesion post</w:t>
      </w:r>
      <w:r w:rsidR="00527073">
        <w:rPr>
          <w:lang w:val="en-US"/>
        </w:rPr>
        <w:t xml:space="preserve"> </w:t>
      </w:r>
      <w:r>
        <w:rPr>
          <w:lang w:val="en-US"/>
        </w:rPr>
        <w:t>baseline (whether or not the lesion was measurable).</w:t>
      </w:r>
    </w:p>
    <w:p w14:paraId="4B6597FB" w14:textId="77777777" w:rsidR="00970674" w:rsidRDefault="00970674" w:rsidP="00970674">
      <w:pPr>
        <w:rPr>
          <w:lang w:val="en-US"/>
        </w:rPr>
      </w:pPr>
      <w:r>
        <w:rPr>
          <w:i/>
          <w:lang w:val="en-US"/>
        </w:rPr>
        <w:t>Duration of response:</w:t>
      </w:r>
      <w:r>
        <w:rPr>
          <w:lang w:val="en-US"/>
        </w:rPr>
        <w:t xml:space="preserve"> Duration of response is defined as the longest individual period from entering response (PR or CR) to the first documented evidence of the subject no longer meeting the criteria for being in response or the subject’s death, whichever is earlier. Responses were censored at the last assessment showing response.</w:t>
      </w:r>
    </w:p>
    <w:p w14:paraId="138462A9" w14:textId="77777777" w:rsidR="00970674" w:rsidRDefault="00970674" w:rsidP="00970674">
      <w:pPr>
        <w:rPr>
          <w:lang w:val="en-US"/>
        </w:rPr>
      </w:pPr>
      <w:r>
        <w:rPr>
          <w:lang w:val="en-US"/>
        </w:rPr>
        <w:lastRenderedPageBreak/>
        <w:t xml:space="preserve">Among the 78 objective responders in the </w:t>
      </w:r>
      <w:proofErr w:type="spellStart"/>
      <w:r>
        <w:rPr>
          <w:lang w:val="en-US"/>
        </w:rPr>
        <w:t>talimogene</w:t>
      </w:r>
      <w:proofErr w:type="spellEnd"/>
      <w:r>
        <w:rPr>
          <w:lang w:val="en-US"/>
        </w:rPr>
        <w:t xml:space="preserve"> </w:t>
      </w:r>
      <w:proofErr w:type="spellStart"/>
      <w:r>
        <w:rPr>
          <w:lang w:val="en-US"/>
        </w:rPr>
        <w:t>laherparepvec</w:t>
      </w:r>
      <w:proofErr w:type="spellEnd"/>
      <w:r>
        <w:rPr>
          <w:lang w:val="en-US"/>
        </w:rPr>
        <w:t xml:space="preserve"> arm, the median duration of response (and 95% CI) per EAC has not been </w:t>
      </w:r>
      <w:r w:rsidRPr="005C297A">
        <w:rPr>
          <w:lang w:val="en-US"/>
        </w:rPr>
        <w:t xml:space="preserve">reached (Table 5). At the last </w:t>
      </w:r>
      <w:proofErr w:type="spellStart"/>
      <w:r w:rsidR="00BA348C" w:rsidRPr="005C297A">
        <w:rPr>
          <w:lang w:val="en-US"/>
        </w:rPr>
        <w:t>tumour</w:t>
      </w:r>
      <w:proofErr w:type="spellEnd"/>
      <w:r w:rsidRPr="005C297A">
        <w:rPr>
          <w:lang w:val="en-US"/>
        </w:rPr>
        <w:t xml:space="preserve"> assessment, 56 subjects (71.8%) were still in response. Among the 8 objective</w:t>
      </w:r>
      <w:r>
        <w:rPr>
          <w:lang w:val="en-US"/>
        </w:rPr>
        <w:t xml:space="preserve"> responders in the GM-CSF arm, the median duration of response (and 95% CI) per EAC was 2.8 (1.2, NE) months. At the last </w:t>
      </w:r>
      <w:proofErr w:type="spellStart"/>
      <w:r w:rsidR="00BA348C">
        <w:rPr>
          <w:lang w:val="en-US"/>
        </w:rPr>
        <w:t>tumour</w:t>
      </w:r>
      <w:proofErr w:type="spellEnd"/>
      <w:r>
        <w:rPr>
          <w:lang w:val="en-US"/>
        </w:rPr>
        <w:t xml:space="preserve"> assessment, 4 subjects (50%) were still in response.</w:t>
      </w:r>
    </w:p>
    <w:p w14:paraId="58C9A524" w14:textId="77777777" w:rsidR="00970674" w:rsidRDefault="00970674" w:rsidP="00970674">
      <w:pPr>
        <w:rPr>
          <w:lang w:val="en-US"/>
        </w:rPr>
      </w:pPr>
      <w:r>
        <w:rPr>
          <w:lang w:val="en-US"/>
        </w:rPr>
        <w:t>Similar results were observed in the per-protocol population (per EAC and investigator).</w:t>
      </w:r>
    </w:p>
    <w:p w14:paraId="4AD13550" w14:textId="77777777" w:rsidR="00970674" w:rsidRDefault="00970674" w:rsidP="00970674">
      <w:pPr>
        <w:rPr>
          <w:b/>
        </w:rPr>
      </w:pPr>
      <w:bookmarkStart w:id="107" w:name="_Toc291240578"/>
      <w:r>
        <w:rPr>
          <w:b/>
        </w:rPr>
        <w:t xml:space="preserve">Table </w:t>
      </w:r>
      <w:r w:rsidR="00527073">
        <w:rPr>
          <w:b/>
        </w:rPr>
        <w:t>5:</w:t>
      </w:r>
      <w:r w:rsidR="00BA348C">
        <w:rPr>
          <w:b/>
        </w:rPr>
        <w:t xml:space="preserve"> </w:t>
      </w:r>
      <w:r>
        <w:rPr>
          <w:b/>
        </w:rPr>
        <w:t>Study 005/05: Summary of Key Secondary Efficacy Results (ITT Population)</w:t>
      </w:r>
      <w:bookmarkEnd w:id="107"/>
    </w:p>
    <w:p w14:paraId="56F712BB" w14:textId="77777777" w:rsidR="005C297A" w:rsidRDefault="005C297A" w:rsidP="00970674">
      <w:pPr>
        <w:rPr>
          <w:b/>
        </w:rPr>
      </w:pPr>
      <w:r>
        <w:rPr>
          <w:noProof/>
          <w:lang w:eastAsia="en-AU"/>
        </w:rPr>
        <w:drawing>
          <wp:inline distT="0" distB="0" distL="0" distR="0" wp14:anchorId="6B2A8D68" wp14:editId="756FE176">
            <wp:extent cx="2748962" cy="4719996"/>
            <wp:effectExtent l="0" t="0" r="0" b="4445"/>
            <wp:docPr id="33" name="Picture 33" descr="Table 5: Study 005/05: Summary of Key Secondary Efficacy Results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2751741" cy="4724768"/>
                    </a:xfrm>
                    <a:prstGeom prst="rect">
                      <a:avLst/>
                    </a:prstGeom>
                  </pic:spPr>
                </pic:pic>
              </a:graphicData>
            </a:graphic>
          </wp:inline>
        </w:drawing>
      </w:r>
    </w:p>
    <w:p w14:paraId="5F967383" w14:textId="77777777" w:rsidR="00970674" w:rsidRDefault="00970674" w:rsidP="005C297A">
      <w:pPr>
        <w:keepNext/>
        <w:rPr>
          <w:b/>
        </w:rPr>
      </w:pPr>
      <w:bookmarkStart w:id="108" w:name="_Toc291240579"/>
      <w:r>
        <w:rPr>
          <w:b/>
        </w:rPr>
        <w:lastRenderedPageBreak/>
        <w:t xml:space="preserve">Table </w:t>
      </w:r>
      <w:r w:rsidR="00527073">
        <w:rPr>
          <w:b/>
        </w:rPr>
        <w:t>6:</w:t>
      </w:r>
      <w:r w:rsidR="00BA348C">
        <w:rPr>
          <w:b/>
        </w:rPr>
        <w:t xml:space="preserve"> </w:t>
      </w:r>
      <w:r>
        <w:rPr>
          <w:b/>
        </w:rPr>
        <w:t>Study 005/05: Objective Response Rate by EAC and investigators (ITT Population)</w:t>
      </w:r>
      <w:bookmarkEnd w:id="108"/>
    </w:p>
    <w:p w14:paraId="29DA51CA" w14:textId="77777777" w:rsidR="00970674" w:rsidRDefault="00970674" w:rsidP="005C297A">
      <w:pPr>
        <w:keepNext/>
        <w:autoSpaceDE w:val="0"/>
        <w:autoSpaceDN w:val="0"/>
        <w:adjustRightInd w:val="0"/>
        <w:jc w:val="both"/>
      </w:pPr>
      <w:r>
        <w:rPr>
          <w:noProof/>
          <w:lang w:eastAsia="en-AU"/>
        </w:rPr>
        <w:drawing>
          <wp:inline distT="0" distB="0" distL="0" distR="0" wp14:anchorId="7290BE2C" wp14:editId="3F985C93">
            <wp:extent cx="3028620" cy="1321788"/>
            <wp:effectExtent l="0" t="0" r="635" b="0"/>
            <wp:docPr id="16" name="Picture 16" descr="Table 6: Study 005/05: Objective Response Rate by EAC and investigators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1">
                      <a:extLst>
                        <a:ext uri="{28A0092B-C50C-407E-A947-70E740481C1C}">
                          <a14:useLocalDpi xmlns:a14="http://schemas.microsoft.com/office/drawing/2010/main" val="0"/>
                        </a:ext>
                      </a:extLst>
                    </a:blip>
                    <a:srcRect t="2174" b="9092"/>
                    <a:stretch/>
                  </pic:blipFill>
                  <pic:spPr bwMode="auto">
                    <a:xfrm>
                      <a:off x="0" y="0"/>
                      <a:ext cx="3040740" cy="1327078"/>
                    </a:xfrm>
                    <a:prstGeom prst="rect">
                      <a:avLst/>
                    </a:prstGeom>
                    <a:noFill/>
                    <a:ln>
                      <a:noFill/>
                    </a:ln>
                    <a:extLst>
                      <a:ext uri="{53640926-AAD7-44D8-BBD7-CCE9431645EC}">
                        <a14:shadowObscured xmlns:a14="http://schemas.microsoft.com/office/drawing/2010/main"/>
                      </a:ext>
                    </a:extLst>
                  </pic:spPr>
                </pic:pic>
              </a:graphicData>
            </a:graphic>
          </wp:inline>
        </w:drawing>
      </w:r>
    </w:p>
    <w:p w14:paraId="37808D1F" w14:textId="77777777" w:rsidR="00970674" w:rsidRDefault="00970674" w:rsidP="007A64A2">
      <w:pPr>
        <w:pStyle w:val="Tabletitle"/>
      </w:pPr>
      <w:bookmarkStart w:id="109" w:name="_Toc291240580"/>
      <w:r>
        <w:t xml:space="preserve">Table </w:t>
      </w:r>
      <w:r w:rsidR="00527073">
        <w:t>7:</w:t>
      </w:r>
      <w:r w:rsidR="00BA348C">
        <w:t xml:space="preserve"> </w:t>
      </w:r>
      <w:r>
        <w:t>Study 005/05: Objective Response Rate per EAC by Subgroups (ITT Population)</w:t>
      </w:r>
      <w:bookmarkEnd w:id="109"/>
    </w:p>
    <w:p w14:paraId="59B2B6D3" w14:textId="77777777" w:rsidR="005C297A" w:rsidRPr="005C297A" w:rsidRDefault="005C297A" w:rsidP="007A64A2">
      <w:pPr>
        <w:keepNext/>
      </w:pPr>
      <w:r>
        <w:rPr>
          <w:noProof/>
          <w:lang w:eastAsia="en-AU"/>
        </w:rPr>
        <w:drawing>
          <wp:inline distT="0" distB="0" distL="0" distR="0" wp14:anchorId="6AD5D2CE" wp14:editId="0A6B350F">
            <wp:extent cx="3099767" cy="4244296"/>
            <wp:effectExtent l="0" t="0" r="5715" b="4445"/>
            <wp:docPr id="34" name="Picture 34" descr="Table 7: Study 005/05: Objective Response Rate per EAC by Subgroups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3101332" cy="4246439"/>
                    </a:xfrm>
                    <a:prstGeom prst="rect">
                      <a:avLst/>
                    </a:prstGeom>
                  </pic:spPr>
                </pic:pic>
              </a:graphicData>
            </a:graphic>
          </wp:inline>
        </w:drawing>
      </w:r>
    </w:p>
    <w:p w14:paraId="381CB151" w14:textId="77777777" w:rsidR="00970674" w:rsidRDefault="00970674" w:rsidP="00970674">
      <w:r>
        <w:t>Other efficacy outcomes included:</w:t>
      </w:r>
    </w:p>
    <w:p w14:paraId="3FCB4326" w14:textId="77777777" w:rsidR="00970674" w:rsidRDefault="00970674" w:rsidP="005C297A">
      <w:pPr>
        <w:pStyle w:val="Heading6"/>
      </w:pPr>
      <w:r>
        <w:t>Analysis in subpopulations</w:t>
      </w:r>
    </w:p>
    <w:p w14:paraId="73DBD0A8" w14:textId="77777777" w:rsidR="00970674" w:rsidRDefault="00970674" w:rsidP="00970674">
      <w:pPr>
        <w:autoSpaceDE w:val="0"/>
        <w:autoSpaceDN w:val="0"/>
        <w:adjustRightInd w:val="0"/>
        <w:jc w:val="both"/>
        <w:rPr>
          <w:lang w:val="en-US"/>
        </w:rPr>
      </w:pPr>
      <w:r>
        <w:rPr>
          <w:lang w:val="en-US"/>
        </w:rPr>
        <w:t xml:space="preserve">The treatment effect of </w:t>
      </w:r>
      <w:proofErr w:type="spellStart"/>
      <w:r>
        <w:rPr>
          <w:lang w:val="en-US"/>
        </w:rPr>
        <w:t>talimogene</w:t>
      </w:r>
      <w:proofErr w:type="spellEnd"/>
      <w:r>
        <w:rPr>
          <w:lang w:val="en-US"/>
        </w:rPr>
        <w:t xml:space="preserve"> </w:t>
      </w:r>
      <w:proofErr w:type="spellStart"/>
      <w:r>
        <w:rPr>
          <w:lang w:val="en-US"/>
        </w:rPr>
        <w:t>laherparepvec</w:t>
      </w:r>
      <w:proofErr w:type="spellEnd"/>
      <w:r>
        <w:rPr>
          <w:lang w:val="en-US"/>
        </w:rPr>
        <w:t xml:space="preserve"> on durable response and OS was heterogeneous across subgroups based on the stratification factors and key covariates (</w:t>
      </w:r>
      <w:r w:rsidR="005C297A">
        <w:rPr>
          <w:lang w:val="en-US"/>
        </w:rPr>
        <w:t>Fi</w:t>
      </w:r>
      <w:r>
        <w:rPr>
          <w:lang w:val="en-US"/>
        </w:rPr>
        <w:t>gures 4 and 5)</w:t>
      </w:r>
      <w:r w:rsidR="005C297A">
        <w:rPr>
          <w:lang w:val="en-US"/>
        </w:rPr>
        <w:t>.</w:t>
      </w:r>
    </w:p>
    <w:p w14:paraId="52E0C4A7" w14:textId="77777777" w:rsidR="00970674" w:rsidRDefault="00970674" w:rsidP="00970674">
      <w:pPr>
        <w:tabs>
          <w:tab w:val="left" w:pos="720"/>
        </w:tabs>
        <w:rPr>
          <w:lang w:val="en-US"/>
        </w:rPr>
      </w:pPr>
      <w:r>
        <w:rPr>
          <w:lang w:val="en-US"/>
        </w:rPr>
        <w:br w:type="page"/>
      </w:r>
    </w:p>
    <w:p w14:paraId="13E50BD1" w14:textId="77777777" w:rsidR="00970674" w:rsidRDefault="00970674" w:rsidP="005C297A">
      <w:pPr>
        <w:pStyle w:val="FigureTitle"/>
        <w:rPr>
          <w:lang w:val="en-US"/>
        </w:rPr>
      </w:pPr>
      <w:bookmarkStart w:id="110" w:name="_Toc291240598"/>
      <w:r>
        <w:lastRenderedPageBreak/>
        <w:t xml:space="preserve">Figure </w:t>
      </w:r>
      <w:r w:rsidR="005C297A">
        <w:t>4</w:t>
      </w:r>
      <w:r w:rsidR="00A83FFD">
        <w:t>:</w:t>
      </w:r>
      <w:r>
        <w:rPr>
          <w:noProof/>
        </w:rPr>
        <w:t xml:space="preserve"> </w:t>
      </w:r>
      <w:r>
        <w:t>Durable Response rate per EAC. Key Stratification Factors and Covariates (ITT population)</w:t>
      </w:r>
      <w:bookmarkEnd w:id="110"/>
    </w:p>
    <w:p w14:paraId="55031FE6" w14:textId="77777777" w:rsidR="00970674" w:rsidRDefault="00970674" w:rsidP="00970674">
      <w:pPr>
        <w:autoSpaceDE w:val="0"/>
        <w:autoSpaceDN w:val="0"/>
        <w:adjustRightInd w:val="0"/>
        <w:jc w:val="both"/>
      </w:pPr>
      <w:r>
        <w:rPr>
          <w:noProof/>
          <w:lang w:eastAsia="en-AU"/>
        </w:rPr>
        <w:drawing>
          <wp:inline distT="0" distB="0" distL="0" distR="0" wp14:anchorId="6946537A" wp14:editId="61D12430">
            <wp:extent cx="2757646" cy="3266470"/>
            <wp:effectExtent l="0" t="0" r="5080" b="0"/>
            <wp:docPr id="14" name="Picture 14" descr="Figure 4. Durable Response rate per EAC. Key Stratification Factors and Covariates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23" cstate="print">
                      <a:extLst>
                        <a:ext uri="{BEBA8EAE-BF5A-486C-A8C5-ECC9F3942E4B}">
                          <a14:imgProps xmlns:a14="http://schemas.microsoft.com/office/drawing/2010/main">
                            <a14:imgLayer r:embed="rId24">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t="8395" b="5956"/>
                    <a:stretch/>
                  </pic:blipFill>
                  <pic:spPr bwMode="auto">
                    <a:xfrm>
                      <a:off x="0" y="0"/>
                      <a:ext cx="2762456" cy="3272167"/>
                    </a:xfrm>
                    <a:prstGeom prst="rect">
                      <a:avLst/>
                    </a:prstGeom>
                    <a:noFill/>
                    <a:ln>
                      <a:noFill/>
                    </a:ln>
                    <a:extLst>
                      <a:ext uri="{53640926-AAD7-44D8-BBD7-CCE9431645EC}">
                        <a14:shadowObscured xmlns:a14="http://schemas.microsoft.com/office/drawing/2010/main"/>
                      </a:ext>
                    </a:extLst>
                  </pic:spPr>
                </pic:pic>
              </a:graphicData>
            </a:graphic>
          </wp:inline>
        </w:drawing>
      </w:r>
    </w:p>
    <w:p w14:paraId="73EBA5A0" w14:textId="5EE19B61" w:rsidR="00970674" w:rsidRDefault="00970674" w:rsidP="005C297A">
      <w:pPr>
        <w:pStyle w:val="FigureTitle"/>
        <w:keepNext/>
        <w:rPr>
          <w:lang w:val="en-US"/>
        </w:rPr>
      </w:pPr>
      <w:bookmarkStart w:id="111" w:name="_Toc291240599"/>
      <w:r>
        <w:t xml:space="preserve">Figure </w:t>
      </w:r>
      <w:r w:rsidR="005C297A">
        <w:t>5:</w:t>
      </w:r>
      <w:r>
        <w:t xml:space="preserve"> Hazard Ratio Plot with Log Scale</w:t>
      </w:r>
      <w:r w:rsidR="001F13C4">
        <w:t xml:space="preserve">. </w:t>
      </w:r>
      <w:r>
        <w:t>Overall survival hazard ratio key stratification factors and covariates.</w:t>
      </w:r>
      <w:bookmarkEnd w:id="111"/>
    </w:p>
    <w:p w14:paraId="323DDA9F" w14:textId="77777777" w:rsidR="00970674" w:rsidRDefault="00970674" w:rsidP="005C297A">
      <w:pPr>
        <w:keepNext/>
        <w:autoSpaceDE w:val="0"/>
        <w:autoSpaceDN w:val="0"/>
        <w:adjustRightInd w:val="0"/>
        <w:jc w:val="both"/>
      </w:pPr>
      <w:r>
        <w:rPr>
          <w:noProof/>
          <w:lang w:eastAsia="en-AU"/>
        </w:rPr>
        <w:drawing>
          <wp:inline distT="0" distB="0" distL="0" distR="0" wp14:anchorId="19FCE13E" wp14:editId="06C68EA8">
            <wp:extent cx="2922263" cy="3440892"/>
            <wp:effectExtent l="0" t="0" r="0" b="7620"/>
            <wp:docPr id="13" name="Picture 13" descr="Figure 5: Hazard Ration Plot with Log Scale – Overall survival hazard ratio key stratification factors and covari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25">
                      <a:extLst>
                        <a:ext uri="{BEBA8EAE-BF5A-486C-A8C5-ECC9F3942E4B}">
                          <a14:imgProps xmlns:a14="http://schemas.microsoft.com/office/drawing/2010/main">
                            <a14:imgLayer r:embed="rId26">
                              <a14:imgEffect>
                                <a14:sharpenSoften amount="50000"/>
                              </a14:imgEffect>
                            </a14:imgLayer>
                          </a14:imgProps>
                        </a:ext>
                        <a:ext uri="{28A0092B-C50C-407E-A947-70E740481C1C}">
                          <a14:useLocalDpi xmlns:a14="http://schemas.microsoft.com/office/drawing/2010/main" val="0"/>
                        </a:ext>
                      </a:extLst>
                    </a:blip>
                    <a:srcRect t="8147" b="8047"/>
                    <a:stretch/>
                  </pic:blipFill>
                  <pic:spPr bwMode="auto">
                    <a:xfrm>
                      <a:off x="0" y="0"/>
                      <a:ext cx="2926776" cy="3446205"/>
                    </a:xfrm>
                    <a:prstGeom prst="rect">
                      <a:avLst/>
                    </a:prstGeom>
                    <a:noFill/>
                    <a:ln>
                      <a:noFill/>
                    </a:ln>
                    <a:extLst>
                      <a:ext uri="{53640926-AAD7-44D8-BBD7-CCE9431645EC}">
                        <a14:shadowObscured xmlns:a14="http://schemas.microsoft.com/office/drawing/2010/main"/>
                      </a:ext>
                    </a:extLst>
                  </pic:spPr>
                </pic:pic>
              </a:graphicData>
            </a:graphic>
          </wp:inline>
        </w:drawing>
      </w:r>
    </w:p>
    <w:p w14:paraId="09F8C408" w14:textId="77777777" w:rsidR="00970674" w:rsidRDefault="00970674" w:rsidP="005C297A">
      <w:pPr>
        <w:pStyle w:val="Heading6"/>
      </w:pPr>
      <w:r>
        <w:t>Evaluation of Systemic activity</w:t>
      </w:r>
    </w:p>
    <w:p w14:paraId="27851836" w14:textId="77777777" w:rsidR="00970674" w:rsidRDefault="00970674" w:rsidP="00121FD0">
      <w:pPr>
        <w:rPr>
          <w:lang w:val="en-US"/>
        </w:rPr>
      </w:pPr>
      <w:r>
        <w:rPr>
          <w:lang w:val="en-US"/>
        </w:rPr>
        <w:t xml:space="preserve">In exploratory analyses to evaluate the systemic activity of </w:t>
      </w:r>
      <w:proofErr w:type="spellStart"/>
      <w:r>
        <w:rPr>
          <w:lang w:val="en-US"/>
        </w:rPr>
        <w:t>talimogene</w:t>
      </w:r>
      <w:proofErr w:type="spellEnd"/>
      <w:r>
        <w:rPr>
          <w:lang w:val="en-US"/>
        </w:rPr>
        <w:t xml:space="preserve"> </w:t>
      </w:r>
      <w:proofErr w:type="spellStart"/>
      <w:r>
        <w:rPr>
          <w:lang w:val="en-US"/>
        </w:rPr>
        <w:t>laherparepvec</w:t>
      </w:r>
      <w:proofErr w:type="spellEnd"/>
      <w:r>
        <w:rPr>
          <w:lang w:val="en-US"/>
        </w:rPr>
        <w:t xml:space="preserve"> (</w:t>
      </w:r>
      <w:r w:rsidR="00BA348C">
        <w:rPr>
          <w:lang w:val="en-US"/>
        </w:rPr>
        <w:t>that is,</w:t>
      </w:r>
      <w:r>
        <w:rPr>
          <w:lang w:val="en-US"/>
        </w:rPr>
        <w:t xml:space="preserve"> beyond local effects in injected lesions), responses were observed in non-injected lesions, including non-visceral lesions (most commonly in the skin and lymph nodes) and visceral lesions (most commonly in the lung and liver) (supplemental clinical study report 005/05)</w:t>
      </w:r>
      <w:r w:rsidR="005C297A">
        <w:rPr>
          <w:lang w:val="en-US"/>
        </w:rPr>
        <w:t>.</w:t>
      </w:r>
    </w:p>
    <w:p w14:paraId="37FE9706" w14:textId="77777777" w:rsidR="00970674" w:rsidRDefault="00970674" w:rsidP="00121FD0">
      <w:pPr>
        <w:rPr>
          <w:lang w:val="en-US"/>
        </w:rPr>
      </w:pPr>
      <w:r>
        <w:rPr>
          <w:lang w:val="en-US"/>
        </w:rPr>
        <w:lastRenderedPageBreak/>
        <w:t xml:space="preserve">In analyses of subjects with non-injected lesions, 27 of 79 subjects (34.2%) had a ≥ 50% overall decrease in non-visceral lesions, and 8 of 71 subjects (11.3%) had a ≥ 50% overall decrease in visceral lesions. </w:t>
      </w:r>
    </w:p>
    <w:p w14:paraId="3CF49EFE" w14:textId="77777777" w:rsidR="00970674" w:rsidRDefault="00970674" w:rsidP="00121FD0">
      <w:pPr>
        <w:rPr>
          <w:lang w:val="en-US"/>
        </w:rPr>
      </w:pPr>
      <w:r>
        <w:rPr>
          <w:lang w:val="en-US"/>
        </w:rPr>
        <w:t xml:space="preserve">Among 2116 individual lesions directly injected with </w:t>
      </w:r>
      <w:proofErr w:type="spellStart"/>
      <w:r>
        <w:rPr>
          <w:lang w:val="en-US"/>
        </w:rPr>
        <w:t>talimogene</w:t>
      </w:r>
      <w:proofErr w:type="spellEnd"/>
      <w:r>
        <w:rPr>
          <w:lang w:val="en-US"/>
        </w:rPr>
        <w:t xml:space="preserve"> </w:t>
      </w:r>
      <w:proofErr w:type="spellStart"/>
      <w:r>
        <w:rPr>
          <w:lang w:val="en-US"/>
        </w:rPr>
        <w:t>laherparepvec</w:t>
      </w:r>
      <w:proofErr w:type="spellEnd"/>
      <w:r>
        <w:rPr>
          <w:lang w:val="en-US"/>
        </w:rPr>
        <w:t>, 1361 (64.3%) decreased in size by ≥ 50% and 995 (47.0%) completely resolved. Of 981 non-injected non-visceral lesions, 331 (33.7%) decreased in size by ≥ 50%,</w:t>
      </w:r>
      <w:r w:rsidR="00BA348C">
        <w:rPr>
          <w:lang w:val="en-US"/>
        </w:rPr>
        <w:t xml:space="preserve"> </w:t>
      </w:r>
      <w:r>
        <w:rPr>
          <w:lang w:val="en-US"/>
        </w:rPr>
        <w:t>the majority of which (212 [21.6%]) completely resolved. Of 177 visceral lesions, 27 (15.3%) decreased in size by ≥</w:t>
      </w:r>
      <w:r w:rsidR="00121FD0">
        <w:rPr>
          <w:lang w:val="en-US"/>
        </w:rPr>
        <w:t xml:space="preserve"> </w:t>
      </w:r>
      <w:r>
        <w:rPr>
          <w:lang w:val="en-US"/>
        </w:rPr>
        <w:t>50%, the majority of which (16 [9.0%]) completely resolved.</w:t>
      </w:r>
    </w:p>
    <w:p w14:paraId="0F8439A3" w14:textId="77777777" w:rsidR="00970674" w:rsidRDefault="00970674" w:rsidP="00121FD0">
      <w:pPr>
        <w:rPr>
          <w:lang w:val="en-US"/>
        </w:rPr>
      </w:pPr>
      <w:r>
        <w:rPr>
          <w:lang w:val="en-US"/>
        </w:rPr>
        <w:t>The estimated median time to lesion response among all measurable lesions (responding or non-responding) was shortest for lesions that were directly injected (21.1 weeks), followed by non-injected non-visceral lesions (44.1 weeks) and visceral lesions (110.4 weeks), consistent with initiation of a delayed loco-regional and systemic anti-</w:t>
      </w:r>
      <w:proofErr w:type="spellStart"/>
      <w:r w:rsidR="00BA348C">
        <w:rPr>
          <w:lang w:val="en-US"/>
        </w:rPr>
        <w:t>tumour</w:t>
      </w:r>
      <w:proofErr w:type="spellEnd"/>
      <w:r>
        <w:rPr>
          <w:lang w:val="en-US"/>
        </w:rPr>
        <w:t xml:space="preserve"> immune response to </w:t>
      </w:r>
      <w:proofErr w:type="spellStart"/>
      <w:r>
        <w:rPr>
          <w:lang w:val="en-US"/>
        </w:rPr>
        <w:t>talimogene</w:t>
      </w:r>
      <w:proofErr w:type="spellEnd"/>
      <w:r>
        <w:rPr>
          <w:lang w:val="en-US"/>
        </w:rPr>
        <w:t xml:space="preserve"> </w:t>
      </w:r>
      <w:proofErr w:type="spellStart"/>
      <w:r>
        <w:rPr>
          <w:lang w:val="en-US"/>
        </w:rPr>
        <w:t>laherparepvec</w:t>
      </w:r>
      <w:proofErr w:type="spellEnd"/>
      <w:r>
        <w:rPr>
          <w:lang w:val="en-US"/>
        </w:rPr>
        <w:t>. The median (range) time to response for responding lesions was 13.3 (4.1 to 79.7) weeks for lesions that were directly injected, 12.9 (3.1 to 65.1) weeks for non-injected non-visceral lesions, and 12.3 (6.1 to 48.4) weeks for visceral lesions.</w:t>
      </w:r>
    </w:p>
    <w:p w14:paraId="5EA3E101" w14:textId="77777777" w:rsidR="00970674" w:rsidRDefault="00970674" w:rsidP="00121FD0">
      <w:pPr>
        <w:pStyle w:val="Heading6"/>
      </w:pPr>
      <w:r>
        <w:t>Randomisation and blinding methods</w:t>
      </w:r>
    </w:p>
    <w:p w14:paraId="4FFBC572" w14:textId="77777777" w:rsidR="00970674" w:rsidRDefault="00970674" w:rsidP="00970674">
      <w:pPr>
        <w:autoSpaceDE w:val="0"/>
        <w:autoSpaceDN w:val="0"/>
        <w:adjustRightInd w:val="0"/>
        <w:rPr>
          <w:lang w:val="en-US"/>
        </w:rPr>
      </w:pPr>
      <w:proofErr w:type="spellStart"/>
      <w:r>
        <w:rPr>
          <w:lang w:val="en-US"/>
        </w:rPr>
        <w:t>Randomi</w:t>
      </w:r>
      <w:r w:rsidR="00121FD0">
        <w:rPr>
          <w:lang w:val="en-US"/>
        </w:rPr>
        <w:t>s</w:t>
      </w:r>
      <w:r>
        <w:rPr>
          <w:lang w:val="en-US"/>
        </w:rPr>
        <w:t>ation</w:t>
      </w:r>
      <w:proofErr w:type="spellEnd"/>
      <w:r>
        <w:rPr>
          <w:lang w:val="en-US"/>
        </w:rPr>
        <w:t xml:space="preserve"> was stratified by known prognostic factors, including the site of first recurrence, stage of disease, presence of liver metastases, and prior nonsurgical melanoma treatment other than adjuvant therapy. Enrollment for subjects with Stage IV M1c disease was limited to no more than 40% of the total subjects in each treatment arm.</w:t>
      </w:r>
    </w:p>
    <w:p w14:paraId="08D27757" w14:textId="77777777" w:rsidR="00970674" w:rsidRDefault="00970674" w:rsidP="00121FD0">
      <w:pPr>
        <w:pStyle w:val="Heading6"/>
      </w:pPr>
      <w:r>
        <w:t>Analysis populations</w:t>
      </w:r>
    </w:p>
    <w:p w14:paraId="0D38FEAE" w14:textId="77777777" w:rsidR="00970674" w:rsidRDefault="00970674" w:rsidP="00970674">
      <w:pPr>
        <w:autoSpaceDE w:val="0"/>
        <w:autoSpaceDN w:val="0"/>
        <w:adjustRightInd w:val="0"/>
        <w:jc w:val="both"/>
        <w:rPr>
          <w:lang w:val="en-US"/>
        </w:rPr>
      </w:pPr>
      <w:r>
        <w:rPr>
          <w:lang w:val="en-US"/>
        </w:rPr>
        <w:t>The primary analysis of the primary endpoint, DRR, was performed using the intent-to-treat (ITT) analysis set, which was to consist of all subjects who were randomized to study treatment.</w:t>
      </w:r>
    </w:p>
    <w:p w14:paraId="5E8F03EB" w14:textId="77777777" w:rsidR="00970674" w:rsidRDefault="00970674" w:rsidP="00121FD0">
      <w:pPr>
        <w:pStyle w:val="Heading6"/>
      </w:pPr>
      <w:r>
        <w:t>Sample size</w:t>
      </w:r>
    </w:p>
    <w:p w14:paraId="2F963CBE" w14:textId="77777777" w:rsidR="00970674" w:rsidRDefault="00970674" w:rsidP="00970674">
      <w:r>
        <w:rPr>
          <w:lang w:val="en-US"/>
        </w:rPr>
        <w:t xml:space="preserve">A total of 439 randomizations occurred (143 randomizations to the GM-CSF arm and 296 randomizations to the </w:t>
      </w:r>
      <w:proofErr w:type="spellStart"/>
      <w:r>
        <w:rPr>
          <w:lang w:val="en-US"/>
        </w:rPr>
        <w:t>talimogene</w:t>
      </w:r>
      <w:proofErr w:type="spellEnd"/>
      <w:r>
        <w:rPr>
          <w:lang w:val="en-US"/>
        </w:rPr>
        <w:t xml:space="preserve"> </w:t>
      </w:r>
      <w:proofErr w:type="spellStart"/>
      <w:r>
        <w:rPr>
          <w:lang w:val="en-US"/>
        </w:rPr>
        <w:t>laherparepve</w:t>
      </w:r>
      <w:r w:rsidR="00121FD0">
        <w:rPr>
          <w:lang w:val="en-US"/>
        </w:rPr>
        <w:t>c</w:t>
      </w:r>
      <w:proofErr w:type="spellEnd"/>
      <w:r w:rsidR="00121FD0">
        <w:rPr>
          <w:lang w:val="en-US"/>
        </w:rPr>
        <w:t xml:space="preserve"> arm). One subject was </w:t>
      </w:r>
      <w:proofErr w:type="spellStart"/>
      <w:r w:rsidR="00121FD0">
        <w:rPr>
          <w:lang w:val="en-US"/>
        </w:rPr>
        <w:t>randomis</w:t>
      </w:r>
      <w:r>
        <w:rPr>
          <w:lang w:val="en-US"/>
        </w:rPr>
        <w:t>ed</w:t>
      </w:r>
      <w:proofErr w:type="spellEnd"/>
      <w:r>
        <w:rPr>
          <w:lang w:val="en-US"/>
        </w:rPr>
        <w:t xml:space="preserve"> three times at three different sites (the first two times to GM-CSF, each time being withdrawn before being treated; the third time to the </w:t>
      </w:r>
      <w:proofErr w:type="spellStart"/>
      <w:r>
        <w:rPr>
          <w:lang w:val="en-US"/>
        </w:rPr>
        <w:t>talimogene</w:t>
      </w:r>
      <w:proofErr w:type="spellEnd"/>
      <w:r>
        <w:rPr>
          <w:lang w:val="en-US"/>
        </w:rPr>
        <w:t xml:space="preserve"> </w:t>
      </w:r>
      <w:proofErr w:type="spellStart"/>
      <w:r>
        <w:rPr>
          <w:lang w:val="en-US"/>
        </w:rPr>
        <w:t>laherparepvec</w:t>
      </w:r>
      <w:proofErr w:type="spellEnd"/>
      <w:r>
        <w:rPr>
          <w:lang w:val="en-US"/>
        </w:rPr>
        <w:t xml:space="preserve"> arm, receiving treatment); this subject was excluded from the ITT and per-protocol populations, but was included in the safety population based on the treatment received. Therefore, the ITT population consisted of 436 subjects who had been randomized into the study one time (141 subjects to GM-CSF, 295 subjects to </w:t>
      </w:r>
      <w:proofErr w:type="spellStart"/>
      <w:r>
        <w:rPr>
          <w:lang w:val="en-US"/>
        </w:rPr>
        <w:t>talimogene</w:t>
      </w:r>
      <w:proofErr w:type="spellEnd"/>
      <w:r>
        <w:rPr>
          <w:lang w:val="en-US"/>
        </w:rPr>
        <w:t xml:space="preserve"> </w:t>
      </w:r>
      <w:proofErr w:type="spellStart"/>
      <w:r>
        <w:rPr>
          <w:lang w:val="en-US"/>
        </w:rPr>
        <w:t>laherparepvec</w:t>
      </w:r>
      <w:proofErr w:type="spellEnd"/>
      <w:r>
        <w:rPr>
          <w:lang w:val="en-US"/>
        </w:rPr>
        <w:t>).</w:t>
      </w:r>
    </w:p>
    <w:p w14:paraId="31A50DDB" w14:textId="77777777" w:rsidR="00970674" w:rsidRDefault="00970674" w:rsidP="00121FD0">
      <w:pPr>
        <w:pStyle w:val="Heading6"/>
      </w:pPr>
      <w:r>
        <w:t>Statistical methods</w:t>
      </w:r>
    </w:p>
    <w:p w14:paraId="24115351" w14:textId="0E9FB9C0" w:rsidR="00970674" w:rsidRDefault="00970674" w:rsidP="00970674">
      <w:r>
        <w:rPr>
          <w:lang w:val="en-US"/>
        </w:rPr>
        <w:t xml:space="preserve">An independent EAC confirmed response status. A 2-sided unadjusted Fisher exact test was used to determine whether </w:t>
      </w:r>
      <w:proofErr w:type="spellStart"/>
      <w:r>
        <w:rPr>
          <w:lang w:val="en-US"/>
        </w:rPr>
        <w:t>talimogene</w:t>
      </w:r>
      <w:proofErr w:type="spellEnd"/>
      <w:r>
        <w:rPr>
          <w:lang w:val="en-US"/>
        </w:rPr>
        <w:t xml:space="preserve"> </w:t>
      </w:r>
      <w:proofErr w:type="spellStart"/>
      <w:r>
        <w:rPr>
          <w:lang w:val="en-US"/>
        </w:rPr>
        <w:t>laherparepvec</w:t>
      </w:r>
      <w:proofErr w:type="spellEnd"/>
      <w:r>
        <w:rPr>
          <w:lang w:val="en-US"/>
        </w:rPr>
        <w:t xml:space="preserve"> improved DRR relative to GM-CSF. Overall survival as a secondary endpoint was to be tested only if DRR was found to be statistically significant. Overall survival, response onset, time to treatment failure, duration of response, and response interval were estimated according to the Kaplan-Meier method and compared using a log-rank test. Best response and disease burden were </w:t>
      </w:r>
      <w:proofErr w:type="spellStart"/>
      <w:r w:rsidR="008572F8">
        <w:rPr>
          <w:lang w:val="en-US"/>
        </w:rPr>
        <w:t>summarised</w:t>
      </w:r>
      <w:proofErr w:type="spellEnd"/>
      <w:r>
        <w:rPr>
          <w:lang w:val="en-US"/>
        </w:rPr>
        <w:t xml:space="preserve"> by treatment arm, and best </w:t>
      </w:r>
      <w:proofErr w:type="spellStart"/>
      <w:r w:rsidR="00BA348C">
        <w:rPr>
          <w:lang w:val="en-US"/>
        </w:rPr>
        <w:t>tumour</w:t>
      </w:r>
      <w:proofErr w:type="spellEnd"/>
      <w:r>
        <w:rPr>
          <w:lang w:val="en-US"/>
        </w:rPr>
        <w:t xml:space="preserve"> reduction was compared using a Wilcoxon Rank Sum test. Descriptive statistics were provided for all safety endpoints. </w:t>
      </w:r>
    </w:p>
    <w:p w14:paraId="47B60C36" w14:textId="77777777" w:rsidR="00970674" w:rsidRDefault="00970674" w:rsidP="00121FD0">
      <w:pPr>
        <w:pStyle w:val="Heading6"/>
      </w:pPr>
      <w:r>
        <w:lastRenderedPageBreak/>
        <w:t>Participant flow</w:t>
      </w:r>
    </w:p>
    <w:p w14:paraId="2DFF5FE4" w14:textId="77777777" w:rsidR="00970674" w:rsidRDefault="00970674" w:rsidP="007A64A2">
      <w:pPr>
        <w:pStyle w:val="FigureTitle"/>
        <w:keepNext/>
        <w:rPr>
          <w:lang w:val="en-US"/>
        </w:rPr>
      </w:pPr>
      <w:bookmarkStart w:id="112" w:name="_Toc291240600"/>
      <w:r>
        <w:t>Figure</w:t>
      </w:r>
      <w:r w:rsidR="00121FD0">
        <w:t xml:space="preserve"> 6:</w:t>
      </w:r>
      <w:r>
        <w:rPr>
          <w:noProof/>
        </w:rPr>
        <w:t xml:space="preserve"> </w:t>
      </w:r>
      <w:r>
        <w:t>Subject Disposition</w:t>
      </w:r>
      <w:bookmarkEnd w:id="112"/>
    </w:p>
    <w:p w14:paraId="390E735D" w14:textId="77777777" w:rsidR="00970674" w:rsidRDefault="00970674" w:rsidP="007A64A2">
      <w:pPr>
        <w:keepNext/>
      </w:pPr>
      <w:r>
        <w:rPr>
          <w:noProof/>
          <w:lang w:eastAsia="en-AU"/>
        </w:rPr>
        <w:drawing>
          <wp:inline distT="0" distB="0" distL="0" distR="0" wp14:anchorId="3183FCDA" wp14:editId="5888ADB0">
            <wp:extent cx="4519145" cy="2966127"/>
            <wp:effectExtent l="0" t="0" r="0" b="5715"/>
            <wp:docPr id="12" name="Picture 12" descr="&#10;Subjects randomised n=437&#10;ITT population n=436 (1 subject excluded (1 randomised 3x at different sites)&#10;GM-CSF n=141&#10;§ Subjects who received investigational product n=127; Subjects who never received investigational product n=14&#10;§ Subjects who are continuing study n=42 subjects who discontinued study n=99&#10;Talimogene laherparepvec n=295&#10;– Subjects who received investigational product n=291; subjects who never received investigational product n=4&#10;– Subjects who are continuing study n=127 subjects who discontinued study n=168&#10;" title="Figure 6: Subject Dispo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27">
                      <a:extLst>
                        <a:ext uri="{28A0092B-C50C-407E-A947-70E740481C1C}">
                          <a14:useLocalDpi xmlns:a14="http://schemas.microsoft.com/office/drawing/2010/main" val="0"/>
                        </a:ext>
                      </a:extLst>
                    </a:blip>
                    <a:srcRect t="6374" b="5352"/>
                    <a:stretch/>
                  </pic:blipFill>
                  <pic:spPr bwMode="auto">
                    <a:xfrm>
                      <a:off x="0" y="0"/>
                      <a:ext cx="4518832" cy="2965921"/>
                    </a:xfrm>
                    <a:prstGeom prst="rect">
                      <a:avLst/>
                    </a:prstGeom>
                    <a:noFill/>
                    <a:ln>
                      <a:noFill/>
                    </a:ln>
                    <a:extLst>
                      <a:ext uri="{53640926-AAD7-44D8-BBD7-CCE9431645EC}">
                        <a14:shadowObscured xmlns:a14="http://schemas.microsoft.com/office/drawing/2010/main"/>
                      </a:ext>
                    </a:extLst>
                  </pic:spPr>
                </pic:pic>
              </a:graphicData>
            </a:graphic>
          </wp:inline>
        </w:drawing>
      </w:r>
    </w:p>
    <w:p w14:paraId="7A6C7FD6" w14:textId="77777777" w:rsidR="00970674" w:rsidRDefault="00970674" w:rsidP="00121FD0">
      <w:pPr>
        <w:pStyle w:val="Heading6"/>
      </w:pPr>
      <w:r>
        <w:t>Major protocol violations/deviations</w:t>
      </w:r>
    </w:p>
    <w:p w14:paraId="2F7138C4" w14:textId="77777777" w:rsidR="00970674" w:rsidRDefault="00970674" w:rsidP="00970674">
      <w:pPr>
        <w:rPr>
          <w:lang w:val="en-US"/>
        </w:rPr>
      </w:pPr>
      <w:r>
        <w:rPr>
          <w:lang w:val="en-US"/>
        </w:rPr>
        <w:t xml:space="preserve">Overall, 41 (9.4%) subjects experienced important protocol deviations. The subject incidence of important protocol deviations was 3.5% (5/141) in the GM-CSF group and 12.2% (36/295) in the </w:t>
      </w:r>
      <w:proofErr w:type="spellStart"/>
      <w:r>
        <w:rPr>
          <w:lang w:val="en-US"/>
        </w:rPr>
        <w:t>talimogene</w:t>
      </w:r>
      <w:proofErr w:type="spellEnd"/>
      <w:r>
        <w:rPr>
          <w:lang w:val="en-US"/>
        </w:rPr>
        <w:t xml:space="preserve"> </w:t>
      </w:r>
      <w:proofErr w:type="spellStart"/>
      <w:r>
        <w:rPr>
          <w:lang w:val="en-US"/>
        </w:rPr>
        <w:t>laherparepvec</w:t>
      </w:r>
      <w:proofErr w:type="spellEnd"/>
      <w:r>
        <w:rPr>
          <w:lang w:val="en-US"/>
        </w:rPr>
        <w:t xml:space="preserve"> group. The most common important protocol deviation was due to subjects missing confirmatory scans (19 subjects, 4.4%), which was defined as not having a scan performed prior to the next scheduled radiologic assessment after a response (CR or PR) was determined by clinical assessment.</w:t>
      </w:r>
    </w:p>
    <w:p w14:paraId="259B9324" w14:textId="77777777" w:rsidR="00970674" w:rsidRDefault="00970674" w:rsidP="00121FD0">
      <w:pPr>
        <w:pStyle w:val="Tabletitle"/>
      </w:pPr>
      <w:bookmarkStart w:id="113" w:name="_Toc291240581"/>
      <w:r>
        <w:t xml:space="preserve">Table </w:t>
      </w:r>
      <w:r w:rsidR="00121FD0">
        <w:t>8:</w:t>
      </w:r>
      <w:r>
        <w:t xml:space="preserve"> Study 005/05: Summary of Important Protocol Deviations (ITT population)</w:t>
      </w:r>
      <w:bookmarkEnd w:id="113"/>
    </w:p>
    <w:p w14:paraId="5C68A10C" w14:textId="77777777" w:rsidR="00970674" w:rsidRDefault="00970674" w:rsidP="00970674">
      <w:pPr>
        <w:autoSpaceDE w:val="0"/>
        <w:autoSpaceDN w:val="0"/>
        <w:adjustRightInd w:val="0"/>
      </w:pPr>
      <w:r>
        <w:rPr>
          <w:noProof/>
          <w:lang w:eastAsia="en-AU"/>
        </w:rPr>
        <w:drawing>
          <wp:inline distT="0" distB="0" distL="0" distR="0" wp14:anchorId="0D98AAC5" wp14:editId="62265F56">
            <wp:extent cx="3230921" cy="3452775"/>
            <wp:effectExtent l="0" t="0" r="7620" b="0"/>
            <wp:docPr id="11" name="Picture 11" descr="Table 8: Study 005/05: Summary of Important Protocol Deviations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28">
                      <a:extLst>
                        <a:ext uri="{28A0092B-C50C-407E-A947-70E740481C1C}">
                          <a14:useLocalDpi xmlns:a14="http://schemas.microsoft.com/office/drawing/2010/main" val="0"/>
                        </a:ext>
                      </a:extLst>
                    </a:blip>
                    <a:srcRect t="6850" b="2891"/>
                    <a:stretch/>
                  </pic:blipFill>
                  <pic:spPr bwMode="auto">
                    <a:xfrm>
                      <a:off x="0" y="0"/>
                      <a:ext cx="3238089" cy="3460435"/>
                    </a:xfrm>
                    <a:prstGeom prst="rect">
                      <a:avLst/>
                    </a:prstGeom>
                    <a:noFill/>
                    <a:ln>
                      <a:noFill/>
                    </a:ln>
                    <a:extLst>
                      <a:ext uri="{53640926-AAD7-44D8-BBD7-CCE9431645EC}">
                        <a14:shadowObscured xmlns:a14="http://schemas.microsoft.com/office/drawing/2010/main"/>
                      </a:ext>
                    </a:extLst>
                  </pic:spPr>
                </pic:pic>
              </a:graphicData>
            </a:graphic>
          </wp:inline>
        </w:drawing>
      </w:r>
    </w:p>
    <w:p w14:paraId="34F72273" w14:textId="77777777" w:rsidR="00970674" w:rsidRDefault="00970674" w:rsidP="00121FD0">
      <w:pPr>
        <w:pStyle w:val="Heading6"/>
      </w:pPr>
      <w:r>
        <w:lastRenderedPageBreak/>
        <w:t>Baseline data</w:t>
      </w:r>
    </w:p>
    <w:p w14:paraId="07F16E7F" w14:textId="522A8166" w:rsidR="00970674" w:rsidRDefault="00970674" w:rsidP="00970674">
      <w:pPr>
        <w:autoSpaceDE w:val="0"/>
        <w:autoSpaceDN w:val="0"/>
        <w:adjustRightInd w:val="0"/>
        <w:rPr>
          <w:lang w:val="en-US"/>
        </w:rPr>
      </w:pPr>
      <w:r>
        <w:rPr>
          <w:lang w:val="en-US"/>
        </w:rPr>
        <w:t xml:space="preserve">Baseline demographics for the ITT population are </w:t>
      </w:r>
      <w:proofErr w:type="spellStart"/>
      <w:r w:rsidR="008572F8">
        <w:rPr>
          <w:lang w:val="en-US"/>
        </w:rPr>
        <w:t>summarised</w:t>
      </w:r>
      <w:proofErr w:type="spellEnd"/>
      <w:r>
        <w:rPr>
          <w:lang w:val="en-US"/>
        </w:rPr>
        <w:t xml:space="preserve"> in Table 9. Baseline demographics were generally balanced between the </w:t>
      </w:r>
      <w:proofErr w:type="spellStart"/>
      <w:r>
        <w:rPr>
          <w:lang w:val="en-US"/>
        </w:rPr>
        <w:t>talimogene</w:t>
      </w:r>
      <w:proofErr w:type="spellEnd"/>
      <w:r>
        <w:rPr>
          <w:lang w:val="en-US"/>
        </w:rPr>
        <w:t xml:space="preserve"> </w:t>
      </w:r>
      <w:proofErr w:type="spellStart"/>
      <w:r>
        <w:rPr>
          <w:lang w:val="en-US"/>
        </w:rPr>
        <w:t>laherparepvec</w:t>
      </w:r>
      <w:proofErr w:type="spellEnd"/>
      <w:r>
        <w:rPr>
          <w:lang w:val="en-US"/>
        </w:rPr>
        <w:t xml:space="preserve"> and GM-CSF groups. Overall, 57.3% were men and 97.9% were white. The mean (range) age was 63 (22 to 94) years.</w:t>
      </w:r>
    </w:p>
    <w:p w14:paraId="388EA192" w14:textId="77777777" w:rsidR="00970674" w:rsidRDefault="00970674" w:rsidP="00121FD0">
      <w:pPr>
        <w:pStyle w:val="Tabletitle"/>
      </w:pPr>
      <w:bookmarkStart w:id="114" w:name="_Toc291240582"/>
      <w:r>
        <w:t xml:space="preserve">Table </w:t>
      </w:r>
      <w:r w:rsidR="00121FD0">
        <w:t>9:</w:t>
      </w:r>
      <w:r>
        <w:t xml:space="preserve"> Study 005/05: Key baseline demographics (ITT population)</w:t>
      </w:r>
      <w:bookmarkEnd w:id="114"/>
    </w:p>
    <w:p w14:paraId="52D926A5" w14:textId="77777777" w:rsidR="00970674" w:rsidRDefault="00970674" w:rsidP="00970674">
      <w:pPr>
        <w:autoSpaceDE w:val="0"/>
        <w:autoSpaceDN w:val="0"/>
        <w:adjustRightInd w:val="0"/>
      </w:pPr>
      <w:r>
        <w:rPr>
          <w:noProof/>
          <w:lang w:eastAsia="en-AU"/>
        </w:rPr>
        <w:drawing>
          <wp:inline distT="0" distB="0" distL="0" distR="0" wp14:anchorId="77687916" wp14:editId="436B93E5">
            <wp:extent cx="3215076" cy="4228185"/>
            <wp:effectExtent l="0" t="0" r="4445" b="1270"/>
            <wp:docPr id="10" name="Picture 10" descr="Table 9: Study 005/05: Key baseline demographics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9">
                      <a:extLst>
                        <a:ext uri="{28A0092B-C50C-407E-A947-70E740481C1C}">
                          <a14:useLocalDpi xmlns:a14="http://schemas.microsoft.com/office/drawing/2010/main" val="0"/>
                        </a:ext>
                      </a:extLst>
                    </a:blip>
                    <a:srcRect t="4761"/>
                    <a:stretch>
                      <a:fillRect/>
                    </a:stretch>
                  </pic:blipFill>
                  <pic:spPr bwMode="auto">
                    <a:xfrm>
                      <a:off x="0" y="0"/>
                      <a:ext cx="3216556" cy="4230131"/>
                    </a:xfrm>
                    <a:prstGeom prst="rect">
                      <a:avLst/>
                    </a:prstGeom>
                    <a:noFill/>
                    <a:ln>
                      <a:noFill/>
                    </a:ln>
                  </pic:spPr>
                </pic:pic>
              </a:graphicData>
            </a:graphic>
          </wp:inline>
        </w:drawing>
      </w:r>
    </w:p>
    <w:p w14:paraId="6FAC6227" w14:textId="77777777" w:rsidR="00970674" w:rsidRDefault="00970674" w:rsidP="007A64A2">
      <w:pPr>
        <w:pStyle w:val="Heading6"/>
        <w:keepNext w:val="0"/>
      </w:pPr>
      <w:r>
        <w:t>Results for the primary efficacy outcome</w:t>
      </w:r>
    </w:p>
    <w:p w14:paraId="433E66AE" w14:textId="77777777" w:rsidR="00970674" w:rsidRDefault="00970674" w:rsidP="00970674">
      <w:r>
        <w:t xml:space="preserve">See </w:t>
      </w:r>
      <w:r w:rsidR="00121FD0">
        <w:t>above.</w:t>
      </w:r>
    </w:p>
    <w:p w14:paraId="4BF60C6F" w14:textId="77777777" w:rsidR="00970674" w:rsidRDefault="00970674" w:rsidP="001429A2">
      <w:pPr>
        <w:pStyle w:val="Heading5"/>
        <w:keepLines w:val="0"/>
        <w:numPr>
          <w:ilvl w:val="4"/>
          <w:numId w:val="5"/>
        </w:numPr>
        <w:spacing w:before="0" w:line="240" w:lineRule="auto"/>
        <w:ind w:hanging="1701"/>
      </w:pPr>
      <w:r>
        <w:t>Results for other efficacy outcomes</w:t>
      </w:r>
    </w:p>
    <w:p w14:paraId="3947D564" w14:textId="77777777" w:rsidR="00970674" w:rsidRDefault="00970674" w:rsidP="00970674">
      <w:r>
        <w:t xml:space="preserve">See </w:t>
      </w:r>
      <w:r w:rsidR="00121FD0">
        <w:t>above.</w:t>
      </w:r>
    </w:p>
    <w:p w14:paraId="13D239B8" w14:textId="77777777" w:rsidR="00970674" w:rsidRDefault="00970674" w:rsidP="00121FD0">
      <w:pPr>
        <w:pStyle w:val="Heading4"/>
      </w:pPr>
      <w:bookmarkStart w:id="115" w:name="_Toc429143907"/>
      <w:bookmarkStart w:id="116" w:name="_Toc290846277"/>
      <w:bookmarkStart w:id="117" w:name="_Toc272414655"/>
      <w:bookmarkStart w:id="118" w:name="_Ref271037210"/>
      <w:bookmarkStart w:id="119" w:name="_Ref271037188"/>
      <w:bookmarkStart w:id="120" w:name="_Ref243294291"/>
      <w:bookmarkStart w:id="121" w:name="_Toc241374311"/>
      <w:r>
        <w:t>Other efficacy studies</w:t>
      </w:r>
      <w:bookmarkEnd w:id="115"/>
      <w:bookmarkEnd w:id="116"/>
      <w:bookmarkEnd w:id="117"/>
      <w:bookmarkEnd w:id="118"/>
      <w:bookmarkEnd w:id="119"/>
    </w:p>
    <w:p w14:paraId="02FCF9E6" w14:textId="77777777" w:rsidR="00970674" w:rsidRDefault="00121FD0" w:rsidP="00121FD0">
      <w:bookmarkStart w:id="122" w:name="_Toc290846278"/>
      <w:bookmarkStart w:id="123" w:name="_Toc429143908"/>
      <w:bookmarkEnd w:id="120"/>
      <w:bookmarkEnd w:id="121"/>
      <w:r>
        <w:t xml:space="preserve">Summaries of </w:t>
      </w:r>
      <w:r w:rsidR="00970674">
        <w:t>Stud</w:t>
      </w:r>
      <w:r>
        <w:t>ies</w:t>
      </w:r>
      <w:r w:rsidR="00970674">
        <w:t xml:space="preserve"> </w:t>
      </w:r>
      <w:bookmarkEnd w:id="122"/>
      <w:r w:rsidR="00970674">
        <w:t>002/03</w:t>
      </w:r>
      <w:bookmarkEnd w:id="123"/>
      <w:r>
        <w:t xml:space="preserve">, </w:t>
      </w:r>
      <w:bookmarkStart w:id="124" w:name="_Toc429143909"/>
      <w:r w:rsidR="00970674">
        <w:t>004/04</w:t>
      </w:r>
      <w:bookmarkEnd w:id="124"/>
      <w:r>
        <w:t xml:space="preserve"> and</w:t>
      </w:r>
      <w:bookmarkStart w:id="125" w:name="_Toc290846280"/>
      <w:bookmarkStart w:id="126" w:name="_Toc429143910"/>
      <w:r>
        <w:t xml:space="preserve"> </w:t>
      </w:r>
      <w:bookmarkEnd w:id="125"/>
      <w:r w:rsidR="00970674">
        <w:t>005/04</w:t>
      </w:r>
      <w:bookmarkEnd w:id="126"/>
      <w:r>
        <w:t xml:space="preserve"> were provided.</w:t>
      </w:r>
    </w:p>
    <w:p w14:paraId="3E0BACEB" w14:textId="77777777" w:rsidR="00970674" w:rsidRDefault="00970674" w:rsidP="00121FD0">
      <w:pPr>
        <w:pStyle w:val="Heading3"/>
      </w:pPr>
      <w:bookmarkStart w:id="127" w:name="_Toc429143911"/>
      <w:bookmarkStart w:id="128" w:name="_Toc290846281"/>
      <w:bookmarkStart w:id="129" w:name="_Toc272414656"/>
      <w:bookmarkStart w:id="130" w:name="_Toc241374312"/>
      <w:bookmarkStart w:id="131" w:name="_Toc452631092"/>
      <w:r>
        <w:t>Analyses performed across trials (pooled analyses and meta-analyses)</w:t>
      </w:r>
      <w:bookmarkEnd w:id="127"/>
      <w:bookmarkEnd w:id="128"/>
      <w:bookmarkEnd w:id="129"/>
      <w:bookmarkEnd w:id="130"/>
      <w:bookmarkEnd w:id="131"/>
    </w:p>
    <w:p w14:paraId="60F58E56" w14:textId="77777777" w:rsidR="00970674" w:rsidRDefault="00970674" w:rsidP="00970674">
      <w:pPr>
        <w:rPr>
          <w:lang w:val="en-US"/>
        </w:rPr>
      </w:pPr>
      <w:r>
        <w:rPr>
          <w:lang w:val="en-US"/>
        </w:rPr>
        <w:t xml:space="preserve">The efficacy analysis sets used for the comparison across studies were those defined within the individual protocols. The efficacy analysis for Study 005/05 included all subjects in the ITT analysis set (295 </w:t>
      </w:r>
      <w:proofErr w:type="spellStart"/>
      <w:r>
        <w:rPr>
          <w:lang w:val="en-US"/>
        </w:rPr>
        <w:t>talimogene</w:t>
      </w:r>
      <w:proofErr w:type="spellEnd"/>
      <w:r>
        <w:rPr>
          <w:lang w:val="en-US"/>
        </w:rPr>
        <w:t xml:space="preserve"> </w:t>
      </w:r>
      <w:proofErr w:type="spellStart"/>
      <w:r>
        <w:rPr>
          <w:lang w:val="en-US"/>
        </w:rPr>
        <w:t>laherparepvec</w:t>
      </w:r>
      <w:proofErr w:type="spellEnd"/>
      <w:r>
        <w:rPr>
          <w:lang w:val="en-US"/>
        </w:rPr>
        <w:t xml:space="preserve">, 141 GM-CSF). The efficacy analysis for Study 002/03 included all subjects who received at least 1 dose of </w:t>
      </w:r>
      <w:proofErr w:type="spellStart"/>
      <w:r>
        <w:rPr>
          <w:lang w:val="en-US"/>
        </w:rPr>
        <w:t>talimogene</w:t>
      </w:r>
      <w:proofErr w:type="spellEnd"/>
      <w:r>
        <w:rPr>
          <w:lang w:val="en-US"/>
        </w:rPr>
        <w:t xml:space="preserve"> </w:t>
      </w:r>
      <w:proofErr w:type="spellStart"/>
      <w:r>
        <w:rPr>
          <w:lang w:val="en-US"/>
        </w:rPr>
        <w:t>laherparepvec</w:t>
      </w:r>
      <w:proofErr w:type="spellEnd"/>
      <w:r>
        <w:rPr>
          <w:lang w:val="en-US"/>
        </w:rPr>
        <w:t xml:space="preserve"> (n = 50).</w:t>
      </w:r>
    </w:p>
    <w:p w14:paraId="4762575A" w14:textId="77777777" w:rsidR="00970674" w:rsidRDefault="00970674" w:rsidP="00121FD0">
      <w:pPr>
        <w:pStyle w:val="Tabletitle"/>
      </w:pPr>
      <w:bookmarkStart w:id="132" w:name="_Toc291240583"/>
      <w:r>
        <w:lastRenderedPageBreak/>
        <w:t>Table</w:t>
      </w:r>
      <w:r w:rsidR="00121FD0">
        <w:t xml:space="preserve"> 10:</w:t>
      </w:r>
      <w:r>
        <w:t xml:space="preserve"> Study 005/05: Baseline Demographics (integrated efficacy analysis set)</w:t>
      </w:r>
      <w:bookmarkEnd w:id="132"/>
    </w:p>
    <w:p w14:paraId="22BDF6EE" w14:textId="77777777" w:rsidR="00121FD0" w:rsidRPr="00121FD0" w:rsidRDefault="00121FD0" w:rsidP="00121FD0">
      <w:r>
        <w:rPr>
          <w:noProof/>
          <w:lang w:eastAsia="en-AU"/>
        </w:rPr>
        <w:drawing>
          <wp:inline distT="0" distB="0" distL="0" distR="0" wp14:anchorId="02F7A042" wp14:editId="5CA90BC1">
            <wp:extent cx="5017915" cy="4988967"/>
            <wp:effectExtent l="0" t="0" r="0" b="2540"/>
            <wp:docPr id="35" name="Picture 35" descr="Table 10: Study 005/05: Baseline Demographics (integrated efficacy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020447" cy="4991484"/>
                    </a:xfrm>
                    <a:prstGeom prst="rect">
                      <a:avLst/>
                    </a:prstGeom>
                  </pic:spPr>
                </pic:pic>
              </a:graphicData>
            </a:graphic>
          </wp:inline>
        </w:drawing>
      </w:r>
    </w:p>
    <w:p w14:paraId="6CB6DD21" w14:textId="77777777" w:rsidR="00970674" w:rsidRDefault="00BA29E3" w:rsidP="00970674">
      <w:pPr>
        <w:rPr>
          <w:lang w:val="en-US"/>
        </w:rPr>
      </w:pPr>
      <w:proofErr w:type="spellStart"/>
      <w:r>
        <w:rPr>
          <w:lang w:val="en-US"/>
        </w:rPr>
        <w:t>Tumour</w:t>
      </w:r>
      <w:proofErr w:type="spellEnd"/>
      <w:r w:rsidR="00970674">
        <w:rPr>
          <w:lang w:val="en-US"/>
        </w:rPr>
        <w:t xml:space="preserve"> response results based on central review are presented for Study 005/05 and 005/05-E only (as central review was not performed in Study 002/03). For the comparison of efficacy between </w:t>
      </w:r>
      <w:r w:rsidR="00BA348C">
        <w:rPr>
          <w:lang w:val="en-US"/>
        </w:rPr>
        <w:t>Phase III</w:t>
      </w:r>
      <w:r w:rsidR="00970674">
        <w:rPr>
          <w:lang w:val="en-US"/>
        </w:rPr>
        <w:t xml:space="preserve"> Study 005/05 and </w:t>
      </w:r>
      <w:r w:rsidR="00BA348C">
        <w:rPr>
          <w:lang w:val="en-US"/>
        </w:rPr>
        <w:t>Phase II</w:t>
      </w:r>
      <w:r w:rsidR="00970674">
        <w:rPr>
          <w:lang w:val="en-US"/>
        </w:rPr>
        <w:t xml:space="preserve"> Study 002/03, the </w:t>
      </w:r>
      <w:proofErr w:type="spellStart"/>
      <w:r w:rsidR="00BA348C">
        <w:rPr>
          <w:lang w:val="en-US"/>
        </w:rPr>
        <w:t>tumour</w:t>
      </w:r>
      <w:proofErr w:type="spellEnd"/>
      <w:r w:rsidR="00970674">
        <w:rPr>
          <w:lang w:val="en-US"/>
        </w:rPr>
        <w:t xml:space="preserve"> response results were based on investigator assessment. Where possible, data from the 005/05-E and 002/03-E extension protocols were combined with data from the corresponding parent studies at the subject level for the side-by-side analyses.</w:t>
      </w:r>
    </w:p>
    <w:p w14:paraId="3E4E1E92" w14:textId="77777777" w:rsidR="00970674" w:rsidRDefault="00121FD0" w:rsidP="00121FD0">
      <w:pPr>
        <w:pStyle w:val="Tabletitle"/>
      </w:pPr>
      <w:bookmarkStart w:id="133" w:name="_Toc291240584"/>
      <w:r>
        <w:lastRenderedPageBreak/>
        <w:t>Table 11:</w:t>
      </w:r>
      <w:r w:rsidR="00BA348C">
        <w:t xml:space="preserve"> </w:t>
      </w:r>
      <w:r w:rsidR="00970674">
        <w:t>Analysis of durable response per investigator (integrated efficacy analysis set)</w:t>
      </w:r>
      <w:bookmarkEnd w:id="133"/>
    </w:p>
    <w:p w14:paraId="55F789F3" w14:textId="77777777" w:rsidR="00970674" w:rsidRDefault="00970674" w:rsidP="00970674">
      <w:pPr>
        <w:rPr>
          <w:lang w:val="en-US"/>
        </w:rPr>
      </w:pPr>
      <w:r>
        <w:rPr>
          <w:noProof/>
          <w:lang w:eastAsia="en-AU"/>
        </w:rPr>
        <w:drawing>
          <wp:inline distT="0" distB="0" distL="0" distR="0" wp14:anchorId="545A9705" wp14:editId="2ED904AD">
            <wp:extent cx="4089197" cy="3969611"/>
            <wp:effectExtent l="0" t="0" r="6985" b="0"/>
            <wp:docPr id="7" name="Picture 7" descr="Table 11: Analysis of durable response per investigator (integrated efficacy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rotWithShape="1">
                    <a:blip r:embed="rId31">
                      <a:extLst>
                        <a:ext uri="{28A0092B-C50C-407E-A947-70E740481C1C}">
                          <a14:useLocalDpi xmlns:a14="http://schemas.microsoft.com/office/drawing/2010/main" val="0"/>
                        </a:ext>
                      </a:extLst>
                    </a:blip>
                    <a:srcRect t="6577" b="9941"/>
                    <a:stretch/>
                  </pic:blipFill>
                  <pic:spPr bwMode="auto">
                    <a:xfrm>
                      <a:off x="0" y="0"/>
                      <a:ext cx="4097720" cy="3977885"/>
                    </a:xfrm>
                    <a:prstGeom prst="rect">
                      <a:avLst/>
                    </a:prstGeom>
                    <a:noFill/>
                    <a:ln>
                      <a:noFill/>
                    </a:ln>
                    <a:extLst>
                      <a:ext uri="{53640926-AAD7-44D8-BBD7-CCE9431645EC}">
                        <a14:shadowObscured xmlns:a14="http://schemas.microsoft.com/office/drawing/2010/main"/>
                      </a:ext>
                    </a:extLst>
                  </pic:spPr>
                </pic:pic>
              </a:graphicData>
            </a:graphic>
          </wp:inline>
        </w:drawing>
      </w:r>
    </w:p>
    <w:p w14:paraId="147410FD" w14:textId="77777777" w:rsidR="00970674" w:rsidRDefault="00970674" w:rsidP="00853C0C">
      <w:pPr>
        <w:keepNext/>
        <w:rPr>
          <w:b/>
        </w:rPr>
      </w:pPr>
      <w:bookmarkStart w:id="134" w:name="_Toc291240585"/>
      <w:r>
        <w:rPr>
          <w:b/>
        </w:rPr>
        <w:lastRenderedPageBreak/>
        <w:t>Table</w:t>
      </w:r>
      <w:r w:rsidR="00121FD0">
        <w:rPr>
          <w:b/>
        </w:rPr>
        <w:t xml:space="preserve"> 12:</w:t>
      </w:r>
      <w:r w:rsidR="00BA348C">
        <w:rPr>
          <w:b/>
        </w:rPr>
        <w:t xml:space="preserve"> </w:t>
      </w:r>
      <w:r>
        <w:rPr>
          <w:b/>
        </w:rPr>
        <w:t>Overall survival (integrated efficacy analysis set)</w:t>
      </w:r>
      <w:bookmarkEnd w:id="134"/>
    </w:p>
    <w:p w14:paraId="43BC67FE" w14:textId="77777777" w:rsidR="00970674" w:rsidRDefault="00970674" w:rsidP="00970674">
      <w:pPr>
        <w:rPr>
          <w:lang w:val="en-US"/>
        </w:rPr>
      </w:pPr>
      <w:r>
        <w:rPr>
          <w:noProof/>
          <w:lang w:eastAsia="en-AU"/>
        </w:rPr>
        <w:drawing>
          <wp:inline distT="0" distB="0" distL="0" distR="0" wp14:anchorId="38656E58" wp14:editId="4C52B48A">
            <wp:extent cx="4161275" cy="5840083"/>
            <wp:effectExtent l="0" t="0" r="0" b="8890"/>
            <wp:docPr id="6" name="Picture 6" descr="Table 12: Overall survival (integrated efficacy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32">
                      <a:extLst>
                        <a:ext uri="{28A0092B-C50C-407E-A947-70E740481C1C}">
                          <a14:useLocalDpi xmlns:a14="http://schemas.microsoft.com/office/drawing/2010/main" val="0"/>
                        </a:ext>
                      </a:extLst>
                    </a:blip>
                    <a:srcRect t="4941" b="2444"/>
                    <a:stretch/>
                  </pic:blipFill>
                  <pic:spPr bwMode="auto">
                    <a:xfrm>
                      <a:off x="0" y="0"/>
                      <a:ext cx="4173395" cy="5857092"/>
                    </a:xfrm>
                    <a:prstGeom prst="rect">
                      <a:avLst/>
                    </a:prstGeom>
                    <a:noFill/>
                    <a:ln>
                      <a:noFill/>
                    </a:ln>
                    <a:extLst>
                      <a:ext uri="{53640926-AAD7-44D8-BBD7-CCE9431645EC}">
                        <a14:shadowObscured xmlns:a14="http://schemas.microsoft.com/office/drawing/2010/main"/>
                      </a:ext>
                    </a:extLst>
                  </pic:spPr>
                </pic:pic>
              </a:graphicData>
            </a:graphic>
          </wp:inline>
        </w:drawing>
      </w:r>
    </w:p>
    <w:p w14:paraId="2DEE49F3" w14:textId="77777777" w:rsidR="00970674" w:rsidRDefault="00970674" w:rsidP="00121FD0">
      <w:pPr>
        <w:pStyle w:val="Heading3"/>
      </w:pPr>
      <w:bookmarkStart w:id="135" w:name="_Toc290846282"/>
      <w:bookmarkStart w:id="136" w:name="_Toc272414657"/>
      <w:bookmarkStart w:id="137" w:name="_Ref271126605"/>
      <w:bookmarkStart w:id="138" w:name="_Toc429143912"/>
      <w:bookmarkStart w:id="139" w:name="_Toc452631093"/>
      <w:r>
        <w:t xml:space="preserve">Evaluator’s </w:t>
      </w:r>
      <w:r w:rsidRPr="00121FD0">
        <w:t>conclusions</w:t>
      </w:r>
      <w:r>
        <w:t xml:space="preserve"> on clinical efficacy for </w:t>
      </w:r>
      <w:bookmarkEnd w:id="135"/>
      <w:bookmarkEnd w:id="136"/>
      <w:bookmarkEnd w:id="137"/>
      <w:r w:rsidR="00A83FFD">
        <w:t>m</w:t>
      </w:r>
      <w:r>
        <w:t>elanoma</w:t>
      </w:r>
      <w:bookmarkEnd w:id="138"/>
      <w:bookmarkEnd w:id="139"/>
    </w:p>
    <w:p w14:paraId="2997BE7A" w14:textId="77766253" w:rsidR="00970674" w:rsidRDefault="00970674" w:rsidP="00121FD0">
      <w:r>
        <w:t xml:space="preserve">In assessing the clinical efficacy of </w:t>
      </w:r>
      <w:proofErr w:type="spellStart"/>
      <w:r w:rsidR="002C0543">
        <w:t>Imlygic</w:t>
      </w:r>
      <w:proofErr w:type="spellEnd"/>
      <w:r>
        <w:t xml:space="preserve"> against melanoma there are several points in the design that potentially limit the significance of the findings. These are listed below:</w:t>
      </w:r>
    </w:p>
    <w:p w14:paraId="3D7327EF" w14:textId="77777777" w:rsidR="00970674" w:rsidRDefault="00970674" w:rsidP="00121FD0">
      <w:pPr>
        <w:pStyle w:val="Heading4"/>
      </w:pPr>
      <w:r>
        <w:t>Choice of comparator</w:t>
      </w:r>
      <w:r w:rsidR="00121FD0">
        <w:t>:</w:t>
      </w:r>
      <w:r w:rsidR="00BA348C">
        <w:t xml:space="preserve"> </w:t>
      </w:r>
      <w:r>
        <w:t>Was the comparator known to have activity against melanoma?</w:t>
      </w:r>
    </w:p>
    <w:p w14:paraId="05CFDEF5" w14:textId="2ED5A93E" w:rsidR="00970674" w:rsidRPr="00342116" w:rsidRDefault="00970674" w:rsidP="00121FD0">
      <w:r>
        <w:t>The selection of GM</w:t>
      </w:r>
      <w:r w:rsidR="007C3083">
        <w:t>-</w:t>
      </w:r>
      <w:r>
        <w:t xml:space="preserve">CSF given at a dose </w:t>
      </w:r>
      <w:proofErr w:type="gramStart"/>
      <w:r>
        <w:t>of 125</w:t>
      </w:r>
      <w:r w:rsidR="008572F8">
        <w:t xml:space="preserve"> µ</w:t>
      </w:r>
      <w:r>
        <w:t>g/m</w:t>
      </w:r>
      <w:r w:rsidRPr="007C3083">
        <w:rPr>
          <w:vertAlign w:val="superscript"/>
        </w:rPr>
        <w:t>2</w:t>
      </w:r>
      <w:proofErr w:type="gramEnd"/>
      <w:r>
        <w:t xml:space="preserve"> each day for 14 of 28 days has received considerable criticism as there is no evidence that</w:t>
      </w:r>
      <w:r w:rsidR="00BA348C">
        <w:t xml:space="preserve"> </w:t>
      </w:r>
      <w:r>
        <w:t>such a regime would have any beneficial treatment effects. There are no background studies suggesting that such a regime would be efficacious in un</w:t>
      </w:r>
      <w:r w:rsidR="007C3083">
        <w:t>-</w:t>
      </w:r>
      <w:proofErr w:type="spellStart"/>
      <w:r>
        <w:t>resectable</w:t>
      </w:r>
      <w:proofErr w:type="spellEnd"/>
      <w:r>
        <w:t xml:space="preserve"> </w:t>
      </w:r>
      <w:r w:rsidR="007C3083">
        <w:t>S</w:t>
      </w:r>
      <w:r>
        <w:t>tage III/IV melanoma.</w:t>
      </w:r>
      <w:r w:rsidR="00BA348C">
        <w:t xml:space="preserve"> </w:t>
      </w:r>
      <w:r>
        <w:t>The protocol of administration was adopted from that used in adjuvant studies (</w:t>
      </w:r>
      <w:r w:rsidR="007C3083">
        <w:t xml:space="preserve">that is, </w:t>
      </w:r>
      <w:r>
        <w:t xml:space="preserve">after surgical resection of </w:t>
      </w:r>
      <w:r w:rsidRPr="00342116">
        <w:t xml:space="preserve">melanoma) by </w:t>
      </w:r>
      <w:proofErr w:type="spellStart"/>
      <w:r w:rsidRPr="00342116">
        <w:t>Spitler</w:t>
      </w:r>
      <w:proofErr w:type="spellEnd"/>
      <w:r w:rsidRPr="00342116">
        <w:t xml:space="preserve"> et al., (2000) which suggested it was of benefit in this clinical setting. A recent review has summarised studies with GM-CSF in an adjuvant setting and in treatment of patients with metastatic melanoma (Kaufman et al., 2014). The one large </w:t>
      </w:r>
      <w:r w:rsidRPr="001A4B22">
        <w:t xml:space="preserve">randomised study (743 patients) conducted by </w:t>
      </w:r>
      <w:r w:rsidRPr="001A4B22">
        <w:lastRenderedPageBreak/>
        <w:t>ECOG (E4697)</w:t>
      </w:r>
      <w:r w:rsidR="00BA348C" w:rsidRPr="001A4B22">
        <w:t xml:space="preserve"> </w:t>
      </w:r>
      <w:r w:rsidRPr="001A4B22">
        <w:t>using GM-CSF at 250ug/m</w:t>
      </w:r>
      <w:r w:rsidRPr="001A4B22">
        <w:rPr>
          <w:vertAlign w:val="superscript"/>
        </w:rPr>
        <w:t>2</w:t>
      </w:r>
      <w:r w:rsidRPr="001A4B22">
        <w:t xml:space="preserve"> for 14 days each 28 days reported by Lawson et al</w:t>
      </w:r>
      <w:r w:rsidR="00BA348C" w:rsidRPr="001A4B22">
        <w:t xml:space="preserve"> </w:t>
      </w:r>
      <w:r w:rsidR="001A4B22" w:rsidRPr="001A4B22">
        <w:t>2010</w:t>
      </w:r>
      <w:r w:rsidR="001A4B22">
        <w:t>,</w:t>
      </w:r>
      <w:r w:rsidRPr="001A4B22">
        <w:t xml:space="preserve"> did not show any benefit compared to placebo in patients following surgical removal of their melanoma. Exactly similar studies have not been carried out in patients with measurable disease but the large </w:t>
      </w:r>
      <w:r w:rsidR="007C3083" w:rsidRPr="001A4B22">
        <w:t>P</w:t>
      </w:r>
      <w:r w:rsidRPr="001A4B22">
        <w:t>hase II trial on 120 patients (ECOG 1696) did not</w:t>
      </w:r>
      <w:r w:rsidRPr="00342116">
        <w:t xml:space="preserve"> show any benefit in patients receiving a vaccine plus GM-CSF compared to vaccine alone. GM-CSF was given at 250ug/m</w:t>
      </w:r>
      <w:r w:rsidRPr="00342116">
        <w:rPr>
          <w:vertAlign w:val="superscript"/>
        </w:rPr>
        <w:t>2</w:t>
      </w:r>
      <w:r w:rsidRPr="00342116">
        <w:t xml:space="preserve"> for 14 of 28 days in that trial </w:t>
      </w:r>
      <w:r w:rsidRPr="00342116">
        <w:fldChar w:fldCharType="begin">
          <w:fldData xml:space="preserve">PEVuZE5vdGU+PENpdGU+PEF1dGhvcj5LaXJrd29vZDwvQXV0aG9yPjxZZWFyPjIwMDk8L1llYXI+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</w:fldData>
        </w:fldChar>
      </w:r>
      <w:r w:rsidRPr="00342116">
        <w:instrText xml:space="preserve"> ADDIN EN.CITE </w:instrText>
      </w:r>
      <w:r w:rsidRPr="00342116">
        <w:fldChar w:fldCharType="begin">
          <w:fldData xml:space="preserve">PEVuZE5vdGU+PENpdGU+PEF1dGhvcj5LaXJrd29vZDwvQXV0aG9yPjxZZWFyPjIwMDk8L1llYXI+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</w:fldData>
        </w:fldChar>
      </w:r>
      <w:r w:rsidRPr="00342116">
        <w:instrText xml:space="preserve"> ADDIN EN.CITE.DATA </w:instrText>
      </w:r>
      <w:r w:rsidRPr="00342116">
        <w:fldChar w:fldCharType="end"/>
      </w:r>
      <w:r w:rsidRPr="00342116">
        <w:fldChar w:fldCharType="separate"/>
      </w:r>
      <w:r w:rsidRPr="00342116">
        <w:t xml:space="preserve"> (Kirkwood et al., 2009)</w:t>
      </w:r>
      <w:r w:rsidRPr="00342116">
        <w:fldChar w:fldCharType="end"/>
      </w:r>
      <w:r w:rsidRPr="00342116">
        <w:t>.</w:t>
      </w:r>
    </w:p>
    <w:p w14:paraId="12A91C65" w14:textId="77777777" w:rsidR="00970674" w:rsidRDefault="00970674" w:rsidP="00121FD0">
      <w:r w:rsidRPr="00342116">
        <w:t xml:space="preserve">GM-CSF given </w:t>
      </w:r>
      <w:proofErr w:type="spellStart"/>
      <w:r w:rsidRPr="00342116">
        <w:t>intralesionally</w:t>
      </w:r>
      <w:proofErr w:type="spellEnd"/>
      <w:r w:rsidRPr="00342116">
        <w:t xml:space="preserve"> has</w:t>
      </w:r>
      <w:r w:rsidR="00BA348C" w:rsidRPr="00342116">
        <w:t xml:space="preserve"> </w:t>
      </w:r>
      <w:r w:rsidRPr="00342116">
        <w:t xml:space="preserve">been associated with clinical responses in several small studies. </w:t>
      </w:r>
      <w:r w:rsidR="007C3083" w:rsidRPr="00342116">
        <w:t>For example,</w:t>
      </w:r>
      <w:r w:rsidRPr="00342116">
        <w:t xml:space="preserve"> Si et al., (1996) reported that GM-CSF given </w:t>
      </w:r>
      <w:proofErr w:type="spellStart"/>
      <w:r w:rsidRPr="00342116">
        <w:t>intralesionally</w:t>
      </w:r>
      <w:proofErr w:type="spellEnd"/>
      <w:r w:rsidR="00BA348C" w:rsidRPr="00342116">
        <w:t xml:space="preserve"> </w:t>
      </w:r>
      <w:r w:rsidRPr="00342116">
        <w:t>at 15-50</w:t>
      </w:r>
      <w:r w:rsidR="007C3083" w:rsidRPr="00342116">
        <w:t xml:space="preserve"> µ</w:t>
      </w:r>
      <w:r w:rsidRPr="00342116">
        <w:t>g dose was</w:t>
      </w:r>
      <w:r w:rsidR="00BA348C" w:rsidRPr="00342116">
        <w:t xml:space="preserve"> </w:t>
      </w:r>
      <w:r w:rsidRPr="00342116">
        <w:t>associated with regression of injected and non</w:t>
      </w:r>
      <w:r w:rsidR="00121FD0" w:rsidRPr="00342116">
        <w:t>-</w:t>
      </w:r>
      <w:r w:rsidRPr="00342116">
        <w:t>injected lesions</w:t>
      </w:r>
      <w:r w:rsidR="00BA348C" w:rsidRPr="00342116">
        <w:t xml:space="preserve"> </w:t>
      </w:r>
      <w:r w:rsidRPr="00342116">
        <w:t xml:space="preserve">in 3 of 13 patients and 6 of 7 patients given 400ug </w:t>
      </w:r>
      <w:proofErr w:type="spellStart"/>
      <w:r w:rsidRPr="00342116">
        <w:t>perilesionally</w:t>
      </w:r>
      <w:proofErr w:type="spellEnd"/>
      <w:r w:rsidRPr="00342116">
        <w:t xml:space="preserve"> had reduced lesion size. The </w:t>
      </w:r>
      <w:proofErr w:type="spellStart"/>
      <w:r w:rsidRPr="00342116">
        <w:t>intralesional</w:t>
      </w:r>
      <w:proofErr w:type="spellEnd"/>
      <w:r w:rsidRPr="00342116">
        <w:t xml:space="preserve"> studies are interesting but not relevant to the choice of parental GM-CSF used in the 005/05 </w:t>
      </w:r>
      <w:proofErr w:type="spellStart"/>
      <w:r w:rsidRPr="00342116">
        <w:t>OPTiM</w:t>
      </w:r>
      <w:proofErr w:type="spellEnd"/>
      <w:r w:rsidRPr="00342116">
        <w:t xml:space="preserve"> study</w:t>
      </w:r>
      <w:r>
        <w:t xml:space="preserve"> which was given </w:t>
      </w:r>
      <w:r w:rsidR="007C3083">
        <w:t>SC</w:t>
      </w:r>
      <w:r>
        <w:t xml:space="preserve">. </w:t>
      </w:r>
    </w:p>
    <w:p w14:paraId="7CB31BCA" w14:textId="77777777" w:rsidR="00970674" w:rsidRPr="007C3083" w:rsidRDefault="00970674" w:rsidP="00121FD0">
      <w:pPr>
        <w:rPr>
          <w:i/>
        </w:rPr>
      </w:pPr>
      <w:r>
        <w:t>Overall</w:t>
      </w:r>
      <w:r w:rsidR="00BA348C">
        <w:t xml:space="preserve"> </w:t>
      </w:r>
      <w:r>
        <w:t>the evidence cited above suggests</w:t>
      </w:r>
      <w:r w:rsidR="00BA348C">
        <w:t xml:space="preserve"> </w:t>
      </w:r>
      <w:r>
        <w:t xml:space="preserve">that the comparator used in the </w:t>
      </w:r>
      <w:proofErr w:type="spellStart"/>
      <w:r>
        <w:t>OPTiM</w:t>
      </w:r>
      <w:proofErr w:type="spellEnd"/>
      <w:r>
        <w:t xml:space="preserve"> trial </w:t>
      </w:r>
      <w:r w:rsidRPr="007C3083">
        <w:rPr>
          <w:i/>
        </w:rPr>
        <w:t>was likely to be no better than a placebo.</w:t>
      </w:r>
    </w:p>
    <w:p w14:paraId="7E3E110F" w14:textId="77B5B68F" w:rsidR="00970674" w:rsidRDefault="00970674" w:rsidP="007C3083">
      <w:r>
        <w:t>[Note- Combinations of immunotherapy with GM-CSF appear more promising particularly with Ipilimumab</w:t>
      </w:r>
      <w:r w:rsidR="00BA348C">
        <w:t xml:space="preserve"> </w:t>
      </w:r>
      <w:r w:rsidR="007C3083">
        <w:t>as reported in the P</w:t>
      </w:r>
      <w:r>
        <w:t>hase II ECOG study.</w:t>
      </w:r>
      <w:r w:rsidR="00BA348C">
        <w:t xml:space="preserve"> </w:t>
      </w:r>
      <w:r>
        <w:t>Previously treated patients (N245) were</w:t>
      </w:r>
      <w:r w:rsidR="00BA348C">
        <w:t xml:space="preserve"> </w:t>
      </w:r>
      <w:r>
        <w:t xml:space="preserve">randomised to treatment with </w:t>
      </w:r>
      <w:proofErr w:type="spellStart"/>
      <w:r>
        <w:t>Ipi</w:t>
      </w:r>
      <w:proofErr w:type="spellEnd"/>
      <w:r>
        <w:t xml:space="preserve"> alone (10</w:t>
      </w:r>
      <w:r w:rsidR="007A64A2">
        <w:t xml:space="preserve"> </w:t>
      </w:r>
      <w:r>
        <w:t xml:space="preserve">mg/kg) or </w:t>
      </w:r>
      <w:proofErr w:type="spellStart"/>
      <w:r>
        <w:t>Ipi</w:t>
      </w:r>
      <w:proofErr w:type="spellEnd"/>
      <w:r>
        <w:t xml:space="preserve"> combined with</w:t>
      </w:r>
      <w:r w:rsidR="00BA348C">
        <w:t xml:space="preserve"> </w:t>
      </w:r>
      <w:r>
        <w:t>GM-CSF 250ug/m</w:t>
      </w:r>
      <w:r w:rsidRPr="007C3083">
        <w:rPr>
          <w:vertAlign w:val="superscript"/>
        </w:rPr>
        <w:t>2</w:t>
      </w:r>
      <w:r w:rsidR="00BA348C">
        <w:t xml:space="preserve"> </w:t>
      </w:r>
      <w:r>
        <w:t>for 14 of 28 days. OS was 12.7 m</w:t>
      </w:r>
      <w:r w:rsidR="007C3083">
        <w:t>on</w:t>
      </w:r>
      <w:r>
        <w:t xml:space="preserve">ths for </w:t>
      </w:r>
      <w:proofErr w:type="spellStart"/>
      <w:r w:rsidR="007C3083">
        <w:t>I</w:t>
      </w:r>
      <w:r>
        <w:t>pi</w:t>
      </w:r>
      <w:proofErr w:type="spellEnd"/>
      <w:r>
        <w:t xml:space="preserve"> alone compared to 17.5 months for the combination. There were no differences in PFS.</w:t>
      </w:r>
      <w:r w:rsidR="00BA348C">
        <w:t xml:space="preserve"> </w:t>
      </w:r>
      <w:r>
        <w:t>It was concluded that larger confirmatory studies with longer follow up were needed.</w:t>
      </w:r>
      <w:r w:rsidR="00BA348C">
        <w:t xml:space="preserve"> </w:t>
      </w:r>
      <w:r>
        <w:t>This study is not relevant</w:t>
      </w:r>
      <w:r w:rsidR="00BA348C">
        <w:t xml:space="preserve"> </w:t>
      </w:r>
      <w:r>
        <w:t xml:space="preserve">to the choice of control arm in the </w:t>
      </w:r>
      <w:proofErr w:type="spellStart"/>
      <w:r>
        <w:t>OPTiM</w:t>
      </w:r>
      <w:proofErr w:type="spellEnd"/>
      <w:r>
        <w:t xml:space="preserve"> study but does indicate combinations may be worth exploring in future studies. Similarly the suggestion that combinations of </w:t>
      </w:r>
      <w:proofErr w:type="spellStart"/>
      <w:r w:rsidR="002C0543">
        <w:t>Imlygic</w:t>
      </w:r>
      <w:proofErr w:type="spellEnd"/>
      <w:r w:rsidR="00BA348C">
        <w:t xml:space="preserve"> </w:t>
      </w:r>
      <w:r>
        <w:t>with Ipilimumab</w:t>
      </w:r>
      <w:r w:rsidR="00BA348C">
        <w:t xml:space="preserve"> </w:t>
      </w:r>
      <w:r>
        <w:t>or anti PD1 may be efficacious</w:t>
      </w:r>
      <w:r w:rsidR="00BA348C">
        <w:t xml:space="preserve"> </w:t>
      </w:r>
      <w:r>
        <w:t xml:space="preserve">but </w:t>
      </w:r>
      <w:r w:rsidR="001A4B22">
        <w:t xml:space="preserve">this </w:t>
      </w:r>
      <w:r>
        <w:t>is not relevant for the present application. They would properly be the subject of separate applications when large studies with these combinations have been completed]</w:t>
      </w:r>
    </w:p>
    <w:p w14:paraId="2E21763E" w14:textId="77777777" w:rsidR="00970674" w:rsidRDefault="00970674" w:rsidP="007C3083">
      <w:pPr>
        <w:pStyle w:val="Heading4"/>
      </w:pPr>
      <w:r>
        <w:t>Endpoints used to assess efficacy in 005/05 studies. Were these standard endpoints?</w:t>
      </w:r>
    </w:p>
    <w:p w14:paraId="54C203DC" w14:textId="56A50AF5" w:rsidR="00970674" w:rsidRDefault="00970674" w:rsidP="007C3083">
      <w:r>
        <w:t>The primary endpoint</w:t>
      </w:r>
      <w:r w:rsidR="00BA348C">
        <w:t xml:space="preserve"> </w:t>
      </w:r>
      <w:r>
        <w:t xml:space="preserve">in the 005/05 </w:t>
      </w:r>
      <w:proofErr w:type="spellStart"/>
      <w:r>
        <w:t>OPTiM</w:t>
      </w:r>
      <w:proofErr w:type="spellEnd"/>
      <w:r>
        <w:t xml:space="preserve"> study was durable response rate (DRR) [defined as the percent of patients with complete response (CR) or partial response (PR) maintained continuously for a minimum of 6 months]. Lesions were studied individually and collectively. </w:t>
      </w:r>
      <w:r w:rsidR="009C12C3">
        <w:t xml:space="preserve">To take into account the variable shapes of the lesions modified </w:t>
      </w:r>
      <w:r>
        <w:t>WHO criteria were used</w:t>
      </w:r>
      <w:r w:rsidR="009C12C3">
        <w:t xml:space="preserve"> to assess responses</w:t>
      </w:r>
      <w:r>
        <w:t>. The investigator assessment w</w:t>
      </w:r>
      <w:r w:rsidR="007C3083">
        <w:t>as</w:t>
      </w:r>
      <w:r>
        <w:t xml:space="preserve"> reviewed by an independent endpoint assessment committee. The secondary endpoints included overall survival (OS), objective response rate (ORR) [PR+CR], time to response, duration of response, and time to treatment failure [time from randomisation until the first episode of clinically relevant disease progression where there is no response achieved after the progression event or until death]. </w:t>
      </w:r>
    </w:p>
    <w:p w14:paraId="321AF8DF" w14:textId="77777777" w:rsidR="00970674" w:rsidRDefault="00970674" w:rsidP="007C3083">
      <w:r>
        <w:t>DRR and ORR were determined according to tumour responses determined using modified WHO criteria by a blinded, independent Endpoint Assessment Committee (EAC).</w:t>
      </w:r>
    </w:p>
    <w:p w14:paraId="4FCA56B5" w14:textId="25C1F368" w:rsidR="00970674" w:rsidRPr="00342116" w:rsidRDefault="00970674" w:rsidP="007C3083">
      <w:pPr>
        <w:pStyle w:val="Comment"/>
      </w:pPr>
      <w:r>
        <w:rPr>
          <w:b/>
        </w:rPr>
        <w:t>Comment:</w:t>
      </w:r>
      <w:r>
        <w:t xml:space="preserve"> The introduction of biologic therapies that depend on responses by the patient’s immune system has given rise to new endpoints that take into account the time taken for host immune responses to develop</w:t>
      </w:r>
      <w:r w:rsidR="00AA79D7">
        <w:t>.</w:t>
      </w:r>
      <w:r>
        <w:t xml:space="preserve"> The primary endpoint used in this study, DRR, is one such measure and varies only in allowing the</w:t>
      </w:r>
      <w:r w:rsidR="00BA348C">
        <w:t xml:space="preserve"> </w:t>
      </w:r>
      <w:r>
        <w:t>DRR to commence at any time in the first 12 months of therapy. Minimum treatment was for 24 weeks and maximum of 18 months.</w:t>
      </w:r>
      <w:r w:rsidR="00BA348C">
        <w:t xml:space="preserve"> </w:t>
      </w:r>
      <w:r>
        <w:t>The main reservations in such a design is the bias likely to result in the period on treatment in the 2 arms with patients discontinuing</w:t>
      </w:r>
      <w:r w:rsidR="00BA348C">
        <w:t xml:space="preserve"> </w:t>
      </w:r>
      <w:r>
        <w:t xml:space="preserve">in the GM-CSF arm at earlier periods than those receiving </w:t>
      </w:r>
      <w:proofErr w:type="spellStart"/>
      <w:r>
        <w:t>intralesional</w:t>
      </w:r>
      <w:proofErr w:type="spellEnd"/>
      <w:r>
        <w:t xml:space="preserve"> therapy even though similar degrees of progression may be involved. This was reflected in median times on treatment of 10 weeks in the GM-CSF arm compared to 23 weeks in the </w:t>
      </w:r>
      <w:proofErr w:type="spellStart"/>
      <w:r w:rsidR="006214A2" w:rsidRPr="006214A2">
        <w:t>talimogene</w:t>
      </w:r>
      <w:proofErr w:type="spellEnd"/>
      <w:r w:rsidR="006214A2" w:rsidRPr="006214A2">
        <w:t xml:space="preserve"> </w:t>
      </w:r>
      <w:proofErr w:type="spellStart"/>
      <w:r w:rsidR="006214A2" w:rsidRPr="006214A2">
        <w:t>laherparepvec</w:t>
      </w:r>
      <w:proofErr w:type="spellEnd"/>
      <w:r>
        <w:t xml:space="preserve"> arm.</w:t>
      </w:r>
      <w:r w:rsidR="00BA348C">
        <w:t xml:space="preserve"> </w:t>
      </w:r>
      <w:r>
        <w:t>In practice it is also doubtful whether a clinician will</w:t>
      </w:r>
      <w:r w:rsidR="00BA348C">
        <w:t xml:space="preserve"> </w:t>
      </w:r>
      <w:r>
        <w:t>wait 12 months for such responses to occur.</w:t>
      </w:r>
      <w:r w:rsidR="00BA348C">
        <w:t xml:space="preserve"> </w:t>
      </w:r>
      <w:r>
        <w:t xml:space="preserve">Another difficulty is </w:t>
      </w:r>
      <w:r w:rsidRPr="00342116">
        <w:t>comparing results across studies particularly when other studies have</w:t>
      </w:r>
      <w:r w:rsidR="00BA348C" w:rsidRPr="00342116">
        <w:t xml:space="preserve"> </w:t>
      </w:r>
      <w:r w:rsidRPr="00342116">
        <w:t xml:space="preserve">fixed </w:t>
      </w:r>
      <w:r w:rsidRPr="00342116">
        <w:lastRenderedPageBreak/>
        <w:t>landmarks such as percent progression free (PFS)</w:t>
      </w:r>
      <w:r w:rsidR="007C3083" w:rsidRPr="00342116">
        <w:t xml:space="preserve"> </w:t>
      </w:r>
      <w:r w:rsidRPr="00342116">
        <w:t>at 6 months as used in some studies (</w:t>
      </w:r>
      <w:proofErr w:type="spellStart"/>
      <w:r w:rsidRPr="00342116">
        <w:t>Wolchok</w:t>
      </w:r>
      <w:proofErr w:type="spellEnd"/>
      <w:r w:rsidRPr="00342116">
        <w:t xml:space="preserve"> et al., 2009).</w:t>
      </w:r>
      <w:r w:rsidR="00BA348C" w:rsidRPr="00342116">
        <w:t xml:space="preserve"> </w:t>
      </w:r>
      <w:r w:rsidRPr="00342116">
        <w:t xml:space="preserve">The secondary endpoints are less controversial. A clear increase in OS from randomisation would dispel many of the doubts about efficacy of the treatment. Time to ORR and duration of response will be of value in assessing the cost of the treatment as these measures will indicate the approximate amount of </w:t>
      </w:r>
      <w:proofErr w:type="spellStart"/>
      <w:r w:rsidR="002C0543">
        <w:t>Imlygic</w:t>
      </w:r>
      <w:proofErr w:type="spellEnd"/>
      <w:r w:rsidRPr="00342116">
        <w:t xml:space="preserve"> used and the number of visits to medical personnel</w:t>
      </w:r>
      <w:r w:rsidR="00090F4E">
        <w:t>.</w:t>
      </w:r>
    </w:p>
    <w:p w14:paraId="206D3379" w14:textId="77777777" w:rsidR="00970674" w:rsidRPr="00342116" w:rsidRDefault="00970674" w:rsidP="007C3083">
      <w:pPr>
        <w:pStyle w:val="Heading4"/>
      </w:pPr>
      <w:r w:rsidRPr="00342116">
        <w:t>Subgroup Analyses</w:t>
      </w:r>
      <w:r w:rsidR="007C3083" w:rsidRPr="00342116">
        <w:t>:</w:t>
      </w:r>
      <w:r w:rsidRPr="00342116">
        <w:t xml:space="preserve"> Were the responders in subgroups of patients with more advanced disease that are difficult to treat by other treatments?</w:t>
      </w:r>
    </w:p>
    <w:p w14:paraId="185C7B02" w14:textId="77777777" w:rsidR="00970674" w:rsidRPr="00342116" w:rsidRDefault="00970674" w:rsidP="007C3083">
      <w:r w:rsidRPr="00342116">
        <w:t xml:space="preserve">It is well established that patients with melanoma metastases at different sites have different outcomes. This has been captured in the staging systems used for assessing prognosis such as the American joint committee on cancer (AJCC) (Thompson et al., 2011). Patients with </w:t>
      </w:r>
      <w:r w:rsidR="007C3083" w:rsidRPr="00342116">
        <w:t>S</w:t>
      </w:r>
      <w:r w:rsidRPr="00342116">
        <w:t xml:space="preserve">tage IIIB/IIIC survive longer than those with </w:t>
      </w:r>
      <w:r w:rsidR="007C3083" w:rsidRPr="00342116">
        <w:t>S</w:t>
      </w:r>
      <w:r w:rsidRPr="00342116">
        <w:t xml:space="preserve">tage IV and those with </w:t>
      </w:r>
      <w:r w:rsidR="007C3083" w:rsidRPr="00342116">
        <w:t>S</w:t>
      </w:r>
      <w:r w:rsidRPr="00342116">
        <w:t>tage IV,M1a (skin and LNs)</w:t>
      </w:r>
      <w:r w:rsidR="007C3083" w:rsidRPr="00342116">
        <w:t xml:space="preserve"> </w:t>
      </w:r>
      <w:r w:rsidRPr="00342116">
        <w:t xml:space="preserve">survive longer than those with </w:t>
      </w:r>
      <w:r w:rsidR="007C3083" w:rsidRPr="00342116">
        <w:t>S</w:t>
      </w:r>
      <w:r w:rsidRPr="00342116">
        <w:t>tage IV, M1b (lung metastases) and</w:t>
      </w:r>
      <w:r w:rsidR="00BA348C" w:rsidRPr="00342116">
        <w:t xml:space="preserve"> </w:t>
      </w:r>
      <w:r w:rsidR="007C3083" w:rsidRPr="00342116">
        <w:t>S</w:t>
      </w:r>
      <w:r w:rsidRPr="00342116">
        <w:t>tage IV, M1c</w:t>
      </w:r>
      <w:r w:rsidR="007C3083" w:rsidRPr="00342116">
        <w:t xml:space="preserve"> </w:t>
      </w:r>
      <w:r w:rsidRPr="00342116">
        <w:t>(visceral metastases). Patients with brain metastases have poorer survival. Given that there are a number of treatment options available for M1a disease the unmet need has been for treatments that are effective on visceral metastases.</w:t>
      </w:r>
    </w:p>
    <w:p w14:paraId="2EE7AB3C" w14:textId="6252D749" w:rsidR="00970674" w:rsidRDefault="00970674" w:rsidP="007C3083">
      <w:pPr>
        <w:rPr>
          <w:lang w:val="en-US"/>
        </w:rPr>
      </w:pPr>
      <w:r w:rsidRPr="00342116">
        <w:t>In Study 005/05, 57% of subjects had Stage IIIB to Stage IV M1a disease.</w:t>
      </w:r>
      <w:r w:rsidR="00BA348C" w:rsidRPr="00342116">
        <w:t xml:space="preserve"> </w:t>
      </w:r>
      <w:r w:rsidRPr="00342116">
        <w:t xml:space="preserve">47% of subjects were receiving </w:t>
      </w:r>
      <w:proofErr w:type="spellStart"/>
      <w:r w:rsidRPr="00342116">
        <w:t>talimogene</w:t>
      </w:r>
      <w:proofErr w:type="spellEnd"/>
      <w:r w:rsidRPr="00342116">
        <w:t xml:space="preserve"> </w:t>
      </w:r>
      <w:proofErr w:type="spellStart"/>
      <w:r w:rsidRPr="00342116">
        <w:t>laherparepvec</w:t>
      </w:r>
      <w:proofErr w:type="spellEnd"/>
      <w:r w:rsidRPr="00342116">
        <w:t xml:space="preserve"> [</w:t>
      </w:r>
      <w:proofErr w:type="spellStart"/>
      <w:r w:rsidR="002C0543">
        <w:t>Imlygic</w:t>
      </w:r>
      <w:proofErr w:type="spellEnd"/>
      <w:r w:rsidRPr="00342116">
        <w:t>] as first-line therapy. From the presentation by Kaufman et al at ASCO in 2014 and the data in 4 and 5</w:t>
      </w:r>
      <w:r>
        <w:t xml:space="preserve"> above it is evident that the patients in the 005/05 studies were highly selected to have low </w:t>
      </w:r>
      <w:r w:rsidR="00BA348C">
        <w:t>tumour</w:t>
      </w:r>
      <w:r>
        <w:t xml:space="preserve"> burdens</w:t>
      </w:r>
      <w:r w:rsidR="007C3083">
        <w:t>, for example,</w:t>
      </w:r>
      <w:r>
        <w:t xml:space="preserve"> </w:t>
      </w:r>
      <w:r>
        <w:rPr>
          <w:lang w:val="en-US"/>
        </w:rPr>
        <w:t>LDH enzyme levels</w:t>
      </w:r>
      <w:r w:rsidR="00BA348C">
        <w:rPr>
          <w:lang w:val="en-US"/>
        </w:rPr>
        <w:t xml:space="preserve"> </w:t>
      </w:r>
      <w:r>
        <w:rPr>
          <w:lang w:val="en-US"/>
        </w:rPr>
        <w:t>were ≤ 1.5x ULN, they were to have ≤ 3 visceral metastases (lung lesions excepted) and no lesion &gt; 3 cm. Liver lesions had</w:t>
      </w:r>
      <w:r w:rsidR="00BA348C">
        <w:rPr>
          <w:lang w:val="en-US"/>
        </w:rPr>
        <w:t xml:space="preserve"> </w:t>
      </w:r>
      <w:r>
        <w:rPr>
          <w:lang w:val="en-US"/>
        </w:rPr>
        <w:t>to</w:t>
      </w:r>
      <w:r w:rsidR="00BA348C">
        <w:rPr>
          <w:lang w:val="en-US"/>
        </w:rPr>
        <w:t xml:space="preserve"> </w:t>
      </w:r>
      <w:r>
        <w:rPr>
          <w:lang w:val="en-US"/>
        </w:rPr>
        <w:t>have been stable for at least 1 month. Brain lesions must have been treated and stable for at least 2 months. Patients with bone metastases were excluded.</w:t>
      </w:r>
      <w:r w:rsidR="00BA348C">
        <w:rPr>
          <w:lang w:val="en-US"/>
        </w:rPr>
        <w:t xml:space="preserve"> </w:t>
      </w:r>
      <w:r>
        <w:rPr>
          <w:lang w:val="en-US"/>
        </w:rPr>
        <w:t xml:space="preserve">The majority of </w:t>
      </w:r>
      <w:r w:rsidR="007C3083">
        <w:rPr>
          <w:lang w:val="en-US"/>
        </w:rPr>
        <w:t>S</w:t>
      </w:r>
      <w:r>
        <w:rPr>
          <w:lang w:val="en-US"/>
        </w:rPr>
        <w:t xml:space="preserve">tage IV disease patients entered had M1a disease (25-30%) with 18-22% having M1b and 21-23 % the </w:t>
      </w:r>
      <w:proofErr w:type="spellStart"/>
      <w:r>
        <w:rPr>
          <w:lang w:val="en-US"/>
        </w:rPr>
        <w:t>unfavourable</w:t>
      </w:r>
      <w:proofErr w:type="spellEnd"/>
      <w:r>
        <w:rPr>
          <w:lang w:val="en-US"/>
        </w:rPr>
        <w:t xml:space="preserve"> M1c stage</w:t>
      </w:r>
      <w:r w:rsidR="00AA79D7">
        <w:rPr>
          <w:lang w:val="en-US"/>
        </w:rPr>
        <w:t>.</w:t>
      </w:r>
      <w:r>
        <w:rPr>
          <w:lang w:val="en-US"/>
        </w:rPr>
        <w:t xml:space="preserve"> The latter</w:t>
      </w:r>
      <w:r w:rsidR="00BA348C">
        <w:rPr>
          <w:lang w:val="en-US"/>
        </w:rPr>
        <w:t xml:space="preserve"> </w:t>
      </w:r>
      <w:r>
        <w:rPr>
          <w:lang w:val="en-US"/>
        </w:rPr>
        <w:t>usually accounts for most of the patients in previous studies</w:t>
      </w:r>
      <w:r w:rsidR="001A4B22">
        <w:rPr>
          <w:lang w:val="en-US"/>
        </w:rPr>
        <w:t>.</w:t>
      </w:r>
      <w:r>
        <w:rPr>
          <w:lang w:val="en-US"/>
        </w:rPr>
        <w:t xml:space="preserve"> Nine percent had </w:t>
      </w:r>
      <w:r w:rsidR="007C3083">
        <w:rPr>
          <w:lang w:val="en-US"/>
        </w:rPr>
        <w:t>Stage I</w:t>
      </w:r>
      <w:r>
        <w:rPr>
          <w:lang w:val="en-US"/>
        </w:rPr>
        <w:t xml:space="preserve">IIB and 22% </w:t>
      </w:r>
      <w:r w:rsidR="007C3083">
        <w:rPr>
          <w:lang w:val="en-US"/>
        </w:rPr>
        <w:t xml:space="preserve">Stage </w:t>
      </w:r>
      <w:proofErr w:type="spellStart"/>
      <w:r w:rsidR="007C3083">
        <w:rPr>
          <w:lang w:val="en-US"/>
        </w:rPr>
        <w:t>I</w:t>
      </w:r>
      <w:r>
        <w:rPr>
          <w:lang w:val="en-US"/>
        </w:rPr>
        <w:t>IIc</w:t>
      </w:r>
      <w:proofErr w:type="spellEnd"/>
      <w:r>
        <w:rPr>
          <w:lang w:val="en-US"/>
        </w:rPr>
        <w:t xml:space="preserve"> disease. </w:t>
      </w:r>
    </w:p>
    <w:p w14:paraId="08A0D66C" w14:textId="5181EAAC" w:rsidR="00970674" w:rsidRDefault="00970674" w:rsidP="007C3083">
      <w:r>
        <w:t>The treatment effect of</w:t>
      </w:r>
      <w:r w:rsidR="00BA348C">
        <w:t xml:space="preserve"> </w:t>
      </w:r>
      <w:proofErr w:type="spellStart"/>
      <w:r w:rsidR="002C0543">
        <w:t>Imlygic</w:t>
      </w:r>
      <w:proofErr w:type="spellEnd"/>
      <w:r>
        <w:t xml:space="preserve"> was highly dependent on stage of disease and previous treatment status. In exploratory analyses improvement in the primary endpoint DDR was only seen in patients with </w:t>
      </w:r>
      <w:r w:rsidR="007C3083">
        <w:t>Stage I</w:t>
      </w:r>
      <w:r>
        <w:t xml:space="preserve">IIB/C and </w:t>
      </w:r>
      <w:r w:rsidR="007C3083">
        <w:t>Stage I</w:t>
      </w:r>
      <w:r>
        <w:t xml:space="preserve">VM1a disease and only in </w:t>
      </w:r>
      <w:r w:rsidRPr="00AA79D7">
        <w:rPr>
          <w:i/>
        </w:rPr>
        <w:t>previously untreated</w:t>
      </w:r>
      <w:r>
        <w:t xml:space="preserve"> patients (</w:t>
      </w:r>
      <w:r w:rsidR="00BA348C">
        <w:t>that is,</w:t>
      </w:r>
      <w:r>
        <w:t xml:space="preserve"> nominal p ≤ 0.05, not adjusted for multiplicity)</w:t>
      </w:r>
      <w:r w:rsidR="00AA79D7">
        <w:t>.</w:t>
      </w:r>
      <w:r w:rsidR="00BA348C">
        <w:t xml:space="preserve"> </w:t>
      </w:r>
      <w:r>
        <w:t>Analysis of overall survival</w:t>
      </w:r>
      <w:r w:rsidR="00BA348C">
        <w:t xml:space="preserve"> </w:t>
      </w:r>
      <w:r>
        <w:t>showed that benefit</w:t>
      </w:r>
      <w:r w:rsidR="00BA348C">
        <w:t xml:space="preserve"> </w:t>
      </w:r>
      <w:r>
        <w:t xml:space="preserve">appeared to be confined to patients with </w:t>
      </w:r>
      <w:r w:rsidR="00AA79D7">
        <w:t>S</w:t>
      </w:r>
      <w:r>
        <w:t>tage</w:t>
      </w:r>
      <w:r w:rsidR="00AA79D7">
        <w:t xml:space="preserve"> </w:t>
      </w:r>
      <w:r>
        <w:t xml:space="preserve">IIIB/C and </w:t>
      </w:r>
      <w:r w:rsidR="007C3083">
        <w:t>Stage I</w:t>
      </w:r>
      <w:r>
        <w:t>V M1a melanoma</w:t>
      </w:r>
      <w:r w:rsidR="00BA348C">
        <w:t xml:space="preserve"> </w:t>
      </w:r>
      <w:r>
        <w:t>(P&lt;.001)</w:t>
      </w:r>
      <w:r w:rsidR="00AA79D7">
        <w:t xml:space="preserve"> </w:t>
      </w:r>
      <w:r>
        <w:t>and only in patients who had not had any previous systemic</w:t>
      </w:r>
      <w:r w:rsidR="00BA348C">
        <w:t xml:space="preserve"> </w:t>
      </w:r>
      <w:proofErr w:type="gramStart"/>
      <w:r>
        <w:t>treatments(</w:t>
      </w:r>
      <w:proofErr w:type="gramEnd"/>
      <w:r>
        <w:t xml:space="preserve">P&lt;.001) At the primary survival analysis, the median OS was 23.3 months with </w:t>
      </w:r>
      <w:proofErr w:type="spellStart"/>
      <w:r w:rsidR="006214A2" w:rsidRPr="006214A2">
        <w:t>talimogene</w:t>
      </w:r>
      <w:proofErr w:type="spellEnd"/>
      <w:r w:rsidR="006214A2" w:rsidRPr="006214A2">
        <w:t xml:space="preserve"> </w:t>
      </w:r>
      <w:proofErr w:type="spellStart"/>
      <w:r w:rsidR="006214A2" w:rsidRPr="006214A2">
        <w:t>laherparepvec</w:t>
      </w:r>
      <w:proofErr w:type="spellEnd"/>
      <w:r>
        <w:t xml:space="preserve"> compared with 18.9 months for GM-CSF (HR = 0.787; 95% CI, 0.62-1.00; </w:t>
      </w:r>
      <w:r>
        <w:rPr>
          <w:rStyle w:val="Emphasis"/>
        </w:rPr>
        <w:t>P</w:t>
      </w:r>
      <w:r>
        <w:t xml:space="preserve"> =</w:t>
      </w:r>
      <w:r w:rsidR="00AA79D7">
        <w:t>.</w:t>
      </w:r>
      <w:r>
        <w:t>051).</w:t>
      </w:r>
      <w:r w:rsidR="00BA348C">
        <w:t xml:space="preserve"> </w:t>
      </w:r>
      <w:r>
        <w:t xml:space="preserve">This examination occurred after 290 events and was powered to detect an HR of 0.67, with a </w:t>
      </w:r>
      <w:r w:rsidRPr="00AA79D7">
        <w:rPr>
          <w:rStyle w:val="Emphasis"/>
          <w:i w:val="0"/>
        </w:rPr>
        <w:t>P</w:t>
      </w:r>
      <w:r>
        <w:t xml:space="preserve"> value of</w:t>
      </w:r>
      <w:r w:rsidR="00AA79D7">
        <w:t>.</w:t>
      </w:r>
      <w:r>
        <w:t>05 representing significance.</w:t>
      </w:r>
    </w:p>
    <w:p w14:paraId="1D4E9480" w14:textId="0014B3B6" w:rsidR="00970674" w:rsidRDefault="00970674" w:rsidP="00AA79D7">
      <w:pPr>
        <w:rPr>
          <w:lang w:val="en-US"/>
        </w:rPr>
      </w:pPr>
      <w:r>
        <w:t>The patients entered into the study appeared well balanced between the 2 arms and it was reported subsequently that following progression on the trial patients between the two arms received similar therapies so the results were not due to subsequent cross over therapies favouring the GM-CSF arm</w:t>
      </w:r>
      <w:r w:rsidRPr="002C0543">
        <w:t xml:space="preserve">. (This conclusion is </w:t>
      </w:r>
      <w:r w:rsidRPr="00090F4E">
        <w:t>from a talk by</w:t>
      </w:r>
      <w:r w:rsidR="00AA79D7" w:rsidRPr="00090F4E">
        <w:t>,</w:t>
      </w:r>
      <w:r w:rsidR="00BA348C" w:rsidRPr="00090F4E">
        <w:t xml:space="preserve"> </w:t>
      </w:r>
      <w:proofErr w:type="spellStart"/>
      <w:r w:rsidRPr="00090F4E">
        <w:rPr>
          <w:lang w:val="en-US"/>
        </w:rPr>
        <w:t>Andtbacka</w:t>
      </w:r>
      <w:proofErr w:type="spellEnd"/>
      <w:r w:rsidRPr="00090F4E">
        <w:rPr>
          <w:lang w:val="en-US"/>
        </w:rPr>
        <w:t xml:space="preserve"> et al. ASCO 2013; LBA9008 and in part from information in the </w:t>
      </w:r>
      <w:r w:rsidR="005034AC" w:rsidRPr="00090F4E">
        <w:rPr>
          <w:lang w:val="en-US"/>
        </w:rPr>
        <w:t xml:space="preserve">sponsor’s </w:t>
      </w:r>
      <w:r w:rsidR="00AA79D7" w:rsidRPr="00090F4E">
        <w:rPr>
          <w:lang w:val="en-US"/>
        </w:rPr>
        <w:t>C</w:t>
      </w:r>
      <w:r w:rsidRPr="00090F4E">
        <w:rPr>
          <w:lang w:val="en-US"/>
        </w:rPr>
        <w:t>linical overview</w:t>
      </w:r>
      <w:r w:rsidRPr="002C0543">
        <w:rPr>
          <w:lang w:val="en-US"/>
        </w:rPr>
        <w:t>)</w:t>
      </w:r>
    </w:p>
    <w:p w14:paraId="6AA3ACDE" w14:textId="20F6FBE7" w:rsidR="00970674" w:rsidRDefault="00970674" w:rsidP="00F7695B">
      <w:pPr>
        <w:rPr>
          <w:lang w:val="en-US"/>
        </w:rPr>
      </w:pPr>
      <w:proofErr w:type="spellStart"/>
      <w:r>
        <w:rPr>
          <w:lang w:val="en-US"/>
        </w:rPr>
        <w:t>Dr</w:t>
      </w:r>
      <w:proofErr w:type="spellEnd"/>
      <w:r>
        <w:rPr>
          <w:lang w:val="en-US"/>
        </w:rPr>
        <w:t xml:space="preserve"> Kaufman (2014) presented data on changes in individual lesions during treatment with </w:t>
      </w:r>
      <w:proofErr w:type="spellStart"/>
      <w:r w:rsidR="002C0543">
        <w:rPr>
          <w:lang w:val="en-US"/>
        </w:rPr>
        <w:t>Imlygic</w:t>
      </w:r>
      <w:proofErr w:type="spellEnd"/>
      <w:r>
        <w:rPr>
          <w:lang w:val="en-US"/>
        </w:rPr>
        <w:t>. In the 2116 injected lesions there was a 33% response rate with 15% CR. In 981 non</w:t>
      </w:r>
      <w:r w:rsidR="00AA79D7">
        <w:rPr>
          <w:lang w:val="en-US"/>
        </w:rPr>
        <w:t>-</w:t>
      </w:r>
      <w:r>
        <w:rPr>
          <w:lang w:val="en-US"/>
        </w:rPr>
        <w:t>injected skin lesions OR was 18% with 6% CR. In 177 non injected</w:t>
      </w:r>
      <w:r w:rsidR="00BA348C">
        <w:rPr>
          <w:lang w:val="en-US"/>
        </w:rPr>
        <w:t xml:space="preserve"> </w:t>
      </w:r>
      <w:r>
        <w:rPr>
          <w:lang w:val="en-US"/>
        </w:rPr>
        <w:t xml:space="preserve">visceral lesions response was 14% with 3% CR. The latter is evidence of systemic effects from the injections but compare this with responses after treatment with to </w:t>
      </w:r>
      <w:proofErr w:type="spellStart"/>
      <w:r>
        <w:rPr>
          <w:lang w:val="en-US"/>
        </w:rPr>
        <w:t>MAbs</w:t>
      </w:r>
      <w:proofErr w:type="spellEnd"/>
      <w:r>
        <w:rPr>
          <w:lang w:val="en-US"/>
        </w:rPr>
        <w:t xml:space="preserve"> against PD1 referred to above where rates were approximately 40%</w:t>
      </w:r>
      <w:r w:rsidR="00AA79D7">
        <w:rPr>
          <w:lang w:val="en-US"/>
        </w:rPr>
        <w:t>.</w:t>
      </w:r>
      <w:r>
        <w:rPr>
          <w:lang w:val="en-US"/>
        </w:rPr>
        <w:t xml:space="preserve"> Progression of metastases was evident in 20% of injected lesions and 40-60% of non</w:t>
      </w:r>
      <w:r w:rsidR="00AA79D7">
        <w:rPr>
          <w:lang w:val="en-US"/>
        </w:rPr>
        <w:t>-</w:t>
      </w:r>
      <w:r>
        <w:rPr>
          <w:lang w:val="en-US"/>
        </w:rPr>
        <w:t>injected lesions.</w:t>
      </w:r>
    </w:p>
    <w:p w14:paraId="242BAD99" w14:textId="3E2A8F88" w:rsidR="00970674" w:rsidRPr="00AA79D7" w:rsidRDefault="00970674" w:rsidP="00AA79D7">
      <w:pPr>
        <w:rPr>
          <w:i/>
        </w:rPr>
      </w:pPr>
      <w:r>
        <w:rPr>
          <w:lang w:val="en-US"/>
        </w:rPr>
        <w:t xml:space="preserve">The subgroup analyses indicate that a relatively small number of patients would benefit from this form of </w:t>
      </w:r>
      <w:proofErr w:type="spellStart"/>
      <w:r>
        <w:rPr>
          <w:lang w:val="en-US"/>
        </w:rPr>
        <w:t>intralesional</w:t>
      </w:r>
      <w:proofErr w:type="spellEnd"/>
      <w:r>
        <w:rPr>
          <w:lang w:val="en-US"/>
        </w:rPr>
        <w:t xml:space="preserve"> therapy. They would be patients with minimal disease who have </w:t>
      </w:r>
      <w:r>
        <w:rPr>
          <w:lang w:val="en-US"/>
        </w:rPr>
        <w:lastRenderedPageBreak/>
        <w:t xml:space="preserve">injectable lesions and who for some reason or other could not be treated with monoclonal antibodies against checkpoint inhibitors or </w:t>
      </w:r>
      <w:proofErr w:type="spellStart"/>
      <w:r>
        <w:rPr>
          <w:lang w:val="en-US"/>
        </w:rPr>
        <w:t>BRAFi</w:t>
      </w:r>
      <w:proofErr w:type="spellEnd"/>
      <w:r>
        <w:rPr>
          <w:lang w:val="en-US"/>
        </w:rPr>
        <w:t xml:space="preserve"> targeted therapy and who live close to clinicians willing to give frequent injections over prolonged periods.</w:t>
      </w:r>
      <w:r w:rsidR="00BA348C">
        <w:rPr>
          <w:lang w:val="en-US"/>
        </w:rPr>
        <w:t xml:space="preserve"> </w:t>
      </w:r>
      <w:r w:rsidRPr="00AA79D7">
        <w:rPr>
          <w:i/>
        </w:rPr>
        <w:t xml:space="preserve">The present evidence also does not support a role for </w:t>
      </w:r>
      <w:proofErr w:type="spellStart"/>
      <w:r w:rsidR="006214A2" w:rsidRPr="006214A2">
        <w:rPr>
          <w:i/>
        </w:rPr>
        <w:t>talimogene</w:t>
      </w:r>
      <w:proofErr w:type="spellEnd"/>
      <w:r w:rsidR="006214A2" w:rsidRPr="006214A2">
        <w:rPr>
          <w:i/>
        </w:rPr>
        <w:t xml:space="preserve"> </w:t>
      </w:r>
      <w:proofErr w:type="spellStart"/>
      <w:r w:rsidR="006214A2" w:rsidRPr="006214A2">
        <w:rPr>
          <w:i/>
        </w:rPr>
        <w:t>laherparepvec</w:t>
      </w:r>
      <w:proofErr w:type="spellEnd"/>
      <w:r w:rsidRPr="00AA79D7">
        <w:rPr>
          <w:i/>
        </w:rPr>
        <w:t xml:space="preserve"> in second line treatment. This is an important point as otherwise it may have been useful in treating patients who had failed these first line therapies</w:t>
      </w:r>
    </w:p>
    <w:p w14:paraId="3AAF7E1B" w14:textId="77777777" w:rsidR="00970674" w:rsidRDefault="00970674" w:rsidP="00AA79D7">
      <w:pPr>
        <w:pStyle w:val="Heading4"/>
        <w:rPr>
          <w:lang w:val="en-US"/>
        </w:rPr>
      </w:pPr>
      <w:r>
        <w:rPr>
          <w:lang w:val="en-US"/>
        </w:rPr>
        <w:t>Method of application of the vaccine</w:t>
      </w:r>
      <w:r w:rsidR="00AA79D7">
        <w:rPr>
          <w:lang w:val="en-US"/>
        </w:rPr>
        <w:t>:</w:t>
      </w:r>
      <w:r>
        <w:rPr>
          <w:lang w:val="en-US"/>
        </w:rPr>
        <w:t xml:space="preserve"> Treatment procedures are not simple and may be difficult outside of clinical trials</w:t>
      </w:r>
    </w:p>
    <w:p w14:paraId="79859C22" w14:textId="77777777" w:rsidR="00970674" w:rsidRDefault="00970674" w:rsidP="00AA79D7">
      <w:pPr>
        <w:rPr>
          <w:lang w:val="en-US"/>
        </w:rPr>
      </w:pPr>
      <w:r>
        <w:rPr>
          <w:lang w:val="en-US"/>
        </w:rPr>
        <w:t>The sponsors</w:t>
      </w:r>
      <w:r w:rsidR="00BA348C">
        <w:rPr>
          <w:lang w:val="en-US"/>
        </w:rPr>
        <w:t xml:space="preserve"> </w:t>
      </w:r>
      <w:r>
        <w:rPr>
          <w:lang w:val="en-US"/>
        </w:rPr>
        <w:t xml:space="preserve">describe the basis for choosing the dose of the virus used for injection starting at a low dose of 106 </w:t>
      </w:r>
      <w:r w:rsidR="00AA79D7">
        <w:rPr>
          <w:lang w:val="en-US"/>
        </w:rPr>
        <w:t>PFU</w:t>
      </w:r>
      <w:r>
        <w:rPr>
          <w:lang w:val="en-US"/>
        </w:rPr>
        <w:t xml:space="preserve"> for the first dose escalating to 108 </w:t>
      </w:r>
      <w:r w:rsidR="00AA79D7">
        <w:rPr>
          <w:lang w:val="en-US"/>
        </w:rPr>
        <w:t>PFU</w:t>
      </w:r>
      <w:r>
        <w:rPr>
          <w:lang w:val="en-US"/>
        </w:rPr>
        <w:t xml:space="preserve"> for the second and subsequent doses at 2 week intervals</w:t>
      </w:r>
      <w:r w:rsidR="00BA348C">
        <w:rPr>
          <w:lang w:val="en-US"/>
        </w:rPr>
        <w:t xml:space="preserve"> </w:t>
      </w:r>
      <w:r>
        <w:rPr>
          <w:lang w:val="en-US"/>
        </w:rPr>
        <w:t>for at least 24 weeks</w:t>
      </w:r>
      <w:r w:rsidR="00AA79D7">
        <w:rPr>
          <w:lang w:val="en-US"/>
        </w:rPr>
        <w:t>,</w:t>
      </w:r>
      <w:r>
        <w:rPr>
          <w:lang w:val="en-US"/>
        </w:rPr>
        <w:t xml:space="preserve"> irrespective of whether there was progression</w:t>
      </w:r>
      <w:r w:rsidR="00BA348C">
        <w:rPr>
          <w:lang w:val="en-US"/>
        </w:rPr>
        <w:t xml:space="preserve"> </w:t>
      </w:r>
      <w:r>
        <w:rPr>
          <w:lang w:val="en-US"/>
        </w:rPr>
        <w:t>in size or number of the injectable lesions. Injections into lymph nodes</w:t>
      </w:r>
      <w:r w:rsidR="00AA79D7">
        <w:rPr>
          <w:lang w:val="en-US"/>
        </w:rPr>
        <w:t xml:space="preserve"> </w:t>
      </w:r>
      <w:r>
        <w:rPr>
          <w:lang w:val="en-US"/>
        </w:rPr>
        <w:t>(LNs) were allowed but ultrasound guidance was recommended for deep subcutaneous</w:t>
      </w:r>
      <w:r w:rsidR="00AA79D7">
        <w:rPr>
          <w:lang w:val="en-US"/>
        </w:rPr>
        <w:t xml:space="preserve"> </w:t>
      </w:r>
      <w:r>
        <w:rPr>
          <w:lang w:val="en-US"/>
        </w:rPr>
        <w:t>(</w:t>
      </w:r>
      <w:r w:rsidR="00AA79D7">
        <w:rPr>
          <w:lang w:val="en-US"/>
        </w:rPr>
        <w:t>SC</w:t>
      </w:r>
      <w:r>
        <w:rPr>
          <w:lang w:val="en-US"/>
        </w:rPr>
        <w:t>)</w:t>
      </w:r>
      <w:r w:rsidR="00BA348C">
        <w:rPr>
          <w:lang w:val="en-US"/>
        </w:rPr>
        <w:t xml:space="preserve"> </w:t>
      </w:r>
      <w:r>
        <w:rPr>
          <w:lang w:val="en-US"/>
        </w:rPr>
        <w:t>lesions</w:t>
      </w:r>
      <w:r w:rsidR="00BA348C">
        <w:rPr>
          <w:lang w:val="en-US"/>
        </w:rPr>
        <w:t xml:space="preserve"> </w:t>
      </w:r>
      <w:r>
        <w:rPr>
          <w:lang w:val="en-US"/>
        </w:rPr>
        <w:t>and</w:t>
      </w:r>
      <w:r w:rsidR="00BA348C">
        <w:rPr>
          <w:lang w:val="en-US"/>
        </w:rPr>
        <w:t xml:space="preserve"> </w:t>
      </w:r>
      <w:r>
        <w:rPr>
          <w:lang w:val="en-US"/>
        </w:rPr>
        <w:t>LNs.</w:t>
      </w:r>
      <w:r w:rsidR="00BA348C">
        <w:rPr>
          <w:lang w:val="en-US"/>
        </w:rPr>
        <w:t xml:space="preserve"> </w:t>
      </w:r>
      <w:r>
        <w:rPr>
          <w:lang w:val="en-US"/>
        </w:rPr>
        <w:t>A fanning technique by which the needle is</w:t>
      </w:r>
      <w:r w:rsidR="00BA348C">
        <w:rPr>
          <w:lang w:val="en-US"/>
        </w:rPr>
        <w:t xml:space="preserve"> </w:t>
      </w:r>
      <w:r>
        <w:rPr>
          <w:lang w:val="en-US"/>
        </w:rPr>
        <w:t>moved back and forth from one site to evenly distribute the virus through the lesion is recommended.</w:t>
      </w:r>
      <w:r w:rsidR="00BA348C">
        <w:rPr>
          <w:lang w:val="en-US"/>
        </w:rPr>
        <w:t xml:space="preserve"> </w:t>
      </w:r>
      <w:r>
        <w:rPr>
          <w:lang w:val="en-US"/>
        </w:rPr>
        <w:t xml:space="preserve">In most </w:t>
      </w:r>
      <w:proofErr w:type="spellStart"/>
      <w:r>
        <w:rPr>
          <w:lang w:val="en-US"/>
        </w:rPr>
        <w:t>centres</w:t>
      </w:r>
      <w:proofErr w:type="spellEnd"/>
      <w:r>
        <w:rPr>
          <w:lang w:val="en-US"/>
        </w:rPr>
        <w:t xml:space="preserve"> the injections are administered by surgeons or medical oncologists but injection by trained nursing staff is possible for simple cutaneous or </w:t>
      </w:r>
      <w:r w:rsidR="00AA79D7">
        <w:rPr>
          <w:lang w:val="en-US"/>
        </w:rPr>
        <w:t>SC</w:t>
      </w:r>
      <w:r>
        <w:rPr>
          <w:lang w:val="en-US"/>
        </w:rPr>
        <w:t xml:space="preserve"> lesions</w:t>
      </w:r>
      <w:r w:rsidR="00AA79D7">
        <w:rPr>
          <w:lang w:val="en-US"/>
        </w:rPr>
        <w:t>.</w:t>
      </w:r>
      <w:r>
        <w:rPr>
          <w:lang w:val="en-US"/>
        </w:rPr>
        <w:t xml:space="preserve"> Use of local </w:t>
      </w:r>
      <w:proofErr w:type="spellStart"/>
      <w:r>
        <w:rPr>
          <w:lang w:val="en-US"/>
        </w:rPr>
        <w:t>anaesthetics</w:t>
      </w:r>
      <w:proofErr w:type="spellEnd"/>
      <w:r w:rsidR="00BA348C">
        <w:rPr>
          <w:lang w:val="en-US"/>
        </w:rPr>
        <w:t xml:space="preserve"> </w:t>
      </w:r>
      <w:r>
        <w:rPr>
          <w:lang w:val="en-US"/>
        </w:rPr>
        <w:t>is usually needed. The product needs to be stored at -80 degrees centigrade which restricts it use to large facilities with such storage and monitoring facilities.</w:t>
      </w:r>
    </w:p>
    <w:p w14:paraId="15C3CBC0" w14:textId="77777777" w:rsidR="00970674" w:rsidRDefault="00970674" w:rsidP="00AA79D7">
      <w:pPr>
        <w:rPr>
          <w:lang w:val="en-US"/>
        </w:rPr>
      </w:pPr>
      <w:r>
        <w:rPr>
          <w:lang w:val="en-US"/>
        </w:rPr>
        <w:t xml:space="preserve">This description indicates a degree of complexity which would restrict its use to major </w:t>
      </w:r>
      <w:proofErr w:type="spellStart"/>
      <w:r>
        <w:rPr>
          <w:lang w:val="en-US"/>
        </w:rPr>
        <w:t>centres</w:t>
      </w:r>
      <w:proofErr w:type="spellEnd"/>
      <w:r>
        <w:rPr>
          <w:lang w:val="en-US"/>
        </w:rPr>
        <w:t xml:space="preserve"> and administration by well trained</w:t>
      </w:r>
      <w:r w:rsidR="00BA348C">
        <w:rPr>
          <w:lang w:val="en-US"/>
        </w:rPr>
        <w:t xml:space="preserve"> </w:t>
      </w:r>
      <w:r>
        <w:rPr>
          <w:lang w:val="en-US"/>
        </w:rPr>
        <w:t>and highly paid staff.</w:t>
      </w:r>
      <w:r w:rsidR="00BA348C">
        <w:rPr>
          <w:lang w:val="en-US"/>
        </w:rPr>
        <w:t xml:space="preserve"> </w:t>
      </w:r>
      <w:r>
        <w:rPr>
          <w:lang w:val="en-US"/>
        </w:rPr>
        <w:t>The need for ultrasound guidance and dressings would add to the costs. Injection by untrained staff without adequate imaging could pose risks of damage to blood vessels or adjacent nerves as in the axilla.</w:t>
      </w:r>
    </w:p>
    <w:p w14:paraId="136C40EC" w14:textId="77777777" w:rsidR="00C22678" w:rsidRDefault="00C22678" w:rsidP="00C22678">
      <w:pPr>
        <w:pStyle w:val="Heading2"/>
      </w:pPr>
      <w:bookmarkStart w:id="140" w:name="_Toc452631094"/>
      <w:r>
        <w:t>Clinical safety</w:t>
      </w:r>
      <w:bookmarkEnd w:id="140"/>
    </w:p>
    <w:p w14:paraId="3B034BBE" w14:textId="77777777" w:rsidR="00970674" w:rsidRDefault="00970674" w:rsidP="00AA79D7">
      <w:pPr>
        <w:pStyle w:val="Heading3"/>
      </w:pPr>
      <w:bookmarkStart w:id="141" w:name="_Toc429143914"/>
      <w:bookmarkStart w:id="142" w:name="_Toc290846284"/>
      <w:bookmarkStart w:id="143" w:name="_Toc272414659"/>
      <w:bookmarkStart w:id="144" w:name="_Toc452631095"/>
      <w:r>
        <w:t>Studies providing evaluable safety data</w:t>
      </w:r>
      <w:bookmarkEnd w:id="141"/>
      <w:bookmarkEnd w:id="142"/>
      <w:bookmarkEnd w:id="143"/>
      <w:bookmarkEnd w:id="144"/>
    </w:p>
    <w:p w14:paraId="087D7FBC" w14:textId="77777777" w:rsidR="00970674" w:rsidRDefault="00970674" w:rsidP="00970674">
      <w:bookmarkStart w:id="145" w:name="_Ref268776745"/>
      <w:r>
        <w:t>The following studies provided evaluable safety data:</w:t>
      </w:r>
    </w:p>
    <w:p w14:paraId="5199FC41" w14:textId="77777777" w:rsidR="00970674" w:rsidRDefault="00970674" w:rsidP="00970674">
      <w:pPr>
        <w:rPr>
          <w:lang w:val="en-US"/>
        </w:rPr>
      </w:pPr>
      <w:r>
        <w:rPr>
          <w:lang w:val="en-US"/>
        </w:rPr>
        <w:t xml:space="preserve">The primary analysis of safety is based on the Primary Melanoma Analysis set, which consisted of 419 subjects in Study 005/05 (n = 292 </w:t>
      </w:r>
      <w:proofErr w:type="spellStart"/>
      <w:r>
        <w:rPr>
          <w:lang w:val="en-US"/>
        </w:rPr>
        <w:t>talimogene</w:t>
      </w:r>
      <w:proofErr w:type="spellEnd"/>
      <w:r>
        <w:rPr>
          <w:lang w:val="en-US"/>
        </w:rPr>
        <w:t xml:space="preserve"> </w:t>
      </w:r>
      <w:proofErr w:type="spellStart"/>
      <w:r>
        <w:rPr>
          <w:lang w:val="en-US"/>
        </w:rPr>
        <w:t>laherparepvec</w:t>
      </w:r>
      <w:proofErr w:type="spellEnd"/>
      <w:r>
        <w:rPr>
          <w:lang w:val="en-US"/>
        </w:rPr>
        <w:t xml:space="preserve">, n = 127 GM-CSF). This analysis is supported by data from the Supportive Melanoma Analysis set, which consisted of 342 subjects treated with </w:t>
      </w:r>
      <w:proofErr w:type="spellStart"/>
      <w:r>
        <w:rPr>
          <w:lang w:val="en-US"/>
        </w:rPr>
        <w:t>talimogene</w:t>
      </w:r>
      <w:proofErr w:type="spellEnd"/>
      <w:r>
        <w:rPr>
          <w:lang w:val="en-US"/>
        </w:rPr>
        <w:t xml:space="preserve"> </w:t>
      </w:r>
      <w:proofErr w:type="spellStart"/>
      <w:r>
        <w:rPr>
          <w:lang w:val="en-US"/>
        </w:rPr>
        <w:t>laherparepvec</w:t>
      </w:r>
      <w:proofErr w:type="spellEnd"/>
      <w:r>
        <w:rPr>
          <w:lang w:val="en-US"/>
        </w:rPr>
        <w:t xml:space="preserve">: 292 subjects in the Primary Melanoma Analysis Set and 50 subjects in Study 002/03, including 30 subjects (27 from Study 005/05 and 3 subjects from Study 002/03) who </w:t>
      </w:r>
      <w:r w:rsidR="00E420FF">
        <w:rPr>
          <w:lang w:val="en-US"/>
        </w:rPr>
        <w:t>‘</w:t>
      </w:r>
      <w:r>
        <w:rPr>
          <w:lang w:val="en-US"/>
        </w:rPr>
        <w:t>rolled over</w:t>
      </w:r>
      <w:r w:rsidR="00E420FF">
        <w:rPr>
          <w:lang w:val="en-US"/>
        </w:rPr>
        <w:t>’</w:t>
      </w:r>
      <w:r>
        <w:rPr>
          <w:lang w:val="en-US"/>
        </w:rPr>
        <w:t xml:space="preserve"> into their respective extension </w:t>
      </w:r>
      <w:r w:rsidR="00AA79D7">
        <w:rPr>
          <w:lang w:val="en-US"/>
        </w:rPr>
        <w:t>S</w:t>
      </w:r>
      <w:r>
        <w:rPr>
          <w:lang w:val="en-US"/>
        </w:rPr>
        <w:t xml:space="preserve">tudies 005/05-E and 002/03-E. Analyses of exposure, fatal adverse events, and drug-induced liver toxicity were performed on the Program-Wide Analysis Set consisting of 408 subjects treated with </w:t>
      </w:r>
      <w:proofErr w:type="spellStart"/>
      <w:r>
        <w:rPr>
          <w:lang w:val="en-US"/>
        </w:rPr>
        <w:t>talimogene</w:t>
      </w:r>
      <w:proofErr w:type="spellEnd"/>
      <w:r>
        <w:rPr>
          <w:lang w:val="en-US"/>
        </w:rPr>
        <w:t xml:space="preserve"> </w:t>
      </w:r>
      <w:proofErr w:type="spellStart"/>
      <w:r>
        <w:rPr>
          <w:lang w:val="en-US"/>
        </w:rPr>
        <w:t>laherparepvec</w:t>
      </w:r>
      <w:proofErr w:type="spellEnd"/>
      <w:r>
        <w:rPr>
          <w:lang w:val="en-US"/>
        </w:rPr>
        <w:t xml:space="preserve"> in the Primary and Supportive Melanoma Analysis Sets, as well as in Studies 001/01, 004/04, and 005/04.</w:t>
      </w:r>
    </w:p>
    <w:p w14:paraId="1B6F22DB" w14:textId="77777777" w:rsidR="00970674" w:rsidRDefault="00970674" w:rsidP="00AA79D7">
      <w:pPr>
        <w:pStyle w:val="Heading4"/>
      </w:pPr>
      <w:r>
        <w:t>Pivotal efficacy and safety study</w:t>
      </w:r>
      <w:bookmarkEnd w:id="145"/>
      <w:r>
        <w:t xml:space="preserve"> – Study 005/05</w:t>
      </w:r>
    </w:p>
    <w:p w14:paraId="1198EBDA" w14:textId="77777777" w:rsidR="00970674" w:rsidRDefault="00970674" w:rsidP="00AA79D7">
      <w:r>
        <w:t>In the pivotal efficacy and safety studies, the following safety data were collected:</w:t>
      </w:r>
    </w:p>
    <w:p w14:paraId="329CB7D4" w14:textId="77777777" w:rsidR="00970674" w:rsidRDefault="00970674" w:rsidP="00AA79D7">
      <w:pPr>
        <w:pStyle w:val="ListBullet"/>
      </w:pPr>
      <w:r>
        <w:t>General adverse events (AEs) were assessed by collection of adverse events throughout the studies.</w:t>
      </w:r>
    </w:p>
    <w:p w14:paraId="41450B3E" w14:textId="77777777" w:rsidR="00970674" w:rsidRDefault="00970674" w:rsidP="00AA79D7">
      <w:pPr>
        <w:pStyle w:val="ListBullet"/>
      </w:pPr>
      <w:r>
        <w:t xml:space="preserve">The subject incidence of potential cases of hepatotoxicity was retrieved using the SMQ drug related hepatic disorders - comprehensive search. In addition, a listing of potential </w:t>
      </w:r>
      <w:proofErr w:type="spellStart"/>
      <w:r>
        <w:t>Hy’s</w:t>
      </w:r>
      <w:proofErr w:type="spellEnd"/>
      <w:r>
        <w:t xml:space="preserve"> Law cases identified from the Program-wide Analysis Set is provided. Potential hepatotoxicity was identified by application of </w:t>
      </w:r>
      <w:proofErr w:type="spellStart"/>
      <w:r>
        <w:t>Hy’s</w:t>
      </w:r>
      <w:proofErr w:type="spellEnd"/>
      <w:r>
        <w:t xml:space="preserve"> Law as: alanine aminotransferase (ALT) or aspartate aminotransferase (AST) &gt; 3.0 upper limit of normal (ULN), total bilirubin (TBL) ≥ 2.0 ULN, </w:t>
      </w:r>
      <w:r>
        <w:lastRenderedPageBreak/>
        <w:t>alkaline phosphatase (ALP) &lt; 2.0 ULN, and no other confounding factors including pre-existing or acute liver disease.</w:t>
      </w:r>
    </w:p>
    <w:p w14:paraId="10CD3174" w14:textId="77777777" w:rsidR="00970674" w:rsidRDefault="00970674" w:rsidP="00AA79D7">
      <w:pPr>
        <w:pStyle w:val="ListBullet"/>
      </w:pPr>
      <w:r>
        <w:rPr>
          <w:lang w:val="en-US"/>
        </w:rPr>
        <w:t xml:space="preserve">The subject incidence of potential cases of nephrotoxicity was retrieved using the SMQ </w:t>
      </w:r>
      <w:r>
        <w:rPr>
          <w:i/>
          <w:iCs/>
          <w:lang w:val="en-US"/>
        </w:rPr>
        <w:t>acute renal failure</w:t>
      </w:r>
      <w:r>
        <w:rPr>
          <w:lang w:val="en-US"/>
        </w:rPr>
        <w:t xml:space="preserve">. </w:t>
      </w:r>
    </w:p>
    <w:p w14:paraId="2AEEE025" w14:textId="77777777" w:rsidR="00970674" w:rsidRDefault="00970674" w:rsidP="00AA79D7">
      <w:pPr>
        <w:pStyle w:val="ListBullet"/>
      </w:pPr>
      <w:r>
        <w:rPr>
          <w:lang w:val="en-US"/>
        </w:rPr>
        <w:t xml:space="preserve">The subject incidence of potential cases of bone marrow toxicity was retrieved using the SMQ </w:t>
      </w:r>
      <w:r>
        <w:rPr>
          <w:i/>
          <w:iCs/>
          <w:lang w:val="en-US"/>
        </w:rPr>
        <w:t xml:space="preserve">hematopoietic </w:t>
      </w:r>
      <w:proofErr w:type="spellStart"/>
      <w:r>
        <w:rPr>
          <w:i/>
          <w:iCs/>
          <w:lang w:val="en-US"/>
        </w:rPr>
        <w:t>cytopenias</w:t>
      </w:r>
      <w:proofErr w:type="spellEnd"/>
      <w:r>
        <w:rPr>
          <w:lang w:val="en-US"/>
        </w:rPr>
        <w:t xml:space="preserve">. </w:t>
      </w:r>
    </w:p>
    <w:p w14:paraId="2919BD57" w14:textId="448B8BD0" w:rsidR="00970674" w:rsidRDefault="00970674" w:rsidP="00AA79D7">
      <w:pPr>
        <w:pStyle w:val="ListBullet"/>
      </w:pPr>
      <w:r>
        <w:rPr>
          <w:lang w:val="en-US"/>
        </w:rPr>
        <w:t xml:space="preserve">The subject incidence of potential cases of QT prolongation was retrieved using the SMQs of </w:t>
      </w:r>
      <w:r>
        <w:rPr>
          <w:i/>
          <w:iCs/>
          <w:lang w:val="en-US"/>
        </w:rPr>
        <w:t xml:space="preserve">torsade de pointes/QT prolongation </w:t>
      </w:r>
      <w:r>
        <w:rPr>
          <w:lang w:val="en-US"/>
        </w:rPr>
        <w:t xml:space="preserve">and </w:t>
      </w:r>
      <w:r>
        <w:rPr>
          <w:i/>
          <w:iCs/>
          <w:lang w:val="en-US"/>
        </w:rPr>
        <w:t>cardiac arrhythmias</w:t>
      </w:r>
      <w:r>
        <w:rPr>
          <w:lang w:val="en-US"/>
        </w:rPr>
        <w:t xml:space="preserve">. ECG findings (normal, abnormal but not clinically significant, abnormal and clinically significant) at baseline were </w:t>
      </w:r>
      <w:proofErr w:type="spellStart"/>
      <w:r w:rsidR="008572F8">
        <w:rPr>
          <w:lang w:val="en-US"/>
        </w:rPr>
        <w:t>summarised</w:t>
      </w:r>
      <w:proofErr w:type="spellEnd"/>
      <w:r>
        <w:rPr>
          <w:lang w:val="en-US"/>
        </w:rPr>
        <w:t>.</w:t>
      </w:r>
    </w:p>
    <w:p w14:paraId="5B817A89" w14:textId="77777777" w:rsidR="00970674" w:rsidRDefault="00970674" w:rsidP="00AA79D7">
      <w:pPr>
        <w:pStyle w:val="ListBullet"/>
      </w:pPr>
      <w:r>
        <w:rPr>
          <w:lang w:val="en-US"/>
        </w:rPr>
        <w:t xml:space="preserve">Adverse events of special interest in the context of </w:t>
      </w:r>
      <w:proofErr w:type="spellStart"/>
      <w:r>
        <w:rPr>
          <w:lang w:val="en-US"/>
        </w:rPr>
        <w:t>talimogene</w:t>
      </w:r>
      <w:proofErr w:type="spellEnd"/>
      <w:r>
        <w:rPr>
          <w:lang w:val="en-US"/>
        </w:rPr>
        <w:t xml:space="preserve"> </w:t>
      </w:r>
      <w:proofErr w:type="spellStart"/>
      <w:r>
        <w:rPr>
          <w:lang w:val="en-US"/>
        </w:rPr>
        <w:t>laherparepvec</w:t>
      </w:r>
      <w:proofErr w:type="spellEnd"/>
      <w:r>
        <w:rPr>
          <w:lang w:val="en-US"/>
        </w:rPr>
        <w:t xml:space="preserve"> administration have been identified by the sponsor and include: immune-mediated adverse events (autoimmune disorders), cellulitis at the injection site, flu-like symptoms, HSV infections, hypersensitivity reactions, injection site reactions, and vitiligo. Impaired wound healing at the injection site, </w:t>
      </w:r>
      <w:proofErr w:type="spellStart"/>
      <w:r>
        <w:rPr>
          <w:lang w:val="en-US"/>
        </w:rPr>
        <w:t>plasmacytoma</w:t>
      </w:r>
      <w:proofErr w:type="spellEnd"/>
      <w:r>
        <w:rPr>
          <w:lang w:val="en-US"/>
        </w:rPr>
        <w:t>, and other neoplastic events were added as events of interest during the review of integrated clinical trial data.</w:t>
      </w:r>
    </w:p>
    <w:p w14:paraId="1146C1FF" w14:textId="77777777" w:rsidR="00970674" w:rsidRDefault="00970674" w:rsidP="00AA79D7">
      <w:pPr>
        <w:pStyle w:val="Heading4"/>
      </w:pPr>
      <w:r>
        <w:t>Pivotal studies that assessed safety as a primary outcome</w:t>
      </w:r>
    </w:p>
    <w:p w14:paraId="628D2083" w14:textId="77777777" w:rsidR="00970674" w:rsidRDefault="00970674" w:rsidP="00AA79D7">
      <w:r>
        <w:t>Stud</w:t>
      </w:r>
      <w:r w:rsidR="00AA79D7">
        <w:t>y</w:t>
      </w:r>
      <w:r>
        <w:t xml:space="preserve"> 005/05 was a pivotal study that assessed safety as a primary outcome. </w:t>
      </w:r>
    </w:p>
    <w:p w14:paraId="5B25295D" w14:textId="77777777" w:rsidR="00970674" w:rsidRDefault="00970674" w:rsidP="00AA79D7">
      <w:pPr>
        <w:pStyle w:val="Heading4"/>
      </w:pPr>
      <w:r>
        <w:t>Dose-response and non-pivotal efficacy studies</w:t>
      </w:r>
    </w:p>
    <w:p w14:paraId="3BB0C494" w14:textId="77777777" w:rsidR="00970674" w:rsidRDefault="00970674" w:rsidP="00AA79D7">
      <w:r>
        <w:t>The dose-response and non-pivotal efficacy studies provided safety data, as follows:</w:t>
      </w:r>
    </w:p>
    <w:p w14:paraId="07723BE8" w14:textId="77777777" w:rsidR="00970674" w:rsidRDefault="00970674" w:rsidP="00AA79D7">
      <w:pPr>
        <w:pStyle w:val="ListBullet"/>
      </w:pPr>
      <w:r>
        <w:t xml:space="preserve">Studies 001/01and 004/04 provided data on </w:t>
      </w:r>
      <w:proofErr w:type="spellStart"/>
      <w:r>
        <w:t>biodistribution</w:t>
      </w:r>
      <w:proofErr w:type="spellEnd"/>
      <w:r>
        <w:t xml:space="preserve"> of shed virus in blood and urine</w:t>
      </w:r>
    </w:p>
    <w:p w14:paraId="4470FA77" w14:textId="77777777" w:rsidR="00970674" w:rsidRDefault="00970674" w:rsidP="00AA79D7">
      <w:pPr>
        <w:pStyle w:val="ListBullet"/>
      </w:pPr>
      <w:r>
        <w:t>Study 002/03 provided data on efficacy and viral shedding into investigative swabs</w:t>
      </w:r>
    </w:p>
    <w:p w14:paraId="3D457023" w14:textId="77777777" w:rsidR="00970674" w:rsidRDefault="00970674" w:rsidP="00AA79D7">
      <w:pPr>
        <w:pStyle w:val="ListBullet"/>
      </w:pPr>
      <w:r>
        <w:t xml:space="preserve">Studies 001/01, 002/03 provided data on </w:t>
      </w:r>
      <w:r w:rsidR="00E420FF">
        <w:t>‘</w:t>
      </w:r>
      <w:r>
        <w:t>reactive swabs’</w:t>
      </w:r>
      <w:r w:rsidR="00E420FF">
        <w:t>’</w:t>
      </w:r>
      <w:r>
        <w:t xml:space="preserve"> from injected and non</w:t>
      </w:r>
      <w:r w:rsidR="001A4B22">
        <w:t>-</w:t>
      </w:r>
      <w:r>
        <w:t>injected melanoma lesions</w:t>
      </w:r>
      <w:r w:rsidR="00BA348C">
        <w:t xml:space="preserve"> </w:t>
      </w:r>
    </w:p>
    <w:p w14:paraId="2BEBBE71" w14:textId="77777777" w:rsidR="00970674" w:rsidRDefault="00970674" w:rsidP="00AA79D7">
      <w:pPr>
        <w:pStyle w:val="Heading4"/>
      </w:pPr>
      <w:r>
        <w:t>Other studies evaluable for safety only</w:t>
      </w:r>
    </w:p>
    <w:p w14:paraId="0DF5B2B8" w14:textId="77777777" w:rsidR="00970674" w:rsidRDefault="00970674" w:rsidP="00970674">
      <w:r>
        <w:t>Not applicable</w:t>
      </w:r>
    </w:p>
    <w:p w14:paraId="25D60321" w14:textId="77777777" w:rsidR="00970674" w:rsidRDefault="00970674" w:rsidP="00AA79D7">
      <w:pPr>
        <w:pStyle w:val="Heading4"/>
      </w:pPr>
      <w:bookmarkStart w:id="146" w:name="_Toc429143915"/>
      <w:bookmarkStart w:id="147" w:name="_Toc290846285"/>
      <w:bookmarkStart w:id="148" w:name="_Toc272414660"/>
      <w:bookmarkStart w:id="149" w:name="_Ref271195841"/>
      <w:bookmarkStart w:id="150" w:name="_Ref271195835"/>
      <w:bookmarkStart w:id="151" w:name="_Ref269204367"/>
      <w:r>
        <w:t>Pivotal studies that assessed safety as a primary outcome</w:t>
      </w:r>
      <w:bookmarkEnd w:id="146"/>
      <w:bookmarkEnd w:id="147"/>
      <w:bookmarkEnd w:id="148"/>
      <w:bookmarkEnd w:id="149"/>
      <w:bookmarkEnd w:id="150"/>
      <w:bookmarkEnd w:id="151"/>
    </w:p>
    <w:p w14:paraId="1E42CB01" w14:textId="77777777" w:rsidR="00970674" w:rsidRDefault="00970674" w:rsidP="00AA79D7">
      <w:pPr>
        <w:pStyle w:val="Heading5"/>
      </w:pPr>
      <w:bookmarkStart w:id="152" w:name="_Toc429143916"/>
      <w:bookmarkStart w:id="153" w:name="_Toc290846286"/>
      <w:bookmarkStart w:id="154" w:name="_Ref290844188"/>
      <w:r>
        <w:t>Study 005/05</w:t>
      </w:r>
      <w:bookmarkEnd w:id="152"/>
      <w:bookmarkEnd w:id="153"/>
      <w:bookmarkEnd w:id="154"/>
    </w:p>
    <w:p w14:paraId="037299D1" w14:textId="77777777" w:rsidR="00970674" w:rsidRPr="005034AC" w:rsidRDefault="00970674" w:rsidP="00AA79D7">
      <w:pPr>
        <w:pStyle w:val="Heading6"/>
      </w:pPr>
      <w:bookmarkStart w:id="155" w:name="_Toc429143917"/>
      <w:bookmarkStart w:id="156" w:name="_Toc290846287"/>
      <w:r w:rsidRPr="005034AC">
        <w:t>Study design, objectives, locations and dates</w:t>
      </w:r>
      <w:bookmarkEnd w:id="155"/>
      <w:bookmarkEnd w:id="156"/>
    </w:p>
    <w:p w14:paraId="5E83A018" w14:textId="68E23AD4" w:rsidR="00970674" w:rsidRPr="005034AC" w:rsidRDefault="00970674" w:rsidP="00970674">
      <w:pPr>
        <w:autoSpaceDE w:val="0"/>
        <w:autoSpaceDN w:val="0"/>
        <w:adjustRightInd w:val="0"/>
      </w:pPr>
      <w:r w:rsidRPr="005034AC">
        <w:t>See section 7.1.1.1 of this report</w:t>
      </w:r>
      <w:r w:rsidR="008572F8">
        <w:t>.</w:t>
      </w:r>
    </w:p>
    <w:p w14:paraId="7AA1A942" w14:textId="77777777" w:rsidR="00970674" w:rsidRPr="005034AC" w:rsidRDefault="00970674" w:rsidP="00AA79D7">
      <w:pPr>
        <w:pStyle w:val="Heading6"/>
      </w:pPr>
      <w:bookmarkStart w:id="157" w:name="_Toc429143918"/>
      <w:bookmarkStart w:id="158" w:name="_Toc290846288"/>
      <w:r w:rsidRPr="005034AC">
        <w:t>Inclusion and exclusion criteria</w:t>
      </w:r>
      <w:bookmarkEnd w:id="157"/>
      <w:bookmarkEnd w:id="158"/>
    </w:p>
    <w:p w14:paraId="26E74270" w14:textId="22B084C5" w:rsidR="00970674" w:rsidRPr="005034AC" w:rsidRDefault="00970674" w:rsidP="00970674">
      <w:pPr>
        <w:autoSpaceDE w:val="0"/>
        <w:autoSpaceDN w:val="0"/>
        <w:adjustRightInd w:val="0"/>
      </w:pPr>
      <w:r w:rsidRPr="005034AC">
        <w:t>See section 7.1.1.1 of this report</w:t>
      </w:r>
      <w:r w:rsidR="008572F8">
        <w:t>.</w:t>
      </w:r>
    </w:p>
    <w:p w14:paraId="10EC871A" w14:textId="77777777" w:rsidR="00970674" w:rsidRPr="005034AC" w:rsidRDefault="00970674" w:rsidP="00AA79D7">
      <w:pPr>
        <w:pStyle w:val="Heading6"/>
      </w:pPr>
      <w:bookmarkStart w:id="159" w:name="_Toc429143919"/>
      <w:bookmarkStart w:id="160" w:name="_Toc290846289"/>
      <w:r w:rsidRPr="005034AC">
        <w:t>Study treatments</w:t>
      </w:r>
      <w:bookmarkEnd w:id="159"/>
      <w:bookmarkEnd w:id="160"/>
    </w:p>
    <w:p w14:paraId="5D079DB3" w14:textId="49F7B8DF" w:rsidR="00970674" w:rsidRDefault="00970674" w:rsidP="00970674">
      <w:pPr>
        <w:autoSpaceDE w:val="0"/>
        <w:autoSpaceDN w:val="0"/>
        <w:adjustRightInd w:val="0"/>
      </w:pPr>
      <w:r w:rsidRPr="005034AC">
        <w:t>See section 7.1.1.1 of this report</w:t>
      </w:r>
      <w:r w:rsidR="008572F8">
        <w:t>.</w:t>
      </w:r>
    </w:p>
    <w:p w14:paraId="0839D125" w14:textId="77777777" w:rsidR="00970674" w:rsidRDefault="00970674" w:rsidP="00AA79D7">
      <w:pPr>
        <w:pStyle w:val="Heading6"/>
      </w:pPr>
      <w:bookmarkStart w:id="161" w:name="_Toc429143920"/>
      <w:bookmarkStart w:id="162" w:name="_Toc290846290"/>
      <w:r>
        <w:t>Safety variables and outcomes</w:t>
      </w:r>
      <w:bookmarkEnd w:id="161"/>
      <w:bookmarkEnd w:id="162"/>
    </w:p>
    <w:p w14:paraId="2D19283F" w14:textId="77777777" w:rsidR="00970674" w:rsidRDefault="00970674" w:rsidP="00AA79D7">
      <w:pPr>
        <w:rPr>
          <w:lang w:val="en-US"/>
        </w:rPr>
      </w:pPr>
      <w:r>
        <w:rPr>
          <w:lang w:val="en-US"/>
        </w:rPr>
        <w:t>Safety was evaluated using National Cancer Institute (NCI) Common Terminology Criteria for Adverse Events (CTCAE), version 3.0, based on adverse events, physical examinations, and clinical laboratory assessments.</w:t>
      </w:r>
    </w:p>
    <w:p w14:paraId="3929CE61" w14:textId="77777777" w:rsidR="00970674" w:rsidRDefault="00970674" w:rsidP="00AA79D7">
      <w:pPr>
        <w:rPr>
          <w:lang w:val="en-US"/>
        </w:rPr>
      </w:pPr>
      <w:r>
        <w:rPr>
          <w:lang w:val="en-US"/>
        </w:rPr>
        <w:t>All adverse events were coded according to Medical Dictionary for Regulatory Activities (</w:t>
      </w:r>
      <w:proofErr w:type="spellStart"/>
      <w:r>
        <w:rPr>
          <w:lang w:val="en-US"/>
        </w:rPr>
        <w:t>MedDRA</w:t>
      </w:r>
      <w:proofErr w:type="spellEnd"/>
      <w:r>
        <w:rPr>
          <w:lang w:val="en-US"/>
        </w:rPr>
        <w:t xml:space="preserve">) version 10.1 or later. A patient experiencing multiple events that map to a single adverse event, the greatest severity and strongest investigator assessment of relation to study </w:t>
      </w:r>
      <w:r>
        <w:rPr>
          <w:lang w:val="en-US"/>
        </w:rPr>
        <w:lastRenderedPageBreak/>
        <w:t xml:space="preserve">drug was assigned to the adverse event in order to summarize the findings for the purpose of comparing </w:t>
      </w:r>
      <w:proofErr w:type="spellStart"/>
      <w:r>
        <w:rPr>
          <w:lang w:val="en-US"/>
        </w:rPr>
        <w:t>OncoVEX</w:t>
      </w:r>
      <w:r w:rsidRPr="00090F4E">
        <w:rPr>
          <w:vertAlign w:val="superscript"/>
          <w:lang w:val="en-US"/>
        </w:rPr>
        <w:t>GM</w:t>
      </w:r>
      <w:proofErr w:type="spellEnd"/>
      <w:r w:rsidRPr="00090F4E">
        <w:rPr>
          <w:vertAlign w:val="superscript"/>
          <w:lang w:val="en-US"/>
        </w:rPr>
        <w:t>-CSF</w:t>
      </w:r>
      <w:r>
        <w:rPr>
          <w:lang w:val="en-US"/>
        </w:rPr>
        <w:t xml:space="preserve"> </w:t>
      </w:r>
      <w:r w:rsidR="003A2634">
        <w:rPr>
          <w:lang w:val="en-US"/>
        </w:rPr>
        <w:t>versus</w:t>
      </w:r>
      <w:r>
        <w:rPr>
          <w:lang w:val="en-US"/>
        </w:rPr>
        <w:t xml:space="preserve"> GM-CSF.</w:t>
      </w:r>
    </w:p>
    <w:p w14:paraId="13DF42BF" w14:textId="77777777" w:rsidR="00970674" w:rsidRPr="005034AC" w:rsidRDefault="00970674" w:rsidP="00AA79D7">
      <w:pPr>
        <w:pStyle w:val="Heading6"/>
      </w:pPr>
      <w:bookmarkStart w:id="163" w:name="_Toc429143921"/>
      <w:bookmarkStart w:id="164" w:name="_Toc290846291"/>
      <w:r w:rsidRPr="005034AC">
        <w:t>Randomisation and blinding methods</w:t>
      </w:r>
      <w:bookmarkEnd w:id="163"/>
      <w:bookmarkEnd w:id="164"/>
    </w:p>
    <w:p w14:paraId="77105540" w14:textId="6A7EEF55" w:rsidR="00970674" w:rsidRPr="005034AC" w:rsidRDefault="00970674" w:rsidP="00970674">
      <w:pPr>
        <w:autoSpaceDE w:val="0"/>
        <w:autoSpaceDN w:val="0"/>
        <w:adjustRightInd w:val="0"/>
        <w:jc w:val="both"/>
      </w:pPr>
      <w:r w:rsidRPr="005034AC">
        <w:t>See section 7.1.1.1 of this report</w:t>
      </w:r>
      <w:r w:rsidR="008572F8">
        <w:t>.</w:t>
      </w:r>
    </w:p>
    <w:p w14:paraId="48A37D79" w14:textId="77777777" w:rsidR="00970674" w:rsidRPr="005034AC" w:rsidRDefault="00970674" w:rsidP="00970674">
      <w:r w:rsidRPr="005034AC">
        <w:t xml:space="preserve">Study was not blinded for reasons of </w:t>
      </w:r>
      <w:proofErr w:type="spellStart"/>
      <w:r w:rsidRPr="005034AC">
        <w:t>intralesional</w:t>
      </w:r>
      <w:proofErr w:type="spellEnd"/>
      <w:r w:rsidRPr="005034AC">
        <w:t xml:space="preserve"> treatments</w:t>
      </w:r>
    </w:p>
    <w:p w14:paraId="4311634C" w14:textId="77777777" w:rsidR="00970674" w:rsidRPr="005034AC" w:rsidRDefault="00970674" w:rsidP="00AA79D7">
      <w:pPr>
        <w:pStyle w:val="Heading6"/>
      </w:pPr>
      <w:bookmarkStart w:id="165" w:name="_Toc429143922"/>
      <w:bookmarkStart w:id="166" w:name="_Toc290846292"/>
      <w:r w:rsidRPr="005034AC">
        <w:t>Analysis populations</w:t>
      </w:r>
      <w:bookmarkEnd w:id="165"/>
      <w:bookmarkEnd w:id="166"/>
    </w:p>
    <w:p w14:paraId="0D1B3A5F" w14:textId="77777777" w:rsidR="00970674" w:rsidRPr="005034AC" w:rsidRDefault="00970674" w:rsidP="00970674">
      <w:pPr>
        <w:autoSpaceDE w:val="0"/>
        <w:autoSpaceDN w:val="0"/>
        <w:adjustRightInd w:val="0"/>
        <w:jc w:val="both"/>
      </w:pPr>
      <w:r w:rsidRPr="005034AC">
        <w:t>The primary analysis of the primary endpoint, DRR, was performed using the intent-to-treat (ITT) analysis set, which was to consist of all subjects who were randomized to study treatment.</w:t>
      </w:r>
    </w:p>
    <w:p w14:paraId="689B073B" w14:textId="77777777" w:rsidR="00970674" w:rsidRPr="005034AC" w:rsidRDefault="00AA79D7" w:rsidP="00AA79D7">
      <w:pPr>
        <w:pStyle w:val="Comment"/>
      </w:pPr>
      <w:r w:rsidRPr="005034AC">
        <w:rPr>
          <w:b/>
        </w:rPr>
        <w:t>C</w:t>
      </w:r>
      <w:r w:rsidR="00970674" w:rsidRPr="005034AC">
        <w:rPr>
          <w:b/>
        </w:rPr>
        <w:t>omment:</w:t>
      </w:r>
      <w:r w:rsidR="00970674" w:rsidRPr="005034AC">
        <w:t xml:space="preserve"> </w:t>
      </w:r>
      <w:r w:rsidRPr="005034AC">
        <w:t xml:space="preserve"> </w:t>
      </w:r>
      <w:r w:rsidR="00970674" w:rsidRPr="005034AC">
        <w:t>Heavily biased towards patients with good prognosis and minimal disease burden. Not representative of patients seen in clinics.</w:t>
      </w:r>
    </w:p>
    <w:p w14:paraId="1E714F88" w14:textId="77777777" w:rsidR="00970674" w:rsidRPr="005034AC" w:rsidRDefault="00970674" w:rsidP="00AA79D7">
      <w:pPr>
        <w:pStyle w:val="Heading6"/>
      </w:pPr>
      <w:bookmarkStart w:id="167" w:name="_Toc429143923"/>
      <w:bookmarkStart w:id="168" w:name="_Toc290846293"/>
      <w:r w:rsidRPr="005034AC">
        <w:t>Sample size</w:t>
      </w:r>
      <w:bookmarkEnd w:id="167"/>
      <w:bookmarkEnd w:id="168"/>
    </w:p>
    <w:p w14:paraId="7C04D9DD" w14:textId="517AAE56" w:rsidR="00970674" w:rsidRPr="005034AC" w:rsidRDefault="00970674" w:rsidP="00970674">
      <w:r w:rsidRPr="005034AC">
        <w:t>See Section 7.1.1.1 of this report</w:t>
      </w:r>
      <w:r w:rsidR="008572F8">
        <w:t>.</w:t>
      </w:r>
    </w:p>
    <w:p w14:paraId="6126DBBC" w14:textId="77777777" w:rsidR="00970674" w:rsidRPr="005034AC" w:rsidRDefault="00970674" w:rsidP="00AA79D7">
      <w:pPr>
        <w:pStyle w:val="Heading6"/>
      </w:pPr>
      <w:bookmarkStart w:id="169" w:name="_Toc429143924"/>
      <w:bookmarkStart w:id="170" w:name="_Toc290846294"/>
      <w:r w:rsidRPr="005034AC">
        <w:t>Statistical methods</w:t>
      </w:r>
      <w:bookmarkEnd w:id="169"/>
      <w:bookmarkEnd w:id="170"/>
    </w:p>
    <w:p w14:paraId="2AC89D3B" w14:textId="72D7879E" w:rsidR="00970674" w:rsidRPr="005034AC" w:rsidRDefault="00970674" w:rsidP="00970674">
      <w:r w:rsidRPr="005034AC">
        <w:t>See Section 7.1.1.1 of this report</w:t>
      </w:r>
      <w:r w:rsidR="008572F8">
        <w:t>.</w:t>
      </w:r>
    </w:p>
    <w:p w14:paraId="6D44A36B" w14:textId="77777777" w:rsidR="00970674" w:rsidRPr="005034AC" w:rsidRDefault="00970674" w:rsidP="00AA79D7">
      <w:pPr>
        <w:pStyle w:val="Heading6"/>
      </w:pPr>
      <w:bookmarkStart w:id="171" w:name="_Toc429143925"/>
      <w:bookmarkStart w:id="172" w:name="_Toc290846295"/>
      <w:r w:rsidRPr="005034AC">
        <w:t>Participant flow</w:t>
      </w:r>
      <w:bookmarkEnd w:id="171"/>
      <w:bookmarkEnd w:id="172"/>
    </w:p>
    <w:p w14:paraId="7D3E288B" w14:textId="392F9E45" w:rsidR="00970674" w:rsidRPr="005034AC" w:rsidRDefault="00970674" w:rsidP="00970674">
      <w:r w:rsidRPr="005034AC">
        <w:t>See Section 7.1.1.1 of this report</w:t>
      </w:r>
      <w:r w:rsidR="008572F8">
        <w:t>.</w:t>
      </w:r>
    </w:p>
    <w:p w14:paraId="54A65342" w14:textId="77777777" w:rsidR="00970674" w:rsidRPr="005034AC" w:rsidRDefault="00970674" w:rsidP="00AA79D7">
      <w:pPr>
        <w:pStyle w:val="Heading6"/>
      </w:pPr>
      <w:bookmarkStart w:id="173" w:name="_Toc429143926"/>
      <w:bookmarkStart w:id="174" w:name="_Toc290846296"/>
      <w:r w:rsidRPr="005034AC">
        <w:t>Major protocol violations/deviations</w:t>
      </w:r>
      <w:bookmarkEnd w:id="173"/>
      <w:bookmarkEnd w:id="174"/>
    </w:p>
    <w:p w14:paraId="0BD4E113" w14:textId="1CF68A98" w:rsidR="00970674" w:rsidRPr="005034AC" w:rsidRDefault="00970674" w:rsidP="00970674">
      <w:pPr>
        <w:autoSpaceDE w:val="0"/>
        <w:autoSpaceDN w:val="0"/>
        <w:adjustRightInd w:val="0"/>
      </w:pPr>
      <w:r w:rsidRPr="005034AC">
        <w:t>See Section 7.1.1.1 of this report</w:t>
      </w:r>
      <w:r w:rsidR="008572F8">
        <w:t>.</w:t>
      </w:r>
    </w:p>
    <w:p w14:paraId="00CB3E11" w14:textId="77777777" w:rsidR="00970674" w:rsidRPr="005034AC" w:rsidRDefault="00970674" w:rsidP="00AA79D7">
      <w:pPr>
        <w:pStyle w:val="Heading6"/>
      </w:pPr>
      <w:bookmarkStart w:id="175" w:name="_Toc429143927"/>
      <w:bookmarkStart w:id="176" w:name="_Toc290846297"/>
      <w:r w:rsidRPr="005034AC">
        <w:t>Baseline data</w:t>
      </w:r>
      <w:bookmarkEnd w:id="175"/>
      <w:bookmarkEnd w:id="176"/>
    </w:p>
    <w:p w14:paraId="1018D371" w14:textId="0648411C" w:rsidR="00970674" w:rsidRPr="005034AC" w:rsidRDefault="00970674" w:rsidP="00970674">
      <w:pPr>
        <w:autoSpaceDE w:val="0"/>
        <w:autoSpaceDN w:val="0"/>
        <w:adjustRightInd w:val="0"/>
      </w:pPr>
      <w:r w:rsidRPr="005034AC">
        <w:t>See Section 7.1.1.1 of this report</w:t>
      </w:r>
      <w:r w:rsidR="008572F8">
        <w:t>.</w:t>
      </w:r>
    </w:p>
    <w:p w14:paraId="2374518C" w14:textId="77777777" w:rsidR="00970674" w:rsidRPr="005034AC" w:rsidRDefault="00970674" w:rsidP="00AA79D7">
      <w:pPr>
        <w:pStyle w:val="Heading6"/>
      </w:pPr>
      <w:bookmarkStart w:id="177" w:name="_Toc429143928"/>
      <w:bookmarkStart w:id="178" w:name="_Toc290846298"/>
      <w:r w:rsidRPr="005034AC">
        <w:t>Results for the primary safety outcome</w:t>
      </w:r>
      <w:bookmarkEnd w:id="177"/>
      <w:bookmarkEnd w:id="178"/>
    </w:p>
    <w:p w14:paraId="40692F61" w14:textId="77777777" w:rsidR="00970674" w:rsidRDefault="00970674" w:rsidP="00970674">
      <w:pPr>
        <w:rPr>
          <w:lang w:val="en-US"/>
        </w:rPr>
      </w:pPr>
      <w:r w:rsidRPr="005034AC">
        <w:rPr>
          <w:lang w:val="en-US"/>
        </w:rPr>
        <w:t>In the Primary Melanoma Analysis Set, at least one adverse event was reported for most subjects in both treatment arms; most of these events</w:t>
      </w:r>
      <w:r>
        <w:rPr>
          <w:lang w:val="en-US"/>
        </w:rPr>
        <w:t xml:space="preserve"> were non</w:t>
      </w:r>
      <w:r w:rsidR="00AA79D7">
        <w:rPr>
          <w:lang w:val="en-US"/>
        </w:rPr>
        <w:t>-</w:t>
      </w:r>
      <w:r>
        <w:rPr>
          <w:lang w:val="en-US"/>
        </w:rPr>
        <w:t xml:space="preserve">serious, and infrequently led to discontinuation of study treatment. Serious adverse events and events with a worst severity </w:t>
      </w:r>
      <w:r w:rsidR="00AA79D7">
        <w:rPr>
          <w:lang w:val="en-US"/>
        </w:rPr>
        <w:t>G</w:t>
      </w:r>
      <w:r>
        <w:rPr>
          <w:lang w:val="en-US"/>
        </w:rPr>
        <w:t xml:space="preserve">rade of 3 or 4 were reported more frequently in the </w:t>
      </w:r>
      <w:proofErr w:type="spellStart"/>
      <w:r>
        <w:rPr>
          <w:lang w:val="en-US"/>
        </w:rPr>
        <w:t>talimogene</w:t>
      </w:r>
      <w:proofErr w:type="spellEnd"/>
      <w:r>
        <w:rPr>
          <w:lang w:val="en-US"/>
        </w:rPr>
        <w:t xml:space="preserve"> </w:t>
      </w:r>
      <w:proofErr w:type="spellStart"/>
      <w:r>
        <w:rPr>
          <w:lang w:val="en-US"/>
        </w:rPr>
        <w:t>laherparepvec</w:t>
      </w:r>
      <w:proofErr w:type="spellEnd"/>
      <w:r>
        <w:rPr>
          <w:lang w:val="en-US"/>
        </w:rPr>
        <w:t xml:space="preserve"> arm, although most of these events were due to progressive melanoma or other underlying disease processes and were not related to treatment. The exposure-adjusted subject incidence of serious adverse events was similar in both arms (47.5 and 38.3 per 100 subject years in the </w:t>
      </w:r>
      <w:proofErr w:type="spellStart"/>
      <w:r>
        <w:rPr>
          <w:lang w:val="en-US"/>
        </w:rPr>
        <w:t>talimogene</w:t>
      </w:r>
      <w:proofErr w:type="spellEnd"/>
      <w:r>
        <w:rPr>
          <w:lang w:val="en-US"/>
        </w:rPr>
        <w:t xml:space="preserve"> </w:t>
      </w:r>
      <w:proofErr w:type="spellStart"/>
      <w:r>
        <w:rPr>
          <w:lang w:val="en-US"/>
        </w:rPr>
        <w:t>laherparepvec</w:t>
      </w:r>
      <w:proofErr w:type="spellEnd"/>
      <w:r>
        <w:rPr>
          <w:lang w:val="en-US"/>
        </w:rPr>
        <w:t xml:space="preserve"> and GM-CSF arms, respectively.</w:t>
      </w:r>
    </w:p>
    <w:p w14:paraId="1E4B7152" w14:textId="77777777" w:rsidR="00970674" w:rsidRDefault="00970674" w:rsidP="00970674">
      <w:pPr>
        <w:rPr>
          <w:lang w:val="en-US"/>
        </w:rPr>
      </w:pPr>
      <w:r>
        <w:rPr>
          <w:lang w:val="en-US"/>
        </w:rPr>
        <w:t xml:space="preserve">Disease progression was the most frequently reported serious adverse event in both arms. Fatal adverse events were infrequently reported, and were most often due to disease progression in both treatment arms. No fatal events were reported as treatment-related. A review of the remaining fatal events did not suggest a new safety signal. The risk of fatal adverse events over time was similar between treatment arms. </w:t>
      </w:r>
    </w:p>
    <w:p w14:paraId="4F47271D" w14:textId="77777777" w:rsidR="00AA79D7" w:rsidRDefault="00970674" w:rsidP="00970674">
      <w:pPr>
        <w:rPr>
          <w:lang w:val="en-US"/>
        </w:rPr>
      </w:pPr>
      <w:r>
        <w:rPr>
          <w:lang w:val="en-US"/>
        </w:rPr>
        <w:t>Table 13 provides a high-level overview of adverse events for the Primary Melanoma Analysis Set.</w:t>
      </w:r>
    </w:p>
    <w:p w14:paraId="77B45295" w14:textId="77777777" w:rsidR="00970674" w:rsidRDefault="00970674" w:rsidP="00AA79D7">
      <w:pPr>
        <w:pStyle w:val="Tabletitle"/>
      </w:pPr>
      <w:bookmarkStart w:id="179" w:name="_Toc291240586"/>
      <w:r>
        <w:lastRenderedPageBreak/>
        <w:t xml:space="preserve">Table </w:t>
      </w:r>
      <w:r w:rsidR="00AA79D7">
        <w:t>13:</w:t>
      </w:r>
      <w:r>
        <w:t xml:space="preserve"> Summary of Subject Incidence of Treatment-emergent Adverse Events (Primary Melanoma analysis set)</w:t>
      </w:r>
      <w:bookmarkEnd w:id="179"/>
    </w:p>
    <w:p w14:paraId="5BD1102B" w14:textId="77777777" w:rsidR="00970674" w:rsidRDefault="00970674" w:rsidP="00970674">
      <w:r>
        <w:rPr>
          <w:noProof/>
          <w:lang w:eastAsia="en-AU"/>
        </w:rPr>
        <w:drawing>
          <wp:inline distT="0" distB="0" distL="0" distR="0" wp14:anchorId="0AD690A3" wp14:editId="34C9E6EF">
            <wp:extent cx="4240788" cy="3968151"/>
            <wp:effectExtent l="0" t="0" r="7620" b="0"/>
            <wp:docPr id="32" name="Picture 32" descr="Table 13: Summary of Subject Incidence of Treatment-emergent Adverse Events (Primary Melanoma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3">
                      <a:extLst>
                        <a:ext uri="{28A0092B-C50C-407E-A947-70E740481C1C}">
                          <a14:useLocalDpi xmlns:a14="http://schemas.microsoft.com/office/drawing/2010/main" val="0"/>
                        </a:ext>
                      </a:extLst>
                    </a:blip>
                    <a:srcRect t="6253" b="2626"/>
                    <a:stretch/>
                  </pic:blipFill>
                  <pic:spPr bwMode="auto">
                    <a:xfrm>
                      <a:off x="0" y="0"/>
                      <a:ext cx="4251059" cy="3977761"/>
                    </a:xfrm>
                    <a:prstGeom prst="rect">
                      <a:avLst/>
                    </a:prstGeom>
                    <a:noFill/>
                    <a:ln>
                      <a:noFill/>
                    </a:ln>
                    <a:extLst>
                      <a:ext uri="{53640926-AAD7-44D8-BBD7-CCE9431645EC}">
                        <a14:shadowObscured xmlns:a14="http://schemas.microsoft.com/office/drawing/2010/main"/>
                      </a:ext>
                    </a:extLst>
                  </pic:spPr>
                </pic:pic>
              </a:graphicData>
            </a:graphic>
          </wp:inline>
        </w:drawing>
      </w:r>
    </w:p>
    <w:p w14:paraId="7E662D24" w14:textId="77777777" w:rsidR="00970674" w:rsidRDefault="00970674" w:rsidP="00AA79D7">
      <w:pPr>
        <w:pStyle w:val="Heading6"/>
      </w:pPr>
      <w:bookmarkStart w:id="180" w:name="_Toc429143929"/>
      <w:bookmarkStart w:id="181" w:name="_Toc290846299"/>
      <w:r>
        <w:t>Results for other safety outcomes</w:t>
      </w:r>
      <w:bookmarkEnd w:id="180"/>
      <w:bookmarkEnd w:id="181"/>
    </w:p>
    <w:p w14:paraId="30DEB105" w14:textId="77777777" w:rsidR="00970674" w:rsidRDefault="00970674" w:rsidP="00AA79D7">
      <w:pPr>
        <w:pStyle w:val="Heading7"/>
      </w:pPr>
      <w:r>
        <w:t xml:space="preserve">Safety in special groups </w:t>
      </w:r>
    </w:p>
    <w:p w14:paraId="6A39D8DE" w14:textId="77777777" w:rsidR="00970674" w:rsidRDefault="00970674" w:rsidP="00AA79D7">
      <w:pPr>
        <w:rPr>
          <w:lang w:val="en-US"/>
        </w:rPr>
      </w:pPr>
      <w:r>
        <w:rPr>
          <w:lang w:val="en-US"/>
        </w:rPr>
        <w:t xml:space="preserve">Clinical studies with </w:t>
      </w:r>
      <w:proofErr w:type="spellStart"/>
      <w:r>
        <w:rPr>
          <w:lang w:val="en-US"/>
        </w:rPr>
        <w:t>talimogene</w:t>
      </w:r>
      <w:proofErr w:type="spellEnd"/>
      <w:r>
        <w:rPr>
          <w:lang w:val="en-US"/>
        </w:rPr>
        <w:t xml:space="preserve"> </w:t>
      </w:r>
      <w:proofErr w:type="spellStart"/>
      <w:r>
        <w:rPr>
          <w:lang w:val="en-US"/>
        </w:rPr>
        <w:t>laherparepvec</w:t>
      </w:r>
      <w:proofErr w:type="spellEnd"/>
      <w:r>
        <w:rPr>
          <w:lang w:val="en-US"/>
        </w:rPr>
        <w:t xml:space="preserve"> to date have excluded pediatric subjects, pregnant or lactating subjects, and subjects with renal or hepatic impairment. Subjects who are immunocompromised were also excluded from clinical studies.</w:t>
      </w:r>
    </w:p>
    <w:p w14:paraId="4841A480" w14:textId="77777777" w:rsidR="00970674" w:rsidRDefault="00970674" w:rsidP="00AA79D7">
      <w:pPr>
        <w:rPr>
          <w:lang w:val="en-US"/>
        </w:rPr>
      </w:pPr>
      <w:r>
        <w:rPr>
          <w:i/>
          <w:lang w:val="en-US"/>
        </w:rPr>
        <w:t>Subgroup analyses:</w:t>
      </w:r>
      <w:r>
        <w:rPr>
          <w:lang w:val="en-US"/>
        </w:rPr>
        <w:t xml:space="preserve"> for the analysis of adverse events and serious adverse events for </w:t>
      </w:r>
      <w:proofErr w:type="spellStart"/>
      <w:r>
        <w:rPr>
          <w:lang w:val="en-US"/>
        </w:rPr>
        <w:t>talimogene</w:t>
      </w:r>
      <w:proofErr w:type="spellEnd"/>
      <w:r>
        <w:rPr>
          <w:lang w:val="en-US"/>
        </w:rPr>
        <w:t xml:space="preserve"> </w:t>
      </w:r>
      <w:proofErr w:type="spellStart"/>
      <w:r>
        <w:rPr>
          <w:lang w:val="en-US"/>
        </w:rPr>
        <w:t>laherparepvec</w:t>
      </w:r>
      <w:proofErr w:type="spellEnd"/>
      <w:r>
        <w:rPr>
          <w:lang w:val="en-US"/>
        </w:rPr>
        <w:t xml:space="preserve"> relative to GM-CSF do not indicate an altered safety profile of </w:t>
      </w:r>
      <w:proofErr w:type="spellStart"/>
      <w:r>
        <w:rPr>
          <w:lang w:val="en-US"/>
        </w:rPr>
        <w:t>talimogene</w:t>
      </w:r>
      <w:proofErr w:type="spellEnd"/>
      <w:r>
        <w:rPr>
          <w:lang w:val="en-US"/>
        </w:rPr>
        <w:t xml:space="preserve"> </w:t>
      </w:r>
      <w:proofErr w:type="spellStart"/>
      <w:r>
        <w:rPr>
          <w:lang w:val="en-US"/>
        </w:rPr>
        <w:t>laherparepvec</w:t>
      </w:r>
      <w:proofErr w:type="spellEnd"/>
      <w:r>
        <w:rPr>
          <w:lang w:val="en-US"/>
        </w:rPr>
        <w:t xml:space="preserve"> by age, sex, race, region, or disease stage. The </w:t>
      </w:r>
      <w:r w:rsidR="00E420FF">
        <w:rPr>
          <w:lang w:val="en-US"/>
        </w:rPr>
        <w:t>‘</w:t>
      </w:r>
      <w:r>
        <w:rPr>
          <w:lang w:val="en-US"/>
        </w:rPr>
        <w:t>non-</w:t>
      </w:r>
      <w:r w:rsidR="00AA79D7">
        <w:rPr>
          <w:lang w:val="en-US"/>
        </w:rPr>
        <w:t>W</w:t>
      </w:r>
      <w:r>
        <w:rPr>
          <w:lang w:val="en-US"/>
        </w:rPr>
        <w:t>hite</w:t>
      </w:r>
      <w:r w:rsidR="00E420FF">
        <w:rPr>
          <w:lang w:val="en-US"/>
        </w:rPr>
        <w:t>’</w:t>
      </w:r>
      <w:r>
        <w:rPr>
          <w:lang w:val="en-US"/>
        </w:rPr>
        <w:t xml:space="preserve"> subgroup for race comprised &lt; 2% of subjects (n = 8) in the analysis set, and the </w:t>
      </w:r>
      <w:r w:rsidR="00E420FF">
        <w:rPr>
          <w:lang w:val="en-US"/>
        </w:rPr>
        <w:t>‘</w:t>
      </w:r>
      <w:r w:rsidR="00AA79D7">
        <w:rPr>
          <w:lang w:val="en-US"/>
        </w:rPr>
        <w:t>O</w:t>
      </w:r>
      <w:r>
        <w:rPr>
          <w:lang w:val="en-US"/>
        </w:rPr>
        <w:t>ther countries</w:t>
      </w:r>
      <w:r w:rsidR="00E420FF">
        <w:rPr>
          <w:lang w:val="en-US"/>
        </w:rPr>
        <w:t>’</w:t>
      </w:r>
      <w:r>
        <w:rPr>
          <w:lang w:val="en-US"/>
        </w:rPr>
        <w:t xml:space="preserve"> subgroup for region each comprised &lt; 15% of</w:t>
      </w:r>
      <w:r w:rsidR="00AA79D7">
        <w:rPr>
          <w:lang w:val="en-US"/>
        </w:rPr>
        <w:t xml:space="preserve"> </w:t>
      </w:r>
      <w:r>
        <w:rPr>
          <w:lang w:val="en-US"/>
        </w:rPr>
        <w:t>subjects (n = 54) in the analysis set.</w:t>
      </w:r>
    </w:p>
    <w:p w14:paraId="195092E7" w14:textId="77777777" w:rsidR="00970674" w:rsidRDefault="00970674" w:rsidP="00AA79D7">
      <w:pPr>
        <w:rPr>
          <w:lang w:val="en-US"/>
        </w:rPr>
      </w:pPr>
      <w:r>
        <w:rPr>
          <w:i/>
          <w:lang w:val="en-US"/>
        </w:rPr>
        <w:t>HSV-Seronegative Subject:</w:t>
      </w:r>
      <w:r>
        <w:rPr>
          <w:lang w:val="en-US"/>
        </w:rPr>
        <w:t xml:space="preserve"> In the Primary Analysis Set, the overall subject incidence of adverse events was similar in subjects who were HSV-1 seropositive compared with subjects who were HSV-1 seronegative. When adjusted for duration of exposure, the subject incidence rates of treatment-emergent adverse events were higher in subjects receiving </w:t>
      </w:r>
      <w:proofErr w:type="spellStart"/>
      <w:r>
        <w:rPr>
          <w:lang w:val="en-US"/>
        </w:rPr>
        <w:t>talimogene</w:t>
      </w:r>
      <w:proofErr w:type="spellEnd"/>
      <w:r>
        <w:rPr>
          <w:lang w:val="en-US"/>
        </w:rPr>
        <w:t xml:space="preserve"> </w:t>
      </w:r>
      <w:proofErr w:type="spellStart"/>
      <w:r>
        <w:rPr>
          <w:lang w:val="en-US"/>
        </w:rPr>
        <w:t>laherparepvec</w:t>
      </w:r>
      <w:proofErr w:type="spellEnd"/>
      <w:r>
        <w:rPr>
          <w:lang w:val="en-US"/>
        </w:rPr>
        <w:t xml:space="preserve"> who were HSV-1 seronegative at baseline compared with those who were HSV-1 seropositive at baseline.</w:t>
      </w:r>
    </w:p>
    <w:p w14:paraId="43205793" w14:textId="77777777" w:rsidR="00970674" w:rsidRDefault="00970674" w:rsidP="00AA79D7">
      <w:pPr>
        <w:rPr>
          <w:lang w:val="en-US"/>
        </w:rPr>
      </w:pPr>
      <w:r>
        <w:rPr>
          <w:i/>
          <w:lang w:val="en-US"/>
        </w:rPr>
        <w:t>Pregnancy and Lactation:</w:t>
      </w:r>
      <w:r>
        <w:rPr>
          <w:lang w:val="en-US"/>
        </w:rPr>
        <w:t xml:space="preserve"> Adequate and well controlled studies with </w:t>
      </w:r>
      <w:proofErr w:type="spellStart"/>
      <w:r>
        <w:rPr>
          <w:lang w:val="en-US"/>
        </w:rPr>
        <w:t>talimogene</w:t>
      </w:r>
      <w:proofErr w:type="spellEnd"/>
      <w:r>
        <w:rPr>
          <w:lang w:val="en-US"/>
        </w:rPr>
        <w:t xml:space="preserve"> </w:t>
      </w:r>
      <w:proofErr w:type="spellStart"/>
      <w:r>
        <w:rPr>
          <w:lang w:val="en-US"/>
        </w:rPr>
        <w:t>laherparepvec</w:t>
      </w:r>
      <w:proofErr w:type="spellEnd"/>
      <w:r>
        <w:rPr>
          <w:lang w:val="en-US"/>
        </w:rPr>
        <w:t xml:space="preserve"> have not been conducted in pregnant women. If a pregnant woman has a primary infection with wild type HSV-1 or reactivation of a previous wild-type HSV-1 infection, there is potential for the virus to cross the placental barrier, and also a risk of transmission during birth due to viral shedding. Fetal and perinatal infections with wild-type HSV-1 (including primary infection and reactivation) have been associated with disseminated viral infection, multi-organ failure and death.</w:t>
      </w:r>
    </w:p>
    <w:p w14:paraId="4ACC69F5" w14:textId="77777777" w:rsidR="00970674" w:rsidRDefault="00970674" w:rsidP="00AA79D7">
      <w:pPr>
        <w:rPr>
          <w:lang w:val="en-US"/>
        </w:rPr>
      </w:pPr>
      <w:r>
        <w:rPr>
          <w:i/>
          <w:lang w:val="en-US"/>
        </w:rPr>
        <w:lastRenderedPageBreak/>
        <w:t>Overdose:</w:t>
      </w:r>
      <w:r>
        <w:rPr>
          <w:lang w:val="en-US"/>
        </w:rPr>
        <w:t xml:space="preserve"> Volumes of up to 4 mL at concentrations up to 108 PFU/mL have been safely administered once every 2 to 3 weeks in clinical studies and no events of overdose have been reported in any </w:t>
      </w:r>
      <w:proofErr w:type="spellStart"/>
      <w:r>
        <w:rPr>
          <w:lang w:val="en-US"/>
        </w:rPr>
        <w:t>talimogene</w:t>
      </w:r>
      <w:proofErr w:type="spellEnd"/>
      <w:r>
        <w:rPr>
          <w:lang w:val="en-US"/>
        </w:rPr>
        <w:t xml:space="preserve"> </w:t>
      </w:r>
      <w:proofErr w:type="spellStart"/>
      <w:r>
        <w:rPr>
          <w:lang w:val="en-US"/>
        </w:rPr>
        <w:t>laherparepvec</w:t>
      </w:r>
      <w:proofErr w:type="spellEnd"/>
      <w:r>
        <w:rPr>
          <w:lang w:val="en-US"/>
        </w:rPr>
        <w:t xml:space="preserve"> clinical studies.</w:t>
      </w:r>
    </w:p>
    <w:p w14:paraId="1F09C7C1" w14:textId="77777777" w:rsidR="00970674" w:rsidRDefault="00970674" w:rsidP="00E44D46">
      <w:pPr>
        <w:pStyle w:val="Heading3"/>
      </w:pPr>
      <w:bookmarkStart w:id="182" w:name="_Toc429143930"/>
      <w:bookmarkStart w:id="183" w:name="_Toc290846300"/>
      <w:bookmarkStart w:id="184" w:name="_Toc272414662"/>
      <w:bookmarkStart w:id="185" w:name="_Ref271196630"/>
      <w:bookmarkStart w:id="186" w:name="_Toc241374318"/>
      <w:bookmarkStart w:id="187" w:name="_Toc452631096"/>
      <w:r>
        <w:t>Patient exposure</w:t>
      </w:r>
      <w:bookmarkEnd w:id="182"/>
      <w:bookmarkEnd w:id="183"/>
      <w:bookmarkEnd w:id="184"/>
      <w:bookmarkEnd w:id="185"/>
      <w:bookmarkEnd w:id="186"/>
      <w:bookmarkEnd w:id="187"/>
    </w:p>
    <w:p w14:paraId="5540F23B" w14:textId="77777777" w:rsidR="00E44D46" w:rsidRDefault="00E44D46" w:rsidP="00E44D46">
      <w:bookmarkStart w:id="188" w:name="_Toc291240587"/>
      <w:r>
        <w:t xml:space="preserve">Patient exposure expressed as the number of Subject receiving </w:t>
      </w:r>
      <w:proofErr w:type="spellStart"/>
      <w:r>
        <w:t>talimogene</w:t>
      </w:r>
      <w:proofErr w:type="spellEnd"/>
      <w:r>
        <w:t xml:space="preserve"> </w:t>
      </w:r>
      <w:proofErr w:type="spellStart"/>
      <w:r>
        <w:t>laherparepvec</w:t>
      </w:r>
      <w:proofErr w:type="spellEnd"/>
      <w:r>
        <w:t xml:space="preserve"> by duration of cumulative exposure is summarised in the table below.</w:t>
      </w:r>
    </w:p>
    <w:p w14:paraId="3799A756" w14:textId="77777777" w:rsidR="00970674" w:rsidRDefault="00970674" w:rsidP="00970674">
      <w:pPr>
        <w:autoSpaceDE w:val="0"/>
        <w:autoSpaceDN w:val="0"/>
        <w:adjustRightInd w:val="0"/>
      </w:pPr>
      <w:r>
        <w:rPr>
          <w:b/>
        </w:rPr>
        <w:t xml:space="preserve">Table </w:t>
      </w:r>
      <w:r w:rsidR="00E44D46">
        <w:rPr>
          <w:b/>
        </w:rPr>
        <w:t>14:</w:t>
      </w:r>
      <w:r w:rsidR="00BA348C">
        <w:rPr>
          <w:b/>
        </w:rPr>
        <w:t xml:space="preserve"> </w:t>
      </w:r>
      <w:r>
        <w:rPr>
          <w:b/>
        </w:rPr>
        <w:t xml:space="preserve">Number of Subject receiving </w:t>
      </w:r>
      <w:proofErr w:type="spellStart"/>
      <w:r>
        <w:rPr>
          <w:b/>
        </w:rPr>
        <w:t>talimogene</w:t>
      </w:r>
      <w:proofErr w:type="spellEnd"/>
      <w:r>
        <w:rPr>
          <w:b/>
        </w:rPr>
        <w:t xml:space="preserve"> </w:t>
      </w:r>
      <w:proofErr w:type="spellStart"/>
      <w:r>
        <w:rPr>
          <w:b/>
        </w:rPr>
        <w:t>laherparepvec</w:t>
      </w:r>
      <w:proofErr w:type="spellEnd"/>
      <w:r>
        <w:rPr>
          <w:b/>
        </w:rPr>
        <w:t xml:space="preserve"> by duration of cumulative exposure</w:t>
      </w:r>
      <w:bookmarkEnd w:id="188"/>
    </w:p>
    <w:p w14:paraId="1CB56948" w14:textId="77777777" w:rsidR="00970674" w:rsidRDefault="00970674" w:rsidP="00970674">
      <w:pPr>
        <w:autoSpaceDE w:val="0"/>
        <w:autoSpaceDN w:val="0"/>
        <w:adjustRightInd w:val="0"/>
      </w:pPr>
      <w:r>
        <w:rPr>
          <w:noProof/>
          <w:lang w:eastAsia="en-AU"/>
        </w:rPr>
        <w:drawing>
          <wp:inline distT="0" distB="0" distL="0" distR="0" wp14:anchorId="548FCEF5" wp14:editId="1FB2ACF9">
            <wp:extent cx="4222074" cy="1811548"/>
            <wp:effectExtent l="0" t="0" r="7620" b="0"/>
            <wp:docPr id="31" name="Picture 31" descr="Table 14:. Number of Subject receiving talimogene laherparepvec by duration of cumulative expos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rotWithShape="1">
                    <a:blip r:embed="rId34">
                      <a:extLst>
                        <a:ext uri="{28A0092B-C50C-407E-A947-70E740481C1C}">
                          <a14:useLocalDpi xmlns:a14="http://schemas.microsoft.com/office/drawing/2010/main" val="0"/>
                        </a:ext>
                      </a:extLst>
                    </a:blip>
                    <a:srcRect t="13127" b="6895"/>
                    <a:stretch/>
                  </pic:blipFill>
                  <pic:spPr bwMode="auto">
                    <a:xfrm>
                      <a:off x="0" y="0"/>
                      <a:ext cx="4228720" cy="1814400"/>
                    </a:xfrm>
                    <a:prstGeom prst="rect">
                      <a:avLst/>
                    </a:prstGeom>
                    <a:noFill/>
                    <a:ln>
                      <a:noFill/>
                    </a:ln>
                    <a:extLst>
                      <a:ext uri="{53640926-AAD7-44D8-BBD7-CCE9431645EC}">
                        <a14:shadowObscured xmlns:a14="http://schemas.microsoft.com/office/drawing/2010/main"/>
                      </a:ext>
                    </a:extLst>
                  </pic:spPr>
                </pic:pic>
              </a:graphicData>
            </a:graphic>
          </wp:inline>
        </w:drawing>
      </w:r>
    </w:p>
    <w:p w14:paraId="7694BD3B" w14:textId="77777777" w:rsidR="00970674" w:rsidRDefault="00970674" w:rsidP="00970674">
      <w:pPr>
        <w:autoSpaceDE w:val="0"/>
        <w:autoSpaceDN w:val="0"/>
        <w:adjustRightInd w:val="0"/>
      </w:pPr>
      <w:r>
        <w:t xml:space="preserve">Study 005/05 (the Primary Melanoma Analysis Set) provides up to 18.2 months of exposure to </w:t>
      </w:r>
      <w:proofErr w:type="spellStart"/>
      <w:r>
        <w:t>talimogene</w:t>
      </w:r>
      <w:proofErr w:type="spellEnd"/>
      <w:r>
        <w:t xml:space="preserve"> </w:t>
      </w:r>
      <w:proofErr w:type="spellStart"/>
      <w:r>
        <w:t>laherparepvec</w:t>
      </w:r>
      <w:proofErr w:type="spellEnd"/>
      <w:r>
        <w:t xml:space="preserve">. The extension </w:t>
      </w:r>
      <w:r w:rsidR="00E44D46">
        <w:t>S</w:t>
      </w:r>
      <w:r>
        <w:t xml:space="preserve">tudy 005/05-E provides up to 14.1 months of additional exposure to </w:t>
      </w:r>
      <w:proofErr w:type="spellStart"/>
      <w:r>
        <w:t>talimogene</w:t>
      </w:r>
      <w:proofErr w:type="spellEnd"/>
      <w:r>
        <w:t xml:space="preserve"> </w:t>
      </w:r>
      <w:proofErr w:type="spellStart"/>
      <w:r>
        <w:t>laherparepvec</w:t>
      </w:r>
      <w:proofErr w:type="spellEnd"/>
      <w:r>
        <w:t xml:space="preserve"> or GM-CSF in a limited number of subjects (n = 27 and n =3, respectively).</w:t>
      </w:r>
    </w:p>
    <w:p w14:paraId="7C7F109D" w14:textId="77777777" w:rsidR="00970674" w:rsidRDefault="00970674" w:rsidP="00E44D46">
      <w:pPr>
        <w:pStyle w:val="Tabletitle"/>
      </w:pPr>
      <w:bookmarkStart w:id="189" w:name="_Toc291240588"/>
      <w:r>
        <w:lastRenderedPageBreak/>
        <w:t xml:space="preserve">Table </w:t>
      </w:r>
      <w:r w:rsidR="00E44D46">
        <w:t>15:</w:t>
      </w:r>
      <w:r w:rsidR="00BA348C">
        <w:t xml:space="preserve"> </w:t>
      </w:r>
      <w:r>
        <w:t xml:space="preserve">Summary of </w:t>
      </w:r>
      <w:proofErr w:type="spellStart"/>
      <w:r>
        <w:t>talimogene</w:t>
      </w:r>
      <w:proofErr w:type="spellEnd"/>
      <w:r>
        <w:t xml:space="preserve"> </w:t>
      </w:r>
      <w:proofErr w:type="spellStart"/>
      <w:r>
        <w:t>laherparepvec</w:t>
      </w:r>
      <w:proofErr w:type="spellEnd"/>
      <w:r>
        <w:t xml:space="preserve"> exposure (</w:t>
      </w:r>
      <w:r w:rsidR="00E44D46">
        <w:t>S</w:t>
      </w:r>
      <w:r>
        <w:t>afety population)</w:t>
      </w:r>
      <w:bookmarkEnd w:id="189"/>
    </w:p>
    <w:p w14:paraId="31AD54D7" w14:textId="77777777" w:rsidR="00970674" w:rsidRDefault="00E44D46" w:rsidP="00970674">
      <w:r>
        <w:rPr>
          <w:noProof/>
          <w:lang w:eastAsia="en-AU"/>
        </w:rPr>
        <w:drawing>
          <wp:inline distT="0" distB="0" distL="0" distR="0" wp14:anchorId="1856CC1C" wp14:editId="242A889C">
            <wp:extent cx="3519577" cy="8252890"/>
            <wp:effectExtent l="0" t="0" r="508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extLst>
                        <a:ext uri="{BEBA8EAE-BF5A-486C-A8C5-ECC9F3942E4B}">
                          <a14:imgProps xmlns:a14="http://schemas.microsoft.com/office/drawing/2010/main">
                            <a14:imgLayer r:embed="rId36">
                              <a14:imgEffect>
                                <a14:sharpenSoften amount="50000"/>
                              </a14:imgEffect>
                            </a14:imgLayer>
                          </a14:imgProps>
                        </a:ext>
                      </a:extLst>
                    </a:blip>
                    <a:stretch>
                      <a:fillRect/>
                    </a:stretch>
                  </pic:blipFill>
                  <pic:spPr>
                    <a:xfrm>
                      <a:off x="0" y="0"/>
                      <a:ext cx="3523515" cy="8262123"/>
                    </a:xfrm>
                    <a:prstGeom prst="rect">
                      <a:avLst/>
                    </a:prstGeom>
                  </pic:spPr>
                </pic:pic>
              </a:graphicData>
            </a:graphic>
          </wp:inline>
        </w:drawing>
      </w:r>
    </w:p>
    <w:p w14:paraId="619C950B" w14:textId="77777777" w:rsidR="00970674" w:rsidRDefault="00970674" w:rsidP="00E44D46">
      <w:pPr>
        <w:keepNext/>
        <w:autoSpaceDE w:val="0"/>
        <w:autoSpaceDN w:val="0"/>
        <w:adjustRightInd w:val="0"/>
        <w:rPr>
          <w:szCs w:val="24"/>
        </w:rPr>
      </w:pPr>
      <w:r>
        <w:rPr>
          <w:noProof/>
          <w:lang w:val="en-US"/>
        </w:rPr>
        <w:lastRenderedPageBreak/>
        <w:t xml:space="preserve"> </w:t>
      </w:r>
      <w:bookmarkStart w:id="190" w:name="_Toc291240589"/>
      <w:r>
        <w:rPr>
          <w:b/>
        </w:rPr>
        <w:t xml:space="preserve">Table </w:t>
      </w:r>
      <w:r w:rsidR="00E44D46">
        <w:rPr>
          <w:b/>
        </w:rPr>
        <w:t>16:</w:t>
      </w:r>
      <w:r w:rsidR="00BA348C">
        <w:rPr>
          <w:b/>
        </w:rPr>
        <w:t xml:space="preserve"> </w:t>
      </w:r>
      <w:r>
        <w:rPr>
          <w:b/>
        </w:rPr>
        <w:t>Summary of GM-CSF exposure (</w:t>
      </w:r>
      <w:r w:rsidR="00E44D46">
        <w:rPr>
          <w:b/>
        </w:rPr>
        <w:t>S</w:t>
      </w:r>
      <w:r>
        <w:rPr>
          <w:b/>
        </w:rPr>
        <w:t>afety population)</w:t>
      </w:r>
      <w:bookmarkEnd w:id="190"/>
    </w:p>
    <w:p w14:paraId="4F0EB823" w14:textId="77777777" w:rsidR="00970674" w:rsidRDefault="00970674" w:rsidP="00E44D46">
      <w:pPr>
        <w:keepNext/>
        <w:autoSpaceDE w:val="0"/>
        <w:autoSpaceDN w:val="0"/>
        <w:adjustRightInd w:val="0"/>
      </w:pPr>
      <w:r>
        <w:rPr>
          <w:noProof/>
          <w:lang w:eastAsia="en-AU"/>
        </w:rPr>
        <w:drawing>
          <wp:inline distT="0" distB="0" distL="0" distR="0" wp14:anchorId="5A6D27EB" wp14:editId="5ED3B9B2">
            <wp:extent cx="3677851" cy="3157267"/>
            <wp:effectExtent l="0" t="0" r="0" b="5080"/>
            <wp:docPr id="28" name="Picture 28" descr=" Table 16: Summary of GM-CSF exposure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37">
                      <a:extLst>
                        <a:ext uri="{BEBA8EAE-BF5A-486C-A8C5-ECC9F3942E4B}">
                          <a14:imgProps xmlns:a14="http://schemas.microsoft.com/office/drawing/2010/main">
                            <a14:imgLayer r:embed="rId38">
                              <a14:imgEffect>
                                <a14:sharpenSoften amount="50000"/>
                              </a14:imgEffect>
                            </a14:imgLayer>
                          </a14:imgProps>
                        </a:ext>
                        <a:ext uri="{28A0092B-C50C-407E-A947-70E740481C1C}">
                          <a14:useLocalDpi xmlns:a14="http://schemas.microsoft.com/office/drawing/2010/main" val="0"/>
                        </a:ext>
                      </a:extLst>
                    </a:blip>
                    <a:srcRect t="7454" b="6900"/>
                    <a:stretch/>
                  </pic:blipFill>
                  <pic:spPr bwMode="auto">
                    <a:xfrm>
                      <a:off x="0" y="0"/>
                      <a:ext cx="3682644" cy="3161382"/>
                    </a:xfrm>
                    <a:prstGeom prst="rect">
                      <a:avLst/>
                    </a:prstGeom>
                    <a:noFill/>
                    <a:ln>
                      <a:noFill/>
                    </a:ln>
                    <a:extLst>
                      <a:ext uri="{53640926-AAD7-44D8-BBD7-CCE9431645EC}">
                        <a14:shadowObscured xmlns:a14="http://schemas.microsoft.com/office/drawing/2010/main"/>
                      </a:ext>
                    </a:extLst>
                  </pic:spPr>
                </pic:pic>
              </a:graphicData>
            </a:graphic>
          </wp:inline>
        </w:drawing>
      </w:r>
    </w:p>
    <w:p w14:paraId="02BAFB33" w14:textId="77777777" w:rsidR="00970674" w:rsidRDefault="00970674" w:rsidP="00E44D46">
      <w:pPr>
        <w:pStyle w:val="Heading3"/>
      </w:pPr>
      <w:bookmarkStart w:id="191" w:name="_Toc429143931"/>
      <w:bookmarkStart w:id="192" w:name="_Toc290846301"/>
      <w:bookmarkStart w:id="193" w:name="_Toc272414663"/>
      <w:bookmarkStart w:id="194" w:name="_Ref271044764"/>
      <w:bookmarkStart w:id="195" w:name="_Toc241374319"/>
      <w:bookmarkStart w:id="196" w:name="_Toc452631097"/>
      <w:r>
        <w:t>Adverse events</w:t>
      </w:r>
      <w:bookmarkEnd w:id="191"/>
      <w:bookmarkEnd w:id="192"/>
      <w:bookmarkEnd w:id="193"/>
      <w:bookmarkEnd w:id="194"/>
      <w:bookmarkEnd w:id="195"/>
      <w:bookmarkEnd w:id="196"/>
    </w:p>
    <w:p w14:paraId="5A4376E4" w14:textId="77777777" w:rsidR="00970674" w:rsidRDefault="00970674" w:rsidP="00E44D46">
      <w:pPr>
        <w:pStyle w:val="Heading4"/>
      </w:pPr>
      <w:bookmarkStart w:id="197" w:name="_Toc429143932"/>
      <w:bookmarkStart w:id="198" w:name="_Toc290846302"/>
      <w:bookmarkStart w:id="199" w:name="_Toc272414664"/>
      <w:bookmarkStart w:id="200" w:name="_Ref272333565"/>
      <w:bookmarkStart w:id="201" w:name="_Ref272317284"/>
      <w:r>
        <w:t>All adverse events (irrespective of relationship to study treatment)</w:t>
      </w:r>
      <w:bookmarkEnd w:id="197"/>
      <w:bookmarkEnd w:id="198"/>
      <w:bookmarkEnd w:id="199"/>
      <w:bookmarkEnd w:id="200"/>
      <w:bookmarkEnd w:id="201"/>
    </w:p>
    <w:p w14:paraId="6934FED7" w14:textId="77777777" w:rsidR="00970674" w:rsidRDefault="00970674" w:rsidP="00E44D46">
      <w:pPr>
        <w:pStyle w:val="Heading5"/>
      </w:pPr>
      <w:r>
        <w:t>Pivotal studies</w:t>
      </w:r>
    </w:p>
    <w:p w14:paraId="3121722C" w14:textId="77777777" w:rsidR="00970674" w:rsidRDefault="00970674" w:rsidP="00970674">
      <w:r>
        <w:t xml:space="preserve">The subject incidence of treatment-emergent adverse events was 95.3% in the GM-CSF group and 99.3% in the </w:t>
      </w:r>
      <w:proofErr w:type="spellStart"/>
      <w:r>
        <w:t>talimogene</w:t>
      </w:r>
      <w:proofErr w:type="spellEnd"/>
      <w:r>
        <w:t xml:space="preserve"> </w:t>
      </w:r>
      <w:proofErr w:type="spellStart"/>
      <w:r>
        <w:t>laherparepvec</w:t>
      </w:r>
      <w:proofErr w:type="spellEnd"/>
      <w:r>
        <w:t xml:space="preserve"> group. The 3 most common adverse events in the </w:t>
      </w:r>
      <w:proofErr w:type="spellStart"/>
      <w:r>
        <w:t>talimogene</w:t>
      </w:r>
      <w:proofErr w:type="spellEnd"/>
      <w:r>
        <w:t xml:space="preserve"> </w:t>
      </w:r>
      <w:proofErr w:type="spellStart"/>
      <w:r>
        <w:t>laherparepvec</w:t>
      </w:r>
      <w:proofErr w:type="spellEnd"/>
      <w:r>
        <w:t xml:space="preserve"> arm were fatigue (36.2% GM-CSF, 50.3% </w:t>
      </w:r>
      <w:proofErr w:type="spellStart"/>
      <w:r>
        <w:t>talimogene</w:t>
      </w:r>
      <w:proofErr w:type="spellEnd"/>
      <w:r>
        <w:t xml:space="preserve"> </w:t>
      </w:r>
      <w:proofErr w:type="spellStart"/>
      <w:r>
        <w:t>laherparepvec</w:t>
      </w:r>
      <w:proofErr w:type="spellEnd"/>
      <w:r>
        <w:t>), chills (8.7%, 48.6%), and pyrexia (8.7%, 42.8%).</w:t>
      </w:r>
    </w:p>
    <w:p w14:paraId="6B25C352" w14:textId="77777777" w:rsidR="00970674" w:rsidRDefault="00970674" w:rsidP="00970674">
      <w:pPr>
        <w:rPr>
          <w:lang w:val="en-US"/>
        </w:rPr>
      </w:pPr>
      <w:r>
        <w:rPr>
          <w:lang w:val="en-US"/>
        </w:rPr>
        <w:t xml:space="preserve">The subject incidence of treatment-related adverse events was 79.5% in the GM-CSF group and 92.8% in the </w:t>
      </w:r>
      <w:proofErr w:type="spellStart"/>
      <w:r>
        <w:rPr>
          <w:lang w:val="en-US"/>
        </w:rPr>
        <w:t>talimogene</w:t>
      </w:r>
      <w:proofErr w:type="spellEnd"/>
      <w:r>
        <w:rPr>
          <w:lang w:val="en-US"/>
        </w:rPr>
        <w:t xml:space="preserve"> </w:t>
      </w:r>
      <w:proofErr w:type="spellStart"/>
      <w:r>
        <w:rPr>
          <w:lang w:val="en-US"/>
        </w:rPr>
        <w:t>laherparepvec</w:t>
      </w:r>
      <w:proofErr w:type="spellEnd"/>
      <w:r>
        <w:rPr>
          <w:lang w:val="en-US"/>
        </w:rPr>
        <w:t xml:space="preserve"> group. The 3 most common adverse events in the </w:t>
      </w:r>
      <w:proofErr w:type="spellStart"/>
      <w:r>
        <w:rPr>
          <w:lang w:val="en-US"/>
        </w:rPr>
        <w:t>talimogene</w:t>
      </w:r>
      <w:proofErr w:type="spellEnd"/>
      <w:r>
        <w:rPr>
          <w:lang w:val="en-US"/>
        </w:rPr>
        <w:t xml:space="preserve"> </w:t>
      </w:r>
      <w:proofErr w:type="spellStart"/>
      <w:r>
        <w:rPr>
          <w:lang w:val="en-US"/>
        </w:rPr>
        <w:t>laherparepvec</w:t>
      </w:r>
      <w:proofErr w:type="spellEnd"/>
      <w:r>
        <w:rPr>
          <w:lang w:val="en-US"/>
        </w:rPr>
        <w:t xml:space="preserve"> group reported as treatment-related by the investigator were chills (5.5% GM-CSF, 48.3% </w:t>
      </w:r>
      <w:proofErr w:type="spellStart"/>
      <w:r>
        <w:rPr>
          <w:lang w:val="en-US"/>
        </w:rPr>
        <w:t>talimogene</w:t>
      </w:r>
      <w:proofErr w:type="spellEnd"/>
      <w:r>
        <w:rPr>
          <w:lang w:val="en-US"/>
        </w:rPr>
        <w:t xml:space="preserve"> </w:t>
      </w:r>
      <w:proofErr w:type="spellStart"/>
      <w:r>
        <w:rPr>
          <w:lang w:val="en-US"/>
        </w:rPr>
        <w:t>laherparepvec</w:t>
      </w:r>
      <w:proofErr w:type="spellEnd"/>
      <w:r>
        <w:rPr>
          <w:lang w:val="en-US"/>
        </w:rPr>
        <w:t xml:space="preserve">), fatigue (28.3%, 41.8%), and pyrexia (7.1%, 40.8%). The 3 most common treatment-related adverse events in the GM-CSF group were fatigue (28.3% GM-CSF, 41.8% </w:t>
      </w:r>
      <w:proofErr w:type="spellStart"/>
      <w:r>
        <w:rPr>
          <w:lang w:val="en-US"/>
        </w:rPr>
        <w:t>talimogene</w:t>
      </w:r>
      <w:proofErr w:type="spellEnd"/>
      <w:r>
        <w:rPr>
          <w:lang w:val="en-US"/>
        </w:rPr>
        <w:t xml:space="preserve"> </w:t>
      </w:r>
      <w:proofErr w:type="spellStart"/>
      <w:r>
        <w:rPr>
          <w:lang w:val="en-US"/>
        </w:rPr>
        <w:t>laherparepvec</w:t>
      </w:r>
      <w:proofErr w:type="spellEnd"/>
      <w:r>
        <w:rPr>
          <w:lang w:val="en-US"/>
        </w:rPr>
        <w:t>), injection site erythema (25.2%, 5.1%), and injection site pruritus (16.5%, 1.7%).</w:t>
      </w:r>
    </w:p>
    <w:p w14:paraId="22C3099E" w14:textId="77777777" w:rsidR="00970674" w:rsidRDefault="00970674" w:rsidP="00970674">
      <w:r>
        <w:rPr>
          <w:lang w:val="en-US"/>
        </w:rPr>
        <w:t xml:space="preserve">Twenty-nine (9.9%) subjects in the </w:t>
      </w:r>
      <w:proofErr w:type="spellStart"/>
      <w:r>
        <w:rPr>
          <w:lang w:val="en-US"/>
        </w:rPr>
        <w:t>talimogene</w:t>
      </w:r>
      <w:proofErr w:type="spellEnd"/>
      <w:r>
        <w:rPr>
          <w:lang w:val="en-US"/>
        </w:rPr>
        <w:t xml:space="preserve"> </w:t>
      </w:r>
      <w:proofErr w:type="spellStart"/>
      <w:r>
        <w:rPr>
          <w:lang w:val="en-US"/>
        </w:rPr>
        <w:t>laherparepvec</w:t>
      </w:r>
      <w:proofErr w:type="spellEnd"/>
      <w:r>
        <w:rPr>
          <w:lang w:val="en-US"/>
        </w:rPr>
        <w:t xml:space="preserve"> arm and 8 subjects (6.3%) in the GM-CSF arm experienced adverse events leading to discontinuation of investigational product. The most common adverse event leading to discontinuation of investigational product was disease progression (4 subjects in the </w:t>
      </w:r>
      <w:proofErr w:type="spellStart"/>
      <w:r>
        <w:rPr>
          <w:lang w:val="en-US"/>
        </w:rPr>
        <w:t>talimogene</w:t>
      </w:r>
      <w:proofErr w:type="spellEnd"/>
      <w:r>
        <w:rPr>
          <w:lang w:val="en-US"/>
        </w:rPr>
        <w:t xml:space="preserve"> </w:t>
      </w:r>
      <w:proofErr w:type="spellStart"/>
      <w:r>
        <w:rPr>
          <w:lang w:val="en-US"/>
        </w:rPr>
        <w:t>laherparepvec</w:t>
      </w:r>
      <w:proofErr w:type="spellEnd"/>
      <w:r>
        <w:rPr>
          <w:lang w:val="en-US"/>
        </w:rPr>
        <w:t xml:space="preserve"> arm; 1 subject in the GM-CSF arm).</w:t>
      </w:r>
    </w:p>
    <w:p w14:paraId="5E18CC49" w14:textId="77777777" w:rsidR="00970674" w:rsidRDefault="00970674" w:rsidP="002C0543">
      <w:pPr>
        <w:keepNext/>
        <w:autoSpaceDE w:val="0"/>
        <w:autoSpaceDN w:val="0"/>
        <w:adjustRightInd w:val="0"/>
      </w:pPr>
      <w:bookmarkStart w:id="202" w:name="_Toc291240590"/>
      <w:r>
        <w:rPr>
          <w:b/>
        </w:rPr>
        <w:lastRenderedPageBreak/>
        <w:t xml:space="preserve">Table </w:t>
      </w:r>
      <w:r w:rsidR="00E44D46">
        <w:rPr>
          <w:b/>
        </w:rPr>
        <w:t>17:</w:t>
      </w:r>
      <w:r w:rsidR="00BA348C">
        <w:rPr>
          <w:b/>
        </w:rPr>
        <w:t xml:space="preserve"> </w:t>
      </w:r>
      <w:r>
        <w:rPr>
          <w:b/>
        </w:rPr>
        <w:t>Summary of Subject Incidence of Treatment-Emergent Adverse Events (Primary Melanoma Analysis Set)</w:t>
      </w:r>
      <w:bookmarkEnd w:id="202"/>
    </w:p>
    <w:p w14:paraId="7861FB2F" w14:textId="77777777" w:rsidR="00970674" w:rsidRDefault="00970674" w:rsidP="002C0543">
      <w:r>
        <w:rPr>
          <w:noProof/>
          <w:lang w:eastAsia="en-AU"/>
        </w:rPr>
        <w:drawing>
          <wp:inline distT="0" distB="0" distL="0" distR="0" wp14:anchorId="4FB49114" wp14:editId="238163EF">
            <wp:extent cx="3724275" cy="3953697"/>
            <wp:effectExtent l="0" t="0" r="0" b="8890"/>
            <wp:docPr id="27" name="Picture 27" descr="Table 17: Summary of Subject Incidence of Treatment-Emergent Adverse Events (Primary Melanoma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9">
                      <a:extLst>
                        <a:ext uri="{28A0092B-C50C-407E-A947-70E740481C1C}">
                          <a14:useLocalDpi xmlns:a14="http://schemas.microsoft.com/office/drawing/2010/main" val="0"/>
                        </a:ext>
                      </a:extLst>
                    </a:blip>
                    <a:srcRect t="5908" b="2926"/>
                    <a:stretch/>
                  </pic:blipFill>
                  <pic:spPr bwMode="auto">
                    <a:xfrm>
                      <a:off x="0" y="0"/>
                      <a:ext cx="3741983" cy="3972496"/>
                    </a:xfrm>
                    <a:prstGeom prst="rect">
                      <a:avLst/>
                    </a:prstGeom>
                    <a:noFill/>
                    <a:ln>
                      <a:noFill/>
                    </a:ln>
                    <a:extLst>
                      <a:ext uri="{53640926-AAD7-44D8-BBD7-CCE9431645EC}">
                        <a14:shadowObscured xmlns:a14="http://schemas.microsoft.com/office/drawing/2010/main"/>
                      </a:ext>
                    </a:extLst>
                  </pic:spPr>
                </pic:pic>
              </a:graphicData>
            </a:graphic>
          </wp:inline>
        </w:drawing>
      </w:r>
    </w:p>
    <w:p w14:paraId="61EE4524" w14:textId="77777777" w:rsidR="00970674" w:rsidRDefault="00970674" w:rsidP="008D0F52">
      <w:pPr>
        <w:keepNext/>
        <w:rPr>
          <w:b/>
        </w:rPr>
      </w:pPr>
      <w:bookmarkStart w:id="203" w:name="_Toc291240591"/>
      <w:r>
        <w:rPr>
          <w:b/>
        </w:rPr>
        <w:lastRenderedPageBreak/>
        <w:t>Table</w:t>
      </w:r>
      <w:r w:rsidR="00E44D46">
        <w:rPr>
          <w:b/>
        </w:rPr>
        <w:t xml:space="preserve"> 18:</w:t>
      </w:r>
      <w:r>
        <w:rPr>
          <w:b/>
        </w:rPr>
        <w:t xml:space="preserve"> Subject Incidence of Adverse Events by Category (Primary Melanoma Analysis Set)</w:t>
      </w:r>
      <w:bookmarkEnd w:id="203"/>
    </w:p>
    <w:p w14:paraId="0CDF54B7" w14:textId="77777777" w:rsidR="008D0F52" w:rsidRDefault="008D0F52" w:rsidP="008D0F52">
      <w:pPr>
        <w:keepNext/>
      </w:pPr>
      <w:r>
        <w:rPr>
          <w:noProof/>
          <w:lang w:eastAsia="en-AU"/>
        </w:rPr>
        <w:drawing>
          <wp:inline distT="0" distB="0" distL="0" distR="0" wp14:anchorId="5C57516E" wp14:editId="7D8DA919">
            <wp:extent cx="3269894" cy="5257476"/>
            <wp:effectExtent l="0" t="0" r="6985" b="635"/>
            <wp:docPr id="37" name="Picture 37" descr="Table 18: Subject Incidence of Adverse Events by Category (Primary Melanoma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extLst>
                        <a:ext uri="{BEBA8EAE-BF5A-486C-A8C5-ECC9F3942E4B}">
                          <a14:imgProps xmlns:a14="http://schemas.microsoft.com/office/drawing/2010/main">
                            <a14:imgLayer r:embed="rId41">
                              <a14:imgEffect>
                                <a14:sharpenSoften amount="50000"/>
                              </a14:imgEffect>
                            </a14:imgLayer>
                          </a14:imgProps>
                        </a:ext>
                      </a:extLst>
                    </a:blip>
                    <a:stretch>
                      <a:fillRect/>
                    </a:stretch>
                  </pic:blipFill>
                  <pic:spPr>
                    <a:xfrm>
                      <a:off x="0" y="0"/>
                      <a:ext cx="3277225" cy="5269264"/>
                    </a:xfrm>
                    <a:prstGeom prst="rect">
                      <a:avLst/>
                    </a:prstGeom>
                  </pic:spPr>
                </pic:pic>
              </a:graphicData>
            </a:graphic>
          </wp:inline>
        </w:drawing>
      </w:r>
    </w:p>
    <w:p w14:paraId="6EC1B3C3" w14:textId="77777777" w:rsidR="00970674" w:rsidRDefault="00970674" w:rsidP="008D0F52">
      <w:pPr>
        <w:pStyle w:val="Heading4"/>
        <w:rPr>
          <w:lang w:val="en-US"/>
        </w:rPr>
      </w:pPr>
      <w:r>
        <w:rPr>
          <w:lang w:val="en-US"/>
        </w:rPr>
        <w:t>Adverse Events of Interest</w:t>
      </w:r>
    </w:p>
    <w:p w14:paraId="181A4464" w14:textId="77777777" w:rsidR="00970674" w:rsidRDefault="00970674" w:rsidP="008D0F52">
      <w:pPr>
        <w:rPr>
          <w:lang w:val="en-US"/>
        </w:rPr>
      </w:pPr>
      <w:r>
        <w:rPr>
          <w:lang w:val="en-US"/>
        </w:rPr>
        <w:t xml:space="preserve">Adverse events of special interest were defined for </w:t>
      </w:r>
      <w:proofErr w:type="spellStart"/>
      <w:r>
        <w:rPr>
          <w:lang w:val="en-US"/>
        </w:rPr>
        <w:t>talimogene</w:t>
      </w:r>
      <w:proofErr w:type="spellEnd"/>
      <w:r>
        <w:rPr>
          <w:lang w:val="en-US"/>
        </w:rPr>
        <w:t xml:space="preserve"> </w:t>
      </w:r>
      <w:proofErr w:type="spellStart"/>
      <w:r>
        <w:rPr>
          <w:lang w:val="en-US"/>
        </w:rPr>
        <w:t>laherparepvec</w:t>
      </w:r>
      <w:proofErr w:type="spellEnd"/>
      <w:r>
        <w:rPr>
          <w:lang w:val="en-US"/>
        </w:rPr>
        <w:t xml:space="preserve"> based upon events identified in emerging clinical data, the mechanism of action of the product, potential risks as defined by nonclinical data, and events identified with other products. Adverse events of interest in the context of </w:t>
      </w:r>
      <w:proofErr w:type="spellStart"/>
      <w:r>
        <w:rPr>
          <w:lang w:val="en-US"/>
        </w:rPr>
        <w:t>talimogene</w:t>
      </w:r>
      <w:proofErr w:type="spellEnd"/>
      <w:r>
        <w:rPr>
          <w:lang w:val="en-US"/>
        </w:rPr>
        <w:t xml:space="preserve"> </w:t>
      </w:r>
      <w:proofErr w:type="spellStart"/>
      <w:r>
        <w:rPr>
          <w:lang w:val="en-US"/>
        </w:rPr>
        <w:t>laherparepvec</w:t>
      </w:r>
      <w:proofErr w:type="spellEnd"/>
      <w:r>
        <w:rPr>
          <w:lang w:val="en-US"/>
        </w:rPr>
        <w:t xml:space="preserve"> administration include: immune-mediated adverse events (autoimmune disorders category), cellulitis at the injection site (bacterial cellulitis category), flu-like symptoms, HSV infections, hypersensitivity reactions, injection site reactions, vitiligo, and impaired wound healing at the injection site, </w:t>
      </w:r>
      <w:proofErr w:type="spellStart"/>
      <w:r>
        <w:rPr>
          <w:lang w:val="en-US"/>
        </w:rPr>
        <w:t>plasmacytoma</w:t>
      </w:r>
      <w:proofErr w:type="spellEnd"/>
      <w:r>
        <w:rPr>
          <w:lang w:val="en-US"/>
        </w:rPr>
        <w:t xml:space="preserve"> at the injection site, and other neoplastic events (malignant and unspecified </w:t>
      </w:r>
      <w:proofErr w:type="spellStart"/>
      <w:r w:rsidR="00BA348C">
        <w:rPr>
          <w:lang w:val="en-US"/>
        </w:rPr>
        <w:t>tumour</w:t>
      </w:r>
      <w:r>
        <w:rPr>
          <w:lang w:val="en-US"/>
        </w:rPr>
        <w:t>s</w:t>
      </w:r>
      <w:proofErr w:type="spellEnd"/>
      <w:r>
        <w:rPr>
          <w:lang w:val="en-US"/>
        </w:rPr>
        <w:t xml:space="preserve"> category).</w:t>
      </w:r>
    </w:p>
    <w:p w14:paraId="42BE703E" w14:textId="77777777" w:rsidR="00970674" w:rsidRDefault="00970674" w:rsidP="008D0F52">
      <w:pPr>
        <w:keepNext/>
        <w:rPr>
          <w:sz w:val="20"/>
          <w:lang w:val="en-US"/>
        </w:rPr>
      </w:pPr>
      <w:bookmarkStart w:id="204" w:name="_Toc291240592"/>
      <w:r>
        <w:rPr>
          <w:b/>
        </w:rPr>
        <w:lastRenderedPageBreak/>
        <w:t xml:space="preserve">Table </w:t>
      </w:r>
      <w:r w:rsidR="008D0F52">
        <w:rPr>
          <w:b/>
        </w:rPr>
        <w:t>19:</w:t>
      </w:r>
      <w:r>
        <w:rPr>
          <w:b/>
        </w:rPr>
        <w:t xml:space="preserve"> Adverse Events of Interest by Category (based on a narrow search) (Safety Population)</w:t>
      </w:r>
      <w:bookmarkEnd w:id="204"/>
    </w:p>
    <w:p w14:paraId="1EE4D20B" w14:textId="77777777" w:rsidR="00970674" w:rsidRDefault="00970674" w:rsidP="008D0F52">
      <w:pPr>
        <w:keepNext/>
        <w:rPr>
          <w:sz w:val="20"/>
          <w:lang w:val="en-US"/>
        </w:rPr>
      </w:pPr>
      <w:r>
        <w:rPr>
          <w:noProof/>
          <w:sz w:val="20"/>
          <w:lang w:eastAsia="en-AU"/>
        </w:rPr>
        <w:drawing>
          <wp:inline distT="0" distB="0" distL="0" distR="0" wp14:anchorId="356588CD" wp14:editId="0BE663B0">
            <wp:extent cx="3781999" cy="2171700"/>
            <wp:effectExtent l="0" t="0" r="9525" b="0"/>
            <wp:docPr id="24" name="Picture 24" descr="Table 19: Adverse Events of Interest by Category (based on a narrow search)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2">
                      <a:extLst>
                        <a:ext uri="{28A0092B-C50C-407E-A947-70E740481C1C}">
                          <a14:useLocalDpi xmlns:a14="http://schemas.microsoft.com/office/drawing/2010/main" val="0"/>
                        </a:ext>
                      </a:extLst>
                    </a:blip>
                    <a:srcRect t="1719" b="5839"/>
                    <a:stretch/>
                  </pic:blipFill>
                  <pic:spPr bwMode="auto">
                    <a:xfrm>
                      <a:off x="0" y="0"/>
                      <a:ext cx="3794574" cy="2178921"/>
                    </a:xfrm>
                    <a:prstGeom prst="rect">
                      <a:avLst/>
                    </a:prstGeom>
                    <a:noFill/>
                    <a:ln>
                      <a:noFill/>
                    </a:ln>
                    <a:extLst>
                      <a:ext uri="{53640926-AAD7-44D8-BBD7-CCE9431645EC}">
                        <a14:shadowObscured xmlns:a14="http://schemas.microsoft.com/office/drawing/2010/main"/>
                      </a:ext>
                    </a:extLst>
                  </pic:spPr>
                </pic:pic>
              </a:graphicData>
            </a:graphic>
          </wp:inline>
        </w:drawing>
      </w:r>
    </w:p>
    <w:p w14:paraId="4B5AA977" w14:textId="77777777" w:rsidR="00970674" w:rsidRDefault="00970674" w:rsidP="008D0F52">
      <w:pPr>
        <w:rPr>
          <w:lang w:val="en-US"/>
        </w:rPr>
      </w:pPr>
      <w:r>
        <w:rPr>
          <w:i/>
          <w:lang w:val="en-US"/>
        </w:rPr>
        <w:t>Immune mediated (Autoimmune Adverse reactions):</w:t>
      </w:r>
      <w:r>
        <w:rPr>
          <w:lang w:val="en-US"/>
        </w:rPr>
        <w:t xml:space="preserve"> Five subjects in the </w:t>
      </w:r>
      <w:proofErr w:type="spellStart"/>
      <w:r>
        <w:rPr>
          <w:lang w:val="en-US"/>
        </w:rPr>
        <w:t>talimogene</w:t>
      </w:r>
      <w:proofErr w:type="spellEnd"/>
      <w:r>
        <w:rPr>
          <w:lang w:val="en-US"/>
        </w:rPr>
        <w:t xml:space="preserve"> </w:t>
      </w:r>
      <w:proofErr w:type="spellStart"/>
      <w:r>
        <w:rPr>
          <w:lang w:val="en-US"/>
        </w:rPr>
        <w:t>laherparepvec</w:t>
      </w:r>
      <w:proofErr w:type="spellEnd"/>
      <w:r>
        <w:rPr>
          <w:lang w:val="en-US"/>
        </w:rPr>
        <w:t xml:space="preserve"> arm had events confirmed as likely immune mediated: glomerulonephritis (n = 2 including 1 subject with acute renal failure), pneumonitis (n = 1), vasculitis (n = 1), and psoriasis exacerbation (n = 1).</w:t>
      </w:r>
    </w:p>
    <w:p w14:paraId="70242048" w14:textId="77777777" w:rsidR="00970674" w:rsidRDefault="00970674" w:rsidP="008D0F52">
      <w:pPr>
        <w:rPr>
          <w:lang w:val="en-US"/>
        </w:rPr>
      </w:pPr>
      <w:r>
        <w:rPr>
          <w:i/>
          <w:lang w:val="en-US"/>
        </w:rPr>
        <w:t>Cellulitis:</w:t>
      </w:r>
      <w:r>
        <w:rPr>
          <w:lang w:val="en-US"/>
        </w:rPr>
        <w:t xml:space="preserve"> Cellulitis developed after one to multiple doses, and 5 of the 7 serious cases were reported as possibly related to treatment by the investigator. Cellulitis at the injection site was frequently reported among these cases. </w:t>
      </w:r>
    </w:p>
    <w:p w14:paraId="34F75322" w14:textId="77777777" w:rsidR="00970674" w:rsidRDefault="00970674" w:rsidP="008D0F52">
      <w:pPr>
        <w:rPr>
          <w:lang w:val="en-US"/>
        </w:rPr>
      </w:pPr>
      <w:r>
        <w:rPr>
          <w:i/>
          <w:lang w:val="en-US"/>
        </w:rPr>
        <w:t xml:space="preserve">Flu-like symptoms: </w:t>
      </w:r>
      <w:r>
        <w:rPr>
          <w:lang w:val="en-US"/>
        </w:rPr>
        <w:t xml:space="preserve">The most frequently reported preferred term was fatigue (50.3% in the </w:t>
      </w:r>
      <w:proofErr w:type="spellStart"/>
      <w:r>
        <w:rPr>
          <w:lang w:val="en-US"/>
        </w:rPr>
        <w:t>talimogene</w:t>
      </w:r>
      <w:proofErr w:type="spellEnd"/>
      <w:r>
        <w:rPr>
          <w:lang w:val="en-US"/>
        </w:rPr>
        <w:t xml:space="preserve"> </w:t>
      </w:r>
      <w:proofErr w:type="spellStart"/>
      <w:r>
        <w:rPr>
          <w:lang w:val="en-US"/>
        </w:rPr>
        <w:t>laherparepvec</w:t>
      </w:r>
      <w:proofErr w:type="spellEnd"/>
      <w:r>
        <w:rPr>
          <w:lang w:val="en-US"/>
        </w:rPr>
        <w:t xml:space="preserve"> arm and 36.2 % in the GM-CSF arm). Other flu like symptoms reported with a &gt; 5% difference between the </w:t>
      </w:r>
      <w:proofErr w:type="spellStart"/>
      <w:r>
        <w:rPr>
          <w:lang w:val="en-US"/>
        </w:rPr>
        <w:t>talimogene</w:t>
      </w:r>
      <w:proofErr w:type="spellEnd"/>
      <w:r>
        <w:rPr>
          <w:lang w:val="en-US"/>
        </w:rPr>
        <w:t xml:space="preserve"> </w:t>
      </w:r>
      <w:proofErr w:type="spellStart"/>
      <w:r>
        <w:rPr>
          <w:lang w:val="en-US"/>
        </w:rPr>
        <w:t>laherparepvec</w:t>
      </w:r>
      <w:proofErr w:type="spellEnd"/>
      <w:r>
        <w:rPr>
          <w:lang w:val="en-US"/>
        </w:rPr>
        <w:t xml:space="preserve"> arm compared to the GM-GM-CSF arm included chills (48.6% </w:t>
      </w:r>
      <w:r w:rsidR="003A2634">
        <w:rPr>
          <w:lang w:val="en-US"/>
        </w:rPr>
        <w:t>versus</w:t>
      </w:r>
      <w:r>
        <w:rPr>
          <w:lang w:val="en-US"/>
        </w:rPr>
        <w:t xml:space="preserve"> 8.7%); headache (18.8% </w:t>
      </w:r>
      <w:r w:rsidR="003A2634">
        <w:rPr>
          <w:lang w:val="en-US"/>
        </w:rPr>
        <w:t>versus</w:t>
      </w:r>
      <w:r>
        <w:rPr>
          <w:lang w:val="en-US"/>
        </w:rPr>
        <w:t xml:space="preserve"> 9.4%); nausea (35.6% </w:t>
      </w:r>
      <w:r w:rsidR="003A2634">
        <w:rPr>
          <w:lang w:val="en-US"/>
        </w:rPr>
        <w:t>versus</w:t>
      </w:r>
      <w:r>
        <w:rPr>
          <w:lang w:val="en-US"/>
        </w:rPr>
        <w:t xml:space="preserve"> 19.7%); oropharyngeal pain (5.8% </w:t>
      </w:r>
      <w:r w:rsidR="003A2634">
        <w:rPr>
          <w:lang w:val="en-US"/>
        </w:rPr>
        <w:t>versus</w:t>
      </w:r>
      <w:r>
        <w:rPr>
          <w:lang w:val="en-US"/>
        </w:rPr>
        <w:t xml:space="preserve"> 0.8%); pyrexia (42.8% </w:t>
      </w:r>
      <w:r w:rsidR="003A2634">
        <w:rPr>
          <w:lang w:val="en-US"/>
        </w:rPr>
        <w:t>versus</w:t>
      </w:r>
      <w:r>
        <w:rPr>
          <w:lang w:val="en-US"/>
        </w:rPr>
        <w:t xml:space="preserve"> 8.7%) and influenza-like illness (30.5%, 15.0%)</w:t>
      </w:r>
    </w:p>
    <w:p w14:paraId="0F3D0543" w14:textId="77777777" w:rsidR="00970674" w:rsidRDefault="00970674" w:rsidP="008D0F52">
      <w:pPr>
        <w:rPr>
          <w:lang w:val="en-US"/>
        </w:rPr>
      </w:pPr>
      <w:r>
        <w:rPr>
          <w:i/>
          <w:lang w:val="en-US"/>
        </w:rPr>
        <w:t>Herpes Simplex Virus:</w:t>
      </w:r>
      <w:r>
        <w:rPr>
          <w:lang w:val="en-US"/>
        </w:rPr>
        <w:t xml:space="preserve"> The most frequently reported preferred term was oral herpes (4.8% [n = 14] in the </w:t>
      </w:r>
      <w:proofErr w:type="spellStart"/>
      <w:r>
        <w:rPr>
          <w:lang w:val="en-US"/>
        </w:rPr>
        <w:t>talimogene</w:t>
      </w:r>
      <w:proofErr w:type="spellEnd"/>
      <w:r>
        <w:rPr>
          <w:lang w:val="en-US"/>
        </w:rPr>
        <w:t xml:space="preserve"> </w:t>
      </w:r>
      <w:proofErr w:type="spellStart"/>
      <w:r>
        <w:rPr>
          <w:lang w:val="en-US"/>
        </w:rPr>
        <w:t>laherparepvec</w:t>
      </w:r>
      <w:proofErr w:type="spellEnd"/>
      <w:r>
        <w:rPr>
          <w:lang w:val="en-US"/>
        </w:rPr>
        <w:t xml:space="preserve"> arm and 1.6 % in the GM-CSF arm [n = 2]. None of these were reported as serious and the incidence </w:t>
      </w:r>
      <w:r w:rsidR="001A4B22">
        <w:rPr>
          <w:lang w:val="en-US"/>
        </w:rPr>
        <w:t xml:space="preserve">was </w:t>
      </w:r>
      <w:r>
        <w:rPr>
          <w:lang w:val="en-US"/>
        </w:rPr>
        <w:t>lower than the background population rate.</w:t>
      </w:r>
    </w:p>
    <w:p w14:paraId="32FFA0E0" w14:textId="77777777" w:rsidR="00970674" w:rsidRDefault="00970674" w:rsidP="008D0F52">
      <w:pPr>
        <w:rPr>
          <w:lang w:val="en-US"/>
        </w:rPr>
      </w:pPr>
      <w:r>
        <w:rPr>
          <w:i/>
          <w:lang w:val="en-US"/>
        </w:rPr>
        <w:t>Hypersensitivity:</w:t>
      </w:r>
      <w:r>
        <w:rPr>
          <w:lang w:val="en-US"/>
        </w:rPr>
        <w:t xml:space="preserve"> Rash was the most frequently reported preferred term (8.9% in the </w:t>
      </w:r>
      <w:proofErr w:type="spellStart"/>
      <w:r>
        <w:rPr>
          <w:lang w:val="en-US"/>
        </w:rPr>
        <w:t>talimogene</w:t>
      </w:r>
      <w:proofErr w:type="spellEnd"/>
      <w:r>
        <w:rPr>
          <w:lang w:val="en-US"/>
        </w:rPr>
        <w:t xml:space="preserve"> </w:t>
      </w:r>
      <w:proofErr w:type="spellStart"/>
      <w:r>
        <w:rPr>
          <w:lang w:val="en-US"/>
        </w:rPr>
        <w:t>laherparepvec</w:t>
      </w:r>
      <w:proofErr w:type="spellEnd"/>
      <w:r>
        <w:rPr>
          <w:lang w:val="en-US"/>
        </w:rPr>
        <w:t xml:space="preserve"> arm and 7.9% in the GM-CSF arm). Two serious adverse events were reported: asthma and bronchial hyper reactivity that were considered to be possibly related to study treatment. The </w:t>
      </w:r>
      <w:r w:rsidR="008D0F52">
        <w:rPr>
          <w:lang w:val="en-US"/>
        </w:rPr>
        <w:t>a</w:t>
      </w:r>
      <w:r>
        <w:rPr>
          <w:lang w:val="en-US"/>
        </w:rPr>
        <w:t>sthma resolved with appropriate treatment. The bronchial hyper reactivity recurred and the treatment was discontinued.</w:t>
      </w:r>
    </w:p>
    <w:p w14:paraId="13CB7A6F" w14:textId="77777777" w:rsidR="00970674" w:rsidRDefault="00970674" w:rsidP="008D0F52">
      <w:pPr>
        <w:rPr>
          <w:lang w:val="en-US"/>
        </w:rPr>
      </w:pPr>
      <w:r>
        <w:rPr>
          <w:i/>
          <w:lang w:val="en-US"/>
        </w:rPr>
        <w:t>Injection site pain:</w:t>
      </w:r>
      <w:r>
        <w:rPr>
          <w:lang w:val="en-US"/>
        </w:rPr>
        <w:t xml:space="preserve"> The most frequently reported adverse event in the </w:t>
      </w:r>
      <w:proofErr w:type="spellStart"/>
      <w:r>
        <w:rPr>
          <w:lang w:val="en-US"/>
        </w:rPr>
        <w:t>talimogene</w:t>
      </w:r>
      <w:proofErr w:type="spellEnd"/>
      <w:r>
        <w:rPr>
          <w:lang w:val="en-US"/>
        </w:rPr>
        <w:t xml:space="preserve"> </w:t>
      </w:r>
      <w:proofErr w:type="spellStart"/>
      <w:r>
        <w:rPr>
          <w:lang w:val="en-US"/>
        </w:rPr>
        <w:t>laherparepvec</w:t>
      </w:r>
      <w:proofErr w:type="spellEnd"/>
      <w:r>
        <w:rPr>
          <w:lang w:val="en-US"/>
        </w:rPr>
        <w:t xml:space="preserve"> arm was Injection site pain (27.7% in </w:t>
      </w:r>
      <w:proofErr w:type="spellStart"/>
      <w:r>
        <w:rPr>
          <w:lang w:val="en-US"/>
        </w:rPr>
        <w:t>talimogene</w:t>
      </w:r>
      <w:proofErr w:type="spellEnd"/>
      <w:r>
        <w:rPr>
          <w:lang w:val="en-US"/>
        </w:rPr>
        <w:t xml:space="preserve"> </w:t>
      </w:r>
      <w:proofErr w:type="spellStart"/>
      <w:r w:rsidR="001A4B22">
        <w:rPr>
          <w:lang w:val="en-US"/>
        </w:rPr>
        <w:t>laherparepvec</w:t>
      </w:r>
      <w:proofErr w:type="spellEnd"/>
      <w:r>
        <w:rPr>
          <w:lang w:val="en-US"/>
        </w:rPr>
        <w:t xml:space="preserve"> arm; 6.3% in GM-CSF arm.</w:t>
      </w:r>
    </w:p>
    <w:p w14:paraId="0024ABA0" w14:textId="77777777" w:rsidR="00970674" w:rsidRDefault="00970674" w:rsidP="008D0F52">
      <w:pPr>
        <w:rPr>
          <w:lang w:val="en-US"/>
        </w:rPr>
      </w:pPr>
      <w:r>
        <w:rPr>
          <w:i/>
          <w:lang w:val="en-US"/>
        </w:rPr>
        <w:t>Vitiligo:</w:t>
      </w:r>
      <w:r>
        <w:rPr>
          <w:lang w:val="en-US"/>
        </w:rPr>
        <w:t xml:space="preserve"> Skin discoloration was considered non-serious.</w:t>
      </w:r>
    </w:p>
    <w:p w14:paraId="19D8CE8D" w14:textId="77777777" w:rsidR="00970674" w:rsidRDefault="00970674" w:rsidP="00970674">
      <w:pPr>
        <w:rPr>
          <w:lang w:val="en-US"/>
        </w:rPr>
      </w:pPr>
    </w:p>
    <w:p w14:paraId="2D78BE42" w14:textId="77777777" w:rsidR="00970674" w:rsidRDefault="00970674" w:rsidP="008D0F52">
      <w:pPr>
        <w:pStyle w:val="Heading4"/>
        <w:rPr>
          <w:szCs w:val="20"/>
        </w:rPr>
      </w:pPr>
      <w:bookmarkStart w:id="205" w:name="_Toc429143933"/>
      <w:bookmarkStart w:id="206" w:name="_Toc290846303"/>
      <w:bookmarkStart w:id="207" w:name="_Toc272414665"/>
      <w:bookmarkStart w:id="208" w:name="_Ref272333567"/>
      <w:r>
        <w:t>Treatment-related adverse events (adverse drug reactions)</w:t>
      </w:r>
      <w:bookmarkEnd w:id="205"/>
      <w:bookmarkEnd w:id="206"/>
      <w:bookmarkEnd w:id="207"/>
      <w:bookmarkEnd w:id="208"/>
    </w:p>
    <w:p w14:paraId="0C27B351" w14:textId="77777777" w:rsidR="00970674" w:rsidRDefault="00970674" w:rsidP="008D0F52">
      <w:pPr>
        <w:pStyle w:val="Heading5"/>
      </w:pPr>
      <w:r>
        <w:t>Pivotal studies</w:t>
      </w:r>
    </w:p>
    <w:p w14:paraId="6A16DF19" w14:textId="77777777" w:rsidR="00970674" w:rsidRDefault="00970674" w:rsidP="00970674">
      <w:pPr>
        <w:rPr>
          <w:lang w:val="en-US"/>
        </w:rPr>
      </w:pPr>
      <w:r>
        <w:rPr>
          <w:lang w:val="en-US"/>
        </w:rPr>
        <w:t xml:space="preserve">The Safety Population consisted of 292 subjects in the </w:t>
      </w:r>
      <w:proofErr w:type="spellStart"/>
      <w:r>
        <w:rPr>
          <w:lang w:val="en-US"/>
        </w:rPr>
        <w:t>talimogene</w:t>
      </w:r>
      <w:proofErr w:type="spellEnd"/>
      <w:r>
        <w:rPr>
          <w:lang w:val="en-US"/>
        </w:rPr>
        <w:t xml:space="preserve"> </w:t>
      </w:r>
      <w:proofErr w:type="spellStart"/>
      <w:r>
        <w:rPr>
          <w:lang w:val="en-US"/>
        </w:rPr>
        <w:t>laherparepvec</w:t>
      </w:r>
      <w:proofErr w:type="spellEnd"/>
      <w:r>
        <w:rPr>
          <w:lang w:val="en-US"/>
        </w:rPr>
        <w:t xml:space="preserve"> group</w:t>
      </w:r>
      <w:r w:rsidR="008D0F52">
        <w:rPr>
          <w:lang w:val="en-US"/>
        </w:rPr>
        <w:t xml:space="preserve"> </w:t>
      </w:r>
      <w:r>
        <w:rPr>
          <w:lang w:val="en-US"/>
        </w:rPr>
        <w:t xml:space="preserve">and 127 subjects in the GM-CSF group who received at least 1 dose. The subject incidence of all treatment-emergent adverse events was 95.3% in the </w:t>
      </w:r>
      <w:r w:rsidR="007C3083">
        <w:rPr>
          <w:lang w:val="en-US"/>
        </w:rPr>
        <w:t>GM-CSF</w:t>
      </w:r>
      <w:r>
        <w:rPr>
          <w:lang w:val="en-US"/>
        </w:rPr>
        <w:t xml:space="preserve"> group and 99.3% in the </w:t>
      </w:r>
      <w:proofErr w:type="spellStart"/>
      <w:r>
        <w:rPr>
          <w:lang w:val="en-US"/>
        </w:rPr>
        <w:t>talimogene</w:t>
      </w:r>
      <w:proofErr w:type="spellEnd"/>
      <w:r>
        <w:rPr>
          <w:lang w:val="en-US"/>
        </w:rPr>
        <w:t xml:space="preserve"> </w:t>
      </w:r>
      <w:proofErr w:type="spellStart"/>
      <w:r>
        <w:rPr>
          <w:lang w:val="en-US"/>
        </w:rPr>
        <w:t>laherparepvec</w:t>
      </w:r>
      <w:proofErr w:type="spellEnd"/>
      <w:r>
        <w:rPr>
          <w:lang w:val="en-US"/>
        </w:rPr>
        <w:t xml:space="preserve"> group. The 3 most common adverse events were fatigue (36.2% GM-CSF, 50.3% </w:t>
      </w:r>
      <w:proofErr w:type="spellStart"/>
      <w:r>
        <w:rPr>
          <w:lang w:val="en-US"/>
        </w:rPr>
        <w:t>talimogene</w:t>
      </w:r>
      <w:proofErr w:type="spellEnd"/>
      <w:r>
        <w:rPr>
          <w:lang w:val="en-US"/>
        </w:rPr>
        <w:t xml:space="preserve"> </w:t>
      </w:r>
      <w:proofErr w:type="spellStart"/>
      <w:r>
        <w:rPr>
          <w:lang w:val="en-US"/>
        </w:rPr>
        <w:t>laherparepvec</w:t>
      </w:r>
      <w:proofErr w:type="spellEnd"/>
      <w:r>
        <w:rPr>
          <w:lang w:val="en-US"/>
        </w:rPr>
        <w:t>), chills (8.7%, 48.6%), and pyrexia (8.7%, 42.8%).</w:t>
      </w:r>
    </w:p>
    <w:p w14:paraId="0A79B686" w14:textId="77777777" w:rsidR="00970674" w:rsidRDefault="00970674" w:rsidP="00970674">
      <w:pPr>
        <w:rPr>
          <w:b/>
        </w:rPr>
      </w:pPr>
      <w:bookmarkStart w:id="209" w:name="_Toc291240593"/>
      <w:r>
        <w:rPr>
          <w:b/>
        </w:rPr>
        <w:lastRenderedPageBreak/>
        <w:t xml:space="preserve">Table </w:t>
      </w:r>
      <w:r w:rsidR="008D0F52">
        <w:rPr>
          <w:b/>
        </w:rPr>
        <w:t>20:</w:t>
      </w:r>
      <w:r>
        <w:rPr>
          <w:b/>
        </w:rPr>
        <w:t xml:space="preserve"> Advers</w:t>
      </w:r>
      <w:r w:rsidR="008D0F52">
        <w:rPr>
          <w:b/>
        </w:rPr>
        <w:t>e</w:t>
      </w:r>
      <w:r>
        <w:rPr>
          <w:b/>
        </w:rPr>
        <w:t xml:space="preserve"> Events by Preferred Term (≥5% Subject incidence in either treatment group; safety population)</w:t>
      </w:r>
      <w:bookmarkEnd w:id="209"/>
    </w:p>
    <w:p w14:paraId="7A5BF07E" w14:textId="77777777" w:rsidR="008D0F52" w:rsidRDefault="008D0F52" w:rsidP="00970674">
      <w:r>
        <w:rPr>
          <w:noProof/>
          <w:lang w:eastAsia="en-AU"/>
        </w:rPr>
        <w:drawing>
          <wp:inline distT="0" distB="0" distL="0" distR="0" wp14:anchorId="4AE3EA4E" wp14:editId="44FAB6CB">
            <wp:extent cx="3379622" cy="6238410"/>
            <wp:effectExtent l="0" t="0" r="0" b="0"/>
            <wp:docPr id="38" name="Picture 38" descr="Table 20: Adverse Events by Preferred Term (≥5% Subject incidence in either treatment group;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3">
                      <a:extLst>
                        <a:ext uri="{BEBA8EAE-BF5A-486C-A8C5-ECC9F3942E4B}">
                          <a14:imgProps xmlns:a14="http://schemas.microsoft.com/office/drawing/2010/main">
                            <a14:imgLayer r:embed="rId44">
                              <a14:imgEffect>
                                <a14:sharpenSoften amount="50000"/>
                              </a14:imgEffect>
                            </a14:imgLayer>
                          </a14:imgProps>
                        </a:ext>
                      </a:extLst>
                    </a:blip>
                    <a:srcRect/>
                    <a:stretch/>
                  </pic:blipFill>
                  <pic:spPr bwMode="auto">
                    <a:xfrm>
                      <a:off x="0" y="0"/>
                      <a:ext cx="3392028" cy="6261309"/>
                    </a:xfrm>
                    <a:prstGeom prst="rect">
                      <a:avLst/>
                    </a:prstGeom>
                    <a:ln>
                      <a:noFill/>
                    </a:ln>
                    <a:extLst>
                      <a:ext uri="{53640926-AAD7-44D8-BBD7-CCE9431645EC}">
                        <a14:shadowObscured xmlns:a14="http://schemas.microsoft.com/office/drawing/2010/main"/>
                      </a:ext>
                    </a:extLst>
                  </pic:spPr>
                </pic:pic>
              </a:graphicData>
            </a:graphic>
          </wp:inline>
        </w:drawing>
      </w:r>
    </w:p>
    <w:p w14:paraId="34260C5B" w14:textId="77777777" w:rsidR="00970674" w:rsidRDefault="00970674" w:rsidP="00970674">
      <w:r>
        <w:t xml:space="preserve">In the Primary Melanoma Analysis Set, the subject incidence of all treatment-related adverse events (as determined by the investigator) was 92.8% in the </w:t>
      </w:r>
      <w:proofErr w:type="spellStart"/>
      <w:r>
        <w:t>talimogene</w:t>
      </w:r>
      <w:proofErr w:type="spellEnd"/>
      <w:r>
        <w:t xml:space="preserve"> </w:t>
      </w:r>
      <w:proofErr w:type="spellStart"/>
      <w:r>
        <w:t>laherparepvec</w:t>
      </w:r>
      <w:proofErr w:type="spellEnd"/>
      <w:r>
        <w:t xml:space="preserve"> grou</w:t>
      </w:r>
      <w:r w:rsidR="008D0F52">
        <w:t>p and 79.5% in the GM-CSF group</w:t>
      </w:r>
      <w:r>
        <w:t>.</w:t>
      </w:r>
    </w:p>
    <w:p w14:paraId="32B4DF31" w14:textId="77777777" w:rsidR="00970674" w:rsidRDefault="00970674" w:rsidP="00970674">
      <w:r>
        <w:t xml:space="preserve">The most common treatment-related adverse events (subject incidence rate ≥ 20%) in the </w:t>
      </w:r>
      <w:proofErr w:type="spellStart"/>
      <w:r>
        <w:t>talimogene</w:t>
      </w:r>
      <w:proofErr w:type="spellEnd"/>
      <w:r>
        <w:t xml:space="preserve"> </w:t>
      </w:r>
      <w:proofErr w:type="spellStart"/>
      <w:r>
        <w:t>laherparepvec</w:t>
      </w:r>
      <w:proofErr w:type="spellEnd"/>
      <w:r>
        <w:t xml:space="preserve"> group were chills (48.3% </w:t>
      </w:r>
      <w:proofErr w:type="spellStart"/>
      <w:r>
        <w:t>talimogene</w:t>
      </w:r>
      <w:proofErr w:type="spellEnd"/>
      <w:r>
        <w:t xml:space="preserve"> </w:t>
      </w:r>
      <w:proofErr w:type="spellStart"/>
      <w:r>
        <w:t>laherparepvec</w:t>
      </w:r>
      <w:proofErr w:type="spellEnd"/>
      <w:r>
        <w:t>, 5.5% GM-CSF), fatigue (42.1%, 28.3%), pyrexia (40.8%, 7.1%), influenza-like illness (29.8%, 13.4%), nausea (26.7%, 10.2%), and injection site pain (25.3%, 6.3%).</w:t>
      </w:r>
    </w:p>
    <w:p w14:paraId="5FE3365D" w14:textId="77777777" w:rsidR="00970674" w:rsidRDefault="00970674" w:rsidP="00970674">
      <w:r>
        <w:t xml:space="preserve">Treatment-related adverse events of cellulitis were reported in 3.1% of subjects (n = 9) in the </w:t>
      </w:r>
      <w:proofErr w:type="spellStart"/>
      <w:r>
        <w:t>talimogene</w:t>
      </w:r>
      <w:proofErr w:type="spellEnd"/>
      <w:r>
        <w:t xml:space="preserve"> </w:t>
      </w:r>
      <w:proofErr w:type="spellStart"/>
      <w:r>
        <w:t>laherparepvec</w:t>
      </w:r>
      <w:proofErr w:type="spellEnd"/>
      <w:r>
        <w:t xml:space="preserve"> group and no subjects in the GM-CSF group.</w:t>
      </w:r>
    </w:p>
    <w:p w14:paraId="2AA96647" w14:textId="77777777" w:rsidR="00970674" w:rsidRDefault="00970674" w:rsidP="00853C0C">
      <w:pPr>
        <w:keepNext/>
        <w:autoSpaceDE w:val="0"/>
        <w:autoSpaceDN w:val="0"/>
        <w:adjustRightInd w:val="0"/>
      </w:pPr>
      <w:bookmarkStart w:id="210" w:name="_Toc291240594"/>
      <w:r>
        <w:rPr>
          <w:b/>
        </w:rPr>
        <w:lastRenderedPageBreak/>
        <w:t xml:space="preserve">Table </w:t>
      </w:r>
      <w:r w:rsidR="008D0F52">
        <w:rPr>
          <w:b/>
        </w:rPr>
        <w:t>21:</w:t>
      </w:r>
      <w:r>
        <w:rPr>
          <w:b/>
        </w:rPr>
        <w:t xml:space="preserve"> Summary of Subject Incidence of Adverse Events for the Primary Melanoma Analysis Set (Study 005/05) and extension Study (Study 005/05 - E)</w:t>
      </w:r>
      <w:bookmarkEnd w:id="210"/>
    </w:p>
    <w:p w14:paraId="3FC57920" w14:textId="77777777" w:rsidR="00970674" w:rsidRDefault="00970674" w:rsidP="00970674">
      <w:r>
        <w:rPr>
          <w:noProof/>
          <w:lang w:eastAsia="en-AU"/>
        </w:rPr>
        <w:drawing>
          <wp:inline distT="0" distB="0" distL="0" distR="0" wp14:anchorId="3DD27029" wp14:editId="7AD34520">
            <wp:extent cx="3549588" cy="4242816"/>
            <wp:effectExtent l="0" t="0" r="0" b="5715"/>
            <wp:docPr id="21" name="Picture 21" descr="Table 21: Summary of Subject Incidence of Adverse Events for the Primary Melanoma Analysis Set (Study 005/05) and extension Study (Study 005/05 - 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t="5417" b="2458"/>
                    <a:stretch/>
                  </pic:blipFill>
                  <pic:spPr bwMode="auto">
                    <a:xfrm>
                      <a:off x="0" y="0"/>
                      <a:ext cx="3553463" cy="4247448"/>
                    </a:xfrm>
                    <a:prstGeom prst="rect">
                      <a:avLst/>
                    </a:prstGeom>
                    <a:noFill/>
                    <a:ln>
                      <a:noFill/>
                    </a:ln>
                    <a:extLst>
                      <a:ext uri="{53640926-AAD7-44D8-BBD7-CCE9431645EC}">
                        <a14:shadowObscured xmlns:a14="http://schemas.microsoft.com/office/drawing/2010/main"/>
                      </a:ext>
                    </a:extLst>
                  </pic:spPr>
                </pic:pic>
              </a:graphicData>
            </a:graphic>
          </wp:inline>
        </w:drawing>
      </w:r>
    </w:p>
    <w:p w14:paraId="15C49778" w14:textId="77777777" w:rsidR="00970674" w:rsidRDefault="00970674" w:rsidP="008D0F52">
      <w:pPr>
        <w:pStyle w:val="Heading5"/>
      </w:pPr>
      <w:r>
        <w:t>Other studies</w:t>
      </w:r>
    </w:p>
    <w:p w14:paraId="31F39E14" w14:textId="77777777" w:rsidR="00970674" w:rsidRDefault="00970674" w:rsidP="00970674">
      <w:pPr>
        <w:autoSpaceDE w:val="0"/>
        <w:autoSpaceDN w:val="0"/>
        <w:adjustRightInd w:val="0"/>
      </w:pPr>
      <w:r>
        <w:t>As above</w:t>
      </w:r>
    </w:p>
    <w:p w14:paraId="6A0423AE" w14:textId="77777777" w:rsidR="00970674" w:rsidRDefault="00970674" w:rsidP="008D0F52">
      <w:pPr>
        <w:pStyle w:val="Heading4"/>
      </w:pPr>
      <w:bookmarkStart w:id="211" w:name="_Toc429143934"/>
      <w:bookmarkStart w:id="212" w:name="_Toc290846304"/>
      <w:bookmarkStart w:id="213" w:name="_Toc272414666"/>
      <w:bookmarkStart w:id="214" w:name="_Ref272333507"/>
      <w:bookmarkStart w:id="215" w:name="_Toc241374320"/>
      <w:r>
        <w:t>Deaths and other serious adverse events</w:t>
      </w:r>
      <w:bookmarkEnd w:id="211"/>
      <w:bookmarkEnd w:id="212"/>
      <w:bookmarkEnd w:id="213"/>
      <w:bookmarkEnd w:id="214"/>
      <w:bookmarkEnd w:id="215"/>
    </w:p>
    <w:p w14:paraId="3BD9AFD0" w14:textId="77777777" w:rsidR="00970674" w:rsidRDefault="00970674" w:rsidP="008D0F52">
      <w:pPr>
        <w:pStyle w:val="Heading5"/>
      </w:pPr>
      <w:r>
        <w:t>Pivotal studies – Study 005/05</w:t>
      </w:r>
    </w:p>
    <w:p w14:paraId="293AA418" w14:textId="77777777" w:rsidR="00970674" w:rsidRDefault="00970674" w:rsidP="008D0F52">
      <w:pPr>
        <w:rPr>
          <w:lang w:val="en-US"/>
        </w:rPr>
      </w:pPr>
      <w:r>
        <w:t xml:space="preserve">Deaths: </w:t>
      </w:r>
      <w:r>
        <w:rPr>
          <w:lang w:val="en-US"/>
        </w:rPr>
        <w:t xml:space="preserve">fatal adverse events were reported for 10 subjects (3.4%) in the </w:t>
      </w:r>
      <w:proofErr w:type="spellStart"/>
      <w:r>
        <w:rPr>
          <w:lang w:val="en-US"/>
        </w:rPr>
        <w:t>talimogene</w:t>
      </w:r>
      <w:proofErr w:type="spellEnd"/>
      <w:r>
        <w:rPr>
          <w:lang w:val="en-US"/>
        </w:rPr>
        <w:t xml:space="preserve"> </w:t>
      </w:r>
      <w:proofErr w:type="spellStart"/>
      <w:r>
        <w:rPr>
          <w:lang w:val="en-US"/>
        </w:rPr>
        <w:t>laherparepvec</w:t>
      </w:r>
      <w:proofErr w:type="spellEnd"/>
      <w:r>
        <w:rPr>
          <w:lang w:val="en-US"/>
        </w:rPr>
        <w:t xml:space="preserve"> group and 2 subjects (1.6%) in the GM-CSF group. None of the fatal adverse events were considered by the investigator or sponsor to be related to </w:t>
      </w:r>
      <w:proofErr w:type="spellStart"/>
      <w:r>
        <w:rPr>
          <w:lang w:val="en-US"/>
        </w:rPr>
        <w:t>talimogene</w:t>
      </w:r>
      <w:proofErr w:type="spellEnd"/>
      <w:r>
        <w:rPr>
          <w:lang w:val="en-US"/>
        </w:rPr>
        <w:t xml:space="preserve"> </w:t>
      </w:r>
      <w:proofErr w:type="spellStart"/>
      <w:r>
        <w:rPr>
          <w:lang w:val="en-US"/>
        </w:rPr>
        <w:t>laherparepvec</w:t>
      </w:r>
      <w:proofErr w:type="spellEnd"/>
      <w:r>
        <w:rPr>
          <w:lang w:val="en-US"/>
        </w:rPr>
        <w:t xml:space="preserve"> or GM-CSF.</w:t>
      </w:r>
    </w:p>
    <w:p w14:paraId="49B5E4EA" w14:textId="77777777" w:rsidR="00970674" w:rsidRDefault="00970674" w:rsidP="008D0F52">
      <w:pPr>
        <w:rPr>
          <w:lang w:val="en-US"/>
        </w:rPr>
      </w:pPr>
      <w:r>
        <w:rPr>
          <w:lang w:val="en-US"/>
        </w:rPr>
        <w:t xml:space="preserve">In the 005/05 extension study, fatal adverse events were reported for 2 subjects in the </w:t>
      </w:r>
      <w:proofErr w:type="spellStart"/>
      <w:r>
        <w:rPr>
          <w:lang w:val="en-US"/>
        </w:rPr>
        <w:t>talimogene</w:t>
      </w:r>
      <w:proofErr w:type="spellEnd"/>
      <w:r>
        <w:rPr>
          <w:lang w:val="en-US"/>
        </w:rPr>
        <w:t xml:space="preserve"> </w:t>
      </w:r>
      <w:proofErr w:type="spellStart"/>
      <w:r>
        <w:rPr>
          <w:lang w:val="en-US"/>
        </w:rPr>
        <w:t>laherparepvec</w:t>
      </w:r>
      <w:proofErr w:type="spellEnd"/>
      <w:r>
        <w:rPr>
          <w:lang w:val="en-US"/>
        </w:rPr>
        <w:t xml:space="preserve"> group.</w:t>
      </w:r>
    </w:p>
    <w:p w14:paraId="621BC7B0" w14:textId="77777777" w:rsidR="00970674" w:rsidRDefault="00970674" w:rsidP="008D0F52">
      <w:pPr>
        <w:pStyle w:val="Heading5"/>
      </w:pPr>
      <w:r>
        <w:t>Other studies</w:t>
      </w:r>
    </w:p>
    <w:p w14:paraId="5EC88D3E" w14:textId="77777777" w:rsidR="00970674" w:rsidRDefault="00970674" w:rsidP="008D0F52">
      <w:pPr>
        <w:rPr>
          <w:lang w:val="en-US"/>
        </w:rPr>
      </w:pPr>
      <w:r>
        <w:rPr>
          <w:lang w:val="en-US"/>
        </w:rPr>
        <w:t xml:space="preserve">In the </w:t>
      </w:r>
      <w:r w:rsidR="00BA348C">
        <w:rPr>
          <w:lang w:val="en-US"/>
        </w:rPr>
        <w:t>Phase II</w:t>
      </w:r>
      <w:r>
        <w:rPr>
          <w:lang w:val="en-US"/>
        </w:rPr>
        <w:t xml:space="preserve"> study 002/03 of </w:t>
      </w:r>
      <w:proofErr w:type="spellStart"/>
      <w:r>
        <w:rPr>
          <w:lang w:val="en-US"/>
        </w:rPr>
        <w:t>talimogene</w:t>
      </w:r>
      <w:proofErr w:type="spellEnd"/>
      <w:r>
        <w:rPr>
          <w:lang w:val="en-US"/>
        </w:rPr>
        <w:t xml:space="preserve"> </w:t>
      </w:r>
      <w:proofErr w:type="spellStart"/>
      <w:r>
        <w:rPr>
          <w:lang w:val="en-US"/>
        </w:rPr>
        <w:t>laherparepvec</w:t>
      </w:r>
      <w:proofErr w:type="spellEnd"/>
      <w:r>
        <w:rPr>
          <w:lang w:val="en-US"/>
        </w:rPr>
        <w:t xml:space="preserve"> in subjects with </w:t>
      </w:r>
      <w:r w:rsidR="007C3083">
        <w:rPr>
          <w:lang w:val="en-US"/>
        </w:rPr>
        <w:t xml:space="preserve">Stage </w:t>
      </w:r>
      <w:proofErr w:type="spellStart"/>
      <w:r w:rsidR="007C3083">
        <w:rPr>
          <w:lang w:val="en-US"/>
        </w:rPr>
        <w:t>I</w:t>
      </w:r>
      <w:r>
        <w:rPr>
          <w:lang w:val="en-US"/>
        </w:rPr>
        <w:t>IIc</w:t>
      </w:r>
      <w:proofErr w:type="spellEnd"/>
      <w:r>
        <w:rPr>
          <w:lang w:val="en-US"/>
        </w:rPr>
        <w:t xml:space="preserve"> or </w:t>
      </w:r>
      <w:r w:rsidR="007C3083">
        <w:rPr>
          <w:lang w:val="en-US"/>
        </w:rPr>
        <w:t>Stage I</w:t>
      </w:r>
      <w:r>
        <w:rPr>
          <w:lang w:val="en-US"/>
        </w:rPr>
        <w:t xml:space="preserve">V melanoma, fatal adverse events were reported for 4 subjects. Two of the fatal events were due to disease progression, one was due to pneumonia and one was due to acute respiratory failure (due to disease progression). </w:t>
      </w:r>
    </w:p>
    <w:p w14:paraId="4EDF695A" w14:textId="77777777" w:rsidR="00970674" w:rsidRDefault="00970674" w:rsidP="008D0F52">
      <w:pPr>
        <w:rPr>
          <w:lang w:val="en-US"/>
        </w:rPr>
      </w:pPr>
      <w:r>
        <w:rPr>
          <w:lang w:val="en-US"/>
        </w:rPr>
        <w:t xml:space="preserve">In the </w:t>
      </w:r>
      <w:r w:rsidR="008D0F52">
        <w:rPr>
          <w:lang w:val="en-US"/>
        </w:rPr>
        <w:t>P</w:t>
      </w:r>
      <w:r>
        <w:rPr>
          <w:lang w:val="en-US"/>
        </w:rPr>
        <w:t xml:space="preserve">hase </w:t>
      </w:r>
      <w:r w:rsidR="008D0F52">
        <w:rPr>
          <w:lang w:val="en-US"/>
        </w:rPr>
        <w:t>I</w:t>
      </w:r>
      <w:r>
        <w:rPr>
          <w:lang w:val="en-US"/>
        </w:rPr>
        <w:t xml:space="preserve"> study 005/04 of </w:t>
      </w:r>
      <w:proofErr w:type="spellStart"/>
      <w:r>
        <w:rPr>
          <w:lang w:val="en-US"/>
        </w:rPr>
        <w:t>talimogene</w:t>
      </w:r>
      <w:proofErr w:type="spellEnd"/>
      <w:r>
        <w:rPr>
          <w:lang w:val="en-US"/>
        </w:rPr>
        <w:t xml:space="preserve"> </w:t>
      </w:r>
      <w:proofErr w:type="spellStart"/>
      <w:r>
        <w:rPr>
          <w:lang w:val="en-US"/>
        </w:rPr>
        <w:t>laherparepvec</w:t>
      </w:r>
      <w:proofErr w:type="spellEnd"/>
      <w:r>
        <w:rPr>
          <w:lang w:val="en-US"/>
        </w:rPr>
        <w:t xml:space="preserve"> in subjects with </w:t>
      </w:r>
      <w:proofErr w:type="spellStart"/>
      <w:r>
        <w:rPr>
          <w:lang w:val="en-US"/>
        </w:rPr>
        <w:t>unresectable</w:t>
      </w:r>
      <w:proofErr w:type="spellEnd"/>
      <w:r>
        <w:rPr>
          <w:lang w:val="en-US"/>
        </w:rPr>
        <w:t xml:space="preserve"> pancreatic </w:t>
      </w:r>
      <w:r w:rsidR="001A4B22">
        <w:rPr>
          <w:lang w:val="en-US"/>
        </w:rPr>
        <w:t>cancer;</w:t>
      </w:r>
      <w:r>
        <w:rPr>
          <w:lang w:val="en-US"/>
        </w:rPr>
        <w:t xml:space="preserve"> fatal adverse events were reported for 4 of the 17 enrolled subjects. Two of the fatal events were due to general physical health deterioration, one was due to metastatic pain (for which the verbatim term was reported as </w:t>
      </w:r>
      <w:r w:rsidR="00E420FF">
        <w:rPr>
          <w:lang w:val="en-US"/>
        </w:rPr>
        <w:t>‘</w:t>
      </w:r>
      <w:r>
        <w:rPr>
          <w:lang w:val="en-US"/>
        </w:rPr>
        <w:t>pancreatic cancer with intractable pain</w:t>
      </w:r>
      <w:r w:rsidR="00E420FF">
        <w:rPr>
          <w:lang w:val="en-US"/>
        </w:rPr>
        <w:t>’</w:t>
      </w:r>
      <w:r>
        <w:rPr>
          <w:lang w:val="en-US"/>
        </w:rPr>
        <w:t>), and one was due to respiratory failure (due to disease progression)</w:t>
      </w:r>
    </w:p>
    <w:p w14:paraId="6BD975C3" w14:textId="77777777" w:rsidR="00970674" w:rsidRDefault="00970674" w:rsidP="008D0F52">
      <w:pPr>
        <w:rPr>
          <w:lang w:val="en-US"/>
        </w:rPr>
      </w:pPr>
      <w:r>
        <w:rPr>
          <w:lang w:val="en-US"/>
        </w:rPr>
        <w:lastRenderedPageBreak/>
        <w:t xml:space="preserve">In the </w:t>
      </w:r>
      <w:r w:rsidR="008D0F52">
        <w:rPr>
          <w:lang w:val="en-US"/>
        </w:rPr>
        <w:t>P</w:t>
      </w:r>
      <w:r>
        <w:rPr>
          <w:lang w:val="en-US"/>
        </w:rPr>
        <w:t xml:space="preserve">hase </w:t>
      </w:r>
      <w:r w:rsidR="008D0F52">
        <w:rPr>
          <w:lang w:val="en-US"/>
        </w:rPr>
        <w:t>I</w:t>
      </w:r>
      <w:r>
        <w:rPr>
          <w:lang w:val="en-US"/>
        </w:rPr>
        <w:t xml:space="preserve"> study 001/01 of </w:t>
      </w:r>
      <w:proofErr w:type="spellStart"/>
      <w:r>
        <w:rPr>
          <w:lang w:val="en-US"/>
        </w:rPr>
        <w:t>talimogene</w:t>
      </w:r>
      <w:proofErr w:type="spellEnd"/>
      <w:r>
        <w:rPr>
          <w:lang w:val="en-US"/>
        </w:rPr>
        <w:t xml:space="preserve"> </w:t>
      </w:r>
      <w:proofErr w:type="spellStart"/>
      <w:r>
        <w:rPr>
          <w:lang w:val="en-US"/>
        </w:rPr>
        <w:t>laherparepvec</w:t>
      </w:r>
      <w:proofErr w:type="spellEnd"/>
      <w:r>
        <w:rPr>
          <w:lang w:val="en-US"/>
        </w:rPr>
        <w:t xml:space="preserve"> which included subjects with various </w:t>
      </w:r>
      <w:proofErr w:type="spellStart"/>
      <w:r w:rsidR="00BA348C">
        <w:rPr>
          <w:lang w:val="en-US"/>
        </w:rPr>
        <w:t>tumour</w:t>
      </w:r>
      <w:r>
        <w:rPr>
          <w:lang w:val="en-US"/>
        </w:rPr>
        <w:t>s</w:t>
      </w:r>
      <w:proofErr w:type="spellEnd"/>
      <w:r>
        <w:rPr>
          <w:lang w:val="en-US"/>
        </w:rPr>
        <w:t xml:space="preserve"> (breast adenocarcinoma, melanoma, epithelial cancer of the head and neck, gastrointestinal carcinoma, and </w:t>
      </w:r>
      <w:proofErr w:type="spellStart"/>
      <w:r>
        <w:rPr>
          <w:lang w:val="en-US"/>
        </w:rPr>
        <w:t>vulval</w:t>
      </w:r>
      <w:proofErr w:type="spellEnd"/>
      <w:r>
        <w:rPr>
          <w:lang w:val="en-US"/>
        </w:rPr>
        <w:t xml:space="preserve"> </w:t>
      </w:r>
      <w:proofErr w:type="spellStart"/>
      <w:r w:rsidR="00BA348C">
        <w:rPr>
          <w:lang w:val="en-US"/>
        </w:rPr>
        <w:t>tumour</w:t>
      </w:r>
      <w:r>
        <w:rPr>
          <w:lang w:val="en-US"/>
        </w:rPr>
        <w:t>s</w:t>
      </w:r>
      <w:proofErr w:type="spellEnd"/>
      <w:r>
        <w:rPr>
          <w:lang w:val="en-US"/>
        </w:rPr>
        <w:t>), 3 subjects had fatal adverse events due to disease progression, aspiration pneumonia, and accidental overdose of analgesia.</w:t>
      </w:r>
    </w:p>
    <w:p w14:paraId="1087B267" w14:textId="77777777" w:rsidR="00970674" w:rsidRDefault="00970674" w:rsidP="008D0F52">
      <w:pPr>
        <w:rPr>
          <w:lang w:val="en-US"/>
        </w:rPr>
      </w:pPr>
      <w:r>
        <w:rPr>
          <w:lang w:val="en-US"/>
        </w:rPr>
        <w:t xml:space="preserve">None of these fatal events were considered by the investigator or sponsor to be related to </w:t>
      </w:r>
      <w:proofErr w:type="spellStart"/>
      <w:r>
        <w:rPr>
          <w:lang w:val="en-US"/>
        </w:rPr>
        <w:t>talimogene</w:t>
      </w:r>
      <w:proofErr w:type="spellEnd"/>
      <w:r>
        <w:rPr>
          <w:lang w:val="en-US"/>
        </w:rPr>
        <w:t xml:space="preserve"> </w:t>
      </w:r>
      <w:proofErr w:type="spellStart"/>
      <w:r>
        <w:rPr>
          <w:lang w:val="en-US"/>
        </w:rPr>
        <w:t>laherparepvec</w:t>
      </w:r>
      <w:proofErr w:type="spellEnd"/>
      <w:r>
        <w:rPr>
          <w:lang w:val="en-US"/>
        </w:rPr>
        <w:t xml:space="preserve">. </w:t>
      </w:r>
    </w:p>
    <w:p w14:paraId="40D3D6EF" w14:textId="77777777" w:rsidR="00970674" w:rsidRDefault="00970674" w:rsidP="008D0F52">
      <w:pPr>
        <w:pStyle w:val="Heading4"/>
      </w:pPr>
      <w:bookmarkStart w:id="216" w:name="_Toc429143935"/>
      <w:bookmarkStart w:id="217" w:name="_Toc290846305"/>
      <w:bookmarkStart w:id="218" w:name="_Toc272414667"/>
      <w:bookmarkStart w:id="219" w:name="_Ref272333477"/>
      <w:bookmarkStart w:id="220" w:name="_Toc241374325"/>
      <w:r>
        <w:t>Discontinuation due to adverse events</w:t>
      </w:r>
      <w:bookmarkEnd w:id="216"/>
      <w:bookmarkEnd w:id="217"/>
      <w:bookmarkEnd w:id="218"/>
      <w:bookmarkEnd w:id="219"/>
      <w:bookmarkEnd w:id="220"/>
    </w:p>
    <w:p w14:paraId="19E96D89" w14:textId="77777777" w:rsidR="00970674" w:rsidRDefault="00970674" w:rsidP="008D0F52">
      <w:pPr>
        <w:pStyle w:val="Heading5"/>
      </w:pPr>
      <w:r>
        <w:t>Pivotal studies</w:t>
      </w:r>
    </w:p>
    <w:p w14:paraId="2B1BEB06" w14:textId="77777777" w:rsidR="00970674" w:rsidRDefault="00970674" w:rsidP="00970674">
      <w:pPr>
        <w:rPr>
          <w:lang w:val="en-US"/>
        </w:rPr>
      </w:pPr>
      <w:r>
        <w:rPr>
          <w:lang w:val="en-US"/>
        </w:rPr>
        <w:t xml:space="preserve">In the Primary Melanoma Analysis Set, 29 subjects (9.9%) in the </w:t>
      </w:r>
      <w:proofErr w:type="spellStart"/>
      <w:r>
        <w:rPr>
          <w:lang w:val="en-US"/>
        </w:rPr>
        <w:t>talimogene</w:t>
      </w:r>
      <w:proofErr w:type="spellEnd"/>
      <w:r>
        <w:rPr>
          <w:lang w:val="en-US"/>
        </w:rPr>
        <w:t xml:space="preserve"> </w:t>
      </w:r>
      <w:proofErr w:type="spellStart"/>
      <w:r>
        <w:rPr>
          <w:lang w:val="en-US"/>
        </w:rPr>
        <w:t>laherparepvec</w:t>
      </w:r>
      <w:proofErr w:type="spellEnd"/>
      <w:r>
        <w:rPr>
          <w:lang w:val="en-US"/>
        </w:rPr>
        <w:t xml:space="preserve"> group and 8 subjects (6.3%) in the GM-GSF group experienced adverse events leading to discontinuation of study treatment</w:t>
      </w:r>
      <w:r w:rsidR="00AA79D7">
        <w:rPr>
          <w:lang w:val="en-US"/>
        </w:rPr>
        <w:t>.</w:t>
      </w:r>
      <w:r>
        <w:rPr>
          <w:lang w:val="en-US"/>
        </w:rPr>
        <w:t xml:space="preserve"> The most common adverse event leading to treatment discontinu</w:t>
      </w:r>
      <w:r w:rsidR="008D0F52">
        <w:rPr>
          <w:lang w:val="en-US"/>
        </w:rPr>
        <w:t>ation was disease progression.</w:t>
      </w:r>
    </w:p>
    <w:p w14:paraId="69141F3E" w14:textId="77777777" w:rsidR="00970674" w:rsidRDefault="00970674" w:rsidP="008D0F52">
      <w:pPr>
        <w:pStyle w:val="Heading3"/>
      </w:pPr>
      <w:bookmarkStart w:id="221" w:name="_Toc429143936"/>
      <w:bookmarkStart w:id="222" w:name="_Toc290846306"/>
      <w:bookmarkStart w:id="223" w:name="_Toc272414668"/>
      <w:bookmarkStart w:id="224" w:name="_Ref272333085"/>
      <w:bookmarkStart w:id="225" w:name="_Ref271196640"/>
      <w:bookmarkStart w:id="226" w:name="_Ref271044780"/>
      <w:bookmarkStart w:id="227" w:name="_Toc241374321"/>
      <w:bookmarkStart w:id="228" w:name="_Toc452631098"/>
      <w:r>
        <w:t>Laboratory tests</w:t>
      </w:r>
      <w:bookmarkEnd w:id="221"/>
      <w:bookmarkEnd w:id="222"/>
      <w:bookmarkEnd w:id="223"/>
      <w:bookmarkEnd w:id="224"/>
      <w:bookmarkEnd w:id="225"/>
      <w:bookmarkEnd w:id="226"/>
      <w:bookmarkEnd w:id="227"/>
      <w:bookmarkEnd w:id="228"/>
    </w:p>
    <w:p w14:paraId="43FF741A" w14:textId="77777777" w:rsidR="00970674" w:rsidRDefault="00970674" w:rsidP="008D0F52">
      <w:pPr>
        <w:pStyle w:val="Heading4"/>
      </w:pPr>
      <w:bookmarkStart w:id="229" w:name="_Toc429143937"/>
      <w:bookmarkStart w:id="230" w:name="_Toc290846307"/>
      <w:bookmarkStart w:id="231" w:name="_Toc272414669"/>
      <w:r>
        <w:t>Liver function</w:t>
      </w:r>
      <w:bookmarkEnd w:id="229"/>
      <w:bookmarkEnd w:id="230"/>
      <w:bookmarkEnd w:id="231"/>
    </w:p>
    <w:p w14:paraId="3A15D679" w14:textId="77777777" w:rsidR="00970674" w:rsidRDefault="00970674" w:rsidP="008D0F52">
      <w:pPr>
        <w:pStyle w:val="Heading5"/>
      </w:pPr>
      <w:r>
        <w:t>Pivotal studies and other studies</w:t>
      </w:r>
    </w:p>
    <w:p w14:paraId="72D1AF4E" w14:textId="1F716148" w:rsidR="00970674" w:rsidRDefault="00970674" w:rsidP="00970674">
      <w:pPr>
        <w:rPr>
          <w:lang w:val="en-US"/>
        </w:rPr>
      </w:pPr>
      <w:r>
        <w:rPr>
          <w:lang w:val="en-US"/>
        </w:rPr>
        <w:t xml:space="preserve">The SMQ </w:t>
      </w:r>
      <w:r>
        <w:rPr>
          <w:i/>
          <w:iCs/>
          <w:lang w:val="en-US"/>
        </w:rPr>
        <w:t xml:space="preserve">drug-related hepatic </w:t>
      </w:r>
      <w:proofErr w:type="gramStart"/>
      <w:r>
        <w:rPr>
          <w:i/>
          <w:iCs/>
          <w:lang w:val="en-US"/>
        </w:rPr>
        <w:t>disorders</w:t>
      </w:r>
      <w:r w:rsidR="001A4B22">
        <w:rPr>
          <w:i/>
          <w:iCs/>
          <w:lang w:val="en-US"/>
        </w:rPr>
        <w:t xml:space="preserve"> </w:t>
      </w:r>
      <w:r w:rsidR="009C12C3">
        <w:rPr>
          <w:lang w:val="en-US"/>
        </w:rPr>
        <w:t>w</w:t>
      </w:r>
      <w:r w:rsidR="00090F4E">
        <w:rPr>
          <w:lang w:val="en-US"/>
        </w:rPr>
        <w:t>as</w:t>
      </w:r>
      <w:proofErr w:type="gramEnd"/>
      <w:r w:rsidR="009C12C3">
        <w:rPr>
          <w:lang w:val="en-US"/>
        </w:rPr>
        <w:t xml:space="preserve"> </w:t>
      </w:r>
      <w:r>
        <w:rPr>
          <w:lang w:val="en-US"/>
        </w:rPr>
        <w:t xml:space="preserve">used to identify potential cases that were then medically reviewed to determine if there were events that suggested </w:t>
      </w:r>
      <w:proofErr w:type="spellStart"/>
      <w:r>
        <w:rPr>
          <w:lang w:val="en-US"/>
        </w:rPr>
        <w:t>hepatoxicity</w:t>
      </w:r>
      <w:proofErr w:type="spellEnd"/>
      <w:r>
        <w:rPr>
          <w:lang w:val="en-US"/>
        </w:rPr>
        <w:t xml:space="preserve">. Of the 342 subjects receiving </w:t>
      </w:r>
      <w:proofErr w:type="spellStart"/>
      <w:r>
        <w:rPr>
          <w:lang w:val="en-US"/>
        </w:rPr>
        <w:t>talimogene</w:t>
      </w:r>
      <w:proofErr w:type="spellEnd"/>
      <w:r>
        <w:rPr>
          <w:lang w:val="en-US"/>
        </w:rPr>
        <w:t xml:space="preserve"> </w:t>
      </w:r>
      <w:proofErr w:type="spellStart"/>
      <w:r>
        <w:rPr>
          <w:lang w:val="en-US"/>
        </w:rPr>
        <w:t>laherparepvec</w:t>
      </w:r>
      <w:proofErr w:type="spellEnd"/>
      <w:r>
        <w:rPr>
          <w:lang w:val="en-US"/>
        </w:rPr>
        <w:t xml:space="preserve"> in the Supportive Melanoma Analysis Set, 14 subjects (4.1%) had treatment-emergent adverse events in this category. These events included ascites (n = 3), hepatotoxicity (n = 1), hyperbilirubinemia (n = 1), liver tenderness (n = 1), ALT increased (n = 3), AST increased (n = 2), hypoalbuminemia (n = 2), blood alkaline phosphatase increased (n = 1), hepatic enzyme increased (n = 1), international normalized ratio increased (n = 1), prothrombin time prolonged (n = 1), and hemangioma of the liver (n = 1).</w:t>
      </w:r>
    </w:p>
    <w:p w14:paraId="713F2AE2" w14:textId="77777777" w:rsidR="00970674" w:rsidRDefault="00970674" w:rsidP="00970674">
      <w:r>
        <w:t xml:space="preserve">In all cases, underlying disease or an alternate </w:t>
      </w:r>
      <w:proofErr w:type="spellStart"/>
      <w:r>
        <w:t>etiology</w:t>
      </w:r>
      <w:proofErr w:type="spellEnd"/>
      <w:r>
        <w:t xml:space="preserve"> (for example, liver metastases or cholecystitis) was more likely responsible for the event reported. No cases meeting </w:t>
      </w:r>
      <w:proofErr w:type="spellStart"/>
      <w:r>
        <w:t>Hy’s</w:t>
      </w:r>
      <w:proofErr w:type="spellEnd"/>
      <w:r>
        <w:t xml:space="preserve"> Law criteria were identified in any </w:t>
      </w:r>
      <w:proofErr w:type="spellStart"/>
      <w:r>
        <w:t>talimogene</w:t>
      </w:r>
      <w:proofErr w:type="spellEnd"/>
      <w:r>
        <w:t xml:space="preserve"> </w:t>
      </w:r>
      <w:proofErr w:type="spellStart"/>
      <w:r>
        <w:t>laherparepvec</w:t>
      </w:r>
      <w:proofErr w:type="spellEnd"/>
      <w:r>
        <w:t xml:space="preserve"> studies in the Program-Wide Analysis Set.</w:t>
      </w:r>
    </w:p>
    <w:p w14:paraId="1F5D2181" w14:textId="77777777" w:rsidR="00970674" w:rsidRDefault="00970674" w:rsidP="008D0F52">
      <w:pPr>
        <w:pStyle w:val="Heading4"/>
      </w:pPr>
      <w:bookmarkStart w:id="232" w:name="_Toc429143938"/>
      <w:bookmarkStart w:id="233" w:name="_Toc290846308"/>
      <w:bookmarkStart w:id="234" w:name="_Toc272414670"/>
      <w:r>
        <w:t>Kidney function</w:t>
      </w:r>
      <w:bookmarkEnd w:id="232"/>
      <w:bookmarkEnd w:id="233"/>
      <w:bookmarkEnd w:id="234"/>
    </w:p>
    <w:p w14:paraId="52DB2003" w14:textId="77777777" w:rsidR="00970674" w:rsidRDefault="00970674" w:rsidP="008D0F52">
      <w:pPr>
        <w:pStyle w:val="Heading5"/>
      </w:pPr>
      <w:r>
        <w:t>Pivotal studies and other studies</w:t>
      </w:r>
    </w:p>
    <w:p w14:paraId="3B67FE3D" w14:textId="6E992EB3" w:rsidR="00970674" w:rsidRDefault="00970674" w:rsidP="00970674">
      <w:pPr>
        <w:ind w:right="260"/>
        <w:rPr>
          <w:lang w:val="en-US"/>
        </w:rPr>
      </w:pPr>
      <w:r>
        <w:rPr>
          <w:lang w:val="en-US"/>
        </w:rPr>
        <w:t xml:space="preserve">The SMQ </w:t>
      </w:r>
      <w:r>
        <w:rPr>
          <w:i/>
          <w:iCs/>
          <w:lang w:val="en-US"/>
        </w:rPr>
        <w:t xml:space="preserve">acute renal failure </w:t>
      </w:r>
      <w:r w:rsidR="00253DE9">
        <w:rPr>
          <w:lang w:val="en-US"/>
        </w:rPr>
        <w:t>w</w:t>
      </w:r>
      <w:r w:rsidR="00090F4E">
        <w:rPr>
          <w:lang w:val="en-US"/>
        </w:rPr>
        <w:t>as</w:t>
      </w:r>
      <w:r w:rsidR="00253DE9">
        <w:rPr>
          <w:lang w:val="en-US"/>
        </w:rPr>
        <w:t xml:space="preserve"> </w:t>
      </w:r>
      <w:r>
        <w:rPr>
          <w:lang w:val="en-US"/>
        </w:rPr>
        <w:t xml:space="preserve">used to identify potential cases that were then medically reviewed to determine if there were events that suggested nephrotoxicity. Of the 342 subjects receiving </w:t>
      </w:r>
      <w:proofErr w:type="spellStart"/>
      <w:r>
        <w:rPr>
          <w:lang w:val="en-US"/>
        </w:rPr>
        <w:t>talimogene</w:t>
      </w:r>
      <w:proofErr w:type="spellEnd"/>
      <w:r>
        <w:rPr>
          <w:lang w:val="en-US"/>
        </w:rPr>
        <w:t xml:space="preserve"> </w:t>
      </w:r>
      <w:proofErr w:type="spellStart"/>
      <w:r>
        <w:rPr>
          <w:lang w:val="en-US"/>
        </w:rPr>
        <w:t>laherparepvec</w:t>
      </w:r>
      <w:proofErr w:type="spellEnd"/>
      <w:r>
        <w:rPr>
          <w:lang w:val="en-US"/>
        </w:rPr>
        <w:t xml:space="preserve"> in the Supportive Melanoma Analysis Set, 10 subjects (2.9%) had treatment-emergent adverse events in this category. These events included blood creatinine increased (n = 4), blood urea increased (n = 4), glomerular filtration rate decreased (n = 1), urine output decreased (n = 1), and renal failure (n = 3).</w:t>
      </w:r>
    </w:p>
    <w:p w14:paraId="1F913A43" w14:textId="77777777" w:rsidR="00970674" w:rsidRDefault="00970674" w:rsidP="00970674">
      <w:pPr>
        <w:ind w:right="260"/>
      </w:pPr>
      <w:r>
        <w:rPr>
          <w:lang w:val="en-US"/>
        </w:rPr>
        <w:t xml:space="preserve">With the exception of glomerulonephritis (n = 2 including 1 subject with acute renal failure), none of these cases were considered to be related to </w:t>
      </w:r>
      <w:proofErr w:type="spellStart"/>
      <w:r>
        <w:rPr>
          <w:lang w:val="en-US"/>
        </w:rPr>
        <w:t>talimogene</w:t>
      </w:r>
      <w:proofErr w:type="spellEnd"/>
      <w:r>
        <w:rPr>
          <w:lang w:val="en-US"/>
        </w:rPr>
        <w:t xml:space="preserve"> </w:t>
      </w:r>
      <w:proofErr w:type="spellStart"/>
      <w:r>
        <w:rPr>
          <w:lang w:val="en-US"/>
        </w:rPr>
        <w:t>laherparepvec</w:t>
      </w:r>
      <w:proofErr w:type="spellEnd"/>
      <w:r>
        <w:rPr>
          <w:lang w:val="en-US"/>
        </w:rPr>
        <w:t>. The glomerulonephritis resulted in study treatment discontinuation and was thought to be possibly related to treatment by both investigator and sponsor.</w:t>
      </w:r>
    </w:p>
    <w:p w14:paraId="2174D67D" w14:textId="77777777" w:rsidR="00970674" w:rsidRDefault="00970674" w:rsidP="008D0F52">
      <w:pPr>
        <w:pStyle w:val="Heading4"/>
      </w:pPr>
      <w:bookmarkStart w:id="235" w:name="_Toc429143939"/>
      <w:r>
        <w:t>Bone Marrow</w:t>
      </w:r>
      <w:bookmarkEnd w:id="235"/>
    </w:p>
    <w:p w14:paraId="1A552B17" w14:textId="77777777" w:rsidR="00970674" w:rsidRDefault="00970674" w:rsidP="008D0F52">
      <w:pPr>
        <w:pStyle w:val="Heading5"/>
      </w:pPr>
      <w:r>
        <w:t>Pivotal studies and other studies</w:t>
      </w:r>
    </w:p>
    <w:p w14:paraId="5062D53D" w14:textId="5720E92E" w:rsidR="00970674" w:rsidRDefault="00970674" w:rsidP="00970674">
      <w:pPr>
        <w:rPr>
          <w:lang w:val="en-US"/>
        </w:rPr>
      </w:pPr>
      <w:r>
        <w:rPr>
          <w:lang w:val="en-US"/>
        </w:rPr>
        <w:t xml:space="preserve">The SMQ </w:t>
      </w:r>
      <w:r>
        <w:rPr>
          <w:i/>
          <w:iCs/>
          <w:lang w:val="en-US"/>
        </w:rPr>
        <w:t xml:space="preserve">hematopoietic </w:t>
      </w:r>
      <w:proofErr w:type="spellStart"/>
      <w:r>
        <w:rPr>
          <w:i/>
          <w:iCs/>
          <w:lang w:val="en-US"/>
        </w:rPr>
        <w:t>cytopenias</w:t>
      </w:r>
      <w:proofErr w:type="spellEnd"/>
      <w:r>
        <w:rPr>
          <w:i/>
          <w:iCs/>
          <w:lang w:val="en-US"/>
        </w:rPr>
        <w:t xml:space="preserve"> </w:t>
      </w:r>
      <w:r w:rsidR="00253DE9">
        <w:rPr>
          <w:lang w:val="en-US"/>
        </w:rPr>
        <w:t>w</w:t>
      </w:r>
      <w:r w:rsidR="00090F4E">
        <w:rPr>
          <w:lang w:val="en-US"/>
        </w:rPr>
        <w:t>as</w:t>
      </w:r>
      <w:r w:rsidR="00253DE9">
        <w:rPr>
          <w:lang w:val="en-US"/>
        </w:rPr>
        <w:t xml:space="preserve"> </w:t>
      </w:r>
      <w:r>
        <w:rPr>
          <w:lang w:val="en-US"/>
        </w:rPr>
        <w:t xml:space="preserve">used to identify potential cases that were then medically reviewed to determine if there were events that suggested bone marrow toxicity. Of the 342 subjects receiving </w:t>
      </w:r>
      <w:proofErr w:type="spellStart"/>
      <w:r>
        <w:rPr>
          <w:lang w:val="en-US"/>
        </w:rPr>
        <w:t>talimogene</w:t>
      </w:r>
      <w:proofErr w:type="spellEnd"/>
      <w:r>
        <w:rPr>
          <w:lang w:val="en-US"/>
        </w:rPr>
        <w:t xml:space="preserve"> </w:t>
      </w:r>
      <w:proofErr w:type="spellStart"/>
      <w:r>
        <w:rPr>
          <w:lang w:val="en-US"/>
        </w:rPr>
        <w:t>laherparepvec</w:t>
      </w:r>
      <w:proofErr w:type="spellEnd"/>
      <w:r>
        <w:rPr>
          <w:lang w:val="en-US"/>
        </w:rPr>
        <w:t xml:space="preserve"> in the Supportive Melanoma Analysis Set, 32 (9.4%) subjects had treatment-emergent adverse events in this category. These events included </w:t>
      </w:r>
      <w:r>
        <w:rPr>
          <w:lang w:val="en-US"/>
        </w:rPr>
        <w:lastRenderedPageBreak/>
        <w:t>anemia (n=23), hemoglobin decreased (n = 7), thrombocytopenia (n=5), hematocrit decreased (n = 4), red blood cell count decreased (n = 2) leukopenia (n = 2), lymphopenia (n = 1), and neutropenia (n=1).</w:t>
      </w:r>
    </w:p>
    <w:p w14:paraId="7A9B74BA" w14:textId="77777777" w:rsidR="00970674" w:rsidRDefault="00970674" w:rsidP="00970674">
      <w:pPr>
        <w:rPr>
          <w:lang w:val="en-US"/>
        </w:rPr>
      </w:pPr>
      <w:r>
        <w:rPr>
          <w:lang w:val="en-US"/>
        </w:rPr>
        <w:t>During the sponsor’s medical review, anemia was considered more likely to be related to progression of underlying disease with bone marrow suppression. In all cases, the presence of underlying bone metastases or an alternate etiology (for example, gastrointestinal bleed) was more likely responsible for the events reported.</w:t>
      </w:r>
    </w:p>
    <w:p w14:paraId="38D9EF2B" w14:textId="77777777" w:rsidR="00970674" w:rsidRDefault="00970674" w:rsidP="008D0F52">
      <w:pPr>
        <w:pStyle w:val="Heading4"/>
      </w:pPr>
      <w:bookmarkStart w:id="236" w:name="_Toc429143940"/>
      <w:bookmarkStart w:id="237" w:name="_Toc290846310"/>
      <w:bookmarkStart w:id="238" w:name="_Toc272414672"/>
      <w:r>
        <w:t>Haematology</w:t>
      </w:r>
      <w:bookmarkEnd w:id="236"/>
    </w:p>
    <w:p w14:paraId="1BB9182B" w14:textId="77777777" w:rsidR="00970674" w:rsidRDefault="00970674" w:rsidP="008D0F52">
      <w:pPr>
        <w:pStyle w:val="Heading5"/>
      </w:pPr>
      <w:r>
        <w:t>Pivotal studies and other studies</w:t>
      </w:r>
    </w:p>
    <w:p w14:paraId="26E0F167" w14:textId="77777777" w:rsidR="00970674" w:rsidRDefault="00970674" w:rsidP="00970674">
      <w:pPr>
        <w:rPr>
          <w:lang w:val="en-US"/>
        </w:rPr>
      </w:pPr>
      <w:r>
        <w:rPr>
          <w:lang w:val="en-US"/>
        </w:rPr>
        <w:t>No clinically relevant differences between treatment groups were observed. No clinically relevant differences between treatment groups were observed in the change from baseline to end of treatment.</w:t>
      </w:r>
    </w:p>
    <w:p w14:paraId="1E99D6B5" w14:textId="77777777" w:rsidR="00970674" w:rsidRDefault="00970674" w:rsidP="00970674">
      <w:pPr>
        <w:rPr>
          <w:lang w:val="en-US"/>
        </w:rPr>
      </w:pPr>
      <w:r>
        <w:rPr>
          <w:lang w:val="en-US"/>
        </w:rPr>
        <w:t xml:space="preserve">In Study 002/03 and the extension </w:t>
      </w:r>
      <w:r w:rsidR="008D0F52">
        <w:rPr>
          <w:lang w:val="en-US"/>
        </w:rPr>
        <w:t>S</w:t>
      </w:r>
      <w:r>
        <w:rPr>
          <w:lang w:val="en-US"/>
        </w:rPr>
        <w:t>tudies 002/03-E and 005/05-E, no other clinically significant laboratory abnormalities or changes in clinical laboratory measurements were reported.</w:t>
      </w:r>
    </w:p>
    <w:p w14:paraId="0ECEB2E0" w14:textId="77777777" w:rsidR="00970674" w:rsidRDefault="00970674" w:rsidP="008D0F52">
      <w:pPr>
        <w:pStyle w:val="Heading4"/>
      </w:pPr>
      <w:bookmarkStart w:id="239" w:name="_Toc429143941"/>
      <w:r>
        <w:t>Electrocardiograph</w:t>
      </w:r>
      <w:bookmarkEnd w:id="239"/>
    </w:p>
    <w:bookmarkEnd w:id="237"/>
    <w:bookmarkEnd w:id="238"/>
    <w:p w14:paraId="2AB0FC0A" w14:textId="77777777" w:rsidR="00970674" w:rsidRDefault="00970674" w:rsidP="008D0F52">
      <w:pPr>
        <w:pStyle w:val="Heading5"/>
      </w:pPr>
      <w:r>
        <w:t>Pivotal studies and other studies</w:t>
      </w:r>
    </w:p>
    <w:p w14:paraId="62C1DC1B" w14:textId="7C2B079F" w:rsidR="00970674" w:rsidRDefault="00970674" w:rsidP="00970674">
      <w:pPr>
        <w:rPr>
          <w:lang w:val="en-US"/>
        </w:rPr>
      </w:pPr>
      <w:r>
        <w:rPr>
          <w:lang w:val="en-US"/>
        </w:rPr>
        <w:t xml:space="preserve">The SMQs of </w:t>
      </w:r>
      <w:r>
        <w:rPr>
          <w:i/>
          <w:iCs/>
          <w:lang w:val="en-US"/>
        </w:rPr>
        <w:t xml:space="preserve">torsade de pointes/QT prolongation </w:t>
      </w:r>
      <w:r>
        <w:rPr>
          <w:lang w:val="en-US"/>
        </w:rPr>
        <w:t xml:space="preserve">and </w:t>
      </w:r>
      <w:r>
        <w:rPr>
          <w:i/>
          <w:iCs/>
          <w:lang w:val="en-US"/>
        </w:rPr>
        <w:t xml:space="preserve">cardiac </w:t>
      </w:r>
      <w:r w:rsidRPr="00090F4E">
        <w:rPr>
          <w:i/>
          <w:iCs/>
          <w:lang w:val="en-US"/>
        </w:rPr>
        <w:t xml:space="preserve">arrhythmias </w:t>
      </w:r>
      <w:r w:rsidRPr="00090F4E">
        <w:rPr>
          <w:lang w:val="en-US"/>
        </w:rPr>
        <w:t>w</w:t>
      </w:r>
      <w:r w:rsidR="00090F4E" w:rsidRPr="00090F4E">
        <w:rPr>
          <w:lang w:val="en-US"/>
        </w:rPr>
        <w:t>as</w:t>
      </w:r>
      <w:r w:rsidRPr="00090F4E">
        <w:rPr>
          <w:lang w:val="en-US"/>
        </w:rPr>
        <w:t xml:space="preserve"> used to</w:t>
      </w:r>
      <w:r>
        <w:rPr>
          <w:lang w:val="en-US"/>
        </w:rPr>
        <w:t xml:space="preserve"> identify potential cases of QT prolongation. Of the 342 subjects receiving </w:t>
      </w:r>
      <w:proofErr w:type="spellStart"/>
      <w:r>
        <w:rPr>
          <w:lang w:val="en-US"/>
        </w:rPr>
        <w:t>talimogene</w:t>
      </w:r>
      <w:proofErr w:type="spellEnd"/>
      <w:r>
        <w:rPr>
          <w:lang w:val="en-US"/>
        </w:rPr>
        <w:t xml:space="preserve"> </w:t>
      </w:r>
      <w:proofErr w:type="spellStart"/>
      <w:r>
        <w:rPr>
          <w:lang w:val="en-US"/>
        </w:rPr>
        <w:t>laherparepvec</w:t>
      </w:r>
      <w:proofErr w:type="spellEnd"/>
      <w:r>
        <w:rPr>
          <w:lang w:val="en-US"/>
        </w:rPr>
        <w:t xml:space="preserve"> in the Supportive Melanoma Analysis Set, 28 subjects (8.2%) in the </w:t>
      </w:r>
      <w:proofErr w:type="spellStart"/>
      <w:r>
        <w:rPr>
          <w:lang w:val="en-US"/>
        </w:rPr>
        <w:t>talimogene</w:t>
      </w:r>
      <w:proofErr w:type="spellEnd"/>
      <w:r>
        <w:rPr>
          <w:lang w:val="en-US"/>
        </w:rPr>
        <w:t xml:space="preserve"> </w:t>
      </w:r>
      <w:proofErr w:type="spellStart"/>
      <w:r>
        <w:rPr>
          <w:lang w:val="en-US"/>
        </w:rPr>
        <w:t>laherparepvec</w:t>
      </w:r>
      <w:proofErr w:type="spellEnd"/>
      <w:r>
        <w:rPr>
          <w:lang w:val="en-US"/>
        </w:rPr>
        <w:t xml:space="preserve"> treatment groups experienced treatment-emergent adverse events of tachycardia (n = 13), atrial fibrillation (n = 5), palpitations (n = 5), syncope (n = 3), heart rate irregular (n = 2), and in 1 subject each, atrial flutter, atrioventricular block complete, cardiac arrest, cardiac flutter, sinus bradycardia, heart rate increased, and loss of consciousness</w:t>
      </w:r>
      <w:r w:rsidR="00AA79D7">
        <w:rPr>
          <w:lang w:val="en-US"/>
        </w:rPr>
        <w:t>.</w:t>
      </w:r>
    </w:p>
    <w:p w14:paraId="4225D4CB" w14:textId="77777777" w:rsidR="00970674" w:rsidRDefault="00970674" w:rsidP="00970674">
      <w:pPr>
        <w:rPr>
          <w:lang w:val="en-US"/>
        </w:rPr>
      </w:pPr>
      <w:r>
        <w:rPr>
          <w:lang w:val="en-US"/>
        </w:rPr>
        <w:t xml:space="preserve">No relationship was observed between </w:t>
      </w:r>
      <w:proofErr w:type="spellStart"/>
      <w:r>
        <w:rPr>
          <w:lang w:val="en-US"/>
        </w:rPr>
        <w:t>talimogene</w:t>
      </w:r>
      <w:proofErr w:type="spellEnd"/>
      <w:r>
        <w:rPr>
          <w:lang w:val="en-US"/>
        </w:rPr>
        <w:t xml:space="preserve"> </w:t>
      </w:r>
      <w:proofErr w:type="spellStart"/>
      <w:r>
        <w:rPr>
          <w:lang w:val="en-US"/>
        </w:rPr>
        <w:t>laherparepvec</w:t>
      </w:r>
      <w:proofErr w:type="spellEnd"/>
      <w:r>
        <w:rPr>
          <w:lang w:val="en-US"/>
        </w:rPr>
        <w:t xml:space="preserve"> treatment and adverse events relating to potential QT prolongation and other ECG abnormalities. </w:t>
      </w:r>
    </w:p>
    <w:p w14:paraId="4061598C" w14:textId="77777777" w:rsidR="00970674" w:rsidRDefault="00970674" w:rsidP="00970674">
      <w:r>
        <w:rPr>
          <w:lang w:val="en-US"/>
        </w:rPr>
        <w:t xml:space="preserve">In Study 005/05, 6 subjects had abnormal, clinically significant ECG findings at baseline </w:t>
      </w:r>
    </w:p>
    <w:p w14:paraId="71B5159D" w14:textId="77777777" w:rsidR="00970674" w:rsidRDefault="00970674" w:rsidP="00D46F50">
      <w:pPr>
        <w:pStyle w:val="Heading5"/>
      </w:pPr>
      <w:r>
        <w:t>Other studies</w:t>
      </w:r>
    </w:p>
    <w:p w14:paraId="4B0B2C5C" w14:textId="77777777" w:rsidR="00970674" w:rsidRDefault="00970674" w:rsidP="00970674">
      <w:pPr>
        <w:autoSpaceDE w:val="0"/>
        <w:autoSpaceDN w:val="0"/>
        <w:adjustRightInd w:val="0"/>
      </w:pPr>
      <w:r>
        <w:rPr>
          <w:lang w:val="en-US"/>
        </w:rPr>
        <w:t xml:space="preserve">No abnormal, clinically significant ECG findings were reported in Study 002/03. </w:t>
      </w:r>
    </w:p>
    <w:p w14:paraId="06B196DF" w14:textId="77777777" w:rsidR="00970674" w:rsidRDefault="00970674" w:rsidP="00D46F50">
      <w:pPr>
        <w:pStyle w:val="Heading4"/>
      </w:pPr>
      <w:bookmarkStart w:id="240" w:name="_Toc429143942"/>
      <w:r>
        <w:t>Anti HSV-1 antibody response</w:t>
      </w:r>
      <w:bookmarkEnd w:id="240"/>
    </w:p>
    <w:p w14:paraId="65F5AD7F" w14:textId="77777777" w:rsidR="00970674" w:rsidRDefault="00970674" w:rsidP="00D46F50">
      <w:pPr>
        <w:rPr>
          <w:lang w:val="en-US"/>
        </w:rPr>
      </w:pPr>
      <w:r>
        <w:rPr>
          <w:lang w:val="en-US"/>
        </w:rPr>
        <w:t xml:space="preserve">Serum samples were collected from subjects in Studies 001/01, 002/03, 004/04, 005/04, and 005/05 at baseline and at protocol-specified times (pre- and post-dose) and were assayed for anti-HSV-1 antibodies. </w:t>
      </w:r>
    </w:p>
    <w:p w14:paraId="1D0DBBBA" w14:textId="77777777" w:rsidR="00970674" w:rsidRDefault="00970674" w:rsidP="00D46F50">
      <w:r>
        <w:rPr>
          <w:lang w:val="en-US"/>
        </w:rPr>
        <w:t xml:space="preserve">For initial </w:t>
      </w:r>
      <w:proofErr w:type="spellStart"/>
      <w:r>
        <w:rPr>
          <w:lang w:val="en-US"/>
        </w:rPr>
        <w:t>serostatus</w:t>
      </w:r>
      <w:proofErr w:type="spellEnd"/>
      <w:r>
        <w:rPr>
          <w:lang w:val="en-US"/>
        </w:rPr>
        <w:t xml:space="preserve"> testing, 63.4% of all subjects entering </w:t>
      </w:r>
      <w:proofErr w:type="spellStart"/>
      <w:r>
        <w:rPr>
          <w:lang w:val="en-US"/>
        </w:rPr>
        <w:t>talimogene</w:t>
      </w:r>
      <w:proofErr w:type="spellEnd"/>
      <w:r>
        <w:rPr>
          <w:lang w:val="en-US"/>
        </w:rPr>
        <w:t xml:space="preserve"> </w:t>
      </w:r>
      <w:proofErr w:type="spellStart"/>
      <w:r>
        <w:rPr>
          <w:lang w:val="en-US"/>
        </w:rPr>
        <w:t>laherparepvec</w:t>
      </w:r>
      <w:proofErr w:type="spellEnd"/>
      <w:r>
        <w:rPr>
          <w:lang w:val="en-US"/>
        </w:rPr>
        <w:t xml:space="preserve"> clinical studies were HSV-1 antibody positive. The majority of baseline seronegative subjects seroconverted after treatment with </w:t>
      </w:r>
      <w:proofErr w:type="spellStart"/>
      <w:r>
        <w:rPr>
          <w:lang w:val="en-US"/>
        </w:rPr>
        <w:t>talimogene</w:t>
      </w:r>
      <w:proofErr w:type="spellEnd"/>
      <w:r>
        <w:rPr>
          <w:lang w:val="en-US"/>
        </w:rPr>
        <w:t xml:space="preserve"> </w:t>
      </w:r>
      <w:proofErr w:type="spellStart"/>
      <w:r>
        <w:rPr>
          <w:lang w:val="en-US"/>
        </w:rPr>
        <w:t>laherparepvec</w:t>
      </w:r>
      <w:proofErr w:type="spellEnd"/>
      <w:r>
        <w:rPr>
          <w:lang w:val="en-US"/>
        </w:rPr>
        <w:t xml:space="preserve">. </w:t>
      </w:r>
    </w:p>
    <w:p w14:paraId="32E79933" w14:textId="77777777" w:rsidR="00970674" w:rsidRDefault="00970674" w:rsidP="00D46F50">
      <w:pPr>
        <w:pStyle w:val="Heading4"/>
      </w:pPr>
      <w:bookmarkStart w:id="241" w:name="_Toc429143943"/>
      <w:bookmarkStart w:id="242" w:name="_Toc290846314"/>
      <w:bookmarkStart w:id="243" w:name="_Toc272414676"/>
      <w:r>
        <w:t>Vital signs</w:t>
      </w:r>
      <w:bookmarkEnd w:id="241"/>
      <w:bookmarkEnd w:id="242"/>
      <w:bookmarkEnd w:id="243"/>
    </w:p>
    <w:p w14:paraId="79ED1011" w14:textId="77777777" w:rsidR="00970674" w:rsidRDefault="00970674" w:rsidP="00D46F50">
      <w:pPr>
        <w:pStyle w:val="Heading5"/>
      </w:pPr>
      <w:r>
        <w:t>Pivotal studies</w:t>
      </w:r>
    </w:p>
    <w:p w14:paraId="168E5483" w14:textId="77777777" w:rsidR="00970674" w:rsidRDefault="00970674" w:rsidP="00970674">
      <w:r>
        <w:rPr>
          <w:lang w:val="en-US"/>
        </w:rPr>
        <w:t>In the Primary Melanoma Analysis Set, no notable changes were observed from baseline in vital signs, in</w:t>
      </w:r>
      <w:r w:rsidR="00D46F50">
        <w:rPr>
          <w:lang w:val="en-US"/>
        </w:rPr>
        <w:t>cluding systolic blood pressure, diastolic blood pressure</w:t>
      </w:r>
      <w:r>
        <w:rPr>
          <w:lang w:val="en-US"/>
        </w:rPr>
        <w:t>, pulse, respiration, and temperature.</w:t>
      </w:r>
    </w:p>
    <w:p w14:paraId="6D4CF4A3" w14:textId="77777777" w:rsidR="00970674" w:rsidRDefault="00970674" w:rsidP="00D46F50">
      <w:pPr>
        <w:pStyle w:val="Heading4"/>
      </w:pPr>
      <w:bookmarkStart w:id="244" w:name="_Toc429143944"/>
      <w:proofErr w:type="spellStart"/>
      <w:r>
        <w:lastRenderedPageBreak/>
        <w:t>Biodistribution</w:t>
      </w:r>
      <w:bookmarkEnd w:id="244"/>
      <w:proofErr w:type="spellEnd"/>
    </w:p>
    <w:p w14:paraId="3C520342" w14:textId="77777777" w:rsidR="00970674" w:rsidRDefault="00970674" w:rsidP="00D46F50">
      <w:pPr>
        <w:pStyle w:val="Heading5"/>
      </w:pPr>
      <w:r>
        <w:t>Pivotal studies and other studies</w:t>
      </w:r>
    </w:p>
    <w:p w14:paraId="3153C023" w14:textId="77777777" w:rsidR="00970674" w:rsidRDefault="00970674" w:rsidP="00970674">
      <w:pPr>
        <w:rPr>
          <w:lang w:val="en-US"/>
        </w:rPr>
      </w:pPr>
      <w:r>
        <w:rPr>
          <w:lang w:val="en-US"/>
        </w:rPr>
        <w:t xml:space="preserve">The kinetics of </w:t>
      </w:r>
      <w:proofErr w:type="spellStart"/>
      <w:r>
        <w:rPr>
          <w:lang w:val="en-US"/>
        </w:rPr>
        <w:t>biodistribution</w:t>
      </w:r>
      <w:proofErr w:type="spellEnd"/>
      <w:r>
        <w:rPr>
          <w:lang w:val="en-US"/>
        </w:rPr>
        <w:t xml:space="preserve">, shedding, and clearance of </w:t>
      </w:r>
      <w:proofErr w:type="spellStart"/>
      <w:r>
        <w:rPr>
          <w:lang w:val="en-US"/>
        </w:rPr>
        <w:t>talimogene</w:t>
      </w:r>
      <w:proofErr w:type="spellEnd"/>
      <w:r>
        <w:rPr>
          <w:lang w:val="en-US"/>
        </w:rPr>
        <w:t xml:space="preserve"> </w:t>
      </w:r>
      <w:proofErr w:type="spellStart"/>
      <w:r>
        <w:rPr>
          <w:lang w:val="en-US"/>
        </w:rPr>
        <w:t>laherparepvec</w:t>
      </w:r>
      <w:proofErr w:type="spellEnd"/>
      <w:r>
        <w:rPr>
          <w:lang w:val="en-US"/>
        </w:rPr>
        <w:t xml:space="preserve"> in humans was evaluated in 4 clinical studies (Studies 001/01, 004/04, 005/04, and 002/03). In these studies, blood and urine were tested for the presence of </w:t>
      </w:r>
      <w:proofErr w:type="spellStart"/>
      <w:r>
        <w:rPr>
          <w:lang w:val="en-US"/>
        </w:rPr>
        <w:t>talimogene</w:t>
      </w:r>
      <w:proofErr w:type="spellEnd"/>
      <w:r>
        <w:rPr>
          <w:lang w:val="en-US"/>
        </w:rPr>
        <w:t xml:space="preserve"> </w:t>
      </w:r>
      <w:proofErr w:type="spellStart"/>
      <w:r>
        <w:rPr>
          <w:lang w:val="en-US"/>
        </w:rPr>
        <w:t>laherparepvec</w:t>
      </w:r>
      <w:proofErr w:type="spellEnd"/>
      <w:r>
        <w:rPr>
          <w:lang w:val="en-US"/>
        </w:rPr>
        <w:t xml:space="preserve"> viral DNA after</w:t>
      </w:r>
      <w:r w:rsidR="00D46F50">
        <w:rPr>
          <w:lang w:val="en-US"/>
        </w:rPr>
        <w:t xml:space="preserve"> dosing. The samples were </w:t>
      </w:r>
      <w:proofErr w:type="spellStart"/>
      <w:r w:rsidR="00D46F50">
        <w:rPr>
          <w:lang w:val="en-US"/>
        </w:rPr>
        <w:t>analys</w:t>
      </w:r>
      <w:r>
        <w:rPr>
          <w:lang w:val="en-US"/>
        </w:rPr>
        <w:t>ed</w:t>
      </w:r>
      <w:proofErr w:type="spellEnd"/>
      <w:r>
        <w:rPr>
          <w:lang w:val="en-US"/>
        </w:rPr>
        <w:t xml:space="preserve"> using a quantitative polymerase chain reaction (qPCR) assay. The qPCR assay was performed to detect </w:t>
      </w:r>
      <w:proofErr w:type="spellStart"/>
      <w:r>
        <w:rPr>
          <w:lang w:val="en-US"/>
        </w:rPr>
        <w:t>talimogene</w:t>
      </w:r>
      <w:proofErr w:type="spellEnd"/>
      <w:r>
        <w:rPr>
          <w:lang w:val="en-US"/>
        </w:rPr>
        <w:t xml:space="preserve"> </w:t>
      </w:r>
      <w:proofErr w:type="spellStart"/>
      <w:r>
        <w:rPr>
          <w:lang w:val="en-US"/>
        </w:rPr>
        <w:t>laherparepvec</w:t>
      </w:r>
      <w:proofErr w:type="spellEnd"/>
      <w:r>
        <w:rPr>
          <w:lang w:val="en-US"/>
        </w:rPr>
        <w:t xml:space="preserve"> viral DNA. </w:t>
      </w:r>
    </w:p>
    <w:p w14:paraId="74FECB4A" w14:textId="77777777" w:rsidR="00970674" w:rsidRDefault="00970674" w:rsidP="00970674">
      <w:pPr>
        <w:rPr>
          <w:lang w:val="en-US"/>
        </w:rPr>
      </w:pPr>
      <w:r>
        <w:rPr>
          <w:lang w:val="en-US"/>
        </w:rPr>
        <w:t xml:space="preserve">Overall, the results from these studies indicated that subjects with </w:t>
      </w:r>
      <w:proofErr w:type="spellStart"/>
      <w:r w:rsidR="00BA348C">
        <w:rPr>
          <w:lang w:val="en-US"/>
        </w:rPr>
        <w:t>tumour</w:t>
      </w:r>
      <w:r>
        <w:rPr>
          <w:lang w:val="en-US"/>
        </w:rPr>
        <w:t>s</w:t>
      </w:r>
      <w:proofErr w:type="spellEnd"/>
      <w:r>
        <w:rPr>
          <w:lang w:val="en-US"/>
        </w:rPr>
        <w:t xml:space="preserve"> of different types had similar results of low levels of viral DNA transiently present in blood and urine. Across the 3 studies, a total of 19/95 (20%) subjects had viral DNA detected in urine at any time</w:t>
      </w:r>
      <w:r w:rsidR="001A4B22">
        <w:rPr>
          <w:lang w:val="en-US"/>
        </w:rPr>
        <w:t xml:space="preserve"> </w:t>
      </w:r>
      <w:r>
        <w:rPr>
          <w:lang w:val="en-US"/>
        </w:rPr>
        <w:t>point tested, and 29/93 (30%) had viral DNA detected in blood at any time</w:t>
      </w:r>
      <w:r w:rsidR="001A4B22">
        <w:rPr>
          <w:lang w:val="en-US"/>
        </w:rPr>
        <w:t xml:space="preserve"> </w:t>
      </w:r>
      <w:r>
        <w:rPr>
          <w:lang w:val="en-US"/>
        </w:rPr>
        <w:t xml:space="preserve">point tested. </w:t>
      </w:r>
    </w:p>
    <w:p w14:paraId="6DC9C825" w14:textId="77777777" w:rsidR="00970674" w:rsidRDefault="00970674" w:rsidP="00D46F50">
      <w:pPr>
        <w:pStyle w:val="Heading4"/>
      </w:pPr>
      <w:bookmarkStart w:id="245" w:name="_Toc429143945"/>
      <w:r>
        <w:t>Viral shedding</w:t>
      </w:r>
      <w:bookmarkEnd w:id="245"/>
    </w:p>
    <w:p w14:paraId="711033CA" w14:textId="77777777" w:rsidR="00970674" w:rsidRDefault="00970674" w:rsidP="00D46F50">
      <w:pPr>
        <w:pStyle w:val="Heading5"/>
      </w:pPr>
      <w:r>
        <w:t>Pivotal studies and other studies</w:t>
      </w:r>
    </w:p>
    <w:p w14:paraId="159FD26F" w14:textId="77777777" w:rsidR="00970674" w:rsidRDefault="00970674" w:rsidP="00970674">
      <w:r>
        <w:t xml:space="preserve">Overall, 4/27 subjects (15%) in 001/01, 1/28 subjects (4%) in Study 002/03, and 3/17 subjects (18%) in Study 004/04 had swabs that were positive for virus at the </w:t>
      </w:r>
      <w:r w:rsidR="00BA348C">
        <w:t>tumour</w:t>
      </w:r>
      <w:r>
        <w:t xml:space="preserve"> site at any time</w:t>
      </w:r>
      <w:r w:rsidR="00D46F50">
        <w:t>-</w:t>
      </w:r>
      <w:r>
        <w:t xml:space="preserve">point tested. Across the 3 studies, this represents 8/72 (11%) of subjects. All swabs of the exterior of the dressing were negative at all time points tested across all studies. </w:t>
      </w:r>
    </w:p>
    <w:p w14:paraId="2F589E27" w14:textId="77777777" w:rsidR="00970674" w:rsidRDefault="00970674" w:rsidP="00970674">
      <w:r>
        <w:t>In Study 005/05, a total of 18 reactive swabs in 12 subjects were collected. None of the 18 samples tested positive for infectious HSV in a plaque assay.</w:t>
      </w:r>
    </w:p>
    <w:p w14:paraId="75B80FFD" w14:textId="77777777" w:rsidR="00970674" w:rsidRDefault="00970674" w:rsidP="00D46F50">
      <w:pPr>
        <w:pStyle w:val="Heading3"/>
      </w:pPr>
      <w:bookmarkStart w:id="246" w:name="_Toc429143946"/>
      <w:bookmarkStart w:id="247" w:name="_Toc290846317"/>
      <w:bookmarkStart w:id="248" w:name="_Toc272414679"/>
      <w:bookmarkStart w:id="249" w:name="_Ref272333048"/>
      <w:bookmarkStart w:id="250" w:name="_Toc241374326"/>
      <w:bookmarkStart w:id="251" w:name="_Toc452631099"/>
      <w:r>
        <w:t>Post-marketing experience</w:t>
      </w:r>
      <w:bookmarkEnd w:id="246"/>
      <w:bookmarkEnd w:id="247"/>
      <w:bookmarkEnd w:id="248"/>
      <w:bookmarkEnd w:id="249"/>
      <w:bookmarkEnd w:id="250"/>
      <w:bookmarkEnd w:id="251"/>
      <w:r>
        <w:t xml:space="preserve"> </w:t>
      </w:r>
    </w:p>
    <w:p w14:paraId="314A443D" w14:textId="77777777" w:rsidR="00970674" w:rsidRDefault="00970674" w:rsidP="00970674">
      <w:pPr>
        <w:autoSpaceDE w:val="0"/>
        <w:autoSpaceDN w:val="0"/>
        <w:adjustRightInd w:val="0"/>
      </w:pPr>
      <w:r>
        <w:t>Not applicable</w:t>
      </w:r>
      <w:r w:rsidR="00D46F50">
        <w:t>.</w:t>
      </w:r>
      <w:r>
        <w:t xml:space="preserve"> Study 20130193 not started</w:t>
      </w:r>
      <w:r w:rsidR="00D46F50">
        <w:t>.</w:t>
      </w:r>
    </w:p>
    <w:p w14:paraId="09289E39" w14:textId="77777777" w:rsidR="00970674" w:rsidRDefault="00970674" w:rsidP="00D46F50">
      <w:pPr>
        <w:pStyle w:val="Heading3"/>
      </w:pPr>
      <w:bookmarkStart w:id="252" w:name="_Toc429143947"/>
      <w:bookmarkStart w:id="253" w:name="_Toc290846329"/>
      <w:bookmarkStart w:id="254" w:name="_Toc272414691"/>
      <w:bookmarkStart w:id="255" w:name="_Toc241374328"/>
      <w:bookmarkStart w:id="256" w:name="_Toc452631100"/>
      <w:r>
        <w:t>Evaluator’s overall conclusions on clinical safety</w:t>
      </w:r>
      <w:bookmarkEnd w:id="252"/>
      <w:bookmarkEnd w:id="253"/>
      <w:bookmarkEnd w:id="254"/>
      <w:bookmarkEnd w:id="255"/>
      <w:bookmarkEnd w:id="256"/>
    </w:p>
    <w:p w14:paraId="764A9DD0" w14:textId="23734AD2" w:rsidR="00970674" w:rsidRDefault="00970674" w:rsidP="00D46F50">
      <w:pPr>
        <w:rPr>
          <w:lang w:val="en-US"/>
        </w:rPr>
      </w:pPr>
      <w:r>
        <w:rPr>
          <w:lang w:val="en-US"/>
        </w:rPr>
        <w:t>Data provided by the sponsor and from presentations at ASCO</w:t>
      </w:r>
      <w:r w:rsidR="00BA348C">
        <w:rPr>
          <w:lang w:val="en-US"/>
        </w:rPr>
        <w:t xml:space="preserve"> </w:t>
      </w:r>
      <w:r>
        <w:rPr>
          <w:lang w:val="en-US"/>
        </w:rPr>
        <w:t xml:space="preserve">(Kaufman et al) documented a long list of reported side effects which were usually minor </w:t>
      </w:r>
      <w:r w:rsidR="00D46F50">
        <w:rPr>
          <w:lang w:val="en-US"/>
        </w:rPr>
        <w:t>G</w:t>
      </w:r>
      <w:r>
        <w:rPr>
          <w:lang w:val="en-US"/>
        </w:rPr>
        <w:t>rade 1 or 2 side effects. Nevertheless flu like symptoms were reported in most patients (90%)</w:t>
      </w:r>
      <w:r w:rsidR="00D46F50">
        <w:rPr>
          <w:lang w:val="en-US"/>
        </w:rPr>
        <w:t xml:space="preserve"> </w:t>
      </w:r>
      <w:r>
        <w:rPr>
          <w:lang w:val="en-US"/>
        </w:rPr>
        <w:t>and</w:t>
      </w:r>
      <w:r w:rsidR="00BA348C">
        <w:rPr>
          <w:lang w:val="en-US"/>
        </w:rPr>
        <w:t xml:space="preserve"> </w:t>
      </w:r>
      <w:r>
        <w:rPr>
          <w:lang w:val="en-US"/>
        </w:rPr>
        <w:t xml:space="preserve">the treatment is clearly not without side effects that could adversely </w:t>
      </w:r>
      <w:r w:rsidR="00D46F50">
        <w:rPr>
          <w:lang w:val="en-US"/>
        </w:rPr>
        <w:t>a</w:t>
      </w:r>
      <w:r>
        <w:rPr>
          <w:lang w:val="en-US"/>
        </w:rPr>
        <w:t xml:space="preserve">ffect the quality of life for long periods given the long periods that some patients were treated for. </w:t>
      </w:r>
      <w:r>
        <w:t xml:space="preserve">The </w:t>
      </w:r>
      <w:r w:rsidR="00D46F50">
        <w:t>C</w:t>
      </w:r>
      <w:r>
        <w:t>linical overview indicates that common (&gt;20%) s</w:t>
      </w:r>
      <w:r>
        <w:rPr>
          <w:lang w:val="en-US"/>
        </w:rPr>
        <w:t>ide</w:t>
      </w:r>
      <w:r w:rsidR="008572F8">
        <w:rPr>
          <w:lang w:val="en-US"/>
        </w:rPr>
        <w:t>-</w:t>
      </w:r>
      <w:r>
        <w:rPr>
          <w:lang w:val="en-US"/>
        </w:rPr>
        <w:t xml:space="preserve">effects in the </w:t>
      </w:r>
      <w:proofErr w:type="spellStart"/>
      <w:r w:rsidR="002C0543">
        <w:rPr>
          <w:lang w:val="en-US"/>
        </w:rPr>
        <w:t>Imlygic</w:t>
      </w:r>
      <w:proofErr w:type="spellEnd"/>
      <w:r>
        <w:rPr>
          <w:lang w:val="en-US"/>
        </w:rPr>
        <w:t xml:space="preserve"> treated patients were fatigue, fever, chills and injection site pain. Serious adverse events were recorded in 25.7% of patients and 6.5% of these were attributed to treatment with </w:t>
      </w:r>
      <w:proofErr w:type="spellStart"/>
      <w:r w:rsidR="002C0543">
        <w:rPr>
          <w:lang w:val="en-US"/>
        </w:rPr>
        <w:t>Imlygic</w:t>
      </w:r>
      <w:proofErr w:type="spellEnd"/>
      <w:r>
        <w:rPr>
          <w:lang w:val="en-US"/>
        </w:rPr>
        <w:t xml:space="preserve"> (cellulitis,</w:t>
      </w:r>
      <w:r w:rsidR="001A4B22">
        <w:rPr>
          <w:lang w:val="en-US"/>
        </w:rPr>
        <w:t xml:space="preserve"> </w:t>
      </w:r>
      <w:r>
        <w:rPr>
          <w:lang w:val="en-US"/>
        </w:rPr>
        <w:t xml:space="preserve">pyrexia, </w:t>
      </w:r>
      <w:proofErr w:type="spellStart"/>
      <w:r w:rsidR="00BA348C">
        <w:rPr>
          <w:lang w:val="en-US"/>
        </w:rPr>
        <w:t>tumour</w:t>
      </w:r>
      <w:proofErr w:type="spellEnd"/>
      <w:r>
        <w:rPr>
          <w:lang w:val="en-US"/>
        </w:rPr>
        <w:t xml:space="preserve"> pain) There were 10 fatalities all of which could be attributed to disease progression or unrelated events such as myocardial infarction in 1 and sepsis in 1.</w:t>
      </w:r>
      <w:r w:rsidR="00BA348C">
        <w:rPr>
          <w:lang w:val="en-US"/>
        </w:rPr>
        <w:t xml:space="preserve"> </w:t>
      </w:r>
      <w:r>
        <w:rPr>
          <w:lang w:val="en-US"/>
        </w:rPr>
        <w:t>29 patients (9.9%) discontinued treatment, 7 patients discontinued due to treatment issues such as cellulitis</w:t>
      </w:r>
      <w:r w:rsidR="00D46F50">
        <w:rPr>
          <w:lang w:val="en-US"/>
        </w:rPr>
        <w:t xml:space="preserve"> </w:t>
      </w:r>
      <w:r>
        <w:rPr>
          <w:lang w:val="en-US"/>
        </w:rPr>
        <w:t>(1), Herpetic keratitis</w:t>
      </w:r>
      <w:r w:rsidR="00D46F50">
        <w:rPr>
          <w:lang w:val="en-US"/>
        </w:rPr>
        <w:t xml:space="preserve"> </w:t>
      </w:r>
      <w:r>
        <w:rPr>
          <w:lang w:val="en-US"/>
        </w:rPr>
        <w:t>(1). Immune related events of interest were patients with glomerulonephritis (1) pneumonitis</w:t>
      </w:r>
      <w:r w:rsidR="00D46F50">
        <w:rPr>
          <w:lang w:val="en-US"/>
        </w:rPr>
        <w:t xml:space="preserve"> </w:t>
      </w:r>
      <w:r>
        <w:rPr>
          <w:lang w:val="en-US"/>
        </w:rPr>
        <w:t>(1), psoriasis</w:t>
      </w:r>
      <w:r w:rsidR="00D46F50">
        <w:rPr>
          <w:lang w:val="en-US"/>
        </w:rPr>
        <w:t xml:space="preserve"> </w:t>
      </w:r>
      <w:r>
        <w:rPr>
          <w:lang w:val="en-US"/>
        </w:rPr>
        <w:t>(1) renal failure</w:t>
      </w:r>
      <w:r w:rsidR="00D46F50">
        <w:rPr>
          <w:lang w:val="en-US"/>
        </w:rPr>
        <w:t xml:space="preserve"> </w:t>
      </w:r>
      <w:r>
        <w:rPr>
          <w:lang w:val="en-US"/>
        </w:rPr>
        <w:t>(1) and vasculitis</w:t>
      </w:r>
      <w:r w:rsidR="00D46F50">
        <w:rPr>
          <w:lang w:val="en-US"/>
        </w:rPr>
        <w:t xml:space="preserve"> </w:t>
      </w:r>
      <w:r>
        <w:rPr>
          <w:lang w:val="en-US"/>
        </w:rPr>
        <w:t>(2). In general the side effects were tolerable but nevertheless could be expected to have had adverse effects on the quality of life of the patients.</w:t>
      </w:r>
    </w:p>
    <w:p w14:paraId="27951BBE" w14:textId="77777777" w:rsidR="00970674" w:rsidRPr="00D46F50" w:rsidRDefault="00970674" w:rsidP="00D46F50">
      <w:pPr>
        <w:rPr>
          <w:i/>
          <w:lang w:val="en-US"/>
        </w:rPr>
      </w:pPr>
      <w:r w:rsidRPr="00D46F50">
        <w:rPr>
          <w:i/>
          <w:lang w:val="en-US"/>
        </w:rPr>
        <w:t xml:space="preserve">Is there a risk of herpetic infection from the injected </w:t>
      </w:r>
      <w:proofErr w:type="spellStart"/>
      <w:r w:rsidR="00BA348C" w:rsidRPr="00D46F50">
        <w:rPr>
          <w:i/>
          <w:lang w:val="en-US"/>
        </w:rPr>
        <w:t>tumour</w:t>
      </w:r>
      <w:proofErr w:type="spellEnd"/>
      <w:r w:rsidRPr="00D46F50">
        <w:rPr>
          <w:i/>
          <w:lang w:val="en-US"/>
        </w:rPr>
        <w:t xml:space="preserve"> of genetically engineered HSV virus to normal body tissues? </w:t>
      </w:r>
    </w:p>
    <w:p w14:paraId="1E560026" w14:textId="77777777" w:rsidR="00970674" w:rsidRDefault="00970674" w:rsidP="00D46F50">
      <w:pPr>
        <w:rPr>
          <w:lang w:val="en-US"/>
        </w:rPr>
      </w:pPr>
      <w:r>
        <w:rPr>
          <w:lang w:val="en-US"/>
        </w:rPr>
        <w:t>This issue was studied by examining swabs from exudative lesions or herpetic looking lesions (</w:t>
      </w:r>
      <w:r w:rsidR="00E420FF">
        <w:rPr>
          <w:lang w:val="en-US"/>
        </w:rPr>
        <w:t>‘</w:t>
      </w:r>
      <w:r>
        <w:rPr>
          <w:lang w:val="en-US"/>
        </w:rPr>
        <w:t>Reactive swabs</w:t>
      </w:r>
      <w:r w:rsidR="00E420FF">
        <w:rPr>
          <w:lang w:val="en-US"/>
        </w:rPr>
        <w:t>’</w:t>
      </w:r>
      <w:r>
        <w:rPr>
          <w:lang w:val="en-US"/>
        </w:rPr>
        <w:t>) in all the studies except in studies on pancreatic cancer. It was stated that no HSV were detected from these swabs</w:t>
      </w:r>
    </w:p>
    <w:p w14:paraId="64506727" w14:textId="77777777" w:rsidR="00970674" w:rsidRPr="00D46F50" w:rsidRDefault="00970674" w:rsidP="00D46F50">
      <w:pPr>
        <w:rPr>
          <w:i/>
          <w:lang w:val="en-US"/>
        </w:rPr>
      </w:pPr>
      <w:r w:rsidRPr="00D46F50">
        <w:rPr>
          <w:i/>
          <w:lang w:val="en-US"/>
        </w:rPr>
        <w:t xml:space="preserve">Is secondary spread a risk, </w:t>
      </w:r>
      <w:proofErr w:type="spellStart"/>
      <w:r w:rsidRPr="00D46F50">
        <w:rPr>
          <w:i/>
          <w:lang w:val="en-US"/>
        </w:rPr>
        <w:t>ie</w:t>
      </w:r>
      <w:proofErr w:type="spellEnd"/>
      <w:r w:rsidRPr="00D46F50">
        <w:rPr>
          <w:i/>
          <w:lang w:val="en-US"/>
        </w:rPr>
        <w:t xml:space="preserve"> spread of the genetically engineered HSV virus to health care</w:t>
      </w:r>
      <w:r w:rsidR="00BA348C" w:rsidRPr="00D46F50">
        <w:rPr>
          <w:i/>
          <w:lang w:val="en-US"/>
        </w:rPr>
        <w:t xml:space="preserve"> </w:t>
      </w:r>
      <w:r w:rsidRPr="00D46F50">
        <w:rPr>
          <w:i/>
          <w:lang w:val="en-US"/>
        </w:rPr>
        <w:t xml:space="preserve">personnel or to contacts of the patient by shedding of the virus from injected lesions? </w:t>
      </w:r>
    </w:p>
    <w:p w14:paraId="7B922997" w14:textId="77777777" w:rsidR="00970674" w:rsidRDefault="00970674" w:rsidP="00D46F50">
      <w:pPr>
        <w:rPr>
          <w:lang w:val="en-US"/>
        </w:rPr>
      </w:pPr>
      <w:r>
        <w:rPr>
          <w:lang w:val="en-US"/>
        </w:rPr>
        <w:lastRenderedPageBreak/>
        <w:t xml:space="preserve">This was tested by examining the dressings covering the lesions and the surface of dressings covering the injected sites in </w:t>
      </w:r>
      <w:r w:rsidR="00D46F50">
        <w:rPr>
          <w:lang w:val="en-US"/>
        </w:rPr>
        <w:t>S</w:t>
      </w:r>
      <w:r>
        <w:rPr>
          <w:lang w:val="en-US"/>
        </w:rPr>
        <w:t>tudies 001/01 (30 patients), 002/03 and</w:t>
      </w:r>
      <w:r w:rsidR="00BA348C">
        <w:rPr>
          <w:lang w:val="en-US"/>
        </w:rPr>
        <w:t xml:space="preserve"> </w:t>
      </w:r>
      <w:r>
        <w:rPr>
          <w:lang w:val="en-US"/>
        </w:rPr>
        <w:t xml:space="preserve">004/04(SCC). Swabs were not examined in the 005/05 study. In total HSV was detected in swabs from 11% of the tests in the 3 studies. No positive tests were recorded from the surface dressings covering the injected lesions. It is reasonable to conclude that the risk of secondary spread of the genetically altered virus is low. </w:t>
      </w:r>
    </w:p>
    <w:p w14:paraId="315291AC" w14:textId="77777777" w:rsidR="00970674" w:rsidRPr="00970674" w:rsidRDefault="00970674" w:rsidP="00D46F50">
      <w:r>
        <w:rPr>
          <w:lang w:val="en-US"/>
        </w:rPr>
        <w:t>There was one reported incident where a health care worker had accidental exposure and developed a whitlow requiring treatment with acyclovir. It would appear therefore prudent to continue to recommend that patients should avoid contact with infants, pregnant women and immunosuppressed patients and that care be taken in disposal of dressings from treated patients.</w:t>
      </w:r>
      <w:r w:rsidR="00BA348C">
        <w:rPr>
          <w:lang w:val="en-US"/>
        </w:rPr>
        <w:t xml:space="preserve"> </w:t>
      </w:r>
    </w:p>
    <w:p w14:paraId="47AB4B3A" w14:textId="77777777" w:rsidR="00C22678" w:rsidRDefault="00C22678" w:rsidP="00D46F50">
      <w:pPr>
        <w:pStyle w:val="Heading2"/>
      </w:pPr>
      <w:bookmarkStart w:id="257" w:name="_Toc452631101"/>
      <w:r>
        <w:t xml:space="preserve">First round benefit-risk </w:t>
      </w:r>
      <w:r w:rsidRPr="00D46F50">
        <w:t>assessment</w:t>
      </w:r>
      <w:bookmarkEnd w:id="257"/>
    </w:p>
    <w:p w14:paraId="1171BE73" w14:textId="77777777" w:rsidR="00970674" w:rsidRDefault="00970674" w:rsidP="00D46F50">
      <w:pPr>
        <w:pStyle w:val="Heading3"/>
      </w:pPr>
      <w:bookmarkStart w:id="258" w:name="_Toc429143949"/>
      <w:bookmarkStart w:id="259" w:name="_Toc290846331"/>
      <w:bookmarkStart w:id="260" w:name="_Toc272414693"/>
      <w:bookmarkStart w:id="261" w:name="_Ref272160836"/>
      <w:bookmarkStart w:id="262" w:name="_Toc241374331"/>
      <w:bookmarkStart w:id="263" w:name="_Toc236802592"/>
      <w:bookmarkStart w:id="264" w:name="_Toc452631102"/>
      <w:r>
        <w:t>First round assessment of benefits</w:t>
      </w:r>
      <w:bookmarkEnd w:id="258"/>
      <w:bookmarkEnd w:id="259"/>
      <w:bookmarkEnd w:id="260"/>
      <w:bookmarkEnd w:id="261"/>
      <w:bookmarkEnd w:id="262"/>
      <w:bookmarkEnd w:id="263"/>
      <w:bookmarkEnd w:id="264"/>
    </w:p>
    <w:p w14:paraId="53A3F51A" w14:textId="4D29757D" w:rsidR="00970674" w:rsidRDefault="00970674" w:rsidP="00970674">
      <w:r>
        <w:t xml:space="preserve">The benefits of </w:t>
      </w:r>
      <w:proofErr w:type="spellStart"/>
      <w:r w:rsidR="002C0543">
        <w:t>Imlygic</w:t>
      </w:r>
      <w:proofErr w:type="spellEnd"/>
      <w:r>
        <w:t xml:space="preserve"> in the proposed usage are:</w:t>
      </w:r>
    </w:p>
    <w:p w14:paraId="53FED08B" w14:textId="77777777" w:rsidR="00970674" w:rsidRDefault="00970674" w:rsidP="00D46F50">
      <w:pPr>
        <w:pStyle w:val="ListBullet"/>
      </w:pPr>
      <w:r>
        <w:t>regression of some SC metastases in approximately 15% of patients, partial regression in about 15%, durable for</w:t>
      </w:r>
      <w:r w:rsidR="00BA348C">
        <w:t xml:space="preserve"> </w:t>
      </w:r>
      <w:r>
        <w:t>6 months in 19%.</w:t>
      </w:r>
      <w:r w:rsidR="00BA348C">
        <w:t xml:space="preserve"> </w:t>
      </w:r>
      <w:r>
        <w:t>See limitations below</w:t>
      </w:r>
    </w:p>
    <w:p w14:paraId="71934620" w14:textId="77777777" w:rsidR="00970674" w:rsidRDefault="00970674" w:rsidP="00D46F50">
      <w:pPr>
        <w:pStyle w:val="Heading3"/>
      </w:pPr>
      <w:bookmarkStart w:id="265" w:name="_Toc429143950"/>
      <w:bookmarkStart w:id="266" w:name="_Toc290846332"/>
      <w:bookmarkStart w:id="267" w:name="_Toc272414694"/>
      <w:bookmarkStart w:id="268" w:name="_Ref272160964"/>
      <w:bookmarkStart w:id="269" w:name="_Toc241374334"/>
      <w:bookmarkStart w:id="270" w:name="_Toc236802596"/>
      <w:bookmarkStart w:id="271" w:name="_Toc452631103"/>
      <w:r>
        <w:t>First round assessment of risks</w:t>
      </w:r>
      <w:bookmarkEnd w:id="265"/>
      <w:bookmarkEnd w:id="266"/>
      <w:bookmarkEnd w:id="267"/>
      <w:bookmarkEnd w:id="268"/>
      <w:bookmarkEnd w:id="269"/>
      <w:bookmarkEnd w:id="270"/>
      <w:bookmarkEnd w:id="271"/>
    </w:p>
    <w:p w14:paraId="39F62D77" w14:textId="24758613" w:rsidR="00970674" w:rsidRDefault="00970674" w:rsidP="00D46F50">
      <w:r>
        <w:t xml:space="preserve">The risks of </w:t>
      </w:r>
      <w:proofErr w:type="spellStart"/>
      <w:r w:rsidR="002C0543">
        <w:t>Imlygic</w:t>
      </w:r>
      <w:proofErr w:type="spellEnd"/>
      <w:r>
        <w:t xml:space="preserve"> in the proposed usage are:</w:t>
      </w:r>
    </w:p>
    <w:p w14:paraId="343B012D" w14:textId="77777777" w:rsidR="00970674" w:rsidRDefault="00970674" w:rsidP="00D46F50">
      <w:pPr>
        <w:pStyle w:val="ListBullet"/>
      </w:pPr>
      <w:r>
        <w:t>Reduced quality of life due to frequency of injections and side effects such as fatigue,</w:t>
      </w:r>
      <w:r w:rsidR="00D46F50">
        <w:t xml:space="preserve"> </w:t>
      </w:r>
      <w:r>
        <w:t>flu like symptoms,</w:t>
      </w:r>
      <w:r w:rsidR="00D46F50">
        <w:t xml:space="preserve"> </w:t>
      </w:r>
      <w:r>
        <w:t xml:space="preserve">pain at </w:t>
      </w:r>
      <w:r w:rsidR="00BA348C">
        <w:t>tumour</w:t>
      </w:r>
      <w:r>
        <w:t xml:space="preserve"> sites</w:t>
      </w:r>
    </w:p>
    <w:p w14:paraId="56A8F81C" w14:textId="77777777" w:rsidR="00970674" w:rsidRDefault="00970674" w:rsidP="00D46F50">
      <w:pPr>
        <w:pStyle w:val="ListBullet"/>
      </w:pPr>
      <w:r>
        <w:t>Open lesions are a potential source of systemic infections and septicaemia especially during treatment outside of trials.</w:t>
      </w:r>
    </w:p>
    <w:p w14:paraId="2B431F11" w14:textId="77777777" w:rsidR="00970674" w:rsidRDefault="00970674" w:rsidP="00D46F50">
      <w:pPr>
        <w:pStyle w:val="ListBullet"/>
      </w:pPr>
      <w:r>
        <w:t xml:space="preserve"> Effects in patients with compromised renal or liver function unknown</w:t>
      </w:r>
    </w:p>
    <w:p w14:paraId="490BA14C" w14:textId="77777777" w:rsidR="00970674" w:rsidRDefault="00970674" w:rsidP="00D46F50">
      <w:pPr>
        <w:pStyle w:val="Heading3"/>
      </w:pPr>
      <w:bookmarkStart w:id="272" w:name="_Toc429143951"/>
      <w:bookmarkStart w:id="273" w:name="_Toc290846333"/>
      <w:bookmarkStart w:id="274" w:name="_Toc272414695"/>
      <w:bookmarkStart w:id="275" w:name="_Toc241374335"/>
      <w:bookmarkStart w:id="276" w:name="_Toc236802597"/>
      <w:bookmarkStart w:id="277" w:name="_Toc452631104"/>
      <w:r>
        <w:t>First round assessment of benefit-risk balance</w:t>
      </w:r>
      <w:bookmarkEnd w:id="272"/>
      <w:bookmarkEnd w:id="273"/>
      <w:bookmarkEnd w:id="274"/>
      <w:bookmarkEnd w:id="275"/>
      <w:bookmarkEnd w:id="276"/>
      <w:bookmarkEnd w:id="277"/>
    </w:p>
    <w:p w14:paraId="5E37BD72" w14:textId="20C83E5B" w:rsidR="00970674" w:rsidRDefault="00970674" w:rsidP="00970674">
      <w:r>
        <w:t xml:space="preserve">The benefit-risk balance of </w:t>
      </w:r>
      <w:proofErr w:type="spellStart"/>
      <w:r w:rsidR="002C0543">
        <w:t>Imlygic</w:t>
      </w:r>
      <w:proofErr w:type="spellEnd"/>
      <w:r>
        <w:t xml:space="preserve"> is </w:t>
      </w:r>
      <w:r w:rsidRPr="00104A71">
        <w:t xml:space="preserve">unfavourable given the proposed usage, but may become favourable if the changes recommended in Section </w:t>
      </w:r>
      <w:r w:rsidR="00104A71" w:rsidRPr="00104A71">
        <w:t>9.4</w:t>
      </w:r>
      <w:r w:rsidRPr="00104A71">
        <w:t xml:space="preserve"> (combination with other systemic treatments)</w:t>
      </w:r>
      <w:r w:rsidR="00D46F50" w:rsidRPr="00104A71">
        <w:t xml:space="preserve"> </w:t>
      </w:r>
      <w:r w:rsidRPr="00104A71">
        <w:t>are adopted.</w:t>
      </w:r>
    </w:p>
    <w:p w14:paraId="1B6B9A47" w14:textId="77777777" w:rsidR="00C22678" w:rsidRDefault="00C22678" w:rsidP="00D46F50">
      <w:pPr>
        <w:pStyle w:val="Heading3"/>
      </w:pPr>
      <w:bookmarkStart w:id="278" w:name="_Toc452631105"/>
      <w:r>
        <w:t>First round recommendation regarding authorisation</w:t>
      </w:r>
      <w:bookmarkEnd w:id="278"/>
    </w:p>
    <w:p w14:paraId="0A0A63CC" w14:textId="3346F07E" w:rsidR="00970674" w:rsidRDefault="00970674" w:rsidP="00970674">
      <w:pPr>
        <w:tabs>
          <w:tab w:val="num" w:pos="2160"/>
        </w:tabs>
        <w:autoSpaceDE w:val="0"/>
        <w:autoSpaceDN w:val="0"/>
        <w:adjustRightInd w:val="0"/>
      </w:pPr>
      <w:r>
        <w:t xml:space="preserve">It is recommended that approval not be granted for use of </w:t>
      </w:r>
      <w:proofErr w:type="spellStart"/>
      <w:r w:rsidR="002C0543">
        <w:t>Imlygic</w:t>
      </w:r>
      <w:proofErr w:type="spellEnd"/>
      <w:r>
        <w:t xml:space="preserve"> as monotherapy in melanoma.</w:t>
      </w:r>
    </w:p>
    <w:p w14:paraId="4BA33FF5" w14:textId="77777777" w:rsidR="00970674" w:rsidRDefault="00970674" w:rsidP="00D46F50">
      <w:pPr>
        <w:pStyle w:val="ListBullet"/>
      </w:pPr>
      <w:r>
        <w:t xml:space="preserve">Although the modified virus is novel the use of </w:t>
      </w:r>
      <w:proofErr w:type="spellStart"/>
      <w:r>
        <w:t>intralesional</w:t>
      </w:r>
      <w:proofErr w:type="spellEnd"/>
      <w:r>
        <w:t xml:space="preserve"> therapies for melanoma is not. Advantages over other forms of </w:t>
      </w:r>
      <w:proofErr w:type="spellStart"/>
      <w:r>
        <w:t>intralesional</w:t>
      </w:r>
      <w:proofErr w:type="spellEnd"/>
      <w:r>
        <w:t xml:space="preserve"> therapies or surgical removal have not been shown</w:t>
      </w:r>
      <w:r w:rsidR="00D46F50">
        <w:t>.</w:t>
      </w:r>
      <w:r>
        <w:t xml:space="preserve"> </w:t>
      </w:r>
    </w:p>
    <w:p w14:paraId="50D97258" w14:textId="77777777" w:rsidR="00970674" w:rsidRDefault="00970674" w:rsidP="00D46F50">
      <w:pPr>
        <w:pStyle w:val="ListBullet"/>
      </w:pPr>
      <w:r>
        <w:t>The treatment is not filling an unmet need</w:t>
      </w:r>
      <w:r w:rsidR="00BA348C">
        <w:t xml:space="preserve"> </w:t>
      </w:r>
      <w:r>
        <w:t>as such patients would likely be treated by immune checkpoint inhibitors or MEK pathway inhibitors that are more effective</w:t>
      </w:r>
      <w:r w:rsidR="00D46F50">
        <w:t>.</w:t>
      </w:r>
    </w:p>
    <w:p w14:paraId="410479BA" w14:textId="77777777" w:rsidR="00970674" w:rsidRDefault="00970674" w:rsidP="00D46F50">
      <w:pPr>
        <w:pStyle w:val="ListBullet"/>
      </w:pPr>
      <w:r>
        <w:t>Its efficacy is modest and restricted to a small subgroup of patients in a first line setting. 70</w:t>
      </w:r>
      <w:r w:rsidR="00D46F50">
        <w:t> </w:t>
      </w:r>
      <w:r>
        <w:t xml:space="preserve">% of patients do not appear to have significant benefit from even prolonged treatments. It appears to have minor effects on visceral metastases. </w:t>
      </w:r>
    </w:p>
    <w:p w14:paraId="63BEB3A7" w14:textId="77777777" w:rsidR="00970674" w:rsidRDefault="00970674" w:rsidP="00D46F50">
      <w:pPr>
        <w:pStyle w:val="ListBullet"/>
      </w:pPr>
      <w:r>
        <w:lastRenderedPageBreak/>
        <w:t>Evidence suggests (as monotherapy)</w:t>
      </w:r>
      <w:r w:rsidR="00D46F50">
        <w:t xml:space="preserve"> </w:t>
      </w:r>
      <w:r>
        <w:t>it would not be useful as salvage therapy in patients failing existing treatments.</w:t>
      </w:r>
    </w:p>
    <w:p w14:paraId="25FEFAC4" w14:textId="77777777" w:rsidR="00970674" w:rsidRDefault="00970674" w:rsidP="00D46F50">
      <w:pPr>
        <w:pStyle w:val="ListBullet"/>
      </w:pPr>
      <w:r>
        <w:t>The need for transport and storage at -80</w:t>
      </w:r>
      <w:r w:rsidR="00D46F50">
        <w:t>º</w:t>
      </w:r>
      <w:r>
        <w:t xml:space="preserve"> C would limit its applicability to large centres</w:t>
      </w:r>
    </w:p>
    <w:p w14:paraId="41E6F6A9" w14:textId="77777777" w:rsidR="00970674" w:rsidRDefault="00970674" w:rsidP="00D46F50">
      <w:pPr>
        <w:pStyle w:val="ListBullet"/>
      </w:pPr>
      <w:r>
        <w:t>Its administration would require trained personnel and facilities. Treatment may be needed over long periods of time at frequent intervals</w:t>
      </w:r>
      <w:r w:rsidR="00AA79D7">
        <w:t>.</w:t>
      </w:r>
      <w:r>
        <w:t xml:space="preserve"> These factors would likely impact on its cost effectiveness. These issues are likely to be important outside clinical trial settings</w:t>
      </w:r>
      <w:r w:rsidR="00D46F50">
        <w:t>.</w:t>
      </w:r>
    </w:p>
    <w:p w14:paraId="549199D8" w14:textId="77777777" w:rsidR="00970674" w:rsidRDefault="00970674" w:rsidP="00D46F50">
      <w:pPr>
        <w:pStyle w:val="ListBullet"/>
      </w:pPr>
      <w:r>
        <w:t>Preliminary evidence suggests that it may have a role in combination with other treatments and the sponsors should be encouraged to continue to evaluate the product with other treatments such as anti PD1 or Ipilimumab</w:t>
      </w:r>
      <w:r w:rsidR="00D46F50">
        <w:t>.</w:t>
      </w:r>
    </w:p>
    <w:p w14:paraId="70C7D53F" w14:textId="77777777" w:rsidR="00C22678" w:rsidRDefault="00C22678" w:rsidP="00D46F50">
      <w:pPr>
        <w:pStyle w:val="Heading2"/>
      </w:pPr>
      <w:bookmarkStart w:id="279" w:name="_Toc452631106"/>
      <w:r>
        <w:t>Clinical questions</w:t>
      </w:r>
      <w:bookmarkEnd w:id="279"/>
    </w:p>
    <w:p w14:paraId="3D4CD3AA" w14:textId="77777777" w:rsidR="00970674" w:rsidRDefault="00970674" w:rsidP="00D46F50">
      <w:pPr>
        <w:pStyle w:val="Heading3"/>
      </w:pPr>
      <w:bookmarkStart w:id="280" w:name="_Toc429143958"/>
      <w:bookmarkStart w:id="281" w:name="_Toc290846340"/>
      <w:bookmarkStart w:id="282" w:name="_Toc272414700"/>
      <w:bookmarkStart w:id="283" w:name="_Ref272312341"/>
      <w:bookmarkStart w:id="284" w:name="_Toc452631107"/>
      <w:r>
        <w:t>Additional expert input</w:t>
      </w:r>
      <w:bookmarkEnd w:id="280"/>
      <w:bookmarkEnd w:id="281"/>
      <w:bookmarkEnd w:id="282"/>
      <w:bookmarkEnd w:id="283"/>
      <w:bookmarkEnd w:id="284"/>
    </w:p>
    <w:p w14:paraId="4760EB50" w14:textId="5AEE531F" w:rsidR="00970674" w:rsidRDefault="00970674" w:rsidP="00970674">
      <w:r>
        <w:t xml:space="preserve">Practical aspects of shipping and storage and the need for administration by well trained personnel would limit the use of the therapy </w:t>
      </w:r>
      <w:proofErr w:type="spellStart"/>
      <w:r w:rsidR="002C0543">
        <w:t>Imlygic</w:t>
      </w:r>
      <w:proofErr w:type="spellEnd"/>
      <w:r w:rsidR="00D46F50">
        <w:t>.</w:t>
      </w:r>
    </w:p>
    <w:p w14:paraId="6C302BA2" w14:textId="77777777" w:rsidR="00970674" w:rsidRDefault="00970674" w:rsidP="00D46F50">
      <w:pPr>
        <w:pStyle w:val="Heading3"/>
      </w:pPr>
      <w:bookmarkStart w:id="285" w:name="_Toc290846341"/>
      <w:bookmarkStart w:id="286" w:name="_Toc272414701"/>
      <w:bookmarkStart w:id="287" w:name="_Ref269908779"/>
      <w:bookmarkStart w:id="288" w:name="_Toc429143959"/>
      <w:bookmarkStart w:id="289" w:name="_Toc452631108"/>
      <w:r>
        <w:t>Clinical questions</w:t>
      </w:r>
      <w:bookmarkEnd w:id="285"/>
      <w:bookmarkEnd w:id="286"/>
      <w:bookmarkEnd w:id="287"/>
      <w:bookmarkEnd w:id="288"/>
      <w:bookmarkEnd w:id="289"/>
    </w:p>
    <w:p w14:paraId="0F06E250" w14:textId="77777777" w:rsidR="00970674" w:rsidRDefault="00970674" w:rsidP="001429A2">
      <w:pPr>
        <w:pStyle w:val="Numberbullet0"/>
        <w:numPr>
          <w:ilvl w:val="0"/>
          <w:numId w:val="10"/>
        </w:numPr>
      </w:pPr>
      <w:r>
        <w:t>See above</w:t>
      </w:r>
      <w:r w:rsidR="00D46F50">
        <w:t>.</w:t>
      </w:r>
      <w:r w:rsidR="00BA348C">
        <w:rPr>
          <w:rStyle w:val="CommentReference"/>
        </w:rPr>
        <w:t xml:space="preserve"> </w:t>
      </w:r>
      <w:r>
        <w:t xml:space="preserve">Many aspects of the so called </w:t>
      </w:r>
      <w:proofErr w:type="spellStart"/>
      <w:r w:rsidR="001A4B22">
        <w:t>OPTiM</w:t>
      </w:r>
      <w:proofErr w:type="spellEnd"/>
      <w:r>
        <w:t xml:space="preserve"> study have received widespread criticisms</w:t>
      </w:r>
      <w:r w:rsidR="00D46F50">
        <w:t>, for example,</w:t>
      </w:r>
      <w:r>
        <w:t xml:space="preserve"> choice of a control with no proven activity against melanoma. No comparison with </w:t>
      </w:r>
      <w:proofErr w:type="spellStart"/>
      <w:r>
        <w:t>intralesional</w:t>
      </w:r>
      <w:proofErr w:type="spellEnd"/>
      <w:r>
        <w:t xml:space="preserve"> injection of GM-CSF or other agents. Selection of patients with minimal disease. Use of non</w:t>
      </w:r>
      <w:r w:rsidR="00D46F50">
        <w:t>-</w:t>
      </w:r>
      <w:r>
        <w:t>standard outcome criteria.</w:t>
      </w:r>
      <w:r w:rsidR="00BA348C">
        <w:t xml:space="preserve"> </w:t>
      </w:r>
      <w:r>
        <w:t>Poor assessment of quality of life issues. These issues raise credibility problems that count against</w:t>
      </w:r>
      <w:r w:rsidR="00BA348C">
        <w:t xml:space="preserve"> </w:t>
      </w:r>
      <w:r>
        <w:t>its value in treatment of melanoma.</w:t>
      </w:r>
      <w:r w:rsidR="00BA348C">
        <w:t xml:space="preserve"> </w:t>
      </w:r>
      <w:r w:rsidR="00D46F50">
        <w:t>Comments invited from sponsor.</w:t>
      </w:r>
    </w:p>
    <w:p w14:paraId="1624BF4D" w14:textId="77777777" w:rsidR="00970674" w:rsidRDefault="00970674" w:rsidP="001429A2">
      <w:pPr>
        <w:pStyle w:val="Numberbullet0"/>
        <w:numPr>
          <w:ilvl w:val="0"/>
          <w:numId w:val="10"/>
        </w:numPr>
      </w:pPr>
      <w:r>
        <w:t xml:space="preserve">What evidence do they have that immune responses mediated the effects on </w:t>
      </w:r>
      <w:r w:rsidR="001A4B22">
        <w:t xml:space="preserve">melanoma? </w:t>
      </w:r>
      <w:r>
        <w:t>Or that it was due to the oncolytic virus.</w:t>
      </w:r>
    </w:p>
    <w:p w14:paraId="1ACBB535" w14:textId="77777777" w:rsidR="00BA29E3" w:rsidRDefault="00970674" w:rsidP="001429A2">
      <w:pPr>
        <w:pStyle w:val="Numberbullet0"/>
        <w:numPr>
          <w:ilvl w:val="0"/>
          <w:numId w:val="10"/>
        </w:numPr>
      </w:pPr>
      <w:r>
        <w:t>Given the introduction of immunotherapy with immune checkpoint inhibitors what role</w:t>
      </w:r>
      <w:r w:rsidR="00BA348C">
        <w:t xml:space="preserve"> </w:t>
      </w:r>
      <w:r>
        <w:t>do the sponsors now see for their product</w:t>
      </w:r>
      <w:r w:rsidR="00D46F50">
        <w:t>?</w:t>
      </w:r>
      <w:r>
        <w:t xml:space="preserve"> </w:t>
      </w:r>
    </w:p>
    <w:p w14:paraId="13F369A1" w14:textId="77777777" w:rsidR="00970674" w:rsidRDefault="00970674" w:rsidP="001429A2">
      <w:pPr>
        <w:pStyle w:val="Numberbullet0"/>
        <w:numPr>
          <w:ilvl w:val="0"/>
          <w:numId w:val="10"/>
        </w:numPr>
      </w:pPr>
      <w:r>
        <w:t>Are they able to provide information about ongoing studies?</w:t>
      </w:r>
    </w:p>
    <w:p w14:paraId="7C2801E1" w14:textId="77777777" w:rsidR="00970674" w:rsidRDefault="00970674" w:rsidP="00970674">
      <w:pPr>
        <w:pStyle w:val="Heading4"/>
      </w:pPr>
      <w:bookmarkStart w:id="290" w:name="_Toc429143960"/>
      <w:bookmarkStart w:id="291" w:name="_Toc290846342"/>
      <w:bookmarkStart w:id="292" w:name="_Toc272414702"/>
      <w:r>
        <w:t>Pharmacokinetics</w:t>
      </w:r>
      <w:bookmarkEnd w:id="290"/>
      <w:bookmarkEnd w:id="291"/>
      <w:bookmarkEnd w:id="292"/>
    </w:p>
    <w:p w14:paraId="25DCFE04" w14:textId="77777777" w:rsidR="00970674" w:rsidRDefault="00D46F50" w:rsidP="00970674">
      <w:r>
        <w:t>N</w:t>
      </w:r>
      <w:r w:rsidR="00970674">
        <w:t>o comment</w:t>
      </w:r>
      <w:r>
        <w:t>.</w:t>
      </w:r>
    </w:p>
    <w:p w14:paraId="2A099ADF" w14:textId="77777777" w:rsidR="00970674" w:rsidRDefault="00970674" w:rsidP="00970674">
      <w:pPr>
        <w:pStyle w:val="Heading4"/>
      </w:pPr>
      <w:bookmarkStart w:id="293" w:name="_Toc429143961"/>
      <w:bookmarkStart w:id="294" w:name="_Toc290846343"/>
      <w:bookmarkStart w:id="295" w:name="_Toc272414703"/>
      <w:r>
        <w:t>Pharmacodynamics</w:t>
      </w:r>
      <w:bookmarkEnd w:id="293"/>
      <w:bookmarkEnd w:id="294"/>
      <w:bookmarkEnd w:id="295"/>
    </w:p>
    <w:p w14:paraId="4D87386C" w14:textId="77777777" w:rsidR="00970674" w:rsidRDefault="00D46F50" w:rsidP="00970674">
      <w:r>
        <w:t>N</w:t>
      </w:r>
      <w:r w:rsidR="00970674">
        <w:t>o comment</w:t>
      </w:r>
      <w:r>
        <w:t>.</w:t>
      </w:r>
    </w:p>
    <w:p w14:paraId="578C7826" w14:textId="77777777" w:rsidR="00970674" w:rsidRDefault="00970674" w:rsidP="00D46F50">
      <w:pPr>
        <w:pStyle w:val="Heading4"/>
      </w:pPr>
      <w:bookmarkStart w:id="296" w:name="_Toc429143962"/>
      <w:bookmarkStart w:id="297" w:name="_Toc290846344"/>
      <w:bookmarkStart w:id="298" w:name="_Toc272414704"/>
      <w:r>
        <w:t>Efficacy</w:t>
      </w:r>
      <w:bookmarkEnd w:id="296"/>
      <w:bookmarkEnd w:id="297"/>
      <w:bookmarkEnd w:id="298"/>
    </w:p>
    <w:p w14:paraId="42EA3FBE" w14:textId="77777777" w:rsidR="00970674" w:rsidRDefault="00D46F50" w:rsidP="005034AC">
      <w:pPr>
        <w:pStyle w:val="Numberbullet0"/>
      </w:pPr>
      <w:r>
        <w:t>S</w:t>
      </w:r>
      <w:r w:rsidR="00970674">
        <w:t>ee limitations above. If the sponsor has more recent data on combinations with Ipilimumab or PD1 it would be relevant to report them to support a possible future role?</w:t>
      </w:r>
    </w:p>
    <w:p w14:paraId="2F9C321E" w14:textId="77777777" w:rsidR="00970674" w:rsidRDefault="00970674" w:rsidP="00D46F50">
      <w:pPr>
        <w:pStyle w:val="Heading4"/>
      </w:pPr>
      <w:bookmarkStart w:id="299" w:name="_Toc429143963"/>
      <w:bookmarkStart w:id="300" w:name="_Toc290846345"/>
      <w:bookmarkStart w:id="301" w:name="_Toc272414705"/>
      <w:r>
        <w:t>Safety</w:t>
      </w:r>
      <w:bookmarkEnd w:id="299"/>
      <w:bookmarkEnd w:id="300"/>
      <w:bookmarkEnd w:id="301"/>
    </w:p>
    <w:p w14:paraId="163B776D" w14:textId="77777777" w:rsidR="00970674" w:rsidRDefault="00D46F50" w:rsidP="00970674">
      <w:r>
        <w:t>N</w:t>
      </w:r>
      <w:r w:rsidR="00970674">
        <w:t>o further comment</w:t>
      </w:r>
    </w:p>
    <w:p w14:paraId="026151DD" w14:textId="77777777" w:rsidR="00C618F7" w:rsidRDefault="00C618F7" w:rsidP="00853C0C">
      <w:pPr>
        <w:pStyle w:val="Heading2"/>
      </w:pPr>
      <w:bookmarkStart w:id="302" w:name="_Toc452631109"/>
      <w:r>
        <w:lastRenderedPageBreak/>
        <w:t xml:space="preserve">Second </w:t>
      </w:r>
      <w:r w:rsidRPr="00853C0C">
        <w:t>round</w:t>
      </w:r>
      <w:r>
        <w:t xml:space="preserve"> </w:t>
      </w:r>
      <w:r w:rsidRPr="00D46F50">
        <w:t>evaluation</w:t>
      </w:r>
      <w:r>
        <w:t xml:space="preserve"> of clinical data submitted in response to questions</w:t>
      </w:r>
      <w:bookmarkEnd w:id="302"/>
    </w:p>
    <w:p w14:paraId="6A8E46C7" w14:textId="77777777" w:rsidR="00A83FFD" w:rsidRDefault="005034AC" w:rsidP="005034AC">
      <w:pPr>
        <w:pStyle w:val="Heading3"/>
        <w:rPr>
          <w:rFonts w:eastAsia="MS Mincho"/>
          <w:lang w:val="en-US"/>
        </w:rPr>
      </w:pPr>
      <w:bookmarkStart w:id="303" w:name="_Toc429143966"/>
      <w:bookmarkStart w:id="304" w:name="_Toc290846348"/>
      <w:bookmarkStart w:id="305" w:name="_Toc272414708"/>
      <w:bookmarkStart w:id="306" w:name="_Ref271134961"/>
      <w:bookmarkStart w:id="307" w:name="_Toc452631110"/>
      <w:r w:rsidRPr="00A40DE7">
        <w:rPr>
          <w:rFonts w:eastAsia="MS Mincho"/>
          <w:lang w:val="en-US"/>
        </w:rPr>
        <w:t>Question 1</w:t>
      </w:r>
      <w:bookmarkEnd w:id="307"/>
    </w:p>
    <w:p w14:paraId="6F3E22AC" w14:textId="77777777" w:rsidR="005034AC" w:rsidRPr="00A40DE7" w:rsidRDefault="00A83FFD" w:rsidP="00A83FFD">
      <w:pPr>
        <w:pStyle w:val="Heading4"/>
        <w:rPr>
          <w:lang w:val="en-US"/>
        </w:rPr>
      </w:pPr>
      <w:r w:rsidRPr="00A40DE7">
        <w:rPr>
          <w:lang w:val="en-US"/>
        </w:rPr>
        <w:t xml:space="preserve">Sponsor’s </w:t>
      </w:r>
      <w:r>
        <w:rPr>
          <w:lang w:val="en-US"/>
        </w:rPr>
        <w:t>r</w:t>
      </w:r>
      <w:r w:rsidRPr="00A40DE7">
        <w:rPr>
          <w:lang w:val="en-US"/>
        </w:rPr>
        <w:t>esponse</w:t>
      </w:r>
    </w:p>
    <w:p w14:paraId="3DC52449" w14:textId="77777777" w:rsidR="005034AC" w:rsidRPr="00A40DE7" w:rsidRDefault="005034AC" w:rsidP="005034AC">
      <w:pPr>
        <w:rPr>
          <w:rFonts w:eastAsia="MS Mincho"/>
          <w:lang w:val="en-US"/>
        </w:rPr>
      </w:pPr>
      <w:r w:rsidRPr="00A40DE7">
        <w:rPr>
          <w:rFonts w:eastAsia="MS Mincho"/>
          <w:lang w:val="en-US"/>
        </w:rPr>
        <w:t>Study design aspects noted to have received criticism were evaluated. The following areas were reviewed, and are supported by the key points provided. A more detailed description of each aspect follows. Finally Amgen has drawn together this information with a commentary on benefit risk of this product.</w:t>
      </w:r>
    </w:p>
    <w:p w14:paraId="4F0DCB7A" w14:textId="77777777" w:rsidR="005034AC" w:rsidRPr="00A40DE7" w:rsidRDefault="005034AC" w:rsidP="00A83FFD">
      <w:pPr>
        <w:pStyle w:val="Heading5"/>
        <w:rPr>
          <w:rFonts w:eastAsia="MS Mincho"/>
          <w:lang w:val="en-US"/>
        </w:rPr>
      </w:pPr>
      <w:r w:rsidRPr="00A40DE7">
        <w:rPr>
          <w:rFonts w:eastAsia="MS Mincho"/>
          <w:lang w:val="en-US"/>
        </w:rPr>
        <w:t>Choice of a control with no proven activity against melanoma</w:t>
      </w:r>
    </w:p>
    <w:p w14:paraId="5F43E1AF" w14:textId="77777777" w:rsidR="005034AC" w:rsidRPr="00A40DE7" w:rsidRDefault="005034AC" w:rsidP="005034AC">
      <w:pPr>
        <w:rPr>
          <w:rFonts w:eastAsia="MS Mincho"/>
          <w:lang w:val="en-US"/>
        </w:rPr>
      </w:pPr>
      <w:r w:rsidRPr="00A40DE7">
        <w:rPr>
          <w:rFonts w:eastAsia="MS Mincho"/>
          <w:lang w:val="en-US"/>
        </w:rPr>
        <w:t>At the time Study 005/05 was designed, there was no standard comparator for the patient population intended for this trial. A placebo comparator would offer no benefit and hinder enrollment. Amgen considers granulocyte macrophage colony</w:t>
      </w:r>
      <w:r w:rsidR="00BA29E3">
        <w:rPr>
          <w:rFonts w:eastAsia="MS Mincho"/>
          <w:lang w:val="en-US"/>
        </w:rPr>
        <w:t xml:space="preserve"> </w:t>
      </w:r>
      <w:r w:rsidRPr="00A40DE7">
        <w:rPr>
          <w:rFonts w:eastAsia="MS Mincho"/>
          <w:lang w:val="en-US"/>
        </w:rPr>
        <w:t xml:space="preserve">stimulating factor (GM-CSF) to be a valid comparator as long as it was no worse than a placebo. Based on the available evidence of its activity in melanoma, it is unlikely that GM-CSF treatment accelerated disease or shortened survival in Study 005/05. The expected median survival for patients receiving standard of care is 18 months (based on the Surveillance, Epidemiology and End Results (SEER) cancer registry through 2011 for stage IV disease and the Melanoma Institute Australia through 2009 for </w:t>
      </w:r>
      <w:r w:rsidR="00BA29E3">
        <w:rPr>
          <w:rFonts w:eastAsia="MS Mincho"/>
          <w:lang w:val="en-US"/>
        </w:rPr>
        <w:t>S</w:t>
      </w:r>
      <w:r w:rsidRPr="00A40DE7">
        <w:rPr>
          <w:rFonts w:eastAsia="MS Mincho"/>
          <w:lang w:val="en-US"/>
        </w:rPr>
        <w:t>tage IIIB/C disease), which is similar to the observed median survival of 18.9 months in the GM-CSF arm of Study 005/05. Moreover, any favorable effect of GMCSF on response or survival in the current study would raise the threshold for demonstration of superiority relative to a placebo comparison.</w:t>
      </w:r>
    </w:p>
    <w:p w14:paraId="4A35D2A9" w14:textId="77777777" w:rsidR="005034AC" w:rsidRPr="00A40DE7" w:rsidRDefault="005034AC" w:rsidP="00A83FFD">
      <w:pPr>
        <w:pStyle w:val="Heading5"/>
        <w:rPr>
          <w:rFonts w:eastAsia="MS Mincho"/>
          <w:lang w:val="en-US"/>
        </w:rPr>
      </w:pPr>
      <w:r w:rsidRPr="00A40DE7">
        <w:rPr>
          <w:rFonts w:eastAsia="MS Mincho"/>
          <w:lang w:val="en-US"/>
        </w:rPr>
        <w:t xml:space="preserve">No comparison with </w:t>
      </w:r>
      <w:proofErr w:type="spellStart"/>
      <w:r w:rsidRPr="00A40DE7">
        <w:rPr>
          <w:rFonts w:eastAsia="MS Mincho"/>
          <w:lang w:val="en-US"/>
        </w:rPr>
        <w:t>intralesional</w:t>
      </w:r>
      <w:proofErr w:type="spellEnd"/>
      <w:r w:rsidRPr="00A40DE7">
        <w:rPr>
          <w:rFonts w:eastAsia="MS Mincho"/>
          <w:lang w:val="en-US"/>
        </w:rPr>
        <w:t xml:space="preserve"> injection of GM-CSF or other agents;</w:t>
      </w:r>
    </w:p>
    <w:p w14:paraId="0DDF804E" w14:textId="77777777" w:rsidR="005034AC" w:rsidRPr="00A40DE7" w:rsidRDefault="005034AC" w:rsidP="005034AC">
      <w:pPr>
        <w:rPr>
          <w:rFonts w:eastAsia="MS Mincho"/>
          <w:lang w:val="en-US"/>
        </w:rPr>
      </w:pPr>
      <w:r w:rsidRPr="00A40DE7">
        <w:rPr>
          <w:rFonts w:eastAsia="MS Mincho"/>
          <w:lang w:val="en-US"/>
        </w:rPr>
        <w:t xml:space="preserve">There were no </w:t>
      </w:r>
      <w:proofErr w:type="spellStart"/>
      <w:r w:rsidRPr="00A40DE7">
        <w:rPr>
          <w:rFonts w:eastAsia="MS Mincho"/>
          <w:lang w:val="en-US"/>
        </w:rPr>
        <w:t>intralesional</w:t>
      </w:r>
      <w:proofErr w:type="spellEnd"/>
      <w:r w:rsidRPr="00A40DE7">
        <w:rPr>
          <w:rFonts w:eastAsia="MS Mincho"/>
          <w:lang w:val="en-US"/>
        </w:rPr>
        <w:t xml:space="preserve"> agents that are approved for use in the metastatic setting at the time this study was designed. Further, there was no data to suggest that </w:t>
      </w:r>
      <w:proofErr w:type="spellStart"/>
      <w:r w:rsidRPr="00A40DE7">
        <w:rPr>
          <w:rFonts w:eastAsia="MS Mincho"/>
          <w:lang w:val="en-US"/>
        </w:rPr>
        <w:t>intralesional</w:t>
      </w:r>
      <w:proofErr w:type="spellEnd"/>
      <w:r w:rsidRPr="00A40DE7">
        <w:rPr>
          <w:rFonts w:eastAsia="MS Mincho"/>
          <w:lang w:val="en-US"/>
        </w:rPr>
        <w:t xml:space="preserve"> GM-CSF would offer any benefit to patients.</w:t>
      </w:r>
    </w:p>
    <w:p w14:paraId="5249DAD2" w14:textId="77777777" w:rsidR="005034AC" w:rsidRPr="00A40DE7" w:rsidRDefault="005034AC" w:rsidP="00A83FFD">
      <w:pPr>
        <w:pStyle w:val="Heading5"/>
        <w:rPr>
          <w:rFonts w:eastAsia="MS Mincho"/>
          <w:lang w:val="en-US"/>
        </w:rPr>
      </w:pPr>
      <w:r w:rsidRPr="00A40DE7">
        <w:rPr>
          <w:rFonts w:eastAsia="MS Mincho"/>
          <w:lang w:val="en-US"/>
        </w:rPr>
        <w:t>Selection of patients with minimal disease</w:t>
      </w:r>
    </w:p>
    <w:p w14:paraId="765C83C0" w14:textId="77777777" w:rsidR="005034AC" w:rsidRPr="00A40DE7" w:rsidRDefault="005034AC" w:rsidP="005034AC">
      <w:pPr>
        <w:rPr>
          <w:rFonts w:eastAsia="MS Mincho"/>
          <w:lang w:val="en-US"/>
        </w:rPr>
      </w:pPr>
      <w:r w:rsidRPr="00A40DE7">
        <w:rPr>
          <w:rFonts w:eastAsia="MS Mincho"/>
          <w:lang w:val="en-US"/>
        </w:rPr>
        <w:t>In order for patients to be evaluable for the primary endpoint of durable response rate, they had to be alive and responding to treatment for at least 6 months. Patients with rapid deterioration due to disease progression were less likely to have the time/capability to develop an effective anti-</w:t>
      </w:r>
      <w:proofErr w:type="spellStart"/>
      <w:r w:rsidR="00BA29E3">
        <w:rPr>
          <w:rFonts w:eastAsia="MS Mincho"/>
          <w:lang w:val="en-US"/>
        </w:rPr>
        <w:t>tumour</w:t>
      </w:r>
      <w:proofErr w:type="spellEnd"/>
      <w:r w:rsidRPr="00A40DE7">
        <w:rPr>
          <w:rFonts w:eastAsia="MS Mincho"/>
          <w:lang w:val="en-US"/>
        </w:rPr>
        <w:t xml:space="preserve"> response. In addition, results from the </w:t>
      </w:r>
      <w:r w:rsidR="00BA29E3">
        <w:rPr>
          <w:rFonts w:eastAsia="MS Mincho"/>
          <w:lang w:val="en-US"/>
        </w:rPr>
        <w:t>P</w:t>
      </w:r>
      <w:r w:rsidRPr="00A40DE7">
        <w:rPr>
          <w:rFonts w:eastAsia="MS Mincho"/>
          <w:lang w:val="en-US"/>
        </w:rPr>
        <w:t xml:space="preserve">hase </w:t>
      </w:r>
      <w:r w:rsidR="00BA29E3">
        <w:rPr>
          <w:rFonts w:eastAsia="MS Mincho"/>
          <w:lang w:val="en-US"/>
        </w:rPr>
        <w:t>II</w:t>
      </w:r>
      <w:r w:rsidRPr="00A40DE7">
        <w:rPr>
          <w:rFonts w:eastAsia="MS Mincho"/>
          <w:lang w:val="en-US"/>
        </w:rPr>
        <w:t xml:space="preserve"> melanoma study indicated a higher response rate in patients with less advanced disease. Therefore, some limitations were placed on the amount of visceral disease burden patients were allowed to have prior to enrolment.</w:t>
      </w:r>
    </w:p>
    <w:p w14:paraId="5637584E" w14:textId="77777777" w:rsidR="005034AC" w:rsidRPr="00A40DE7" w:rsidRDefault="005034AC" w:rsidP="00A83FFD">
      <w:pPr>
        <w:pStyle w:val="Heading5"/>
        <w:rPr>
          <w:rFonts w:eastAsia="MS Mincho"/>
          <w:lang w:val="en-US"/>
        </w:rPr>
      </w:pPr>
      <w:r w:rsidRPr="00A40DE7">
        <w:rPr>
          <w:rFonts w:eastAsia="MS Mincho"/>
          <w:lang w:val="en-US"/>
        </w:rPr>
        <w:t>Use of non-standard outcome criteria (</w:t>
      </w:r>
      <w:r w:rsidR="00A83FFD">
        <w:rPr>
          <w:rFonts w:eastAsia="MS Mincho"/>
          <w:lang w:val="en-US"/>
        </w:rPr>
        <w:t xml:space="preserve">that is, </w:t>
      </w:r>
      <w:r w:rsidRPr="00A40DE7">
        <w:rPr>
          <w:rFonts w:eastAsia="MS Mincho"/>
          <w:lang w:val="en-US"/>
        </w:rPr>
        <w:t>durable response rate [DRR])</w:t>
      </w:r>
    </w:p>
    <w:p w14:paraId="24439668" w14:textId="77777777" w:rsidR="005034AC" w:rsidRPr="00A40DE7" w:rsidRDefault="005034AC" w:rsidP="005034AC">
      <w:pPr>
        <w:rPr>
          <w:rFonts w:eastAsia="MS Mincho"/>
          <w:lang w:val="en-US"/>
        </w:rPr>
      </w:pPr>
      <w:r w:rsidRPr="00A40DE7">
        <w:rPr>
          <w:rFonts w:eastAsia="MS Mincho"/>
          <w:lang w:val="en-US"/>
        </w:rPr>
        <w:t>Durable response rate was selected as the primary endpoint because lasting responses to anti-cancer therapy were expected to be associated with meaningful benefits to the patient, including improvement in symptoms or quality of life (</w:t>
      </w:r>
      <w:proofErr w:type="spellStart"/>
      <w:r w:rsidRPr="00A40DE7">
        <w:rPr>
          <w:rFonts w:eastAsia="MS Mincho"/>
          <w:lang w:val="en-US"/>
        </w:rPr>
        <w:t>QoL</w:t>
      </w:r>
      <w:proofErr w:type="spellEnd"/>
      <w:r w:rsidRPr="00A40DE7">
        <w:rPr>
          <w:rFonts w:eastAsia="MS Mincho"/>
          <w:lang w:val="en-US"/>
        </w:rPr>
        <w:t>; see key points in next bullet), achieving disease-free or treatment-free intervals, and extended survival. The longer the duration of response, the more likely these benefits are to be experienced. Such benefits were demonstrated in Study 005/05.</w:t>
      </w:r>
    </w:p>
    <w:p w14:paraId="4FEDE71A" w14:textId="77777777" w:rsidR="005034AC" w:rsidRPr="00A40DE7" w:rsidRDefault="005034AC" w:rsidP="00A83FFD">
      <w:pPr>
        <w:pStyle w:val="Heading5"/>
        <w:rPr>
          <w:rFonts w:eastAsia="MS Mincho"/>
          <w:lang w:val="en-US"/>
        </w:rPr>
      </w:pPr>
      <w:r w:rsidRPr="00A40DE7">
        <w:rPr>
          <w:rFonts w:eastAsia="MS Mincho"/>
          <w:lang w:val="en-US"/>
        </w:rPr>
        <w:t>Poor assessment of quality of life issues</w:t>
      </w:r>
    </w:p>
    <w:p w14:paraId="74C7A9AF" w14:textId="77777777" w:rsidR="005034AC" w:rsidRPr="00A40DE7" w:rsidRDefault="005034AC" w:rsidP="005034AC">
      <w:pPr>
        <w:rPr>
          <w:rFonts w:eastAsia="MS Mincho"/>
          <w:lang w:val="en-US"/>
        </w:rPr>
      </w:pPr>
      <w:r w:rsidRPr="00A40DE7">
        <w:rPr>
          <w:rFonts w:eastAsia="MS Mincho"/>
          <w:lang w:val="en-US"/>
        </w:rPr>
        <w:t>Since the pre</w:t>
      </w:r>
      <w:r w:rsidR="00BA29E3">
        <w:rPr>
          <w:rFonts w:eastAsia="MS Mincho"/>
          <w:lang w:val="en-US"/>
        </w:rPr>
        <w:t xml:space="preserve"> </w:t>
      </w:r>
      <w:r w:rsidRPr="00A40DE7">
        <w:rPr>
          <w:rFonts w:eastAsia="MS Mincho"/>
          <w:lang w:val="en-US"/>
        </w:rPr>
        <w:t xml:space="preserve">specified </w:t>
      </w:r>
      <w:proofErr w:type="spellStart"/>
      <w:r w:rsidRPr="00A40DE7">
        <w:rPr>
          <w:rFonts w:eastAsia="MS Mincho"/>
          <w:lang w:val="en-US"/>
        </w:rPr>
        <w:t>QoL</w:t>
      </w:r>
      <w:proofErr w:type="spellEnd"/>
      <w:r w:rsidRPr="00A40DE7">
        <w:rPr>
          <w:rFonts w:eastAsia="MS Mincho"/>
          <w:lang w:val="en-US"/>
        </w:rPr>
        <w:t xml:space="preserve"> analysis was inconclusive, Amgen conducted an alternative analysis on detrimental </w:t>
      </w:r>
      <w:proofErr w:type="spellStart"/>
      <w:r w:rsidRPr="00A40DE7">
        <w:rPr>
          <w:rFonts w:eastAsia="MS Mincho"/>
          <w:lang w:val="en-US"/>
        </w:rPr>
        <w:t>QoL</w:t>
      </w:r>
      <w:proofErr w:type="spellEnd"/>
      <w:r w:rsidRPr="00A40DE7">
        <w:rPr>
          <w:rFonts w:eastAsia="MS Mincho"/>
          <w:lang w:val="en-US"/>
        </w:rPr>
        <w:t xml:space="preserve">. There were no statistically significant associations between durable response/overall response (DR/OR) and detrimental </w:t>
      </w:r>
      <w:proofErr w:type="spellStart"/>
      <w:r w:rsidRPr="00A40DE7">
        <w:rPr>
          <w:rFonts w:eastAsia="MS Mincho"/>
          <w:lang w:val="en-US"/>
        </w:rPr>
        <w:t>QoL</w:t>
      </w:r>
      <w:proofErr w:type="spellEnd"/>
      <w:r w:rsidRPr="00A40DE7">
        <w:rPr>
          <w:rFonts w:eastAsia="MS Mincho"/>
          <w:lang w:val="en-US"/>
        </w:rPr>
        <w:t xml:space="preserve"> change. Results suggest that achieving a DR or </w:t>
      </w:r>
      <w:proofErr w:type="spellStart"/>
      <w:r w:rsidRPr="00A40DE7">
        <w:rPr>
          <w:rFonts w:eastAsia="MS Mincho"/>
          <w:lang w:val="en-US"/>
        </w:rPr>
        <w:t>OR</w:t>
      </w:r>
      <w:proofErr w:type="spellEnd"/>
      <w:r w:rsidRPr="00A40DE7">
        <w:rPr>
          <w:rFonts w:eastAsia="MS Mincho"/>
          <w:lang w:val="en-US"/>
        </w:rPr>
        <w:t xml:space="preserve"> is usually associated with a neutral to lower likelihood to report detrimental </w:t>
      </w:r>
      <w:proofErr w:type="spellStart"/>
      <w:r w:rsidRPr="00A40DE7">
        <w:rPr>
          <w:rFonts w:eastAsia="MS Mincho"/>
          <w:lang w:val="en-US"/>
        </w:rPr>
        <w:t>QoL</w:t>
      </w:r>
      <w:proofErr w:type="spellEnd"/>
      <w:r w:rsidRPr="00A40DE7">
        <w:rPr>
          <w:rFonts w:eastAsia="MS Mincho"/>
          <w:lang w:val="en-US"/>
        </w:rPr>
        <w:t xml:space="preserve">. Disease stage was a significant predictor for detrimental </w:t>
      </w:r>
      <w:proofErr w:type="spellStart"/>
      <w:r w:rsidRPr="00A40DE7">
        <w:rPr>
          <w:rFonts w:eastAsia="MS Mincho"/>
          <w:lang w:val="en-US"/>
        </w:rPr>
        <w:t>QoL</w:t>
      </w:r>
      <w:proofErr w:type="spellEnd"/>
      <w:r w:rsidRPr="00A40DE7">
        <w:rPr>
          <w:rFonts w:eastAsia="MS Mincho"/>
          <w:lang w:val="en-US"/>
        </w:rPr>
        <w:t xml:space="preserve"> change in that subjects with early </w:t>
      </w:r>
      <w:r w:rsidRPr="00A40DE7">
        <w:rPr>
          <w:rFonts w:eastAsia="MS Mincho"/>
          <w:lang w:val="en-US"/>
        </w:rPr>
        <w:lastRenderedPageBreak/>
        <w:t xml:space="preserve">stage disease had a lower risk of experiencing a detrimental </w:t>
      </w:r>
      <w:proofErr w:type="spellStart"/>
      <w:r w:rsidRPr="00A40DE7">
        <w:rPr>
          <w:rFonts w:eastAsia="MS Mincho"/>
          <w:lang w:val="en-US"/>
        </w:rPr>
        <w:t>QoL</w:t>
      </w:r>
      <w:proofErr w:type="spellEnd"/>
      <w:r w:rsidRPr="00A40DE7">
        <w:rPr>
          <w:rFonts w:eastAsia="MS Mincho"/>
          <w:lang w:val="en-US"/>
        </w:rPr>
        <w:t xml:space="preserve"> change as compared those with late stage disease. </w:t>
      </w:r>
    </w:p>
    <w:p w14:paraId="2AC5853A" w14:textId="77777777" w:rsidR="005034AC" w:rsidRPr="00A40DE7" w:rsidRDefault="005034AC" w:rsidP="005034AC">
      <w:pPr>
        <w:rPr>
          <w:rFonts w:eastAsia="MS Mincho"/>
          <w:lang w:val="en-US"/>
        </w:rPr>
      </w:pPr>
      <w:r w:rsidRPr="00A40DE7">
        <w:rPr>
          <w:rFonts w:eastAsia="MS Mincho"/>
          <w:lang w:val="en-US"/>
        </w:rPr>
        <w:t xml:space="preserve">The expected association between DRR and improvement in </w:t>
      </w:r>
      <w:proofErr w:type="spellStart"/>
      <w:r w:rsidRPr="00A40DE7">
        <w:rPr>
          <w:rFonts w:eastAsia="MS Mincho"/>
          <w:lang w:val="en-US"/>
        </w:rPr>
        <w:t>QoL</w:t>
      </w:r>
      <w:proofErr w:type="spellEnd"/>
      <w:r w:rsidRPr="00A40DE7">
        <w:rPr>
          <w:rFonts w:eastAsia="MS Mincho"/>
          <w:lang w:val="en-US"/>
        </w:rPr>
        <w:t xml:space="preserve"> (see previous bullet) was demonstrated in Study 005/05 based on the Functional Assessment of Cancer Therapy-Biological Response Modifier (FACT-BRM; including the Trial Outcome Index [TOI]). Further, a greater proportion of subjects who achieved a durable response per the Endpoint Assessment Committee (EAC) reported improvements in TOI when compared to those who did not achieve a durable response.</w:t>
      </w:r>
    </w:p>
    <w:p w14:paraId="7694D636" w14:textId="77777777" w:rsidR="005034AC" w:rsidRPr="00A40DE7" w:rsidRDefault="005034AC" w:rsidP="005034AC">
      <w:pPr>
        <w:rPr>
          <w:rFonts w:eastAsia="MS Mincho"/>
          <w:lang w:val="en-US"/>
        </w:rPr>
      </w:pPr>
      <w:r w:rsidRPr="00A40DE7">
        <w:rPr>
          <w:rFonts w:eastAsia="MS Mincho"/>
          <w:lang w:val="en-US"/>
        </w:rPr>
        <w:t xml:space="preserve">Additionally, data from the 51 patients who demonstrated a durable response were reviewed for demonstration of clinical benefit. The majority of patients with a durable response had responses ongoing at the time of the primary analysis, was still alive at the time of the most recent last contact date, did not experience any serious adverse events during study treatment, and did not require subsequent systemic anti-cancer treatment during the follow-up period. Among patients with visible </w:t>
      </w:r>
      <w:proofErr w:type="spellStart"/>
      <w:r w:rsidR="00BA29E3">
        <w:rPr>
          <w:rFonts w:eastAsia="MS Mincho"/>
          <w:lang w:val="en-US"/>
        </w:rPr>
        <w:t>tumour</w:t>
      </w:r>
      <w:proofErr w:type="spellEnd"/>
      <w:r w:rsidRPr="00A40DE7">
        <w:rPr>
          <w:rFonts w:eastAsia="MS Mincho"/>
          <w:lang w:val="en-US"/>
        </w:rPr>
        <w:t xml:space="preserve"> metastases, many had appreciable improvement in the appearance of their disease.</w:t>
      </w:r>
    </w:p>
    <w:p w14:paraId="46EAD525" w14:textId="77777777" w:rsidR="005034AC" w:rsidRPr="00A40DE7" w:rsidRDefault="005034AC" w:rsidP="00A83FFD">
      <w:pPr>
        <w:pStyle w:val="Heading5"/>
        <w:rPr>
          <w:rFonts w:eastAsia="MS Mincho"/>
          <w:lang w:val="en-US"/>
        </w:rPr>
      </w:pPr>
      <w:r w:rsidRPr="00A40DE7">
        <w:rPr>
          <w:rFonts w:eastAsia="MS Mincho"/>
          <w:lang w:val="en-US"/>
        </w:rPr>
        <w:t xml:space="preserve">Regarding the benefit-risk profile of </w:t>
      </w:r>
      <w:proofErr w:type="spellStart"/>
      <w:r w:rsidRPr="00A40DE7">
        <w:rPr>
          <w:rFonts w:eastAsia="MS Mincho"/>
          <w:lang w:val="en-US"/>
        </w:rPr>
        <w:t>talimogene</w:t>
      </w:r>
      <w:proofErr w:type="spellEnd"/>
      <w:r w:rsidRPr="00A40DE7">
        <w:rPr>
          <w:rFonts w:eastAsia="MS Mincho"/>
          <w:lang w:val="en-US"/>
        </w:rPr>
        <w:t xml:space="preserve"> </w:t>
      </w:r>
      <w:proofErr w:type="spellStart"/>
      <w:r w:rsidRPr="00A40DE7">
        <w:rPr>
          <w:rFonts w:eastAsia="MS Mincho"/>
          <w:lang w:val="en-US"/>
        </w:rPr>
        <w:t>laherparepvec</w:t>
      </w:r>
      <w:proofErr w:type="spellEnd"/>
    </w:p>
    <w:p w14:paraId="39FFCC46" w14:textId="77777777" w:rsidR="005034AC" w:rsidRPr="00A40DE7" w:rsidRDefault="005034AC" w:rsidP="005034AC">
      <w:pPr>
        <w:rPr>
          <w:rFonts w:eastAsia="MS Mincho"/>
          <w:lang w:val="en-US"/>
        </w:rPr>
      </w:pPr>
      <w:r w:rsidRPr="00A40DE7">
        <w:rPr>
          <w:rFonts w:eastAsia="MS Mincho"/>
          <w:lang w:val="en-US"/>
        </w:rPr>
        <w:t xml:space="preserve">Based on </w:t>
      </w:r>
      <w:proofErr w:type="spellStart"/>
      <w:r w:rsidRPr="00A40DE7">
        <w:rPr>
          <w:rFonts w:eastAsia="MS Mincho"/>
          <w:lang w:val="en-US"/>
        </w:rPr>
        <w:t>talimogene</w:t>
      </w:r>
      <w:proofErr w:type="spellEnd"/>
      <w:r w:rsidRPr="00A40DE7">
        <w:rPr>
          <w:rFonts w:eastAsia="MS Mincho"/>
          <w:lang w:val="en-US"/>
        </w:rPr>
        <w:t xml:space="preserve"> </w:t>
      </w:r>
      <w:proofErr w:type="spellStart"/>
      <w:r w:rsidRPr="00A40DE7">
        <w:rPr>
          <w:rFonts w:eastAsia="MS Mincho"/>
          <w:lang w:val="en-US"/>
        </w:rPr>
        <w:t>laherparepvec's</w:t>
      </w:r>
      <w:proofErr w:type="spellEnd"/>
      <w:r w:rsidRPr="00A40DE7">
        <w:rPr>
          <w:rFonts w:eastAsia="MS Mincho"/>
          <w:lang w:val="en-US"/>
        </w:rPr>
        <w:t xml:space="preserve"> consistent anti-</w:t>
      </w:r>
      <w:proofErr w:type="spellStart"/>
      <w:r w:rsidR="00BA29E3">
        <w:rPr>
          <w:rFonts w:eastAsia="MS Mincho"/>
          <w:lang w:val="en-US"/>
        </w:rPr>
        <w:t>tumour</w:t>
      </w:r>
      <w:proofErr w:type="spellEnd"/>
      <w:r w:rsidRPr="00A40DE7">
        <w:rPr>
          <w:rFonts w:eastAsia="MS Mincho"/>
          <w:lang w:val="en-US"/>
        </w:rPr>
        <w:t xml:space="preserve"> efficacy, positive trend in survival, and minimal incidence of grade 3 </w:t>
      </w:r>
      <w:r w:rsidR="00BA29E3">
        <w:rPr>
          <w:rFonts w:eastAsia="MS Mincho"/>
          <w:lang w:val="en-US"/>
        </w:rPr>
        <w:t>adverse events observed in the P</w:t>
      </w:r>
      <w:r w:rsidRPr="00A40DE7">
        <w:rPr>
          <w:rFonts w:eastAsia="MS Mincho"/>
          <w:lang w:val="en-US"/>
        </w:rPr>
        <w:t xml:space="preserve">hase </w:t>
      </w:r>
      <w:r w:rsidR="00BA29E3">
        <w:rPr>
          <w:rFonts w:eastAsia="MS Mincho"/>
          <w:lang w:val="en-US"/>
        </w:rPr>
        <w:t>III</w:t>
      </w:r>
      <w:r w:rsidRPr="00A40DE7">
        <w:rPr>
          <w:rFonts w:eastAsia="MS Mincho"/>
          <w:lang w:val="en-US"/>
        </w:rPr>
        <w:t xml:space="preserve"> study, </w:t>
      </w:r>
      <w:proofErr w:type="spellStart"/>
      <w:r w:rsidRPr="00A40DE7">
        <w:rPr>
          <w:rFonts w:eastAsia="MS Mincho"/>
          <w:lang w:val="en-US"/>
        </w:rPr>
        <w:t>talimogene</w:t>
      </w:r>
      <w:proofErr w:type="spellEnd"/>
      <w:r w:rsidRPr="00A40DE7">
        <w:rPr>
          <w:rFonts w:eastAsia="MS Mincho"/>
          <w:lang w:val="en-US"/>
        </w:rPr>
        <w:t xml:space="preserve"> </w:t>
      </w:r>
      <w:proofErr w:type="spellStart"/>
      <w:r w:rsidRPr="00A40DE7">
        <w:rPr>
          <w:rFonts w:eastAsia="MS Mincho"/>
          <w:lang w:val="en-US"/>
        </w:rPr>
        <w:t>laherparepvec</w:t>
      </w:r>
      <w:proofErr w:type="spellEnd"/>
      <w:r w:rsidRPr="00A40DE7">
        <w:rPr>
          <w:rFonts w:eastAsia="MS Mincho"/>
          <w:lang w:val="en-US"/>
        </w:rPr>
        <w:t xml:space="preserve"> has a positive benefit-risk profile for the treatment of patients with injectable regionally or distantly metastatic melanoma.</w:t>
      </w:r>
    </w:p>
    <w:p w14:paraId="254C7F7C" w14:textId="77777777" w:rsidR="005034AC" w:rsidRPr="00A40DE7" w:rsidRDefault="005034AC" w:rsidP="005034AC">
      <w:pPr>
        <w:pStyle w:val="Heading4"/>
        <w:rPr>
          <w:lang w:val="en-US"/>
        </w:rPr>
      </w:pPr>
      <w:r w:rsidRPr="00A40DE7">
        <w:rPr>
          <w:lang w:val="en-US"/>
        </w:rPr>
        <w:t>Evaluator’s comment</w:t>
      </w:r>
    </w:p>
    <w:p w14:paraId="02C37AAA" w14:textId="77777777" w:rsidR="005034AC" w:rsidRPr="00A40DE7" w:rsidRDefault="005034AC" w:rsidP="005034AC">
      <w:pPr>
        <w:autoSpaceDE w:val="0"/>
        <w:autoSpaceDN w:val="0"/>
        <w:adjustRightInd w:val="0"/>
        <w:jc w:val="both"/>
        <w:rPr>
          <w:color w:val="000000"/>
          <w:lang w:val="en-US"/>
        </w:rPr>
      </w:pPr>
      <w:r w:rsidRPr="00A40DE7">
        <w:rPr>
          <w:color w:val="000000"/>
          <w:lang w:val="en-US"/>
        </w:rPr>
        <w:t>The response is considered acceptable.</w:t>
      </w:r>
    </w:p>
    <w:p w14:paraId="20456B3B" w14:textId="77777777" w:rsidR="00A83FFD" w:rsidRDefault="005034AC" w:rsidP="005034AC">
      <w:pPr>
        <w:pStyle w:val="Heading3"/>
        <w:rPr>
          <w:rFonts w:eastAsia="MS Mincho"/>
          <w:lang w:val="en-US"/>
        </w:rPr>
      </w:pPr>
      <w:bookmarkStart w:id="308" w:name="_Toc452631111"/>
      <w:r w:rsidRPr="00A40DE7">
        <w:rPr>
          <w:rFonts w:eastAsia="MS Mincho"/>
          <w:lang w:val="en-US"/>
        </w:rPr>
        <w:t>Question 2</w:t>
      </w:r>
      <w:bookmarkEnd w:id="308"/>
      <w:r w:rsidR="00A83FFD" w:rsidRPr="00A83FFD">
        <w:rPr>
          <w:rFonts w:eastAsia="MS Mincho"/>
          <w:lang w:val="en-US"/>
        </w:rPr>
        <w:t xml:space="preserve"> </w:t>
      </w:r>
    </w:p>
    <w:p w14:paraId="222F7501" w14:textId="77777777" w:rsidR="005034AC" w:rsidRPr="00A40DE7" w:rsidRDefault="00A83FFD" w:rsidP="00A83FFD">
      <w:pPr>
        <w:pStyle w:val="Heading4"/>
        <w:rPr>
          <w:lang w:val="en-US"/>
        </w:rPr>
      </w:pPr>
      <w:r w:rsidRPr="00A40DE7">
        <w:rPr>
          <w:lang w:val="en-US"/>
        </w:rPr>
        <w:t>Sponsor</w:t>
      </w:r>
      <w:r>
        <w:rPr>
          <w:lang w:val="en-US"/>
        </w:rPr>
        <w:t>’s</w:t>
      </w:r>
      <w:r w:rsidRPr="00A40DE7">
        <w:rPr>
          <w:lang w:val="en-US"/>
        </w:rPr>
        <w:t xml:space="preserve"> </w:t>
      </w:r>
      <w:r>
        <w:rPr>
          <w:lang w:val="en-US"/>
        </w:rPr>
        <w:t>r</w:t>
      </w:r>
      <w:r w:rsidRPr="00A40DE7">
        <w:rPr>
          <w:lang w:val="en-US"/>
        </w:rPr>
        <w:t>esponse</w:t>
      </w:r>
    </w:p>
    <w:p w14:paraId="11A8652F" w14:textId="77777777" w:rsidR="005034AC" w:rsidRPr="00A40DE7" w:rsidRDefault="005034AC" w:rsidP="00A83FFD">
      <w:pPr>
        <w:pStyle w:val="Heading5"/>
        <w:rPr>
          <w:rFonts w:eastAsia="MS Mincho"/>
          <w:lang w:val="en-US"/>
        </w:rPr>
      </w:pPr>
      <w:r w:rsidRPr="00A40DE7">
        <w:rPr>
          <w:rFonts w:eastAsia="MS Mincho"/>
          <w:lang w:val="en-US"/>
        </w:rPr>
        <w:t>Nonclinical conclusions</w:t>
      </w:r>
    </w:p>
    <w:p w14:paraId="043E69EF" w14:textId="3311C097" w:rsidR="005034AC" w:rsidRPr="00A40DE7" w:rsidRDefault="005034AC" w:rsidP="005034AC">
      <w:pPr>
        <w:rPr>
          <w:rFonts w:eastAsia="MS Mincho"/>
          <w:lang w:val="en-US"/>
        </w:rPr>
      </w:pPr>
      <w:r w:rsidRPr="00A40DE7">
        <w:rPr>
          <w:rFonts w:eastAsia="MS Mincho"/>
          <w:lang w:val="en-US"/>
        </w:rPr>
        <w:t>The nonclinical studies support the development of T-cell mediated systemic anti-</w:t>
      </w:r>
      <w:proofErr w:type="spellStart"/>
      <w:r w:rsidR="00BA29E3">
        <w:rPr>
          <w:rFonts w:eastAsia="MS Mincho"/>
          <w:lang w:val="en-US"/>
        </w:rPr>
        <w:t>tumour</w:t>
      </w:r>
      <w:proofErr w:type="spellEnd"/>
      <w:r w:rsidRPr="00A40DE7">
        <w:rPr>
          <w:rFonts w:eastAsia="MS Mincho"/>
          <w:lang w:val="en-US"/>
        </w:rPr>
        <w:t xml:space="preserve"> immune response following intra</w:t>
      </w:r>
      <w:r w:rsidR="00BA29E3">
        <w:rPr>
          <w:rFonts w:eastAsia="MS Mincho"/>
          <w:lang w:val="en-US"/>
        </w:rPr>
        <w:t>-</w:t>
      </w:r>
      <w:proofErr w:type="spellStart"/>
      <w:r w:rsidRPr="00A40DE7">
        <w:rPr>
          <w:rFonts w:eastAsia="MS Mincho"/>
          <w:lang w:val="en-US"/>
        </w:rPr>
        <w:t>tumo</w:t>
      </w:r>
      <w:r w:rsidR="00BA29E3">
        <w:rPr>
          <w:rFonts w:eastAsia="MS Mincho"/>
          <w:lang w:val="en-US"/>
        </w:rPr>
        <w:t>u</w:t>
      </w:r>
      <w:r w:rsidRPr="00A40DE7">
        <w:rPr>
          <w:rFonts w:eastAsia="MS Mincho"/>
          <w:lang w:val="en-US"/>
        </w:rPr>
        <w:t>ral</w:t>
      </w:r>
      <w:proofErr w:type="spellEnd"/>
      <w:r w:rsidRPr="00A40DE7">
        <w:rPr>
          <w:rFonts w:eastAsia="MS Mincho"/>
          <w:lang w:val="en-US"/>
        </w:rPr>
        <w:t xml:space="preserve"> injection of </w:t>
      </w:r>
      <w:proofErr w:type="spellStart"/>
      <w:r w:rsidRPr="00A40DE7">
        <w:rPr>
          <w:rFonts w:eastAsia="MS Mincho"/>
          <w:lang w:val="en-US"/>
        </w:rPr>
        <w:t>talimogene</w:t>
      </w:r>
      <w:proofErr w:type="spellEnd"/>
      <w:r w:rsidRPr="00A40DE7">
        <w:rPr>
          <w:rFonts w:eastAsia="MS Mincho"/>
          <w:lang w:val="en-US"/>
        </w:rPr>
        <w:t xml:space="preserve"> </w:t>
      </w:r>
      <w:proofErr w:type="spellStart"/>
      <w:r w:rsidRPr="00A40DE7">
        <w:rPr>
          <w:rFonts w:eastAsia="MS Mincho"/>
          <w:lang w:val="en-US"/>
        </w:rPr>
        <w:t>laherparepvec</w:t>
      </w:r>
      <w:proofErr w:type="spellEnd"/>
      <w:r w:rsidRPr="00A40DE7">
        <w:rPr>
          <w:rFonts w:eastAsia="MS Mincho"/>
          <w:lang w:val="en-US"/>
        </w:rPr>
        <w:t xml:space="preserve"> (</w:t>
      </w:r>
      <w:proofErr w:type="gramStart"/>
      <w:r w:rsidRPr="00A40DE7">
        <w:rPr>
          <w:rFonts w:eastAsia="MS Mincho"/>
          <w:lang w:val="en-US"/>
        </w:rPr>
        <w:t xml:space="preserve">or </w:t>
      </w:r>
      <w:r w:rsidR="00B635B4">
        <w:rPr>
          <w:rFonts w:eastAsia="MS Mincho"/>
          <w:lang w:val="en-US"/>
        </w:rPr>
        <w:t xml:space="preserve"> </w:t>
      </w:r>
      <w:r w:rsidRPr="00A40DE7">
        <w:rPr>
          <w:rFonts w:eastAsia="MS Mincho"/>
          <w:lang w:val="en-US"/>
        </w:rPr>
        <w:t>murine</w:t>
      </w:r>
      <w:proofErr w:type="gramEnd"/>
      <w:r w:rsidRPr="00A40DE7">
        <w:rPr>
          <w:rFonts w:eastAsia="MS Mincho"/>
          <w:lang w:val="en-US"/>
        </w:rPr>
        <w:t xml:space="preserve"> surrogate</w:t>
      </w:r>
      <w:r w:rsidR="00B635B4">
        <w:rPr>
          <w:rStyle w:val="FootnoteReference"/>
          <w:rFonts w:eastAsia="MS Mincho"/>
          <w:lang w:val="en-US"/>
        </w:rPr>
        <w:footnoteReference w:id="1"/>
      </w:r>
      <w:r w:rsidRPr="00A40DE7">
        <w:rPr>
          <w:rFonts w:eastAsia="MS Mincho"/>
          <w:lang w:val="en-US"/>
        </w:rPr>
        <w:t xml:space="preserve">). Further, the data from these studies demonstrate that </w:t>
      </w:r>
      <w:proofErr w:type="spellStart"/>
      <w:r w:rsidRPr="00A40DE7">
        <w:rPr>
          <w:rFonts w:eastAsia="MS Mincho"/>
          <w:lang w:val="en-US"/>
        </w:rPr>
        <w:t>talimogene</w:t>
      </w:r>
      <w:proofErr w:type="spellEnd"/>
      <w:r w:rsidRPr="00A40DE7">
        <w:rPr>
          <w:rFonts w:eastAsia="MS Mincho"/>
          <w:lang w:val="en-US"/>
        </w:rPr>
        <w:t xml:space="preserve"> </w:t>
      </w:r>
      <w:proofErr w:type="spellStart"/>
      <w:r w:rsidRPr="00A40DE7">
        <w:rPr>
          <w:rFonts w:eastAsia="MS Mincho"/>
          <w:lang w:val="en-US"/>
        </w:rPr>
        <w:t>laherparepvec</w:t>
      </w:r>
      <w:proofErr w:type="spellEnd"/>
      <w:r w:rsidRPr="00A40DE7">
        <w:rPr>
          <w:rFonts w:eastAsia="MS Mincho"/>
          <w:lang w:val="en-US"/>
        </w:rPr>
        <w:t xml:space="preserve"> induces </w:t>
      </w:r>
      <w:proofErr w:type="spellStart"/>
      <w:r w:rsidR="00BA29E3">
        <w:rPr>
          <w:rFonts w:eastAsia="MS Mincho"/>
          <w:lang w:val="en-US"/>
        </w:rPr>
        <w:t>tumour</w:t>
      </w:r>
      <w:proofErr w:type="spellEnd"/>
      <w:r w:rsidRPr="00A40DE7">
        <w:rPr>
          <w:rFonts w:eastAsia="MS Mincho"/>
          <w:lang w:val="en-US"/>
        </w:rPr>
        <w:t xml:space="preserve"> regression through both local direct effects following intra</w:t>
      </w:r>
      <w:r w:rsidR="00BA29E3">
        <w:rPr>
          <w:rFonts w:eastAsia="MS Mincho"/>
          <w:lang w:val="en-US"/>
        </w:rPr>
        <w:t>-</w:t>
      </w:r>
      <w:proofErr w:type="spellStart"/>
      <w:r w:rsidRPr="00A40DE7">
        <w:rPr>
          <w:rFonts w:eastAsia="MS Mincho"/>
          <w:lang w:val="en-US"/>
        </w:rPr>
        <w:t>tumo</w:t>
      </w:r>
      <w:r w:rsidR="00BA29E3">
        <w:rPr>
          <w:rFonts w:eastAsia="MS Mincho"/>
          <w:lang w:val="en-US"/>
        </w:rPr>
        <w:t>u</w:t>
      </w:r>
      <w:r w:rsidRPr="00A40DE7">
        <w:rPr>
          <w:rFonts w:eastAsia="MS Mincho"/>
          <w:lang w:val="en-US"/>
        </w:rPr>
        <w:t>ral</w:t>
      </w:r>
      <w:proofErr w:type="spellEnd"/>
      <w:r w:rsidRPr="00A40DE7">
        <w:rPr>
          <w:rFonts w:eastAsia="MS Mincho"/>
          <w:lang w:val="en-US"/>
        </w:rPr>
        <w:t xml:space="preserve"> injection into </w:t>
      </w:r>
      <w:proofErr w:type="spellStart"/>
      <w:r w:rsidR="00BA29E3">
        <w:rPr>
          <w:rFonts w:eastAsia="MS Mincho"/>
          <w:lang w:val="en-US"/>
        </w:rPr>
        <w:t>tumour</w:t>
      </w:r>
      <w:r w:rsidRPr="00A40DE7">
        <w:rPr>
          <w:rFonts w:eastAsia="MS Mincho"/>
          <w:lang w:val="en-US"/>
        </w:rPr>
        <w:t>s</w:t>
      </w:r>
      <w:proofErr w:type="spellEnd"/>
      <w:r w:rsidRPr="00A40DE7">
        <w:rPr>
          <w:rFonts w:eastAsia="MS Mincho"/>
          <w:lang w:val="en-US"/>
        </w:rPr>
        <w:t xml:space="preserve"> and through secondary induction of systemic anti</w:t>
      </w:r>
      <w:r w:rsidR="00BA29E3">
        <w:rPr>
          <w:rFonts w:eastAsia="MS Mincho"/>
          <w:lang w:val="en-US"/>
        </w:rPr>
        <w:t>-</w:t>
      </w:r>
      <w:proofErr w:type="spellStart"/>
      <w:r w:rsidRPr="00A40DE7">
        <w:rPr>
          <w:rFonts w:eastAsia="MS Mincho"/>
          <w:lang w:val="en-US"/>
        </w:rPr>
        <w:t>tumo</w:t>
      </w:r>
      <w:r w:rsidR="00BA29E3">
        <w:rPr>
          <w:rFonts w:eastAsia="MS Mincho"/>
          <w:lang w:val="en-US"/>
        </w:rPr>
        <w:t>u</w:t>
      </w:r>
      <w:r w:rsidRPr="00A40DE7">
        <w:rPr>
          <w:rFonts w:eastAsia="MS Mincho"/>
          <w:lang w:val="en-US"/>
        </w:rPr>
        <w:t>ral</w:t>
      </w:r>
      <w:proofErr w:type="spellEnd"/>
      <w:r w:rsidRPr="00A40DE7">
        <w:rPr>
          <w:rFonts w:eastAsia="MS Mincho"/>
          <w:lang w:val="en-US"/>
        </w:rPr>
        <w:t xml:space="preserve"> immunity.</w:t>
      </w:r>
    </w:p>
    <w:p w14:paraId="6972AF97" w14:textId="77777777" w:rsidR="005034AC" w:rsidRPr="00A40DE7" w:rsidRDefault="005034AC" w:rsidP="00A83FFD">
      <w:pPr>
        <w:pStyle w:val="Heading5"/>
        <w:rPr>
          <w:rFonts w:eastAsia="MS Mincho"/>
          <w:lang w:val="en-US"/>
        </w:rPr>
      </w:pPr>
      <w:r w:rsidRPr="00A40DE7">
        <w:rPr>
          <w:rFonts w:eastAsia="MS Mincho"/>
          <w:lang w:val="en-US"/>
        </w:rPr>
        <w:t>Clinical Conclusion</w:t>
      </w:r>
    </w:p>
    <w:p w14:paraId="6FC735C7" w14:textId="77777777" w:rsidR="005034AC" w:rsidRPr="00A40DE7" w:rsidRDefault="005034AC" w:rsidP="005034AC">
      <w:pPr>
        <w:rPr>
          <w:rFonts w:eastAsia="MS Mincho"/>
          <w:lang w:val="en-US"/>
        </w:rPr>
      </w:pPr>
      <w:r w:rsidRPr="00A40DE7">
        <w:rPr>
          <w:rFonts w:eastAsia="MS Mincho"/>
          <w:lang w:val="en-US"/>
        </w:rPr>
        <w:t>An immune</w:t>
      </w:r>
      <w:r w:rsidR="00BA29E3">
        <w:rPr>
          <w:rFonts w:eastAsia="MS Mincho"/>
          <w:lang w:val="en-US"/>
        </w:rPr>
        <w:t xml:space="preserve"> </w:t>
      </w:r>
      <w:r w:rsidRPr="00A40DE7">
        <w:rPr>
          <w:rFonts w:eastAsia="MS Mincho"/>
          <w:lang w:val="en-US"/>
        </w:rPr>
        <w:t xml:space="preserve">mediated mechanism of action for </w:t>
      </w:r>
      <w:proofErr w:type="spellStart"/>
      <w:r w:rsidRPr="00A40DE7">
        <w:rPr>
          <w:rFonts w:eastAsia="MS Mincho"/>
          <w:lang w:val="en-US"/>
        </w:rPr>
        <w:t>talimogene</w:t>
      </w:r>
      <w:proofErr w:type="spellEnd"/>
      <w:r w:rsidRPr="00A40DE7">
        <w:rPr>
          <w:rFonts w:eastAsia="MS Mincho"/>
          <w:lang w:val="en-US"/>
        </w:rPr>
        <w:t xml:space="preserve"> </w:t>
      </w:r>
      <w:proofErr w:type="spellStart"/>
      <w:r w:rsidRPr="00A40DE7">
        <w:rPr>
          <w:rFonts w:eastAsia="MS Mincho"/>
          <w:lang w:val="en-US"/>
        </w:rPr>
        <w:t>laherparepvec</w:t>
      </w:r>
      <w:proofErr w:type="spellEnd"/>
      <w:r w:rsidRPr="00A40DE7">
        <w:rPr>
          <w:rFonts w:eastAsia="MS Mincho"/>
          <w:lang w:val="en-US"/>
        </w:rPr>
        <w:t xml:space="preserve"> is supported by the generation of anti-melanoma antigen-specific T-lymphocytes in un</w:t>
      </w:r>
      <w:r w:rsidR="00BA29E3">
        <w:rPr>
          <w:rFonts w:eastAsia="MS Mincho"/>
          <w:lang w:val="en-US"/>
        </w:rPr>
        <w:t>-</w:t>
      </w:r>
      <w:r w:rsidRPr="00A40DE7">
        <w:rPr>
          <w:rFonts w:eastAsia="MS Mincho"/>
          <w:lang w:val="en-US"/>
        </w:rPr>
        <w:t xml:space="preserve">injected lesions in response to </w:t>
      </w:r>
      <w:proofErr w:type="spellStart"/>
      <w:r w:rsidRPr="00A40DE7">
        <w:rPr>
          <w:rFonts w:eastAsia="MS Mincho"/>
          <w:lang w:val="en-US"/>
        </w:rPr>
        <w:t>talimogene</w:t>
      </w:r>
      <w:proofErr w:type="spellEnd"/>
      <w:r w:rsidRPr="00A40DE7">
        <w:rPr>
          <w:rFonts w:eastAsia="MS Mincho"/>
          <w:lang w:val="en-US"/>
        </w:rPr>
        <w:t xml:space="preserve"> </w:t>
      </w:r>
      <w:proofErr w:type="spellStart"/>
      <w:r w:rsidRPr="00A40DE7">
        <w:rPr>
          <w:rFonts w:eastAsia="MS Mincho"/>
          <w:lang w:val="en-US"/>
        </w:rPr>
        <w:t>laherparepvec</w:t>
      </w:r>
      <w:proofErr w:type="spellEnd"/>
      <w:r w:rsidRPr="00A40DE7">
        <w:rPr>
          <w:rFonts w:eastAsia="MS Mincho"/>
          <w:lang w:val="en-US"/>
        </w:rPr>
        <w:t xml:space="preserve"> administration, regression of un</w:t>
      </w:r>
      <w:r w:rsidR="00BA29E3">
        <w:rPr>
          <w:rFonts w:eastAsia="MS Mincho"/>
          <w:lang w:val="en-US"/>
        </w:rPr>
        <w:t>-</w:t>
      </w:r>
      <w:r w:rsidRPr="00A40DE7">
        <w:rPr>
          <w:rFonts w:eastAsia="MS Mincho"/>
          <w:lang w:val="en-US"/>
        </w:rPr>
        <w:t>injected lesions, including visceral lesions, and a reduction in the risk of developing visceral metastasis.</w:t>
      </w:r>
    </w:p>
    <w:p w14:paraId="48671225" w14:textId="77777777" w:rsidR="005034AC" w:rsidRPr="00A40DE7" w:rsidRDefault="005034AC" w:rsidP="00A83FFD">
      <w:pPr>
        <w:pStyle w:val="Heading5"/>
        <w:rPr>
          <w:rFonts w:eastAsia="MS Mincho"/>
          <w:lang w:val="en-US"/>
        </w:rPr>
      </w:pPr>
      <w:r w:rsidRPr="00A40DE7">
        <w:rPr>
          <w:rFonts w:eastAsia="MS Mincho"/>
          <w:lang w:val="en-US"/>
        </w:rPr>
        <w:t>Overall Conclusion</w:t>
      </w:r>
    </w:p>
    <w:p w14:paraId="35300336" w14:textId="1F3C2FEA" w:rsidR="005034AC" w:rsidRPr="00A40DE7" w:rsidRDefault="005034AC" w:rsidP="005034AC">
      <w:pPr>
        <w:rPr>
          <w:rFonts w:eastAsia="MS Mincho"/>
          <w:lang w:val="en-US"/>
        </w:rPr>
      </w:pPr>
      <w:r w:rsidRPr="00A40DE7">
        <w:rPr>
          <w:rFonts w:eastAsia="MS Mincho"/>
          <w:lang w:val="en-US"/>
        </w:rPr>
        <w:t>The nonclinical studies support the development of T-cell mediated systemic anti-</w:t>
      </w:r>
      <w:proofErr w:type="spellStart"/>
      <w:r w:rsidR="00BA29E3">
        <w:rPr>
          <w:rFonts w:eastAsia="MS Mincho"/>
          <w:lang w:val="en-US"/>
        </w:rPr>
        <w:t>tumour</w:t>
      </w:r>
      <w:proofErr w:type="spellEnd"/>
      <w:r w:rsidRPr="00A40DE7">
        <w:rPr>
          <w:rFonts w:eastAsia="MS Mincho"/>
          <w:lang w:val="en-US"/>
        </w:rPr>
        <w:t xml:space="preserve"> immune response following </w:t>
      </w:r>
      <w:proofErr w:type="spellStart"/>
      <w:r w:rsidRPr="00A40DE7">
        <w:rPr>
          <w:rFonts w:eastAsia="MS Mincho"/>
          <w:lang w:val="en-US"/>
        </w:rPr>
        <w:t>intratumoural</w:t>
      </w:r>
      <w:proofErr w:type="spellEnd"/>
      <w:r w:rsidRPr="00A40DE7">
        <w:rPr>
          <w:rFonts w:eastAsia="MS Mincho"/>
          <w:lang w:val="en-US"/>
        </w:rPr>
        <w:t xml:space="preserve"> injection of </w:t>
      </w:r>
      <w:proofErr w:type="spellStart"/>
      <w:r w:rsidRPr="00A40DE7">
        <w:rPr>
          <w:rFonts w:eastAsia="MS Mincho"/>
          <w:lang w:val="en-US"/>
        </w:rPr>
        <w:t>talimogene</w:t>
      </w:r>
      <w:proofErr w:type="spellEnd"/>
      <w:r w:rsidRPr="00A40DE7">
        <w:rPr>
          <w:rFonts w:eastAsia="MS Mincho"/>
          <w:lang w:val="en-US"/>
        </w:rPr>
        <w:t xml:space="preserve"> </w:t>
      </w:r>
      <w:proofErr w:type="spellStart"/>
      <w:r w:rsidRPr="00A40DE7">
        <w:rPr>
          <w:rFonts w:eastAsia="MS Mincho"/>
          <w:lang w:val="en-US"/>
        </w:rPr>
        <w:t>laherparepvec</w:t>
      </w:r>
      <w:proofErr w:type="spellEnd"/>
      <w:r w:rsidRPr="00A40DE7">
        <w:rPr>
          <w:rFonts w:eastAsia="MS Mincho"/>
          <w:lang w:val="en-US"/>
        </w:rPr>
        <w:t xml:space="preserve"> (or murine surrogate</w:t>
      </w:r>
      <w:r w:rsidR="00B635B4">
        <w:rPr>
          <w:rStyle w:val="FootnoteReference"/>
          <w:rFonts w:eastAsia="MS Mincho"/>
          <w:lang w:val="en-US"/>
        </w:rPr>
        <w:footnoteReference w:id="2"/>
      </w:r>
      <w:r w:rsidRPr="00A40DE7">
        <w:rPr>
          <w:rFonts w:eastAsia="MS Mincho"/>
          <w:lang w:val="en-US"/>
        </w:rPr>
        <w:t xml:space="preserve">). These data are consistent with the development of </w:t>
      </w:r>
      <w:proofErr w:type="spellStart"/>
      <w:r w:rsidR="00BA29E3">
        <w:rPr>
          <w:rFonts w:eastAsia="MS Mincho"/>
          <w:lang w:val="en-US"/>
        </w:rPr>
        <w:t>tumour</w:t>
      </w:r>
      <w:proofErr w:type="spellEnd"/>
      <w:r w:rsidRPr="00A40DE7">
        <w:rPr>
          <w:rFonts w:eastAsia="MS Mincho"/>
          <w:lang w:val="en-US"/>
        </w:rPr>
        <w:t xml:space="preserve"> specific T</w:t>
      </w:r>
      <w:r w:rsidR="00BA29E3">
        <w:rPr>
          <w:rFonts w:eastAsia="MS Mincho"/>
          <w:lang w:val="en-US"/>
        </w:rPr>
        <w:t xml:space="preserve"> </w:t>
      </w:r>
      <w:r w:rsidRPr="00A40DE7">
        <w:rPr>
          <w:rFonts w:eastAsia="MS Mincho"/>
          <w:lang w:val="en-US"/>
        </w:rPr>
        <w:t xml:space="preserve">cells systemic observed in the </w:t>
      </w:r>
      <w:r w:rsidR="00BA29E3">
        <w:rPr>
          <w:rFonts w:eastAsia="MS Mincho"/>
          <w:lang w:val="en-US"/>
        </w:rPr>
        <w:t>P</w:t>
      </w:r>
      <w:r w:rsidRPr="00A40DE7">
        <w:rPr>
          <w:rFonts w:eastAsia="MS Mincho"/>
          <w:lang w:val="en-US"/>
        </w:rPr>
        <w:t xml:space="preserve">hase </w:t>
      </w:r>
      <w:r w:rsidR="00BA29E3">
        <w:rPr>
          <w:rFonts w:eastAsia="MS Mincho"/>
          <w:lang w:val="en-US"/>
        </w:rPr>
        <w:t>II</w:t>
      </w:r>
      <w:r w:rsidRPr="00A40DE7">
        <w:rPr>
          <w:rFonts w:eastAsia="MS Mincho"/>
          <w:lang w:val="en-US"/>
        </w:rPr>
        <w:t xml:space="preserve"> study (Kaufman et al, 2010) and in the systemic anti-</w:t>
      </w:r>
      <w:proofErr w:type="spellStart"/>
      <w:r w:rsidR="00BA29E3">
        <w:rPr>
          <w:rFonts w:eastAsia="MS Mincho"/>
          <w:lang w:val="en-US"/>
        </w:rPr>
        <w:t>tumour</w:t>
      </w:r>
      <w:proofErr w:type="spellEnd"/>
      <w:r w:rsidR="00BA29E3">
        <w:rPr>
          <w:rFonts w:eastAsia="MS Mincho"/>
          <w:lang w:val="en-US"/>
        </w:rPr>
        <w:t xml:space="preserve"> effects reported in the Phase III</w:t>
      </w:r>
      <w:r w:rsidRPr="00A40DE7">
        <w:rPr>
          <w:rFonts w:eastAsia="MS Mincho"/>
          <w:lang w:val="en-US"/>
        </w:rPr>
        <w:t xml:space="preserve"> study.</w:t>
      </w:r>
    </w:p>
    <w:p w14:paraId="0DF80C6E" w14:textId="77777777" w:rsidR="005034AC" w:rsidRPr="00A40DE7" w:rsidRDefault="005034AC" w:rsidP="005034AC">
      <w:pPr>
        <w:pStyle w:val="Heading4"/>
        <w:rPr>
          <w:lang w:val="en-US"/>
        </w:rPr>
      </w:pPr>
      <w:r w:rsidRPr="00A40DE7">
        <w:rPr>
          <w:lang w:val="en-US"/>
        </w:rPr>
        <w:lastRenderedPageBreak/>
        <w:t>Evaluator’s comment</w:t>
      </w:r>
    </w:p>
    <w:p w14:paraId="00019B53" w14:textId="77777777" w:rsidR="005034AC" w:rsidRPr="00A40DE7" w:rsidRDefault="005034AC" w:rsidP="005034AC">
      <w:pPr>
        <w:autoSpaceDE w:val="0"/>
        <w:autoSpaceDN w:val="0"/>
        <w:adjustRightInd w:val="0"/>
        <w:jc w:val="both"/>
        <w:rPr>
          <w:color w:val="000000"/>
          <w:lang w:val="en-US"/>
        </w:rPr>
      </w:pPr>
      <w:r w:rsidRPr="00A40DE7">
        <w:rPr>
          <w:color w:val="000000"/>
          <w:lang w:val="en-US"/>
        </w:rPr>
        <w:t>The response is considered acceptable.</w:t>
      </w:r>
    </w:p>
    <w:p w14:paraId="58B07DF1" w14:textId="77777777" w:rsidR="00A83FFD" w:rsidRDefault="005034AC" w:rsidP="005034AC">
      <w:pPr>
        <w:pStyle w:val="Heading3"/>
        <w:rPr>
          <w:rFonts w:eastAsia="MS Mincho"/>
          <w:lang w:val="en-US"/>
        </w:rPr>
      </w:pPr>
      <w:bookmarkStart w:id="309" w:name="_Toc452631112"/>
      <w:r w:rsidRPr="00A40DE7">
        <w:rPr>
          <w:rFonts w:eastAsia="MS Mincho"/>
          <w:lang w:val="en-US"/>
        </w:rPr>
        <w:t>Question 3</w:t>
      </w:r>
      <w:bookmarkEnd w:id="309"/>
      <w:r w:rsidR="00A83FFD" w:rsidRPr="00A83FFD">
        <w:rPr>
          <w:rFonts w:eastAsia="MS Mincho"/>
          <w:lang w:val="en-US"/>
        </w:rPr>
        <w:t xml:space="preserve"> </w:t>
      </w:r>
    </w:p>
    <w:p w14:paraId="05DC68A3" w14:textId="77777777" w:rsidR="005034AC" w:rsidRPr="00A40DE7" w:rsidRDefault="00A83FFD" w:rsidP="00A83FFD">
      <w:pPr>
        <w:pStyle w:val="Heading4"/>
        <w:rPr>
          <w:lang w:val="en-US"/>
        </w:rPr>
      </w:pPr>
      <w:r w:rsidRPr="00A40DE7">
        <w:rPr>
          <w:lang w:val="en-US"/>
        </w:rPr>
        <w:t xml:space="preserve">Sponsor’s </w:t>
      </w:r>
      <w:r>
        <w:rPr>
          <w:lang w:val="en-US"/>
        </w:rPr>
        <w:t>r</w:t>
      </w:r>
      <w:r w:rsidRPr="00A40DE7">
        <w:rPr>
          <w:lang w:val="en-US"/>
        </w:rPr>
        <w:t>esponse</w:t>
      </w:r>
    </w:p>
    <w:p w14:paraId="73A6EDA2" w14:textId="190A2AEA" w:rsidR="005034AC" w:rsidRPr="00A40DE7" w:rsidRDefault="00BA29E3" w:rsidP="005034AC">
      <w:pPr>
        <w:rPr>
          <w:rFonts w:eastAsia="MS Mincho"/>
          <w:lang w:val="en-US"/>
        </w:rPr>
      </w:pPr>
      <w:r>
        <w:rPr>
          <w:rFonts w:eastAsia="MS Mincho"/>
          <w:lang w:val="en-US"/>
        </w:rPr>
        <w:t>The sponsor</w:t>
      </w:r>
      <w:r w:rsidR="005034AC" w:rsidRPr="00A40DE7">
        <w:rPr>
          <w:rFonts w:eastAsia="MS Mincho"/>
          <w:lang w:val="en-US"/>
        </w:rPr>
        <w:t xml:space="preserve"> acknowledges that while the approval of these agents represents a clear milestone in the treatment of advanced melanoma, there are some inherent limitations. With the immunotherapies, the rate of complete response is still low. With the targeted agents (</w:t>
      </w:r>
      <w:r>
        <w:rPr>
          <w:rFonts w:eastAsia="MS Mincho"/>
          <w:lang w:val="en-US"/>
        </w:rPr>
        <w:t>for example</w:t>
      </w:r>
      <w:r w:rsidR="005034AC" w:rsidRPr="00A40DE7">
        <w:rPr>
          <w:rFonts w:eastAsia="MS Mincho"/>
          <w:lang w:val="en-US"/>
        </w:rPr>
        <w:t xml:space="preserve">, </w:t>
      </w:r>
      <w:proofErr w:type="spellStart"/>
      <w:r w:rsidR="005034AC" w:rsidRPr="00A40DE7">
        <w:rPr>
          <w:rFonts w:eastAsia="MS Mincho"/>
          <w:lang w:val="en-US"/>
        </w:rPr>
        <w:t>vemurafenib</w:t>
      </w:r>
      <w:proofErr w:type="spellEnd"/>
      <w:r w:rsidR="005034AC" w:rsidRPr="00A40DE7">
        <w:rPr>
          <w:rFonts w:eastAsia="MS Mincho"/>
          <w:lang w:val="en-US"/>
        </w:rPr>
        <w:t xml:space="preserve">, </w:t>
      </w:r>
      <w:proofErr w:type="spellStart"/>
      <w:r w:rsidR="005034AC" w:rsidRPr="00A40DE7">
        <w:rPr>
          <w:rFonts w:eastAsia="MS Mincho"/>
          <w:lang w:val="en-US"/>
        </w:rPr>
        <w:t>dabrafenib</w:t>
      </w:r>
      <w:proofErr w:type="spellEnd"/>
      <w:r w:rsidR="005034AC" w:rsidRPr="00A40DE7">
        <w:rPr>
          <w:rFonts w:eastAsia="MS Mincho"/>
          <w:lang w:val="en-US"/>
        </w:rPr>
        <w:t xml:space="preserve">, </w:t>
      </w:r>
      <w:proofErr w:type="spellStart"/>
      <w:r w:rsidR="005034AC" w:rsidRPr="00A40DE7">
        <w:rPr>
          <w:rFonts w:eastAsia="MS Mincho"/>
          <w:lang w:val="en-US"/>
        </w:rPr>
        <w:t>trametinib</w:t>
      </w:r>
      <w:proofErr w:type="spellEnd"/>
      <w:r w:rsidR="005034AC" w:rsidRPr="00A40DE7">
        <w:rPr>
          <w:rFonts w:eastAsia="MS Mincho"/>
          <w:lang w:val="en-US"/>
        </w:rPr>
        <w:t xml:space="preserve">), the duration of responses can be limited due to innate or acquired </w:t>
      </w:r>
      <w:r w:rsidR="005034AC" w:rsidRPr="00090F4E">
        <w:rPr>
          <w:rFonts w:eastAsia="MS Mincho"/>
          <w:lang w:val="en-US"/>
        </w:rPr>
        <w:t>resistance (</w:t>
      </w:r>
      <w:proofErr w:type="spellStart"/>
      <w:r w:rsidR="005034AC" w:rsidRPr="00090F4E">
        <w:rPr>
          <w:rFonts w:eastAsia="MS Mincho"/>
          <w:lang w:val="en-US"/>
        </w:rPr>
        <w:t>Wagle</w:t>
      </w:r>
      <w:proofErr w:type="spellEnd"/>
      <w:r w:rsidR="005034AC" w:rsidRPr="00090F4E">
        <w:rPr>
          <w:rFonts w:eastAsia="MS Mincho"/>
          <w:lang w:val="en-US"/>
        </w:rPr>
        <w:t xml:space="preserve"> et al, 2011). In addition</w:t>
      </w:r>
      <w:r w:rsidR="005034AC" w:rsidRPr="00A40DE7">
        <w:rPr>
          <w:rFonts w:eastAsia="MS Mincho"/>
          <w:lang w:val="en-US"/>
        </w:rPr>
        <w:t xml:space="preserve">, </w:t>
      </w:r>
      <w:proofErr w:type="spellStart"/>
      <w:r w:rsidR="005034AC" w:rsidRPr="00A40DE7">
        <w:rPr>
          <w:rFonts w:eastAsia="MS Mincho"/>
          <w:lang w:val="en-US"/>
        </w:rPr>
        <w:t>vemurafenib</w:t>
      </w:r>
      <w:proofErr w:type="spellEnd"/>
      <w:r w:rsidR="005034AC" w:rsidRPr="00A40DE7">
        <w:rPr>
          <w:rFonts w:eastAsia="MS Mincho"/>
          <w:lang w:val="en-US"/>
        </w:rPr>
        <w:t xml:space="preserve">, </w:t>
      </w:r>
      <w:proofErr w:type="spellStart"/>
      <w:r w:rsidR="005034AC" w:rsidRPr="00A40DE7">
        <w:rPr>
          <w:rFonts w:eastAsia="MS Mincho"/>
          <w:lang w:val="en-US"/>
        </w:rPr>
        <w:t>dabrafenib</w:t>
      </w:r>
      <w:proofErr w:type="spellEnd"/>
      <w:r w:rsidR="005034AC" w:rsidRPr="00A40DE7">
        <w:rPr>
          <w:rFonts w:eastAsia="MS Mincho"/>
          <w:lang w:val="en-US"/>
        </w:rPr>
        <w:t xml:space="preserve">, and </w:t>
      </w:r>
      <w:proofErr w:type="spellStart"/>
      <w:r w:rsidR="005034AC" w:rsidRPr="00A40DE7">
        <w:rPr>
          <w:rFonts w:eastAsia="MS Mincho"/>
          <w:lang w:val="en-US"/>
        </w:rPr>
        <w:t>trametinib</w:t>
      </w:r>
      <w:proofErr w:type="spellEnd"/>
      <w:r w:rsidR="005034AC" w:rsidRPr="00A40DE7">
        <w:rPr>
          <w:rFonts w:eastAsia="MS Mincho"/>
          <w:lang w:val="en-US"/>
        </w:rPr>
        <w:t xml:space="preserve"> are indicated only for patients with BRAFV600 mutant </w:t>
      </w:r>
      <w:proofErr w:type="spellStart"/>
      <w:r w:rsidR="005034AC" w:rsidRPr="00A40DE7">
        <w:rPr>
          <w:rFonts w:eastAsia="MS Mincho"/>
          <w:lang w:val="en-US"/>
        </w:rPr>
        <w:t>tumours</w:t>
      </w:r>
      <w:proofErr w:type="spellEnd"/>
      <w:r w:rsidR="005034AC" w:rsidRPr="00A40DE7">
        <w:rPr>
          <w:rFonts w:eastAsia="MS Mincho"/>
          <w:lang w:val="en-US"/>
        </w:rPr>
        <w:t xml:space="preserve"> (40% to 50% of </w:t>
      </w:r>
      <w:r w:rsidR="005034AC" w:rsidRPr="001F0A99">
        <w:rPr>
          <w:rFonts w:eastAsia="MS Mincho"/>
          <w:lang w:val="en-US"/>
        </w:rPr>
        <w:t xml:space="preserve">melanomas; </w:t>
      </w:r>
      <w:proofErr w:type="spellStart"/>
      <w:r w:rsidR="005034AC" w:rsidRPr="001F0A99">
        <w:rPr>
          <w:rFonts w:eastAsia="MS Mincho"/>
          <w:lang w:val="en-US"/>
        </w:rPr>
        <w:t>Columbino</w:t>
      </w:r>
      <w:proofErr w:type="spellEnd"/>
      <w:r w:rsidR="005034AC" w:rsidRPr="001F0A99">
        <w:rPr>
          <w:rFonts w:eastAsia="MS Mincho"/>
          <w:lang w:val="en-US"/>
        </w:rPr>
        <w:t xml:space="preserve"> et al, 2012). Each class of agent is associated with specific toxicities, which can limit or preclude treatment in some</w:t>
      </w:r>
      <w:r w:rsidR="005034AC" w:rsidRPr="00A40DE7">
        <w:rPr>
          <w:rFonts w:eastAsia="MS Mincho"/>
          <w:lang w:val="en-US"/>
        </w:rPr>
        <w:t xml:space="preserve"> cases; the checkpoint inhibitors (</w:t>
      </w:r>
      <w:r>
        <w:rPr>
          <w:rFonts w:eastAsia="MS Mincho"/>
          <w:lang w:val="en-US"/>
        </w:rPr>
        <w:t>for example</w:t>
      </w:r>
      <w:r w:rsidR="005034AC" w:rsidRPr="00A40DE7">
        <w:rPr>
          <w:rFonts w:eastAsia="MS Mincho"/>
          <w:lang w:val="en-US"/>
        </w:rPr>
        <w:t xml:space="preserve">, </w:t>
      </w:r>
      <w:proofErr w:type="spellStart"/>
      <w:r w:rsidR="005034AC" w:rsidRPr="00A40DE7">
        <w:rPr>
          <w:rFonts w:eastAsia="MS Mincho"/>
          <w:lang w:val="en-US"/>
        </w:rPr>
        <w:t>ipilimumab</w:t>
      </w:r>
      <w:proofErr w:type="spellEnd"/>
      <w:r w:rsidR="005034AC" w:rsidRPr="00A40DE7">
        <w:rPr>
          <w:rFonts w:eastAsia="MS Mincho"/>
          <w:lang w:val="en-US"/>
        </w:rPr>
        <w:t xml:space="preserve"> and the anti-PD-1 agents) are associated with serious and sometimes fatal immune</w:t>
      </w:r>
      <w:r>
        <w:rPr>
          <w:rFonts w:eastAsia="MS Mincho"/>
          <w:lang w:val="en-US"/>
        </w:rPr>
        <w:t xml:space="preserve"> </w:t>
      </w:r>
      <w:r w:rsidR="005034AC" w:rsidRPr="00A40DE7">
        <w:rPr>
          <w:rFonts w:eastAsia="MS Mincho"/>
          <w:lang w:val="en-US"/>
        </w:rPr>
        <w:t xml:space="preserve">related adverse events and the targeted agents can be associated with severe skin toxicity, secondary skin cancers, and serious febrile reactions. When assessing the benefit-risk of these new agents, it is important to note that approximately 80% or more of patients in the </w:t>
      </w:r>
      <w:proofErr w:type="spellStart"/>
      <w:r w:rsidR="005034AC" w:rsidRPr="00A40DE7">
        <w:rPr>
          <w:rFonts w:eastAsia="MS Mincho"/>
          <w:lang w:val="en-US"/>
        </w:rPr>
        <w:t>registrational</w:t>
      </w:r>
      <w:proofErr w:type="spellEnd"/>
      <w:r w:rsidR="005034AC" w:rsidRPr="00A40DE7">
        <w:rPr>
          <w:rFonts w:eastAsia="MS Mincho"/>
          <w:lang w:val="en-US"/>
        </w:rPr>
        <w:t xml:space="preserve"> studies had </w:t>
      </w:r>
      <w:r>
        <w:rPr>
          <w:rFonts w:eastAsia="MS Mincho"/>
          <w:lang w:val="en-US"/>
        </w:rPr>
        <w:t>S</w:t>
      </w:r>
      <w:r w:rsidR="005034AC" w:rsidRPr="00A40DE7">
        <w:rPr>
          <w:rFonts w:eastAsia="MS Mincho"/>
          <w:lang w:val="en-US"/>
        </w:rPr>
        <w:t xml:space="preserve">tage IVM1b or IVM1c disease. The benefit-risk profile is less well established in the small subsets of patients with </w:t>
      </w:r>
      <w:r>
        <w:rPr>
          <w:rFonts w:eastAsia="MS Mincho"/>
          <w:lang w:val="en-US"/>
        </w:rPr>
        <w:t>S</w:t>
      </w:r>
      <w:r w:rsidR="005034AC" w:rsidRPr="00A40DE7">
        <w:rPr>
          <w:rFonts w:eastAsia="MS Mincho"/>
          <w:lang w:val="en-US"/>
        </w:rPr>
        <w:t>tage III or IVM1a disease. Finally, the most appropriate combination and sequencing of these new drugs are still not known.</w:t>
      </w:r>
    </w:p>
    <w:p w14:paraId="65F7576F" w14:textId="77777777" w:rsidR="005034AC" w:rsidRPr="00A40DE7" w:rsidRDefault="00BA29E3" w:rsidP="005034AC">
      <w:pPr>
        <w:rPr>
          <w:rFonts w:eastAsia="MS Mincho"/>
          <w:lang w:val="en-US"/>
        </w:rPr>
      </w:pPr>
      <w:r>
        <w:rPr>
          <w:rFonts w:eastAsia="MS Mincho"/>
          <w:lang w:val="en-US"/>
        </w:rPr>
        <w:t>The sponsor</w:t>
      </w:r>
      <w:r w:rsidR="005034AC" w:rsidRPr="00A40DE7">
        <w:rPr>
          <w:rFonts w:eastAsia="MS Mincho"/>
          <w:lang w:val="en-US"/>
        </w:rPr>
        <w:t xml:space="preserve"> convened an Advisory Board in May 2015 comprising 11 medical, surgical and radiation oncologists from key melanoma </w:t>
      </w:r>
      <w:proofErr w:type="spellStart"/>
      <w:r w:rsidR="005034AC" w:rsidRPr="00A40DE7">
        <w:rPr>
          <w:rFonts w:eastAsia="MS Mincho"/>
          <w:lang w:val="en-US"/>
        </w:rPr>
        <w:t>centres</w:t>
      </w:r>
      <w:proofErr w:type="spellEnd"/>
      <w:r w:rsidR="005034AC" w:rsidRPr="00A40DE7">
        <w:rPr>
          <w:rFonts w:eastAsia="MS Mincho"/>
          <w:lang w:val="en-US"/>
        </w:rPr>
        <w:t xml:space="preserve">, to better understand how melanoma is currently managed, how it will evolve in light of the emerging agents and to understand the role of </w:t>
      </w:r>
      <w:proofErr w:type="spellStart"/>
      <w:r w:rsidR="005034AC" w:rsidRPr="00A40DE7">
        <w:rPr>
          <w:rFonts w:eastAsia="MS Mincho"/>
          <w:lang w:val="en-US"/>
        </w:rPr>
        <w:t>talimogene</w:t>
      </w:r>
      <w:proofErr w:type="spellEnd"/>
      <w:r w:rsidR="005034AC" w:rsidRPr="00A40DE7">
        <w:rPr>
          <w:rFonts w:eastAsia="MS Mincho"/>
          <w:lang w:val="en-US"/>
        </w:rPr>
        <w:t xml:space="preserve"> </w:t>
      </w:r>
      <w:proofErr w:type="spellStart"/>
      <w:r w:rsidR="005034AC" w:rsidRPr="00A40DE7">
        <w:rPr>
          <w:rFonts w:eastAsia="MS Mincho"/>
          <w:lang w:val="en-US"/>
        </w:rPr>
        <w:t>laherparepvec</w:t>
      </w:r>
      <w:proofErr w:type="spellEnd"/>
      <w:r w:rsidR="005034AC" w:rsidRPr="00A40DE7">
        <w:rPr>
          <w:rFonts w:eastAsia="MS Mincho"/>
          <w:lang w:val="en-US"/>
        </w:rPr>
        <w:t xml:space="preserve"> in this environment. A clear role for </w:t>
      </w:r>
      <w:proofErr w:type="spellStart"/>
      <w:r w:rsidR="005034AC" w:rsidRPr="00A40DE7">
        <w:rPr>
          <w:rFonts w:eastAsia="MS Mincho"/>
          <w:lang w:val="en-US"/>
        </w:rPr>
        <w:t>talimogene</w:t>
      </w:r>
      <w:proofErr w:type="spellEnd"/>
      <w:r w:rsidR="005034AC" w:rsidRPr="00A40DE7">
        <w:rPr>
          <w:rFonts w:eastAsia="MS Mincho"/>
          <w:lang w:val="en-US"/>
        </w:rPr>
        <w:t xml:space="preserve"> </w:t>
      </w:r>
      <w:proofErr w:type="spellStart"/>
      <w:r w:rsidR="005034AC" w:rsidRPr="00A40DE7">
        <w:rPr>
          <w:rFonts w:eastAsia="MS Mincho"/>
          <w:lang w:val="en-US"/>
        </w:rPr>
        <w:t>laherparepvec</w:t>
      </w:r>
      <w:proofErr w:type="spellEnd"/>
      <w:r w:rsidR="005034AC" w:rsidRPr="00A40DE7">
        <w:rPr>
          <w:rFonts w:eastAsia="MS Mincho"/>
          <w:lang w:val="en-US"/>
        </w:rPr>
        <w:t xml:space="preserve"> was seen: a relatively high percentage of </w:t>
      </w:r>
      <w:proofErr w:type="spellStart"/>
      <w:r w:rsidR="005034AC" w:rsidRPr="00A40DE7">
        <w:rPr>
          <w:rFonts w:eastAsia="MS Mincho"/>
          <w:lang w:val="en-US"/>
        </w:rPr>
        <w:t>talimogene</w:t>
      </w:r>
      <w:proofErr w:type="spellEnd"/>
      <w:r w:rsidR="005034AC" w:rsidRPr="00A40DE7">
        <w:rPr>
          <w:rFonts w:eastAsia="MS Mincho"/>
          <w:lang w:val="en-US"/>
        </w:rPr>
        <w:t xml:space="preserve"> </w:t>
      </w:r>
      <w:proofErr w:type="spellStart"/>
      <w:r w:rsidR="005034AC" w:rsidRPr="00A40DE7">
        <w:rPr>
          <w:rFonts w:eastAsia="MS Mincho"/>
          <w:lang w:val="en-US"/>
        </w:rPr>
        <w:t>laherparepvec</w:t>
      </w:r>
      <w:proofErr w:type="spellEnd"/>
      <w:r w:rsidR="005034AC" w:rsidRPr="00A40DE7">
        <w:rPr>
          <w:rFonts w:eastAsia="MS Mincho"/>
          <w:lang w:val="en-US"/>
        </w:rPr>
        <w:t xml:space="preserve"> use was suggested for patients with indolent or slowly progressing or low volume disease, for older patients, for patients with poor venous access, or for patients who are intolerant of checkpoint inhibitors or anti-PD-1 agents. Patient preferences were also mentioned as a key determinant for therapy choice. </w:t>
      </w:r>
      <w:proofErr w:type="spellStart"/>
      <w:r w:rsidR="005034AC" w:rsidRPr="00A40DE7">
        <w:rPr>
          <w:rFonts w:eastAsia="MS Mincho"/>
          <w:lang w:val="en-US"/>
        </w:rPr>
        <w:t>Talimogene</w:t>
      </w:r>
      <w:proofErr w:type="spellEnd"/>
      <w:r w:rsidR="005034AC" w:rsidRPr="00A40DE7">
        <w:rPr>
          <w:rFonts w:eastAsia="MS Mincho"/>
          <w:lang w:val="en-US"/>
        </w:rPr>
        <w:t xml:space="preserve"> </w:t>
      </w:r>
      <w:proofErr w:type="spellStart"/>
      <w:r w:rsidR="005034AC" w:rsidRPr="00A40DE7">
        <w:rPr>
          <w:rFonts w:eastAsia="MS Mincho"/>
          <w:lang w:val="en-US"/>
        </w:rPr>
        <w:t>laherparepvec</w:t>
      </w:r>
      <w:proofErr w:type="spellEnd"/>
      <w:r w:rsidR="005034AC" w:rsidRPr="00A40DE7">
        <w:rPr>
          <w:rFonts w:eastAsia="MS Mincho"/>
          <w:lang w:val="en-US"/>
        </w:rPr>
        <w:t xml:space="preserve"> is a local therapy with systemic effects and this may be the preferred option for some patients. </w:t>
      </w:r>
      <w:proofErr w:type="spellStart"/>
      <w:r w:rsidR="005034AC" w:rsidRPr="00A40DE7">
        <w:rPr>
          <w:rFonts w:eastAsia="MS Mincho"/>
          <w:lang w:val="en-US"/>
        </w:rPr>
        <w:t>Talimogene</w:t>
      </w:r>
      <w:proofErr w:type="spellEnd"/>
      <w:r w:rsidR="005034AC" w:rsidRPr="00A40DE7">
        <w:rPr>
          <w:rFonts w:eastAsia="MS Mincho"/>
          <w:lang w:val="en-US"/>
        </w:rPr>
        <w:t xml:space="preserve"> </w:t>
      </w:r>
      <w:proofErr w:type="spellStart"/>
      <w:r w:rsidR="005034AC" w:rsidRPr="00A40DE7">
        <w:rPr>
          <w:rFonts w:eastAsia="MS Mincho"/>
          <w:lang w:val="en-US"/>
        </w:rPr>
        <w:t>laherparepvec</w:t>
      </w:r>
      <w:proofErr w:type="spellEnd"/>
      <w:r w:rsidR="005034AC" w:rsidRPr="00A40DE7">
        <w:rPr>
          <w:rFonts w:eastAsia="MS Mincho"/>
          <w:lang w:val="en-US"/>
        </w:rPr>
        <w:t xml:space="preserve"> may be also considered in patients with small lung metastases and subcutaneous disease. </w:t>
      </w:r>
      <w:proofErr w:type="spellStart"/>
      <w:r w:rsidR="005034AC" w:rsidRPr="00A40DE7">
        <w:rPr>
          <w:rFonts w:eastAsia="MS Mincho"/>
          <w:lang w:val="en-US"/>
        </w:rPr>
        <w:t>Talimogene</w:t>
      </w:r>
      <w:proofErr w:type="spellEnd"/>
      <w:r w:rsidR="005034AC" w:rsidRPr="00A40DE7">
        <w:rPr>
          <w:rFonts w:eastAsia="MS Mincho"/>
          <w:lang w:val="en-US"/>
        </w:rPr>
        <w:t xml:space="preserve"> </w:t>
      </w:r>
      <w:proofErr w:type="spellStart"/>
      <w:r w:rsidR="005034AC" w:rsidRPr="00A40DE7">
        <w:rPr>
          <w:rFonts w:eastAsia="MS Mincho"/>
          <w:lang w:val="en-US"/>
        </w:rPr>
        <w:t>laherparepvec</w:t>
      </w:r>
      <w:proofErr w:type="spellEnd"/>
      <w:r w:rsidR="005034AC" w:rsidRPr="00A40DE7">
        <w:rPr>
          <w:rFonts w:eastAsia="MS Mincho"/>
          <w:lang w:val="en-US"/>
        </w:rPr>
        <w:t xml:space="preserve"> is also an important treatment option difficult to treat loco regional disease (</w:t>
      </w:r>
      <w:r>
        <w:rPr>
          <w:rFonts w:eastAsia="MS Mincho"/>
          <w:lang w:val="en-US"/>
        </w:rPr>
        <w:t>for example,</w:t>
      </w:r>
      <w:r w:rsidR="005034AC" w:rsidRPr="00A40DE7">
        <w:rPr>
          <w:rFonts w:eastAsia="MS Mincho"/>
          <w:lang w:val="en-US"/>
        </w:rPr>
        <w:t xml:space="preserve"> scalp melanoma or multiply recurrent in transit disease following multiple attempts at surgical resection) but where systemic therapy may be desired to be reserved for use only if the </w:t>
      </w:r>
      <w:r w:rsidR="001A4B22" w:rsidRPr="00A40DE7">
        <w:rPr>
          <w:rFonts w:eastAsia="MS Mincho"/>
          <w:lang w:val="en-US"/>
        </w:rPr>
        <w:t>patient’s</w:t>
      </w:r>
      <w:r w:rsidR="005034AC" w:rsidRPr="00A40DE7">
        <w:rPr>
          <w:rFonts w:eastAsia="MS Mincho"/>
          <w:lang w:val="en-US"/>
        </w:rPr>
        <w:t xml:space="preserve"> local regional disease becomes more advanced in the future.</w:t>
      </w:r>
    </w:p>
    <w:p w14:paraId="5CE239A1" w14:textId="77777777" w:rsidR="005034AC" w:rsidRPr="00A40DE7" w:rsidRDefault="005034AC" w:rsidP="005034AC">
      <w:pPr>
        <w:pStyle w:val="Heading4"/>
        <w:rPr>
          <w:lang w:val="en-US"/>
        </w:rPr>
      </w:pPr>
      <w:r w:rsidRPr="00A40DE7">
        <w:rPr>
          <w:lang w:val="en-US"/>
        </w:rPr>
        <w:t>Evaluator’s comment</w:t>
      </w:r>
    </w:p>
    <w:p w14:paraId="6DC9BC70" w14:textId="77777777" w:rsidR="005034AC" w:rsidRPr="00A40DE7" w:rsidRDefault="005034AC" w:rsidP="005034AC">
      <w:pPr>
        <w:autoSpaceDE w:val="0"/>
        <w:autoSpaceDN w:val="0"/>
        <w:adjustRightInd w:val="0"/>
        <w:jc w:val="both"/>
        <w:rPr>
          <w:color w:val="000000"/>
          <w:lang w:val="en-US"/>
        </w:rPr>
      </w:pPr>
      <w:r w:rsidRPr="00A40DE7">
        <w:rPr>
          <w:color w:val="000000"/>
          <w:lang w:val="en-US"/>
        </w:rPr>
        <w:t>The response is considered acceptable.</w:t>
      </w:r>
    </w:p>
    <w:p w14:paraId="6F4F048E" w14:textId="77777777" w:rsidR="00A83FFD" w:rsidRDefault="005034AC" w:rsidP="005034AC">
      <w:pPr>
        <w:pStyle w:val="Heading3"/>
        <w:rPr>
          <w:rFonts w:eastAsia="MS Mincho"/>
          <w:lang w:val="en-US"/>
        </w:rPr>
      </w:pPr>
      <w:bookmarkStart w:id="310" w:name="_Toc452631113"/>
      <w:r w:rsidRPr="00A40DE7">
        <w:rPr>
          <w:rFonts w:eastAsia="MS Mincho"/>
          <w:lang w:val="en-US"/>
        </w:rPr>
        <w:t>Question 4</w:t>
      </w:r>
      <w:bookmarkEnd w:id="310"/>
      <w:r>
        <w:rPr>
          <w:rFonts w:eastAsia="MS Mincho"/>
          <w:lang w:val="en-US"/>
        </w:rPr>
        <w:t xml:space="preserve"> </w:t>
      </w:r>
    </w:p>
    <w:p w14:paraId="456E9CC5" w14:textId="77777777" w:rsidR="005034AC" w:rsidRPr="00A40DE7" w:rsidRDefault="005034AC" w:rsidP="00A83FFD">
      <w:pPr>
        <w:pStyle w:val="Heading4"/>
        <w:rPr>
          <w:lang w:val="en-US"/>
        </w:rPr>
      </w:pPr>
      <w:r w:rsidRPr="00A40DE7">
        <w:rPr>
          <w:lang w:val="en-US"/>
        </w:rPr>
        <w:t xml:space="preserve">Sponsor’s </w:t>
      </w:r>
      <w:r>
        <w:rPr>
          <w:lang w:val="en-US"/>
        </w:rPr>
        <w:t>r</w:t>
      </w:r>
      <w:r w:rsidRPr="00A40DE7">
        <w:rPr>
          <w:lang w:val="en-US"/>
        </w:rPr>
        <w:t>esponse:</w:t>
      </w:r>
    </w:p>
    <w:p w14:paraId="3F80FBAC" w14:textId="20F7EFBC" w:rsidR="005034AC" w:rsidRPr="00A40DE7" w:rsidRDefault="005034AC" w:rsidP="005034AC">
      <w:pPr>
        <w:rPr>
          <w:rFonts w:eastAsia="MS Mincho"/>
          <w:lang w:val="en-US"/>
        </w:rPr>
      </w:pPr>
      <w:r w:rsidRPr="00A40DE7">
        <w:rPr>
          <w:rFonts w:eastAsia="MS Mincho"/>
          <w:lang w:val="en-US"/>
        </w:rPr>
        <w:t xml:space="preserve">There are six ongoing clinical studies with </w:t>
      </w:r>
      <w:proofErr w:type="spellStart"/>
      <w:r w:rsidRPr="00A40DE7">
        <w:rPr>
          <w:rFonts w:eastAsia="MS Mincho"/>
          <w:lang w:val="en-US"/>
        </w:rPr>
        <w:t>talimogene</w:t>
      </w:r>
      <w:proofErr w:type="spellEnd"/>
      <w:r w:rsidRPr="00A40DE7">
        <w:rPr>
          <w:rFonts w:eastAsia="MS Mincho"/>
          <w:lang w:val="en-US"/>
        </w:rPr>
        <w:t xml:space="preserve"> </w:t>
      </w:r>
      <w:proofErr w:type="spellStart"/>
      <w:r w:rsidRPr="00A40DE7">
        <w:rPr>
          <w:rFonts w:eastAsia="MS Mincho"/>
          <w:lang w:val="en-US"/>
        </w:rPr>
        <w:t>laherparepvec</w:t>
      </w:r>
      <w:proofErr w:type="spellEnd"/>
      <w:r w:rsidRPr="00A40DE7">
        <w:rPr>
          <w:rFonts w:eastAsia="MS Mincho"/>
          <w:lang w:val="en-US"/>
        </w:rPr>
        <w:t xml:space="preserve"> in subjects with melanoma (4 studies are listed here. For information regarding studies evaluating the combination of </w:t>
      </w:r>
      <w:proofErr w:type="spellStart"/>
      <w:r w:rsidRPr="00A40DE7">
        <w:rPr>
          <w:rFonts w:eastAsia="MS Mincho"/>
          <w:lang w:val="en-US"/>
        </w:rPr>
        <w:t>talimogene</w:t>
      </w:r>
      <w:proofErr w:type="spellEnd"/>
      <w:r w:rsidRPr="00A40DE7">
        <w:rPr>
          <w:rFonts w:eastAsia="MS Mincho"/>
          <w:lang w:val="en-US"/>
        </w:rPr>
        <w:t xml:space="preserve"> </w:t>
      </w:r>
      <w:proofErr w:type="spellStart"/>
      <w:r w:rsidRPr="00A40DE7">
        <w:rPr>
          <w:rFonts w:eastAsia="MS Mincho"/>
          <w:lang w:val="en-US"/>
        </w:rPr>
        <w:t>laherparepvec</w:t>
      </w:r>
      <w:proofErr w:type="spellEnd"/>
      <w:r w:rsidRPr="00A40DE7">
        <w:rPr>
          <w:rFonts w:eastAsia="MS Mincho"/>
          <w:lang w:val="en-US"/>
        </w:rPr>
        <w:t xml:space="preserve"> with </w:t>
      </w:r>
      <w:proofErr w:type="spellStart"/>
      <w:r w:rsidRPr="00A40DE7">
        <w:rPr>
          <w:rFonts w:eastAsia="MS Mincho"/>
          <w:lang w:val="en-US"/>
        </w:rPr>
        <w:t>ipilimumab</w:t>
      </w:r>
      <w:proofErr w:type="spellEnd"/>
      <w:r w:rsidRPr="00A40DE7">
        <w:rPr>
          <w:rFonts w:eastAsia="MS Mincho"/>
          <w:lang w:val="en-US"/>
        </w:rPr>
        <w:t xml:space="preserve"> and </w:t>
      </w:r>
      <w:proofErr w:type="spellStart"/>
      <w:r w:rsidRPr="00A40DE7">
        <w:rPr>
          <w:rFonts w:eastAsia="MS Mincho"/>
          <w:lang w:val="en-US"/>
        </w:rPr>
        <w:t>pembrolizuma</w:t>
      </w:r>
      <w:r>
        <w:rPr>
          <w:rFonts w:eastAsia="MS Mincho"/>
          <w:lang w:val="en-US"/>
        </w:rPr>
        <w:t>b</w:t>
      </w:r>
      <w:proofErr w:type="spellEnd"/>
      <w:r w:rsidR="00253DE9">
        <w:rPr>
          <w:rFonts w:eastAsia="MS Mincho"/>
          <w:lang w:val="en-US"/>
        </w:rPr>
        <w:t>;</w:t>
      </w:r>
      <w:r w:rsidR="00253DE9" w:rsidRPr="00A40DE7">
        <w:rPr>
          <w:rFonts w:eastAsia="MS Mincho"/>
          <w:lang w:val="en-US"/>
        </w:rPr>
        <w:t xml:space="preserve"> </w:t>
      </w:r>
      <w:r w:rsidR="00253DE9">
        <w:rPr>
          <w:rFonts w:eastAsia="MS Mincho"/>
          <w:lang w:val="en-US"/>
        </w:rPr>
        <w:t>s</w:t>
      </w:r>
      <w:r w:rsidR="00253DE9" w:rsidRPr="00A40DE7">
        <w:rPr>
          <w:rFonts w:eastAsia="MS Mincho"/>
          <w:lang w:val="en-US"/>
        </w:rPr>
        <w:t xml:space="preserve">ee </w:t>
      </w:r>
      <w:r w:rsidR="00BA29E3">
        <w:rPr>
          <w:rFonts w:eastAsia="MS Mincho"/>
          <w:lang w:val="en-US"/>
        </w:rPr>
        <w:t>Q</w:t>
      </w:r>
      <w:r w:rsidRPr="00A40DE7">
        <w:rPr>
          <w:rFonts w:eastAsia="MS Mincho"/>
          <w:lang w:val="en-US"/>
        </w:rPr>
        <w:t>uestion 5)</w:t>
      </w:r>
    </w:p>
    <w:p w14:paraId="5243C19C" w14:textId="77777777" w:rsidR="005034AC" w:rsidRPr="00A40DE7" w:rsidRDefault="005034AC" w:rsidP="005034AC">
      <w:pPr>
        <w:rPr>
          <w:rFonts w:eastAsia="MS Mincho"/>
          <w:lang w:val="en-US"/>
        </w:rPr>
      </w:pPr>
      <w:r w:rsidRPr="00A83FFD">
        <w:rPr>
          <w:rStyle w:val="Heading5Char"/>
          <w:rFonts w:eastAsia="MS Mincho"/>
        </w:rPr>
        <w:t>Study 20120324</w:t>
      </w:r>
      <w:r w:rsidR="00BA29E3">
        <w:rPr>
          <w:rFonts w:eastAsia="MS Mincho"/>
          <w:lang w:val="en-US"/>
        </w:rPr>
        <w:t xml:space="preserve"> is a P</w:t>
      </w:r>
      <w:r w:rsidRPr="00A40DE7">
        <w:rPr>
          <w:rFonts w:eastAsia="MS Mincho"/>
          <w:lang w:val="en-US"/>
        </w:rPr>
        <w:t xml:space="preserve">hase </w:t>
      </w:r>
      <w:r w:rsidR="00BA29E3">
        <w:rPr>
          <w:rFonts w:eastAsia="MS Mincho"/>
          <w:lang w:val="en-US"/>
        </w:rPr>
        <w:t>II</w:t>
      </w:r>
      <w:r w:rsidRPr="00A40DE7">
        <w:rPr>
          <w:rFonts w:eastAsia="MS Mincho"/>
          <w:lang w:val="en-US"/>
        </w:rPr>
        <w:t xml:space="preserve">, multicenter open-label, single-arm trial to evaluate the </w:t>
      </w:r>
      <w:proofErr w:type="spellStart"/>
      <w:r w:rsidRPr="00A40DE7">
        <w:rPr>
          <w:rFonts w:eastAsia="MS Mincho"/>
          <w:lang w:val="en-US"/>
        </w:rPr>
        <w:t>biodistribution</w:t>
      </w:r>
      <w:proofErr w:type="spellEnd"/>
      <w:r w:rsidRPr="00A40DE7">
        <w:rPr>
          <w:rFonts w:eastAsia="MS Mincho"/>
          <w:lang w:val="en-US"/>
        </w:rPr>
        <w:t xml:space="preserve"> and shedding of </w:t>
      </w:r>
      <w:proofErr w:type="spellStart"/>
      <w:r w:rsidRPr="00A40DE7">
        <w:rPr>
          <w:rFonts w:eastAsia="MS Mincho"/>
          <w:lang w:val="en-US"/>
        </w:rPr>
        <w:t>talimogene</w:t>
      </w:r>
      <w:proofErr w:type="spellEnd"/>
      <w:r w:rsidRPr="00A40DE7">
        <w:rPr>
          <w:rFonts w:eastAsia="MS Mincho"/>
          <w:lang w:val="en-US"/>
        </w:rPr>
        <w:t xml:space="preserve"> </w:t>
      </w:r>
      <w:proofErr w:type="spellStart"/>
      <w:r w:rsidRPr="00A40DE7">
        <w:rPr>
          <w:rFonts w:eastAsia="MS Mincho"/>
          <w:lang w:val="en-US"/>
        </w:rPr>
        <w:t>laherparepvec</w:t>
      </w:r>
      <w:proofErr w:type="spellEnd"/>
      <w:r w:rsidRPr="00A40DE7">
        <w:rPr>
          <w:rFonts w:eastAsia="MS Mincho"/>
          <w:lang w:val="en-US"/>
        </w:rPr>
        <w:t xml:space="preserve"> in subjects with </w:t>
      </w:r>
      <w:proofErr w:type="spellStart"/>
      <w:r w:rsidRPr="00A40DE7">
        <w:rPr>
          <w:rFonts w:eastAsia="MS Mincho"/>
          <w:lang w:val="en-US"/>
        </w:rPr>
        <w:t>unresected</w:t>
      </w:r>
      <w:proofErr w:type="spellEnd"/>
      <w:r w:rsidRPr="00A40DE7">
        <w:rPr>
          <w:rFonts w:eastAsia="MS Mincho"/>
          <w:lang w:val="en-US"/>
        </w:rPr>
        <w:t xml:space="preserve">, </w:t>
      </w:r>
      <w:r w:rsidR="00BA29E3">
        <w:rPr>
          <w:rFonts w:eastAsia="MS Mincho"/>
          <w:lang w:val="en-US"/>
        </w:rPr>
        <w:t>S</w:t>
      </w:r>
      <w:r w:rsidRPr="00A40DE7">
        <w:rPr>
          <w:rFonts w:eastAsia="MS Mincho"/>
          <w:lang w:val="en-US"/>
        </w:rPr>
        <w:t xml:space="preserve">tage IIIB to IVM1c melanoma. </w:t>
      </w:r>
    </w:p>
    <w:p w14:paraId="0C676C7F" w14:textId="77777777" w:rsidR="005034AC" w:rsidRPr="00A40DE7" w:rsidRDefault="005034AC" w:rsidP="005034AC">
      <w:pPr>
        <w:rPr>
          <w:rFonts w:eastAsia="MS Mincho"/>
          <w:lang w:val="en-US"/>
        </w:rPr>
      </w:pPr>
      <w:r w:rsidRPr="00A40DE7">
        <w:rPr>
          <w:rFonts w:eastAsia="MS Mincho"/>
          <w:lang w:val="en-US"/>
        </w:rPr>
        <w:lastRenderedPageBreak/>
        <w:t xml:space="preserve">Primary endpoint of the study is the prevalence of detectable </w:t>
      </w:r>
      <w:proofErr w:type="spellStart"/>
      <w:r w:rsidRPr="00A40DE7">
        <w:rPr>
          <w:rFonts w:eastAsia="MS Mincho"/>
          <w:lang w:val="en-US"/>
        </w:rPr>
        <w:t>talimogene</w:t>
      </w:r>
      <w:proofErr w:type="spellEnd"/>
      <w:r w:rsidRPr="00A40DE7">
        <w:rPr>
          <w:rFonts w:eastAsia="MS Mincho"/>
          <w:lang w:val="en-US"/>
        </w:rPr>
        <w:t xml:space="preserve"> </w:t>
      </w:r>
      <w:proofErr w:type="spellStart"/>
      <w:r w:rsidRPr="00A40DE7">
        <w:rPr>
          <w:rFonts w:eastAsia="MS Mincho"/>
          <w:lang w:val="en-US"/>
        </w:rPr>
        <w:t>laherparepvec</w:t>
      </w:r>
      <w:proofErr w:type="spellEnd"/>
      <w:r w:rsidRPr="00A40DE7">
        <w:rPr>
          <w:rFonts w:eastAsia="MS Mincho"/>
          <w:lang w:val="en-US"/>
        </w:rPr>
        <w:t xml:space="preserve"> DNA in the blood and urine during administration of </w:t>
      </w:r>
      <w:proofErr w:type="spellStart"/>
      <w:r w:rsidRPr="00A40DE7">
        <w:rPr>
          <w:rFonts w:eastAsia="MS Mincho"/>
          <w:lang w:val="en-US"/>
        </w:rPr>
        <w:t>talimogene</w:t>
      </w:r>
      <w:proofErr w:type="spellEnd"/>
      <w:r w:rsidRPr="00A40DE7">
        <w:rPr>
          <w:rFonts w:eastAsia="MS Mincho"/>
          <w:lang w:val="en-US"/>
        </w:rPr>
        <w:t xml:space="preserve"> </w:t>
      </w:r>
      <w:proofErr w:type="spellStart"/>
      <w:r w:rsidRPr="00A40DE7">
        <w:rPr>
          <w:rFonts w:eastAsia="MS Mincho"/>
          <w:lang w:val="en-US"/>
        </w:rPr>
        <w:t>laherparepvec</w:t>
      </w:r>
      <w:proofErr w:type="spellEnd"/>
      <w:r w:rsidRPr="00A40DE7">
        <w:rPr>
          <w:rFonts w:eastAsia="MS Mincho"/>
          <w:lang w:val="en-US"/>
        </w:rPr>
        <w:t xml:space="preserve"> within the first 3 cycles. Secondary endpoints are clearance of </w:t>
      </w:r>
      <w:proofErr w:type="spellStart"/>
      <w:r w:rsidRPr="00A40DE7">
        <w:rPr>
          <w:rFonts w:eastAsia="MS Mincho"/>
          <w:lang w:val="en-US"/>
        </w:rPr>
        <w:t>talimogene</w:t>
      </w:r>
      <w:proofErr w:type="spellEnd"/>
      <w:r w:rsidRPr="00A40DE7">
        <w:rPr>
          <w:rFonts w:eastAsia="MS Mincho"/>
          <w:lang w:val="en-US"/>
        </w:rPr>
        <w:t xml:space="preserve"> </w:t>
      </w:r>
      <w:proofErr w:type="spellStart"/>
      <w:r w:rsidRPr="00A40DE7">
        <w:rPr>
          <w:rFonts w:eastAsia="MS Mincho"/>
          <w:lang w:val="en-US"/>
        </w:rPr>
        <w:t>laherparepvec</w:t>
      </w:r>
      <w:proofErr w:type="spellEnd"/>
      <w:r w:rsidRPr="00A40DE7">
        <w:rPr>
          <w:rFonts w:eastAsia="MS Mincho"/>
          <w:lang w:val="en-US"/>
        </w:rPr>
        <w:t xml:space="preserve"> DNA from blood and urine, rate of </w:t>
      </w:r>
      <w:proofErr w:type="spellStart"/>
      <w:r w:rsidRPr="00A40DE7">
        <w:rPr>
          <w:rFonts w:eastAsia="MS Mincho"/>
          <w:lang w:val="en-US"/>
        </w:rPr>
        <w:t>talimogene</w:t>
      </w:r>
      <w:proofErr w:type="spellEnd"/>
      <w:r w:rsidRPr="00A40DE7">
        <w:rPr>
          <w:rFonts w:eastAsia="MS Mincho"/>
          <w:lang w:val="en-US"/>
        </w:rPr>
        <w:t xml:space="preserve"> </w:t>
      </w:r>
      <w:proofErr w:type="spellStart"/>
      <w:r w:rsidRPr="00A40DE7">
        <w:rPr>
          <w:rFonts w:eastAsia="MS Mincho"/>
          <w:lang w:val="en-US"/>
        </w:rPr>
        <w:t>laherparepvec</w:t>
      </w:r>
      <w:proofErr w:type="spellEnd"/>
      <w:r w:rsidRPr="00A40DE7">
        <w:rPr>
          <w:rFonts w:eastAsia="MS Mincho"/>
          <w:lang w:val="en-US"/>
        </w:rPr>
        <w:t xml:space="preserve"> DNA detection and li</w:t>
      </w:r>
      <w:r>
        <w:rPr>
          <w:rFonts w:eastAsia="MS Mincho"/>
          <w:lang w:val="en-US"/>
        </w:rPr>
        <w:t>v</w:t>
      </w:r>
      <w:r w:rsidRPr="00A40DE7">
        <w:rPr>
          <w:rFonts w:eastAsia="MS Mincho"/>
          <w:lang w:val="en-US"/>
        </w:rPr>
        <w:t xml:space="preserve">e virus detection on the exterior of the occlusive dressing, surface of injected lesions, </w:t>
      </w:r>
      <w:proofErr w:type="spellStart"/>
      <w:r w:rsidRPr="00A40DE7">
        <w:rPr>
          <w:rFonts w:eastAsia="MS Mincho"/>
          <w:lang w:val="en-US"/>
        </w:rPr>
        <w:t>oro</w:t>
      </w:r>
      <w:proofErr w:type="spellEnd"/>
      <w:r w:rsidRPr="00A40DE7">
        <w:rPr>
          <w:rFonts w:eastAsia="MS Mincho"/>
          <w:lang w:val="en-US"/>
        </w:rPr>
        <w:t xml:space="preserve">-labial and </w:t>
      </w:r>
      <w:proofErr w:type="spellStart"/>
      <w:r w:rsidRPr="00A40DE7">
        <w:rPr>
          <w:rFonts w:eastAsia="MS Mincho"/>
          <w:lang w:val="en-US"/>
        </w:rPr>
        <w:t>anogenital</w:t>
      </w:r>
      <w:proofErr w:type="spellEnd"/>
      <w:r w:rsidRPr="00A40DE7">
        <w:rPr>
          <w:rFonts w:eastAsia="MS Mincho"/>
          <w:lang w:val="en-US"/>
        </w:rPr>
        <w:t xml:space="preserve"> regions during administration of </w:t>
      </w:r>
      <w:proofErr w:type="spellStart"/>
      <w:r w:rsidRPr="00A40DE7">
        <w:rPr>
          <w:rFonts w:eastAsia="MS Mincho"/>
          <w:lang w:val="en-US"/>
        </w:rPr>
        <w:t>talimogene</w:t>
      </w:r>
      <w:proofErr w:type="spellEnd"/>
      <w:r w:rsidRPr="00A40DE7">
        <w:rPr>
          <w:rFonts w:eastAsia="MS Mincho"/>
          <w:lang w:val="en-US"/>
        </w:rPr>
        <w:t xml:space="preserve"> </w:t>
      </w:r>
      <w:proofErr w:type="spellStart"/>
      <w:r w:rsidRPr="00A40DE7">
        <w:rPr>
          <w:rFonts w:eastAsia="MS Mincho"/>
          <w:lang w:val="en-US"/>
        </w:rPr>
        <w:t>laherparepvec</w:t>
      </w:r>
      <w:proofErr w:type="spellEnd"/>
      <w:r w:rsidRPr="00A40DE7">
        <w:rPr>
          <w:rFonts w:eastAsia="MS Mincho"/>
          <w:lang w:val="en-US"/>
        </w:rPr>
        <w:t xml:space="preserve"> and after the end of treatment, incidence of </w:t>
      </w:r>
      <w:proofErr w:type="spellStart"/>
      <w:r w:rsidRPr="00A40DE7">
        <w:rPr>
          <w:rFonts w:eastAsia="MS Mincho"/>
          <w:lang w:val="en-US"/>
        </w:rPr>
        <w:t>talimogene</w:t>
      </w:r>
      <w:proofErr w:type="spellEnd"/>
      <w:r w:rsidRPr="00A40DE7">
        <w:rPr>
          <w:rFonts w:eastAsia="MS Mincho"/>
          <w:lang w:val="en-US"/>
        </w:rPr>
        <w:t xml:space="preserve"> </w:t>
      </w:r>
      <w:proofErr w:type="spellStart"/>
      <w:r w:rsidRPr="00A40DE7">
        <w:rPr>
          <w:rFonts w:eastAsia="MS Mincho"/>
          <w:lang w:val="en-US"/>
        </w:rPr>
        <w:t>laherparepvec</w:t>
      </w:r>
      <w:proofErr w:type="spellEnd"/>
      <w:r w:rsidRPr="00A40DE7">
        <w:rPr>
          <w:rFonts w:eastAsia="MS Mincho"/>
          <w:lang w:val="en-US"/>
        </w:rPr>
        <w:t xml:space="preserve"> DNA detection in lesions suspected to be herpetic in origin, best overall response rate, objective response rate, duration of response, durable response rate and subject incidence of treatment-emergent and treatment-related adverse events.</w:t>
      </w:r>
    </w:p>
    <w:p w14:paraId="76B9EA0C" w14:textId="77777777" w:rsidR="005034AC" w:rsidRPr="00A40DE7" w:rsidRDefault="005034AC" w:rsidP="005034AC">
      <w:pPr>
        <w:rPr>
          <w:rFonts w:eastAsia="MS Mincho"/>
          <w:lang w:val="en-US"/>
        </w:rPr>
      </w:pPr>
      <w:r w:rsidRPr="00A40DE7">
        <w:rPr>
          <w:rFonts w:eastAsia="MS Mincho"/>
          <w:lang w:val="en-US"/>
        </w:rPr>
        <w:t xml:space="preserve">Interim analysis of this study was conducted with the data-cut off was 23 February 2015 and included 2,447 samples from 31 subjects. </w:t>
      </w:r>
      <w:proofErr w:type="spellStart"/>
      <w:r w:rsidRPr="00A40DE7">
        <w:rPr>
          <w:rFonts w:eastAsia="MS Mincho"/>
          <w:lang w:val="en-US"/>
        </w:rPr>
        <w:t>Talimogene</w:t>
      </w:r>
      <w:proofErr w:type="spellEnd"/>
      <w:r w:rsidRPr="00A40DE7">
        <w:rPr>
          <w:rFonts w:eastAsia="MS Mincho"/>
          <w:lang w:val="en-US"/>
        </w:rPr>
        <w:t xml:space="preserve"> </w:t>
      </w:r>
      <w:proofErr w:type="spellStart"/>
      <w:r w:rsidRPr="00A40DE7">
        <w:rPr>
          <w:rFonts w:eastAsia="MS Mincho"/>
          <w:lang w:val="en-US"/>
        </w:rPr>
        <w:t>laherparepvec</w:t>
      </w:r>
      <w:proofErr w:type="spellEnd"/>
      <w:r w:rsidRPr="00A40DE7">
        <w:rPr>
          <w:rFonts w:eastAsia="MS Mincho"/>
          <w:lang w:val="en-US"/>
        </w:rPr>
        <w:t xml:space="preserve"> DNA was detected with the lowest frequency in samples from the oral mucosa (1 sample in one subject) and from urine (2% in 20% of subjects). </w:t>
      </w:r>
      <w:proofErr w:type="spellStart"/>
      <w:r w:rsidRPr="00A40DE7">
        <w:rPr>
          <w:rFonts w:eastAsia="MS Mincho"/>
          <w:lang w:val="en-US"/>
        </w:rPr>
        <w:t>Talimogene</w:t>
      </w:r>
      <w:proofErr w:type="spellEnd"/>
      <w:r w:rsidRPr="00A40DE7">
        <w:rPr>
          <w:rFonts w:eastAsia="MS Mincho"/>
          <w:lang w:val="en-US"/>
        </w:rPr>
        <w:t xml:space="preserve"> </w:t>
      </w:r>
      <w:proofErr w:type="spellStart"/>
      <w:r w:rsidRPr="00A40DE7">
        <w:rPr>
          <w:rFonts w:eastAsia="MS Mincho"/>
          <w:lang w:val="en-US"/>
        </w:rPr>
        <w:t>laherparepvec</w:t>
      </w:r>
      <w:proofErr w:type="spellEnd"/>
      <w:r w:rsidRPr="00A40DE7">
        <w:rPr>
          <w:rFonts w:eastAsia="MS Mincho"/>
          <w:lang w:val="en-US"/>
        </w:rPr>
        <w:t xml:space="preserve"> DNA was detected in 55% swabs from injected lesions in 90% of subjects. Most of the positive samples were obtained during </w:t>
      </w:r>
      <w:r w:rsidR="00BA29E3">
        <w:rPr>
          <w:rFonts w:eastAsia="MS Mincho"/>
          <w:lang w:val="en-US"/>
        </w:rPr>
        <w:t>C</w:t>
      </w:r>
      <w:r w:rsidRPr="00A40DE7">
        <w:rPr>
          <w:rFonts w:eastAsia="MS Mincho"/>
          <w:lang w:val="en-US"/>
        </w:rPr>
        <w:t xml:space="preserve">ycle 2 when </w:t>
      </w:r>
      <w:proofErr w:type="spellStart"/>
      <w:r w:rsidRPr="00A40DE7">
        <w:rPr>
          <w:rFonts w:eastAsia="MS Mincho"/>
          <w:lang w:val="en-US"/>
        </w:rPr>
        <w:t>talimogene</w:t>
      </w:r>
      <w:proofErr w:type="spellEnd"/>
      <w:r w:rsidRPr="00A40DE7">
        <w:rPr>
          <w:rFonts w:eastAsia="MS Mincho"/>
          <w:lang w:val="en-US"/>
        </w:rPr>
        <w:t xml:space="preserve"> </w:t>
      </w:r>
      <w:proofErr w:type="spellStart"/>
      <w:r w:rsidRPr="00A40DE7">
        <w:rPr>
          <w:rFonts w:eastAsia="MS Mincho"/>
          <w:lang w:val="en-US"/>
        </w:rPr>
        <w:t>laherparepvec</w:t>
      </w:r>
      <w:proofErr w:type="spellEnd"/>
      <w:r w:rsidRPr="00A40DE7">
        <w:rPr>
          <w:rFonts w:eastAsia="MS Mincho"/>
          <w:lang w:val="en-US"/>
        </w:rPr>
        <w:t xml:space="preserve"> was administered in concentration of 108 PFU/mL for the first time.</w:t>
      </w:r>
    </w:p>
    <w:p w14:paraId="5554CB1D" w14:textId="77777777" w:rsidR="005034AC" w:rsidRPr="00A40DE7" w:rsidRDefault="005034AC" w:rsidP="005034AC">
      <w:pPr>
        <w:rPr>
          <w:rFonts w:eastAsia="MS Mincho"/>
          <w:lang w:val="en-US"/>
        </w:rPr>
      </w:pPr>
      <w:r w:rsidRPr="00A83FFD">
        <w:rPr>
          <w:rStyle w:val="Heading5Char"/>
          <w:rFonts w:eastAsia="MS Mincho"/>
        </w:rPr>
        <w:t>Study 20120325</w:t>
      </w:r>
      <w:r w:rsidRPr="00A40DE7">
        <w:rPr>
          <w:rFonts w:eastAsia="MS Mincho"/>
          <w:lang w:val="en-US"/>
        </w:rPr>
        <w:t xml:space="preserve"> is a </w:t>
      </w:r>
      <w:r w:rsidR="00BA29E3">
        <w:rPr>
          <w:rFonts w:eastAsia="MS Mincho"/>
          <w:lang w:val="en-US"/>
        </w:rPr>
        <w:t>P</w:t>
      </w:r>
      <w:r w:rsidRPr="00A40DE7">
        <w:rPr>
          <w:rFonts w:eastAsia="MS Mincho"/>
          <w:lang w:val="en-US"/>
        </w:rPr>
        <w:t xml:space="preserve">hase </w:t>
      </w:r>
      <w:r w:rsidR="00BA29E3">
        <w:rPr>
          <w:rFonts w:eastAsia="MS Mincho"/>
          <w:lang w:val="en-US"/>
        </w:rPr>
        <w:t>II</w:t>
      </w:r>
      <w:r w:rsidRPr="00A40DE7">
        <w:rPr>
          <w:rFonts w:eastAsia="MS Mincho"/>
          <w:lang w:val="en-US"/>
        </w:rPr>
        <w:t xml:space="preserve">, multicenter open-label, single-arm trial to evaluate the correlation between objective response rate and baseline </w:t>
      </w:r>
      <w:proofErr w:type="spellStart"/>
      <w:r w:rsidRPr="00A40DE7">
        <w:rPr>
          <w:rFonts w:eastAsia="MS Mincho"/>
          <w:lang w:val="en-US"/>
        </w:rPr>
        <w:t>intra</w:t>
      </w:r>
      <w:r w:rsidR="00BA29E3">
        <w:rPr>
          <w:rFonts w:eastAsia="MS Mincho"/>
          <w:lang w:val="en-US"/>
        </w:rPr>
        <w:t>tumour</w:t>
      </w:r>
      <w:r w:rsidRPr="00A40DE7">
        <w:rPr>
          <w:rFonts w:eastAsia="MS Mincho"/>
          <w:lang w:val="en-US"/>
        </w:rPr>
        <w:t>al</w:t>
      </w:r>
      <w:proofErr w:type="spellEnd"/>
      <w:r w:rsidRPr="00A40DE7">
        <w:rPr>
          <w:rFonts w:eastAsia="MS Mincho"/>
          <w:lang w:val="en-US"/>
        </w:rPr>
        <w:t xml:space="preserve"> CD8+ cell densi</w:t>
      </w:r>
      <w:r w:rsidR="00BA29E3">
        <w:rPr>
          <w:rFonts w:eastAsia="MS Mincho"/>
          <w:lang w:val="en-US"/>
        </w:rPr>
        <w:t xml:space="preserve">ty in subjects with </w:t>
      </w:r>
      <w:proofErr w:type="spellStart"/>
      <w:r w:rsidR="00BA29E3">
        <w:rPr>
          <w:rFonts w:eastAsia="MS Mincho"/>
          <w:lang w:val="en-US"/>
        </w:rPr>
        <w:t>unresected</w:t>
      </w:r>
      <w:proofErr w:type="spellEnd"/>
      <w:r w:rsidR="00BA29E3">
        <w:rPr>
          <w:rFonts w:eastAsia="MS Mincho"/>
          <w:lang w:val="en-US"/>
        </w:rPr>
        <w:t xml:space="preserve"> S</w:t>
      </w:r>
      <w:r w:rsidRPr="00A40DE7">
        <w:rPr>
          <w:rFonts w:eastAsia="MS Mincho"/>
          <w:lang w:val="en-US"/>
        </w:rPr>
        <w:t xml:space="preserve">tage IIIB to IVM1c melanoma treated with </w:t>
      </w:r>
      <w:proofErr w:type="spellStart"/>
      <w:r w:rsidRPr="00A40DE7">
        <w:rPr>
          <w:rFonts w:eastAsia="MS Mincho"/>
          <w:lang w:val="en-US"/>
        </w:rPr>
        <w:t>talimogene</w:t>
      </w:r>
      <w:proofErr w:type="spellEnd"/>
      <w:r w:rsidRPr="00A40DE7">
        <w:rPr>
          <w:rFonts w:eastAsia="MS Mincho"/>
          <w:lang w:val="en-US"/>
        </w:rPr>
        <w:t xml:space="preserve"> </w:t>
      </w:r>
      <w:proofErr w:type="spellStart"/>
      <w:r w:rsidRPr="00A40DE7">
        <w:rPr>
          <w:rFonts w:eastAsia="MS Mincho"/>
          <w:lang w:val="en-US"/>
        </w:rPr>
        <w:t>laherparepvec</w:t>
      </w:r>
      <w:proofErr w:type="spellEnd"/>
      <w:r w:rsidRPr="00A40DE7">
        <w:rPr>
          <w:rFonts w:eastAsia="MS Mincho"/>
          <w:lang w:val="en-US"/>
        </w:rPr>
        <w:t>.</w:t>
      </w:r>
    </w:p>
    <w:p w14:paraId="31010202" w14:textId="77777777" w:rsidR="005034AC" w:rsidRPr="00A40DE7" w:rsidRDefault="005034AC" w:rsidP="005034AC">
      <w:pPr>
        <w:rPr>
          <w:rFonts w:eastAsia="MS Mincho"/>
          <w:lang w:val="en-US"/>
        </w:rPr>
      </w:pPr>
      <w:r w:rsidRPr="00A40DE7">
        <w:rPr>
          <w:rFonts w:eastAsia="MS Mincho"/>
          <w:lang w:val="en-US"/>
        </w:rPr>
        <w:t xml:space="preserve">Primary endpoint of the study is a correlation between baseline </w:t>
      </w:r>
      <w:proofErr w:type="spellStart"/>
      <w:r w:rsidRPr="00A40DE7">
        <w:rPr>
          <w:rFonts w:eastAsia="MS Mincho"/>
          <w:lang w:val="en-US"/>
        </w:rPr>
        <w:t>intra</w:t>
      </w:r>
      <w:r w:rsidR="00BA29E3">
        <w:rPr>
          <w:rFonts w:eastAsia="MS Mincho"/>
          <w:lang w:val="en-US"/>
        </w:rPr>
        <w:t>tumour</w:t>
      </w:r>
      <w:r w:rsidRPr="00A40DE7">
        <w:rPr>
          <w:rFonts w:eastAsia="MS Mincho"/>
          <w:lang w:val="en-US"/>
        </w:rPr>
        <w:t>al</w:t>
      </w:r>
      <w:proofErr w:type="spellEnd"/>
      <w:r w:rsidRPr="00A40DE7">
        <w:rPr>
          <w:rFonts w:eastAsia="MS Mincho"/>
          <w:lang w:val="en-US"/>
        </w:rPr>
        <w:t xml:space="preserve"> CD8+ cell density and objective response rate. Secondary endpoints are correlation between baseline </w:t>
      </w:r>
      <w:proofErr w:type="spellStart"/>
      <w:r w:rsidRPr="00A40DE7">
        <w:rPr>
          <w:rFonts w:eastAsia="MS Mincho"/>
          <w:lang w:val="en-US"/>
        </w:rPr>
        <w:t>intra</w:t>
      </w:r>
      <w:r w:rsidR="00BA29E3">
        <w:rPr>
          <w:rFonts w:eastAsia="MS Mincho"/>
          <w:lang w:val="en-US"/>
        </w:rPr>
        <w:t>tumour</w:t>
      </w:r>
      <w:r w:rsidRPr="00A40DE7">
        <w:rPr>
          <w:rFonts w:eastAsia="MS Mincho"/>
          <w:lang w:val="en-US"/>
        </w:rPr>
        <w:t>al</w:t>
      </w:r>
      <w:proofErr w:type="spellEnd"/>
      <w:r w:rsidRPr="00A40DE7">
        <w:rPr>
          <w:rFonts w:eastAsia="MS Mincho"/>
          <w:lang w:val="en-US"/>
        </w:rPr>
        <w:t xml:space="preserve"> CD8+ cell density and DRR, DOR, and changes in </w:t>
      </w:r>
      <w:proofErr w:type="spellStart"/>
      <w:r w:rsidR="00BA29E3">
        <w:rPr>
          <w:rFonts w:eastAsia="MS Mincho"/>
          <w:lang w:val="en-US"/>
        </w:rPr>
        <w:t>tumour</w:t>
      </w:r>
      <w:proofErr w:type="spellEnd"/>
      <w:r w:rsidRPr="00A40DE7">
        <w:rPr>
          <w:rFonts w:eastAsia="MS Mincho"/>
          <w:lang w:val="en-US"/>
        </w:rPr>
        <w:t xml:space="preserve"> burden, correlation between changes in </w:t>
      </w:r>
      <w:proofErr w:type="spellStart"/>
      <w:r w:rsidRPr="00A40DE7">
        <w:rPr>
          <w:rFonts w:eastAsia="MS Mincho"/>
          <w:lang w:val="en-US"/>
        </w:rPr>
        <w:t>intra</w:t>
      </w:r>
      <w:r w:rsidR="00BA29E3">
        <w:rPr>
          <w:rFonts w:eastAsia="MS Mincho"/>
          <w:lang w:val="en-US"/>
        </w:rPr>
        <w:t>tumour</w:t>
      </w:r>
      <w:r w:rsidRPr="00A40DE7">
        <w:rPr>
          <w:rFonts w:eastAsia="MS Mincho"/>
          <w:lang w:val="en-US"/>
        </w:rPr>
        <w:t>al</w:t>
      </w:r>
      <w:proofErr w:type="spellEnd"/>
      <w:r w:rsidRPr="00A40DE7">
        <w:rPr>
          <w:rFonts w:eastAsia="MS Mincho"/>
          <w:lang w:val="en-US"/>
        </w:rPr>
        <w:t xml:space="preserve"> CD8+ cell density during treatment (in injected and un</w:t>
      </w:r>
      <w:r w:rsidR="00BA29E3">
        <w:rPr>
          <w:rFonts w:eastAsia="MS Mincho"/>
          <w:lang w:val="en-US"/>
        </w:rPr>
        <w:t>-</w:t>
      </w:r>
      <w:r w:rsidRPr="00A40DE7">
        <w:rPr>
          <w:rFonts w:eastAsia="MS Mincho"/>
          <w:lang w:val="en-US"/>
        </w:rPr>
        <w:t xml:space="preserve">injected lesions) and overall response rate, durable response rate, duration of response, and changes in </w:t>
      </w:r>
      <w:proofErr w:type="spellStart"/>
      <w:r w:rsidR="00BA29E3">
        <w:rPr>
          <w:rFonts w:eastAsia="MS Mincho"/>
          <w:lang w:val="en-US"/>
        </w:rPr>
        <w:t>tumour</w:t>
      </w:r>
      <w:proofErr w:type="spellEnd"/>
      <w:r w:rsidRPr="00A40DE7">
        <w:rPr>
          <w:rFonts w:eastAsia="MS Mincho"/>
          <w:lang w:val="en-US"/>
        </w:rPr>
        <w:t xml:space="preserve"> burden, efficacy endpoints (overall response rate, duration of response, time to treatment failure, durable response rate, overall survival, and change in </w:t>
      </w:r>
      <w:proofErr w:type="spellStart"/>
      <w:r w:rsidR="00BA29E3">
        <w:rPr>
          <w:rFonts w:eastAsia="MS Mincho"/>
          <w:lang w:val="en-US"/>
        </w:rPr>
        <w:t>tumour</w:t>
      </w:r>
      <w:proofErr w:type="spellEnd"/>
      <w:r w:rsidRPr="00A40DE7">
        <w:rPr>
          <w:rFonts w:eastAsia="MS Mincho"/>
          <w:lang w:val="en-US"/>
        </w:rPr>
        <w:t xml:space="preserve"> burden during treatment) and subject incidence of treatment-emergent and treatment-related adverse events. The trial is planned at approximately 35 sites in Europe and USA. Accrual to the study has begun in April</w:t>
      </w:r>
      <w:r w:rsidR="00A83FFD">
        <w:rPr>
          <w:rFonts w:eastAsia="MS Mincho"/>
          <w:lang w:val="en-US"/>
        </w:rPr>
        <w:t xml:space="preserve"> </w:t>
      </w:r>
      <w:r w:rsidRPr="00A40DE7">
        <w:rPr>
          <w:rFonts w:eastAsia="MS Mincho"/>
          <w:lang w:val="en-US"/>
        </w:rPr>
        <w:t>2015.</w:t>
      </w:r>
    </w:p>
    <w:p w14:paraId="0EB6E4D7" w14:textId="77777777" w:rsidR="005034AC" w:rsidRPr="00A40DE7" w:rsidRDefault="005034AC" w:rsidP="00A83FFD">
      <w:pPr>
        <w:rPr>
          <w:lang w:val="en-US"/>
        </w:rPr>
      </w:pPr>
      <w:r w:rsidRPr="00A83FFD">
        <w:rPr>
          <w:rStyle w:val="Heading5Char"/>
          <w:rFonts w:eastAsia="Cambria"/>
        </w:rPr>
        <w:t>Study 20110266</w:t>
      </w:r>
      <w:r w:rsidRPr="00A40DE7">
        <w:rPr>
          <w:lang w:val="en-US"/>
        </w:rPr>
        <w:t xml:space="preserve"> is a </w:t>
      </w:r>
      <w:r w:rsidR="00A83FFD">
        <w:rPr>
          <w:lang w:val="en-US"/>
        </w:rPr>
        <w:t>P</w:t>
      </w:r>
      <w:r w:rsidRPr="00A40DE7">
        <w:rPr>
          <w:lang w:val="en-US"/>
        </w:rPr>
        <w:t xml:space="preserve">hase </w:t>
      </w:r>
      <w:r w:rsidR="00A83FFD">
        <w:rPr>
          <w:lang w:val="en-US"/>
        </w:rPr>
        <w:t xml:space="preserve">II, multicenter </w:t>
      </w:r>
      <w:proofErr w:type="spellStart"/>
      <w:r w:rsidR="00A83FFD">
        <w:rPr>
          <w:lang w:val="en-US"/>
        </w:rPr>
        <w:t>randomis</w:t>
      </w:r>
      <w:r w:rsidRPr="00A40DE7">
        <w:rPr>
          <w:lang w:val="en-US"/>
        </w:rPr>
        <w:t>ed</w:t>
      </w:r>
      <w:proofErr w:type="spellEnd"/>
      <w:r w:rsidRPr="00A40DE7">
        <w:rPr>
          <w:lang w:val="en-US"/>
        </w:rPr>
        <w:t xml:space="preserve"> open-label trial assessing efficacy and safety of </w:t>
      </w:r>
      <w:proofErr w:type="spellStart"/>
      <w:r w:rsidRPr="00A40DE7">
        <w:rPr>
          <w:lang w:val="en-US"/>
        </w:rPr>
        <w:t>talimogene</w:t>
      </w:r>
      <w:proofErr w:type="spellEnd"/>
      <w:r w:rsidRPr="00A40DE7">
        <w:rPr>
          <w:lang w:val="en-US"/>
        </w:rPr>
        <w:t xml:space="preserve"> </w:t>
      </w:r>
      <w:proofErr w:type="spellStart"/>
      <w:r w:rsidRPr="00A40DE7">
        <w:rPr>
          <w:lang w:val="en-US"/>
        </w:rPr>
        <w:t>laherparepvec</w:t>
      </w:r>
      <w:proofErr w:type="spellEnd"/>
      <w:r w:rsidRPr="00A40DE7">
        <w:rPr>
          <w:lang w:val="en-US"/>
        </w:rPr>
        <w:t xml:space="preserve"> neoadjuvant treatment plus surgery v</w:t>
      </w:r>
      <w:r w:rsidR="00A83FFD">
        <w:rPr>
          <w:lang w:val="en-US"/>
        </w:rPr>
        <w:t>ersu</w:t>
      </w:r>
      <w:r w:rsidRPr="00A40DE7">
        <w:rPr>
          <w:lang w:val="en-US"/>
        </w:rPr>
        <w:t xml:space="preserve">s surgery for </w:t>
      </w:r>
      <w:proofErr w:type="spellStart"/>
      <w:r w:rsidRPr="00A40DE7">
        <w:rPr>
          <w:lang w:val="en-US"/>
        </w:rPr>
        <w:t>resectable</w:t>
      </w:r>
      <w:proofErr w:type="spellEnd"/>
      <w:r w:rsidRPr="00A40DE7">
        <w:rPr>
          <w:lang w:val="en-US"/>
        </w:rPr>
        <w:t xml:space="preserve"> stage IIIB to IVM1a melanoma.</w:t>
      </w:r>
    </w:p>
    <w:p w14:paraId="1975C4FB" w14:textId="77777777" w:rsidR="005034AC" w:rsidRPr="00A40DE7" w:rsidRDefault="005034AC" w:rsidP="00A83FFD">
      <w:pPr>
        <w:rPr>
          <w:lang w:val="en-US"/>
        </w:rPr>
      </w:pPr>
      <w:r w:rsidRPr="00A40DE7">
        <w:rPr>
          <w:lang w:val="en-US"/>
        </w:rPr>
        <w:t>Primary end-point of the study is recurrence-free survival (RFS). Secondary end-points are 3</w:t>
      </w:r>
      <w:r w:rsidR="00A83FFD">
        <w:rPr>
          <w:lang w:val="en-US"/>
        </w:rPr>
        <w:t xml:space="preserve"> </w:t>
      </w:r>
      <w:r w:rsidRPr="00A40DE7">
        <w:rPr>
          <w:lang w:val="en-US"/>
        </w:rPr>
        <w:t>years, 5</w:t>
      </w:r>
      <w:r w:rsidR="00A83FFD">
        <w:rPr>
          <w:lang w:val="en-US"/>
        </w:rPr>
        <w:t xml:space="preserve"> </w:t>
      </w:r>
      <w:r w:rsidRPr="00A40DE7">
        <w:rPr>
          <w:lang w:val="en-US"/>
        </w:rPr>
        <w:t>years and overall RFS, 2</w:t>
      </w:r>
      <w:r w:rsidR="00A83FFD">
        <w:rPr>
          <w:lang w:val="en-US"/>
        </w:rPr>
        <w:t xml:space="preserve"> </w:t>
      </w:r>
      <w:r w:rsidRPr="00A40DE7">
        <w:rPr>
          <w:lang w:val="en-US"/>
        </w:rPr>
        <w:t>years, 3</w:t>
      </w:r>
      <w:r w:rsidR="00A83FFD">
        <w:rPr>
          <w:lang w:val="en-US"/>
        </w:rPr>
        <w:t xml:space="preserve"> </w:t>
      </w:r>
      <w:r w:rsidRPr="00A40DE7">
        <w:rPr>
          <w:lang w:val="en-US"/>
        </w:rPr>
        <w:t>years, 5</w:t>
      </w:r>
      <w:r w:rsidR="00A83FFD">
        <w:rPr>
          <w:lang w:val="en-US"/>
        </w:rPr>
        <w:t xml:space="preserve"> </w:t>
      </w:r>
      <w:r w:rsidRPr="00A40DE7">
        <w:rPr>
          <w:lang w:val="en-US"/>
        </w:rPr>
        <w:t xml:space="preserve">years and overall survival, overall </w:t>
      </w:r>
      <w:proofErr w:type="spellStart"/>
      <w:r w:rsidR="00BA29E3">
        <w:rPr>
          <w:lang w:val="en-US"/>
        </w:rPr>
        <w:t>tumour</w:t>
      </w:r>
      <w:proofErr w:type="spellEnd"/>
      <w:r w:rsidRPr="00A40DE7">
        <w:rPr>
          <w:lang w:val="en-US"/>
        </w:rPr>
        <w:t xml:space="preserve"> response (</w:t>
      </w:r>
      <w:proofErr w:type="spellStart"/>
      <w:r w:rsidRPr="00A40DE7">
        <w:rPr>
          <w:lang w:val="en-US"/>
        </w:rPr>
        <w:t>talimogene</w:t>
      </w:r>
      <w:proofErr w:type="spellEnd"/>
      <w:r w:rsidRPr="00A40DE7">
        <w:rPr>
          <w:lang w:val="en-US"/>
        </w:rPr>
        <w:t xml:space="preserve"> </w:t>
      </w:r>
      <w:proofErr w:type="spellStart"/>
      <w:r w:rsidRPr="00A40DE7">
        <w:rPr>
          <w:lang w:val="en-US"/>
        </w:rPr>
        <w:t>laherparepvec</w:t>
      </w:r>
      <w:proofErr w:type="spellEnd"/>
      <w:r w:rsidRPr="00A40DE7">
        <w:rPr>
          <w:lang w:val="en-US"/>
        </w:rPr>
        <w:t xml:space="preserve"> arm only), response in injected and un</w:t>
      </w:r>
      <w:r w:rsidR="001A4B22">
        <w:rPr>
          <w:lang w:val="en-US"/>
        </w:rPr>
        <w:t>-</w:t>
      </w:r>
      <w:r w:rsidRPr="00A40DE7">
        <w:rPr>
          <w:lang w:val="en-US"/>
        </w:rPr>
        <w:t>injected lesions (</w:t>
      </w:r>
      <w:proofErr w:type="spellStart"/>
      <w:r w:rsidRPr="00A40DE7">
        <w:rPr>
          <w:lang w:val="en-US"/>
        </w:rPr>
        <w:t>talimogene</w:t>
      </w:r>
      <w:proofErr w:type="spellEnd"/>
      <w:r w:rsidRPr="00A40DE7">
        <w:rPr>
          <w:lang w:val="en-US"/>
        </w:rPr>
        <w:t xml:space="preserve"> </w:t>
      </w:r>
      <w:proofErr w:type="spellStart"/>
      <w:r w:rsidRPr="00A40DE7">
        <w:rPr>
          <w:lang w:val="en-US"/>
        </w:rPr>
        <w:t>laherparepvec</w:t>
      </w:r>
      <w:proofErr w:type="spellEnd"/>
      <w:r w:rsidRPr="00A40DE7">
        <w:rPr>
          <w:lang w:val="en-US"/>
        </w:rPr>
        <w:t xml:space="preserve"> arm only), R0 resection rate, pathological CR rate, local recurrence- and distant metastasis-free survival, and subject incidence of treatment-emergent and treatment-related adverse event.</w:t>
      </w:r>
    </w:p>
    <w:p w14:paraId="56127F7D" w14:textId="77777777" w:rsidR="005034AC" w:rsidRPr="00A40DE7" w:rsidRDefault="005034AC" w:rsidP="005034AC">
      <w:pPr>
        <w:rPr>
          <w:rFonts w:eastAsia="MS Mincho"/>
          <w:lang w:val="en-US"/>
        </w:rPr>
      </w:pPr>
      <w:r w:rsidRPr="00A83FFD">
        <w:rPr>
          <w:rStyle w:val="Heading5Char"/>
          <w:rFonts w:eastAsia="MS Mincho"/>
        </w:rPr>
        <w:t>Study 20120139</w:t>
      </w:r>
      <w:r w:rsidRPr="00A40DE7">
        <w:rPr>
          <w:rFonts w:eastAsia="MS Mincho"/>
          <w:lang w:val="en-US"/>
        </w:rPr>
        <w:t xml:space="preserve"> is a registry study to evaluate the survival and long-term safety of subjects with melanoma who previously received at least one dose of </w:t>
      </w:r>
      <w:proofErr w:type="spellStart"/>
      <w:r w:rsidRPr="00A40DE7">
        <w:rPr>
          <w:rFonts w:eastAsia="MS Mincho"/>
          <w:lang w:val="en-US"/>
        </w:rPr>
        <w:t>talimogene</w:t>
      </w:r>
      <w:proofErr w:type="spellEnd"/>
      <w:r w:rsidRPr="00A40DE7">
        <w:rPr>
          <w:rFonts w:eastAsia="MS Mincho"/>
          <w:lang w:val="en-US"/>
        </w:rPr>
        <w:t xml:space="preserve"> </w:t>
      </w:r>
      <w:proofErr w:type="spellStart"/>
      <w:r w:rsidRPr="00A40DE7">
        <w:rPr>
          <w:rFonts w:eastAsia="MS Mincho"/>
          <w:lang w:val="en-US"/>
        </w:rPr>
        <w:t>laherparepvec</w:t>
      </w:r>
      <w:proofErr w:type="spellEnd"/>
      <w:r w:rsidRPr="00A40DE7">
        <w:rPr>
          <w:rFonts w:eastAsia="MS Mincho"/>
          <w:lang w:val="en-US"/>
        </w:rPr>
        <w:t xml:space="preserve"> in Amgen-sponsored trial and have permanently ended treatment on that trial. Subjects in this study are monitored every 3 months for survival and adverse events deemed by the investigator to be related to </w:t>
      </w:r>
      <w:proofErr w:type="spellStart"/>
      <w:r w:rsidRPr="00A40DE7">
        <w:rPr>
          <w:rFonts w:eastAsia="MS Mincho"/>
          <w:lang w:val="en-US"/>
        </w:rPr>
        <w:t>talimogene</w:t>
      </w:r>
      <w:proofErr w:type="spellEnd"/>
      <w:r w:rsidRPr="00A40DE7">
        <w:rPr>
          <w:rFonts w:eastAsia="MS Mincho"/>
          <w:lang w:val="en-US"/>
        </w:rPr>
        <w:t xml:space="preserve"> </w:t>
      </w:r>
      <w:proofErr w:type="spellStart"/>
      <w:r w:rsidRPr="00A40DE7">
        <w:rPr>
          <w:rFonts w:eastAsia="MS Mincho"/>
          <w:lang w:val="en-US"/>
        </w:rPr>
        <w:t>laherparepvec</w:t>
      </w:r>
      <w:proofErr w:type="spellEnd"/>
      <w:r w:rsidRPr="00A40DE7">
        <w:rPr>
          <w:rFonts w:eastAsia="MS Mincho"/>
          <w:lang w:val="en-US"/>
        </w:rPr>
        <w:t xml:space="preserve"> until withdrawal of consent, death, or end of study, whichever occurs first.</w:t>
      </w:r>
    </w:p>
    <w:p w14:paraId="1EB1C1FE" w14:textId="77777777" w:rsidR="005034AC" w:rsidRPr="00A40DE7" w:rsidRDefault="005034AC" w:rsidP="005034AC">
      <w:pPr>
        <w:pStyle w:val="Heading4"/>
        <w:rPr>
          <w:lang w:val="en-US"/>
        </w:rPr>
      </w:pPr>
      <w:r w:rsidRPr="00A40DE7">
        <w:rPr>
          <w:lang w:val="en-US"/>
        </w:rPr>
        <w:t>Evaluator’s comment</w:t>
      </w:r>
    </w:p>
    <w:p w14:paraId="246BF01D" w14:textId="77777777" w:rsidR="005034AC" w:rsidRPr="00A40DE7" w:rsidRDefault="005034AC" w:rsidP="005034AC">
      <w:pPr>
        <w:autoSpaceDE w:val="0"/>
        <w:autoSpaceDN w:val="0"/>
        <w:adjustRightInd w:val="0"/>
        <w:jc w:val="both"/>
        <w:rPr>
          <w:color w:val="000000"/>
          <w:lang w:val="en-US"/>
        </w:rPr>
      </w:pPr>
      <w:r w:rsidRPr="00A40DE7">
        <w:rPr>
          <w:color w:val="000000"/>
          <w:lang w:val="en-US"/>
        </w:rPr>
        <w:t>The response is considered acceptable.</w:t>
      </w:r>
    </w:p>
    <w:p w14:paraId="5BE73CE9" w14:textId="77777777" w:rsidR="005034AC" w:rsidRDefault="00BA29E3" w:rsidP="00BA29E3">
      <w:pPr>
        <w:pStyle w:val="Heading3"/>
        <w:rPr>
          <w:rFonts w:eastAsia="MS Mincho"/>
          <w:lang w:val="en-US"/>
        </w:rPr>
      </w:pPr>
      <w:bookmarkStart w:id="311" w:name="_Toc452631114"/>
      <w:r>
        <w:rPr>
          <w:rFonts w:eastAsia="MS Mincho"/>
          <w:lang w:val="en-US"/>
        </w:rPr>
        <w:lastRenderedPageBreak/>
        <w:t>Question 5</w:t>
      </w:r>
      <w:bookmarkEnd w:id="311"/>
    </w:p>
    <w:p w14:paraId="51188F36" w14:textId="77777777" w:rsidR="00A83FFD" w:rsidRPr="00A83FFD" w:rsidRDefault="00A83FFD" w:rsidP="00A83FFD">
      <w:pPr>
        <w:pStyle w:val="Heading4"/>
        <w:rPr>
          <w:lang w:val="en-US"/>
        </w:rPr>
      </w:pPr>
      <w:r w:rsidRPr="00A40DE7">
        <w:rPr>
          <w:lang w:val="en-US"/>
        </w:rPr>
        <w:t xml:space="preserve">Sponsor’s </w:t>
      </w:r>
      <w:r>
        <w:rPr>
          <w:lang w:val="en-US"/>
        </w:rPr>
        <w:t>r</w:t>
      </w:r>
      <w:r w:rsidRPr="00A40DE7">
        <w:rPr>
          <w:lang w:val="en-US"/>
        </w:rPr>
        <w:t>esponse</w:t>
      </w:r>
    </w:p>
    <w:p w14:paraId="363AD8EB" w14:textId="77777777" w:rsidR="005034AC" w:rsidRPr="00A40DE7" w:rsidRDefault="005034AC" w:rsidP="00BA29E3">
      <w:pPr>
        <w:rPr>
          <w:lang w:val="en-US"/>
        </w:rPr>
      </w:pPr>
      <w:r w:rsidRPr="00A83FFD">
        <w:rPr>
          <w:rStyle w:val="Heading5Char"/>
          <w:rFonts w:eastAsia="Cambria"/>
        </w:rPr>
        <w:t>Study 20110264</w:t>
      </w:r>
      <w:r w:rsidRPr="00A40DE7">
        <w:rPr>
          <w:lang w:val="en-US"/>
        </w:rPr>
        <w:t xml:space="preserve"> (A Phase </w:t>
      </w:r>
      <w:proofErr w:type="spellStart"/>
      <w:r w:rsidR="00A83FFD">
        <w:rPr>
          <w:lang w:val="en-US"/>
        </w:rPr>
        <w:t>I</w:t>
      </w:r>
      <w:r w:rsidRPr="00A40DE7">
        <w:rPr>
          <w:lang w:val="en-US"/>
        </w:rPr>
        <w:t>b</w:t>
      </w:r>
      <w:proofErr w:type="spellEnd"/>
      <w:r w:rsidRPr="00A40DE7">
        <w:rPr>
          <w:lang w:val="en-US"/>
        </w:rPr>
        <w:t>/</w:t>
      </w:r>
      <w:r w:rsidR="00A83FFD">
        <w:rPr>
          <w:lang w:val="en-US"/>
        </w:rPr>
        <w:t>II</w:t>
      </w:r>
      <w:r w:rsidRPr="00A40DE7">
        <w:rPr>
          <w:lang w:val="en-US"/>
        </w:rPr>
        <w:t xml:space="preserve">, Multicenter, Open-label Trial to Evaluate the Safety and Efficacy of </w:t>
      </w:r>
      <w:proofErr w:type="spellStart"/>
      <w:r w:rsidRPr="00A40DE7">
        <w:rPr>
          <w:lang w:val="en-US"/>
        </w:rPr>
        <w:t>Talimogene</w:t>
      </w:r>
      <w:proofErr w:type="spellEnd"/>
      <w:r w:rsidRPr="00A40DE7">
        <w:rPr>
          <w:lang w:val="en-US"/>
        </w:rPr>
        <w:t xml:space="preserve"> </w:t>
      </w:r>
      <w:proofErr w:type="spellStart"/>
      <w:r w:rsidRPr="00A40DE7">
        <w:rPr>
          <w:lang w:val="en-US"/>
        </w:rPr>
        <w:t>Laherparepvec</w:t>
      </w:r>
      <w:proofErr w:type="spellEnd"/>
      <w:r w:rsidRPr="00A40DE7">
        <w:rPr>
          <w:lang w:val="en-US"/>
        </w:rPr>
        <w:t xml:space="preserve"> and Ipilimumab Compared to Ipilimumab Alone in Subjects With </w:t>
      </w:r>
      <w:proofErr w:type="spellStart"/>
      <w:r w:rsidRPr="00A40DE7">
        <w:rPr>
          <w:lang w:val="en-US"/>
        </w:rPr>
        <w:t>Unresected</w:t>
      </w:r>
      <w:proofErr w:type="spellEnd"/>
      <w:r w:rsidRPr="00A40DE7">
        <w:rPr>
          <w:lang w:val="en-US"/>
        </w:rPr>
        <w:t xml:space="preserve">, Stage IIIB-IV Melanoma) is a multicenter, ongoing, open label trial evaluating the combination of </w:t>
      </w:r>
      <w:proofErr w:type="spellStart"/>
      <w:r w:rsidRPr="00A40DE7">
        <w:rPr>
          <w:lang w:val="en-US"/>
        </w:rPr>
        <w:t>talimogene</w:t>
      </w:r>
      <w:proofErr w:type="spellEnd"/>
      <w:r w:rsidRPr="00A40DE7">
        <w:rPr>
          <w:lang w:val="en-US"/>
        </w:rPr>
        <w:t xml:space="preserve"> </w:t>
      </w:r>
      <w:proofErr w:type="spellStart"/>
      <w:r w:rsidRPr="00A40DE7">
        <w:rPr>
          <w:lang w:val="en-US"/>
        </w:rPr>
        <w:t>laherparepvec</w:t>
      </w:r>
      <w:proofErr w:type="spellEnd"/>
      <w:r w:rsidRPr="00A40DE7">
        <w:rPr>
          <w:lang w:val="en-US"/>
        </w:rPr>
        <w:t xml:space="preserve"> with </w:t>
      </w:r>
      <w:proofErr w:type="spellStart"/>
      <w:r w:rsidRPr="00A40DE7">
        <w:rPr>
          <w:lang w:val="en-US"/>
        </w:rPr>
        <w:t>ipilimumab</w:t>
      </w:r>
      <w:proofErr w:type="spellEnd"/>
      <w:r w:rsidRPr="00A40DE7">
        <w:rPr>
          <w:lang w:val="en-US"/>
        </w:rPr>
        <w:t>.</w:t>
      </w:r>
    </w:p>
    <w:p w14:paraId="0AA08218" w14:textId="62B4C461" w:rsidR="005034AC" w:rsidRPr="00A40DE7" w:rsidRDefault="005034AC" w:rsidP="00BA29E3">
      <w:pPr>
        <w:rPr>
          <w:lang w:val="en-US"/>
        </w:rPr>
      </w:pPr>
      <w:r w:rsidRPr="00A40DE7">
        <w:rPr>
          <w:lang w:val="en-US"/>
        </w:rPr>
        <w:t xml:space="preserve">An updated analysis of safety, response rates, progression-free survival (PFS), and overall survival (OS) from the </w:t>
      </w:r>
      <w:r w:rsidR="00A83FFD">
        <w:rPr>
          <w:lang w:val="en-US"/>
        </w:rPr>
        <w:t>P</w:t>
      </w:r>
      <w:r w:rsidRPr="00A40DE7">
        <w:rPr>
          <w:lang w:val="en-US"/>
        </w:rPr>
        <w:t xml:space="preserve">hase </w:t>
      </w:r>
      <w:proofErr w:type="spellStart"/>
      <w:r w:rsidR="00A83FFD">
        <w:rPr>
          <w:lang w:val="en-US"/>
        </w:rPr>
        <w:t>I</w:t>
      </w:r>
      <w:r w:rsidRPr="00A40DE7">
        <w:rPr>
          <w:lang w:val="en-US"/>
        </w:rPr>
        <w:t>b</w:t>
      </w:r>
      <w:proofErr w:type="spellEnd"/>
      <w:r w:rsidRPr="00A40DE7">
        <w:rPr>
          <w:lang w:val="en-US"/>
        </w:rPr>
        <w:t xml:space="preserve"> portion the study with all patients beginning treatment more than 22 months was performed with a data cutoff of May 22, 2015. Median PFS was not yet reached with 50% of patients still without progression at 18 months. Median OS was not yet reached with 67% of patients still alive at 18 months. Objective response rate per </w:t>
      </w:r>
      <w:proofErr w:type="spellStart"/>
      <w:r w:rsidRPr="00A40DE7">
        <w:rPr>
          <w:lang w:val="en-US"/>
        </w:rPr>
        <w:t>irRC</w:t>
      </w:r>
      <w:proofErr w:type="spellEnd"/>
      <w:r w:rsidRPr="00A40DE7">
        <w:rPr>
          <w:lang w:val="en-US"/>
        </w:rPr>
        <w:t xml:space="preserve"> was 50%; complete response rate was 22%; disease control rate was 72%; and durable response rate was 44%. No new safety signals were identified with the combination of </w:t>
      </w:r>
      <w:proofErr w:type="spellStart"/>
      <w:r w:rsidR="006214A2" w:rsidRPr="006214A2">
        <w:rPr>
          <w:lang w:val="en-US"/>
        </w:rPr>
        <w:t>talimogene</w:t>
      </w:r>
      <w:proofErr w:type="spellEnd"/>
      <w:r w:rsidR="006214A2" w:rsidRPr="006214A2">
        <w:rPr>
          <w:lang w:val="en-US"/>
        </w:rPr>
        <w:t xml:space="preserve"> </w:t>
      </w:r>
      <w:proofErr w:type="spellStart"/>
      <w:r w:rsidR="006214A2" w:rsidRPr="006214A2">
        <w:rPr>
          <w:lang w:val="en-US"/>
        </w:rPr>
        <w:t>laherparepvec</w:t>
      </w:r>
      <w:proofErr w:type="spellEnd"/>
      <w:r w:rsidRPr="00A40DE7">
        <w:rPr>
          <w:lang w:val="en-US"/>
        </w:rPr>
        <w:t xml:space="preserve"> and </w:t>
      </w:r>
      <w:proofErr w:type="spellStart"/>
      <w:r w:rsidRPr="00A40DE7">
        <w:rPr>
          <w:lang w:val="en-US"/>
        </w:rPr>
        <w:t>ipilimumab</w:t>
      </w:r>
      <w:proofErr w:type="spellEnd"/>
      <w:r w:rsidRPr="00A40DE7">
        <w:rPr>
          <w:lang w:val="en-US"/>
        </w:rPr>
        <w:t>.</w:t>
      </w:r>
    </w:p>
    <w:p w14:paraId="4AAB9A93" w14:textId="77777777" w:rsidR="005034AC" w:rsidRPr="00A40DE7" w:rsidRDefault="005034AC" w:rsidP="00BA29E3">
      <w:pPr>
        <w:rPr>
          <w:lang w:val="en-US"/>
        </w:rPr>
      </w:pPr>
      <w:r w:rsidRPr="00A40DE7">
        <w:rPr>
          <w:lang w:val="en-US"/>
        </w:rPr>
        <w:t xml:space="preserve">Phase </w:t>
      </w:r>
      <w:r w:rsidR="00A83FFD">
        <w:rPr>
          <w:lang w:val="en-US"/>
        </w:rPr>
        <w:t>II</w:t>
      </w:r>
      <w:r w:rsidRPr="00A40DE7">
        <w:rPr>
          <w:lang w:val="en-US"/>
        </w:rPr>
        <w:t xml:space="preserve"> comparing the combination of </w:t>
      </w:r>
      <w:proofErr w:type="spellStart"/>
      <w:r w:rsidRPr="00A40DE7">
        <w:rPr>
          <w:lang w:val="en-US"/>
        </w:rPr>
        <w:t>talimogene</w:t>
      </w:r>
      <w:proofErr w:type="spellEnd"/>
      <w:r w:rsidRPr="00A40DE7">
        <w:rPr>
          <w:lang w:val="en-US"/>
        </w:rPr>
        <w:t xml:space="preserve"> </w:t>
      </w:r>
      <w:proofErr w:type="spellStart"/>
      <w:r w:rsidRPr="00A40DE7">
        <w:rPr>
          <w:lang w:val="en-US"/>
        </w:rPr>
        <w:t>laherparepvec</w:t>
      </w:r>
      <w:proofErr w:type="spellEnd"/>
      <w:r w:rsidRPr="00A40DE7">
        <w:rPr>
          <w:lang w:val="en-US"/>
        </w:rPr>
        <w:t xml:space="preserve"> and </w:t>
      </w:r>
      <w:proofErr w:type="spellStart"/>
      <w:r w:rsidRPr="00A40DE7">
        <w:rPr>
          <w:lang w:val="en-US"/>
        </w:rPr>
        <w:t>ipilimumab</w:t>
      </w:r>
      <w:proofErr w:type="spellEnd"/>
      <w:r w:rsidRPr="00A40DE7">
        <w:rPr>
          <w:lang w:val="en-US"/>
        </w:rPr>
        <w:t xml:space="preserve"> versus </w:t>
      </w:r>
      <w:proofErr w:type="spellStart"/>
      <w:r w:rsidRPr="00A40DE7">
        <w:rPr>
          <w:lang w:val="en-US"/>
        </w:rPr>
        <w:t>ipilimumab</w:t>
      </w:r>
      <w:proofErr w:type="spellEnd"/>
      <w:r w:rsidRPr="00A40DE7">
        <w:rPr>
          <w:lang w:val="en-US"/>
        </w:rPr>
        <w:t xml:space="preserve"> alone began enrollment August 2013 and is ongoing with plans to </w:t>
      </w:r>
      <w:proofErr w:type="spellStart"/>
      <w:r w:rsidRPr="00A40DE7">
        <w:rPr>
          <w:lang w:val="en-US"/>
        </w:rPr>
        <w:t>enrol</w:t>
      </w:r>
      <w:proofErr w:type="spellEnd"/>
      <w:r w:rsidRPr="00A40DE7">
        <w:rPr>
          <w:lang w:val="en-US"/>
        </w:rPr>
        <w:t xml:space="preserve"> approximately 100 subjects in each arm across 60 sites in the USA, France, and Germany. The primary objective is to determine the efficacy of the combination as determined by objective response rate.</w:t>
      </w:r>
    </w:p>
    <w:p w14:paraId="3455DAA9" w14:textId="77777777" w:rsidR="005034AC" w:rsidRPr="00A40DE7" w:rsidRDefault="005034AC" w:rsidP="00BA29E3">
      <w:pPr>
        <w:rPr>
          <w:lang w:val="en-US"/>
        </w:rPr>
      </w:pPr>
      <w:r w:rsidRPr="00A40DE7">
        <w:rPr>
          <w:lang w:val="en-US"/>
        </w:rPr>
        <w:t xml:space="preserve">At the data cut-off, 29 of the 35 subjects enrolled as of the data cut-off date and received at least 1 dose of investigational product were included in the Safety Analysis Set (14 subjects in the </w:t>
      </w:r>
      <w:proofErr w:type="spellStart"/>
      <w:r w:rsidRPr="00A40DE7">
        <w:rPr>
          <w:lang w:val="en-US"/>
        </w:rPr>
        <w:t>talimogene</w:t>
      </w:r>
      <w:proofErr w:type="spellEnd"/>
      <w:r w:rsidRPr="00A40DE7">
        <w:rPr>
          <w:lang w:val="en-US"/>
        </w:rPr>
        <w:t xml:space="preserve"> </w:t>
      </w:r>
      <w:proofErr w:type="spellStart"/>
      <w:r w:rsidRPr="00A40DE7">
        <w:rPr>
          <w:lang w:val="en-US"/>
        </w:rPr>
        <w:t>laherparepvec</w:t>
      </w:r>
      <w:proofErr w:type="spellEnd"/>
      <w:r w:rsidRPr="00A40DE7">
        <w:rPr>
          <w:lang w:val="en-US"/>
        </w:rPr>
        <w:t xml:space="preserve"> plus </w:t>
      </w:r>
      <w:proofErr w:type="spellStart"/>
      <w:r w:rsidRPr="00A40DE7">
        <w:rPr>
          <w:lang w:val="en-US"/>
        </w:rPr>
        <w:t>ipilimumab</w:t>
      </w:r>
      <w:proofErr w:type="spellEnd"/>
      <w:r w:rsidRPr="00A40DE7">
        <w:rPr>
          <w:lang w:val="en-US"/>
        </w:rPr>
        <w:t xml:space="preserve"> arm and 15 subjects in the </w:t>
      </w:r>
      <w:proofErr w:type="spellStart"/>
      <w:r w:rsidRPr="00A40DE7">
        <w:rPr>
          <w:lang w:val="en-US"/>
        </w:rPr>
        <w:t>ipilimumab</w:t>
      </w:r>
      <w:proofErr w:type="spellEnd"/>
      <w:r w:rsidRPr="00A40DE7">
        <w:rPr>
          <w:lang w:val="en-US"/>
        </w:rPr>
        <w:t xml:space="preserve"> alone arm). Thirteen subjects (93%) in the </w:t>
      </w:r>
      <w:proofErr w:type="spellStart"/>
      <w:r w:rsidRPr="00A40DE7">
        <w:rPr>
          <w:lang w:val="en-US"/>
        </w:rPr>
        <w:t>talimogene</w:t>
      </w:r>
      <w:proofErr w:type="spellEnd"/>
      <w:r w:rsidRPr="00A40DE7">
        <w:rPr>
          <w:lang w:val="en-US"/>
        </w:rPr>
        <w:t xml:space="preserve"> </w:t>
      </w:r>
      <w:proofErr w:type="spellStart"/>
      <w:r w:rsidRPr="00A40DE7">
        <w:rPr>
          <w:lang w:val="en-US"/>
        </w:rPr>
        <w:t>laherparepvec</w:t>
      </w:r>
      <w:proofErr w:type="spellEnd"/>
      <w:r w:rsidRPr="00A40DE7">
        <w:rPr>
          <w:lang w:val="en-US"/>
        </w:rPr>
        <w:t xml:space="preserve"> plus </w:t>
      </w:r>
      <w:proofErr w:type="spellStart"/>
      <w:r w:rsidRPr="00A40DE7">
        <w:rPr>
          <w:lang w:val="en-US"/>
        </w:rPr>
        <w:t>ipilimumab</w:t>
      </w:r>
      <w:proofErr w:type="spellEnd"/>
      <w:r w:rsidRPr="00A40DE7">
        <w:rPr>
          <w:lang w:val="en-US"/>
        </w:rPr>
        <w:t xml:space="preserve"> arm and 13 subjects (87%) in the </w:t>
      </w:r>
      <w:proofErr w:type="spellStart"/>
      <w:r w:rsidRPr="00A40DE7">
        <w:rPr>
          <w:lang w:val="en-US"/>
        </w:rPr>
        <w:t>ipilimumab</w:t>
      </w:r>
      <w:proofErr w:type="spellEnd"/>
      <w:r w:rsidRPr="00A40DE7">
        <w:rPr>
          <w:lang w:val="en-US"/>
        </w:rPr>
        <w:t xml:space="preserve"> alone arm had treatment-emergent adverse events; </w:t>
      </w:r>
      <w:r w:rsidR="00A83FFD">
        <w:rPr>
          <w:lang w:val="en-US"/>
        </w:rPr>
        <w:t>G</w:t>
      </w:r>
      <w:r w:rsidRPr="00A40DE7">
        <w:rPr>
          <w:lang w:val="en-US"/>
        </w:rPr>
        <w:t xml:space="preserve">rade 3/4 events were reported for 3 subjects (21%) and 6 subjects (40%), respectively. Serious adverse events were reported for 4 subjects (29%) in the </w:t>
      </w:r>
      <w:proofErr w:type="spellStart"/>
      <w:r w:rsidRPr="00A40DE7">
        <w:rPr>
          <w:lang w:val="en-US"/>
        </w:rPr>
        <w:t>talimogene</w:t>
      </w:r>
      <w:proofErr w:type="spellEnd"/>
      <w:r w:rsidRPr="00A40DE7">
        <w:rPr>
          <w:lang w:val="en-US"/>
        </w:rPr>
        <w:t xml:space="preserve"> </w:t>
      </w:r>
      <w:proofErr w:type="spellStart"/>
      <w:r w:rsidRPr="00A40DE7">
        <w:rPr>
          <w:lang w:val="en-US"/>
        </w:rPr>
        <w:t>laherparepvec</w:t>
      </w:r>
      <w:proofErr w:type="spellEnd"/>
      <w:r w:rsidRPr="00A40DE7">
        <w:rPr>
          <w:lang w:val="en-US"/>
        </w:rPr>
        <w:t xml:space="preserve"> plus </w:t>
      </w:r>
      <w:proofErr w:type="spellStart"/>
      <w:r w:rsidRPr="00A40DE7">
        <w:rPr>
          <w:lang w:val="en-US"/>
        </w:rPr>
        <w:t>ipilimumab</w:t>
      </w:r>
      <w:proofErr w:type="spellEnd"/>
      <w:r w:rsidRPr="00A40DE7">
        <w:rPr>
          <w:lang w:val="en-US"/>
        </w:rPr>
        <w:t xml:space="preserve"> arm and 5 subjects (33%) in the </w:t>
      </w:r>
      <w:proofErr w:type="spellStart"/>
      <w:r w:rsidRPr="00A40DE7">
        <w:rPr>
          <w:lang w:val="en-US"/>
        </w:rPr>
        <w:t>ipilimumab</w:t>
      </w:r>
      <w:proofErr w:type="spellEnd"/>
      <w:r w:rsidRPr="00A40DE7">
        <w:rPr>
          <w:lang w:val="en-US"/>
        </w:rPr>
        <w:t xml:space="preserve"> alone arm. One subject (in the </w:t>
      </w:r>
      <w:proofErr w:type="spellStart"/>
      <w:r w:rsidRPr="00A40DE7">
        <w:rPr>
          <w:lang w:val="en-US"/>
        </w:rPr>
        <w:t>talimogene</w:t>
      </w:r>
      <w:proofErr w:type="spellEnd"/>
      <w:r w:rsidRPr="00A40DE7">
        <w:rPr>
          <w:lang w:val="en-US"/>
        </w:rPr>
        <w:t xml:space="preserve"> </w:t>
      </w:r>
      <w:proofErr w:type="spellStart"/>
      <w:r w:rsidRPr="00A40DE7">
        <w:rPr>
          <w:lang w:val="en-US"/>
        </w:rPr>
        <w:t>laherparepvec</w:t>
      </w:r>
      <w:proofErr w:type="spellEnd"/>
      <w:r w:rsidRPr="00A40DE7">
        <w:rPr>
          <w:lang w:val="en-US"/>
        </w:rPr>
        <w:t xml:space="preserve"> plus </w:t>
      </w:r>
      <w:proofErr w:type="spellStart"/>
      <w:r w:rsidRPr="00A40DE7">
        <w:rPr>
          <w:lang w:val="en-US"/>
        </w:rPr>
        <w:t>ipilimumab</w:t>
      </w:r>
      <w:proofErr w:type="spellEnd"/>
      <w:r w:rsidRPr="00A40DE7">
        <w:rPr>
          <w:lang w:val="en-US"/>
        </w:rPr>
        <w:t xml:space="preserve"> arm) had a </w:t>
      </w:r>
      <w:r w:rsidR="00A83FFD">
        <w:rPr>
          <w:lang w:val="en-US"/>
        </w:rPr>
        <w:t>G</w:t>
      </w:r>
      <w:r w:rsidRPr="00A40DE7">
        <w:rPr>
          <w:lang w:val="en-US"/>
        </w:rPr>
        <w:t>rade 5 adverse event (disease progression).</w:t>
      </w:r>
    </w:p>
    <w:p w14:paraId="5CB25664" w14:textId="77777777" w:rsidR="005034AC" w:rsidRPr="00A40DE7" w:rsidRDefault="005034AC" w:rsidP="00BA29E3">
      <w:pPr>
        <w:rPr>
          <w:lang w:val="en-US"/>
        </w:rPr>
      </w:pPr>
      <w:r w:rsidRPr="00A40DE7">
        <w:rPr>
          <w:lang w:val="en-US"/>
        </w:rPr>
        <w:t xml:space="preserve">Adverse events considered related to treatment were reported for 10 subjects (71%) in the </w:t>
      </w:r>
      <w:proofErr w:type="spellStart"/>
      <w:r w:rsidRPr="00A40DE7">
        <w:rPr>
          <w:lang w:val="en-US"/>
        </w:rPr>
        <w:t>talimogene</w:t>
      </w:r>
      <w:proofErr w:type="spellEnd"/>
      <w:r w:rsidRPr="00A40DE7">
        <w:rPr>
          <w:lang w:val="en-US"/>
        </w:rPr>
        <w:t xml:space="preserve"> </w:t>
      </w:r>
      <w:proofErr w:type="spellStart"/>
      <w:r w:rsidRPr="00A40DE7">
        <w:rPr>
          <w:lang w:val="en-US"/>
        </w:rPr>
        <w:t>laherparepvec</w:t>
      </w:r>
      <w:proofErr w:type="spellEnd"/>
      <w:r w:rsidRPr="00A40DE7">
        <w:rPr>
          <w:lang w:val="en-US"/>
        </w:rPr>
        <w:t xml:space="preserve"> plus </w:t>
      </w:r>
      <w:proofErr w:type="spellStart"/>
      <w:r w:rsidRPr="00A40DE7">
        <w:rPr>
          <w:lang w:val="en-US"/>
        </w:rPr>
        <w:t>ipilimumab</w:t>
      </w:r>
      <w:proofErr w:type="spellEnd"/>
      <w:r w:rsidRPr="00A40DE7">
        <w:rPr>
          <w:lang w:val="en-US"/>
        </w:rPr>
        <w:t xml:space="preserve"> arm and 9 subjects (60%) in the </w:t>
      </w:r>
      <w:proofErr w:type="spellStart"/>
      <w:r w:rsidRPr="00A40DE7">
        <w:rPr>
          <w:lang w:val="en-US"/>
        </w:rPr>
        <w:t>ipilimumab</w:t>
      </w:r>
      <w:proofErr w:type="spellEnd"/>
      <w:r w:rsidRPr="00A40DE7">
        <w:rPr>
          <w:lang w:val="en-US"/>
        </w:rPr>
        <w:t xml:space="preserve"> alone arm; most of these events were </w:t>
      </w:r>
      <w:r w:rsidR="00A83FFD">
        <w:rPr>
          <w:lang w:val="en-US"/>
        </w:rPr>
        <w:t>G</w:t>
      </w:r>
      <w:r w:rsidRPr="00A40DE7">
        <w:rPr>
          <w:lang w:val="en-US"/>
        </w:rPr>
        <w:t>rade 1 or 2 in severity.</w:t>
      </w:r>
    </w:p>
    <w:p w14:paraId="40A921BB" w14:textId="77777777" w:rsidR="005034AC" w:rsidRPr="00A40DE7" w:rsidRDefault="005034AC" w:rsidP="00BA29E3">
      <w:pPr>
        <w:rPr>
          <w:lang w:val="en-US"/>
        </w:rPr>
      </w:pPr>
      <w:r w:rsidRPr="00A83FFD">
        <w:rPr>
          <w:rStyle w:val="Heading5Char"/>
          <w:rFonts w:eastAsia="Cambria"/>
        </w:rPr>
        <w:t>Study 20110265</w:t>
      </w:r>
      <w:r w:rsidRPr="00A40DE7">
        <w:rPr>
          <w:lang w:val="en-US"/>
        </w:rPr>
        <w:t xml:space="preserve"> (A Phase </w:t>
      </w:r>
      <w:proofErr w:type="spellStart"/>
      <w:r w:rsidR="00A83FFD">
        <w:rPr>
          <w:lang w:val="en-US"/>
        </w:rPr>
        <w:t>I</w:t>
      </w:r>
      <w:r w:rsidRPr="00A40DE7">
        <w:rPr>
          <w:lang w:val="en-US"/>
        </w:rPr>
        <w:t>b</w:t>
      </w:r>
      <w:proofErr w:type="spellEnd"/>
      <w:r w:rsidRPr="00A40DE7">
        <w:rPr>
          <w:lang w:val="en-US"/>
        </w:rPr>
        <w:t>/</w:t>
      </w:r>
      <w:r w:rsidR="00A83FFD">
        <w:rPr>
          <w:lang w:val="en-US"/>
        </w:rPr>
        <w:t>II</w:t>
      </w:r>
      <w:r w:rsidRPr="00A40DE7">
        <w:rPr>
          <w:lang w:val="en-US"/>
        </w:rPr>
        <w:t xml:space="preserve">, Multicenter, Open-label Trial of </w:t>
      </w:r>
      <w:proofErr w:type="spellStart"/>
      <w:r w:rsidRPr="00A40DE7">
        <w:rPr>
          <w:lang w:val="en-US"/>
        </w:rPr>
        <w:t>Talimogene</w:t>
      </w:r>
      <w:proofErr w:type="spellEnd"/>
      <w:r w:rsidRPr="00A40DE7">
        <w:rPr>
          <w:lang w:val="en-US"/>
        </w:rPr>
        <w:t xml:space="preserve"> </w:t>
      </w:r>
      <w:proofErr w:type="spellStart"/>
      <w:r w:rsidRPr="00A40DE7">
        <w:rPr>
          <w:lang w:val="en-US"/>
        </w:rPr>
        <w:t>Laherparepvec</w:t>
      </w:r>
      <w:proofErr w:type="spellEnd"/>
      <w:r w:rsidRPr="00A40DE7">
        <w:rPr>
          <w:lang w:val="en-US"/>
        </w:rPr>
        <w:t xml:space="preserve"> in Combination With MK-3475 [</w:t>
      </w:r>
      <w:proofErr w:type="spellStart"/>
      <w:r w:rsidRPr="00A40DE7">
        <w:rPr>
          <w:lang w:val="en-US"/>
        </w:rPr>
        <w:t>pembrolizumab</w:t>
      </w:r>
      <w:proofErr w:type="spellEnd"/>
      <w:r w:rsidRPr="00A40DE7">
        <w:rPr>
          <w:lang w:val="en-US"/>
        </w:rPr>
        <w:t xml:space="preserve">] for Treatment of Previously Untreated, </w:t>
      </w:r>
      <w:proofErr w:type="spellStart"/>
      <w:r w:rsidRPr="00A40DE7">
        <w:rPr>
          <w:lang w:val="en-US"/>
        </w:rPr>
        <w:t>Unresected</w:t>
      </w:r>
      <w:proofErr w:type="spellEnd"/>
      <w:r w:rsidRPr="00A40DE7">
        <w:rPr>
          <w:lang w:val="en-US"/>
        </w:rPr>
        <w:t xml:space="preserve">, Stage IIIB to IVM1c Melanoma) is a multicenter, ongoing, open label trial evaluating the combination of </w:t>
      </w:r>
      <w:proofErr w:type="spellStart"/>
      <w:r w:rsidRPr="00A40DE7">
        <w:rPr>
          <w:lang w:val="en-US"/>
        </w:rPr>
        <w:t>talimogene</w:t>
      </w:r>
      <w:proofErr w:type="spellEnd"/>
      <w:r w:rsidRPr="00A40DE7">
        <w:rPr>
          <w:lang w:val="en-US"/>
        </w:rPr>
        <w:t xml:space="preserve"> </w:t>
      </w:r>
      <w:proofErr w:type="spellStart"/>
      <w:r w:rsidRPr="00A40DE7">
        <w:rPr>
          <w:lang w:val="en-US"/>
        </w:rPr>
        <w:t>laherparepvec</w:t>
      </w:r>
      <w:proofErr w:type="spellEnd"/>
      <w:r w:rsidRPr="00A40DE7">
        <w:rPr>
          <w:lang w:val="en-US"/>
        </w:rPr>
        <w:t xml:space="preserve"> with </w:t>
      </w:r>
      <w:proofErr w:type="spellStart"/>
      <w:r w:rsidRPr="00A40DE7">
        <w:rPr>
          <w:lang w:val="en-US"/>
        </w:rPr>
        <w:t>pembrolizumab</w:t>
      </w:r>
      <w:proofErr w:type="spellEnd"/>
      <w:r w:rsidRPr="00A40DE7">
        <w:rPr>
          <w:lang w:val="en-US"/>
        </w:rPr>
        <w:t>.</w:t>
      </w:r>
    </w:p>
    <w:p w14:paraId="337FCFE3" w14:textId="77777777" w:rsidR="005034AC" w:rsidRPr="00A40DE7" w:rsidRDefault="005034AC" w:rsidP="00BA29E3">
      <w:pPr>
        <w:rPr>
          <w:lang w:val="en-US"/>
        </w:rPr>
      </w:pPr>
      <w:r w:rsidRPr="00A40DE7">
        <w:rPr>
          <w:lang w:val="en-US"/>
        </w:rPr>
        <w:t xml:space="preserve">Key eligibility criteria include </w:t>
      </w:r>
      <w:proofErr w:type="spellStart"/>
      <w:r w:rsidRPr="00A40DE7">
        <w:rPr>
          <w:lang w:val="en-US"/>
        </w:rPr>
        <w:t>unresectable</w:t>
      </w:r>
      <w:proofErr w:type="spellEnd"/>
      <w:r w:rsidRPr="00A40DE7">
        <w:rPr>
          <w:lang w:val="en-US"/>
        </w:rPr>
        <w:t xml:space="preserve"> Stage IIIB-IV melanoma; with at least 1 injectable cutaneous, subcutaneous or nodal mass ≥ 10 mm, ECOG performance status of 0 or 1, and no prior systemic anti-cancer therapy. The primary objective of Phase </w:t>
      </w:r>
      <w:proofErr w:type="spellStart"/>
      <w:r w:rsidR="00A83FFD">
        <w:rPr>
          <w:lang w:val="en-US"/>
        </w:rPr>
        <w:t>I</w:t>
      </w:r>
      <w:r w:rsidRPr="00A40DE7">
        <w:rPr>
          <w:lang w:val="en-US"/>
        </w:rPr>
        <w:t>b</w:t>
      </w:r>
      <w:proofErr w:type="spellEnd"/>
      <w:r w:rsidRPr="00A40DE7">
        <w:rPr>
          <w:lang w:val="en-US"/>
        </w:rPr>
        <w:t xml:space="preserve"> is safety and tolerability as assessed by incidence of DLT. Secondary objectives of Phase </w:t>
      </w:r>
      <w:proofErr w:type="spellStart"/>
      <w:r w:rsidR="00A83FFD">
        <w:rPr>
          <w:lang w:val="en-US"/>
        </w:rPr>
        <w:t>I</w:t>
      </w:r>
      <w:r w:rsidRPr="00A40DE7">
        <w:rPr>
          <w:lang w:val="en-US"/>
        </w:rPr>
        <w:t>b</w:t>
      </w:r>
      <w:proofErr w:type="spellEnd"/>
      <w:r w:rsidRPr="00A40DE7">
        <w:rPr>
          <w:lang w:val="en-US"/>
        </w:rPr>
        <w:t xml:space="preserve"> include efficacy as determined by multiple endpoints including ORR per </w:t>
      </w:r>
      <w:proofErr w:type="spellStart"/>
      <w:r w:rsidRPr="00A40DE7">
        <w:rPr>
          <w:lang w:val="en-US"/>
        </w:rPr>
        <w:t>irRC</w:t>
      </w:r>
      <w:proofErr w:type="spellEnd"/>
      <w:r w:rsidRPr="00A40DE7">
        <w:rPr>
          <w:lang w:val="en-US"/>
        </w:rPr>
        <w:t>, PFS, OS, and safety as determined by incidence of adverse events (AE).</w:t>
      </w:r>
    </w:p>
    <w:p w14:paraId="4956FFD8" w14:textId="77777777" w:rsidR="005034AC" w:rsidRPr="00A40DE7" w:rsidRDefault="005034AC" w:rsidP="00BA29E3">
      <w:pPr>
        <w:rPr>
          <w:lang w:val="en-US"/>
        </w:rPr>
      </w:pPr>
      <w:r w:rsidRPr="00A40DE7">
        <w:rPr>
          <w:lang w:val="en-US"/>
        </w:rPr>
        <w:t>To date there have been 21 subjects enrolled in Study 20110265 who received at least one dose of combination therapy. Adverse events reported in n &gt; 3 subjects included: nausea (n=5, 23.8%), chills (n=4, 19.0%), fatigue (n=5, 23.8%), pyrexia (n=8, 38.1%), headache (n=5, 23.8%), rash (n=6, 28.6%).</w:t>
      </w:r>
    </w:p>
    <w:p w14:paraId="29A1ED24" w14:textId="77777777" w:rsidR="005034AC" w:rsidRPr="00A40DE7" w:rsidRDefault="005034AC" w:rsidP="00BA29E3">
      <w:pPr>
        <w:rPr>
          <w:lang w:val="en-US"/>
        </w:rPr>
      </w:pPr>
      <w:r w:rsidRPr="00A40DE7">
        <w:rPr>
          <w:lang w:val="en-US"/>
        </w:rPr>
        <w:t xml:space="preserve">Because of the promising preliminary safety and efficacy data from the combination of </w:t>
      </w:r>
      <w:proofErr w:type="spellStart"/>
      <w:r w:rsidRPr="00A40DE7">
        <w:rPr>
          <w:lang w:val="en-US"/>
        </w:rPr>
        <w:t>talimogene</w:t>
      </w:r>
      <w:proofErr w:type="spellEnd"/>
      <w:r w:rsidRPr="00A40DE7">
        <w:rPr>
          <w:lang w:val="en-US"/>
        </w:rPr>
        <w:t xml:space="preserve"> </w:t>
      </w:r>
      <w:proofErr w:type="spellStart"/>
      <w:r w:rsidRPr="00A40DE7">
        <w:rPr>
          <w:lang w:val="en-US"/>
        </w:rPr>
        <w:t>laherparepvec</w:t>
      </w:r>
      <w:proofErr w:type="spellEnd"/>
      <w:r w:rsidRPr="00A40DE7">
        <w:rPr>
          <w:lang w:val="en-US"/>
        </w:rPr>
        <w:t xml:space="preserve"> and </w:t>
      </w:r>
      <w:proofErr w:type="spellStart"/>
      <w:r w:rsidRPr="00A40DE7">
        <w:rPr>
          <w:lang w:val="en-US"/>
        </w:rPr>
        <w:t>ipilimumab</w:t>
      </w:r>
      <w:proofErr w:type="spellEnd"/>
      <w:r w:rsidRPr="00A40DE7">
        <w:rPr>
          <w:lang w:val="en-US"/>
        </w:rPr>
        <w:t xml:space="preserve"> in 20110264, the original Phase </w:t>
      </w:r>
      <w:r w:rsidR="00A83FFD">
        <w:rPr>
          <w:lang w:val="en-US"/>
        </w:rPr>
        <w:t>II</w:t>
      </w:r>
      <w:r w:rsidRPr="00A40DE7">
        <w:rPr>
          <w:lang w:val="en-US"/>
        </w:rPr>
        <w:t xml:space="preserve"> portion of 20110265 comparing the combination of </w:t>
      </w:r>
      <w:proofErr w:type="spellStart"/>
      <w:r w:rsidRPr="00A40DE7">
        <w:rPr>
          <w:lang w:val="en-US"/>
        </w:rPr>
        <w:t>talimogene</w:t>
      </w:r>
      <w:proofErr w:type="spellEnd"/>
      <w:r w:rsidRPr="00A40DE7">
        <w:rPr>
          <w:lang w:val="en-US"/>
        </w:rPr>
        <w:t xml:space="preserve"> </w:t>
      </w:r>
      <w:proofErr w:type="spellStart"/>
      <w:r w:rsidRPr="00A40DE7">
        <w:rPr>
          <w:lang w:val="en-US"/>
        </w:rPr>
        <w:t>laherparepvec</w:t>
      </w:r>
      <w:proofErr w:type="spellEnd"/>
      <w:r w:rsidRPr="00A40DE7">
        <w:rPr>
          <w:lang w:val="en-US"/>
        </w:rPr>
        <w:t xml:space="preserve"> and </w:t>
      </w:r>
      <w:proofErr w:type="spellStart"/>
      <w:r w:rsidRPr="00A40DE7">
        <w:rPr>
          <w:lang w:val="en-US"/>
        </w:rPr>
        <w:t>pembrolizumab</w:t>
      </w:r>
      <w:proofErr w:type="spellEnd"/>
      <w:r w:rsidRPr="00A40DE7">
        <w:rPr>
          <w:lang w:val="en-US"/>
        </w:rPr>
        <w:t xml:space="preserve"> to </w:t>
      </w:r>
      <w:proofErr w:type="spellStart"/>
      <w:r w:rsidRPr="00A40DE7">
        <w:rPr>
          <w:lang w:val="en-US"/>
        </w:rPr>
        <w:lastRenderedPageBreak/>
        <w:t>pembrolizumab</w:t>
      </w:r>
      <w:proofErr w:type="spellEnd"/>
      <w:r w:rsidRPr="00A40DE7">
        <w:rPr>
          <w:lang w:val="en-US"/>
        </w:rPr>
        <w:t xml:space="preserve"> alone will be replaced by a Phase </w:t>
      </w:r>
      <w:r w:rsidR="00A83FFD">
        <w:rPr>
          <w:lang w:val="en-US"/>
        </w:rPr>
        <w:t>III</w:t>
      </w:r>
      <w:r w:rsidRPr="00A40DE7">
        <w:rPr>
          <w:lang w:val="en-US"/>
        </w:rPr>
        <w:t xml:space="preserve"> design. Approximately 660 subjects will be randomized 1:1 to </w:t>
      </w:r>
      <w:proofErr w:type="spellStart"/>
      <w:r w:rsidRPr="00A40DE7">
        <w:rPr>
          <w:lang w:val="en-US"/>
        </w:rPr>
        <w:t>pembrolizumab</w:t>
      </w:r>
      <w:proofErr w:type="spellEnd"/>
      <w:r w:rsidRPr="00A40DE7">
        <w:rPr>
          <w:lang w:val="en-US"/>
        </w:rPr>
        <w:t xml:space="preserve"> 200 mg (intravenous) every 3 weeks either with or without </w:t>
      </w:r>
      <w:proofErr w:type="spellStart"/>
      <w:r w:rsidRPr="00A40DE7">
        <w:rPr>
          <w:lang w:val="en-US"/>
        </w:rPr>
        <w:t>talimogene</w:t>
      </w:r>
      <w:proofErr w:type="spellEnd"/>
      <w:r w:rsidRPr="00A40DE7">
        <w:rPr>
          <w:lang w:val="en-US"/>
        </w:rPr>
        <w:t xml:space="preserve"> </w:t>
      </w:r>
      <w:proofErr w:type="spellStart"/>
      <w:r w:rsidRPr="00A40DE7">
        <w:rPr>
          <w:lang w:val="en-US"/>
        </w:rPr>
        <w:t>laherparepvec</w:t>
      </w:r>
      <w:proofErr w:type="spellEnd"/>
      <w:r w:rsidRPr="00A40DE7">
        <w:rPr>
          <w:lang w:val="en-US"/>
        </w:rPr>
        <w:t xml:space="preserve"> 106 PFU/mL for the first dose, 108 PFU/mL (≤ 4 mL </w:t>
      </w:r>
      <w:proofErr w:type="spellStart"/>
      <w:r w:rsidRPr="00A40DE7">
        <w:rPr>
          <w:lang w:val="en-US"/>
        </w:rPr>
        <w:t>intralesional</w:t>
      </w:r>
      <w:proofErr w:type="spellEnd"/>
      <w:r w:rsidRPr="00A40DE7">
        <w:rPr>
          <w:lang w:val="en-US"/>
        </w:rPr>
        <w:t xml:space="preserve">) 3 weeks later for the second dose, then every 2 weeks until the ninth week of treatment, and then every 3 weeks thereafter. There will be dual primary objectives to evaluate the efficacy of </w:t>
      </w:r>
      <w:proofErr w:type="spellStart"/>
      <w:r w:rsidRPr="00A40DE7">
        <w:rPr>
          <w:lang w:val="en-US"/>
        </w:rPr>
        <w:t>talimogene</w:t>
      </w:r>
      <w:proofErr w:type="spellEnd"/>
      <w:r w:rsidRPr="00A40DE7">
        <w:rPr>
          <w:lang w:val="en-US"/>
        </w:rPr>
        <w:t xml:space="preserve"> </w:t>
      </w:r>
      <w:proofErr w:type="spellStart"/>
      <w:r w:rsidRPr="00A40DE7">
        <w:rPr>
          <w:lang w:val="en-US"/>
        </w:rPr>
        <w:t>laherparepvec</w:t>
      </w:r>
      <w:proofErr w:type="spellEnd"/>
      <w:r w:rsidRPr="00A40DE7">
        <w:rPr>
          <w:lang w:val="en-US"/>
        </w:rPr>
        <w:t xml:space="preserve"> and </w:t>
      </w:r>
      <w:proofErr w:type="spellStart"/>
      <w:r w:rsidRPr="00A40DE7">
        <w:rPr>
          <w:lang w:val="en-US"/>
        </w:rPr>
        <w:t>pembrolizumab</w:t>
      </w:r>
      <w:proofErr w:type="spellEnd"/>
      <w:r w:rsidRPr="00A40DE7">
        <w:rPr>
          <w:lang w:val="en-US"/>
        </w:rPr>
        <w:t xml:space="preserve"> as assessed by both PFS and OS.</w:t>
      </w:r>
    </w:p>
    <w:p w14:paraId="44135897" w14:textId="77777777" w:rsidR="005034AC" w:rsidRPr="00A40DE7" w:rsidRDefault="005034AC" w:rsidP="00BA29E3">
      <w:pPr>
        <w:pStyle w:val="Heading4"/>
        <w:rPr>
          <w:lang w:val="en-US"/>
        </w:rPr>
      </w:pPr>
      <w:r w:rsidRPr="00A40DE7">
        <w:rPr>
          <w:lang w:val="en-US"/>
        </w:rPr>
        <w:t>Evaluator’s comment</w:t>
      </w:r>
    </w:p>
    <w:p w14:paraId="353A82E1" w14:textId="77777777" w:rsidR="005034AC" w:rsidRPr="00A40DE7" w:rsidRDefault="005034AC" w:rsidP="005034AC">
      <w:pPr>
        <w:autoSpaceDE w:val="0"/>
        <w:autoSpaceDN w:val="0"/>
        <w:adjustRightInd w:val="0"/>
        <w:jc w:val="both"/>
        <w:rPr>
          <w:color w:val="000000"/>
          <w:lang w:val="en-US"/>
        </w:rPr>
      </w:pPr>
      <w:r w:rsidRPr="00A40DE7">
        <w:rPr>
          <w:color w:val="000000"/>
          <w:lang w:val="en-US"/>
        </w:rPr>
        <w:t>The response is considered acceptable.</w:t>
      </w:r>
    </w:p>
    <w:p w14:paraId="20BBCC67" w14:textId="77777777" w:rsidR="00970674" w:rsidRDefault="00970674" w:rsidP="00D46F50">
      <w:pPr>
        <w:pStyle w:val="Heading3"/>
      </w:pPr>
      <w:bookmarkStart w:id="312" w:name="_Toc452631115"/>
      <w:r>
        <w:t>Second round benefit-risk assessment</w:t>
      </w:r>
      <w:bookmarkEnd w:id="303"/>
      <w:bookmarkEnd w:id="304"/>
      <w:bookmarkEnd w:id="305"/>
      <w:bookmarkEnd w:id="306"/>
      <w:bookmarkEnd w:id="312"/>
    </w:p>
    <w:p w14:paraId="5F9D5D03" w14:textId="77777777" w:rsidR="00970674" w:rsidRDefault="00970674" w:rsidP="00D46F50">
      <w:pPr>
        <w:pStyle w:val="Heading4"/>
      </w:pPr>
      <w:bookmarkStart w:id="313" w:name="_Toc290663810"/>
      <w:bookmarkStart w:id="314" w:name="_Toc290663966"/>
      <w:bookmarkStart w:id="315" w:name="_Toc290664559"/>
      <w:bookmarkStart w:id="316" w:name="_Toc290664868"/>
      <w:bookmarkStart w:id="317" w:name="_Toc290665024"/>
      <w:bookmarkStart w:id="318" w:name="_Toc290665752"/>
      <w:bookmarkStart w:id="319" w:name="_Toc290665925"/>
      <w:bookmarkStart w:id="320" w:name="_Toc290669473"/>
      <w:bookmarkStart w:id="321" w:name="_Toc290669646"/>
      <w:bookmarkStart w:id="322" w:name="_Toc290715963"/>
      <w:bookmarkStart w:id="323" w:name="_Toc290716136"/>
      <w:bookmarkStart w:id="324" w:name="_Toc290731463"/>
      <w:bookmarkStart w:id="325" w:name="_Toc290731636"/>
      <w:bookmarkStart w:id="326" w:name="_Toc290731957"/>
      <w:bookmarkStart w:id="327" w:name="_Toc290732278"/>
      <w:bookmarkStart w:id="328" w:name="_Toc290663811"/>
      <w:bookmarkStart w:id="329" w:name="_Toc290663967"/>
      <w:bookmarkStart w:id="330" w:name="_Toc290664560"/>
      <w:bookmarkStart w:id="331" w:name="_Toc290664869"/>
      <w:bookmarkStart w:id="332" w:name="_Toc290665025"/>
      <w:bookmarkStart w:id="333" w:name="_Toc290665753"/>
      <w:bookmarkStart w:id="334" w:name="_Toc290665926"/>
      <w:bookmarkStart w:id="335" w:name="_Toc290669474"/>
      <w:bookmarkStart w:id="336" w:name="_Toc290669647"/>
      <w:bookmarkStart w:id="337" w:name="_Toc290715964"/>
      <w:bookmarkStart w:id="338" w:name="_Toc290716137"/>
      <w:bookmarkStart w:id="339" w:name="_Toc290731464"/>
      <w:bookmarkStart w:id="340" w:name="_Toc290731637"/>
      <w:bookmarkStart w:id="341" w:name="_Toc290731958"/>
      <w:bookmarkStart w:id="342" w:name="_Toc290732279"/>
      <w:bookmarkStart w:id="343" w:name="_Toc272414709"/>
      <w:bookmarkStart w:id="344" w:name="_Toc290846349"/>
      <w:bookmarkStart w:id="345" w:name="_Toc429143967"/>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r>
        <w:t>Second round assessment of benefits</w:t>
      </w:r>
      <w:bookmarkEnd w:id="343"/>
      <w:bookmarkEnd w:id="344"/>
      <w:bookmarkEnd w:id="345"/>
    </w:p>
    <w:p w14:paraId="330634E0" w14:textId="45A3C1E1" w:rsidR="00970674" w:rsidRDefault="00970674" w:rsidP="00970674">
      <w:r>
        <w:t xml:space="preserve">After consideration of the responses to clinical questions, the benefits of </w:t>
      </w:r>
      <w:proofErr w:type="spellStart"/>
      <w:r w:rsidR="002C0543">
        <w:t>Imlygic</w:t>
      </w:r>
      <w:proofErr w:type="spellEnd"/>
      <w:r w:rsidR="00BA348C">
        <w:t xml:space="preserve"> </w:t>
      </w:r>
      <w:r>
        <w:t xml:space="preserve">in the proposed usage are unchanged from those identified in </w:t>
      </w:r>
      <w:r w:rsidR="00D46F50">
        <w:t>the First round evaluation</w:t>
      </w:r>
      <w:r>
        <w:t>.</w:t>
      </w:r>
    </w:p>
    <w:p w14:paraId="102747B9" w14:textId="77777777" w:rsidR="00970674" w:rsidRDefault="00970674" w:rsidP="00970674">
      <w:pPr>
        <w:pStyle w:val="Heading4"/>
      </w:pPr>
      <w:bookmarkStart w:id="346" w:name="_Toc429143968"/>
      <w:bookmarkStart w:id="347" w:name="_Toc290846350"/>
      <w:bookmarkStart w:id="348" w:name="_Toc272414710"/>
      <w:r>
        <w:t>Second round assessment of risks</w:t>
      </w:r>
      <w:bookmarkEnd w:id="346"/>
      <w:bookmarkEnd w:id="347"/>
      <w:bookmarkEnd w:id="348"/>
    </w:p>
    <w:p w14:paraId="4DF74F96" w14:textId="76A3356F" w:rsidR="00970674" w:rsidRDefault="00970674" w:rsidP="00970674">
      <w:pPr>
        <w:autoSpaceDE w:val="0"/>
        <w:autoSpaceDN w:val="0"/>
        <w:adjustRightInd w:val="0"/>
      </w:pPr>
      <w:r>
        <w:t xml:space="preserve">After consideration of the responses to clinical questions, the benefits of </w:t>
      </w:r>
      <w:proofErr w:type="spellStart"/>
      <w:r w:rsidR="002C0543">
        <w:t>Imlygic</w:t>
      </w:r>
      <w:proofErr w:type="spellEnd"/>
      <w:r>
        <w:t xml:space="preserve"> in the proposed usage are unchanged from those identified in </w:t>
      </w:r>
      <w:r w:rsidR="00D46F50">
        <w:t>the First round evaluation</w:t>
      </w:r>
      <w:r>
        <w:t>.</w:t>
      </w:r>
    </w:p>
    <w:p w14:paraId="23B4FCFE" w14:textId="77777777" w:rsidR="00970674" w:rsidRDefault="00970674" w:rsidP="00970674">
      <w:pPr>
        <w:pStyle w:val="Heading4"/>
      </w:pPr>
      <w:bookmarkStart w:id="349" w:name="_Toc429143969"/>
      <w:bookmarkStart w:id="350" w:name="_Toc290846351"/>
      <w:bookmarkStart w:id="351" w:name="_Toc272414711"/>
      <w:r>
        <w:t>Second round assessment of benefit-risk balance</w:t>
      </w:r>
      <w:bookmarkEnd w:id="349"/>
      <w:bookmarkEnd w:id="350"/>
      <w:bookmarkEnd w:id="351"/>
    </w:p>
    <w:p w14:paraId="715A6B65" w14:textId="0CA95D77" w:rsidR="00970674" w:rsidRDefault="00970674" w:rsidP="00970674">
      <w:r>
        <w:t xml:space="preserve">The benefit-risk balance of </w:t>
      </w:r>
      <w:proofErr w:type="spellStart"/>
      <w:r w:rsidR="002C0543">
        <w:t>Imlygic</w:t>
      </w:r>
      <w:proofErr w:type="spellEnd"/>
      <w:r w:rsidR="00BA348C">
        <w:t xml:space="preserve"> </w:t>
      </w:r>
      <w:r>
        <w:t xml:space="preserve">is unfavourable given the proposed usage, but would become favourable if the changes recommended in </w:t>
      </w:r>
      <w:r w:rsidR="00311835">
        <w:t xml:space="preserve">Second </w:t>
      </w:r>
      <w:r w:rsidR="00342116">
        <w:t>round evaluation</w:t>
      </w:r>
      <w:r>
        <w:t xml:space="preserve"> are adopted</w:t>
      </w:r>
      <w:r w:rsidR="00311835">
        <w:t xml:space="preserve"> (11.7)</w:t>
      </w:r>
      <w:r>
        <w:t>.</w:t>
      </w:r>
    </w:p>
    <w:p w14:paraId="34D6FAB4" w14:textId="77777777" w:rsidR="00970674" w:rsidRDefault="00970674" w:rsidP="00970674">
      <w:pPr>
        <w:pStyle w:val="Heading3"/>
      </w:pPr>
      <w:bookmarkStart w:id="352" w:name="_Toc429143970"/>
      <w:bookmarkStart w:id="353" w:name="_Toc290846352"/>
      <w:bookmarkStart w:id="354" w:name="_Toc272414713"/>
      <w:bookmarkStart w:id="355" w:name="_Ref272160677"/>
      <w:bookmarkStart w:id="356" w:name="_Toc452631116"/>
      <w:r>
        <w:t>Second round recommendation regarding authorisation</w:t>
      </w:r>
      <w:bookmarkEnd w:id="352"/>
      <w:bookmarkEnd w:id="353"/>
      <w:bookmarkEnd w:id="354"/>
      <w:bookmarkEnd w:id="355"/>
      <w:bookmarkEnd w:id="356"/>
      <w:r>
        <w:t xml:space="preserve"> </w:t>
      </w:r>
    </w:p>
    <w:p w14:paraId="365C8C5B" w14:textId="4E108DC8" w:rsidR="00970674" w:rsidRDefault="002C0543" w:rsidP="00D46F50">
      <w:pPr>
        <w:pStyle w:val="ListBullet"/>
      </w:pPr>
      <w:proofErr w:type="spellStart"/>
      <w:r>
        <w:t>Imlygic</w:t>
      </w:r>
      <w:proofErr w:type="spellEnd"/>
      <w:r w:rsidR="00970674">
        <w:t xml:space="preserve"> usage </w:t>
      </w:r>
      <w:proofErr w:type="gramStart"/>
      <w:r w:rsidR="00970674">
        <w:t>be</w:t>
      </w:r>
      <w:proofErr w:type="gramEnd"/>
      <w:r w:rsidR="00970674">
        <w:t xml:space="preserve"> restricted to patients with Stage IIIB/C</w:t>
      </w:r>
      <w:r w:rsidR="00BA348C">
        <w:t xml:space="preserve"> </w:t>
      </w:r>
      <w:r w:rsidR="00970674">
        <w:t>and IV1a melanoma</w:t>
      </w:r>
      <w:r w:rsidR="00D46F50">
        <w:t xml:space="preserve">. </w:t>
      </w:r>
    </w:p>
    <w:p w14:paraId="1781450B" w14:textId="77777777" w:rsidR="00970674" w:rsidRDefault="00970674" w:rsidP="00D46F50">
      <w:pPr>
        <w:pStyle w:val="ListBullet"/>
      </w:pPr>
      <w:r>
        <w:t xml:space="preserve">That administration with immune checkpoint inhibitors </w:t>
      </w:r>
      <w:proofErr w:type="gramStart"/>
      <w:r>
        <w:t>be</w:t>
      </w:r>
      <w:proofErr w:type="gramEnd"/>
      <w:r>
        <w:t xml:space="preserve"> restricted to approved clinical trials</w:t>
      </w:r>
      <w:r w:rsidR="00D46F50">
        <w:t>.</w:t>
      </w:r>
      <w:r>
        <w:t xml:space="preserve"> </w:t>
      </w:r>
    </w:p>
    <w:p w14:paraId="5542837F" w14:textId="77777777" w:rsidR="00C618F7" w:rsidRDefault="00C618F7" w:rsidP="00C618F7">
      <w:pPr>
        <w:pStyle w:val="Heading2"/>
      </w:pPr>
      <w:bookmarkStart w:id="357" w:name="_Toc452631117"/>
      <w:r>
        <w:t>References</w:t>
      </w:r>
      <w:bookmarkEnd w:id="357"/>
    </w:p>
    <w:p w14:paraId="73BB8A6E" w14:textId="77777777" w:rsidR="00104A71" w:rsidRPr="002C0543" w:rsidRDefault="00104A71" w:rsidP="00B22065">
      <w:pPr>
        <w:spacing w:line="240" w:lineRule="auto"/>
        <w:ind w:left="720" w:hanging="720"/>
      </w:pPr>
      <w:proofErr w:type="spellStart"/>
      <w:r w:rsidRPr="00090F4E">
        <w:t>Andtbacka</w:t>
      </w:r>
      <w:proofErr w:type="spellEnd"/>
      <w:r w:rsidRPr="00090F4E">
        <w:t xml:space="preserve"> RHI et al </w:t>
      </w:r>
      <w:proofErr w:type="spellStart"/>
      <w:r w:rsidRPr="00090F4E">
        <w:t>OPTiM</w:t>
      </w:r>
      <w:proofErr w:type="spellEnd"/>
      <w:r w:rsidRPr="00090F4E">
        <w:t xml:space="preserve">: A randomized phase III trial of </w:t>
      </w:r>
      <w:proofErr w:type="spellStart"/>
      <w:r w:rsidRPr="00090F4E">
        <w:t>talimogene</w:t>
      </w:r>
      <w:proofErr w:type="spellEnd"/>
      <w:r w:rsidRPr="00090F4E">
        <w:t xml:space="preserve"> </w:t>
      </w:r>
      <w:proofErr w:type="spellStart"/>
      <w:r w:rsidRPr="00090F4E">
        <w:t>laherparepvec</w:t>
      </w:r>
      <w:proofErr w:type="spellEnd"/>
      <w:r w:rsidRPr="00090F4E">
        <w:t xml:space="preserve"> (T-VEC) versus subcutaneous (SC) granulocyte-macrophage colony-stimulating factor (GM-CSF) for the treatment (</w:t>
      </w:r>
      <w:proofErr w:type="spellStart"/>
      <w:proofErr w:type="gramStart"/>
      <w:r w:rsidRPr="00090F4E">
        <w:t>tx</w:t>
      </w:r>
      <w:proofErr w:type="spellEnd"/>
      <w:proofErr w:type="gramEnd"/>
      <w:r w:rsidRPr="00090F4E">
        <w:t xml:space="preserve">) of </w:t>
      </w:r>
      <w:proofErr w:type="spellStart"/>
      <w:r w:rsidRPr="00090F4E">
        <w:t>unresected</w:t>
      </w:r>
      <w:proofErr w:type="spellEnd"/>
      <w:r w:rsidRPr="00090F4E">
        <w:t xml:space="preserve"> stage IIIB/C and IV melanoma. </w:t>
      </w:r>
      <w:proofErr w:type="gramStart"/>
      <w:r w:rsidRPr="00090F4E">
        <w:t>Journal of Clinical Oncology, 2013</w:t>
      </w:r>
      <w:r w:rsidRPr="002C0543">
        <w:t>.</w:t>
      </w:r>
      <w:proofErr w:type="gramEnd"/>
    </w:p>
    <w:p w14:paraId="1EF37BC4" w14:textId="77777777" w:rsidR="001F0A99" w:rsidRDefault="00970674" w:rsidP="00B22065">
      <w:pPr>
        <w:spacing w:line="240" w:lineRule="auto"/>
        <w:ind w:left="720" w:hanging="720"/>
      </w:pPr>
      <w:r w:rsidRPr="00B635B4">
        <w:t xml:space="preserve">Chapman PB, </w:t>
      </w:r>
      <w:proofErr w:type="spellStart"/>
      <w:r w:rsidRPr="00B635B4">
        <w:t>Hauschild</w:t>
      </w:r>
      <w:proofErr w:type="spellEnd"/>
      <w:r w:rsidRPr="00B635B4">
        <w:t xml:space="preserve"> A, Robert C, </w:t>
      </w:r>
      <w:proofErr w:type="spellStart"/>
      <w:r w:rsidRPr="00B635B4">
        <w:t>Haanen</w:t>
      </w:r>
      <w:proofErr w:type="spellEnd"/>
      <w:r w:rsidRPr="00B635B4">
        <w:t xml:space="preserve"> JB, </w:t>
      </w:r>
      <w:proofErr w:type="spellStart"/>
      <w:r w:rsidRPr="00B635B4">
        <w:t>Ascierto</w:t>
      </w:r>
      <w:proofErr w:type="spellEnd"/>
      <w:r w:rsidRPr="00B635B4">
        <w:t xml:space="preserve"> P, Larkin J, et al. Improved survival with </w:t>
      </w:r>
      <w:proofErr w:type="spellStart"/>
      <w:r w:rsidRPr="00B635B4">
        <w:t>vemurafenib</w:t>
      </w:r>
      <w:proofErr w:type="spellEnd"/>
      <w:r w:rsidRPr="00B635B4">
        <w:t xml:space="preserve"> in melanoma with BRAF V600E mutation. </w:t>
      </w:r>
      <w:proofErr w:type="gramStart"/>
      <w:r w:rsidRPr="00B635B4">
        <w:t>The New England journal of medicine.</w:t>
      </w:r>
      <w:proofErr w:type="gramEnd"/>
      <w:r w:rsidRPr="00B635B4">
        <w:t xml:space="preserve"> 2011</w:t>
      </w:r>
      <w:proofErr w:type="gramStart"/>
      <w:r w:rsidRPr="00B635B4">
        <w:t>;364</w:t>
      </w:r>
      <w:proofErr w:type="gramEnd"/>
      <w:r w:rsidRPr="00B635B4">
        <w:t>(26):2507-16.</w:t>
      </w:r>
    </w:p>
    <w:p w14:paraId="7DDFC7AB" w14:textId="77777777" w:rsidR="001F0A99" w:rsidRDefault="001F0A99" w:rsidP="00B22065">
      <w:pPr>
        <w:spacing w:line="240" w:lineRule="auto"/>
        <w:ind w:left="720" w:hanging="720"/>
      </w:pPr>
      <w:proofErr w:type="spellStart"/>
      <w:r w:rsidRPr="001F0A99">
        <w:t>Colombino</w:t>
      </w:r>
      <w:proofErr w:type="spellEnd"/>
      <w:r w:rsidRPr="001F0A99">
        <w:t xml:space="preserve"> M, et al. (2012). BRAF/NRAS Mutation Frequencies </w:t>
      </w:r>
      <w:proofErr w:type="gramStart"/>
      <w:r w:rsidRPr="001F0A99">
        <w:t>Among</w:t>
      </w:r>
      <w:proofErr w:type="gramEnd"/>
      <w:r w:rsidRPr="001F0A99">
        <w:t xml:space="preserve"> Primary </w:t>
      </w:r>
      <w:proofErr w:type="spellStart"/>
      <w:r w:rsidRPr="001F0A99">
        <w:t>Tumors</w:t>
      </w:r>
      <w:proofErr w:type="spellEnd"/>
      <w:r w:rsidRPr="001F0A99">
        <w:t xml:space="preserve"> and Metastases in Patients With Melanoma. J </w:t>
      </w:r>
      <w:proofErr w:type="spellStart"/>
      <w:r w:rsidRPr="001F0A99">
        <w:t>Clin</w:t>
      </w:r>
      <w:proofErr w:type="spellEnd"/>
      <w:r w:rsidRPr="001F0A99">
        <w:t xml:space="preserve"> </w:t>
      </w:r>
      <w:proofErr w:type="spellStart"/>
      <w:r w:rsidRPr="001F0A99">
        <w:t>Oncol</w:t>
      </w:r>
      <w:proofErr w:type="spellEnd"/>
      <w:r w:rsidRPr="001F0A99">
        <w:t xml:space="preserve"> 30:2522-2529.</w:t>
      </w:r>
    </w:p>
    <w:p w14:paraId="0CFBF78A" w14:textId="77777777" w:rsidR="00970674" w:rsidRDefault="00970674" w:rsidP="00B22065">
      <w:pPr>
        <w:spacing w:line="240" w:lineRule="auto"/>
        <w:ind w:left="720" w:hanging="720"/>
      </w:pPr>
      <w:proofErr w:type="gramStart"/>
      <w:r>
        <w:t xml:space="preserve">Hamid, O., Robert, C., </w:t>
      </w:r>
      <w:proofErr w:type="spellStart"/>
      <w:r>
        <w:t>Daud</w:t>
      </w:r>
      <w:proofErr w:type="spellEnd"/>
      <w:r>
        <w:t xml:space="preserve">, A., Hodi, F. S., </w:t>
      </w:r>
      <w:proofErr w:type="spellStart"/>
      <w:r>
        <w:t>Hwu</w:t>
      </w:r>
      <w:proofErr w:type="spellEnd"/>
      <w:r>
        <w:t xml:space="preserve">, W.-J., </w:t>
      </w:r>
      <w:proofErr w:type="spellStart"/>
      <w:r>
        <w:t>Kefford</w:t>
      </w:r>
      <w:proofErr w:type="spellEnd"/>
      <w:r>
        <w:t xml:space="preserve">, R., </w:t>
      </w:r>
      <w:proofErr w:type="spellStart"/>
      <w:r>
        <w:t>Ribas</w:t>
      </w:r>
      <w:proofErr w:type="spellEnd"/>
      <w:r>
        <w:t>, A. (2013).</w:t>
      </w:r>
      <w:proofErr w:type="gramEnd"/>
      <w:r>
        <w:t xml:space="preserve"> </w:t>
      </w:r>
      <w:proofErr w:type="gramStart"/>
      <w:r>
        <w:t xml:space="preserve">Safety and </w:t>
      </w:r>
      <w:r w:rsidR="00BA29E3">
        <w:t>Tumour</w:t>
      </w:r>
      <w:r>
        <w:t xml:space="preserve"> Responses with </w:t>
      </w:r>
      <w:proofErr w:type="spellStart"/>
      <w:r>
        <w:t>Lambrolizumab</w:t>
      </w:r>
      <w:proofErr w:type="spellEnd"/>
      <w:r>
        <w:t xml:space="preserve"> (Anti–PD-1) in Melanoma.</w:t>
      </w:r>
      <w:proofErr w:type="gramEnd"/>
      <w:r>
        <w:t xml:space="preserve"> The New England Journal of Medicine, 369(2), 134–144. </w:t>
      </w:r>
      <w:proofErr w:type="gramStart"/>
      <w:r>
        <w:t>doi:</w:t>
      </w:r>
      <w:proofErr w:type="gramEnd"/>
      <w:r>
        <w:t>10.1056/NEJMoa1305133</w:t>
      </w:r>
    </w:p>
    <w:p w14:paraId="39542BE5" w14:textId="77777777" w:rsidR="00970674" w:rsidRDefault="00970674" w:rsidP="00B22065">
      <w:pPr>
        <w:spacing w:line="240" w:lineRule="auto"/>
        <w:ind w:left="720" w:hanging="720"/>
      </w:pPr>
      <w:r>
        <w:t xml:space="preserve">Harrington K, </w:t>
      </w:r>
      <w:proofErr w:type="spellStart"/>
      <w:r>
        <w:t>Hingorani</w:t>
      </w:r>
      <w:proofErr w:type="spellEnd"/>
      <w:r>
        <w:t xml:space="preserve"> M, </w:t>
      </w:r>
      <w:proofErr w:type="spellStart"/>
      <w:r>
        <w:t>Tanay</w:t>
      </w:r>
      <w:proofErr w:type="spellEnd"/>
      <w:r>
        <w:t xml:space="preserve"> MA, et al. Phase I/II study of oncolytic HSVGM-CSF in combination with radiotherapy and cisplatin in untreated </w:t>
      </w:r>
      <w:r w:rsidR="007C3083">
        <w:t>Stage I</w:t>
      </w:r>
      <w:r>
        <w:t xml:space="preserve">II/IV squamous cell cancer of the head and neck. </w:t>
      </w:r>
      <w:proofErr w:type="spellStart"/>
      <w:r>
        <w:t>Clin</w:t>
      </w:r>
      <w:proofErr w:type="spellEnd"/>
      <w:r>
        <w:t xml:space="preserve"> Cancer Res. 2010</w:t>
      </w:r>
      <w:proofErr w:type="gramStart"/>
      <w:r>
        <w:t>;16:4005</w:t>
      </w:r>
      <w:proofErr w:type="gramEnd"/>
      <w:r>
        <w:t>-4015.</w:t>
      </w:r>
    </w:p>
    <w:p w14:paraId="6D24C3F5" w14:textId="77777777" w:rsidR="00970674" w:rsidRDefault="00970674" w:rsidP="00B22065">
      <w:pPr>
        <w:spacing w:line="240" w:lineRule="auto"/>
        <w:ind w:left="720" w:hanging="720"/>
      </w:pPr>
      <w:r>
        <w:lastRenderedPageBreak/>
        <w:t xml:space="preserve">Hodi FS, Lee S, McDermott DF, Rao UN, Butterfield LH, </w:t>
      </w:r>
      <w:proofErr w:type="spellStart"/>
      <w:r>
        <w:t>Tarhini</w:t>
      </w:r>
      <w:proofErr w:type="spellEnd"/>
      <w:r>
        <w:t xml:space="preserve"> AA, et al. Ipilimumab plus </w:t>
      </w:r>
      <w:proofErr w:type="spellStart"/>
      <w:r>
        <w:t>sargramostim</w:t>
      </w:r>
      <w:proofErr w:type="spellEnd"/>
      <w:r>
        <w:t xml:space="preserve"> vs </w:t>
      </w:r>
      <w:proofErr w:type="spellStart"/>
      <w:r>
        <w:t>ipilimumab</w:t>
      </w:r>
      <w:proofErr w:type="spellEnd"/>
      <w:r>
        <w:t xml:space="preserve"> alone for treatment of metastatic melanoma: a randomized clinical trial. </w:t>
      </w:r>
      <w:proofErr w:type="gramStart"/>
      <w:r>
        <w:t>Jama.</w:t>
      </w:r>
      <w:proofErr w:type="gramEnd"/>
      <w:r>
        <w:t xml:space="preserve"> 2014</w:t>
      </w:r>
      <w:proofErr w:type="gramStart"/>
      <w:r>
        <w:t>;312</w:t>
      </w:r>
      <w:proofErr w:type="gramEnd"/>
      <w:r>
        <w:t>(17):1744-53.</w:t>
      </w:r>
    </w:p>
    <w:p w14:paraId="367E910E" w14:textId="77777777" w:rsidR="00970674" w:rsidRDefault="00970674" w:rsidP="00B22065">
      <w:pPr>
        <w:spacing w:line="240" w:lineRule="auto"/>
        <w:ind w:left="720" w:hanging="720"/>
      </w:pPr>
      <w:proofErr w:type="spellStart"/>
      <w:r>
        <w:t>Hoos</w:t>
      </w:r>
      <w:proofErr w:type="spellEnd"/>
      <w:r>
        <w:t xml:space="preserve"> A, </w:t>
      </w:r>
      <w:proofErr w:type="spellStart"/>
      <w:r>
        <w:t>Eggermont</w:t>
      </w:r>
      <w:proofErr w:type="spellEnd"/>
      <w:r>
        <w:t xml:space="preserve"> AM, </w:t>
      </w:r>
      <w:proofErr w:type="spellStart"/>
      <w:r>
        <w:t>Janetzki</w:t>
      </w:r>
      <w:proofErr w:type="spellEnd"/>
      <w:r>
        <w:t xml:space="preserve"> S, Hodi FS, Ibrahim R, Anderson A, et al. Improved endpoints for cancer immunotherapy trials. </w:t>
      </w:r>
      <w:proofErr w:type="gramStart"/>
      <w:r>
        <w:t>Journal of the National Cancer Institute.</w:t>
      </w:r>
      <w:proofErr w:type="gramEnd"/>
      <w:r>
        <w:t xml:space="preserve"> 2010</w:t>
      </w:r>
      <w:proofErr w:type="gramStart"/>
      <w:r>
        <w:t>;102</w:t>
      </w:r>
      <w:proofErr w:type="gramEnd"/>
      <w:r>
        <w:t>(18):1388-97.</w:t>
      </w:r>
    </w:p>
    <w:p w14:paraId="308F9416" w14:textId="77777777" w:rsidR="00970674" w:rsidRDefault="00970674" w:rsidP="00B22065">
      <w:pPr>
        <w:spacing w:line="240" w:lineRule="auto"/>
        <w:ind w:left="720" w:hanging="720"/>
      </w:pPr>
      <w:proofErr w:type="gramStart"/>
      <w:r>
        <w:t>Hu JC, Coffin RS, Davis CJ, et al.</w:t>
      </w:r>
      <w:proofErr w:type="gramEnd"/>
      <w:r>
        <w:t xml:space="preserve"> A phase I study of </w:t>
      </w:r>
      <w:proofErr w:type="spellStart"/>
      <w:r>
        <w:t>OncoVEXGM</w:t>
      </w:r>
      <w:proofErr w:type="spellEnd"/>
      <w:r>
        <w:t xml:space="preserve">-CSF, a </w:t>
      </w:r>
      <w:proofErr w:type="spellStart"/>
      <w:r>
        <w:t>secondgeneration</w:t>
      </w:r>
      <w:proofErr w:type="spellEnd"/>
      <w:r>
        <w:t xml:space="preserve"> oncolytic herpes simplex virus expressing granulocyte macrophage </w:t>
      </w:r>
      <w:proofErr w:type="spellStart"/>
      <w:r>
        <w:t>colonystimulating</w:t>
      </w:r>
      <w:proofErr w:type="spellEnd"/>
      <w:r>
        <w:t xml:space="preserve"> factor. </w:t>
      </w:r>
      <w:proofErr w:type="spellStart"/>
      <w:r>
        <w:t>Clin</w:t>
      </w:r>
      <w:proofErr w:type="spellEnd"/>
      <w:r>
        <w:t xml:space="preserve"> Cancer Res. 2006</w:t>
      </w:r>
      <w:proofErr w:type="gramStart"/>
      <w:r>
        <w:t>;12:6737</w:t>
      </w:r>
      <w:proofErr w:type="gramEnd"/>
      <w:r>
        <w:t>-6747.</w:t>
      </w:r>
    </w:p>
    <w:p w14:paraId="0F30ED35" w14:textId="77777777" w:rsidR="00970674" w:rsidRDefault="00970674" w:rsidP="00B22065">
      <w:pPr>
        <w:spacing w:line="240" w:lineRule="auto"/>
        <w:ind w:left="720" w:hanging="720"/>
      </w:pPr>
      <w:proofErr w:type="gramStart"/>
      <w:r>
        <w:t xml:space="preserve">Kaufman HL, Ruby CE, Hughes T, </w:t>
      </w:r>
      <w:proofErr w:type="spellStart"/>
      <w:r>
        <w:t>Slingluff</w:t>
      </w:r>
      <w:proofErr w:type="spellEnd"/>
      <w:r>
        <w:t xml:space="preserve"> CL. Current status of granulocyte–macrophage colony-stimulating factor in the immunotherapy of melanoma.</w:t>
      </w:r>
      <w:proofErr w:type="gramEnd"/>
      <w:r>
        <w:t xml:space="preserve"> </w:t>
      </w:r>
      <w:proofErr w:type="gramStart"/>
      <w:r>
        <w:t>Journal for Immunotherapy of Cancer.</w:t>
      </w:r>
      <w:proofErr w:type="gramEnd"/>
      <w:r>
        <w:t xml:space="preserve"> 2014</w:t>
      </w:r>
      <w:proofErr w:type="gramStart"/>
      <w:r>
        <w:t>;2:11</w:t>
      </w:r>
      <w:proofErr w:type="gramEnd"/>
      <w:r>
        <w:t>.</w:t>
      </w:r>
    </w:p>
    <w:p w14:paraId="5ADC9C1E" w14:textId="77777777" w:rsidR="002C0543" w:rsidRDefault="002C0543" w:rsidP="00B22065">
      <w:pPr>
        <w:spacing w:line="240" w:lineRule="auto"/>
        <w:ind w:left="720" w:hanging="720"/>
        <w:rPr>
          <w:color w:val="000000"/>
          <w:lang w:val="en-US"/>
        </w:rPr>
      </w:pPr>
      <w:r>
        <w:rPr>
          <w:color w:val="000000"/>
          <w:lang w:val="en-US"/>
        </w:rPr>
        <w:t xml:space="preserve">Kaufman HL et al. Primary overall survival (OS) from </w:t>
      </w:r>
      <w:proofErr w:type="spellStart"/>
      <w:r>
        <w:rPr>
          <w:color w:val="000000"/>
          <w:lang w:val="en-US"/>
        </w:rPr>
        <w:t>OPTiM</w:t>
      </w:r>
      <w:proofErr w:type="spellEnd"/>
      <w:r>
        <w:rPr>
          <w:color w:val="000000"/>
          <w:lang w:val="en-US"/>
        </w:rPr>
        <w:t xml:space="preserve">, a randomized phase III trial of </w:t>
      </w:r>
      <w:proofErr w:type="spellStart"/>
      <w:r>
        <w:rPr>
          <w:color w:val="000000"/>
          <w:lang w:val="en-US"/>
        </w:rPr>
        <w:t>talimogene</w:t>
      </w:r>
      <w:proofErr w:type="spellEnd"/>
      <w:r>
        <w:rPr>
          <w:color w:val="000000"/>
          <w:lang w:val="en-US"/>
        </w:rPr>
        <w:t xml:space="preserve"> </w:t>
      </w:r>
      <w:proofErr w:type="spellStart"/>
      <w:r>
        <w:rPr>
          <w:color w:val="000000"/>
          <w:lang w:val="en-US"/>
        </w:rPr>
        <w:t>laherparepvec</w:t>
      </w:r>
      <w:proofErr w:type="spellEnd"/>
      <w:r>
        <w:rPr>
          <w:color w:val="000000"/>
          <w:lang w:val="en-US"/>
        </w:rPr>
        <w:t xml:space="preserve"> (T-VEC) versus subcutaneous (SC) granulocyte-macrophage colony-stimulating factor (GM-CSF) for the treatment (</w:t>
      </w:r>
      <w:proofErr w:type="spellStart"/>
      <w:proofErr w:type="gramStart"/>
      <w:r>
        <w:rPr>
          <w:color w:val="000000"/>
          <w:lang w:val="en-US"/>
        </w:rPr>
        <w:t>tx</w:t>
      </w:r>
      <w:proofErr w:type="spellEnd"/>
      <w:proofErr w:type="gramEnd"/>
      <w:r>
        <w:rPr>
          <w:color w:val="000000"/>
          <w:lang w:val="en-US"/>
        </w:rPr>
        <w:t xml:space="preserve">) of </w:t>
      </w:r>
      <w:proofErr w:type="spellStart"/>
      <w:r>
        <w:rPr>
          <w:color w:val="000000"/>
          <w:lang w:val="en-US"/>
        </w:rPr>
        <w:t>unresected</w:t>
      </w:r>
      <w:proofErr w:type="spellEnd"/>
      <w:r>
        <w:rPr>
          <w:color w:val="000000"/>
          <w:lang w:val="en-US"/>
        </w:rPr>
        <w:t xml:space="preserve"> stage IIIB/C and IV melanoma.</w:t>
      </w:r>
      <w:r>
        <w:rPr>
          <w:color w:val="000000"/>
          <w:sz w:val="27"/>
          <w:szCs w:val="27"/>
          <w:lang w:val="en-US"/>
        </w:rPr>
        <w:t xml:space="preserve"> </w:t>
      </w:r>
      <w:r>
        <w:rPr>
          <w:color w:val="000000"/>
          <w:lang w:val="en-US"/>
        </w:rPr>
        <w:t xml:space="preserve">J </w:t>
      </w:r>
      <w:proofErr w:type="spellStart"/>
      <w:r>
        <w:rPr>
          <w:color w:val="000000"/>
          <w:lang w:val="en-US"/>
        </w:rPr>
        <w:t>Clin</w:t>
      </w:r>
      <w:proofErr w:type="spellEnd"/>
      <w:r>
        <w:rPr>
          <w:color w:val="000000"/>
          <w:lang w:val="en-US"/>
        </w:rPr>
        <w:t xml:space="preserve"> </w:t>
      </w:r>
      <w:proofErr w:type="spellStart"/>
      <w:r>
        <w:rPr>
          <w:color w:val="000000"/>
          <w:lang w:val="en-US"/>
        </w:rPr>
        <w:t>Oncol</w:t>
      </w:r>
      <w:proofErr w:type="spellEnd"/>
      <w:r>
        <w:rPr>
          <w:color w:val="000000"/>
          <w:lang w:val="en-US"/>
        </w:rPr>
        <w:t xml:space="preserve"> 32:5s, 2014 (</w:t>
      </w:r>
      <w:proofErr w:type="spellStart"/>
      <w:r>
        <w:rPr>
          <w:color w:val="000000"/>
          <w:lang w:val="en-US"/>
        </w:rPr>
        <w:t>suppl</w:t>
      </w:r>
      <w:proofErr w:type="spellEnd"/>
      <w:r>
        <w:rPr>
          <w:color w:val="000000"/>
          <w:lang w:val="en-US"/>
        </w:rPr>
        <w:t xml:space="preserve">; </w:t>
      </w:r>
      <w:proofErr w:type="spellStart"/>
      <w:r>
        <w:rPr>
          <w:color w:val="000000"/>
          <w:lang w:val="en-US"/>
        </w:rPr>
        <w:t>abstr</w:t>
      </w:r>
      <w:proofErr w:type="spellEnd"/>
      <w:r>
        <w:rPr>
          <w:color w:val="000000"/>
          <w:lang w:val="en-US"/>
        </w:rPr>
        <w:t xml:space="preserve"> 9008a) </w:t>
      </w:r>
    </w:p>
    <w:p w14:paraId="6578CC97" w14:textId="77777777" w:rsidR="004C27AB" w:rsidRDefault="004C27AB" w:rsidP="00B22065">
      <w:pPr>
        <w:spacing w:line="240" w:lineRule="auto"/>
        <w:ind w:left="720" w:hanging="720"/>
        <w:rPr>
          <w:rStyle w:val="mixed-citation"/>
          <w:lang w:val="en"/>
        </w:rPr>
      </w:pPr>
      <w:r>
        <w:rPr>
          <w:rStyle w:val="mixed-citation"/>
          <w:lang w:val="en"/>
        </w:rPr>
        <w:t xml:space="preserve">Kaufman HL, Kim DW, </w:t>
      </w:r>
      <w:proofErr w:type="spellStart"/>
      <w:r>
        <w:rPr>
          <w:rStyle w:val="mixed-citation"/>
          <w:lang w:val="en"/>
        </w:rPr>
        <w:t>DeRaffele</w:t>
      </w:r>
      <w:proofErr w:type="spellEnd"/>
      <w:r>
        <w:rPr>
          <w:rStyle w:val="mixed-citation"/>
          <w:lang w:val="en"/>
        </w:rPr>
        <w:t xml:space="preserve"> G, Mitcham J, Coffin RS, Kim-Schulze S. Local and distant immunity induced by </w:t>
      </w:r>
      <w:proofErr w:type="spellStart"/>
      <w:r>
        <w:rPr>
          <w:rStyle w:val="mixed-citation"/>
          <w:lang w:val="en"/>
        </w:rPr>
        <w:t>intralesional</w:t>
      </w:r>
      <w:proofErr w:type="spellEnd"/>
      <w:r>
        <w:rPr>
          <w:rStyle w:val="mixed-citation"/>
          <w:lang w:val="en"/>
        </w:rPr>
        <w:t xml:space="preserve"> vaccination with an oncolytic herpes virus encoding GM-CSF in patients with stage </w:t>
      </w:r>
      <w:proofErr w:type="spellStart"/>
      <w:r>
        <w:rPr>
          <w:rStyle w:val="mixed-citation"/>
          <w:lang w:val="en"/>
        </w:rPr>
        <w:t>IIIc</w:t>
      </w:r>
      <w:proofErr w:type="spellEnd"/>
      <w:r>
        <w:rPr>
          <w:rStyle w:val="mixed-citation"/>
          <w:lang w:val="en"/>
        </w:rPr>
        <w:t xml:space="preserve"> and IV melanoma. </w:t>
      </w:r>
      <w:r>
        <w:rPr>
          <w:rStyle w:val="ref-journal"/>
          <w:lang w:val="en"/>
        </w:rPr>
        <w:t xml:space="preserve">Ann </w:t>
      </w:r>
      <w:proofErr w:type="spellStart"/>
      <w:r>
        <w:rPr>
          <w:rStyle w:val="ref-journal"/>
          <w:lang w:val="en"/>
        </w:rPr>
        <w:t>Surg</w:t>
      </w:r>
      <w:proofErr w:type="spellEnd"/>
      <w:r>
        <w:rPr>
          <w:rStyle w:val="ref-journal"/>
          <w:lang w:val="en"/>
        </w:rPr>
        <w:t xml:space="preserve"> </w:t>
      </w:r>
      <w:proofErr w:type="spellStart"/>
      <w:r>
        <w:rPr>
          <w:rStyle w:val="ref-journal"/>
          <w:lang w:val="en"/>
        </w:rPr>
        <w:t>Oncol</w:t>
      </w:r>
      <w:proofErr w:type="spellEnd"/>
      <w:r>
        <w:rPr>
          <w:rStyle w:val="ref-journal"/>
          <w:lang w:val="en"/>
        </w:rPr>
        <w:t xml:space="preserve">. </w:t>
      </w:r>
      <w:r>
        <w:rPr>
          <w:rStyle w:val="mixed-citation"/>
          <w:lang w:val="en"/>
        </w:rPr>
        <w:t>2010</w:t>
      </w:r>
      <w:proofErr w:type="gramStart"/>
      <w:r>
        <w:rPr>
          <w:rStyle w:val="mixed-citation"/>
          <w:lang w:val="en"/>
        </w:rPr>
        <w:t>;</w:t>
      </w:r>
      <w:r>
        <w:rPr>
          <w:rStyle w:val="ref-vol"/>
          <w:lang w:val="en"/>
        </w:rPr>
        <w:t>17</w:t>
      </w:r>
      <w:r>
        <w:rPr>
          <w:rStyle w:val="mixed-citation"/>
          <w:lang w:val="en"/>
        </w:rPr>
        <w:t>:718</w:t>
      </w:r>
      <w:proofErr w:type="gramEnd"/>
      <w:r>
        <w:rPr>
          <w:rStyle w:val="mixed-citation"/>
          <w:lang w:val="en"/>
        </w:rPr>
        <w:t xml:space="preserve">–730. </w:t>
      </w:r>
      <w:proofErr w:type="spellStart"/>
      <w:proofErr w:type="gramStart"/>
      <w:r>
        <w:rPr>
          <w:rStyle w:val="mixed-citation"/>
          <w:lang w:val="en"/>
        </w:rPr>
        <w:t>doi</w:t>
      </w:r>
      <w:proofErr w:type="spellEnd"/>
      <w:proofErr w:type="gramEnd"/>
      <w:r>
        <w:rPr>
          <w:rStyle w:val="mixed-citation"/>
          <w:lang w:val="en"/>
        </w:rPr>
        <w:t>: 10.1245/s10434-009-0809-6.</w:t>
      </w:r>
    </w:p>
    <w:p w14:paraId="6308BC3B" w14:textId="77777777" w:rsidR="001F0A99" w:rsidRDefault="00970674" w:rsidP="00B22065">
      <w:pPr>
        <w:spacing w:line="240" w:lineRule="auto"/>
        <w:ind w:left="720" w:hanging="720"/>
      </w:pPr>
      <w:r>
        <w:t xml:space="preserve">Kirkwood JM, Lee S, </w:t>
      </w:r>
      <w:proofErr w:type="spellStart"/>
      <w:r>
        <w:t>Moschos</w:t>
      </w:r>
      <w:proofErr w:type="spellEnd"/>
      <w:r>
        <w:t xml:space="preserve"> SJ, Albertini MR, </w:t>
      </w:r>
      <w:proofErr w:type="spellStart"/>
      <w:r>
        <w:t>Michalak</w:t>
      </w:r>
      <w:proofErr w:type="spellEnd"/>
      <w:r>
        <w:t xml:space="preserve"> JC, Sander C, et al. Immunogenicity and </w:t>
      </w:r>
      <w:proofErr w:type="spellStart"/>
      <w:r>
        <w:t>anti</w:t>
      </w:r>
      <w:r w:rsidR="00BA348C">
        <w:t>tumour</w:t>
      </w:r>
      <w:proofErr w:type="spellEnd"/>
      <w:r>
        <w:t xml:space="preserve"> effects of vaccination with peptide vaccine+/-granulocyte-monocyte colony-stimulating factor and/or IFN-alpha2b in advanced metastatic melanoma: Eastern Cooperative Oncology Group Phase II Trial E1696. Clinical cancer research: an official journal of the American Association for Cancer Research. 2009</w:t>
      </w:r>
      <w:proofErr w:type="gramStart"/>
      <w:r>
        <w:t>;15</w:t>
      </w:r>
      <w:proofErr w:type="gramEnd"/>
      <w:r>
        <w:t>(4):1443-51.</w:t>
      </w:r>
      <w:r w:rsidR="001F0A99">
        <w:t xml:space="preserve"> </w:t>
      </w:r>
    </w:p>
    <w:p w14:paraId="612A0331" w14:textId="77777777" w:rsidR="001F0A99" w:rsidRDefault="001F0A99" w:rsidP="00B22065">
      <w:pPr>
        <w:spacing w:line="240" w:lineRule="auto"/>
        <w:ind w:left="720" w:hanging="720"/>
        <w:rPr>
          <w:lang w:val="en-US"/>
        </w:rPr>
      </w:pPr>
      <w:proofErr w:type="gramStart"/>
      <w:r>
        <w:t xml:space="preserve">Lawson DH, Lee SJ, </w:t>
      </w:r>
      <w:proofErr w:type="spellStart"/>
      <w:r>
        <w:t>Tarhini</w:t>
      </w:r>
      <w:proofErr w:type="spellEnd"/>
      <w:r>
        <w:t xml:space="preserve"> AA, </w:t>
      </w:r>
      <w:proofErr w:type="spellStart"/>
      <w:r>
        <w:t>Margolin</w:t>
      </w:r>
      <w:proofErr w:type="spellEnd"/>
      <w:r>
        <w:t xml:space="preserve"> KA, </w:t>
      </w:r>
      <w:proofErr w:type="spellStart"/>
      <w:r>
        <w:t>Ernstoff</w:t>
      </w:r>
      <w:proofErr w:type="spellEnd"/>
      <w:r>
        <w:t xml:space="preserve"> MS, Kirkwood JM.</w:t>
      </w:r>
      <w:proofErr w:type="gramEnd"/>
      <w:r>
        <w:t xml:space="preserve"> E4697: Phase III cooperative group study of yeast-derived granulocyte macrophage colony stimulating factor (GM-CSF) versus placebo as adjuvant treatment of patients with completely resected stage III-IV melanoma [abstract</w:t>
      </w:r>
      <w:r w:rsidRPr="001F0A99">
        <w:t xml:space="preserve">]. </w:t>
      </w:r>
      <w:r w:rsidRPr="001F0A99">
        <w:rPr>
          <w:iCs/>
        </w:rPr>
        <w:t xml:space="preserve">J </w:t>
      </w:r>
      <w:proofErr w:type="spellStart"/>
      <w:r w:rsidRPr="001F0A99">
        <w:rPr>
          <w:iCs/>
        </w:rPr>
        <w:t>Clin</w:t>
      </w:r>
      <w:proofErr w:type="spellEnd"/>
      <w:r w:rsidRPr="001F0A99">
        <w:rPr>
          <w:iCs/>
        </w:rPr>
        <w:t xml:space="preserve"> </w:t>
      </w:r>
      <w:proofErr w:type="spellStart"/>
      <w:r w:rsidRPr="001F0A99">
        <w:rPr>
          <w:iCs/>
        </w:rPr>
        <w:t>Oncol</w:t>
      </w:r>
      <w:proofErr w:type="spellEnd"/>
      <w:r w:rsidRPr="001F0A99">
        <w:rPr>
          <w:iCs/>
        </w:rPr>
        <w:t xml:space="preserve"> </w:t>
      </w:r>
      <w:r w:rsidRPr="001F0A99">
        <w:t>2010</w:t>
      </w:r>
      <w:proofErr w:type="gramStart"/>
      <w:r>
        <w:t>;28</w:t>
      </w:r>
      <w:proofErr w:type="gramEnd"/>
      <w:r>
        <w:t>(</w:t>
      </w:r>
      <w:proofErr w:type="spellStart"/>
      <w:r>
        <w:t>supp</w:t>
      </w:r>
      <w:proofErr w:type="spellEnd"/>
      <w:r>
        <w:t>):Abstract 8504</w:t>
      </w:r>
    </w:p>
    <w:p w14:paraId="23C94DE3" w14:textId="77777777" w:rsidR="00970674" w:rsidRDefault="00970674" w:rsidP="00B22065">
      <w:pPr>
        <w:spacing w:line="240" w:lineRule="auto"/>
        <w:ind w:left="720" w:hanging="720"/>
        <w:rPr>
          <w:lang w:val="en-US"/>
        </w:rPr>
      </w:pPr>
      <w:r>
        <w:rPr>
          <w:lang w:val="en-US"/>
        </w:rPr>
        <w:t>Liu BL, et al. ICP34.5 deleted herpes simplex virus with enhanced oncolytic, immune stimulating, and anti-</w:t>
      </w:r>
      <w:proofErr w:type="spellStart"/>
      <w:r>
        <w:rPr>
          <w:lang w:val="en-US"/>
        </w:rPr>
        <w:t>tumour</w:t>
      </w:r>
      <w:proofErr w:type="spellEnd"/>
      <w:r>
        <w:rPr>
          <w:lang w:val="en-US"/>
        </w:rPr>
        <w:t xml:space="preserve"> properties. </w:t>
      </w:r>
      <w:r>
        <w:rPr>
          <w:i/>
          <w:iCs/>
          <w:lang w:val="en-US"/>
        </w:rPr>
        <w:t xml:space="preserve">Gene </w:t>
      </w:r>
      <w:proofErr w:type="spellStart"/>
      <w:r>
        <w:rPr>
          <w:i/>
          <w:iCs/>
          <w:lang w:val="en-US"/>
        </w:rPr>
        <w:t>Ther</w:t>
      </w:r>
      <w:proofErr w:type="spellEnd"/>
      <w:r>
        <w:rPr>
          <w:lang w:val="en-US"/>
        </w:rPr>
        <w:t>. 2003; 10(4):292-303.</w:t>
      </w:r>
    </w:p>
    <w:p w14:paraId="7CBDC432" w14:textId="77777777" w:rsidR="00970674" w:rsidRDefault="00970674" w:rsidP="00B22065">
      <w:pPr>
        <w:spacing w:line="240" w:lineRule="auto"/>
        <w:ind w:left="720" w:hanging="720"/>
      </w:pPr>
      <w:r>
        <w:t xml:space="preserve">Long GV, </w:t>
      </w:r>
      <w:proofErr w:type="spellStart"/>
      <w:r>
        <w:t>Stroyakovskiy</w:t>
      </w:r>
      <w:proofErr w:type="spellEnd"/>
      <w:r>
        <w:t xml:space="preserve"> D, </w:t>
      </w:r>
      <w:proofErr w:type="spellStart"/>
      <w:r>
        <w:t>Gogas</w:t>
      </w:r>
      <w:proofErr w:type="spellEnd"/>
      <w:r>
        <w:t xml:space="preserve"> H, </w:t>
      </w:r>
      <w:proofErr w:type="spellStart"/>
      <w:r>
        <w:t>Levchenko</w:t>
      </w:r>
      <w:proofErr w:type="spellEnd"/>
      <w:r>
        <w:t xml:space="preserve"> E, de </w:t>
      </w:r>
      <w:proofErr w:type="spellStart"/>
      <w:r>
        <w:t>Braud</w:t>
      </w:r>
      <w:proofErr w:type="spellEnd"/>
      <w:r>
        <w:t xml:space="preserve"> F, </w:t>
      </w:r>
      <w:proofErr w:type="gramStart"/>
      <w:r>
        <w:t>Larkin</w:t>
      </w:r>
      <w:proofErr w:type="gramEnd"/>
      <w:r>
        <w:t xml:space="preserve"> J, et al. Combined BRAF and MEK inhibition versus BRAF inhibition alone in melanoma. </w:t>
      </w:r>
      <w:proofErr w:type="gramStart"/>
      <w:r>
        <w:t>The New England journal of medicine.</w:t>
      </w:r>
      <w:proofErr w:type="gramEnd"/>
      <w:r>
        <w:t xml:space="preserve"> 2014</w:t>
      </w:r>
      <w:proofErr w:type="gramStart"/>
      <w:r>
        <w:t>;371</w:t>
      </w:r>
      <w:proofErr w:type="gramEnd"/>
      <w:r>
        <w:t>(20):1877-88.</w:t>
      </w:r>
    </w:p>
    <w:p w14:paraId="171C9DFD" w14:textId="77777777" w:rsidR="00970674" w:rsidRDefault="00970674" w:rsidP="00B22065">
      <w:pPr>
        <w:spacing w:line="240" w:lineRule="auto"/>
        <w:ind w:left="720" w:hanging="720"/>
        <w:rPr>
          <w:lang w:val="en-US"/>
        </w:rPr>
      </w:pPr>
      <w:proofErr w:type="spellStart"/>
      <w:r>
        <w:rPr>
          <w:lang w:val="en-US"/>
        </w:rPr>
        <w:t>MacKie</w:t>
      </w:r>
      <w:proofErr w:type="spellEnd"/>
      <w:r>
        <w:rPr>
          <w:lang w:val="en-US"/>
        </w:rPr>
        <w:t xml:space="preserve"> RM, Stewart B, Brown SM. </w:t>
      </w:r>
      <w:proofErr w:type="spellStart"/>
      <w:r>
        <w:rPr>
          <w:lang w:val="en-US"/>
        </w:rPr>
        <w:t>Intralesional</w:t>
      </w:r>
      <w:proofErr w:type="spellEnd"/>
      <w:r>
        <w:rPr>
          <w:lang w:val="en-US"/>
        </w:rPr>
        <w:t xml:space="preserve"> injection of herpes simplex virus 1716 in metastatic melanoma. </w:t>
      </w:r>
      <w:proofErr w:type="gramStart"/>
      <w:r>
        <w:rPr>
          <w:lang w:val="en-US"/>
        </w:rPr>
        <w:t>Lancet.</w:t>
      </w:r>
      <w:proofErr w:type="gramEnd"/>
      <w:r>
        <w:rPr>
          <w:lang w:val="en-US"/>
        </w:rPr>
        <w:t xml:space="preserve"> 2001</w:t>
      </w:r>
      <w:proofErr w:type="gramStart"/>
      <w:r>
        <w:rPr>
          <w:lang w:val="en-US"/>
        </w:rPr>
        <w:t>;357:525</w:t>
      </w:r>
      <w:proofErr w:type="gramEnd"/>
      <w:r>
        <w:rPr>
          <w:lang w:val="en-US"/>
        </w:rPr>
        <w:t>-526.</w:t>
      </w:r>
    </w:p>
    <w:p w14:paraId="3FE5B512" w14:textId="77777777" w:rsidR="00970674" w:rsidRDefault="00970674" w:rsidP="00B22065">
      <w:pPr>
        <w:spacing w:line="240" w:lineRule="auto"/>
        <w:ind w:left="720" w:hanging="720"/>
        <w:rPr>
          <w:lang w:val="en-US"/>
        </w:rPr>
      </w:pPr>
      <w:proofErr w:type="spellStart"/>
      <w:r>
        <w:rPr>
          <w:lang w:val="en-US"/>
        </w:rPr>
        <w:t>Markert</w:t>
      </w:r>
      <w:proofErr w:type="spellEnd"/>
      <w:r>
        <w:rPr>
          <w:lang w:val="en-US"/>
        </w:rPr>
        <w:t xml:space="preserve"> JM, Medlock MD, </w:t>
      </w:r>
      <w:proofErr w:type="spellStart"/>
      <w:r>
        <w:rPr>
          <w:lang w:val="en-US"/>
        </w:rPr>
        <w:t>Rabkin</w:t>
      </w:r>
      <w:proofErr w:type="spellEnd"/>
      <w:r>
        <w:rPr>
          <w:lang w:val="en-US"/>
        </w:rPr>
        <w:t xml:space="preserve"> </w:t>
      </w:r>
      <w:proofErr w:type="spellStart"/>
      <w:r>
        <w:rPr>
          <w:lang w:val="en-US"/>
        </w:rPr>
        <w:t>SD</w:t>
      </w:r>
      <w:proofErr w:type="gramStart"/>
      <w:r>
        <w:rPr>
          <w:lang w:val="en-US"/>
        </w:rPr>
        <w:t>,et</w:t>
      </w:r>
      <w:proofErr w:type="spellEnd"/>
      <w:proofErr w:type="gramEnd"/>
      <w:r>
        <w:rPr>
          <w:lang w:val="en-US"/>
        </w:rPr>
        <w:t xml:space="preserve"> al. Conditionally replicating herpes simplex virus mutant, G207 for the treatment of malignant glioma: results of a phase I trial. Gene </w:t>
      </w:r>
      <w:proofErr w:type="spellStart"/>
      <w:r>
        <w:rPr>
          <w:lang w:val="en-US"/>
        </w:rPr>
        <w:t>Ther</w:t>
      </w:r>
      <w:proofErr w:type="spellEnd"/>
      <w:r>
        <w:rPr>
          <w:lang w:val="en-US"/>
        </w:rPr>
        <w:t>. 2000</w:t>
      </w:r>
      <w:proofErr w:type="gramStart"/>
      <w:r>
        <w:rPr>
          <w:lang w:val="en-US"/>
        </w:rPr>
        <w:t>;7:867</w:t>
      </w:r>
      <w:proofErr w:type="gramEnd"/>
      <w:r>
        <w:rPr>
          <w:lang w:val="en-US"/>
        </w:rPr>
        <w:t>-874.</w:t>
      </w:r>
    </w:p>
    <w:p w14:paraId="6A605C49" w14:textId="77777777" w:rsidR="00970674" w:rsidRDefault="00970674" w:rsidP="00B22065">
      <w:pPr>
        <w:spacing w:line="240" w:lineRule="auto"/>
        <w:ind w:left="720" w:hanging="720"/>
      </w:pPr>
      <w:proofErr w:type="gramStart"/>
      <w:r>
        <w:t xml:space="preserve">Menzies, Alexander M, Georgina V Long, and </w:t>
      </w:r>
      <w:proofErr w:type="spellStart"/>
      <w:r>
        <w:t>Rajmohan</w:t>
      </w:r>
      <w:proofErr w:type="spellEnd"/>
      <w:r>
        <w:t xml:space="preserve"> </w:t>
      </w:r>
      <w:proofErr w:type="spellStart"/>
      <w:r>
        <w:t>Murali</w:t>
      </w:r>
      <w:proofErr w:type="spellEnd"/>
      <w:r>
        <w:t>.</w:t>
      </w:r>
      <w:proofErr w:type="gramEnd"/>
      <w:r>
        <w:t xml:space="preserve"> </w:t>
      </w:r>
      <w:proofErr w:type="gramStart"/>
      <w:r w:rsidR="00E420FF">
        <w:t>‘</w:t>
      </w:r>
      <w:proofErr w:type="spellStart"/>
      <w:r>
        <w:t>Dabrafenib</w:t>
      </w:r>
      <w:proofErr w:type="spellEnd"/>
      <w:r>
        <w:t xml:space="preserve"> and Its Potential for the Treatment of Metastatic Melanoma.</w:t>
      </w:r>
      <w:r w:rsidR="00E420FF">
        <w:t>’</w:t>
      </w:r>
      <w:proofErr w:type="gramEnd"/>
      <w:r>
        <w:t xml:space="preserve"> Drug Design, Development and Therapy 6 (2012): 391–405.</w:t>
      </w:r>
    </w:p>
    <w:p w14:paraId="0DC15A2D" w14:textId="77777777" w:rsidR="00970674" w:rsidRDefault="00970674" w:rsidP="00B22065">
      <w:pPr>
        <w:spacing w:line="240" w:lineRule="auto"/>
        <w:ind w:left="720" w:hanging="720"/>
        <w:rPr>
          <w:lang w:val="en-US"/>
        </w:rPr>
      </w:pPr>
      <w:proofErr w:type="spellStart"/>
      <w:r>
        <w:rPr>
          <w:lang w:val="en-US"/>
        </w:rPr>
        <w:t>Mineta</w:t>
      </w:r>
      <w:proofErr w:type="spellEnd"/>
      <w:r>
        <w:rPr>
          <w:lang w:val="en-US"/>
        </w:rPr>
        <w:t xml:space="preserve"> T, </w:t>
      </w:r>
      <w:proofErr w:type="spellStart"/>
      <w:r>
        <w:rPr>
          <w:lang w:val="en-US"/>
        </w:rPr>
        <w:t>Rabkin</w:t>
      </w:r>
      <w:proofErr w:type="spellEnd"/>
      <w:r>
        <w:rPr>
          <w:lang w:val="en-US"/>
        </w:rPr>
        <w:t xml:space="preserve"> R, </w:t>
      </w:r>
      <w:proofErr w:type="spellStart"/>
      <w:r>
        <w:rPr>
          <w:lang w:val="en-US"/>
        </w:rPr>
        <w:t>Yazaki</w:t>
      </w:r>
      <w:proofErr w:type="spellEnd"/>
      <w:r>
        <w:rPr>
          <w:lang w:val="en-US"/>
        </w:rPr>
        <w:t xml:space="preserve"> T, Hunter WD, </w:t>
      </w:r>
      <w:proofErr w:type="spellStart"/>
      <w:r>
        <w:rPr>
          <w:lang w:val="en-US"/>
        </w:rPr>
        <w:t>Martuza</w:t>
      </w:r>
      <w:proofErr w:type="spellEnd"/>
      <w:r>
        <w:rPr>
          <w:lang w:val="en-US"/>
        </w:rPr>
        <w:t xml:space="preserve"> RL. </w:t>
      </w:r>
      <w:proofErr w:type="gramStart"/>
      <w:r>
        <w:rPr>
          <w:lang w:val="en-US"/>
        </w:rPr>
        <w:t>Attenuated multi-mutated herpes simplex virus-1 for the treatment of malignant gliomas.</w:t>
      </w:r>
      <w:proofErr w:type="gramEnd"/>
      <w:r>
        <w:rPr>
          <w:lang w:val="en-US"/>
        </w:rPr>
        <w:t xml:space="preserve"> Nat Med. 1995</w:t>
      </w:r>
      <w:proofErr w:type="gramStart"/>
      <w:r>
        <w:rPr>
          <w:lang w:val="en-US"/>
        </w:rPr>
        <w:t>;1:938</w:t>
      </w:r>
      <w:proofErr w:type="gramEnd"/>
      <w:r>
        <w:rPr>
          <w:lang w:val="en-US"/>
        </w:rPr>
        <w:t>-943.</w:t>
      </w:r>
    </w:p>
    <w:p w14:paraId="4DAD3B47" w14:textId="77777777" w:rsidR="00970674" w:rsidRDefault="00970674" w:rsidP="00B22065">
      <w:pPr>
        <w:spacing w:line="240" w:lineRule="auto"/>
        <w:ind w:left="720" w:hanging="720"/>
        <w:rPr>
          <w:lang w:val="en-US"/>
        </w:rPr>
      </w:pPr>
      <w:proofErr w:type="spellStart"/>
      <w:r>
        <w:rPr>
          <w:lang w:val="en-US"/>
        </w:rPr>
        <w:t>Rampling</w:t>
      </w:r>
      <w:proofErr w:type="spellEnd"/>
      <w:r>
        <w:rPr>
          <w:lang w:val="en-US"/>
        </w:rPr>
        <w:t xml:space="preserve"> R, Cruickshank G, </w:t>
      </w:r>
      <w:proofErr w:type="spellStart"/>
      <w:r>
        <w:rPr>
          <w:lang w:val="en-US"/>
        </w:rPr>
        <w:t>Papanastassiou</w:t>
      </w:r>
      <w:proofErr w:type="spellEnd"/>
      <w:r>
        <w:rPr>
          <w:lang w:val="en-US"/>
        </w:rPr>
        <w:t xml:space="preserve"> V, et al. Toxicity evaluation of replication-competent herpes simplex virus (ICP 34.5 null mutant 1716) in patients with recurrent malignant glioma. Gene </w:t>
      </w:r>
      <w:proofErr w:type="spellStart"/>
      <w:r>
        <w:rPr>
          <w:lang w:val="en-US"/>
        </w:rPr>
        <w:t>Ther</w:t>
      </w:r>
      <w:proofErr w:type="spellEnd"/>
      <w:r>
        <w:rPr>
          <w:lang w:val="en-US"/>
        </w:rPr>
        <w:t>. 2000</w:t>
      </w:r>
      <w:proofErr w:type="gramStart"/>
      <w:r>
        <w:rPr>
          <w:lang w:val="en-US"/>
        </w:rPr>
        <w:t>;7:859</w:t>
      </w:r>
      <w:proofErr w:type="gramEnd"/>
      <w:r>
        <w:rPr>
          <w:lang w:val="en-US"/>
        </w:rPr>
        <w:t>-866.</w:t>
      </w:r>
    </w:p>
    <w:p w14:paraId="09C7DED9" w14:textId="77777777" w:rsidR="00970674" w:rsidRDefault="00970674" w:rsidP="00B22065">
      <w:pPr>
        <w:spacing w:line="240" w:lineRule="auto"/>
        <w:ind w:left="720" w:hanging="720"/>
      </w:pPr>
      <w:proofErr w:type="spellStart"/>
      <w:r>
        <w:lastRenderedPageBreak/>
        <w:t>Ribas</w:t>
      </w:r>
      <w:proofErr w:type="spellEnd"/>
      <w:r>
        <w:t xml:space="preserve"> A, Hersey P, Middleton MR, </w:t>
      </w:r>
      <w:proofErr w:type="spellStart"/>
      <w:r>
        <w:t>Gogas</w:t>
      </w:r>
      <w:proofErr w:type="spellEnd"/>
      <w:r>
        <w:t xml:space="preserve"> H, Flaherty KT, </w:t>
      </w:r>
      <w:proofErr w:type="spellStart"/>
      <w:r>
        <w:t>Sondak</w:t>
      </w:r>
      <w:proofErr w:type="spellEnd"/>
      <w:r>
        <w:t xml:space="preserve"> VK, et al. New challenges in endpoints for drug development in advanced melanoma. Clinical cancer </w:t>
      </w:r>
      <w:proofErr w:type="gramStart"/>
      <w:r>
        <w:t>research :</w:t>
      </w:r>
      <w:proofErr w:type="gramEnd"/>
      <w:r>
        <w:t xml:space="preserve"> an official journal of the American Association for Cancer Research. 2012</w:t>
      </w:r>
      <w:proofErr w:type="gramStart"/>
      <w:r>
        <w:t>;18</w:t>
      </w:r>
      <w:proofErr w:type="gramEnd"/>
      <w:r>
        <w:t>(2):336-41.</w:t>
      </w:r>
    </w:p>
    <w:p w14:paraId="53BCEC52" w14:textId="77777777" w:rsidR="00970674" w:rsidRDefault="00970674" w:rsidP="00B22065">
      <w:pPr>
        <w:spacing w:line="240" w:lineRule="auto"/>
        <w:ind w:left="720" w:hanging="720"/>
      </w:pPr>
      <w:r>
        <w:t xml:space="preserve">Robert C, </w:t>
      </w:r>
      <w:proofErr w:type="spellStart"/>
      <w:r>
        <w:t>Karaszewska</w:t>
      </w:r>
      <w:proofErr w:type="spellEnd"/>
      <w:r>
        <w:t xml:space="preserve"> B, </w:t>
      </w:r>
      <w:proofErr w:type="spellStart"/>
      <w:r>
        <w:t>Schachter</w:t>
      </w:r>
      <w:proofErr w:type="spellEnd"/>
      <w:r>
        <w:t xml:space="preserve"> J, </w:t>
      </w:r>
      <w:proofErr w:type="spellStart"/>
      <w:r>
        <w:t>Rutkowski</w:t>
      </w:r>
      <w:proofErr w:type="spellEnd"/>
      <w:r>
        <w:t xml:space="preserve"> P, </w:t>
      </w:r>
      <w:proofErr w:type="spellStart"/>
      <w:r>
        <w:t>Mackiewicz</w:t>
      </w:r>
      <w:proofErr w:type="spellEnd"/>
      <w:r>
        <w:t xml:space="preserve"> A, </w:t>
      </w:r>
      <w:proofErr w:type="spellStart"/>
      <w:r>
        <w:t>Stroiakovski</w:t>
      </w:r>
      <w:proofErr w:type="spellEnd"/>
      <w:r>
        <w:t xml:space="preserve"> D, et al. Improved Overall Survival in Melanoma with Combined </w:t>
      </w:r>
      <w:proofErr w:type="spellStart"/>
      <w:r>
        <w:t>Dabrafenib</w:t>
      </w:r>
      <w:proofErr w:type="spellEnd"/>
      <w:r>
        <w:t xml:space="preserve"> and </w:t>
      </w:r>
      <w:proofErr w:type="spellStart"/>
      <w:r>
        <w:t>Trametinib</w:t>
      </w:r>
      <w:proofErr w:type="spellEnd"/>
      <w:r>
        <w:t xml:space="preserve">. </w:t>
      </w:r>
      <w:proofErr w:type="gramStart"/>
      <w:r>
        <w:t>The New England journal of medicine.</w:t>
      </w:r>
      <w:proofErr w:type="gramEnd"/>
      <w:r>
        <w:t xml:space="preserve"> 2014.</w:t>
      </w:r>
    </w:p>
    <w:p w14:paraId="11C2D631" w14:textId="77777777" w:rsidR="00970674" w:rsidRDefault="00970674" w:rsidP="00B22065">
      <w:pPr>
        <w:spacing w:line="240" w:lineRule="auto"/>
        <w:ind w:left="720" w:hanging="720"/>
      </w:pPr>
      <w:r>
        <w:t xml:space="preserve">Robert C, Long GV, Brady B, </w:t>
      </w:r>
      <w:proofErr w:type="spellStart"/>
      <w:r>
        <w:t>Dutriaux</w:t>
      </w:r>
      <w:proofErr w:type="spellEnd"/>
      <w:r>
        <w:t xml:space="preserve"> C, </w:t>
      </w:r>
      <w:proofErr w:type="spellStart"/>
      <w:r>
        <w:t>Maio</w:t>
      </w:r>
      <w:proofErr w:type="spellEnd"/>
      <w:r>
        <w:t xml:space="preserve"> M, </w:t>
      </w:r>
      <w:proofErr w:type="spellStart"/>
      <w:r>
        <w:t>Mortier</w:t>
      </w:r>
      <w:proofErr w:type="spellEnd"/>
      <w:r>
        <w:t xml:space="preserve"> L, et al. </w:t>
      </w:r>
      <w:proofErr w:type="spellStart"/>
      <w:r>
        <w:t>Nivolumab</w:t>
      </w:r>
      <w:proofErr w:type="spellEnd"/>
      <w:r>
        <w:t xml:space="preserve"> in Previously Untreated Melanoma without BRAF Mutation. </w:t>
      </w:r>
      <w:proofErr w:type="gramStart"/>
      <w:r>
        <w:t>The New England journal of medicine.</w:t>
      </w:r>
      <w:proofErr w:type="gramEnd"/>
      <w:r>
        <w:t xml:space="preserve"> 2014.</w:t>
      </w:r>
    </w:p>
    <w:p w14:paraId="7A9FC574" w14:textId="77777777" w:rsidR="00970674" w:rsidRDefault="00970674" w:rsidP="00B22065">
      <w:pPr>
        <w:spacing w:line="240" w:lineRule="auto"/>
        <w:ind w:left="720" w:hanging="720"/>
        <w:rPr>
          <w:lang w:val="en-US"/>
        </w:rPr>
      </w:pPr>
      <w:proofErr w:type="spellStart"/>
      <w:r>
        <w:rPr>
          <w:lang w:val="en-US"/>
        </w:rPr>
        <w:t>Senzer</w:t>
      </w:r>
      <w:proofErr w:type="spellEnd"/>
      <w:r>
        <w:rPr>
          <w:lang w:val="en-US"/>
        </w:rPr>
        <w:t xml:space="preserve"> NN, Kaufman HL, </w:t>
      </w:r>
      <w:proofErr w:type="spellStart"/>
      <w:r>
        <w:rPr>
          <w:lang w:val="en-US"/>
        </w:rPr>
        <w:t>Amatruda</w:t>
      </w:r>
      <w:proofErr w:type="spellEnd"/>
      <w:r>
        <w:rPr>
          <w:lang w:val="en-US"/>
        </w:rPr>
        <w:t xml:space="preserve"> T, et al. Phase II clinical trial of a </w:t>
      </w:r>
      <w:proofErr w:type="spellStart"/>
      <w:r>
        <w:rPr>
          <w:lang w:val="en-US"/>
        </w:rPr>
        <w:t>granulocytemacrophage</w:t>
      </w:r>
      <w:proofErr w:type="spellEnd"/>
      <w:r>
        <w:rPr>
          <w:lang w:val="en-US"/>
        </w:rPr>
        <w:t xml:space="preserve"> colony-stimulating factor-encoding, second-generation oncolytic herpesvirus in patients with </w:t>
      </w:r>
      <w:proofErr w:type="spellStart"/>
      <w:r>
        <w:rPr>
          <w:lang w:val="en-US"/>
        </w:rPr>
        <w:t>unresectable</w:t>
      </w:r>
      <w:proofErr w:type="spellEnd"/>
      <w:r>
        <w:rPr>
          <w:lang w:val="en-US"/>
        </w:rPr>
        <w:t xml:space="preserve"> metastatic melanoma. </w:t>
      </w:r>
      <w:proofErr w:type="gramStart"/>
      <w:r>
        <w:rPr>
          <w:lang w:val="en-US"/>
        </w:rPr>
        <w:t xml:space="preserve">J </w:t>
      </w:r>
      <w:proofErr w:type="spellStart"/>
      <w:r>
        <w:rPr>
          <w:lang w:val="en-US"/>
        </w:rPr>
        <w:t>Clin</w:t>
      </w:r>
      <w:proofErr w:type="spellEnd"/>
      <w:r>
        <w:rPr>
          <w:lang w:val="en-US"/>
        </w:rPr>
        <w:t xml:space="preserve"> </w:t>
      </w:r>
      <w:proofErr w:type="spellStart"/>
      <w:r>
        <w:rPr>
          <w:lang w:val="en-US"/>
        </w:rPr>
        <w:t>Oncol</w:t>
      </w:r>
      <w:proofErr w:type="spellEnd"/>
      <w:r>
        <w:rPr>
          <w:lang w:val="en-US"/>
        </w:rPr>
        <w:t>.</w:t>
      </w:r>
      <w:proofErr w:type="gramEnd"/>
      <w:r>
        <w:rPr>
          <w:lang w:val="en-US"/>
        </w:rPr>
        <w:t xml:space="preserve"> 2009</w:t>
      </w:r>
      <w:proofErr w:type="gramStart"/>
      <w:r>
        <w:rPr>
          <w:lang w:val="en-US"/>
        </w:rPr>
        <w:t>;27:5763</w:t>
      </w:r>
      <w:proofErr w:type="gramEnd"/>
      <w:r>
        <w:rPr>
          <w:lang w:val="en-US"/>
        </w:rPr>
        <w:t>-5771.</w:t>
      </w:r>
    </w:p>
    <w:p w14:paraId="5E66E10F" w14:textId="77777777" w:rsidR="00970674" w:rsidRDefault="00970674" w:rsidP="00B22065">
      <w:pPr>
        <w:spacing w:line="240" w:lineRule="auto"/>
        <w:ind w:left="720" w:hanging="720"/>
      </w:pPr>
      <w:r>
        <w:t xml:space="preserve">Si Z, Hersey P, Coates AS. </w:t>
      </w:r>
      <w:proofErr w:type="gramStart"/>
      <w:r>
        <w:t xml:space="preserve">Clinical responses and lymphoid infiltrates in metastatic melanoma following treatment with </w:t>
      </w:r>
      <w:proofErr w:type="spellStart"/>
      <w:r>
        <w:t>intralesional</w:t>
      </w:r>
      <w:proofErr w:type="spellEnd"/>
      <w:r>
        <w:t xml:space="preserve"> GM-CSF.</w:t>
      </w:r>
      <w:proofErr w:type="gramEnd"/>
      <w:r>
        <w:t xml:space="preserve"> Melanoma Res. 1996</w:t>
      </w:r>
      <w:proofErr w:type="gramStart"/>
      <w:r>
        <w:t>;6</w:t>
      </w:r>
      <w:proofErr w:type="gramEnd"/>
      <w:r>
        <w:t>(3):247-55.</w:t>
      </w:r>
    </w:p>
    <w:p w14:paraId="2BD4E846" w14:textId="77777777" w:rsidR="00970674" w:rsidRDefault="00970674" w:rsidP="00B22065">
      <w:pPr>
        <w:spacing w:line="240" w:lineRule="auto"/>
        <w:ind w:left="720" w:hanging="720"/>
      </w:pPr>
      <w:proofErr w:type="spellStart"/>
      <w:r>
        <w:t>Spitler</w:t>
      </w:r>
      <w:proofErr w:type="spellEnd"/>
      <w:r>
        <w:t xml:space="preserve"> LE, </w:t>
      </w:r>
      <w:proofErr w:type="spellStart"/>
      <w:r>
        <w:t>Grossbard</w:t>
      </w:r>
      <w:proofErr w:type="spellEnd"/>
      <w:r>
        <w:t xml:space="preserve"> ML, </w:t>
      </w:r>
      <w:proofErr w:type="spellStart"/>
      <w:r>
        <w:t>Ernstoff</w:t>
      </w:r>
      <w:proofErr w:type="spellEnd"/>
      <w:r>
        <w:t xml:space="preserve"> MS, Silver G, Jacobs M, Hayes FA, et al. Adjuvant therapy of </w:t>
      </w:r>
      <w:r w:rsidR="007C3083">
        <w:t>Stage I</w:t>
      </w:r>
      <w:r>
        <w:t xml:space="preserve">II and IV malignant melanoma using granulocyte-macrophage colony-stimulating factor. Journal of clinical </w:t>
      </w:r>
      <w:proofErr w:type="gramStart"/>
      <w:r>
        <w:t>oncology :</w:t>
      </w:r>
      <w:proofErr w:type="gramEnd"/>
      <w:r>
        <w:t xml:space="preserve"> official journal of the American Society of Clinical Oncology. 2000</w:t>
      </w:r>
      <w:proofErr w:type="gramStart"/>
      <w:r>
        <w:t>;18</w:t>
      </w:r>
      <w:proofErr w:type="gramEnd"/>
      <w:r>
        <w:t>(8):1614-21.</w:t>
      </w:r>
    </w:p>
    <w:p w14:paraId="21DF8785" w14:textId="77777777" w:rsidR="00970674" w:rsidRDefault="00970674" w:rsidP="00B22065">
      <w:pPr>
        <w:spacing w:line="240" w:lineRule="auto"/>
        <w:ind w:left="720" w:hanging="720"/>
      </w:pPr>
      <w:r>
        <w:t xml:space="preserve">Thompson JF, Soong SJ, Balch CM, </w:t>
      </w:r>
      <w:proofErr w:type="spellStart"/>
      <w:r>
        <w:t>Gershenwald</w:t>
      </w:r>
      <w:proofErr w:type="spellEnd"/>
      <w:r>
        <w:t xml:space="preserve"> JE, Ding S, </w:t>
      </w:r>
      <w:proofErr w:type="spellStart"/>
      <w:r>
        <w:t>Coit</w:t>
      </w:r>
      <w:proofErr w:type="spellEnd"/>
      <w:r>
        <w:t xml:space="preserve"> DG, et al. Prognostic significance of mitotic rate in localized primary cutaneous melanoma: an analysis of patients in the multi-institutional American Joint Committee on Cancer melanoma staging database. Journal of clinical </w:t>
      </w:r>
      <w:proofErr w:type="gramStart"/>
      <w:r>
        <w:t>oncology :</w:t>
      </w:r>
      <w:proofErr w:type="gramEnd"/>
      <w:r>
        <w:t xml:space="preserve"> official journal of the American Society of Clinical Oncology. 2011</w:t>
      </w:r>
      <w:proofErr w:type="gramStart"/>
      <w:r>
        <w:t>;29</w:t>
      </w:r>
      <w:proofErr w:type="gramEnd"/>
      <w:r>
        <w:t>(16):2199-205.</w:t>
      </w:r>
    </w:p>
    <w:p w14:paraId="175EB4BD" w14:textId="77777777" w:rsidR="00970674" w:rsidRPr="00090F4E" w:rsidRDefault="00970674" w:rsidP="00B22065">
      <w:pPr>
        <w:spacing w:line="240" w:lineRule="auto"/>
        <w:ind w:left="720" w:hanging="720"/>
        <w:rPr>
          <w:rFonts w:asciiTheme="minorHAnsi" w:hAnsiTheme="minorHAnsi"/>
          <w:lang w:val="en-US"/>
        </w:rPr>
      </w:pPr>
      <w:proofErr w:type="gramStart"/>
      <w:r>
        <w:rPr>
          <w:lang w:val="en-US"/>
        </w:rPr>
        <w:t xml:space="preserve">US </w:t>
      </w:r>
      <w:r w:rsidRPr="00090F4E">
        <w:rPr>
          <w:rFonts w:asciiTheme="minorHAnsi" w:hAnsiTheme="minorHAnsi"/>
          <w:lang w:val="en-US"/>
        </w:rPr>
        <w:t>FDA.</w:t>
      </w:r>
      <w:proofErr w:type="gramEnd"/>
      <w:r w:rsidRPr="00090F4E">
        <w:rPr>
          <w:rFonts w:asciiTheme="minorHAnsi" w:hAnsiTheme="minorHAnsi"/>
          <w:lang w:val="en-US"/>
        </w:rPr>
        <w:t xml:space="preserve"> </w:t>
      </w:r>
      <w:proofErr w:type="gramStart"/>
      <w:r w:rsidRPr="00090F4E">
        <w:rPr>
          <w:rFonts w:asciiTheme="minorHAnsi" w:hAnsiTheme="minorHAnsi"/>
          <w:lang w:val="en-US"/>
        </w:rPr>
        <w:t>Preclinical Assessment of Investigational Cellular and Gene Therapy Products (Draft Guidance).</w:t>
      </w:r>
      <w:proofErr w:type="gramEnd"/>
      <w:r w:rsidRPr="00090F4E">
        <w:rPr>
          <w:rFonts w:asciiTheme="minorHAnsi" w:hAnsiTheme="minorHAnsi"/>
          <w:lang w:val="en-US"/>
        </w:rPr>
        <w:t xml:space="preserve"> November 2012.</w:t>
      </w:r>
    </w:p>
    <w:p w14:paraId="28C128CC" w14:textId="6DC6E7B8" w:rsidR="002C0543" w:rsidRPr="00090F4E" w:rsidRDefault="002C0543" w:rsidP="00B22065">
      <w:pPr>
        <w:spacing w:line="240" w:lineRule="auto"/>
        <w:ind w:left="720" w:hanging="720"/>
        <w:rPr>
          <w:rFonts w:asciiTheme="minorHAnsi" w:eastAsiaTheme="minorHAnsi" w:hAnsiTheme="minorHAnsi" w:cs="Minion-Regular"/>
        </w:rPr>
      </w:pPr>
      <w:proofErr w:type="spellStart"/>
      <w:r w:rsidRPr="00090F4E">
        <w:rPr>
          <w:rFonts w:asciiTheme="minorHAnsi" w:eastAsiaTheme="minorHAnsi" w:hAnsiTheme="minorHAnsi" w:cs="Minion-Italic"/>
          <w:iCs/>
        </w:rPr>
        <w:t>Wagle</w:t>
      </w:r>
      <w:proofErr w:type="spellEnd"/>
      <w:r w:rsidRPr="00090F4E">
        <w:rPr>
          <w:rFonts w:asciiTheme="minorHAnsi" w:eastAsiaTheme="minorHAnsi" w:hAnsiTheme="minorHAnsi" w:cs="Minion-Regular"/>
        </w:rPr>
        <w:t xml:space="preserve"> N et al (</w:t>
      </w:r>
      <w:r>
        <w:rPr>
          <w:rFonts w:asciiTheme="minorHAnsi" w:eastAsiaTheme="minorHAnsi" w:hAnsiTheme="minorHAnsi" w:cs="Minion-Regular"/>
        </w:rPr>
        <w:t>2011</w:t>
      </w:r>
      <w:r w:rsidRPr="00090F4E">
        <w:rPr>
          <w:rFonts w:asciiTheme="minorHAnsi" w:eastAsiaTheme="minorHAnsi" w:hAnsiTheme="minorHAnsi" w:cs="Minion-Regular"/>
        </w:rPr>
        <w:t xml:space="preserve">). </w:t>
      </w:r>
      <w:proofErr w:type="gramStart"/>
      <w:r w:rsidRPr="00090F4E">
        <w:rPr>
          <w:rFonts w:asciiTheme="minorHAnsi" w:eastAsiaTheme="minorHAnsi" w:hAnsiTheme="minorHAnsi" w:cs="Minion-Regular"/>
        </w:rPr>
        <w:t>Dissecting Therapeutic Resistance to RAF Inhibition in</w:t>
      </w:r>
      <w:r>
        <w:rPr>
          <w:rFonts w:asciiTheme="minorHAnsi" w:eastAsiaTheme="minorHAnsi" w:hAnsiTheme="minorHAnsi" w:cs="Minion-Regular"/>
        </w:rPr>
        <w:t xml:space="preserve"> </w:t>
      </w:r>
      <w:r w:rsidRPr="00090F4E">
        <w:rPr>
          <w:rFonts w:asciiTheme="minorHAnsi" w:eastAsiaTheme="minorHAnsi" w:hAnsiTheme="minorHAnsi" w:cs="Minion-Regular"/>
        </w:rPr>
        <w:t xml:space="preserve">Melanoma by </w:t>
      </w:r>
      <w:proofErr w:type="spellStart"/>
      <w:r w:rsidRPr="00090F4E">
        <w:rPr>
          <w:rFonts w:asciiTheme="minorHAnsi" w:eastAsiaTheme="minorHAnsi" w:hAnsiTheme="minorHAnsi" w:cs="Minion-Regular"/>
        </w:rPr>
        <w:t>Tumor</w:t>
      </w:r>
      <w:proofErr w:type="spellEnd"/>
      <w:r w:rsidRPr="00090F4E">
        <w:rPr>
          <w:rFonts w:asciiTheme="minorHAnsi" w:eastAsiaTheme="minorHAnsi" w:hAnsiTheme="minorHAnsi" w:cs="Minion-Regular"/>
        </w:rPr>
        <w:t xml:space="preserve"> Genomic Profiling</w:t>
      </w:r>
      <w:r w:rsidRPr="00090F4E">
        <w:rPr>
          <w:rFonts w:asciiTheme="minorHAnsi" w:eastAsiaTheme="minorHAnsi" w:hAnsiTheme="minorHAnsi" w:cs="Minion-Regular"/>
          <w:i/>
        </w:rPr>
        <w:t>.</w:t>
      </w:r>
      <w:proofErr w:type="gramEnd"/>
      <w:r w:rsidRPr="00090F4E">
        <w:rPr>
          <w:rFonts w:asciiTheme="minorHAnsi" w:eastAsiaTheme="minorHAnsi" w:hAnsiTheme="minorHAnsi" w:cs="Minion-Regular"/>
          <w:i/>
        </w:rPr>
        <w:t xml:space="preserve"> </w:t>
      </w:r>
      <w:r w:rsidRPr="00090F4E">
        <w:rPr>
          <w:rFonts w:asciiTheme="minorHAnsi" w:eastAsiaTheme="minorHAnsi" w:hAnsiTheme="minorHAnsi" w:cs="Univers-LightOblique"/>
          <w:i/>
          <w:iCs/>
        </w:rPr>
        <w:t xml:space="preserve">J </w:t>
      </w:r>
      <w:proofErr w:type="spellStart"/>
      <w:r w:rsidRPr="00090F4E">
        <w:rPr>
          <w:rFonts w:asciiTheme="minorHAnsi" w:eastAsiaTheme="minorHAnsi" w:hAnsiTheme="minorHAnsi" w:cs="Univers-LightOblique"/>
          <w:i/>
          <w:iCs/>
        </w:rPr>
        <w:t>Clin</w:t>
      </w:r>
      <w:proofErr w:type="spellEnd"/>
      <w:r w:rsidRPr="00090F4E">
        <w:rPr>
          <w:rFonts w:asciiTheme="minorHAnsi" w:eastAsiaTheme="minorHAnsi" w:hAnsiTheme="minorHAnsi" w:cs="Univers-LightOblique"/>
          <w:i/>
          <w:iCs/>
        </w:rPr>
        <w:t xml:space="preserve"> </w:t>
      </w:r>
      <w:proofErr w:type="spellStart"/>
      <w:r w:rsidRPr="00090F4E">
        <w:rPr>
          <w:rFonts w:asciiTheme="minorHAnsi" w:eastAsiaTheme="minorHAnsi" w:hAnsiTheme="minorHAnsi" w:cs="Univers-LightOblique"/>
          <w:i/>
          <w:iCs/>
        </w:rPr>
        <w:t>Oncol</w:t>
      </w:r>
      <w:proofErr w:type="spellEnd"/>
      <w:r w:rsidRPr="00090F4E">
        <w:rPr>
          <w:rFonts w:asciiTheme="minorHAnsi" w:eastAsiaTheme="minorHAnsi" w:hAnsiTheme="minorHAnsi" w:cs="Univers-LightOblique"/>
          <w:iCs/>
        </w:rPr>
        <w:t xml:space="preserve"> 29:3085-3096.</w:t>
      </w:r>
    </w:p>
    <w:p w14:paraId="27486BB6" w14:textId="77777777" w:rsidR="00C618F7" w:rsidRDefault="00970674" w:rsidP="00B22065">
      <w:pPr>
        <w:spacing w:line="240" w:lineRule="auto"/>
        <w:ind w:left="720" w:hanging="720"/>
      </w:pPr>
      <w:proofErr w:type="spellStart"/>
      <w:r>
        <w:t>Wolchok</w:t>
      </w:r>
      <w:proofErr w:type="spellEnd"/>
      <w:r>
        <w:t xml:space="preserve"> JD, </w:t>
      </w:r>
      <w:proofErr w:type="spellStart"/>
      <w:r>
        <w:t>Hoos</w:t>
      </w:r>
      <w:proofErr w:type="spellEnd"/>
      <w:r>
        <w:t xml:space="preserve"> A, </w:t>
      </w:r>
      <w:proofErr w:type="spellStart"/>
      <w:r>
        <w:t>O'Day</w:t>
      </w:r>
      <w:proofErr w:type="spellEnd"/>
      <w:r>
        <w:t xml:space="preserve"> S, Weber JS, Hamid O, </w:t>
      </w:r>
      <w:proofErr w:type="spellStart"/>
      <w:r>
        <w:t>Lebbe</w:t>
      </w:r>
      <w:proofErr w:type="spellEnd"/>
      <w:r>
        <w:t xml:space="preserve"> C, et al. Guidelines for the evaluation of immune therapy activity in solid </w:t>
      </w:r>
      <w:r w:rsidR="00BA348C">
        <w:t>tumour</w:t>
      </w:r>
      <w:r>
        <w:t xml:space="preserve">s: immune-related response criteria. Clinical cancer </w:t>
      </w:r>
      <w:proofErr w:type="gramStart"/>
      <w:r>
        <w:t>research :</w:t>
      </w:r>
      <w:proofErr w:type="gramEnd"/>
      <w:r>
        <w:t xml:space="preserve"> an official journal of the American Association for Cancer Research. 2009</w:t>
      </w:r>
      <w:proofErr w:type="gramStart"/>
      <w:r>
        <w:t>;15</w:t>
      </w:r>
      <w:proofErr w:type="gramEnd"/>
      <w:r>
        <w:t>(23):7412-20.</w:t>
      </w:r>
    </w:p>
    <w:bookmarkEnd w:id="3"/>
    <w:bookmarkEnd w:id="1"/>
    <w:bookmarkEnd w:id="0"/>
    <w:p w14:paraId="0EEF6910" w14:textId="77777777" w:rsidR="008D770F" w:rsidRPr="00AE01C2" w:rsidRDefault="008D770F" w:rsidP="008B5A3E">
      <w:pPr>
        <w:rPr>
          <w:lang w:eastAsia="ja-JP"/>
        </w:rPr>
      </w:pPr>
    </w:p>
    <w:p w14:paraId="119E3A8C" w14:textId="77777777" w:rsidR="003D1E62" w:rsidRPr="001D043B" w:rsidRDefault="008E7846" w:rsidP="002666AC">
      <w:pPr>
        <w:sectPr w:rsidR="003D1E62" w:rsidRPr="001D043B" w:rsidSect="008D770F">
          <w:headerReference w:type="even" r:id="rId46"/>
          <w:headerReference w:type="default" r:id="rId47"/>
          <w:headerReference w:type="first" r:id="rId48"/>
          <w:footerReference w:type="first" r:id="rId49"/>
          <w:pgSz w:w="11906" w:h="16838" w:code="9"/>
          <w:pgMar w:top="1440" w:right="1440" w:bottom="1440" w:left="1440" w:header="907" w:footer="216" w:gutter="0"/>
          <w:cols w:space="708"/>
          <w:docGrid w:linePitch="360"/>
        </w:sectPr>
      </w:pPr>
      <w:r>
        <w:br w:type="page"/>
      </w:r>
    </w:p>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B3567E" w:rsidRPr="00487162" w14:paraId="60856871" w14:textId="77777777" w:rsidTr="00970674">
        <w:trPr>
          <w:trHeight w:hRule="exact" w:val="564"/>
        </w:trPr>
        <w:tc>
          <w:tcPr>
            <w:tcW w:w="9175" w:type="dxa"/>
          </w:tcPr>
          <w:p w14:paraId="7E38B504" w14:textId="77777777" w:rsidR="00B3567E" w:rsidRPr="00487162" w:rsidRDefault="00B3567E" w:rsidP="00970674">
            <w:pPr>
              <w:pStyle w:val="TGASignoff"/>
            </w:pPr>
            <w:r w:rsidRPr="00487162">
              <w:lastRenderedPageBreak/>
              <w:t>Therapeutic Goods Administration</w:t>
            </w:r>
          </w:p>
        </w:tc>
      </w:tr>
      <w:tr w:rsidR="00B3567E" w:rsidRPr="00487162" w14:paraId="4499C5B2" w14:textId="77777777" w:rsidTr="00970674">
        <w:trPr>
          <w:trHeight w:val="1221"/>
        </w:trPr>
        <w:tc>
          <w:tcPr>
            <w:tcW w:w="9175" w:type="dxa"/>
            <w:tcMar>
              <w:top w:w="28" w:type="dxa"/>
            </w:tcMar>
          </w:tcPr>
          <w:p w14:paraId="790498FB" w14:textId="77777777" w:rsidR="00B3567E" w:rsidRPr="00487162" w:rsidRDefault="00B3567E" w:rsidP="00970674">
            <w:pPr>
              <w:pStyle w:val="Address"/>
            </w:pPr>
            <w:r w:rsidRPr="00487162">
              <w:t>PO Box 100 Woden ACT 2606 Australia</w:t>
            </w:r>
          </w:p>
          <w:p w14:paraId="406DBE88" w14:textId="77777777" w:rsidR="00B3567E" w:rsidRPr="00487162" w:rsidRDefault="00B3567E" w:rsidP="00970674">
            <w:pPr>
              <w:pStyle w:val="Address"/>
            </w:pPr>
            <w:r w:rsidRPr="00487162">
              <w:t xml:space="preserve">Email: </w:t>
            </w:r>
            <w:hyperlink r:id="rId50" w:history="1">
              <w:r w:rsidRPr="008D770F">
                <w:rPr>
                  <w:rStyle w:val="Hyperlink"/>
                </w:rPr>
                <w:t>info@tga.gov.au</w:t>
              </w:r>
            </w:hyperlink>
            <w:r w:rsidR="00BA348C">
              <w:t xml:space="preserve"> </w:t>
            </w:r>
            <w:r w:rsidRPr="00487162">
              <w:t>Phone: 1800 020 653</w:t>
            </w:r>
            <w:r w:rsidR="00BA348C">
              <w:t xml:space="preserve"> </w:t>
            </w:r>
            <w:r w:rsidRPr="00487162">
              <w:t>Fax: 02 6232 8605</w:t>
            </w:r>
          </w:p>
          <w:p w14:paraId="4D33503B" w14:textId="77777777" w:rsidR="00B3567E" w:rsidRPr="008D770F" w:rsidRDefault="001429A2" w:rsidP="00970674">
            <w:pPr>
              <w:pStyle w:val="Address"/>
              <w:spacing w:line="260" w:lineRule="atLeast"/>
              <w:rPr>
                <w:b/>
                <w:color w:val="0000FF"/>
                <w:u w:val="single"/>
              </w:rPr>
            </w:pPr>
            <w:hyperlink r:id="rId51" w:history="1">
              <w:r w:rsidR="00E979F4" w:rsidRPr="00FE02B1">
                <w:rPr>
                  <w:rStyle w:val="Hyperlink"/>
                  <w:b/>
                </w:rPr>
                <w:t>https://www.tga.gov.au</w:t>
              </w:r>
            </w:hyperlink>
          </w:p>
        </w:tc>
      </w:tr>
    </w:tbl>
    <w:p w14:paraId="5A420478" w14:textId="77777777" w:rsidR="00774E1D" w:rsidRPr="008A5E0B" w:rsidRDefault="00774E1D" w:rsidP="008A5E0B"/>
    <w:sectPr w:rsidR="00774E1D" w:rsidRPr="008A5E0B" w:rsidSect="00B3567E">
      <w:headerReference w:type="even" r:id="rId52"/>
      <w:headerReference w:type="default" r:id="rId53"/>
      <w:footerReference w:type="default" r:id="rId54"/>
      <w:headerReference w:type="first" r:id="rId55"/>
      <w:footerReference w:type="first" r:id="rId56"/>
      <w:pgSz w:w="11906" w:h="16838" w:code="9"/>
      <w:pgMar w:top="13609" w:right="1701" w:bottom="709" w:left="1701" w:header="907" w:footer="511" w:gutter="0"/>
      <w:cols w:space="708"/>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366019FE" w15:done="0"/>
  <w15:commentEx w15:paraId="1FD1EEA1"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DC7B268" w14:textId="77777777" w:rsidR="007A64A2" w:rsidRDefault="007A64A2" w:rsidP="00C40A36">
      <w:pPr>
        <w:spacing w:after="0"/>
      </w:pPr>
      <w:r>
        <w:separator/>
      </w:r>
    </w:p>
  </w:endnote>
  <w:endnote w:type="continuationSeparator" w:id="0">
    <w:p w14:paraId="6CAEA8D8" w14:textId="77777777" w:rsidR="007A64A2" w:rsidRDefault="007A64A2"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MingLiU">
    <w:altName w:val="細明體"/>
    <w:panose1 w:val="02020509000000000000"/>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Consolas">
    <w:panose1 w:val="020B0609020204030204"/>
    <w:charset w:val="00"/>
    <w:family w:val="roman"/>
    <w:notTrueType/>
    <w:pitch w:val="default"/>
  </w:font>
  <w:font w:name="Minion-Regular">
    <w:panose1 w:val="00000000000000000000"/>
    <w:charset w:val="00"/>
    <w:family w:val="roman"/>
    <w:notTrueType/>
    <w:pitch w:val="default"/>
    <w:sig w:usb0="00000003" w:usb1="00000000" w:usb2="00000000" w:usb3="00000000" w:csb0="00000001" w:csb1="00000000"/>
  </w:font>
  <w:font w:name="Minion-Italic">
    <w:panose1 w:val="00000000000000000000"/>
    <w:charset w:val="00"/>
    <w:family w:val="roman"/>
    <w:notTrueType/>
    <w:pitch w:val="default"/>
    <w:sig w:usb0="00000003" w:usb1="00000000" w:usb2="00000000" w:usb3="00000000" w:csb0="00000001" w:csb1="00000000"/>
  </w:font>
  <w:font w:name="Univers-LightOblique">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657"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8651"/>
      <w:gridCol w:w="1006"/>
    </w:tblGrid>
    <w:tr w:rsidR="007A64A2" w:rsidRPr="00487162" w14:paraId="64E31F0D" w14:textId="77777777" w:rsidTr="00970674">
      <w:trPr>
        <w:trHeight w:val="314"/>
      </w:trPr>
      <w:tc>
        <w:tcPr>
          <w:tcW w:w="8651" w:type="dxa"/>
          <w:tcMar>
            <w:top w:w="142" w:type="dxa"/>
            <w:bottom w:w="0" w:type="dxa"/>
          </w:tcMar>
        </w:tcPr>
        <w:p w14:paraId="1BB4D676" w14:textId="77777777" w:rsidR="007A64A2" w:rsidRPr="00970674" w:rsidRDefault="007A64A2" w:rsidP="00970674">
          <w:pPr>
            <w:pStyle w:val="Footer"/>
            <w:rPr>
              <w:rFonts w:asciiTheme="minorHAnsi" w:hAnsiTheme="minorHAnsi"/>
              <w:sz w:val="18"/>
              <w:szCs w:val="18"/>
            </w:rPr>
          </w:pPr>
          <w:r w:rsidRPr="00970674">
            <w:rPr>
              <w:rFonts w:asciiTheme="minorHAnsi" w:hAnsiTheme="minorHAnsi"/>
              <w:sz w:val="18"/>
              <w:szCs w:val="18"/>
            </w:rPr>
            <w:t xml:space="preserve">Submission </w:t>
          </w:r>
          <w:r w:rsidRPr="00970674">
            <w:rPr>
              <w:rFonts w:asciiTheme="minorHAnsi" w:hAnsiTheme="minorHAnsi" w:cs="Arial"/>
              <w:sz w:val="18"/>
              <w:szCs w:val="18"/>
            </w:rPr>
            <w:t>PM-2014-03464-1-4</w:t>
          </w:r>
          <w:r>
            <w:rPr>
              <w:rFonts w:asciiTheme="minorHAnsi" w:hAnsiTheme="minorHAnsi" w:cs="Arial"/>
              <w:sz w:val="18"/>
              <w:szCs w:val="18"/>
            </w:rPr>
            <w:t xml:space="preserve"> </w:t>
          </w:r>
          <w:r w:rsidRPr="00970674">
            <w:rPr>
              <w:rFonts w:asciiTheme="minorHAnsi" w:hAnsiTheme="minorHAnsi"/>
              <w:sz w:val="18"/>
              <w:szCs w:val="18"/>
            </w:rPr>
            <w:t xml:space="preserve">Extract from the Clinical Evaluation Report for </w:t>
          </w:r>
          <w:proofErr w:type="spellStart"/>
          <w:r w:rsidRPr="00970674">
            <w:rPr>
              <w:rFonts w:asciiTheme="minorHAnsi" w:hAnsiTheme="minorHAnsi"/>
              <w:sz w:val="18"/>
              <w:szCs w:val="18"/>
            </w:rPr>
            <w:t>Imlygic</w:t>
          </w:r>
          <w:proofErr w:type="spellEnd"/>
        </w:p>
      </w:tc>
      <w:tc>
        <w:tcPr>
          <w:tcW w:w="1006" w:type="dxa"/>
          <w:tcMar>
            <w:top w:w="142" w:type="dxa"/>
            <w:bottom w:w="0" w:type="dxa"/>
          </w:tcMar>
        </w:tcPr>
        <w:p w14:paraId="039421D8" w14:textId="75D15B3E" w:rsidR="007A64A2" w:rsidRPr="00981D66" w:rsidRDefault="007A64A2" w:rsidP="00D855D4">
          <w:pPr>
            <w:pStyle w:val="Footer"/>
            <w:jc w:val="right"/>
          </w:pPr>
          <w:r w:rsidRPr="00981D66">
            <w:t xml:space="preserve">Page </w:t>
          </w:r>
          <w:r w:rsidRPr="00981D66">
            <w:fldChar w:fldCharType="begin"/>
          </w:r>
          <w:r w:rsidRPr="00981D66">
            <w:instrText xml:space="preserve"> PAGE  \* Arabic  \* MERGEFORMAT </w:instrText>
          </w:r>
          <w:r w:rsidRPr="00981D66">
            <w:fldChar w:fldCharType="separate"/>
          </w:r>
          <w:r w:rsidR="001429A2">
            <w:rPr>
              <w:noProof/>
            </w:rPr>
            <w:t>3</w:t>
          </w:r>
          <w:r w:rsidRPr="00981D66">
            <w:fldChar w:fldCharType="end"/>
          </w:r>
          <w:r w:rsidRPr="00981D66">
            <w:t xml:space="preserve"> of </w:t>
          </w:r>
          <w:fldSimple w:instr=" NUMPAGES  \* Arabic  \* MERGEFORMAT ">
            <w:r w:rsidR="001429A2">
              <w:rPr>
                <w:noProof/>
              </w:rPr>
              <w:t>58</w:t>
            </w:r>
          </w:fldSimple>
        </w:p>
      </w:tc>
    </w:tr>
  </w:tbl>
  <w:p w14:paraId="782B2FC7" w14:textId="77777777" w:rsidR="007A64A2" w:rsidRDefault="007A64A2" w:rsidP="0043797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7A64A2" w:rsidRPr="00487162" w14:paraId="022FFF23" w14:textId="77777777" w:rsidTr="00E45619">
      <w:trPr>
        <w:trHeight w:val="269"/>
      </w:trPr>
      <w:tc>
        <w:tcPr>
          <w:tcW w:w="4519" w:type="dxa"/>
          <w:tcBorders>
            <w:top w:val="single" w:sz="4" w:space="0" w:color="auto"/>
          </w:tcBorders>
          <w:tcMar>
            <w:top w:w="142" w:type="dxa"/>
            <w:bottom w:w="0" w:type="dxa"/>
          </w:tcMar>
        </w:tcPr>
        <w:p w14:paraId="5A950438" w14:textId="77777777" w:rsidR="007A64A2" w:rsidRPr="00487162" w:rsidRDefault="007A64A2" w:rsidP="00FE1DEE">
          <w:pPr>
            <w:pStyle w:val="Footer"/>
          </w:pPr>
          <w:r w:rsidRPr="00487162">
            <w:t>Document title, Part #, Section # - Section title</w:t>
          </w:r>
        </w:p>
        <w:p w14:paraId="21CFCA9D" w14:textId="77777777" w:rsidR="007A64A2" w:rsidRPr="00487162" w:rsidRDefault="007A64A2" w:rsidP="00FE1DEE">
          <w:pPr>
            <w:pStyle w:val="Footer"/>
          </w:pPr>
          <w:r w:rsidRPr="00487162">
            <w:t>V1.0 October 2010</w:t>
          </w:r>
        </w:p>
      </w:tc>
      <w:tc>
        <w:tcPr>
          <w:tcW w:w="4342" w:type="dxa"/>
          <w:tcBorders>
            <w:top w:val="single" w:sz="4" w:space="0" w:color="auto"/>
          </w:tcBorders>
          <w:tcMar>
            <w:top w:w="142" w:type="dxa"/>
            <w:bottom w:w="0" w:type="dxa"/>
          </w:tcMar>
        </w:tcPr>
        <w:p w14:paraId="3B9C9C96" w14:textId="28BE4D2A" w:rsidR="007A64A2" w:rsidRPr="00487162" w:rsidRDefault="007A64A2"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r w:rsidR="00FD3D6E">
            <w:fldChar w:fldCharType="begin"/>
          </w:r>
          <w:r w:rsidR="00FD3D6E">
            <w:instrText xml:space="preserve"> NUMPAGES  </w:instrText>
          </w:r>
          <w:r w:rsidR="00FD3D6E">
            <w:fldChar w:fldCharType="separate"/>
          </w:r>
          <w:r w:rsidR="008572F8">
            <w:rPr>
              <w:noProof/>
            </w:rPr>
            <w:t>56</w:t>
          </w:r>
          <w:r w:rsidR="00FD3D6E">
            <w:rPr>
              <w:noProof/>
            </w:rPr>
            <w:fldChar w:fldCharType="end"/>
          </w:r>
        </w:p>
      </w:tc>
    </w:tr>
  </w:tbl>
  <w:p w14:paraId="065B90A0" w14:textId="77777777" w:rsidR="007A64A2" w:rsidRDefault="007A64A2">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C7A406" w14:textId="77777777" w:rsidR="007A64A2" w:rsidRDefault="007A64A2" w:rsidP="008E7846">
    <w:pPr>
      <w:pStyle w:val="Notes"/>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7A64A2" w14:paraId="024BD1C2" w14:textId="77777777" w:rsidTr="0010601F">
      <w:trPr>
        <w:trHeight w:val="108"/>
      </w:trPr>
      <w:tc>
        <w:tcPr>
          <w:tcW w:w="8875" w:type="dxa"/>
          <w:gridSpan w:val="2"/>
          <w:tcBorders>
            <w:bottom w:val="single" w:sz="4" w:space="0" w:color="auto"/>
          </w:tcBorders>
          <w:tcMar>
            <w:right w:w="284" w:type="dxa"/>
          </w:tcMar>
        </w:tcPr>
        <w:p w14:paraId="74B89583" w14:textId="77777777" w:rsidR="007A64A2" w:rsidRDefault="007A64A2" w:rsidP="006E08B3">
          <w:pPr>
            <w:pStyle w:val="Heading3"/>
          </w:pPr>
          <w:r>
            <w:t>Copyright</w:t>
          </w:r>
        </w:p>
        <w:p w14:paraId="684CC317" w14:textId="77777777" w:rsidR="007A64A2" w:rsidRDefault="007A64A2" w:rsidP="006E08B3">
          <w:r>
            <w:rPr>
              <w:rFonts w:cs="Arial"/>
            </w:rPr>
            <w:t>©</w:t>
          </w:r>
          <w:r>
            <w:t xml:space="preserve"> Commonwealth of Australia [add year]</w:t>
          </w:r>
        </w:p>
        <w:p w14:paraId="63E536F9" w14:textId="77777777" w:rsidR="007A64A2" w:rsidRDefault="007A64A2" w:rsidP="006E08B3"/>
        <w:p w14:paraId="6B7AE4B1" w14:textId="77777777" w:rsidR="007A64A2" w:rsidRDefault="007A64A2"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14:paraId="64A44C44" w14:textId="77777777" w:rsidR="007A64A2" w:rsidRDefault="007A64A2" w:rsidP="006E08B3"/>
        <w:p w14:paraId="0E0EB12F" w14:textId="77777777" w:rsidR="007A64A2" w:rsidRDefault="007A64A2" w:rsidP="006E08B3">
          <w:pPr>
            <w:pStyle w:val="Heading3"/>
          </w:pPr>
          <w:r>
            <w:t>Confidentiality</w:t>
          </w:r>
        </w:p>
        <w:p w14:paraId="64B021CD" w14:textId="77777777" w:rsidR="007A64A2" w:rsidRDefault="007A64A2"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14:paraId="540DAB7C" w14:textId="77777777" w:rsidR="007A64A2" w:rsidRDefault="007A64A2" w:rsidP="006E08B3"/>
        <w:p w14:paraId="2B78911C" w14:textId="77777777" w:rsidR="007A64A2" w:rsidRDefault="007A64A2" w:rsidP="006E08B3">
          <w:r>
            <w:t>For submission made by individuals, all personal details, other than your name, will be removed from your submission before it is published on the TGA’s Internet site.</w:t>
          </w:r>
        </w:p>
        <w:p w14:paraId="4B63A993" w14:textId="77777777" w:rsidR="007A64A2" w:rsidRDefault="007A64A2" w:rsidP="006E08B3"/>
        <w:p w14:paraId="496D5467" w14:textId="77777777" w:rsidR="007A64A2" w:rsidRDefault="007A64A2" w:rsidP="006E08B3">
          <w:r>
            <w:t xml:space="preserve">In addition, a list of parties making submissions will be published. If you do not wish to be identified with your submission you must specifically request this in the space provided </w:t>
          </w:r>
          <w:proofErr w:type="spellStart"/>
          <w:r>
            <w:t>ib</w:t>
          </w:r>
          <w:proofErr w:type="spellEnd"/>
          <w:r>
            <w:t xml:space="preserve"> the submission coversheet.</w:t>
          </w:r>
        </w:p>
      </w:tc>
    </w:tr>
    <w:tr w:rsidR="007A64A2" w14:paraId="0A316205" w14:textId="77777777" w:rsidTr="0010601F">
      <w:trPr>
        <w:trHeight w:val="417"/>
      </w:trPr>
      <w:tc>
        <w:tcPr>
          <w:tcW w:w="4519" w:type="dxa"/>
          <w:tcBorders>
            <w:top w:val="single" w:sz="4" w:space="0" w:color="auto"/>
          </w:tcBorders>
          <w:tcMar>
            <w:top w:w="142" w:type="dxa"/>
            <w:bottom w:w="0" w:type="dxa"/>
          </w:tcMar>
        </w:tcPr>
        <w:p w14:paraId="31BAA6E4" w14:textId="77777777" w:rsidR="007A64A2" w:rsidRDefault="007A64A2" w:rsidP="006E08B3">
          <w:r>
            <w:t>Document title, Part #, Section # - Section title</w:t>
          </w:r>
        </w:p>
        <w:p w14:paraId="60A14122" w14:textId="77777777" w:rsidR="007A64A2" w:rsidRDefault="007A64A2" w:rsidP="006E08B3">
          <w:r>
            <w:t>V1.0 October 2010</w:t>
          </w:r>
        </w:p>
      </w:tc>
      <w:tc>
        <w:tcPr>
          <w:tcW w:w="4356" w:type="dxa"/>
          <w:tcBorders>
            <w:top w:val="single" w:sz="4" w:space="0" w:color="auto"/>
          </w:tcBorders>
          <w:tcMar>
            <w:top w:w="142" w:type="dxa"/>
            <w:bottom w:w="0" w:type="dxa"/>
          </w:tcMar>
        </w:tcPr>
        <w:p w14:paraId="254CB10F" w14:textId="0911372A" w:rsidR="007A64A2" w:rsidRDefault="007A64A2"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r w:rsidR="00FD3D6E">
            <w:fldChar w:fldCharType="begin"/>
          </w:r>
          <w:r w:rsidR="00FD3D6E">
            <w:instrText xml:space="preserve"> NUMPAGES  \* Arabic </w:instrText>
          </w:r>
          <w:r w:rsidR="00FD3D6E">
            <w:fldChar w:fldCharType="separate"/>
          </w:r>
          <w:r w:rsidR="008572F8">
            <w:rPr>
              <w:noProof/>
            </w:rPr>
            <w:t>56</w:t>
          </w:r>
          <w:r w:rsidR="00FD3D6E">
            <w:rPr>
              <w:noProof/>
            </w:rPr>
            <w:fldChar w:fldCharType="end"/>
          </w:r>
          <w:r>
            <w:t xml:space="preserve"> </w:t>
          </w:r>
        </w:p>
      </w:tc>
    </w:tr>
  </w:tbl>
  <w:p w14:paraId="238A1DEE" w14:textId="77777777" w:rsidR="007A64A2" w:rsidRDefault="007A64A2"/>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2E3EF0D" w14:textId="77777777" w:rsidR="007A64A2" w:rsidRDefault="007A64A2" w:rsidP="00C40A36">
      <w:pPr>
        <w:spacing w:after="0"/>
      </w:pPr>
      <w:r>
        <w:separator/>
      </w:r>
    </w:p>
  </w:footnote>
  <w:footnote w:type="continuationSeparator" w:id="0">
    <w:p w14:paraId="097FEAAF" w14:textId="77777777" w:rsidR="007A64A2" w:rsidRDefault="007A64A2" w:rsidP="00C40A36">
      <w:pPr>
        <w:spacing w:after="0"/>
      </w:pPr>
      <w:r>
        <w:continuationSeparator/>
      </w:r>
    </w:p>
  </w:footnote>
  <w:footnote w:id="1">
    <w:p w14:paraId="73F9ABEC" w14:textId="137209EC" w:rsidR="007A64A2" w:rsidRPr="008572F8" w:rsidRDefault="007A64A2">
      <w:pPr>
        <w:pStyle w:val="FootnoteText"/>
        <w:rPr>
          <w:sz w:val="18"/>
          <w:szCs w:val="18"/>
        </w:rPr>
      </w:pPr>
      <w:r w:rsidRPr="008572F8">
        <w:rPr>
          <w:rStyle w:val="FootnoteReference"/>
          <w:sz w:val="18"/>
          <w:szCs w:val="18"/>
        </w:rPr>
        <w:footnoteRef/>
      </w:r>
      <w:r w:rsidRPr="008572F8">
        <w:rPr>
          <w:sz w:val="18"/>
          <w:szCs w:val="18"/>
        </w:rPr>
        <w:t xml:space="preserve">A </w:t>
      </w:r>
      <w:r w:rsidRPr="008572F8">
        <w:rPr>
          <w:rFonts w:eastAsia="MS Mincho"/>
          <w:sz w:val="18"/>
          <w:szCs w:val="18"/>
          <w:lang w:val="en-US"/>
        </w:rPr>
        <w:t xml:space="preserve">virus modified in the same manner as </w:t>
      </w:r>
      <w:proofErr w:type="spellStart"/>
      <w:r w:rsidRPr="008572F8">
        <w:rPr>
          <w:rFonts w:eastAsia="MS Mincho"/>
          <w:sz w:val="18"/>
          <w:szCs w:val="18"/>
          <w:lang w:val="en-US"/>
        </w:rPr>
        <w:t>talimogene</w:t>
      </w:r>
      <w:proofErr w:type="spellEnd"/>
      <w:r w:rsidRPr="008572F8">
        <w:rPr>
          <w:rFonts w:eastAsia="MS Mincho"/>
          <w:sz w:val="18"/>
          <w:szCs w:val="18"/>
          <w:lang w:val="en-US"/>
        </w:rPr>
        <w:t xml:space="preserve"> </w:t>
      </w:r>
      <w:proofErr w:type="spellStart"/>
      <w:r w:rsidRPr="008572F8">
        <w:rPr>
          <w:rFonts w:eastAsia="MS Mincho"/>
          <w:sz w:val="18"/>
          <w:szCs w:val="18"/>
          <w:lang w:val="en-US"/>
        </w:rPr>
        <w:t>laherparepvec</w:t>
      </w:r>
      <w:proofErr w:type="spellEnd"/>
      <w:r w:rsidRPr="008572F8">
        <w:rPr>
          <w:rFonts w:eastAsia="MS Mincho"/>
          <w:sz w:val="18"/>
          <w:szCs w:val="18"/>
          <w:lang w:val="en-US"/>
        </w:rPr>
        <w:t>, except that it expresses murine GM</w:t>
      </w:r>
      <w:r w:rsidRPr="008572F8">
        <w:rPr>
          <w:rFonts w:eastAsia="MS Mincho"/>
          <w:sz w:val="18"/>
          <w:szCs w:val="18"/>
          <w:lang w:val="en-US"/>
        </w:rPr>
        <w:noBreakHyphen/>
        <w:t>CSF instead of human GM-CSF</w:t>
      </w:r>
    </w:p>
  </w:footnote>
  <w:footnote w:id="2">
    <w:p w14:paraId="13BFD536" w14:textId="18F35277" w:rsidR="007A64A2" w:rsidRPr="008572F8" w:rsidRDefault="007A64A2">
      <w:pPr>
        <w:pStyle w:val="FootnoteText"/>
        <w:rPr>
          <w:sz w:val="18"/>
          <w:szCs w:val="18"/>
        </w:rPr>
      </w:pPr>
      <w:r w:rsidRPr="008572F8">
        <w:rPr>
          <w:rStyle w:val="FootnoteReference"/>
          <w:sz w:val="18"/>
          <w:szCs w:val="18"/>
        </w:rPr>
        <w:footnoteRef/>
      </w:r>
      <w:r w:rsidRPr="008572F8">
        <w:rPr>
          <w:rFonts w:eastAsia="MS Mincho"/>
          <w:sz w:val="18"/>
          <w:szCs w:val="18"/>
          <w:lang w:val="en-US"/>
        </w:rPr>
        <w:t xml:space="preserve">A virus modified in the same manner as </w:t>
      </w:r>
      <w:proofErr w:type="spellStart"/>
      <w:r w:rsidRPr="008572F8">
        <w:rPr>
          <w:rFonts w:eastAsia="MS Mincho"/>
          <w:sz w:val="18"/>
          <w:szCs w:val="18"/>
          <w:lang w:val="en-US"/>
        </w:rPr>
        <w:t>talimogene</w:t>
      </w:r>
      <w:proofErr w:type="spellEnd"/>
      <w:r w:rsidRPr="008572F8">
        <w:rPr>
          <w:rFonts w:eastAsia="MS Mincho"/>
          <w:sz w:val="18"/>
          <w:szCs w:val="18"/>
          <w:lang w:val="en-US"/>
        </w:rPr>
        <w:t xml:space="preserve"> </w:t>
      </w:r>
      <w:proofErr w:type="spellStart"/>
      <w:r w:rsidRPr="008572F8">
        <w:rPr>
          <w:rFonts w:eastAsia="MS Mincho"/>
          <w:sz w:val="18"/>
          <w:szCs w:val="18"/>
          <w:lang w:val="en-US"/>
        </w:rPr>
        <w:t>laherparepvec</w:t>
      </w:r>
      <w:proofErr w:type="spellEnd"/>
      <w:r w:rsidRPr="008572F8">
        <w:rPr>
          <w:rFonts w:eastAsia="MS Mincho"/>
          <w:sz w:val="18"/>
          <w:szCs w:val="18"/>
          <w:lang w:val="en-US"/>
        </w:rPr>
        <w:t>, except that it expresses murine GM CSF instead of human GM-CSF.</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07D740" w14:textId="77777777" w:rsidR="007A64A2" w:rsidRDefault="007A64A2" w:rsidP="00E45619">
    <w:pPr>
      <w:pStyle w:val="Header"/>
    </w:pPr>
    <w:r>
      <w:t>Therapeutic Goods Administration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D6F1EC" w14:textId="77777777" w:rsidR="007A64A2" w:rsidRDefault="007A64A2">
    <w:pPr>
      <w:rPr>
        <w:noProof/>
        <w:lang w:eastAsia="en-AU"/>
      </w:rPr>
    </w:pPr>
    <w:r w:rsidRPr="002D545C">
      <w:rPr>
        <w:noProof/>
        <w:lang w:eastAsia="en-AU"/>
      </w:rPr>
      <w:drawing>
        <wp:anchor distT="0" distB="0" distL="114300" distR="114300" simplePos="0" relativeHeight="251659264" behindDoc="1" locked="0" layoutInCell="1" allowOverlap="1" wp14:anchorId="3740A314" wp14:editId="45BD19D8">
          <wp:simplePos x="0" y="0"/>
          <wp:positionH relativeFrom="column">
            <wp:posOffset>-1089660</wp:posOffset>
          </wp:positionH>
          <wp:positionV relativeFrom="paragraph">
            <wp:posOffset>-585470</wp:posOffset>
          </wp:positionV>
          <wp:extent cx="7572375" cy="10706100"/>
          <wp:effectExtent l="19050" t="0" r="0" b="0"/>
          <wp:wrapNone/>
          <wp:docPr id="2"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p w14:paraId="710BC099" w14:textId="77777777" w:rsidR="007A64A2" w:rsidRDefault="007A64A2" w:rsidP="00593AD1">
    <w:pPr>
      <w:pStyle w:val="HeaderNoLine"/>
    </w:pPr>
    <w:r>
      <w:rPr>
        <w:noProof/>
        <w:lang w:eastAsia="en-AU"/>
      </w:rPr>
      <w:drawing>
        <wp:inline distT="0" distB="0" distL="0" distR="0" wp14:anchorId="02955CAC" wp14:editId="3710E6DC">
          <wp:extent cx="5400675" cy="7639050"/>
          <wp:effectExtent l="0" t="0" r="9525" b="0"/>
          <wp:docPr id="1" name="Picture 1" descr="Light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ghtblu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00675" cy="763905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4B7F29" w14:textId="77777777" w:rsidR="007A64A2" w:rsidRDefault="007A64A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E3A2FD" w14:textId="77777777" w:rsidR="007A64A2" w:rsidRDefault="007A64A2">
    <w:pPr>
      <w:pStyle w:val="Header"/>
    </w:pPr>
    <w:r>
      <w:t>Therapeutic Goods Administration</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FA53C0" w14:textId="77777777" w:rsidR="007A64A2" w:rsidRDefault="007A64A2">
    <w:pPr>
      <w:pStyle w:val="Header"/>
    </w:pPr>
    <w:r>
      <w:t>Therapeutic Goods Administration</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A9B902" w14:textId="77777777" w:rsidR="007A64A2" w:rsidRDefault="007A64A2">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14C768" w14:textId="77777777" w:rsidR="007A64A2" w:rsidRDefault="007A64A2" w:rsidP="008D770F">
    <w:pPr>
      <w:pStyle w:val="HeaderNoLine"/>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70D230" w14:textId="77777777" w:rsidR="007A64A2" w:rsidRDefault="007A64A2" w:rsidP="006E08B3">
    <w:r>
      <w:t>Therapeutic Goods Administration</w:t>
    </w:r>
  </w:p>
  <w:p w14:paraId="543C21F3" w14:textId="77777777" w:rsidR="007A64A2" w:rsidRDefault="007A64A2" w:rsidP="006D03E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A4AE45EE"/>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D76A7C82"/>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C50CEF0A"/>
    <w:lvl w:ilvl="0">
      <w:start w:val="1"/>
      <w:numFmt w:val="decimal"/>
      <w:pStyle w:val="ListNumber3"/>
      <w:lvlText w:val="%1."/>
      <w:lvlJc w:val="left"/>
      <w:pPr>
        <w:tabs>
          <w:tab w:val="num" w:pos="926"/>
        </w:tabs>
        <w:ind w:left="926" w:hanging="360"/>
      </w:pPr>
    </w:lvl>
  </w:abstractNum>
  <w:abstractNum w:abstractNumId="3">
    <w:nsid w:val="FFFFFF7F"/>
    <w:multiLevelType w:val="singleLevel"/>
    <w:tmpl w:val="2C66A3CE"/>
    <w:lvl w:ilvl="0">
      <w:start w:val="1"/>
      <w:numFmt w:val="decimal"/>
      <w:pStyle w:val="ListNumber2"/>
      <w:lvlText w:val="%1."/>
      <w:lvlJc w:val="left"/>
      <w:pPr>
        <w:tabs>
          <w:tab w:val="num" w:pos="643"/>
        </w:tabs>
        <w:ind w:left="643" w:hanging="360"/>
      </w:pPr>
    </w:lvl>
  </w:abstractNum>
  <w:abstractNum w:abstractNumId="4">
    <w:nsid w:val="FFFFFF80"/>
    <w:multiLevelType w:val="singleLevel"/>
    <w:tmpl w:val="0DB4FFF4"/>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C9E83D94"/>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8"/>
    <w:multiLevelType w:val="singleLevel"/>
    <w:tmpl w:val="C22CB206"/>
    <w:lvl w:ilvl="0">
      <w:start w:val="1"/>
      <w:numFmt w:val="decimal"/>
      <w:pStyle w:val="ListNumber"/>
      <w:lvlText w:val="%1."/>
      <w:lvlJc w:val="left"/>
      <w:pPr>
        <w:tabs>
          <w:tab w:val="num" w:pos="360"/>
        </w:tabs>
        <w:ind w:left="360" w:hanging="360"/>
      </w:pPr>
    </w:lvl>
  </w:abstractNum>
  <w:abstractNum w:abstractNumId="7">
    <w:nsid w:val="10053F11"/>
    <w:multiLevelType w:val="multilevel"/>
    <w:tmpl w:val="0F36DBE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8">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9">
    <w:nsid w:val="3066740A"/>
    <w:multiLevelType w:val="hybridMultilevel"/>
    <w:tmpl w:val="4AC4A154"/>
    <w:lvl w:ilvl="0" w:tplc="AAAE3F22">
      <w:start w:val="1"/>
      <w:numFmt w:val="bullet"/>
      <w:pStyle w:val="Bullet1"/>
      <w:lvlText w:val="•"/>
      <w:lvlJc w:val="left"/>
      <w:pPr>
        <w:tabs>
          <w:tab w:val="num" w:pos="284"/>
        </w:tabs>
        <w:ind w:left="284" w:hanging="284"/>
      </w:pPr>
      <w:rPr>
        <w:rFonts w:ascii="Times New Roman" w:hAnsi="Times New Roman" w:cs="Times New Roman" w:hint="default"/>
      </w:rPr>
    </w:lvl>
    <w:lvl w:ilvl="1" w:tplc="0C090003">
      <w:start w:val="1"/>
      <w:numFmt w:val="bullet"/>
      <w:lvlText w:val="o"/>
      <w:lvlJc w:val="left"/>
      <w:pPr>
        <w:tabs>
          <w:tab w:val="num" w:pos="1724"/>
        </w:tabs>
        <w:ind w:left="1724" w:hanging="360"/>
      </w:pPr>
      <w:rPr>
        <w:rFonts w:ascii="Courier New" w:hAnsi="Courier New" w:cs="Courier New" w:hint="default"/>
      </w:rPr>
    </w:lvl>
    <w:lvl w:ilvl="2" w:tplc="0C090005">
      <w:start w:val="1"/>
      <w:numFmt w:val="bullet"/>
      <w:lvlText w:val=""/>
      <w:lvlJc w:val="left"/>
      <w:pPr>
        <w:tabs>
          <w:tab w:val="num" w:pos="2444"/>
        </w:tabs>
        <w:ind w:left="2444" w:hanging="360"/>
      </w:pPr>
      <w:rPr>
        <w:rFonts w:ascii="Wingdings" w:hAnsi="Wingdings" w:hint="default"/>
      </w:rPr>
    </w:lvl>
    <w:lvl w:ilvl="3" w:tplc="0C090001">
      <w:start w:val="1"/>
      <w:numFmt w:val="bullet"/>
      <w:lvlText w:val=""/>
      <w:lvlJc w:val="left"/>
      <w:pPr>
        <w:tabs>
          <w:tab w:val="num" w:pos="3164"/>
        </w:tabs>
        <w:ind w:left="3164" w:hanging="360"/>
      </w:pPr>
      <w:rPr>
        <w:rFonts w:ascii="Symbol" w:hAnsi="Symbol" w:hint="default"/>
      </w:rPr>
    </w:lvl>
    <w:lvl w:ilvl="4" w:tplc="0C090003">
      <w:start w:val="1"/>
      <w:numFmt w:val="bullet"/>
      <w:lvlText w:val="o"/>
      <w:lvlJc w:val="left"/>
      <w:pPr>
        <w:tabs>
          <w:tab w:val="num" w:pos="3884"/>
        </w:tabs>
        <w:ind w:left="3884" w:hanging="360"/>
      </w:pPr>
      <w:rPr>
        <w:rFonts w:ascii="Courier New" w:hAnsi="Courier New" w:cs="Courier New" w:hint="default"/>
      </w:rPr>
    </w:lvl>
    <w:lvl w:ilvl="5" w:tplc="0C090005">
      <w:start w:val="1"/>
      <w:numFmt w:val="bullet"/>
      <w:lvlText w:val=""/>
      <w:lvlJc w:val="left"/>
      <w:pPr>
        <w:tabs>
          <w:tab w:val="num" w:pos="4604"/>
        </w:tabs>
        <w:ind w:left="4604" w:hanging="360"/>
      </w:pPr>
      <w:rPr>
        <w:rFonts w:ascii="Wingdings" w:hAnsi="Wingdings" w:hint="default"/>
      </w:rPr>
    </w:lvl>
    <w:lvl w:ilvl="6" w:tplc="0C090001">
      <w:start w:val="1"/>
      <w:numFmt w:val="bullet"/>
      <w:lvlText w:val=""/>
      <w:lvlJc w:val="left"/>
      <w:pPr>
        <w:tabs>
          <w:tab w:val="num" w:pos="5324"/>
        </w:tabs>
        <w:ind w:left="5324" w:hanging="360"/>
      </w:pPr>
      <w:rPr>
        <w:rFonts w:ascii="Symbol" w:hAnsi="Symbol" w:hint="default"/>
      </w:rPr>
    </w:lvl>
    <w:lvl w:ilvl="7" w:tplc="0C090003">
      <w:start w:val="1"/>
      <w:numFmt w:val="bullet"/>
      <w:lvlText w:val="o"/>
      <w:lvlJc w:val="left"/>
      <w:pPr>
        <w:tabs>
          <w:tab w:val="num" w:pos="6044"/>
        </w:tabs>
        <w:ind w:left="6044" w:hanging="360"/>
      </w:pPr>
      <w:rPr>
        <w:rFonts w:ascii="Courier New" w:hAnsi="Courier New" w:cs="Courier New" w:hint="default"/>
      </w:rPr>
    </w:lvl>
    <w:lvl w:ilvl="8" w:tplc="0C090005">
      <w:start w:val="1"/>
      <w:numFmt w:val="bullet"/>
      <w:lvlText w:val=""/>
      <w:lvlJc w:val="left"/>
      <w:pPr>
        <w:tabs>
          <w:tab w:val="num" w:pos="6764"/>
        </w:tabs>
        <w:ind w:left="6764" w:hanging="360"/>
      </w:pPr>
      <w:rPr>
        <w:rFonts w:ascii="Wingdings" w:hAnsi="Wingdings" w:hint="default"/>
      </w:rPr>
    </w:lvl>
  </w:abstractNum>
  <w:abstractNum w:abstractNumId="10">
    <w:nsid w:val="3AC02909"/>
    <w:multiLevelType w:val="hybridMultilevel"/>
    <w:tmpl w:val="0BF2B618"/>
    <w:lvl w:ilvl="0" w:tplc="3B76980A">
      <w:start w:val="1"/>
      <w:numFmt w:val="bullet"/>
      <w:pStyle w:val="Bullet2"/>
      <w:lvlText w:val="-"/>
      <w:lvlJc w:val="left"/>
      <w:pPr>
        <w:tabs>
          <w:tab w:val="num" w:pos="567"/>
        </w:tabs>
        <w:ind w:left="567" w:hanging="283"/>
      </w:pPr>
      <w:rPr>
        <w:rFonts w:ascii="Arial" w:hAnsi="Arial" w:cs="Times New Roman" w:hint="default"/>
      </w:rPr>
    </w:lvl>
    <w:lvl w:ilvl="1" w:tplc="0C090003">
      <w:start w:val="1"/>
      <w:numFmt w:val="bullet"/>
      <w:lvlText w:val="o"/>
      <w:lvlJc w:val="left"/>
      <w:pPr>
        <w:tabs>
          <w:tab w:val="num" w:pos="1724"/>
        </w:tabs>
        <w:ind w:left="1724" w:hanging="360"/>
      </w:pPr>
      <w:rPr>
        <w:rFonts w:ascii="Courier New" w:hAnsi="Courier New" w:cs="Courier New" w:hint="default"/>
      </w:rPr>
    </w:lvl>
    <w:lvl w:ilvl="2" w:tplc="0C090005">
      <w:start w:val="1"/>
      <w:numFmt w:val="bullet"/>
      <w:lvlText w:val=""/>
      <w:lvlJc w:val="left"/>
      <w:pPr>
        <w:tabs>
          <w:tab w:val="num" w:pos="2444"/>
        </w:tabs>
        <w:ind w:left="2444" w:hanging="360"/>
      </w:pPr>
      <w:rPr>
        <w:rFonts w:ascii="Wingdings" w:hAnsi="Wingdings" w:hint="default"/>
      </w:rPr>
    </w:lvl>
    <w:lvl w:ilvl="3" w:tplc="0C090001">
      <w:start w:val="1"/>
      <w:numFmt w:val="bullet"/>
      <w:lvlText w:val=""/>
      <w:lvlJc w:val="left"/>
      <w:pPr>
        <w:tabs>
          <w:tab w:val="num" w:pos="3164"/>
        </w:tabs>
        <w:ind w:left="3164" w:hanging="360"/>
      </w:pPr>
      <w:rPr>
        <w:rFonts w:ascii="Symbol" w:hAnsi="Symbol" w:hint="default"/>
      </w:rPr>
    </w:lvl>
    <w:lvl w:ilvl="4" w:tplc="0C090003">
      <w:start w:val="1"/>
      <w:numFmt w:val="bullet"/>
      <w:lvlText w:val="o"/>
      <w:lvlJc w:val="left"/>
      <w:pPr>
        <w:tabs>
          <w:tab w:val="num" w:pos="3884"/>
        </w:tabs>
        <w:ind w:left="3884" w:hanging="360"/>
      </w:pPr>
      <w:rPr>
        <w:rFonts w:ascii="Courier New" w:hAnsi="Courier New" w:cs="Courier New" w:hint="default"/>
      </w:rPr>
    </w:lvl>
    <w:lvl w:ilvl="5" w:tplc="0C090005">
      <w:start w:val="1"/>
      <w:numFmt w:val="bullet"/>
      <w:lvlText w:val=""/>
      <w:lvlJc w:val="left"/>
      <w:pPr>
        <w:tabs>
          <w:tab w:val="num" w:pos="4604"/>
        </w:tabs>
        <w:ind w:left="4604" w:hanging="360"/>
      </w:pPr>
      <w:rPr>
        <w:rFonts w:ascii="Wingdings" w:hAnsi="Wingdings" w:hint="default"/>
      </w:rPr>
    </w:lvl>
    <w:lvl w:ilvl="6" w:tplc="0C090001">
      <w:start w:val="1"/>
      <w:numFmt w:val="bullet"/>
      <w:lvlText w:val=""/>
      <w:lvlJc w:val="left"/>
      <w:pPr>
        <w:tabs>
          <w:tab w:val="num" w:pos="5324"/>
        </w:tabs>
        <w:ind w:left="5324" w:hanging="360"/>
      </w:pPr>
      <w:rPr>
        <w:rFonts w:ascii="Symbol" w:hAnsi="Symbol" w:hint="default"/>
      </w:rPr>
    </w:lvl>
    <w:lvl w:ilvl="7" w:tplc="0C090003">
      <w:start w:val="1"/>
      <w:numFmt w:val="bullet"/>
      <w:lvlText w:val="o"/>
      <w:lvlJc w:val="left"/>
      <w:pPr>
        <w:tabs>
          <w:tab w:val="num" w:pos="6044"/>
        </w:tabs>
        <w:ind w:left="6044" w:hanging="360"/>
      </w:pPr>
      <w:rPr>
        <w:rFonts w:ascii="Courier New" w:hAnsi="Courier New" w:cs="Courier New" w:hint="default"/>
      </w:rPr>
    </w:lvl>
    <w:lvl w:ilvl="8" w:tplc="0C090005">
      <w:start w:val="1"/>
      <w:numFmt w:val="bullet"/>
      <w:lvlText w:val=""/>
      <w:lvlJc w:val="left"/>
      <w:pPr>
        <w:tabs>
          <w:tab w:val="num" w:pos="6764"/>
        </w:tabs>
        <w:ind w:left="6764" w:hanging="360"/>
      </w:pPr>
      <w:rPr>
        <w:rFonts w:ascii="Wingdings" w:hAnsi="Wingdings" w:hint="default"/>
      </w:rPr>
    </w:lvl>
  </w:abstractNum>
  <w:abstractNum w:abstractNumId="11">
    <w:nsid w:val="6D0B1B75"/>
    <w:multiLevelType w:val="multilevel"/>
    <w:tmpl w:val="D3FAAFB8"/>
    <w:lvl w:ilvl="0">
      <w:start w:val="1"/>
      <w:numFmt w:val="decimal"/>
      <w:pStyle w:val="Heading2"/>
      <w:lvlText w:val="%1."/>
      <w:lvlJc w:val="left"/>
      <w:pPr>
        <w:tabs>
          <w:tab w:val="num" w:pos="567"/>
        </w:tabs>
        <w:ind w:left="567" w:hanging="567"/>
      </w:pPr>
      <w:rPr>
        <w:rFonts w:hint="default"/>
      </w:rPr>
    </w:lvl>
    <w:lvl w:ilvl="1">
      <w:start w:val="1"/>
      <w:numFmt w:val="decimal"/>
      <w:pStyle w:val="Heading3"/>
      <w:lvlText w:val="%1.%2."/>
      <w:lvlJc w:val="left"/>
      <w:pPr>
        <w:tabs>
          <w:tab w:val="num" w:pos="1135"/>
        </w:tabs>
        <w:ind w:left="1135" w:hanging="1022"/>
      </w:pPr>
      <w:rPr>
        <w:rFonts w:hint="default"/>
      </w:rPr>
    </w:lvl>
    <w:lvl w:ilvl="2">
      <w:start w:val="1"/>
      <w:numFmt w:val="decimal"/>
      <w:pStyle w:val="Heading4"/>
      <w:lvlText w:val="%1.%2.%3."/>
      <w:lvlJc w:val="left"/>
      <w:pPr>
        <w:tabs>
          <w:tab w:val="num" w:pos="1134"/>
        </w:tabs>
        <w:ind w:left="1134" w:hanging="964"/>
      </w:pPr>
      <w:rPr>
        <w:rFonts w:hint="default"/>
      </w:rPr>
    </w:lvl>
    <w:lvl w:ilvl="3">
      <w:start w:val="1"/>
      <w:numFmt w:val="decimal"/>
      <w:pStyle w:val="Heading5"/>
      <w:lvlText w:val="%1.%2.%3.%4."/>
      <w:lvlJc w:val="left"/>
      <w:pPr>
        <w:tabs>
          <w:tab w:val="num" w:pos="1418"/>
        </w:tabs>
        <w:ind w:left="1418" w:hanging="1191"/>
      </w:pPr>
      <w:rPr>
        <w:rFonts w:hint="default"/>
      </w:rPr>
    </w:lvl>
    <w:lvl w:ilvl="4">
      <w:start w:val="1"/>
      <w:numFmt w:val="decimal"/>
      <w:lvlText w:val="%1.%2.%3.%4.%5."/>
      <w:lvlJc w:val="left"/>
      <w:pPr>
        <w:tabs>
          <w:tab w:val="num" w:pos="1701"/>
        </w:tabs>
        <w:ind w:left="1701" w:hanging="1417"/>
      </w:pPr>
      <w:rPr>
        <w:rFonts w:hint="default"/>
      </w:rPr>
    </w:lvl>
    <w:lvl w:ilvl="5">
      <w:start w:val="1"/>
      <w:numFmt w:val="decimal"/>
      <w:lvlText w:val="%1.%2.%3.%4.%5.%6."/>
      <w:lvlJc w:val="left"/>
      <w:pPr>
        <w:tabs>
          <w:tab w:val="num" w:pos="1985"/>
        </w:tabs>
        <w:ind w:left="1985" w:hanging="1645"/>
      </w:pPr>
      <w:rPr>
        <w:rFonts w:hint="default"/>
      </w:rPr>
    </w:lvl>
    <w:lvl w:ilvl="6">
      <w:start w:val="1"/>
      <w:numFmt w:val="decimal"/>
      <w:lvlText w:val="%1.%2.%3.%4.%5.%6.%7."/>
      <w:lvlJc w:val="left"/>
      <w:pPr>
        <w:tabs>
          <w:tab w:val="num" w:pos="2268"/>
        </w:tabs>
        <w:ind w:left="2268" w:hanging="1871"/>
      </w:pPr>
      <w:rPr>
        <w:rFonts w:hint="default"/>
      </w:rPr>
    </w:lvl>
    <w:lvl w:ilvl="7">
      <w:start w:val="1"/>
      <w:numFmt w:val="none"/>
      <w:lvlText w:val=""/>
      <w:lvlJc w:val="left"/>
      <w:pPr>
        <w:tabs>
          <w:tab w:val="num" w:pos="510"/>
        </w:tabs>
        <w:ind w:left="0" w:firstLine="510"/>
      </w:pPr>
      <w:rPr>
        <w:rFonts w:hint="default"/>
      </w:rPr>
    </w:lvl>
    <w:lvl w:ilvl="8">
      <w:start w:val="1"/>
      <w:numFmt w:val="none"/>
      <w:lvlText w:val=""/>
      <w:lvlJc w:val="left"/>
      <w:pPr>
        <w:ind w:left="0" w:firstLine="567"/>
      </w:pPr>
      <w:rPr>
        <w:rFonts w:hint="default"/>
      </w:rPr>
    </w:lvl>
  </w:abstractNum>
  <w:num w:numId="1">
    <w:abstractNumId w:val="8"/>
  </w:num>
  <w:num w:numId="2">
    <w:abstractNumId w:val="7"/>
  </w:num>
  <w:num w:numId="3">
    <w:abstractNumId w:val="8"/>
  </w:num>
  <w:num w:numId="4">
    <w:abstractNumId w:val="7"/>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5">
    <w:abstractNumId w:val="11"/>
  </w:num>
  <w:num w:numId="6">
    <w:abstractNumId w:val="9"/>
  </w:num>
  <w:num w:numId="7">
    <w:abstractNumId w:val="10"/>
  </w:num>
  <w:num w:numId="8">
    <w:abstractNumId w:val="7"/>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9">
    <w:abstractNumId w:val="7"/>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10">
    <w:abstractNumId w:val="7"/>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11">
    <w:abstractNumId w:val="5"/>
  </w:num>
  <w:num w:numId="12">
    <w:abstractNumId w:val="4"/>
  </w:num>
  <w:num w:numId="13">
    <w:abstractNumId w:val="6"/>
  </w:num>
  <w:num w:numId="14">
    <w:abstractNumId w:val="3"/>
  </w:num>
  <w:num w:numId="15">
    <w:abstractNumId w:val="2"/>
  </w:num>
  <w:num w:numId="16">
    <w:abstractNumId w:val="1"/>
  </w:num>
  <w:num w:numId="17">
    <w:abstractNumId w:val="0"/>
  </w:num>
  <w:numIdMacAtCleanup w:val="17"/>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Raymond Doss">
    <w15:presenceInfo w15:providerId="None" w15:userId="Raymond Dos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isplayBackgroundShape/>
  <w:proofState w:spelling="clean"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0674"/>
    <w:rsid w:val="00002031"/>
    <w:rsid w:val="00004734"/>
    <w:rsid w:val="00006B22"/>
    <w:rsid w:val="0001276A"/>
    <w:rsid w:val="000246AE"/>
    <w:rsid w:val="00025C67"/>
    <w:rsid w:val="00040ACB"/>
    <w:rsid w:val="0005559E"/>
    <w:rsid w:val="00077775"/>
    <w:rsid w:val="00090471"/>
    <w:rsid w:val="00090F4E"/>
    <w:rsid w:val="00097B5E"/>
    <w:rsid w:val="000A3AED"/>
    <w:rsid w:val="000A63AF"/>
    <w:rsid w:val="000B3532"/>
    <w:rsid w:val="000B3A75"/>
    <w:rsid w:val="000C690F"/>
    <w:rsid w:val="000D1295"/>
    <w:rsid w:val="000D391B"/>
    <w:rsid w:val="000D3D6D"/>
    <w:rsid w:val="000D4FC7"/>
    <w:rsid w:val="000D5DA0"/>
    <w:rsid w:val="000F02F9"/>
    <w:rsid w:val="000F4869"/>
    <w:rsid w:val="000F5B42"/>
    <w:rsid w:val="000F6E6F"/>
    <w:rsid w:val="0010193C"/>
    <w:rsid w:val="00104613"/>
    <w:rsid w:val="00104A71"/>
    <w:rsid w:val="0010601F"/>
    <w:rsid w:val="0010788A"/>
    <w:rsid w:val="00107A31"/>
    <w:rsid w:val="00110EA5"/>
    <w:rsid w:val="00112F56"/>
    <w:rsid w:val="00115227"/>
    <w:rsid w:val="00121FD0"/>
    <w:rsid w:val="0012363D"/>
    <w:rsid w:val="00125318"/>
    <w:rsid w:val="001305A2"/>
    <w:rsid w:val="00133238"/>
    <w:rsid w:val="0014197B"/>
    <w:rsid w:val="001429A2"/>
    <w:rsid w:val="001447CD"/>
    <w:rsid w:val="001516B1"/>
    <w:rsid w:val="00154EBB"/>
    <w:rsid w:val="00156316"/>
    <w:rsid w:val="00165389"/>
    <w:rsid w:val="0017078F"/>
    <w:rsid w:val="0017693F"/>
    <w:rsid w:val="0018110E"/>
    <w:rsid w:val="00181684"/>
    <w:rsid w:val="001843C6"/>
    <w:rsid w:val="001850E0"/>
    <w:rsid w:val="001A2158"/>
    <w:rsid w:val="001A4B22"/>
    <w:rsid w:val="001A525F"/>
    <w:rsid w:val="001B09F9"/>
    <w:rsid w:val="001B3CD1"/>
    <w:rsid w:val="001B5D98"/>
    <w:rsid w:val="001B6448"/>
    <w:rsid w:val="001C657B"/>
    <w:rsid w:val="001E07CF"/>
    <w:rsid w:val="001E59F1"/>
    <w:rsid w:val="001F0A99"/>
    <w:rsid w:val="001F13C4"/>
    <w:rsid w:val="001F497A"/>
    <w:rsid w:val="001F49EB"/>
    <w:rsid w:val="001F6CBA"/>
    <w:rsid w:val="00201D4E"/>
    <w:rsid w:val="002076C9"/>
    <w:rsid w:val="00215B9C"/>
    <w:rsid w:val="00220B8A"/>
    <w:rsid w:val="002257F3"/>
    <w:rsid w:val="00233456"/>
    <w:rsid w:val="002339A5"/>
    <w:rsid w:val="00253DE9"/>
    <w:rsid w:val="00257848"/>
    <w:rsid w:val="002666AC"/>
    <w:rsid w:val="0027084A"/>
    <w:rsid w:val="00286434"/>
    <w:rsid w:val="00286C59"/>
    <w:rsid w:val="00292113"/>
    <w:rsid w:val="002942D1"/>
    <w:rsid w:val="0029501A"/>
    <w:rsid w:val="002A7505"/>
    <w:rsid w:val="002B1638"/>
    <w:rsid w:val="002B4B2A"/>
    <w:rsid w:val="002C04CE"/>
    <w:rsid w:val="002C0543"/>
    <w:rsid w:val="002C63ED"/>
    <w:rsid w:val="002D4BC2"/>
    <w:rsid w:val="002D545C"/>
    <w:rsid w:val="002D6161"/>
    <w:rsid w:val="002E4C9A"/>
    <w:rsid w:val="002F11F8"/>
    <w:rsid w:val="002F3F56"/>
    <w:rsid w:val="002F44B5"/>
    <w:rsid w:val="003107D6"/>
    <w:rsid w:val="00311835"/>
    <w:rsid w:val="00311AC0"/>
    <w:rsid w:val="0032583B"/>
    <w:rsid w:val="00327883"/>
    <w:rsid w:val="00335504"/>
    <w:rsid w:val="00342116"/>
    <w:rsid w:val="003521E8"/>
    <w:rsid w:val="003728F3"/>
    <w:rsid w:val="0037496E"/>
    <w:rsid w:val="0037623D"/>
    <w:rsid w:val="0038012D"/>
    <w:rsid w:val="00386150"/>
    <w:rsid w:val="003874CE"/>
    <w:rsid w:val="00387CB6"/>
    <w:rsid w:val="00390900"/>
    <w:rsid w:val="00396C92"/>
    <w:rsid w:val="003A2634"/>
    <w:rsid w:val="003A7F6C"/>
    <w:rsid w:val="003B1113"/>
    <w:rsid w:val="003B4D60"/>
    <w:rsid w:val="003B634F"/>
    <w:rsid w:val="003B7E39"/>
    <w:rsid w:val="003C58DC"/>
    <w:rsid w:val="003D0A3B"/>
    <w:rsid w:val="003D1E62"/>
    <w:rsid w:val="003E2486"/>
    <w:rsid w:val="003E3208"/>
    <w:rsid w:val="003F0B04"/>
    <w:rsid w:val="0040134E"/>
    <w:rsid w:val="00415D59"/>
    <w:rsid w:val="0043797D"/>
    <w:rsid w:val="00440A2D"/>
    <w:rsid w:val="004564A7"/>
    <w:rsid w:val="004617BF"/>
    <w:rsid w:val="00463658"/>
    <w:rsid w:val="004722CC"/>
    <w:rsid w:val="00474CEB"/>
    <w:rsid w:val="004936E4"/>
    <w:rsid w:val="00494E60"/>
    <w:rsid w:val="00497487"/>
    <w:rsid w:val="004A7E13"/>
    <w:rsid w:val="004B7B76"/>
    <w:rsid w:val="004C27AB"/>
    <w:rsid w:val="004C2DCA"/>
    <w:rsid w:val="004F0F38"/>
    <w:rsid w:val="004F4AF5"/>
    <w:rsid w:val="00501921"/>
    <w:rsid w:val="005034AC"/>
    <w:rsid w:val="00527073"/>
    <w:rsid w:val="00530354"/>
    <w:rsid w:val="005304A4"/>
    <w:rsid w:val="0053625B"/>
    <w:rsid w:val="005434C6"/>
    <w:rsid w:val="00543B39"/>
    <w:rsid w:val="00550096"/>
    <w:rsid w:val="00557FF9"/>
    <w:rsid w:val="00576378"/>
    <w:rsid w:val="00577945"/>
    <w:rsid w:val="00577E38"/>
    <w:rsid w:val="00585322"/>
    <w:rsid w:val="005857C6"/>
    <w:rsid w:val="005859F1"/>
    <w:rsid w:val="00586F98"/>
    <w:rsid w:val="00592F6E"/>
    <w:rsid w:val="00593AD1"/>
    <w:rsid w:val="005A68B6"/>
    <w:rsid w:val="005A6E85"/>
    <w:rsid w:val="005C297A"/>
    <w:rsid w:val="005C5570"/>
    <w:rsid w:val="005C79A4"/>
    <w:rsid w:val="005D5442"/>
    <w:rsid w:val="00603F32"/>
    <w:rsid w:val="006170F0"/>
    <w:rsid w:val="00620406"/>
    <w:rsid w:val="006214A2"/>
    <w:rsid w:val="00632398"/>
    <w:rsid w:val="00640FC3"/>
    <w:rsid w:val="00642020"/>
    <w:rsid w:val="00646206"/>
    <w:rsid w:val="0065337B"/>
    <w:rsid w:val="0065419D"/>
    <w:rsid w:val="006604D8"/>
    <w:rsid w:val="00664A5B"/>
    <w:rsid w:val="006763D2"/>
    <w:rsid w:val="00680C08"/>
    <w:rsid w:val="006931B1"/>
    <w:rsid w:val="006A15C0"/>
    <w:rsid w:val="006B4C50"/>
    <w:rsid w:val="006C130C"/>
    <w:rsid w:val="006C1597"/>
    <w:rsid w:val="006C3E2A"/>
    <w:rsid w:val="006C5AF7"/>
    <w:rsid w:val="006C642F"/>
    <w:rsid w:val="006D03E5"/>
    <w:rsid w:val="006D5D3E"/>
    <w:rsid w:val="006E08B3"/>
    <w:rsid w:val="006F17AC"/>
    <w:rsid w:val="006F1D37"/>
    <w:rsid w:val="006F26D0"/>
    <w:rsid w:val="006F2796"/>
    <w:rsid w:val="006F572E"/>
    <w:rsid w:val="007046D6"/>
    <w:rsid w:val="00705DB0"/>
    <w:rsid w:val="00722B57"/>
    <w:rsid w:val="0074253D"/>
    <w:rsid w:val="0074429B"/>
    <w:rsid w:val="007513B4"/>
    <w:rsid w:val="007615BC"/>
    <w:rsid w:val="00762F05"/>
    <w:rsid w:val="007652FF"/>
    <w:rsid w:val="00770EF1"/>
    <w:rsid w:val="00773EF7"/>
    <w:rsid w:val="00774E1D"/>
    <w:rsid w:val="0077675A"/>
    <w:rsid w:val="00780355"/>
    <w:rsid w:val="00785721"/>
    <w:rsid w:val="00793A59"/>
    <w:rsid w:val="007A64A2"/>
    <w:rsid w:val="007B6E9F"/>
    <w:rsid w:val="007B7248"/>
    <w:rsid w:val="007C1216"/>
    <w:rsid w:val="007C1AF7"/>
    <w:rsid w:val="007C3083"/>
    <w:rsid w:val="007E6E27"/>
    <w:rsid w:val="007F3E00"/>
    <w:rsid w:val="00805D27"/>
    <w:rsid w:val="00810EFF"/>
    <w:rsid w:val="00821776"/>
    <w:rsid w:val="008321F5"/>
    <w:rsid w:val="00832369"/>
    <w:rsid w:val="00834660"/>
    <w:rsid w:val="00836BC2"/>
    <w:rsid w:val="00836DCE"/>
    <w:rsid w:val="008414A0"/>
    <w:rsid w:val="00853C0C"/>
    <w:rsid w:val="0085641B"/>
    <w:rsid w:val="00857136"/>
    <w:rsid w:val="008572F8"/>
    <w:rsid w:val="00882D02"/>
    <w:rsid w:val="00886D15"/>
    <w:rsid w:val="00887DD8"/>
    <w:rsid w:val="00896018"/>
    <w:rsid w:val="008960DD"/>
    <w:rsid w:val="0089635C"/>
    <w:rsid w:val="008A2B9D"/>
    <w:rsid w:val="008A5E0B"/>
    <w:rsid w:val="008A6D59"/>
    <w:rsid w:val="008B4B03"/>
    <w:rsid w:val="008B596F"/>
    <w:rsid w:val="008B5A3E"/>
    <w:rsid w:val="008B5E51"/>
    <w:rsid w:val="008C159F"/>
    <w:rsid w:val="008C1623"/>
    <w:rsid w:val="008C1850"/>
    <w:rsid w:val="008C51A9"/>
    <w:rsid w:val="008D0F52"/>
    <w:rsid w:val="008D770F"/>
    <w:rsid w:val="008E7846"/>
    <w:rsid w:val="008F1CCC"/>
    <w:rsid w:val="008F2967"/>
    <w:rsid w:val="008F6943"/>
    <w:rsid w:val="008F69AF"/>
    <w:rsid w:val="00902A21"/>
    <w:rsid w:val="00906445"/>
    <w:rsid w:val="00920330"/>
    <w:rsid w:val="009219D7"/>
    <w:rsid w:val="00922D53"/>
    <w:rsid w:val="00923B70"/>
    <w:rsid w:val="00924482"/>
    <w:rsid w:val="00930237"/>
    <w:rsid w:val="009438E8"/>
    <w:rsid w:val="0094614A"/>
    <w:rsid w:val="00946EA5"/>
    <w:rsid w:val="0095160F"/>
    <w:rsid w:val="00963C08"/>
    <w:rsid w:val="00970674"/>
    <w:rsid w:val="00981D66"/>
    <w:rsid w:val="0098585A"/>
    <w:rsid w:val="0098669D"/>
    <w:rsid w:val="00994C95"/>
    <w:rsid w:val="009A4CED"/>
    <w:rsid w:val="009A690D"/>
    <w:rsid w:val="009B1D12"/>
    <w:rsid w:val="009B416B"/>
    <w:rsid w:val="009C12C3"/>
    <w:rsid w:val="009C4A46"/>
    <w:rsid w:val="009C4BD5"/>
    <w:rsid w:val="009D7B77"/>
    <w:rsid w:val="009E0BB0"/>
    <w:rsid w:val="009E3FBB"/>
    <w:rsid w:val="00A102E4"/>
    <w:rsid w:val="00A12C42"/>
    <w:rsid w:val="00A14DF7"/>
    <w:rsid w:val="00A235D9"/>
    <w:rsid w:val="00A3246D"/>
    <w:rsid w:val="00A36FA7"/>
    <w:rsid w:val="00A475B7"/>
    <w:rsid w:val="00A47AF7"/>
    <w:rsid w:val="00A47C3E"/>
    <w:rsid w:val="00A50226"/>
    <w:rsid w:val="00A60BAD"/>
    <w:rsid w:val="00A620D9"/>
    <w:rsid w:val="00A83FFD"/>
    <w:rsid w:val="00A964D1"/>
    <w:rsid w:val="00AA0ED0"/>
    <w:rsid w:val="00AA3499"/>
    <w:rsid w:val="00AA79D7"/>
    <w:rsid w:val="00AC2B40"/>
    <w:rsid w:val="00AC2BB2"/>
    <w:rsid w:val="00AC2C3C"/>
    <w:rsid w:val="00AC512D"/>
    <w:rsid w:val="00AD3AB7"/>
    <w:rsid w:val="00AE01C2"/>
    <w:rsid w:val="00AE65EB"/>
    <w:rsid w:val="00AE67A7"/>
    <w:rsid w:val="00AF1D94"/>
    <w:rsid w:val="00AF60C5"/>
    <w:rsid w:val="00B009C6"/>
    <w:rsid w:val="00B01548"/>
    <w:rsid w:val="00B02208"/>
    <w:rsid w:val="00B1425E"/>
    <w:rsid w:val="00B21D29"/>
    <w:rsid w:val="00B22065"/>
    <w:rsid w:val="00B25034"/>
    <w:rsid w:val="00B275F4"/>
    <w:rsid w:val="00B33588"/>
    <w:rsid w:val="00B33863"/>
    <w:rsid w:val="00B3567E"/>
    <w:rsid w:val="00B37D17"/>
    <w:rsid w:val="00B4175E"/>
    <w:rsid w:val="00B452CE"/>
    <w:rsid w:val="00B54C25"/>
    <w:rsid w:val="00B61285"/>
    <w:rsid w:val="00B635B4"/>
    <w:rsid w:val="00B76B91"/>
    <w:rsid w:val="00B77EB1"/>
    <w:rsid w:val="00B811C6"/>
    <w:rsid w:val="00B85A87"/>
    <w:rsid w:val="00B92E08"/>
    <w:rsid w:val="00B9502A"/>
    <w:rsid w:val="00B96EBE"/>
    <w:rsid w:val="00BA29E3"/>
    <w:rsid w:val="00BA348C"/>
    <w:rsid w:val="00BC622A"/>
    <w:rsid w:val="00BD45E3"/>
    <w:rsid w:val="00BE0A78"/>
    <w:rsid w:val="00BE32A6"/>
    <w:rsid w:val="00BE6252"/>
    <w:rsid w:val="00BE79F0"/>
    <w:rsid w:val="00BF046D"/>
    <w:rsid w:val="00BF1190"/>
    <w:rsid w:val="00BF5D04"/>
    <w:rsid w:val="00C1164D"/>
    <w:rsid w:val="00C137CE"/>
    <w:rsid w:val="00C16861"/>
    <w:rsid w:val="00C22678"/>
    <w:rsid w:val="00C404A6"/>
    <w:rsid w:val="00C40A36"/>
    <w:rsid w:val="00C44419"/>
    <w:rsid w:val="00C45E7B"/>
    <w:rsid w:val="00C4625F"/>
    <w:rsid w:val="00C471B1"/>
    <w:rsid w:val="00C618F7"/>
    <w:rsid w:val="00C6316B"/>
    <w:rsid w:val="00C634A9"/>
    <w:rsid w:val="00C64586"/>
    <w:rsid w:val="00C70D53"/>
    <w:rsid w:val="00C73D0B"/>
    <w:rsid w:val="00C772FF"/>
    <w:rsid w:val="00C801AF"/>
    <w:rsid w:val="00C80256"/>
    <w:rsid w:val="00C811C0"/>
    <w:rsid w:val="00CB6BC0"/>
    <w:rsid w:val="00CC1B7C"/>
    <w:rsid w:val="00CC727F"/>
    <w:rsid w:val="00CF0D2E"/>
    <w:rsid w:val="00CF15C3"/>
    <w:rsid w:val="00CF2B6F"/>
    <w:rsid w:val="00CF58B6"/>
    <w:rsid w:val="00D017ED"/>
    <w:rsid w:val="00D040D3"/>
    <w:rsid w:val="00D04C65"/>
    <w:rsid w:val="00D224FE"/>
    <w:rsid w:val="00D46F50"/>
    <w:rsid w:val="00D53A31"/>
    <w:rsid w:val="00D6493E"/>
    <w:rsid w:val="00D7301E"/>
    <w:rsid w:val="00D83AE1"/>
    <w:rsid w:val="00D855D4"/>
    <w:rsid w:val="00D87961"/>
    <w:rsid w:val="00D93466"/>
    <w:rsid w:val="00DA1124"/>
    <w:rsid w:val="00DB75B7"/>
    <w:rsid w:val="00DC156B"/>
    <w:rsid w:val="00DC6E02"/>
    <w:rsid w:val="00DE02AE"/>
    <w:rsid w:val="00DF1D7F"/>
    <w:rsid w:val="00DF4BE4"/>
    <w:rsid w:val="00E02FB4"/>
    <w:rsid w:val="00E07F15"/>
    <w:rsid w:val="00E10416"/>
    <w:rsid w:val="00E20571"/>
    <w:rsid w:val="00E235F7"/>
    <w:rsid w:val="00E23659"/>
    <w:rsid w:val="00E239D4"/>
    <w:rsid w:val="00E26130"/>
    <w:rsid w:val="00E2741C"/>
    <w:rsid w:val="00E40B22"/>
    <w:rsid w:val="00E420FF"/>
    <w:rsid w:val="00E44D46"/>
    <w:rsid w:val="00E45619"/>
    <w:rsid w:val="00E4588F"/>
    <w:rsid w:val="00E46DA3"/>
    <w:rsid w:val="00E51BB1"/>
    <w:rsid w:val="00E624A5"/>
    <w:rsid w:val="00E7344E"/>
    <w:rsid w:val="00E77B22"/>
    <w:rsid w:val="00E936E3"/>
    <w:rsid w:val="00E979F4"/>
    <w:rsid w:val="00EB0798"/>
    <w:rsid w:val="00EB40AD"/>
    <w:rsid w:val="00EB586E"/>
    <w:rsid w:val="00EB5FC8"/>
    <w:rsid w:val="00ED3CAD"/>
    <w:rsid w:val="00ED5A41"/>
    <w:rsid w:val="00EE1DE8"/>
    <w:rsid w:val="00F033EC"/>
    <w:rsid w:val="00F04F68"/>
    <w:rsid w:val="00F12670"/>
    <w:rsid w:val="00F14B27"/>
    <w:rsid w:val="00F3148D"/>
    <w:rsid w:val="00F325C5"/>
    <w:rsid w:val="00F32FE0"/>
    <w:rsid w:val="00F35298"/>
    <w:rsid w:val="00F47333"/>
    <w:rsid w:val="00F47E37"/>
    <w:rsid w:val="00F53C07"/>
    <w:rsid w:val="00F54B65"/>
    <w:rsid w:val="00F640B6"/>
    <w:rsid w:val="00F7695B"/>
    <w:rsid w:val="00F80E40"/>
    <w:rsid w:val="00F848D9"/>
    <w:rsid w:val="00FA5B82"/>
    <w:rsid w:val="00FA639E"/>
    <w:rsid w:val="00FC25E4"/>
    <w:rsid w:val="00FC4EF7"/>
    <w:rsid w:val="00FD3D6E"/>
    <w:rsid w:val="00FE1DEE"/>
    <w:rsid w:val="00FF2126"/>
    <w:rsid w:val="00FF5755"/>
    <w:rsid w:val="00FF69BE"/>
    <w:rsid w:val="00FF7B93"/>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17B6C6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lsdException w:name="caption" w:semiHidden="0" w:uiPriority="0" w:unhideWhenUsed="0" w:qFormat="1"/>
    <w:lsdException w:name="annotation reference" w:uiPriority="0"/>
    <w:lsdException w:name="List Bullet" w:semiHidden="0" w:unhideWhenUsed="0" w:qFormat="1"/>
    <w:lsdException w:name="List Bullet 2" w:semiHidden="0" w:unhideWhenUsed="0" w:qFormat="1"/>
    <w:lsdException w:name="List Bullet 3"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6F1D37"/>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586F98"/>
    <w:pPr>
      <w:keepNext/>
      <w:keepLines/>
      <w:numPr>
        <w:numId w:val="5"/>
      </w:numPr>
      <w:adjustRightInd w:val="0"/>
      <w:snapToGrid w:val="0"/>
      <w:spacing w:before="480"/>
      <w:outlineLvl w:val="1"/>
    </w:pPr>
    <w:rPr>
      <w:rFonts w:ascii="Arial" w:eastAsia="Times New Roman" w:hAnsi="Arial"/>
      <w:b/>
      <w:bCs/>
      <w:sz w:val="32"/>
      <w:szCs w:val="26"/>
      <w:lang w:eastAsia="ja-JP"/>
    </w:rPr>
  </w:style>
  <w:style w:type="paragraph" w:styleId="Heading3">
    <w:name w:val="heading 3"/>
    <w:basedOn w:val="Normal"/>
    <w:next w:val="Normal"/>
    <w:link w:val="Heading3Char"/>
    <w:qFormat/>
    <w:rsid w:val="00DC156B"/>
    <w:pPr>
      <w:keepNext/>
      <w:keepLines/>
      <w:numPr>
        <w:ilvl w:val="1"/>
        <w:numId w:val="5"/>
      </w:numPr>
      <w:adjustRightInd w:val="0"/>
      <w:snapToGrid w:val="0"/>
      <w:spacing w:before="400" w:line="220" w:lineRule="atLeast"/>
      <w:ind w:left="907" w:hanging="794"/>
      <w:outlineLvl w:val="2"/>
    </w:pPr>
    <w:rPr>
      <w:rFonts w:ascii="Arial" w:eastAsia="Times New Roman" w:hAnsi="Arial"/>
      <w:b/>
      <w:bCs/>
      <w:sz w:val="26"/>
      <w:szCs w:val="21"/>
      <w:lang w:eastAsia="ja-JP"/>
    </w:rPr>
  </w:style>
  <w:style w:type="paragraph" w:styleId="Heading4">
    <w:name w:val="heading 4"/>
    <w:basedOn w:val="Normal"/>
    <w:next w:val="Normal"/>
    <w:link w:val="Heading4Char"/>
    <w:qFormat/>
    <w:rsid w:val="008D770F"/>
    <w:pPr>
      <w:keepNext/>
      <w:numPr>
        <w:ilvl w:val="2"/>
        <w:numId w:val="5"/>
      </w:numPr>
      <w:adjustRightInd w:val="0"/>
      <w:snapToGrid w:val="0"/>
      <w:spacing w:line="220" w:lineRule="atLeast"/>
      <w:outlineLvl w:val="3"/>
    </w:pPr>
    <w:rPr>
      <w:rFonts w:eastAsia="MS Mincho"/>
      <w:b/>
      <w:bCs/>
      <w:szCs w:val="21"/>
      <w:lang w:eastAsia="ja-JP"/>
    </w:rPr>
  </w:style>
  <w:style w:type="paragraph" w:styleId="Heading5">
    <w:name w:val="heading 5"/>
    <w:basedOn w:val="Normal"/>
    <w:next w:val="Normal"/>
    <w:link w:val="Heading5Char"/>
    <w:uiPriority w:val="9"/>
    <w:rsid w:val="00906445"/>
    <w:pPr>
      <w:keepNext/>
      <w:keepLines/>
      <w:numPr>
        <w:ilvl w:val="3"/>
        <w:numId w:val="5"/>
      </w:numPr>
      <w:spacing w:line="220" w:lineRule="atLeast"/>
      <w:ind w:left="1304" w:hanging="1077"/>
      <w:outlineLvl w:val="4"/>
    </w:pPr>
    <w:rPr>
      <w:rFonts w:eastAsia="Times New Roman"/>
      <w:b/>
      <w:bCs/>
      <w:i/>
      <w:color w:val="001523"/>
      <w:szCs w:val="21"/>
    </w:rPr>
  </w:style>
  <w:style w:type="paragraph" w:styleId="Heading6">
    <w:name w:val="heading 6"/>
    <w:basedOn w:val="Normal"/>
    <w:next w:val="Normal"/>
    <w:link w:val="Heading6Char"/>
    <w:uiPriority w:val="9"/>
    <w:rsid w:val="007F3E00"/>
    <w:pPr>
      <w:keepNext/>
      <w:spacing w:line="220" w:lineRule="atLeast"/>
      <w:ind w:left="284"/>
      <w:outlineLvl w:val="5"/>
    </w:pPr>
    <w:rPr>
      <w:rFonts w:eastAsia="Times New Roman"/>
      <w:bCs/>
      <w:i/>
      <w:szCs w:val="21"/>
    </w:rPr>
  </w:style>
  <w:style w:type="paragraph" w:styleId="Heading7">
    <w:name w:val="heading 7"/>
    <w:basedOn w:val="Normal"/>
    <w:next w:val="Normal"/>
    <w:link w:val="Heading7Char"/>
    <w:uiPriority w:val="9"/>
    <w:rsid w:val="007F3E00"/>
    <w:pPr>
      <w:keepNext/>
      <w:spacing w:after="60" w:line="180" w:lineRule="atLeast"/>
      <w:ind w:left="397"/>
      <w:outlineLvl w:val="6"/>
    </w:pPr>
    <w:rPr>
      <w:rFonts w:eastAsia="Times New Roman"/>
      <w:bCs/>
      <w:sz w:val="18"/>
      <w:szCs w:val="24"/>
    </w:rPr>
  </w:style>
  <w:style w:type="paragraph" w:styleId="Heading8">
    <w:name w:val="heading 8"/>
    <w:basedOn w:val="Normal"/>
    <w:next w:val="Normal"/>
    <w:link w:val="Heading8Char"/>
    <w:uiPriority w:val="9"/>
    <w:semiHidden/>
    <w:unhideWhenUsed/>
    <w:qFormat/>
    <w:rsid w:val="00970674"/>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1429A2"/>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lang w:eastAsia="ja-JP"/>
    </w:rPr>
  </w:style>
  <w:style w:type="character" w:customStyle="1" w:styleId="Heading2Char">
    <w:name w:val="Heading 2 Char"/>
    <w:basedOn w:val="DefaultParagraphFont"/>
    <w:link w:val="Heading2"/>
    <w:rsid w:val="00586F98"/>
    <w:rPr>
      <w:rFonts w:ascii="Arial" w:eastAsia="Times New Roman" w:hAnsi="Arial" w:cs="Times New Roman"/>
      <w:b/>
      <w:bCs/>
      <w:sz w:val="32"/>
      <w:szCs w:val="26"/>
      <w:lang w:eastAsia="ja-JP"/>
    </w:rPr>
  </w:style>
  <w:style w:type="character" w:customStyle="1" w:styleId="Heading3Char">
    <w:name w:val="Heading 3 Char"/>
    <w:basedOn w:val="DefaultParagraphFont"/>
    <w:link w:val="Heading3"/>
    <w:rsid w:val="00DC156B"/>
    <w:rPr>
      <w:rFonts w:ascii="Arial" w:eastAsia="Times New Roman" w:hAnsi="Arial" w:cs="Times New Roman"/>
      <w:b/>
      <w:bCs/>
      <w:sz w:val="26"/>
      <w:szCs w:val="21"/>
      <w:lang w:eastAsia="ja-JP"/>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qFormat/>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F3148D"/>
    <w:pPr>
      <w:spacing w:line="220" w:lineRule="atLeast"/>
    </w:pPr>
    <w:rPr>
      <w:b/>
    </w:rPr>
  </w:style>
  <w:style w:type="character" w:customStyle="1" w:styleId="Heading4Char">
    <w:name w:val="Heading 4 Char"/>
    <w:basedOn w:val="DefaultParagraphFont"/>
    <w:link w:val="Heading4"/>
    <w:rsid w:val="008D770F"/>
    <w:rPr>
      <w:rFonts w:ascii="Cambria" w:eastAsia="MS Mincho" w:hAnsi="Cambria" w:cs="Times New Roman"/>
      <w:b/>
      <w:bCs/>
      <w:szCs w:val="21"/>
      <w:lang w:eastAsia="ja-JP"/>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uiPriority w:val="9"/>
    <w:rsid w:val="0090644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7F3E0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7F3E00"/>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3"/>
      </w:numPr>
    </w:pPr>
  </w:style>
  <w:style w:type="paragraph" w:styleId="ListBullet2">
    <w:name w:val="List Bullet 2"/>
    <w:basedOn w:val="Normal"/>
    <w:uiPriority w:val="99"/>
    <w:qFormat/>
    <w:rsid w:val="004C2DCA"/>
    <w:pPr>
      <w:numPr>
        <w:ilvl w:val="1"/>
        <w:numId w:val="3"/>
      </w:numPr>
    </w:pPr>
  </w:style>
  <w:style w:type="paragraph" w:styleId="ListBullet3">
    <w:name w:val="List Bullet 3"/>
    <w:basedOn w:val="Normal"/>
    <w:uiPriority w:val="99"/>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4"/>
      </w:numPr>
    </w:pPr>
  </w:style>
  <w:style w:type="paragraph" w:customStyle="1" w:styleId="Numberbullet2">
    <w:name w:val="Number bullet 2"/>
    <w:basedOn w:val="ListBullet2"/>
    <w:qFormat/>
    <w:rsid w:val="004C2DCA"/>
    <w:pPr>
      <w:numPr>
        <w:numId w:val="4"/>
      </w:numPr>
    </w:pPr>
  </w:style>
  <w:style w:type="paragraph" w:customStyle="1" w:styleId="Numberbullet3">
    <w:name w:val="Number bullet 3"/>
    <w:basedOn w:val="ListBullet3"/>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3D1E62"/>
    <w:pPr>
      <w:spacing w:after="240"/>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Normal"/>
    <w:rsid w:val="00F3148D"/>
    <w:rPr>
      <w:rFonts w:ascii="Calibri" w:eastAsia="Calibri" w:hAnsi="Calibri"/>
      <w:b/>
      <w:color w:val="FFFFFF"/>
      <w:sz w:val="20"/>
    </w:r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0A63AF"/>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tblStylePr w:type="firstCol">
      <w:pPr>
        <w:keepNext w:val="0"/>
        <w:wordWrap/>
      </w:pPr>
    </w:tblStylePr>
  </w:style>
  <w:style w:type="table" w:customStyle="1" w:styleId="TableTGAblack">
    <w:name w:val="Table TGA black"/>
    <w:basedOn w:val="TableNormal"/>
    <w:uiPriority w:val="99"/>
    <w:rsid w:val="000A63AF"/>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firstCol">
      <w:pPr>
        <w:keepNext w:val="0"/>
        <w:wordWrap/>
      </w:pPr>
    </w:tblStylePr>
    <w:tblStylePr w:type="neCell">
      <w:rPr>
        <w:b w:val="0"/>
        <w:i w:val="0"/>
      </w:rPr>
    </w:tblStylePr>
    <w:tblStylePr w:type="nwCell">
      <w:rPr>
        <w:rFonts w:ascii="Cambria" w:hAnsi="Cambria"/>
        <w:b/>
        <w:i w:val="0"/>
        <w:color w:val="FFFFFF"/>
        <w:sz w:val="22"/>
      </w:rPr>
    </w:tblStylePr>
  </w:style>
  <w:style w:type="paragraph" w:customStyle="1" w:styleId="Quotation">
    <w:name w:val="Quotation"/>
    <w:basedOn w:val="Normal"/>
    <w:next w:val="Normal"/>
    <w:uiPriority w:val="4"/>
    <w:qFormat/>
    <w:rsid w:val="00994C95"/>
    <w:pPr>
      <w:spacing w:after="180"/>
      <w:ind w:left="425"/>
    </w:pPr>
    <w:rPr>
      <w:rFonts w:cstheme="minorBidi"/>
      <w:sz w:val="20"/>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semiHidden/>
    <w:unhideWhenUsed/>
    <w:rsid w:val="00F3148D"/>
    <w:pPr>
      <w:tabs>
        <w:tab w:val="right" w:pos="8505"/>
      </w:tabs>
      <w:spacing w:after="200"/>
    </w:pPr>
    <w:rPr>
      <w:rFonts w:ascii="Arial" w:hAnsi="Arial"/>
      <w:b/>
      <w:sz w:val="32"/>
    </w:rPr>
  </w:style>
  <w:style w:type="paragraph" w:styleId="TOC2">
    <w:name w:val="toc 2"/>
    <w:basedOn w:val="Normal"/>
    <w:next w:val="Normal"/>
    <w:uiPriority w:val="39"/>
    <w:unhideWhenUsed/>
    <w:rsid w:val="00F3148D"/>
    <w:pPr>
      <w:tabs>
        <w:tab w:val="right" w:leader="underscore" w:pos="8505"/>
      </w:tabs>
      <w:spacing w:after="100"/>
      <w:ind w:left="624"/>
    </w:pPr>
    <w:rPr>
      <w:b/>
      <w:sz w:val="25"/>
    </w:rPr>
  </w:style>
  <w:style w:type="paragraph" w:styleId="TOC3">
    <w:name w:val="toc 3"/>
    <w:basedOn w:val="Normal"/>
    <w:next w:val="Normal"/>
    <w:uiPriority w:val="39"/>
    <w:unhideWhenUsed/>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customStyle="1" w:styleId="Tabletitle">
    <w:name w:val="Table title"/>
    <w:basedOn w:val="Normal"/>
    <w:next w:val="Normal"/>
    <w:rsid w:val="00994C95"/>
    <w:pPr>
      <w:keepNext/>
      <w:spacing w:after="180"/>
      <w:outlineLvl w:val="4"/>
    </w:pPr>
    <w:rPr>
      <w:rFonts w:cstheme="minorBidi"/>
      <w:b/>
    </w:rPr>
  </w:style>
  <w:style w:type="paragraph" w:customStyle="1" w:styleId="Comment">
    <w:name w:val="Comment"/>
    <w:basedOn w:val="Normal"/>
    <w:next w:val="Normal"/>
    <w:uiPriority w:val="1"/>
    <w:qFormat/>
    <w:rsid w:val="00C137CE"/>
    <w:pPr>
      <w:ind w:left="1134" w:hanging="1134"/>
    </w:pPr>
  </w:style>
  <w:style w:type="character" w:styleId="CommentReference">
    <w:name w:val="annotation reference"/>
    <w:basedOn w:val="DefaultParagraphFont"/>
    <w:semiHidden/>
    <w:unhideWhenUsed/>
    <w:rsid w:val="001C657B"/>
    <w:rPr>
      <w:sz w:val="16"/>
      <w:szCs w:val="16"/>
    </w:rPr>
  </w:style>
  <w:style w:type="paragraph" w:styleId="CommentText">
    <w:name w:val="annotation text"/>
    <w:basedOn w:val="Normal"/>
    <w:link w:val="CommentTextChar"/>
    <w:uiPriority w:val="99"/>
    <w:semiHidden/>
    <w:unhideWhenUsed/>
    <w:rsid w:val="001C657B"/>
    <w:pPr>
      <w:spacing w:line="240" w:lineRule="auto"/>
    </w:pPr>
    <w:rPr>
      <w:sz w:val="20"/>
      <w:szCs w:val="20"/>
    </w:rPr>
  </w:style>
  <w:style w:type="character" w:customStyle="1" w:styleId="CommentTextChar">
    <w:name w:val="Comment Text Char"/>
    <w:basedOn w:val="DefaultParagraphFont"/>
    <w:link w:val="CommentText"/>
    <w:uiPriority w:val="99"/>
    <w:semiHidden/>
    <w:rsid w:val="001C657B"/>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1C657B"/>
    <w:rPr>
      <w:b/>
      <w:bCs/>
    </w:rPr>
  </w:style>
  <w:style w:type="character" w:customStyle="1" w:styleId="CommentSubjectChar">
    <w:name w:val="Comment Subject Char"/>
    <w:basedOn w:val="CommentTextChar"/>
    <w:link w:val="CommentSubject"/>
    <w:uiPriority w:val="99"/>
    <w:semiHidden/>
    <w:rsid w:val="001C657B"/>
    <w:rPr>
      <w:rFonts w:ascii="Cambria" w:eastAsia="Cambria" w:hAnsi="Cambria" w:cs="Times New Roman"/>
      <w:b/>
      <w:bCs/>
      <w:sz w:val="20"/>
      <w:szCs w:val="20"/>
    </w:rPr>
  </w:style>
  <w:style w:type="paragraph" w:styleId="Revision">
    <w:name w:val="Revision"/>
    <w:hidden/>
    <w:uiPriority w:val="99"/>
    <w:semiHidden/>
    <w:rsid w:val="006B4C50"/>
    <w:pPr>
      <w:spacing w:after="0" w:line="240" w:lineRule="auto"/>
    </w:pPr>
    <w:rPr>
      <w:rFonts w:ascii="Cambria" w:eastAsia="Cambria" w:hAnsi="Cambria" w:cs="Times New Roman"/>
    </w:rPr>
  </w:style>
  <w:style w:type="paragraph" w:customStyle="1" w:styleId="Bullet1">
    <w:name w:val="Bullet 1"/>
    <w:basedOn w:val="Normal"/>
    <w:rsid w:val="00970674"/>
    <w:pPr>
      <w:numPr>
        <w:numId w:val="6"/>
      </w:numPr>
      <w:spacing w:after="0" w:line="240" w:lineRule="auto"/>
    </w:pPr>
    <w:rPr>
      <w:rFonts w:eastAsia="Times New Roman"/>
      <w:kern w:val="24"/>
      <w:szCs w:val="24"/>
      <w:lang w:eastAsia="en-AU"/>
    </w:rPr>
  </w:style>
  <w:style w:type="paragraph" w:customStyle="1" w:styleId="Bullet2">
    <w:name w:val="Bullet 2"/>
    <w:basedOn w:val="Bullet1"/>
    <w:rsid w:val="00970674"/>
    <w:pPr>
      <w:numPr>
        <w:numId w:val="7"/>
      </w:numPr>
    </w:pPr>
  </w:style>
  <w:style w:type="paragraph" w:styleId="ListParagraph">
    <w:name w:val="List Paragraph"/>
    <w:basedOn w:val="Normal"/>
    <w:uiPriority w:val="34"/>
    <w:qFormat/>
    <w:rsid w:val="0097067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720"/>
      <w:contextualSpacing/>
    </w:pPr>
    <w:rPr>
      <w:rFonts w:eastAsia="Times New Roman"/>
      <w:kern w:val="16"/>
      <w:szCs w:val="24"/>
      <w:lang w:eastAsia="en-AU"/>
    </w:rPr>
  </w:style>
  <w:style w:type="character" w:styleId="Emphasis">
    <w:name w:val="Emphasis"/>
    <w:basedOn w:val="DefaultParagraphFont"/>
    <w:uiPriority w:val="20"/>
    <w:qFormat/>
    <w:rsid w:val="00970674"/>
    <w:rPr>
      <w:i/>
      <w:iCs/>
    </w:rPr>
  </w:style>
  <w:style w:type="character" w:customStyle="1" w:styleId="Heading8Char">
    <w:name w:val="Heading 8 Char"/>
    <w:basedOn w:val="DefaultParagraphFont"/>
    <w:link w:val="Heading8"/>
    <w:uiPriority w:val="9"/>
    <w:semiHidden/>
    <w:rsid w:val="00970674"/>
    <w:rPr>
      <w:rFonts w:asciiTheme="majorHAnsi" w:eastAsiaTheme="majorEastAsia" w:hAnsiTheme="majorHAnsi" w:cstheme="majorBidi"/>
      <w:color w:val="404040" w:themeColor="text1" w:themeTint="BF"/>
      <w:sz w:val="20"/>
      <w:szCs w:val="20"/>
    </w:rPr>
  </w:style>
  <w:style w:type="table" w:customStyle="1" w:styleId="TableTGAblue1">
    <w:name w:val="Table TGA blue1"/>
    <w:basedOn w:val="TableNormal"/>
    <w:uiPriority w:val="99"/>
    <w:qFormat/>
    <w:rsid w:val="00970674"/>
    <w:pPr>
      <w:spacing w:after="0" w:line="240" w:lineRule="auto"/>
    </w:pPr>
    <w:rPr>
      <w:rFonts w:ascii="Cambria" w:hAnsi="Cambria" w:cs="Times New Roman"/>
      <w:color w:val="000000"/>
      <w:szCs w:val="21"/>
    </w:rPr>
    <w:tblPr>
      <w:tblInd w:w="0" w:type="nil"/>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wordWrap/>
      </w:pPr>
      <w:rPr>
        <w:rFonts w:ascii="Cambria" w:hAnsi="Cambria" w:hint="default"/>
        <w:b/>
        <w:color w:val="FFFFFF"/>
        <w:sz w:val="22"/>
        <w:szCs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paragraph" w:customStyle="1" w:styleId="Abbreviations">
    <w:name w:val="Abbreviations"/>
    <w:basedOn w:val="Normal"/>
    <w:rsid w:val="00970674"/>
    <w:pPr>
      <w:tabs>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Cs w:val="24"/>
      <w:lang w:eastAsia="en-AU"/>
    </w:rPr>
  </w:style>
  <w:style w:type="character" w:styleId="Strong">
    <w:name w:val="Strong"/>
    <w:basedOn w:val="DefaultParagraphFont"/>
    <w:uiPriority w:val="22"/>
    <w:qFormat/>
    <w:rsid w:val="00104A71"/>
    <w:rPr>
      <w:b/>
      <w:bCs/>
    </w:rPr>
  </w:style>
  <w:style w:type="paragraph" w:styleId="FootnoteText">
    <w:name w:val="footnote text"/>
    <w:basedOn w:val="Normal"/>
    <w:link w:val="FootnoteTextChar"/>
    <w:uiPriority w:val="99"/>
    <w:semiHidden/>
    <w:unhideWhenUsed/>
    <w:rsid w:val="00B635B4"/>
    <w:pPr>
      <w:spacing w:before="0" w:after="0" w:line="240" w:lineRule="auto"/>
    </w:pPr>
    <w:rPr>
      <w:sz w:val="20"/>
      <w:szCs w:val="20"/>
    </w:rPr>
  </w:style>
  <w:style w:type="character" w:customStyle="1" w:styleId="FootnoteTextChar">
    <w:name w:val="Footnote Text Char"/>
    <w:basedOn w:val="DefaultParagraphFont"/>
    <w:link w:val="FootnoteText"/>
    <w:uiPriority w:val="99"/>
    <w:semiHidden/>
    <w:rsid w:val="00B635B4"/>
    <w:rPr>
      <w:rFonts w:ascii="Cambria" w:eastAsia="Cambria" w:hAnsi="Cambria" w:cs="Times New Roman"/>
      <w:sz w:val="20"/>
      <w:szCs w:val="20"/>
    </w:rPr>
  </w:style>
  <w:style w:type="character" w:styleId="FootnoteReference">
    <w:name w:val="footnote reference"/>
    <w:basedOn w:val="DefaultParagraphFont"/>
    <w:uiPriority w:val="99"/>
    <w:semiHidden/>
    <w:unhideWhenUsed/>
    <w:rsid w:val="00B635B4"/>
    <w:rPr>
      <w:vertAlign w:val="superscript"/>
    </w:rPr>
  </w:style>
  <w:style w:type="character" w:customStyle="1" w:styleId="mixed-citation">
    <w:name w:val="mixed-citation"/>
    <w:basedOn w:val="DefaultParagraphFont"/>
    <w:rsid w:val="004C27AB"/>
  </w:style>
  <w:style w:type="character" w:customStyle="1" w:styleId="ref-journal">
    <w:name w:val="ref-journal"/>
    <w:basedOn w:val="DefaultParagraphFont"/>
    <w:rsid w:val="004C27AB"/>
  </w:style>
  <w:style w:type="character" w:customStyle="1" w:styleId="ref-vol">
    <w:name w:val="ref-vol"/>
    <w:basedOn w:val="DefaultParagraphFont"/>
    <w:rsid w:val="004C27AB"/>
  </w:style>
  <w:style w:type="paragraph" w:styleId="Bibliography">
    <w:name w:val="Bibliography"/>
    <w:basedOn w:val="Normal"/>
    <w:next w:val="Normal"/>
    <w:uiPriority w:val="37"/>
    <w:semiHidden/>
    <w:unhideWhenUsed/>
    <w:rsid w:val="001429A2"/>
  </w:style>
  <w:style w:type="paragraph" w:styleId="BlockText">
    <w:name w:val="Block Text"/>
    <w:basedOn w:val="Normal"/>
    <w:uiPriority w:val="99"/>
    <w:semiHidden/>
    <w:unhideWhenUsed/>
    <w:rsid w:val="001429A2"/>
    <w:pPr>
      <w:pBdr>
        <w:top w:val="single" w:sz="2" w:space="10" w:color="002C47" w:themeColor="accent1" w:shadow="1"/>
        <w:left w:val="single" w:sz="2" w:space="10" w:color="002C47" w:themeColor="accent1" w:shadow="1"/>
        <w:bottom w:val="single" w:sz="2" w:space="10" w:color="002C47" w:themeColor="accent1" w:shadow="1"/>
        <w:right w:val="single" w:sz="2" w:space="10" w:color="002C47" w:themeColor="accent1" w:shadow="1"/>
      </w:pBdr>
      <w:ind w:left="1152" w:right="1152"/>
    </w:pPr>
    <w:rPr>
      <w:rFonts w:asciiTheme="minorHAnsi" w:eastAsiaTheme="minorEastAsia" w:hAnsiTheme="minorHAnsi" w:cstheme="minorBidi"/>
      <w:i/>
      <w:iCs/>
      <w:color w:val="002C47" w:themeColor="accent1"/>
    </w:rPr>
  </w:style>
  <w:style w:type="paragraph" w:styleId="BodyText">
    <w:name w:val="Body Text"/>
    <w:basedOn w:val="Normal"/>
    <w:link w:val="BodyTextChar"/>
    <w:uiPriority w:val="99"/>
    <w:semiHidden/>
    <w:unhideWhenUsed/>
    <w:rsid w:val="001429A2"/>
  </w:style>
  <w:style w:type="character" w:customStyle="1" w:styleId="BodyTextChar">
    <w:name w:val="Body Text Char"/>
    <w:basedOn w:val="DefaultParagraphFont"/>
    <w:link w:val="BodyText"/>
    <w:uiPriority w:val="99"/>
    <w:semiHidden/>
    <w:rsid w:val="001429A2"/>
    <w:rPr>
      <w:rFonts w:ascii="Cambria" w:eastAsia="Cambria" w:hAnsi="Cambria" w:cs="Times New Roman"/>
    </w:rPr>
  </w:style>
  <w:style w:type="paragraph" w:styleId="BodyText2">
    <w:name w:val="Body Text 2"/>
    <w:basedOn w:val="Normal"/>
    <w:link w:val="BodyText2Char"/>
    <w:uiPriority w:val="99"/>
    <w:semiHidden/>
    <w:unhideWhenUsed/>
    <w:rsid w:val="001429A2"/>
    <w:pPr>
      <w:spacing w:line="480" w:lineRule="auto"/>
    </w:pPr>
  </w:style>
  <w:style w:type="character" w:customStyle="1" w:styleId="BodyText2Char">
    <w:name w:val="Body Text 2 Char"/>
    <w:basedOn w:val="DefaultParagraphFont"/>
    <w:link w:val="BodyText2"/>
    <w:uiPriority w:val="99"/>
    <w:semiHidden/>
    <w:rsid w:val="001429A2"/>
    <w:rPr>
      <w:rFonts w:ascii="Cambria" w:eastAsia="Cambria" w:hAnsi="Cambria" w:cs="Times New Roman"/>
    </w:rPr>
  </w:style>
  <w:style w:type="paragraph" w:styleId="BodyText3">
    <w:name w:val="Body Text 3"/>
    <w:basedOn w:val="Normal"/>
    <w:link w:val="BodyText3Char"/>
    <w:uiPriority w:val="99"/>
    <w:semiHidden/>
    <w:unhideWhenUsed/>
    <w:rsid w:val="001429A2"/>
    <w:rPr>
      <w:sz w:val="16"/>
      <w:szCs w:val="16"/>
    </w:rPr>
  </w:style>
  <w:style w:type="character" w:customStyle="1" w:styleId="BodyText3Char">
    <w:name w:val="Body Text 3 Char"/>
    <w:basedOn w:val="DefaultParagraphFont"/>
    <w:link w:val="BodyText3"/>
    <w:uiPriority w:val="99"/>
    <w:semiHidden/>
    <w:rsid w:val="001429A2"/>
    <w:rPr>
      <w:rFonts w:ascii="Cambria" w:eastAsia="Cambria" w:hAnsi="Cambria" w:cs="Times New Roman"/>
      <w:sz w:val="16"/>
      <w:szCs w:val="16"/>
    </w:rPr>
  </w:style>
  <w:style w:type="paragraph" w:styleId="BodyTextFirstIndent">
    <w:name w:val="Body Text First Indent"/>
    <w:basedOn w:val="BodyText"/>
    <w:link w:val="BodyTextFirstIndentChar"/>
    <w:uiPriority w:val="99"/>
    <w:semiHidden/>
    <w:unhideWhenUsed/>
    <w:rsid w:val="001429A2"/>
    <w:pPr>
      <w:ind w:firstLine="360"/>
    </w:pPr>
  </w:style>
  <w:style w:type="character" w:customStyle="1" w:styleId="BodyTextFirstIndentChar">
    <w:name w:val="Body Text First Indent Char"/>
    <w:basedOn w:val="BodyTextChar"/>
    <w:link w:val="BodyTextFirstIndent"/>
    <w:uiPriority w:val="99"/>
    <w:semiHidden/>
    <w:rsid w:val="001429A2"/>
    <w:rPr>
      <w:rFonts w:ascii="Cambria" w:eastAsia="Cambria" w:hAnsi="Cambria" w:cs="Times New Roman"/>
    </w:rPr>
  </w:style>
  <w:style w:type="paragraph" w:styleId="BodyTextIndent">
    <w:name w:val="Body Text Indent"/>
    <w:basedOn w:val="Normal"/>
    <w:link w:val="BodyTextIndentChar"/>
    <w:uiPriority w:val="99"/>
    <w:semiHidden/>
    <w:unhideWhenUsed/>
    <w:rsid w:val="001429A2"/>
    <w:pPr>
      <w:ind w:left="283"/>
    </w:pPr>
  </w:style>
  <w:style w:type="character" w:customStyle="1" w:styleId="BodyTextIndentChar">
    <w:name w:val="Body Text Indent Char"/>
    <w:basedOn w:val="DefaultParagraphFont"/>
    <w:link w:val="BodyTextIndent"/>
    <w:uiPriority w:val="99"/>
    <w:semiHidden/>
    <w:rsid w:val="001429A2"/>
    <w:rPr>
      <w:rFonts w:ascii="Cambria" w:eastAsia="Cambria" w:hAnsi="Cambria" w:cs="Times New Roman"/>
    </w:rPr>
  </w:style>
  <w:style w:type="paragraph" w:styleId="BodyTextFirstIndent2">
    <w:name w:val="Body Text First Indent 2"/>
    <w:basedOn w:val="BodyTextIndent"/>
    <w:link w:val="BodyTextFirstIndent2Char"/>
    <w:uiPriority w:val="99"/>
    <w:semiHidden/>
    <w:unhideWhenUsed/>
    <w:rsid w:val="001429A2"/>
    <w:pPr>
      <w:ind w:left="360" w:firstLine="360"/>
    </w:pPr>
  </w:style>
  <w:style w:type="character" w:customStyle="1" w:styleId="BodyTextFirstIndent2Char">
    <w:name w:val="Body Text First Indent 2 Char"/>
    <w:basedOn w:val="BodyTextIndentChar"/>
    <w:link w:val="BodyTextFirstIndent2"/>
    <w:uiPriority w:val="99"/>
    <w:semiHidden/>
    <w:rsid w:val="001429A2"/>
    <w:rPr>
      <w:rFonts w:ascii="Cambria" w:eastAsia="Cambria" w:hAnsi="Cambria" w:cs="Times New Roman"/>
    </w:rPr>
  </w:style>
  <w:style w:type="paragraph" w:styleId="BodyTextIndent2">
    <w:name w:val="Body Text Indent 2"/>
    <w:basedOn w:val="Normal"/>
    <w:link w:val="BodyTextIndent2Char"/>
    <w:uiPriority w:val="99"/>
    <w:semiHidden/>
    <w:unhideWhenUsed/>
    <w:rsid w:val="001429A2"/>
    <w:pPr>
      <w:spacing w:line="480" w:lineRule="auto"/>
      <w:ind w:left="283"/>
    </w:pPr>
  </w:style>
  <w:style w:type="character" w:customStyle="1" w:styleId="BodyTextIndent2Char">
    <w:name w:val="Body Text Indent 2 Char"/>
    <w:basedOn w:val="DefaultParagraphFont"/>
    <w:link w:val="BodyTextIndent2"/>
    <w:uiPriority w:val="99"/>
    <w:semiHidden/>
    <w:rsid w:val="001429A2"/>
    <w:rPr>
      <w:rFonts w:ascii="Cambria" w:eastAsia="Cambria" w:hAnsi="Cambria" w:cs="Times New Roman"/>
    </w:rPr>
  </w:style>
  <w:style w:type="paragraph" w:styleId="BodyTextIndent3">
    <w:name w:val="Body Text Indent 3"/>
    <w:basedOn w:val="Normal"/>
    <w:link w:val="BodyTextIndent3Char"/>
    <w:uiPriority w:val="99"/>
    <w:semiHidden/>
    <w:unhideWhenUsed/>
    <w:rsid w:val="001429A2"/>
    <w:pPr>
      <w:ind w:left="283"/>
    </w:pPr>
    <w:rPr>
      <w:sz w:val="16"/>
      <w:szCs w:val="16"/>
    </w:rPr>
  </w:style>
  <w:style w:type="character" w:customStyle="1" w:styleId="BodyTextIndent3Char">
    <w:name w:val="Body Text Indent 3 Char"/>
    <w:basedOn w:val="DefaultParagraphFont"/>
    <w:link w:val="BodyTextIndent3"/>
    <w:uiPriority w:val="99"/>
    <w:semiHidden/>
    <w:rsid w:val="001429A2"/>
    <w:rPr>
      <w:rFonts w:ascii="Cambria" w:eastAsia="Cambria" w:hAnsi="Cambria" w:cs="Times New Roman"/>
      <w:sz w:val="16"/>
      <w:szCs w:val="16"/>
    </w:rPr>
  </w:style>
  <w:style w:type="paragraph" w:styleId="Closing">
    <w:name w:val="Closing"/>
    <w:basedOn w:val="Normal"/>
    <w:link w:val="ClosingChar"/>
    <w:uiPriority w:val="99"/>
    <w:semiHidden/>
    <w:unhideWhenUsed/>
    <w:rsid w:val="001429A2"/>
    <w:pPr>
      <w:spacing w:before="0" w:after="0" w:line="240" w:lineRule="auto"/>
      <w:ind w:left="4252"/>
    </w:pPr>
  </w:style>
  <w:style w:type="character" w:customStyle="1" w:styleId="ClosingChar">
    <w:name w:val="Closing Char"/>
    <w:basedOn w:val="DefaultParagraphFont"/>
    <w:link w:val="Closing"/>
    <w:uiPriority w:val="99"/>
    <w:semiHidden/>
    <w:rsid w:val="001429A2"/>
    <w:rPr>
      <w:rFonts w:ascii="Cambria" w:eastAsia="Cambria" w:hAnsi="Cambria" w:cs="Times New Roman"/>
    </w:rPr>
  </w:style>
  <w:style w:type="paragraph" w:styleId="DocumentMap">
    <w:name w:val="Document Map"/>
    <w:basedOn w:val="Normal"/>
    <w:link w:val="DocumentMapChar"/>
    <w:uiPriority w:val="99"/>
    <w:semiHidden/>
    <w:unhideWhenUsed/>
    <w:rsid w:val="001429A2"/>
    <w:pPr>
      <w:spacing w:before="0"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1429A2"/>
    <w:rPr>
      <w:rFonts w:ascii="Tahoma" w:eastAsia="Cambria" w:hAnsi="Tahoma" w:cs="Tahoma"/>
      <w:sz w:val="16"/>
      <w:szCs w:val="16"/>
    </w:rPr>
  </w:style>
  <w:style w:type="paragraph" w:styleId="E-mailSignature">
    <w:name w:val="E-mail Signature"/>
    <w:basedOn w:val="Normal"/>
    <w:link w:val="E-mailSignatureChar"/>
    <w:uiPriority w:val="99"/>
    <w:semiHidden/>
    <w:unhideWhenUsed/>
    <w:rsid w:val="001429A2"/>
    <w:pPr>
      <w:spacing w:before="0" w:after="0" w:line="240" w:lineRule="auto"/>
    </w:pPr>
  </w:style>
  <w:style w:type="character" w:customStyle="1" w:styleId="E-mailSignatureChar">
    <w:name w:val="E-mail Signature Char"/>
    <w:basedOn w:val="DefaultParagraphFont"/>
    <w:link w:val="E-mailSignature"/>
    <w:uiPriority w:val="99"/>
    <w:semiHidden/>
    <w:rsid w:val="001429A2"/>
    <w:rPr>
      <w:rFonts w:ascii="Cambria" w:eastAsia="Cambria" w:hAnsi="Cambria" w:cs="Times New Roman"/>
    </w:rPr>
  </w:style>
  <w:style w:type="paragraph" w:styleId="EndnoteText">
    <w:name w:val="endnote text"/>
    <w:basedOn w:val="Normal"/>
    <w:link w:val="EndnoteTextChar"/>
    <w:uiPriority w:val="99"/>
    <w:semiHidden/>
    <w:unhideWhenUsed/>
    <w:rsid w:val="001429A2"/>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1429A2"/>
    <w:rPr>
      <w:rFonts w:ascii="Cambria" w:eastAsia="Cambria" w:hAnsi="Cambria" w:cs="Times New Roman"/>
      <w:sz w:val="20"/>
      <w:szCs w:val="20"/>
    </w:rPr>
  </w:style>
  <w:style w:type="paragraph" w:styleId="EnvelopeAddress">
    <w:name w:val="envelope address"/>
    <w:basedOn w:val="Normal"/>
    <w:uiPriority w:val="99"/>
    <w:semiHidden/>
    <w:unhideWhenUsed/>
    <w:rsid w:val="001429A2"/>
    <w:pPr>
      <w:framePr w:w="7920" w:h="1980" w:hRule="exact" w:hSpace="180" w:wrap="auto" w:hAnchor="page" w:xAlign="center" w:yAlign="bottom"/>
      <w:spacing w:before="0"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1429A2"/>
    <w:pPr>
      <w:spacing w:before="0" w:after="0" w:line="240" w:lineRule="auto"/>
    </w:pPr>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1429A2"/>
    <w:rPr>
      <w:rFonts w:asciiTheme="majorHAnsi" w:eastAsiaTheme="majorEastAsia" w:hAnsiTheme="majorHAnsi" w:cstheme="majorBidi"/>
      <w:i/>
      <w:iCs/>
      <w:color w:val="404040" w:themeColor="text1" w:themeTint="BF"/>
      <w:sz w:val="20"/>
      <w:szCs w:val="20"/>
    </w:rPr>
  </w:style>
  <w:style w:type="paragraph" w:styleId="HTMLAddress">
    <w:name w:val="HTML Address"/>
    <w:basedOn w:val="Normal"/>
    <w:link w:val="HTMLAddressChar"/>
    <w:uiPriority w:val="99"/>
    <w:semiHidden/>
    <w:unhideWhenUsed/>
    <w:rsid w:val="001429A2"/>
    <w:pPr>
      <w:spacing w:before="0" w:after="0" w:line="240" w:lineRule="auto"/>
    </w:pPr>
    <w:rPr>
      <w:i/>
      <w:iCs/>
    </w:rPr>
  </w:style>
  <w:style w:type="character" w:customStyle="1" w:styleId="HTMLAddressChar">
    <w:name w:val="HTML Address Char"/>
    <w:basedOn w:val="DefaultParagraphFont"/>
    <w:link w:val="HTMLAddress"/>
    <w:uiPriority w:val="99"/>
    <w:semiHidden/>
    <w:rsid w:val="001429A2"/>
    <w:rPr>
      <w:rFonts w:ascii="Cambria" w:eastAsia="Cambria" w:hAnsi="Cambria" w:cs="Times New Roman"/>
      <w:i/>
      <w:iCs/>
    </w:rPr>
  </w:style>
  <w:style w:type="paragraph" w:styleId="HTMLPreformatted">
    <w:name w:val="HTML Preformatted"/>
    <w:basedOn w:val="Normal"/>
    <w:link w:val="HTMLPreformattedChar"/>
    <w:uiPriority w:val="99"/>
    <w:semiHidden/>
    <w:unhideWhenUsed/>
    <w:rsid w:val="001429A2"/>
    <w:pPr>
      <w:spacing w:before="0"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1429A2"/>
    <w:rPr>
      <w:rFonts w:ascii="Consolas" w:eastAsia="Cambria" w:hAnsi="Consolas" w:cs="Times New Roman"/>
      <w:sz w:val="20"/>
      <w:szCs w:val="20"/>
    </w:rPr>
  </w:style>
  <w:style w:type="paragraph" w:styleId="Index1">
    <w:name w:val="index 1"/>
    <w:basedOn w:val="Normal"/>
    <w:next w:val="Normal"/>
    <w:autoRedefine/>
    <w:uiPriority w:val="99"/>
    <w:semiHidden/>
    <w:unhideWhenUsed/>
    <w:rsid w:val="001429A2"/>
    <w:pPr>
      <w:spacing w:before="0" w:after="0" w:line="240" w:lineRule="auto"/>
      <w:ind w:left="220" w:hanging="220"/>
    </w:pPr>
  </w:style>
  <w:style w:type="paragraph" w:styleId="Index2">
    <w:name w:val="index 2"/>
    <w:basedOn w:val="Normal"/>
    <w:next w:val="Normal"/>
    <w:autoRedefine/>
    <w:uiPriority w:val="99"/>
    <w:semiHidden/>
    <w:unhideWhenUsed/>
    <w:rsid w:val="001429A2"/>
    <w:pPr>
      <w:spacing w:before="0" w:after="0" w:line="240" w:lineRule="auto"/>
      <w:ind w:left="440" w:hanging="220"/>
    </w:pPr>
  </w:style>
  <w:style w:type="paragraph" w:styleId="Index3">
    <w:name w:val="index 3"/>
    <w:basedOn w:val="Normal"/>
    <w:next w:val="Normal"/>
    <w:autoRedefine/>
    <w:uiPriority w:val="99"/>
    <w:semiHidden/>
    <w:unhideWhenUsed/>
    <w:rsid w:val="001429A2"/>
    <w:pPr>
      <w:spacing w:before="0" w:after="0" w:line="240" w:lineRule="auto"/>
      <w:ind w:left="660" w:hanging="220"/>
    </w:pPr>
  </w:style>
  <w:style w:type="paragraph" w:styleId="Index4">
    <w:name w:val="index 4"/>
    <w:basedOn w:val="Normal"/>
    <w:next w:val="Normal"/>
    <w:autoRedefine/>
    <w:uiPriority w:val="99"/>
    <w:semiHidden/>
    <w:unhideWhenUsed/>
    <w:rsid w:val="001429A2"/>
    <w:pPr>
      <w:spacing w:before="0" w:after="0" w:line="240" w:lineRule="auto"/>
      <w:ind w:left="880" w:hanging="220"/>
    </w:pPr>
  </w:style>
  <w:style w:type="paragraph" w:styleId="Index5">
    <w:name w:val="index 5"/>
    <w:basedOn w:val="Normal"/>
    <w:next w:val="Normal"/>
    <w:autoRedefine/>
    <w:uiPriority w:val="99"/>
    <w:semiHidden/>
    <w:unhideWhenUsed/>
    <w:rsid w:val="001429A2"/>
    <w:pPr>
      <w:spacing w:before="0" w:after="0" w:line="240" w:lineRule="auto"/>
      <w:ind w:left="1100" w:hanging="220"/>
    </w:pPr>
  </w:style>
  <w:style w:type="paragraph" w:styleId="Index6">
    <w:name w:val="index 6"/>
    <w:basedOn w:val="Normal"/>
    <w:next w:val="Normal"/>
    <w:autoRedefine/>
    <w:uiPriority w:val="99"/>
    <w:semiHidden/>
    <w:unhideWhenUsed/>
    <w:rsid w:val="001429A2"/>
    <w:pPr>
      <w:spacing w:before="0" w:after="0" w:line="240" w:lineRule="auto"/>
      <w:ind w:left="1320" w:hanging="220"/>
    </w:pPr>
  </w:style>
  <w:style w:type="paragraph" w:styleId="Index7">
    <w:name w:val="index 7"/>
    <w:basedOn w:val="Normal"/>
    <w:next w:val="Normal"/>
    <w:autoRedefine/>
    <w:uiPriority w:val="99"/>
    <w:semiHidden/>
    <w:unhideWhenUsed/>
    <w:rsid w:val="001429A2"/>
    <w:pPr>
      <w:spacing w:before="0" w:after="0" w:line="240" w:lineRule="auto"/>
      <w:ind w:left="1540" w:hanging="220"/>
    </w:pPr>
  </w:style>
  <w:style w:type="paragraph" w:styleId="Index8">
    <w:name w:val="index 8"/>
    <w:basedOn w:val="Normal"/>
    <w:next w:val="Normal"/>
    <w:autoRedefine/>
    <w:uiPriority w:val="99"/>
    <w:semiHidden/>
    <w:unhideWhenUsed/>
    <w:rsid w:val="001429A2"/>
    <w:pPr>
      <w:spacing w:before="0" w:after="0" w:line="240" w:lineRule="auto"/>
      <w:ind w:left="1760" w:hanging="220"/>
    </w:pPr>
  </w:style>
  <w:style w:type="paragraph" w:styleId="Index9">
    <w:name w:val="index 9"/>
    <w:basedOn w:val="Normal"/>
    <w:next w:val="Normal"/>
    <w:autoRedefine/>
    <w:uiPriority w:val="99"/>
    <w:semiHidden/>
    <w:unhideWhenUsed/>
    <w:rsid w:val="001429A2"/>
    <w:pPr>
      <w:spacing w:before="0" w:after="0" w:line="240" w:lineRule="auto"/>
      <w:ind w:left="1980" w:hanging="220"/>
    </w:pPr>
  </w:style>
  <w:style w:type="paragraph" w:styleId="IndexHeading">
    <w:name w:val="index heading"/>
    <w:basedOn w:val="Normal"/>
    <w:next w:val="Index1"/>
    <w:uiPriority w:val="99"/>
    <w:semiHidden/>
    <w:unhideWhenUsed/>
    <w:rsid w:val="001429A2"/>
    <w:rPr>
      <w:rFonts w:asciiTheme="majorHAnsi" w:eastAsiaTheme="majorEastAsia" w:hAnsiTheme="majorHAnsi" w:cstheme="majorBidi"/>
      <w:b/>
      <w:bCs/>
    </w:rPr>
  </w:style>
  <w:style w:type="paragraph" w:styleId="IntenseQuote">
    <w:name w:val="Intense Quote"/>
    <w:basedOn w:val="Normal"/>
    <w:next w:val="Normal"/>
    <w:link w:val="IntenseQuoteChar"/>
    <w:uiPriority w:val="30"/>
    <w:rsid w:val="001429A2"/>
    <w:pPr>
      <w:pBdr>
        <w:bottom w:val="single" w:sz="4" w:space="4" w:color="002C47" w:themeColor="accent1"/>
      </w:pBdr>
      <w:spacing w:before="200" w:after="280"/>
      <w:ind w:left="936" w:right="936"/>
    </w:pPr>
    <w:rPr>
      <w:b/>
      <w:bCs/>
      <w:i/>
      <w:iCs/>
      <w:color w:val="002C47" w:themeColor="accent1"/>
    </w:rPr>
  </w:style>
  <w:style w:type="character" w:customStyle="1" w:styleId="IntenseQuoteChar">
    <w:name w:val="Intense Quote Char"/>
    <w:basedOn w:val="DefaultParagraphFont"/>
    <w:link w:val="IntenseQuote"/>
    <w:uiPriority w:val="30"/>
    <w:rsid w:val="001429A2"/>
    <w:rPr>
      <w:rFonts w:ascii="Cambria" w:eastAsia="Cambria" w:hAnsi="Cambria" w:cs="Times New Roman"/>
      <w:b/>
      <w:bCs/>
      <w:i/>
      <w:iCs/>
      <w:color w:val="002C47" w:themeColor="accent1"/>
    </w:rPr>
  </w:style>
  <w:style w:type="paragraph" w:styleId="List">
    <w:name w:val="List"/>
    <w:basedOn w:val="Normal"/>
    <w:uiPriority w:val="99"/>
    <w:semiHidden/>
    <w:unhideWhenUsed/>
    <w:rsid w:val="001429A2"/>
    <w:pPr>
      <w:ind w:left="283" w:hanging="283"/>
      <w:contextualSpacing/>
    </w:pPr>
  </w:style>
  <w:style w:type="paragraph" w:styleId="List2">
    <w:name w:val="List 2"/>
    <w:basedOn w:val="Normal"/>
    <w:uiPriority w:val="99"/>
    <w:semiHidden/>
    <w:unhideWhenUsed/>
    <w:rsid w:val="001429A2"/>
    <w:pPr>
      <w:ind w:left="566" w:hanging="283"/>
      <w:contextualSpacing/>
    </w:pPr>
  </w:style>
  <w:style w:type="paragraph" w:styleId="List3">
    <w:name w:val="List 3"/>
    <w:basedOn w:val="Normal"/>
    <w:uiPriority w:val="99"/>
    <w:semiHidden/>
    <w:unhideWhenUsed/>
    <w:rsid w:val="001429A2"/>
    <w:pPr>
      <w:ind w:left="849" w:hanging="283"/>
      <w:contextualSpacing/>
    </w:pPr>
  </w:style>
  <w:style w:type="paragraph" w:styleId="List4">
    <w:name w:val="List 4"/>
    <w:basedOn w:val="Normal"/>
    <w:uiPriority w:val="99"/>
    <w:semiHidden/>
    <w:unhideWhenUsed/>
    <w:rsid w:val="001429A2"/>
    <w:pPr>
      <w:ind w:left="1132" w:hanging="283"/>
      <w:contextualSpacing/>
    </w:pPr>
  </w:style>
  <w:style w:type="paragraph" w:styleId="List5">
    <w:name w:val="List 5"/>
    <w:basedOn w:val="Normal"/>
    <w:uiPriority w:val="99"/>
    <w:semiHidden/>
    <w:unhideWhenUsed/>
    <w:rsid w:val="001429A2"/>
    <w:pPr>
      <w:ind w:left="1415" w:hanging="283"/>
      <w:contextualSpacing/>
    </w:pPr>
  </w:style>
  <w:style w:type="paragraph" w:styleId="ListBullet4">
    <w:name w:val="List Bullet 4"/>
    <w:basedOn w:val="Normal"/>
    <w:uiPriority w:val="99"/>
    <w:semiHidden/>
    <w:unhideWhenUsed/>
    <w:rsid w:val="001429A2"/>
    <w:pPr>
      <w:numPr>
        <w:numId w:val="11"/>
      </w:numPr>
      <w:contextualSpacing/>
    </w:pPr>
  </w:style>
  <w:style w:type="paragraph" w:styleId="ListBullet5">
    <w:name w:val="List Bullet 5"/>
    <w:basedOn w:val="Normal"/>
    <w:uiPriority w:val="99"/>
    <w:semiHidden/>
    <w:unhideWhenUsed/>
    <w:rsid w:val="001429A2"/>
    <w:pPr>
      <w:numPr>
        <w:numId w:val="12"/>
      </w:numPr>
      <w:contextualSpacing/>
    </w:pPr>
  </w:style>
  <w:style w:type="paragraph" w:styleId="ListContinue">
    <w:name w:val="List Continue"/>
    <w:basedOn w:val="Normal"/>
    <w:uiPriority w:val="99"/>
    <w:semiHidden/>
    <w:unhideWhenUsed/>
    <w:rsid w:val="001429A2"/>
    <w:pPr>
      <w:ind w:left="283"/>
      <w:contextualSpacing/>
    </w:pPr>
  </w:style>
  <w:style w:type="paragraph" w:styleId="ListContinue2">
    <w:name w:val="List Continue 2"/>
    <w:basedOn w:val="Normal"/>
    <w:uiPriority w:val="99"/>
    <w:semiHidden/>
    <w:unhideWhenUsed/>
    <w:rsid w:val="001429A2"/>
    <w:pPr>
      <w:ind w:left="566"/>
      <w:contextualSpacing/>
    </w:pPr>
  </w:style>
  <w:style w:type="paragraph" w:styleId="ListContinue3">
    <w:name w:val="List Continue 3"/>
    <w:basedOn w:val="Normal"/>
    <w:uiPriority w:val="99"/>
    <w:semiHidden/>
    <w:unhideWhenUsed/>
    <w:rsid w:val="001429A2"/>
    <w:pPr>
      <w:ind w:left="849"/>
      <w:contextualSpacing/>
    </w:pPr>
  </w:style>
  <w:style w:type="paragraph" w:styleId="ListContinue4">
    <w:name w:val="List Continue 4"/>
    <w:basedOn w:val="Normal"/>
    <w:uiPriority w:val="99"/>
    <w:semiHidden/>
    <w:unhideWhenUsed/>
    <w:rsid w:val="001429A2"/>
    <w:pPr>
      <w:ind w:left="1132"/>
      <w:contextualSpacing/>
    </w:pPr>
  </w:style>
  <w:style w:type="paragraph" w:styleId="ListContinue5">
    <w:name w:val="List Continue 5"/>
    <w:basedOn w:val="Normal"/>
    <w:uiPriority w:val="99"/>
    <w:semiHidden/>
    <w:unhideWhenUsed/>
    <w:rsid w:val="001429A2"/>
    <w:pPr>
      <w:ind w:left="1415"/>
      <w:contextualSpacing/>
    </w:pPr>
  </w:style>
  <w:style w:type="paragraph" w:styleId="ListNumber">
    <w:name w:val="List Number"/>
    <w:basedOn w:val="Normal"/>
    <w:uiPriority w:val="99"/>
    <w:semiHidden/>
    <w:unhideWhenUsed/>
    <w:rsid w:val="001429A2"/>
    <w:pPr>
      <w:numPr>
        <w:numId w:val="13"/>
      </w:numPr>
      <w:contextualSpacing/>
    </w:pPr>
  </w:style>
  <w:style w:type="paragraph" w:styleId="ListNumber2">
    <w:name w:val="List Number 2"/>
    <w:basedOn w:val="Normal"/>
    <w:uiPriority w:val="99"/>
    <w:semiHidden/>
    <w:unhideWhenUsed/>
    <w:rsid w:val="001429A2"/>
    <w:pPr>
      <w:numPr>
        <w:numId w:val="14"/>
      </w:numPr>
      <w:contextualSpacing/>
    </w:pPr>
  </w:style>
  <w:style w:type="paragraph" w:styleId="ListNumber3">
    <w:name w:val="List Number 3"/>
    <w:basedOn w:val="Normal"/>
    <w:uiPriority w:val="99"/>
    <w:semiHidden/>
    <w:unhideWhenUsed/>
    <w:rsid w:val="001429A2"/>
    <w:pPr>
      <w:numPr>
        <w:numId w:val="15"/>
      </w:numPr>
      <w:contextualSpacing/>
    </w:pPr>
  </w:style>
  <w:style w:type="paragraph" w:styleId="ListNumber4">
    <w:name w:val="List Number 4"/>
    <w:basedOn w:val="Normal"/>
    <w:uiPriority w:val="99"/>
    <w:semiHidden/>
    <w:unhideWhenUsed/>
    <w:rsid w:val="001429A2"/>
    <w:pPr>
      <w:numPr>
        <w:numId w:val="16"/>
      </w:numPr>
      <w:contextualSpacing/>
    </w:pPr>
  </w:style>
  <w:style w:type="paragraph" w:styleId="ListNumber5">
    <w:name w:val="List Number 5"/>
    <w:basedOn w:val="Normal"/>
    <w:uiPriority w:val="99"/>
    <w:semiHidden/>
    <w:unhideWhenUsed/>
    <w:rsid w:val="001429A2"/>
    <w:pPr>
      <w:numPr>
        <w:numId w:val="17"/>
      </w:numPr>
      <w:contextualSpacing/>
    </w:pPr>
  </w:style>
  <w:style w:type="paragraph" w:styleId="MacroText">
    <w:name w:val="macro"/>
    <w:link w:val="MacroTextChar"/>
    <w:uiPriority w:val="99"/>
    <w:semiHidden/>
    <w:unhideWhenUsed/>
    <w:rsid w:val="001429A2"/>
    <w:pPr>
      <w:tabs>
        <w:tab w:val="left" w:pos="480"/>
        <w:tab w:val="left" w:pos="960"/>
        <w:tab w:val="left" w:pos="1440"/>
        <w:tab w:val="left" w:pos="1920"/>
        <w:tab w:val="left" w:pos="2400"/>
        <w:tab w:val="left" w:pos="2880"/>
        <w:tab w:val="left" w:pos="3360"/>
        <w:tab w:val="left" w:pos="3840"/>
        <w:tab w:val="left" w:pos="4320"/>
      </w:tabs>
      <w:spacing w:before="120" w:after="0" w:line="240" w:lineRule="atLeast"/>
    </w:pPr>
    <w:rPr>
      <w:rFonts w:ascii="Consolas" w:eastAsia="Cambria" w:hAnsi="Consolas" w:cs="Times New Roman"/>
      <w:sz w:val="20"/>
      <w:szCs w:val="20"/>
    </w:rPr>
  </w:style>
  <w:style w:type="character" w:customStyle="1" w:styleId="MacroTextChar">
    <w:name w:val="Macro Text Char"/>
    <w:basedOn w:val="DefaultParagraphFont"/>
    <w:link w:val="MacroText"/>
    <w:uiPriority w:val="99"/>
    <w:semiHidden/>
    <w:rsid w:val="001429A2"/>
    <w:rPr>
      <w:rFonts w:ascii="Consolas" w:eastAsia="Cambria" w:hAnsi="Consolas" w:cs="Times New Roman"/>
      <w:sz w:val="20"/>
      <w:szCs w:val="20"/>
    </w:rPr>
  </w:style>
  <w:style w:type="paragraph" w:styleId="MessageHeader">
    <w:name w:val="Message Header"/>
    <w:basedOn w:val="Normal"/>
    <w:link w:val="MessageHeaderChar"/>
    <w:uiPriority w:val="99"/>
    <w:semiHidden/>
    <w:unhideWhenUsed/>
    <w:rsid w:val="001429A2"/>
    <w:pPr>
      <w:pBdr>
        <w:top w:val="single" w:sz="6" w:space="1" w:color="auto"/>
        <w:left w:val="single" w:sz="6" w:space="1" w:color="auto"/>
        <w:bottom w:val="single" w:sz="6" w:space="1" w:color="auto"/>
        <w:right w:val="single" w:sz="6" w:space="1" w:color="auto"/>
      </w:pBdr>
      <w:shd w:val="pct20" w:color="auto" w:fill="auto"/>
      <w:spacing w:before="0" w:after="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1429A2"/>
    <w:rPr>
      <w:rFonts w:asciiTheme="majorHAnsi" w:eastAsiaTheme="majorEastAsia" w:hAnsiTheme="majorHAnsi" w:cstheme="majorBidi"/>
      <w:sz w:val="24"/>
      <w:szCs w:val="24"/>
      <w:shd w:val="pct20" w:color="auto" w:fill="auto"/>
    </w:rPr>
  </w:style>
  <w:style w:type="paragraph" w:styleId="NoSpacing">
    <w:name w:val="No Spacing"/>
    <w:uiPriority w:val="1"/>
    <w:rsid w:val="001429A2"/>
    <w:pPr>
      <w:spacing w:after="0" w:line="240" w:lineRule="auto"/>
    </w:pPr>
    <w:rPr>
      <w:rFonts w:ascii="Cambria" w:eastAsia="Cambria" w:hAnsi="Cambria" w:cs="Times New Roman"/>
    </w:rPr>
  </w:style>
  <w:style w:type="paragraph" w:styleId="NormalWeb">
    <w:name w:val="Normal (Web)"/>
    <w:basedOn w:val="Normal"/>
    <w:uiPriority w:val="99"/>
    <w:semiHidden/>
    <w:unhideWhenUsed/>
    <w:rsid w:val="001429A2"/>
    <w:rPr>
      <w:rFonts w:ascii="Times New Roman" w:hAnsi="Times New Roman"/>
      <w:sz w:val="24"/>
      <w:szCs w:val="24"/>
    </w:rPr>
  </w:style>
  <w:style w:type="paragraph" w:styleId="NormalIndent">
    <w:name w:val="Normal Indent"/>
    <w:basedOn w:val="Normal"/>
    <w:uiPriority w:val="99"/>
    <w:semiHidden/>
    <w:unhideWhenUsed/>
    <w:rsid w:val="001429A2"/>
    <w:pPr>
      <w:ind w:left="720"/>
    </w:pPr>
  </w:style>
  <w:style w:type="paragraph" w:styleId="NoteHeading">
    <w:name w:val="Note Heading"/>
    <w:basedOn w:val="Normal"/>
    <w:next w:val="Normal"/>
    <w:link w:val="NoteHeadingChar"/>
    <w:uiPriority w:val="99"/>
    <w:semiHidden/>
    <w:unhideWhenUsed/>
    <w:rsid w:val="001429A2"/>
    <w:pPr>
      <w:spacing w:before="0" w:after="0" w:line="240" w:lineRule="auto"/>
    </w:pPr>
  </w:style>
  <w:style w:type="character" w:customStyle="1" w:styleId="NoteHeadingChar">
    <w:name w:val="Note Heading Char"/>
    <w:basedOn w:val="DefaultParagraphFont"/>
    <w:link w:val="NoteHeading"/>
    <w:uiPriority w:val="99"/>
    <w:semiHidden/>
    <w:rsid w:val="001429A2"/>
    <w:rPr>
      <w:rFonts w:ascii="Cambria" w:eastAsia="Cambria" w:hAnsi="Cambria" w:cs="Times New Roman"/>
    </w:rPr>
  </w:style>
  <w:style w:type="paragraph" w:styleId="PlainText">
    <w:name w:val="Plain Text"/>
    <w:basedOn w:val="Normal"/>
    <w:link w:val="PlainTextChar"/>
    <w:uiPriority w:val="99"/>
    <w:semiHidden/>
    <w:unhideWhenUsed/>
    <w:rsid w:val="001429A2"/>
    <w:pPr>
      <w:spacing w:before="0"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1429A2"/>
    <w:rPr>
      <w:rFonts w:ascii="Consolas" w:eastAsia="Cambria" w:hAnsi="Consolas" w:cs="Times New Roman"/>
      <w:sz w:val="21"/>
      <w:szCs w:val="21"/>
    </w:rPr>
  </w:style>
  <w:style w:type="paragraph" w:styleId="Quote">
    <w:name w:val="Quote"/>
    <w:basedOn w:val="Normal"/>
    <w:next w:val="Normal"/>
    <w:link w:val="QuoteChar"/>
    <w:uiPriority w:val="29"/>
    <w:rsid w:val="001429A2"/>
    <w:rPr>
      <w:i/>
      <w:iCs/>
      <w:color w:val="000000" w:themeColor="text1"/>
    </w:rPr>
  </w:style>
  <w:style w:type="character" w:customStyle="1" w:styleId="QuoteChar">
    <w:name w:val="Quote Char"/>
    <w:basedOn w:val="DefaultParagraphFont"/>
    <w:link w:val="Quote"/>
    <w:uiPriority w:val="29"/>
    <w:rsid w:val="001429A2"/>
    <w:rPr>
      <w:rFonts w:ascii="Cambria" w:eastAsia="Cambria" w:hAnsi="Cambria" w:cs="Times New Roman"/>
      <w:i/>
      <w:iCs/>
      <w:color w:val="000000" w:themeColor="text1"/>
    </w:rPr>
  </w:style>
  <w:style w:type="paragraph" w:styleId="Salutation">
    <w:name w:val="Salutation"/>
    <w:basedOn w:val="Normal"/>
    <w:next w:val="Normal"/>
    <w:link w:val="SalutationChar"/>
    <w:uiPriority w:val="99"/>
    <w:semiHidden/>
    <w:unhideWhenUsed/>
    <w:rsid w:val="001429A2"/>
  </w:style>
  <w:style w:type="character" w:customStyle="1" w:styleId="SalutationChar">
    <w:name w:val="Salutation Char"/>
    <w:basedOn w:val="DefaultParagraphFont"/>
    <w:link w:val="Salutation"/>
    <w:uiPriority w:val="99"/>
    <w:semiHidden/>
    <w:rsid w:val="001429A2"/>
    <w:rPr>
      <w:rFonts w:ascii="Cambria" w:eastAsia="Cambria" w:hAnsi="Cambria" w:cs="Times New Roman"/>
    </w:rPr>
  </w:style>
  <w:style w:type="paragraph" w:styleId="Signature">
    <w:name w:val="Signature"/>
    <w:basedOn w:val="Normal"/>
    <w:link w:val="SignatureChar"/>
    <w:uiPriority w:val="99"/>
    <w:semiHidden/>
    <w:unhideWhenUsed/>
    <w:rsid w:val="001429A2"/>
    <w:pPr>
      <w:spacing w:before="0" w:after="0" w:line="240" w:lineRule="auto"/>
      <w:ind w:left="4252"/>
    </w:pPr>
  </w:style>
  <w:style w:type="character" w:customStyle="1" w:styleId="SignatureChar">
    <w:name w:val="Signature Char"/>
    <w:basedOn w:val="DefaultParagraphFont"/>
    <w:link w:val="Signature"/>
    <w:uiPriority w:val="99"/>
    <w:semiHidden/>
    <w:rsid w:val="001429A2"/>
    <w:rPr>
      <w:rFonts w:ascii="Cambria" w:eastAsia="Cambria" w:hAnsi="Cambria" w:cs="Times New Roman"/>
    </w:rPr>
  </w:style>
  <w:style w:type="paragraph" w:styleId="TableofAuthorities">
    <w:name w:val="table of authorities"/>
    <w:basedOn w:val="Normal"/>
    <w:next w:val="Normal"/>
    <w:uiPriority w:val="99"/>
    <w:semiHidden/>
    <w:unhideWhenUsed/>
    <w:rsid w:val="001429A2"/>
    <w:pPr>
      <w:spacing w:after="0"/>
      <w:ind w:left="220" w:hanging="220"/>
    </w:pPr>
  </w:style>
  <w:style w:type="paragraph" w:styleId="TableofFigures">
    <w:name w:val="table of figures"/>
    <w:basedOn w:val="Normal"/>
    <w:next w:val="Normal"/>
    <w:uiPriority w:val="99"/>
    <w:semiHidden/>
    <w:unhideWhenUsed/>
    <w:rsid w:val="001429A2"/>
    <w:pPr>
      <w:spacing w:after="0"/>
    </w:pPr>
  </w:style>
  <w:style w:type="paragraph" w:styleId="TOAHeading">
    <w:name w:val="toa heading"/>
    <w:basedOn w:val="Normal"/>
    <w:next w:val="Normal"/>
    <w:uiPriority w:val="99"/>
    <w:semiHidden/>
    <w:unhideWhenUsed/>
    <w:rsid w:val="001429A2"/>
    <w:rPr>
      <w:rFonts w:asciiTheme="majorHAnsi" w:eastAsiaTheme="majorEastAsia" w:hAnsiTheme="majorHAnsi" w:cstheme="majorBidi"/>
      <w:b/>
      <w:bCs/>
      <w:sz w:val="24"/>
      <w:szCs w:val="24"/>
    </w:rPr>
  </w:style>
  <w:style w:type="paragraph" w:styleId="TOC4">
    <w:name w:val="toc 4"/>
    <w:basedOn w:val="Normal"/>
    <w:next w:val="Normal"/>
    <w:autoRedefine/>
    <w:uiPriority w:val="39"/>
    <w:semiHidden/>
    <w:unhideWhenUsed/>
    <w:rsid w:val="001429A2"/>
    <w:pPr>
      <w:spacing w:after="100"/>
      <w:ind w:left="660"/>
    </w:pPr>
  </w:style>
  <w:style w:type="paragraph" w:styleId="TOC5">
    <w:name w:val="toc 5"/>
    <w:basedOn w:val="Normal"/>
    <w:next w:val="Normal"/>
    <w:autoRedefine/>
    <w:uiPriority w:val="39"/>
    <w:semiHidden/>
    <w:unhideWhenUsed/>
    <w:rsid w:val="001429A2"/>
    <w:pPr>
      <w:spacing w:after="100"/>
      <w:ind w:left="880"/>
    </w:pPr>
  </w:style>
  <w:style w:type="paragraph" w:styleId="TOC6">
    <w:name w:val="toc 6"/>
    <w:basedOn w:val="Normal"/>
    <w:next w:val="Normal"/>
    <w:autoRedefine/>
    <w:uiPriority w:val="39"/>
    <w:semiHidden/>
    <w:unhideWhenUsed/>
    <w:rsid w:val="001429A2"/>
    <w:pPr>
      <w:spacing w:after="100"/>
      <w:ind w:left="1100"/>
    </w:pPr>
  </w:style>
  <w:style w:type="paragraph" w:styleId="TOC7">
    <w:name w:val="toc 7"/>
    <w:basedOn w:val="Normal"/>
    <w:next w:val="Normal"/>
    <w:autoRedefine/>
    <w:uiPriority w:val="39"/>
    <w:semiHidden/>
    <w:unhideWhenUsed/>
    <w:rsid w:val="001429A2"/>
    <w:pPr>
      <w:spacing w:after="100"/>
      <w:ind w:left="1320"/>
    </w:pPr>
  </w:style>
  <w:style w:type="paragraph" w:styleId="TOC8">
    <w:name w:val="toc 8"/>
    <w:basedOn w:val="Normal"/>
    <w:next w:val="Normal"/>
    <w:autoRedefine/>
    <w:uiPriority w:val="39"/>
    <w:semiHidden/>
    <w:unhideWhenUsed/>
    <w:rsid w:val="001429A2"/>
    <w:pPr>
      <w:spacing w:after="100"/>
      <w:ind w:left="1540"/>
    </w:pPr>
  </w:style>
  <w:style w:type="paragraph" w:styleId="TOC9">
    <w:name w:val="toc 9"/>
    <w:basedOn w:val="Normal"/>
    <w:next w:val="Normal"/>
    <w:autoRedefine/>
    <w:uiPriority w:val="39"/>
    <w:semiHidden/>
    <w:unhideWhenUsed/>
    <w:rsid w:val="001429A2"/>
    <w:pPr>
      <w:spacing w:after="100"/>
      <w:ind w:left="176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lsdException w:name="caption" w:semiHidden="0" w:uiPriority="0" w:unhideWhenUsed="0" w:qFormat="1"/>
    <w:lsdException w:name="annotation reference" w:uiPriority="0"/>
    <w:lsdException w:name="List Bullet" w:semiHidden="0" w:unhideWhenUsed="0" w:qFormat="1"/>
    <w:lsdException w:name="List Bullet 2" w:semiHidden="0" w:unhideWhenUsed="0" w:qFormat="1"/>
    <w:lsdException w:name="List Bullet 3"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6F1D37"/>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586F98"/>
    <w:pPr>
      <w:keepNext/>
      <w:keepLines/>
      <w:numPr>
        <w:numId w:val="5"/>
      </w:numPr>
      <w:adjustRightInd w:val="0"/>
      <w:snapToGrid w:val="0"/>
      <w:spacing w:before="480"/>
      <w:outlineLvl w:val="1"/>
    </w:pPr>
    <w:rPr>
      <w:rFonts w:ascii="Arial" w:eastAsia="Times New Roman" w:hAnsi="Arial"/>
      <w:b/>
      <w:bCs/>
      <w:sz w:val="32"/>
      <w:szCs w:val="26"/>
      <w:lang w:eastAsia="ja-JP"/>
    </w:rPr>
  </w:style>
  <w:style w:type="paragraph" w:styleId="Heading3">
    <w:name w:val="heading 3"/>
    <w:basedOn w:val="Normal"/>
    <w:next w:val="Normal"/>
    <w:link w:val="Heading3Char"/>
    <w:qFormat/>
    <w:rsid w:val="00DC156B"/>
    <w:pPr>
      <w:keepNext/>
      <w:keepLines/>
      <w:numPr>
        <w:ilvl w:val="1"/>
        <w:numId w:val="5"/>
      </w:numPr>
      <w:adjustRightInd w:val="0"/>
      <w:snapToGrid w:val="0"/>
      <w:spacing w:before="400" w:line="220" w:lineRule="atLeast"/>
      <w:ind w:left="907" w:hanging="794"/>
      <w:outlineLvl w:val="2"/>
    </w:pPr>
    <w:rPr>
      <w:rFonts w:ascii="Arial" w:eastAsia="Times New Roman" w:hAnsi="Arial"/>
      <w:b/>
      <w:bCs/>
      <w:sz w:val="26"/>
      <w:szCs w:val="21"/>
      <w:lang w:eastAsia="ja-JP"/>
    </w:rPr>
  </w:style>
  <w:style w:type="paragraph" w:styleId="Heading4">
    <w:name w:val="heading 4"/>
    <w:basedOn w:val="Normal"/>
    <w:next w:val="Normal"/>
    <w:link w:val="Heading4Char"/>
    <w:qFormat/>
    <w:rsid w:val="008D770F"/>
    <w:pPr>
      <w:keepNext/>
      <w:numPr>
        <w:ilvl w:val="2"/>
        <w:numId w:val="5"/>
      </w:numPr>
      <w:adjustRightInd w:val="0"/>
      <w:snapToGrid w:val="0"/>
      <w:spacing w:line="220" w:lineRule="atLeast"/>
      <w:outlineLvl w:val="3"/>
    </w:pPr>
    <w:rPr>
      <w:rFonts w:eastAsia="MS Mincho"/>
      <w:b/>
      <w:bCs/>
      <w:szCs w:val="21"/>
      <w:lang w:eastAsia="ja-JP"/>
    </w:rPr>
  </w:style>
  <w:style w:type="paragraph" w:styleId="Heading5">
    <w:name w:val="heading 5"/>
    <w:basedOn w:val="Normal"/>
    <w:next w:val="Normal"/>
    <w:link w:val="Heading5Char"/>
    <w:uiPriority w:val="9"/>
    <w:rsid w:val="00906445"/>
    <w:pPr>
      <w:keepNext/>
      <w:keepLines/>
      <w:numPr>
        <w:ilvl w:val="3"/>
        <w:numId w:val="5"/>
      </w:numPr>
      <w:spacing w:line="220" w:lineRule="atLeast"/>
      <w:ind w:left="1304" w:hanging="1077"/>
      <w:outlineLvl w:val="4"/>
    </w:pPr>
    <w:rPr>
      <w:rFonts w:eastAsia="Times New Roman"/>
      <w:b/>
      <w:bCs/>
      <w:i/>
      <w:color w:val="001523"/>
      <w:szCs w:val="21"/>
    </w:rPr>
  </w:style>
  <w:style w:type="paragraph" w:styleId="Heading6">
    <w:name w:val="heading 6"/>
    <w:basedOn w:val="Normal"/>
    <w:next w:val="Normal"/>
    <w:link w:val="Heading6Char"/>
    <w:uiPriority w:val="9"/>
    <w:rsid w:val="007F3E00"/>
    <w:pPr>
      <w:keepNext/>
      <w:spacing w:line="220" w:lineRule="atLeast"/>
      <w:ind w:left="284"/>
      <w:outlineLvl w:val="5"/>
    </w:pPr>
    <w:rPr>
      <w:rFonts w:eastAsia="Times New Roman"/>
      <w:bCs/>
      <w:i/>
      <w:szCs w:val="21"/>
    </w:rPr>
  </w:style>
  <w:style w:type="paragraph" w:styleId="Heading7">
    <w:name w:val="heading 7"/>
    <w:basedOn w:val="Normal"/>
    <w:next w:val="Normal"/>
    <w:link w:val="Heading7Char"/>
    <w:uiPriority w:val="9"/>
    <w:rsid w:val="007F3E00"/>
    <w:pPr>
      <w:keepNext/>
      <w:spacing w:after="60" w:line="180" w:lineRule="atLeast"/>
      <w:ind w:left="397"/>
      <w:outlineLvl w:val="6"/>
    </w:pPr>
    <w:rPr>
      <w:rFonts w:eastAsia="Times New Roman"/>
      <w:bCs/>
      <w:sz w:val="18"/>
      <w:szCs w:val="24"/>
    </w:rPr>
  </w:style>
  <w:style w:type="paragraph" w:styleId="Heading8">
    <w:name w:val="heading 8"/>
    <w:basedOn w:val="Normal"/>
    <w:next w:val="Normal"/>
    <w:link w:val="Heading8Char"/>
    <w:uiPriority w:val="9"/>
    <w:semiHidden/>
    <w:unhideWhenUsed/>
    <w:qFormat/>
    <w:rsid w:val="00970674"/>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1429A2"/>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lang w:eastAsia="ja-JP"/>
    </w:rPr>
  </w:style>
  <w:style w:type="character" w:customStyle="1" w:styleId="Heading2Char">
    <w:name w:val="Heading 2 Char"/>
    <w:basedOn w:val="DefaultParagraphFont"/>
    <w:link w:val="Heading2"/>
    <w:rsid w:val="00586F98"/>
    <w:rPr>
      <w:rFonts w:ascii="Arial" w:eastAsia="Times New Roman" w:hAnsi="Arial" w:cs="Times New Roman"/>
      <w:b/>
      <w:bCs/>
      <w:sz w:val="32"/>
      <w:szCs w:val="26"/>
      <w:lang w:eastAsia="ja-JP"/>
    </w:rPr>
  </w:style>
  <w:style w:type="character" w:customStyle="1" w:styleId="Heading3Char">
    <w:name w:val="Heading 3 Char"/>
    <w:basedOn w:val="DefaultParagraphFont"/>
    <w:link w:val="Heading3"/>
    <w:rsid w:val="00DC156B"/>
    <w:rPr>
      <w:rFonts w:ascii="Arial" w:eastAsia="Times New Roman" w:hAnsi="Arial" w:cs="Times New Roman"/>
      <w:b/>
      <w:bCs/>
      <w:sz w:val="26"/>
      <w:szCs w:val="21"/>
      <w:lang w:eastAsia="ja-JP"/>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qFormat/>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F3148D"/>
    <w:pPr>
      <w:spacing w:line="220" w:lineRule="atLeast"/>
    </w:pPr>
    <w:rPr>
      <w:b/>
    </w:rPr>
  </w:style>
  <w:style w:type="character" w:customStyle="1" w:styleId="Heading4Char">
    <w:name w:val="Heading 4 Char"/>
    <w:basedOn w:val="DefaultParagraphFont"/>
    <w:link w:val="Heading4"/>
    <w:rsid w:val="008D770F"/>
    <w:rPr>
      <w:rFonts w:ascii="Cambria" w:eastAsia="MS Mincho" w:hAnsi="Cambria" w:cs="Times New Roman"/>
      <w:b/>
      <w:bCs/>
      <w:szCs w:val="21"/>
      <w:lang w:eastAsia="ja-JP"/>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uiPriority w:val="9"/>
    <w:rsid w:val="0090644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7F3E0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7F3E00"/>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3"/>
      </w:numPr>
    </w:pPr>
  </w:style>
  <w:style w:type="paragraph" w:styleId="ListBullet2">
    <w:name w:val="List Bullet 2"/>
    <w:basedOn w:val="Normal"/>
    <w:uiPriority w:val="99"/>
    <w:qFormat/>
    <w:rsid w:val="004C2DCA"/>
    <w:pPr>
      <w:numPr>
        <w:ilvl w:val="1"/>
        <w:numId w:val="3"/>
      </w:numPr>
    </w:pPr>
  </w:style>
  <w:style w:type="paragraph" w:styleId="ListBullet3">
    <w:name w:val="List Bullet 3"/>
    <w:basedOn w:val="Normal"/>
    <w:uiPriority w:val="99"/>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4"/>
      </w:numPr>
    </w:pPr>
  </w:style>
  <w:style w:type="paragraph" w:customStyle="1" w:styleId="Numberbullet2">
    <w:name w:val="Number bullet 2"/>
    <w:basedOn w:val="ListBullet2"/>
    <w:qFormat/>
    <w:rsid w:val="004C2DCA"/>
    <w:pPr>
      <w:numPr>
        <w:numId w:val="4"/>
      </w:numPr>
    </w:pPr>
  </w:style>
  <w:style w:type="paragraph" w:customStyle="1" w:styleId="Numberbullet3">
    <w:name w:val="Number bullet 3"/>
    <w:basedOn w:val="ListBullet3"/>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3D1E62"/>
    <w:pPr>
      <w:spacing w:after="240"/>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Normal"/>
    <w:rsid w:val="00F3148D"/>
    <w:rPr>
      <w:rFonts w:ascii="Calibri" w:eastAsia="Calibri" w:hAnsi="Calibri"/>
      <w:b/>
      <w:color w:val="FFFFFF"/>
      <w:sz w:val="20"/>
    </w:r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0A63AF"/>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tblStylePr w:type="firstCol">
      <w:pPr>
        <w:keepNext w:val="0"/>
        <w:wordWrap/>
      </w:pPr>
    </w:tblStylePr>
  </w:style>
  <w:style w:type="table" w:customStyle="1" w:styleId="TableTGAblack">
    <w:name w:val="Table TGA black"/>
    <w:basedOn w:val="TableNormal"/>
    <w:uiPriority w:val="99"/>
    <w:rsid w:val="000A63AF"/>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firstCol">
      <w:pPr>
        <w:keepNext w:val="0"/>
        <w:wordWrap/>
      </w:pPr>
    </w:tblStylePr>
    <w:tblStylePr w:type="neCell">
      <w:rPr>
        <w:b w:val="0"/>
        <w:i w:val="0"/>
      </w:rPr>
    </w:tblStylePr>
    <w:tblStylePr w:type="nwCell">
      <w:rPr>
        <w:rFonts w:ascii="Cambria" w:hAnsi="Cambria"/>
        <w:b/>
        <w:i w:val="0"/>
        <w:color w:val="FFFFFF"/>
        <w:sz w:val="22"/>
      </w:rPr>
    </w:tblStylePr>
  </w:style>
  <w:style w:type="paragraph" w:customStyle="1" w:styleId="Quotation">
    <w:name w:val="Quotation"/>
    <w:basedOn w:val="Normal"/>
    <w:next w:val="Normal"/>
    <w:uiPriority w:val="4"/>
    <w:qFormat/>
    <w:rsid w:val="00994C95"/>
    <w:pPr>
      <w:spacing w:after="180"/>
      <w:ind w:left="425"/>
    </w:pPr>
    <w:rPr>
      <w:rFonts w:cstheme="minorBidi"/>
      <w:sz w:val="20"/>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semiHidden/>
    <w:unhideWhenUsed/>
    <w:rsid w:val="00F3148D"/>
    <w:pPr>
      <w:tabs>
        <w:tab w:val="right" w:pos="8505"/>
      </w:tabs>
      <w:spacing w:after="200"/>
    </w:pPr>
    <w:rPr>
      <w:rFonts w:ascii="Arial" w:hAnsi="Arial"/>
      <w:b/>
      <w:sz w:val="32"/>
    </w:rPr>
  </w:style>
  <w:style w:type="paragraph" w:styleId="TOC2">
    <w:name w:val="toc 2"/>
    <w:basedOn w:val="Normal"/>
    <w:next w:val="Normal"/>
    <w:uiPriority w:val="39"/>
    <w:unhideWhenUsed/>
    <w:rsid w:val="00F3148D"/>
    <w:pPr>
      <w:tabs>
        <w:tab w:val="right" w:leader="underscore" w:pos="8505"/>
      </w:tabs>
      <w:spacing w:after="100"/>
      <w:ind w:left="624"/>
    </w:pPr>
    <w:rPr>
      <w:b/>
      <w:sz w:val="25"/>
    </w:rPr>
  </w:style>
  <w:style w:type="paragraph" w:styleId="TOC3">
    <w:name w:val="toc 3"/>
    <w:basedOn w:val="Normal"/>
    <w:next w:val="Normal"/>
    <w:uiPriority w:val="39"/>
    <w:unhideWhenUsed/>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customStyle="1" w:styleId="Tabletitle">
    <w:name w:val="Table title"/>
    <w:basedOn w:val="Normal"/>
    <w:next w:val="Normal"/>
    <w:rsid w:val="00994C95"/>
    <w:pPr>
      <w:keepNext/>
      <w:spacing w:after="180"/>
      <w:outlineLvl w:val="4"/>
    </w:pPr>
    <w:rPr>
      <w:rFonts w:cstheme="minorBidi"/>
      <w:b/>
    </w:rPr>
  </w:style>
  <w:style w:type="paragraph" w:customStyle="1" w:styleId="Comment">
    <w:name w:val="Comment"/>
    <w:basedOn w:val="Normal"/>
    <w:next w:val="Normal"/>
    <w:uiPriority w:val="1"/>
    <w:qFormat/>
    <w:rsid w:val="00C137CE"/>
    <w:pPr>
      <w:ind w:left="1134" w:hanging="1134"/>
    </w:pPr>
  </w:style>
  <w:style w:type="character" w:styleId="CommentReference">
    <w:name w:val="annotation reference"/>
    <w:basedOn w:val="DefaultParagraphFont"/>
    <w:semiHidden/>
    <w:unhideWhenUsed/>
    <w:rsid w:val="001C657B"/>
    <w:rPr>
      <w:sz w:val="16"/>
      <w:szCs w:val="16"/>
    </w:rPr>
  </w:style>
  <w:style w:type="paragraph" w:styleId="CommentText">
    <w:name w:val="annotation text"/>
    <w:basedOn w:val="Normal"/>
    <w:link w:val="CommentTextChar"/>
    <w:uiPriority w:val="99"/>
    <w:semiHidden/>
    <w:unhideWhenUsed/>
    <w:rsid w:val="001C657B"/>
    <w:pPr>
      <w:spacing w:line="240" w:lineRule="auto"/>
    </w:pPr>
    <w:rPr>
      <w:sz w:val="20"/>
      <w:szCs w:val="20"/>
    </w:rPr>
  </w:style>
  <w:style w:type="character" w:customStyle="1" w:styleId="CommentTextChar">
    <w:name w:val="Comment Text Char"/>
    <w:basedOn w:val="DefaultParagraphFont"/>
    <w:link w:val="CommentText"/>
    <w:uiPriority w:val="99"/>
    <w:semiHidden/>
    <w:rsid w:val="001C657B"/>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1C657B"/>
    <w:rPr>
      <w:b/>
      <w:bCs/>
    </w:rPr>
  </w:style>
  <w:style w:type="character" w:customStyle="1" w:styleId="CommentSubjectChar">
    <w:name w:val="Comment Subject Char"/>
    <w:basedOn w:val="CommentTextChar"/>
    <w:link w:val="CommentSubject"/>
    <w:uiPriority w:val="99"/>
    <w:semiHidden/>
    <w:rsid w:val="001C657B"/>
    <w:rPr>
      <w:rFonts w:ascii="Cambria" w:eastAsia="Cambria" w:hAnsi="Cambria" w:cs="Times New Roman"/>
      <w:b/>
      <w:bCs/>
      <w:sz w:val="20"/>
      <w:szCs w:val="20"/>
    </w:rPr>
  </w:style>
  <w:style w:type="paragraph" w:styleId="Revision">
    <w:name w:val="Revision"/>
    <w:hidden/>
    <w:uiPriority w:val="99"/>
    <w:semiHidden/>
    <w:rsid w:val="006B4C50"/>
    <w:pPr>
      <w:spacing w:after="0" w:line="240" w:lineRule="auto"/>
    </w:pPr>
    <w:rPr>
      <w:rFonts w:ascii="Cambria" w:eastAsia="Cambria" w:hAnsi="Cambria" w:cs="Times New Roman"/>
    </w:rPr>
  </w:style>
  <w:style w:type="paragraph" w:customStyle="1" w:styleId="Bullet1">
    <w:name w:val="Bullet 1"/>
    <w:basedOn w:val="Normal"/>
    <w:rsid w:val="00970674"/>
    <w:pPr>
      <w:numPr>
        <w:numId w:val="6"/>
      </w:numPr>
      <w:spacing w:after="0" w:line="240" w:lineRule="auto"/>
    </w:pPr>
    <w:rPr>
      <w:rFonts w:eastAsia="Times New Roman"/>
      <w:kern w:val="24"/>
      <w:szCs w:val="24"/>
      <w:lang w:eastAsia="en-AU"/>
    </w:rPr>
  </w:style>
  <w:style w:type="paragraph" w:customStyle="1" w:styleId="Bullet2">
    <w:name w:val="Bullet 2"/>
    <w:basedOn w:val="Bullet1"/>
    <w:rsid w:val="00970674"/>
    <w:pPr>
      <w:numPr>
        <w:numId w:val="7"/>
      </w:numPr>
    </w:pPr>
  </w:style>
  <w:style w:type="paragraph" w:styleId="ListParagraph">
    <w:name w:val="List Paragraph"/>
    <w:basedOn w:val="Normal"/>
    <w:uiPriority w:val="34"/>
    <w:qFormat/>
    <w:rsid w:val="0097067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720"/>
      <w:contextualSpacing/>
    </w:pPr>
    <w:rPr>
      <w:rFonts w:eastAsia="Times New Roman"/>
      <w:kern w:val="16"/>
      <w:szCs w:val="24"/>
      <w:lang w:eastAsia="en-AU"/>
    </w:rPr>
  </w:style>
  <w:style w:type="character" w:styleId="Emphasis">
    <w:name w:val="Emphasis"/>
    <w:basedOn w:val="DefaultParagraphFont"/>
    <w:uiPriority w:val="20"/>
    <w:qFormat/>
    <w:rsid w:val="00970674"/>
    <w:rPr>
      <w:i/>
      <w:iCs/>
    </w:rPr>
  </w:style>
  <w:style w:type="character" w:customStyle="1" w:styleId="Heading8Char">
    <w:name w:val="Heading 8 Char"/>
    <w:basedOn w:val="DefaultParagraphFont"/>
    <w:link w:val="Heading8"/>
    <w:uiPriority w:val="9"/>
    <w:semiHidden/>
    <w:rsid w:val="00970674"/>
    <w:rPr>
      <w:rFonts w:asciiTheme="majorHAnsi" w:eastAsiaTheme="majorEastAsia" w:hAnsiTheme="majorHAnsi" w:cstheme="majorBidi"/>
      <w:color w:val="404040" w:themeColor="text1" w:themeTint="BF"/>
      <w:sz w:val="20"/>
      <w:szCs w:val="20"/>
    </w:rPr>
  </w:style>
  <w:style w:type="table" w:customStyle="1" w:styleId="TableTGAblue1">
    <w:name w:val="Table TGA blue1"/>
    <w:basedOn w:val="TableNormal"/>
    <w:uiPriority w:val="99"/>
    <w:qFormat/>
    <w:rsid w:val="00970674"/>
    <w:pPr>
      <w:spacing w:after="0" w:line="240" w:lineRule="auto"/>
    </w:pPr>
    <w:rPr>
      <w:rFonts w:ascii="Cambria" w:hAnsi="Cambria" w:cs="Times New Roman"/>
      <w:color w:val="000000"/>
      <w:szCs w:val="21"/>
    </w:rPr>
    <w:tblPr>
      <w:tblInd w:w="0" w:type="nil"/>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wordWrap/>
      </w:pPr>
      <w:rPr>
        <w:rFonts w:ascii="Cambria" w:hAnsi="Cambria" w:hint="default"/>
        <w:b/>
        <w:color w:val="FFFFFF"/>
        <w:sz w:val="22"/>
        <w:szCs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paragraph" w:customStyle="1" w:styleId="Abbreviations">
    <w:name w:val="Abbreviations"/>
    <w:basedOn w:val="Normal"/>
    <w:rsid w:val="00970674"/>
    <w:pPr>
      <w:tabs>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Cs w:val="24"/>
      <w:lang w:eastAsia="en-AU"/>
    </w:rPr>
  </w:style>
  <w:style w:type="character" w:styleId="Strong">
    <w:name w:val="Strong"/>
    <w:basedOn w:val="DefaultParagraphFont"/>
    <w:uiPriority w:val="22"/>
    <w:qFormat/>
    <w:rsid w:val="00104A71"/>
    <w:rPr>
      <w:b/>
      <w:bCs/>
    </w:rPr>
  </w:style>
  <w:style w:type="paragraph" w:styleId="FootnoteText">
    <w:name w:val="footnote text"/>
    <w:basedOn w:val="Normal"/>
    <w:link w:val="FootnoteTextChar"/>
    <w:uiPriority w:val="99"/>
    <w:semiHidden/>
    <w:unhideWhenUsed/>
    <w:rsid w:val="00B635B4"/>
    <w:pPr>
      <w:spacing w:before="0" w:after="0" w:line="240" w:lineRule="auto"/>
    </w:pPr>
    <w:rPr>
      <w:sz w:val="20"/>
      <w:szCs w:val="20"/>
    </w:rPr>
  </w:style>
  <w:style w:type="character" w:customStyle="1" w:styleId="FootnoteTextChar">
    <w:name w:val="Footnote Text Char"/>
    <w:basedOn w:val="DefaultParagraphFont"/>
    <w:link w:val="FootnoteText"/>
    <w:uiPriority w:val="99"/>
    <w:semiHidden/>
    <w:rsid w:val="00B635B4"/>
    <w:rPr>
      <w:rFonts w:ascii="Cambria" w:eastAsia="Cambria" w:hAnsi="Cambria" w:cs="Times New Roman"/>
      <w:sz w:val="20"/>
      <w:szCs w:val="20"/>
    </w:rPr>
  </w:style>
  <w:style w:type="character" w:styleId="FootnoteReference">
    <w:name w:val="footnote reference"/>
    <w:basedOn w:val="DefaultParagraphFont"/>
    <w:uiPriority w:val="99"/>
    <w:semiHidden/>
    <w:unhideWhenUsed/>
    <w:rsid w:val="00B635B4"/>
    <w:rPr>
      <w:vertAlign w:val="superscript"/>
    </w:rPr>
  </w:style>
  <w:style w:type="character" w:customStyle="1" w:styleId="mixed-citation">
    <w:name w:val="mixed-citation"/>
    <w:basedOn w:val="DefaultParagraphFont"/>
    <w:rsid w:val="004C27AB"/>
  </w:style>
  <w:style w:type="character" w:customStyle="1" w:styleId="ref-journal">
    <w:name w:val="ref-journal"/>
    <w:basedOn w:val="DefaultParagraphFont"/>
    <w:rsid w:val="004C27AB"/>
  </w:style>
  <w:style w:type="character" w:customStyle="1" w:styleId="ref-vol">
    <w:name w:val="ref-vol"/>
    <w:basedOn w:val="DefaultParagraphFont"/>
    <w:rsid w:val="004C27AB"/>
  </w:style>
  <w:style w:type="paragraph" w:styleId="Bibliography">
    <w:name w:val="Bibliography"/>
    <w:basedOn w:val="Normal"/>
    <w:next w:val="Normal"/>
    <w:uiPriority w:val="37"/>
    <w:semiHidden/>
    <w:unhideWhenUsed/>
    <w:rsid w:val="001429A2"/>
  </w:style>
  <w:style w:type="paragraph" w:styleId="BlockText">
    <w:name w:val="Block Text"/>
    <w:basedOn w:val="Normal"/>
    <w:uiPriority w:val="99"/>
    <w:semiHidden/>
    <w:unhideWhenUsed/>
    <w:rsid w:val="001429A2"/>
    <w:pPr>
      <w:pBdr>
        <w:top w:val="single" w:sz="2" w:space="10" w:color="002C47" w:themeColor="accent1" w:shadow="1"/>
        <w:left w:val="single" w:sz="2" w:space="10" w:color="002C47" w:themeColor="accent1" w:shadow="1"/>
        <w:bottom w:val="single" w:sz="2" w:space="10" w:color="002C47" w:themeColor="accent1" w:shadow="1"/>
        <w:right w:val="single" w:sz="2" w:space="10" w:color="002C47" w:themeColor="accent1" w:shadow="1"/>
      </w:pBdr>
      <w:ind w:left="1152" w:right="1152"/>
    </w:pPr>
    <w:rPr>
      <w:rFonts w:asciiTheme="minorHAnsi" w:eastAsiaTheme="minorEastAsia" w:hAnsiTheme="minorHAnsi" w:cstheme="minorBidi"/>
      <w:i/>
      <w:iCs/>
      <w:color w:val="002C47" w:themeColor="accent1"/>
    </w:rPr>
  </w:style>
  <w:style w:type="paragraph" w:styleId="BodyText">
    <w:name w:val="Body Text"/>
    <w:basedOn w:val="Normal"/>
    <w:link w:val="BodyTextChar"/>
    <w:uiPriority w:val="99"/>
    <w:semiHidden/>
    <w:unhideWhenUsed/>
    <w:rsid w:val="001429A2"/>
  </w:style>
  <w:style w:type="character" w:customStyle="1" w:styleId="BodyTextChar">
    <w:name w:val="Body Text Char"/>
    <w:basedOn w:val="DefaultParagraphFont"/>
    <w:link w:val="BodyText"/>
    <w:uiPriority w:val="99"/>
    <w:semiHidden/>
    <w:rsid w:val="001429A2"/>
    <w:rPr>
      <w:rFonts w:ascii="Cambria" w:eastAsia="Cambria" w:hAnsi="Cambria" w:cs="Times New Roman"/>
    </w:rPr>
  </w:style>
  <w:style w:type="paragraph" w:styleId="BodyText2">
    <w:name w:val="Body Text 2"/>
    <w:basedOn w:val="Normal"/>
    <w:link w:val="BodyText2Char"/>
    <w:uiPriority w:val="99"/>
    <w:semiHidden/>
    <w:unhideWhenUsed/>
    <w:rsid w:val="001429A2"/>
    <w:pPr>
      <w:spacing w:line="480" w:lineRule="auto"/>
    </w:pPr>
  </w:style>
  <w:style w:type="character" w:customStyle="1" w:styleId="BodyText2Char">
    <w:name w:val="Body Text 2 Char"/>
    <w:basedOn w:val="DefaultParagraphFont"/>
    <w:link w:val="BodyText2"/>
    <w:uiPriority w:val="99"/>
    <w:semiHidden/>
    <w:rsid w:val="001429A2"/>
    <w:rPr>
      <w:rFonts w:ascii="Cambria" w:eastAsia="Cambria" w:hAnsi="Cambria" w:cs="Times New Roman"/>
    </w:rPr>
  </w:style>
  <w:style w:type="paragraph" w:styleId="BodyText3">
    <w:name w:val="Body Text 3"/>
    <w:basedOn w:val="Normal"/>
    <w:link w:val="BodyText3Char"/>
    <w:uiPriority w:val="99"/>
    <w:semiHidden/>
    <w:unhideWhenUsed/>
    <w:rsid w:val="001429A2"/>
    <w:rPr>
      <w:sz w:val="16"/>
      <w:szCs w:val="16"/>
    </w:rPr>
  </w:style>
  <w:style w:type="character" w:customStyle="1" w:styleId="BodyText3Char">
    <w:name w:val="Body Text 3 Char"/>
    <w:basedOn w:val="DefaultParagraphFont"/>
    <w:link w:val="BodyText3"/>
    <w:uiPriority w:val="99"/>
    <w:semiHidden/>
    <w:rsid w:val="001429A2"/>
    <w:rPr>
      <w:rFonts w:ascii="Cambria" w:eastAsia="Cambria" w:hAnsi="Cambria" w:cs="Times New Roman"/>
      <w:sz w:val="16"/>
      <w:szCs w:val="16"/>
    </w:rPr>
  </w:style>
  <w:style w:type="paragraph" w:styleId="BodyTextFirstIndent">
    <w:name w:val="Body Text First Indent"/>
    <w:basedOn w:val="BodyText"/>
    <w:link w:val="BodyTextFirstIndentChar"/>
    <w:uiPriority w:val="99"/>
    <w:semiHidden/>
    <w:unhideWhenUsed/>
    <w:rsid w:val="001429A2"/>
    <w:pPr>
      <w:ind w:firstLine="360"/>
    </w:pPr>
  </w:style>
  <w:style w:type="character" w:customStyle="1" w:styleId="BodyTextFirstIndentChar">
    <w:name w:val="Body Text First Indent Char"/>
    <w:basedOn w:val="BodyTextChar"/>
    <w:link w:val="BodyTextFirstIndent"/>
    <w:uiPriority w:val="99"/>
    <w:semiHidden/>
    <w:rsid w:val="001429A2"/>
    <w:rPr>
      <w:rFonts w:ascii="Cambria" w:eastAsia="Cambria" w:hAnsi="Cambria" w:cs="Times New Roman"/>
    </w:rPr>
  </w:style>
  <w:style w:type="paragraph" w:styleId="BodyTextIndent">
    <w:name w:val="Body Text Indent"/>
    <w:basedOn w:val="Normal"/>
    <w:link w:val="BodyTextIndentChar"/>
    <w:uiPriority w:val="99"/>
    <w:semiHidden/>
    <w:unhideWhenUsed/>
    <w:rsid w:val="001429A2"/>
    <w:pPr>
      <w:ind w:left="283"/>
    </w:pPr>
  </w:style>
  <w:style w:type="character" w:customStyle="1" w:styleId="BodyTextIndentChar">
    <w:name w:val="Body Text Indent Char"/>
    <w:basedOn w:val="DefaultParagraphFont"/>
    <w:link w:val="BodyTextIndent"/>
    <w:uiPriority w:val="99"/>
    <w:semiHidden/>
    <w:rsid w:val="001429A2"/>
    <w:rPr>
      <w:rFonts w:ascii="Cambria" w:eastAsia="Cambria" w:hAnsi="Cambria" w:cs="Times New Roman"/>
    </w:rPr>
  </w:style>
  <w:style w:type="paragraph" w:styleId="BodyTextFirstIndent2">
    <w:name w:val="Body Text First Indent 2"/>
    <w:basedOn w:val="BodyTextIndent"/>
    <w:link w:val="BodyTextFirstIndent2Char"/>
    <w:uiPriority w:val="99"/>
    <w:semiHidden/>
    <w:unhideWhenUsed/>
    <w:rsid w:val="001429A2"/>
    <w:pPr>
      <w:ind w:left="360" w:firstLine="360"/>
    </w:pPr>
  </w:style>
  <w:style w:type="character" w:customStyle="1" w:styleId="BodyTextFirstIndent2Char">
    <w:name w:val="Body Text First Indent 2 Char"/>
    <w:basedOn w:val="BodyTextIndentChar"/>
    <w:link w:val="BodyTextFirstIndent2"/>
    <w:uiPriority w:val="99"/>
    <w:semiHidden/>
    <w:rsid w:val="001429A2"/>
    <w:rPr>
      <w:rFonts w:ascii="Cambria" w:eastAsia="Cambria" w:hAnsi="Cambria" w:cs="Times New Roman"/>
    </w:rPr>
  </w:style>
  <w:style w:type="paragraph" w:styleId="BodyTextIndent2">
    <w:name w:val="Body Text Indent 2"/>
    <w:basedOn w:val="Normal"/>
    <w:link w:val="BodyTextIndent2Char"/>
    <w:uiPriority w:val="99"/>
    <w:semiHidden/>
    <w:unhideWhenUsed/>
    <w:rsid w:val="001429A2"/>
    <w:pPr>
      <w:spacing w:line="480" w:lineRule="auto"/>
      <w:ind w:left="283"/>
    </w:pPr>
  </w:style>
  <w:style w:type="character" w:customStyle="1" w:styleId="BodyTextIndent2Char">
    <w:name w:val="Body Text Indent 2 Char"/>
    <w:basedOn w:val="DefaultParagraphFont"/>
    <w:link w:val="BodyTextIndent2"/>
    <w:uiPriority w:val="99"/>
    <w:semiHidden/>
    <w:rsid w:val="001429A2"/>
    <w:rPr>
      <w:rFonts w:ascii="Cambria" w:eastAsia="Cambria" w:hAnsi="Cambria" w:cs="Times New Roman"/>
    </w:rPr>
  </w:style>
  <w:style w:type="paragraph" w:styleId="BodyTextIndent3">
    <w:name w:val="Body Text Indent 3"/>
    <w:basedOn w:val="Normal"/>
    <w:link w:val="BodyTextIndent3Char"/>
    <w:uiPriority w:val="99"/>
    <w:semiHidden/>
    <w:unhideWhenUsed/>
    <w:rsid w:val="001429A2"/>
    <w:pPr>
      <w:ind w:left="283"/>
    </w:pPr>
    <w:rPr>
      <w:sz w:val="16"/>
      <w:szCs w:val="16"/>
    </w:rPr>
  </w:style>
  <w:style w:type="character" w:customStyle="1" w:styleId="BodyTextIndent3Char">
    <w:name w:val="Body Text Indent 3 Char"/>
    <w:basedOn w:val="DefaultParagraphFont"/>
    <w:link w:val="BodyTextIndent3"/>
    <w:uiPriority w:val="99"/>
    <w:semiHidden/>
    <w:rsid w:val="001429A2"/>
    <w:rPr>
      <w:rFonts w:ascii="Cambria" w:eastAsia="Cambria" w:hAnsi="Cambria" w:cs="Times New Roman"/>
      <w:sz w:val="16"/>
      <w:szCs w:val="16"/>
    </w:rPr>
  </w:style>
  <w:style w:type="paragraph" w:styleId="Closing">
    <w:name w:val="Closing"/>
    <w:basedOn w:val="Normal"/>
    <w:link w:val="ClosingChar"/>
    <w:uiPriority w:val="99"/>
    <w:semiHidden/>
    <w:unhideWhenUsed/>
    <w:rsid w:val="001429A2"/>
    <w:pPr>
      <w:spacing w:before="0" w:after="0" w:line="240" w:lineRule="auto"/>
      <w:ind w:left="4252"/>
    </w:pPr>
  </w:style>
  <w:style w:type="character" w:customStyle="1" w:styleId="ClosingChar">
    <w:name w:val="Closing Char"/>
    <w:basedOn w:val="DefaultParagraphFont"/>
    <w:link w:val="Closing"/>
    <w:uiPriority w:val="99"/>
    <w:semiHidden/>
    <w:rsid w:val="001429A2"/>
    <w:rPr>
      <w:rFonts w:ascii="Cambria" w:eastAsia="Cambria" w:hAnsi="Cambria" w:cs="Times New Roman"/>
    </w:rPr>
  </w:style>
  <w:style w:type="paragraph" w:styleId="DocumentMap">
    <w:name w:val="Document Map"/>
    <w:basedOn w:val="Normal"/>
    <w:link w:val="DocumentMapChar"/>
    <w:uiPriority w:val="99"/>
    <w:semiHidden/>
    <w:unhideWhenUsed/>
    <w:rsid w:val="001429A2"/>
    <w:pPr>
      <w:spacing w:before="0"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1429A2"/>
    <w:rPr>
      <w:rFonts w:ascii="Tahoma" w:eastAsia="Cambria" w:hAnsi="Tahoma" w:cs="Tahoma"/>
      <w:sz w:val="16"/>
      <w:szCs w:val="16"/>
    </w:rPr>
  </w:style>
  <w:style w:type="paragraph" w:styleId="E-mailSignature">
    <w:name w:val="E-mail Signature"/>
    <w:basedOn w:val="Normal"/>
    <w:link w:val="E-mailSignatureChar"/>
    <w:uiPriority w:val="99"/>
    <w:semiHidden/>
    <w:unhideWhenUsed/>
    <w:rsid w:val="001429A2"/>
    <w:pPr>
      <w:spacing w:before="0" w:after="0" w:line="240" w:lineRule="auto"/>
    </w:pPr>
  </w:style>
  <w:style w:type="character" w:customStyle="1" w:styleId="E-mailSignatureChar">
    <w:name w:val="E-mail Signature Char"/>
    <w:basedOn w:val="DefaultParagraphFont"/>
    <w:link w:val="E-mailSignature"/>
    <w:uiPriority w:val="99"/>
    <w:semiHidden/>
    <w:rsid w:val="001429A2"/>
    <w:rPr>
      <w:rFonts w:ascii="Cambria" w:eastAsia="Cambria" w:hAnsi="Cambria" w:cs="Times New Roman"/>
    </w:rPr>
  </w:style>
  <w:style w:type="paragraph" w:styleId="EndnoteText">
    <w:name w:val="endnote text"/>
    <w:basedOn w:val="Normal"/>
    <w:link w:val="EndnoteTextChar"/>
    <w:uiPriority w:val="99"/>
    <w:semiHidden/>
    <w:unhideWhenUsed/>
    <w:rsid w:val="001429A2"/>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1429A2"/>
    <w:rPr>
      <w:rFonts w:ascii="Cambria" w:eastAsia="Cambria" w:hAnsi="Cambria" w:cs="Times New Roman"/>
      <w:sz w:val="20"/>
      <w:szCs w:val="20"/>
    </w:rPr>
  </w:style>
  <w:style w:type="paragraph" w:styleId="EnvelopeAddress">
    <w:name w:val="envelope address"/>
    <w:basedOn w:val="Normal"/>
    <w:uiPriority w:val="99"/>
    <w:semiHidden/>
    <w:unhideWhenUsed/>
    <w:rsid w:val="001429A2"/>
    <w:pPr>
      <w:framePr w:w="7920" w:h="1980" w:hRule="exact" w:hSpace="180" w:wrap="auto" w:hAnchor="page" w:xAlign="center" w:yAlign="bottom"/>
      <w:spacing w:before="0"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1429A2"/>
    <w:pPr>
      <w:spacing w:before="0" w:after="0" w:line="240" w:lineRule="auto"/>
    </w:pPr>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1429A2"/>
    <w:rPr>
      <w:rFonts w:asciiTheme="majorHAnsi" w:eastAsiaTheme="majorEastAsia" w:hAnsiTheme="majorHAnsi" w:cstheme="majorBidi"/>
      <w:i/>
      <w:iCs/>
      <w:color w:val="404040" w:themeColor="text1" w:themeTint="BF"/>
      <w:sz w:val="20"/>
      <w:szCs w:val="20"/>
    </w:rPr>
  </w:style>
  <w:style w:type="paragraph" w:styleId="HTMLAddress">
    <w:name w:val="HTML Address"/>
    <w:basedOn w:val="Normal"/>
    <w:link w:val="HTMLAddressChar"/>
    <w:uiPriority w:val="99"/>
    <w:semiHidden/>
    <w:unhideWhenUsed/>
    <w:rsid w:val="001429A2"/>
    <w:pPr>
      <w:spacing w:before="0" w:after="0" w:line="240" w:lineRule="auto"/>
    </w:pPr>
    <w:rPr>
      <w:i/>
      <w:iCs/>
    </w:rPr>
  </w:style>
  <w:style w:type="character" w:customStyle="1" w:styleId="HTMLAddressChar">
    <w:name w:val="HTML Address Char"/>
    <w:basedOn w:val="DefaultParagraphFont"/>
    <w:link w:val="HTMLAddress"/>
    <w:uiPriority w:val="99"/>
    <w:semiHidden/>
    <w:rsid w:val="001429A2"/>
    <w:rPr>
      <w:rFonts w:ascii="Cambria" w:eastAsia="Cambria" w:hAnsi="Cambria" w:cs="Times New Roman"/>
      <w:i/>
      <w:iCs/>
    </w:rPr>
  </w:style>
  <w:style w:type="paragraph" w:styleId="HTMLPreformatted">
    <w:name w:val="HTML Preformatted"/>
    <w:basedOn w:val="Normal"/>
    <w:link w:val="HTMLPreformattedChar"/>
    <w:uiPriority w:val="99"/>
    <w:semiHidden/>
    <w:unhideWhenUsed/>
    <w:rsid w:val="001429A2"/>
    <w:pPr>
      <w:spacing w:before="0"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1429A2"/>
    <w:rPr>
      <w:rFonts w:ascii="Consolas" w:eastAsia="Cambria" w:hAnsi="Consolas" w:cs="Times New Roman"/>
      <w:sz w:val="20"/>
      <w:szCs w:val="20"/>
    </w:rPr>
  </w:style>
  <w:style w:type="paragraph" w:styleId="Index1">
    <w:name w:val="index 1"/>
    <w:basedOn w:val="Normal"/>
    <w:next w:val="Normal"/>
    <w:autoRedefine/>
    <w:uiPriority w:val="99"/>
    <w:semiHidden/>
    <w:unhideWhenUsed/>
    <w:rsid w:val="001429A2"/>
    <w:pPr>
      <w:spacing w:before="0" w:after="0" w:line="240" w:lineRule="auto"/>
      <w:ind w:left="220" w:hanging="220"/>
    </w:pPr>
  </w:style>
  <w:style w:type="paragraph" w:styleId="Index2">
    <w:name w:val="index 2"/>
    <w:basedOn w:val="Normal"/>
    <w:next w:val="Normal"/>
    <w:autoRedefine/>
    <w:uiPriority w:val="99"/>
    <w:semiHidden/>
    <w:unhideWhenUsed/>
    <w:rsid w:val="001429A2"/>
    <w:pPr>
      <w:spacing w:before="0" w:after="0" w:line="240" w:lineRule="auto"/>
      <w:ind w:left="440" w:hanging="220"/>
    </w:pPr>
  </w:style>
  <w:style w:type="paragraph" w:styleId="Index3">
    <w:name w:val="index 3"/>
    <w:basedOn w:val="Normal"/>
    <w:next w:val="Normal"/>
    <w:autoRedefine/>
    <w:uiPriority w:val="99"/>
    <w:semiHidden/>
    <w:unhideWhenUsed/>
    <w:rsid w:val="001429A2"/>
    <w:pPr>
      <w:spacing w:before="0" w:after="0" w:line="240" w:lineRule="auto"/>
      <w:ind w:left="660" w:hanging="220"/>
    </w:pPr>
  </w:style>
  <w:style w:type="paragraph" w:styleId="Index4">
    <w:name w:val="index 4"/>
    <w:basedOn w:val="Normal"/>
    <w:next w:val="Normal"/>
    <w:autoRedefine/>
    <w:uiPriority w:val="99"/>
    <w:semiHidden/>
    <w:unhideWhenUsed/>
    <w:rsid w:val="001429A2"/>
    <w:pPr>
      <w:spacing w:before="0" w:after="0" w:line="240" w:lineRule="auto"/>
      <w:ind w:left="880" w:hanging="220"/>
    </w:pPr>
  </w:style>
  <w:style w:type="paragraph" w:styleId="Index5">
    <w:name w:val="index 5"/>
    <w:basedOn w:val="Normal"/>
    <w:next w:val="Normal"/>
    <w:autoRedefine/>
    <w:uiPriority w:val="99"/>
    <w:semiHidden/>
    <w:unhideWhenUsed/>
    <w:rsid w:val="001429A2"/>
    <w:pPr>
      <w:spacing w:before="0" w:after="0" w:line="240" w:lineRule="auto"/>
      <w:ind w:left="1100" w:hanging="220"/>
    </w:pPr>
  </w:style>
  <w:style w:type="paragraph" w:styleId="Index6">
    <w:name w:val="index 6"/>
    <w:basedOn w:val="Normal"/>
    <w:next w:val="Normal"/>
    <w:autoRedefine/>
    <w:uiPriority w:val="99"/>
    <w:semiHidden/>
    <w:unhideWhenUsed/>
    <w:rsid w:val="001429A2"/>
    <w:pPr>
      <w:spacing w:before="0" w:after="0" w:line="240" w:lineRule="auto"/>
      <w:ind w:left="1320" w:hanging="220"/>
    </w:pPr>
  </w:style>
  <w:style w:type="paragraph" w:styleId="Index7">
    <w:name w:val="index 7"/>
    <w:basedOn w:val="Normal"/>
    <w:next w:val="Normal"/>
    <w:autoRedefine/>
    <w:uiPriority w:val="99"/>
    <w:semiHidden/>
    <w:unhideWhenUsed/>
    <w:rsid w:val="001429A2"/>
    <w:pPr>
      <w:spacing w:before="0" w:after="0" w:line="240" w:lineRule="auto"/>
      <w:ind w:left="1540" w:hanging="220"/>
    </w:pPr>
  </w:style>
  <w:style w:type="paragraph" w:styleId="Index8">
    <w:name w:val="index 8"/>
    <w:basedOn w:val="Normal"/>
    <w:next w:val="Normal"/>
    <w:autoRedefine/>
    <w:uiPriority w:val="99"/>
    <w:semiHidden/>
    <w:unhideWhenUsed/>
    <w:rsid w:val="001429A2"/>
    <w:pPr>
      <w:spacing w:before="0" w:after="0" w:line="240" w:lineRule="auto"/>
      <w:ind w:left="1760" w:hanging="220"/>
    </w:pPr>
  </w:style>
  <w:style w:type="paragraph" w:styleId="Index9">
    <w:name w:val="index 9"/>
    <w:basedOn w:val="Normal"/>
    <w:next w:val="Normal"/>
    <w:autoRedefine/>
    <w:uiPriority w:val="99"/>
    <w:semiHidden/>
    <w:unhideWhenUsed/>
    <w:rsid w:val="001429A2"/>
    <w:pPr>
      <w:spacing w:before="0" w:after="0" w:line="240" w:lineRule="auto"/>
      <w:ind w:left="1980" w:hanging="220"/>
    </w:pPr>
  </w:style>
  <w:style w:type="paragraph" w:styleId="IndexHeading">
    <w:name w:val="index heading"/>
    <w:basedOn w:val="Normal"/>
    <w:next w:val="Index1"/>
    <w:uiPriority w:val="99"/>
    <w:semiHidden/>
    <w:unhideWhenUsed/>
    <w:rsid w:val="001429A2"/>
    <w:rPr>
      <w:rFonts w:asciiTheme="majorHAnsi" w:eastAsiaTheme="majorEastAsia" w:hAnsiTheme="majorHAnsi" w:cstheme="majorBidi"/>
      <w:b/>
      <w:bCs/>
    </w:rPr>
  </w:style>
  <w:style w:type="paragraph" w:styleId="IntenseQuote">
    <w:name w:val="Intense Quote"/>
    <w:basedOn w:val="Normal"/>
    <w:next w:val="Normal"/>
    <w:link w:val="IntenseQuoteChar"/>
    <w:uiPriority w:val="30"/>
    <w:rsid w:val="001429A2"/>
    <w:pPr>
      <w:pBdr>
        <w:bottom w:val="single" w:sz="4" w:space="4" w:color="002C47" w:themeColor="accent1"/>
      </w:pBdr>
      <w:spacing w:before="200" w:after="280"/>
      <w:ind w:left="936" w:right="936"/>
    </w:pPr>
    <w:rPr>
      <w:b/>
      <w:bCs/>
      <w:i/>
      <w:iCs/>
      <w:color w:val="002C47" w:themeColor="accent1"/>
    </w:rPr>
  </w:style>
  <w:style w:type="character" w:customStyle="1" w:styleId="IntenseQuoteChar">
    <w:name w:val="Intense Quote Char"/>
    <w:basedOn w:val="DefaultParagraphFont"/>
    <w:link w:val="IntenseQuote"/>
    <w:uiPriority w:val="30"/>
    <w:rsid w:val="001429A2"/>
    <w:rPr>
      <w:rFonts w:ascii="Cambria" w:eastAsia="Cambria" w:hAnsi="Cambria" w:cs="Times New Roman"/>
      <w:b/>
      <w:bCs/>
      <w:i/>
      <w:iCs/>
      <w:color w:val="002C47" w:themeColor="accent1"/>
    </w:rPr>
  </w:style>
  <w:style w:type="paragraph" w:styleId="List">
    <w:name w:val="List"/>
    <w:basedOn w:val="Normal"/>
    <w:uiPriority w:val="99"/>
    <w:semiHidden/>
    <w:unhideWhenUsed/>
    <w:rsid w:val="001429A2"/>
    <w:pPr>
      <w:ind w:left="283" w:hanging="283"/>
      <w:contextualSpacing/>
    </w:pPr>
  </w:style>
  <w:style w:type="paragraph" w:styleId="List2">
    <w:name w:val="List 2"/>
    <w:basedOn w:val="Normal"/>
    <w:uiPriority w:val="99"/>
    <w:semiHidden/>
    <w:unhideWhenUsed/>
    <w:rsid w:val="001429A2"/>
    <w:pPr>
      <w:ind w:left="566" w:hanging="283"/>
      <w:contextualSpacing/>
    </w:pPr>
  </w:style>
  <w:style w:type="paragraph" w:styleId="List3">
    <w:name w:val="List 3"/>
    <w:basedOn w:val="Normal"/>
    <w:uiPriority w:val="99"/>
    <w:semiHidden/>
    <w:unhideWhenUsed/>
    <w:rsid w:val="001429A2"/>
    <w:pPr>
      <w:ind w:left="849" w:hanging="283"/>
      <w:contextualSpacing/>
    </w:pPr>
  </w:style>
  <w:style w:type="paragraph" w:styleId="List4">
    <w:name w:val="List 4"/>
    <w:basedOn w:val="Normal"/>
    <w:uiPriority w:val="99"/>
    <w:semiHidden/>
    <w:unhideWhenUsed/>
    <w:rsid w:val="001429A2"/>
    <w:pPr>
      <w:ind w:left="1132" w:hanging="283"/>
      <w:contextualSpacing/>
    </w:pPr>
  </w:style>
  <w:style w:type="paragraph" w:styleId="List5">
    <w:name w:val="List 5"/>
    <w:basedOn w:val="Normal"/>
    <w:uiPriority w:val="99"/>
    <w:semiHidden/>
    <w:unhideWhenUsed/>
    <w:rsid w:val="001429A2"/>
    <w:pPr>
      <w:ind w:left="1415" w:hanging="283"/>
      <w:contextualSpacing/>
    </w:pPr>
  </w:style>
  <w:style w:type="paragraph" w:styleId="ListBullet4">
    <w:name w:val="List Bullet 4"/>
    <w:basedOn w:val="Normal"/>
    <w:uiPriority w:val="99"/>
    <w:semiHidden/>
    <w:unhideWhenUsed/>
    <w:rsid w:val="001429A2"/>
    <w:pPr>
      <w:numPr>
        <w:numId w:val="11"/>
      </w:numPr>
      <w:contextualSpacing/>
    </w:pPr>
  </w:style>
  <w:style w:type="paragraph" w:styleId="ListBullet5">
    <w:name w:val="List Bullet 5"/>
    <w:basedOn w:val="Normal"/>
    <w:uiPriority w:val="99"/>
    <w:semiHidden/>
    <w:unhideWhenUsed/>
    <w:rsid w:val="001429A2"/>
    <w:pPr>
      <w:numPr>
        <w:numId w:val="12"/>
      </w:numPr>
      <w:contextualSpacing/>
    </w:pPr>
  </w:style>
  <w:style w:type="paragraph" w:styleId="ListContinue">
    <w:name w:val="List Continue"/>
    <w:basedOn w:val="Normal"/>
    <w:uiPriority w:val="99"/>
    <w:semiHidden/>
    <w:unhideWhenUsed/>
    <w:rsid w:val="001429A2"/>
    <w:pPr>
      <w:ind w:left="283"/>
      <w:contextualSpacing/>
    </w:pPr>
  </w:style>
  <w:style w:type="paragraph" w:styleId="ListContinue2">
    <w:name w:val="List Continue 2"/>
    <w:basedOn w:val="Normal"/>
    <w:uiPriority w:val="99"/>
    <w:semiHidden/>
    <w:unhideWhenUsed/>
    <w:rsid w:val="001429A2"/>
    <w:pPr>
      <w:ind w:left="566"/>
      <w:contextualSpacing/>
    </w:pPr>
  </w:style>
  <w:style w:type="paragraph" w:styleId="ListContinue3">
    <w:name w:val="List Continue 3"/>
    <w:basedOn w:val="Normal"/>
    <w:uiPriority w:val="99"/>
    <w:semiHidden/>
    <w:unhideWhenUsed/>
    <w:rsid w:val="001429A2"/>
    <w:pPr>
      <w:ind w:left="849"/>
      <w:contextualSpacing/>
    </w:pPr>
  </w:style>
  <w:style w:type="paragraph" w:styleId="ListContinue4">
    <w:name w:val="List Continue 4"/>
    <w:basedOn w:val="Normal"/>
    <w:uiPriority w:val="99"/>
    <w:semiHidden/>
    <w:unhideWhenUsed/>
    <w:rsid w:val="001429A2"/>
    <w:pPr>
      <w:ind w:left="1132"/>
      <w:contextualSpacing/>
    </w:pPr>
  </w:style>
  <w:style w:type="paragraph" w:styleId="ListContinue5">
    <w:name w:val="List Continue 5"/>
    <w:basedOn w:val="Normal"/>
    <w:uiPriority w:val="99"/>
    <w:semiHidden/>
    <w:unhideWhenUsed/>
    <w:rsid w:val="001429A2"/>
    <w:pPr>
      <w:ind w:left="1415"/>
      <w:contextualSpacing/>
    </w:pPr>
  </w:style>
  <w:style w:type="paragraph" w:styleId="ListNumber">
    <w:name w:val="List Number"/>
    <w:basedOn w:val="Normal"/>
    <w:uiPriority w:val="99"/>
    <w:semiHidden/>
    <w:unhideWhenUsed/>
    <w:rsid w:val="001429A2"/>
    <w:pPr>
      <w:numPr>
        <w:numId w:val="13"/>
      </w:numPr>
      <w:contextualSpacing/>
    </w:pPr>
  </w:style>
  <w:style w:type="paragraph" w:styleId="ListNumber2">
    <w:name w:val="List Number 2"/>
    <w:basedOn w:val="Normal"/>
    <w:uiPriority w:val="99"/>
    <w:semiHidden/>
    <w:unhideWhenUsed/>
    <w:rsid w:val="001429A2"/>
    <w:pPr>
      <w:numPr>
        <w:numId w:val="14"/>
      </w:numPr>
      <w:contextualSpacing/>
    </w:pPr>
  </w:style>
  <w:style w:type="paragraph" w:styleId="ListNumber3">
    <w:name w:val="List Number 3"/>
    <w:basedOn w:val="Normal"/>
    <w:uiPriority w:val="99"/>
    <w:semiHidden/>
    <w:unhideWhenUsed/>
    <w:rsid w:val="001429A2"/>
    <w:pPr>
      <w:numPr>
        <w:numId w:val="15"/>
      </w:numPr>
      <w:contextualSpacing/>
    </w:pPr>
  </w:style>
  <w:style w:type="paragraph" w:styleId="ListNumber4">
    <w:name w:val="List Number 4"/>
    <w:basedOn w:val="Normal"/>
    <w:uiPriority w:val="99"/>
    <w:semiHidden/>
    <w:unhideWhenUsed/>
    <w:rsid w:val="001429A2"/>
    <w:pPr>
      <w:numPr>
        <w:numId w:val="16"/>
      </w:numPr>
      <w:contextualSpacing/>
    </w:pPr>
  </w:style>
  <w:style w:type="paragraph" w:styleId="ListNumber5">
    <w:name w:val="List Number 5"/>
    <w:basedOn w:val="Normal"/>
    <w:uiPriority w:val="99"/>
    <w:semiHidden/>
    <w:unhideWhenUsed/>
    <w:rsid w:val="001429A2"/>
    <w:pPr>
      <w:numPr>
        <w:numId w:val="17"/>
      </w:numPr>
      <w:contextualSpacing/>
    </w:pPr>
  </w:style>
  <w:style w:type="paragraph" w:styleId="MacroText">
    <w:name w:val="macro"/>
    <w:link w:val="MacroTextChar"/>
    <w:uiPriority w:val="99"/>
    <w:semiHidden/>
    <w:unhideWhenUsed/>
    <w:rsid w:val="001429A2"/>
    <w:pPr>
      <w:tabs>
        <w:tab w:val="left" w:pos="480"/>
        <w:tab w:val="left" w:pos="960"/>
        <w:tab w:val="left" w:pos="1440"/>
        <w:tab w:val="left" w:pos="1920"/>
        <w:tab w:val="left" w:pos="2400"/>
        <w:tab w:val="left" w:pos="2880"/>
        <w:tab w:val="left" w:pos="3360"/>
        <w:tab w:val="left" w:pos="3840"/>
        <w:tab w:val="left" w:pos="4320"/>
      </w:tabs>
      <w:spacing w:before="120" w:after="0" w:line="240" w:lineRule="atLeast"/>
    </w:pPr>
    <w:rPr>
      <w:rFonts w:ascii="Consolas" w:eastAsia="Cambria" w:hAnsi="Consolas" w:cs="Times New Roman"/>
      <w:sz w:val="20"/>
      <w:szCs w:val="20"/>
    </w:rPr>
  </w:style>
  <w:style w:type="character" w:customStyle="1" w:styleId="MacroTextChar">
    <w:name w:val="Macro Text Char"/>
    <w:basedOn w:val="DefaultParagraphFont"/>
    <w:link w:val="MacroText"/>
    <w:uiPriority w:val="99"/>
    <w:semiHidden/>
    <w:rsid w:val="001429A2"/>
    <w:rPr>
      <w:rFonts w:ascii="Consolas" w:eastAsia="Cambria" w:hAnsi="Consolas" w:cs="Times New Roman"/>
      <w:sz w:val="20"/>
      <w:szCs w:val="20"/>
    </w:rPr>
  </w:style>
  <w:style w:type="paragraph" w:styleId="MessageHeader">
    <w:name w:val="Message Header"/>
    <w:basedOn w:val="Normal"/>
    <w:link w:val="MessageHeaderChar"/>
    <w:uiPriority w:val="99"/>
    <w:semiHidden/>
    <w:unhideWhenUsed/>
    <w:rsid w:val="001429A2"/>
    <w:pPr>
      <w:pBdr>
        <w:top w:val="single" w:sz="6" w:space="1" w:color="auto"/>
        <w:left w:val="single" w:sz="6" w:space="1" w:color="auto"/>
        <w:bottom w:val="single" w:sz="6" w:space="1" w:color="auto"/>
        <w:right w:val="single" w:sz="6" w:space="1" w:color="auto"/>
      </w:pBdr>
      <w:shd w:val="pct20" w:color="auto" w:fill="auto"/>
      <w:spacing w:before="0" w:after="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1429A2"/>
    <w:rPr>
      <w:rFonts w:asciiTheme="majorHAnsi" w:eastAsiaTheme="majorEastAsia" w:hAnsiTheme="majorHAnsi" w:cstheme="majorBidi"/>
      <w:sz w:val="24"/>
      <w:szCs w:val="24"/>
      <w:shd w:val="pct20" w:color="auto" w:fill="auto"/>
    </w:rPr>
  </w:style>
  <w:style w:type="paragraph" w:styleId="NoSpacing">
    <w:name w:val="No Spacing"/>
    <w:uiPriority w:val="1"/>
    <w:rsid w:val="001429A2"/>
    <w:pPr>
      <w:spacing w:after="0" w:line="240" w:lineRule="auto"/>
    </w:pPr>
    <w:rPr>
      <w:rFonts w:ascii="Cambria" w:eastAsia="Cambria" w:hAnsi="Cambria" w:cs="Times New Roman"/>
    </w:rPr>
  </w:style>
  <w:style w:type="paragraph" w:styleId="NormalWeb">
    <w:name w:val="Normal (Web)"/>
    <w:basedOn w:val="Normal"/>
    <w:uiPriority w:val="99"/>
    <w:semiHidden/>
    <w:unhideWhenUsed/>
    <w:rsid w:val="001429A2"/>
    <w:rPr>
      <w:rFonts w:ascii="Times New Roman" w:hAnsi="Times New Roman"/>
      <w:sz w:val="24"/>
      <w:szCs w:val="24"/>
    </w:rPr>
  </w:style>
  <w:style w:type="paragraph" w:styleId="NormalIndent">
    <w:name w:val="Normal Indent"/>
    <w:basedOn w:val="Normal"/>
    <w:uiPriority w:val="99"/>
    <w:semiHidden/>
    <w:unhideWhenUsed/>
    <w:rsid w:val="001429A2"/>
    <w:pPr>
      <w:ind w:left="720"/>
    </w:pPr>
  </w:style>
  <w:style w:type="paragraph" w:styleId="NoteHeading">
    <w:name w:val="Note Heading"/>
    <w:basedOn w:val="Normal"/>
    <w:next w:val="Normal"/>
    <w:link w:val="NoteHeadingChar"/>
    <w:uiPriority w:val="99"/>
    <w:semiHidden/>
    <w:unhideWhenUsed/>
    <w:rsid w:val="001429A2"/>
    <w:pPr>
      <w:spacing w:before="0" w:after="0" w:line="240" w:lineRule="auto"/>
    </w:pPr>
  </w:style>
  <w:style w:type="character" w:customStyle="1" w:styleId="NoteHeadingChar">
    <w:name w:val="Note Heading Char"/>
    <w:basedOn w:val="DefaultParagraphFont"/>
    <w:link w:val="NoteHeading"/>
    <w:uiPriority w:val="99"/>
    <w:semiHidden/>
    <w:rsid w:val="001429A2"/>
    <w:rPr>
      <w:rFonts w:ascii="Cambria" w:eastAsia="Cambria" w:hAnsi="Cambria" w:cs="Times New Roman"/>
    </w:rPr>
  </w:style>
  <w:style w:type="paragraph" w:styleId="PlainText">
    <w:name w:val="Plain Text"/>
    <w:basedOn w:val="Normal"/>
    <w:link w:val="PlainTextChar"/>
    <w:uiPriority w:val="99"/>
    <w:semiHidden/>
    <w:unhideWhenUsed/>
    <w:rsid w:val="001429A2"/>
    <w:pPr>
      <w:spacing w:before="0"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1429A2"/>
    <w:rPr>
      <w:rFonts w:ascii="Consolas" w:eastAsia="Cambria" w:hAnsi="Consolas" w:cs="Times New Roman"/>
      <w:sz w:val="21"/>
      <w:szCs w:val="21"/>
    </w:rPr>
  </w:style>
  <w:style w:type="paragraph" w:styleId="Quote">
    <w:name w:val="Quote"/>
    <w:basedOn w:val="Normal"/>
    <w:next w:val="Normal"/>
    <w:link w:val="QuoteChar"/>
    <w:uiPriority w:val="29"/>
    <w:rsid w:val="001429A2"/>
    <w:rPr>
      <w:i/>
      <w:iCs/>
      <w:color w:val="000000" w:themeColor="text1"/>
    </w:rPr>
  </w:style>
  <w:style w:type="character" w:customStyle="1" w:styleId="QuoteChar">
    <w:name w:val="Quote Char"/>
    <w:basedOn w:val="DefaultParagraphFont"/>
    <w:link w:val="Quote"/>
    <w:uiPriority w:val="29"/>
    <w:rsid w:val="001429A2"/>
    <w:rPr>
      <w:rFonts w:ascii="Cambria" w:eastAsia="Cambria" w:hAnsi="Cambria" w:cs="Times New Roman"/>
      <w:i/>
      <w:iCs/>
      <w:color w:val="000000" w:themeColor="text1"/>
    </w:rPr>
  </w:style>
  <w:style w:type="paragraph" w:styleId="Salutation">
    <w:name w:val="Salutation"/>
    <w:basedOn w:val="Normal"/>
    <w:next w:val="Normal"/>
    <w:link w:val="SalutationChar"/>
    <w:uiPriority w:val="99"/>
    <w:semiHidden/>
    <w:unhideWhenUsed/>
    <w:rsid w:val="001429A2"/>
  </w:style>
  <w:style w:type="character" w:customStyle="1" w:styleId="SalutationChar">
    <w:name w:val="Salutation Char"/>
    <w:basedOn w:val="DefaultParagraphFont"/>
    <w:link w:val="Salutation"/>
    <w:uiPriority w:val="99"/>
    <w:semiHidden/>
    <w:rsid w:val="001429A2"/>
    <w:rPr>
      <w:rFonts w:ascii="Cambria" w:eastAsia="Cambria" w:hAnsi="Cambria" w:cs="Times New Roman"/>
    </w:rPr>
  </w:style>
  <w:style w:type="paragraph" w:styleId="Signature">
    <w:name w:val="Signature"/>
    <w:basedOn w:val="Normal"/>
    <w:link w:val="SignatureChar"/>
    <w:uiPriority w:val="99"/>
    <w:semiHidden/>
    <w:unhideWhenUsed/>
    <w:rsid w:val="001429A2"/>
    <w:pPr>
      <w:spacing w:before="0" w:after="0" w:line="240" w:lineRule="auto"/>
      <w:ind w:left="4252"/>
    </w:pPr>
  </w:style>
  <w:style w:type="character" w:customStyle="1" w:styleId="SignatureChar">
    <w:name w:val="Signature Char"/>
    <w:basedOn w:val="DefaultParagraphFont"/>
    <w:link w:val="Signature"/>
    <w:uiPriority w:val="99"/>
    <w:semiHidden/>
    <w:rsid w:val="001429A2"/>
    <w:rPr>
      <w:rFonts w:ascii="Cambria" w:eastAsia="Cambria" w:hAnsi="Cambria" w:cs="Times New Roman"/>
    </w:rPr>
  </w:style>
  <w:style w:type="paragraph" w:styleId="TableofAuthorities">
    <w:name w:val="table of authorities"/>
    <w:basedOn w:val="Normal"/>
    <w:next w:val="Normal"/>
    <w:uiPriority w:val="99"/>
    <w:semiHidden/>
    <w:unhideWhenUsed/>
    <w:rsid w:val="001429A2"/>
    <w:pPr>
      <w:spacing w:after="0"/>
      <w:ind w:left="220" w:hanging="220"/>
    </w:pPr>
  </w:style>
  <w:style w:type="paragraph" w:styleId="TableofFigures">
    <w:name w:val="table of figures"/>
    <w:basedOn w:val="Normal"/>
    <w:next w:val="Normal"/>
    <w:uiPriority w:val="99"/>
    <w:semiHidden/>
    <w:unhideWhenUsed/>
    <w:rsid w:val="001429A2"/>
    <w:pPr>
      <w:spacing w:after="0"/>
    </w:pPr>
  </w:style>
  <w:style w:type="paragraph" w:styleId="TOAHeading">
    <w:name w:val="toa heading"/>
    <w:basedOn w:val="Normal"/>
    <w:next w:val="Normal"/>
    <w:uiPriority w:val="99"/>
    <w:semiHidden/>
    <w:unhideWhenUsed/>
    <w:rsid w:val="001429A2"/>
    <w:rPr>
      <w:rFonts w:asciiTheme="majorHAnsi" w:eastAsiaTheme="majorEastAsia" w:hAnsiTheme="majorHAnsi" w:cstheme="majorBidi"/>
      <w:b/>
      <w:bCs/>
      <w:sz w:val="24"/>
      <w:szCs w:val="24"/>
    </w:rPr>
  </w:style>
  <w:style w:type="paragraph" w:styleId="TOC4">
    <w:name w:val="toc 4"/>
    <w:basedOn w:val="Normal"/>
    <w:next w:val="Normal"/>
    <w:autoRedefine/>
    <w:uiPriority w:val="39"/>
    <w:semiHidden/>
    <w:unhideWhenUsed/>
    <w:rsid w:val="001429A2"/>
    <w:pPr>
      <w:spacing w:after="100"/>
      <w:ind w:left="660"/>
    </w:pPr>
  </w:style>
  <w:style w:type="paragraph" w:styleId="TOC5">
    <w:name w:val="toc 5"/>
    <w:basedOn w:val="Normal"/>
    <w:next w:val="Normal"/>
    <w:autoRedefine/>
    <w:uiPriority w:val="39"/>
    <w:semiHidden/>
    <w:unhideWhenUsed/>
    <w:rsid w:val="001429A2"/>
    <w:pPr>
      <w:spacing w:after="100"/>
      <w:ind w:left="880"/>
    </w:pPr>
  </w:style>
  <w:style w:type="paragraph" w:styleId="TOC6">
    <w:name w:val="toc 6"/>
    <w:basedOn w:val="Normal"/>
    <w:next w:val="Normal"/>
    <w:autoRedefine/>
    <w:uiPriority w:val="39"/>
    <w:semiHidden/>
    <w:unhideWhenUsed/>
    <w:rsid w:val="001429A2"/>
    <w:pPr>
      <w:spacing w:after="100"/>
      <w:ind w:left="1100"/>
    </w:pPr>
  </w:style>
  <w:style w:type="paragraph" w:styleId="TOC7">
    <w:name w:val="toc 7"/>
    <w:basedOn w:val="Normal"/>
    <w:next w:val="Normal"/>
    <w:autoRedefine/>
    <w:uiPriority w:val="39"/>
    <w:semiHidden/>
    <w:unhideWhenUsed/>
    <w:rsid w:val="001429A2"/>
    <w:pPr>
      <w:spacing w:after="100"/>
      <w:ind w:left="1320"/>
    </w:pPr>
  </w:style>
  <w:style w:type="paragraph" w:styleId="TOC8">
    <w:name w:val="toc 8"/>
    <w:basedOn w:val="Normal"/>
    <w:next w:val="Normal"/>
    <w:autoRedefine/>
    <w:uiPriority w:val="39"/>
    <w:semiHidden/>
    <w:unhideWhenUsed/>
    <w:rsid w:val="001429A2"/>
    <w:pPr>
      <w:spacing w:after="100"/>
      <w:ind w:left="1540"/>
    </w:pPr>
  </w:style>
  <w:style w:type="paragraph" w:styleId="TOC9">
    <w:name w:val="toc 9"/>
    <w:basedOn w:val="Normal"/>
    <w:next w:val="Normal"/>
    <w:autoRedefine/>
    <w:uiPriority w:val="39"/>
    <w:semiHidden/>
    <w:unhideWhenUsed/>
    <w:rsid w:val="001429A2"/>
    <w:pPr>
      <w:spacing w:after="100"/>
      <w:ind w:left="17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8102">
      <w:bodyDiv w:val="1"/>
      <w:marLeft w:val="0"/>
      <w:marRight w:val="0"/>
      <w:marTop w:val="0"/>
      <w:marBottom w:val="0"/>
      <w:divBdr>
        <w:top w:val="none" w:sz="0" w:space="0" w:color="auto"/>
        <w:left w:val="none" w:sz="0" w:space="0" w:color="auto"/>
        <w:bottom w:val="none" w:sz="0" w:space="0" w:color="auto"/>
        <w:right w:val="none" w:sz="0" w:space="0" w:color="auto"/>
      </w:divBdr>
    </w:div>
    <w:div w:id="33779306">
      <w:bodyDiv w:val="1"/>
      <w:marLeft w:val="0"/>
      <w:marRight w:val="0"/>
      <w:marTop w:val="0"/>
      <w:marBottom w:val="240"/>
      <w:divBdr>
        <w:top w:val="none" w:sz="0" w:space="0" w:color="auto"/>
        <w:left w:val="none" w:sz="0" w:space="0" w:color="auto"/>
        <w:bottom w:val="none" w:sz="0" w:space="0" w:color="auto"/>
        <w:right w:val="none" w:sz="0" w:space="0" w:color="auto"/>
      </w:divBdr>
      <w:divsChild>
        <w:div w:id="359235376">
          <w:marLeft w:val="-2250"/>
          <w:marRight w:val="0"/>
          <w:marTop w:val="150"/>
          <w:marBottom w:val="300"/>
          <w:divBdr>
            <w:top w:val="none" w:sz="0" w:space="0" w:color="auto"/>
            <w:left w:val="none" w:sz="0" w:space="0" w:color="auto"/>
            <w:bottom w:val="none" w:sz="0" w:space="0" w:color="auto"/>
            <w:right w:val="none" w:sz="0" w:space="0" w:color="auto"/>
          </w:divBdr>
          <w:divsChild>
            <w:div w:id="1259294272">
              <w:marLeft w:val="0"/>
              <w:marRight w:val="0"/>
              <w:marTop w:val="0"/>
              <w:marBottom w:val="0"/>
              <w:divBdr>
                <w:top w:val="none" w:sz="0" w:space="0" w:color="auto"/>
                <w:left w:val="none" w:sz="0" w:space="0" w:color="auto"/>
                <w:bottom w:val="none" w:sz="0" w:space="0" w:color="auto"/>
                <w:right w:val="single" w:sz="6" w:space="15" w:color="AAAAAA"/>
              </w:divBdr>
              <w:divsChild>
                <w:div w:id="396438730">
                  <w:marLeft w:val="0"/>
                  <w:marRight w:val="0"/>
                  <w:marTop w:val="0"/>
                  <w:marBottom w:val="0"/>
                  <w:divBdr>
                    <w:top w:val="none" w:sz="0" w:space="0" w:color="auto"/>
                    <w:left w:val="none" w:sz="0" w:space="0" w:color="auto"/>
                    <w:bottom w:val="none" w:sz="0" w:space="0" w:color="auto"/>
                    <w:right w:val="none" w:sz="0" w:space="0" w:color="auto"/>
                  </w:divBdr>
                  <w:divsChild>
                    <w:div w:id="221597202">
                      <w:marLeft w:val="0"/>
                      <w:marRight w:val="0"/>
                      <w:marTop w:val="0"/>
                      <w:marBottom w:val="0"/>
                      <w:divBdr>
                        <w:top w:val="none" w:sz="0" w:space="0" w:color="auto"/>
                        <w:left w:val="none" w:sz="0" w:space="0" w:color="auto"/>
                        <w:bottom w:val="none" w:sz="0" w:space="0" w:color="auto"/>
                        <w:right w:val="none" w:sz="0" w:space="0" w:color="auto"/>
                      </w:divBdr>
                      <w:divsChild>
                        <w:div w:id="12463428">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09590154">
      <w:bodyDiv w:val="1"/>
      <w:marLeft w:val="0"/>
      <w:marRight w:val="0"/>
      <w:marTop w:val="0"/>
      <w:marBottom w:val="0"/>
      <w:divBdr>
        <w:top w:val="none" w:sz="0" w:space="0" w:color="auto"/>
        <w:left w:val="none" w:sz="0" w:space="0" w:color="auto"/>
        <w:bottom w:val="none" w:sz="0" w:space="0" w:color="auto"/>
        <w:right w:val="none" w:sz="0" w:space="0" w:color="auto"/>
      </w:divBdr>
    </w:div>
    <w:div w:id="141582692">
      <w:bodyDiv w:val="1"/>
      <w:marLeft w:val="0"/>
      <w:marRight w:val="0"/>
      <w:marTop w:val="0"/>
      <w:marBottom w:val="0"/>
      <w:divBdr>
        <w:top w:val="none" w:sz="0" w:space="0" w:color="auto"/>
        <w:left w:val="none" w:sz="0" w:space="0" w:color="auto"/>
        <w:bottom w:val="none" w:sz="0" w:space="0" w:color="auto"/>
        <w:right w:val="none" w:sz="0" w:space="0" w:color="auto"/>
      </w:divBdr>
    </w:div>
    <w:div w:id="212427617">
      <w:bodyDiv w:val="1"/>
      <w:marLeft w:val="0"/>
      <w:marRight w:val="0"/>
      <w:marTop w:val="0"/>
      <w:marBottom w:val="0"/>
      <w:divBdr>
        <w:top w:val="none" w:sz="0" w:space="0" w:color="auto"/>
        <w:left w:val="none" w:sz="0" w:space="0" w:color="auto"/>
        <w:bottom w:val="none" w:sz="0" w:space="0" w:color="auto"/>
        <w:right w:val="none" w:sz="0" w:space="0" w:color="auto"/>
      </w:divBdr>
    </w:div>
    <w:div w:id="263615676">
      <w:bodyDiv w:val="1"/>
      <w:marLeft w:val="0"/>
      <w:marRight w:val="0"/>
      <w:marTop w:val="0"/>
      <w:marBottom w:val="0"/>
      <w:divBdr>
        <w:top w:val="none" w:sz="0" w:space="0" w:color="auto"/>
        <w:left w:val="none" w:sz="0" w:space="0" w:color="auto"/>
        <w:bottom w:val="none" w:sz="0" w:space="0" w:color="auto"/>
        <w:right w:val="none" w:sz="0" w:space="0" w:color="auto"/>
      </w:divBdr>
    </w:div>
    <w:div w:id="388576907">
      <w:bodyDiv w:val="1"/>
      <w:marLeft w:val="0"/>
      <w:marRight w:val="0"/>
      <w:marTop w:val="0"/>
      <w:marBottom w:val="0"/>
      <w:divBdr>
        <w:top w:val="none" w:sz="0" w:space="0" w:color="auto"/>
        <w:left w:val="none" w:sz="0" w:space="0" w:color="auto"/>
        <w:bottom w:val="none" w:sz="0" w:space="0" w:color="auto"/>
        <w:right w:val="none" w:sz="0" w:space="0" w:color="auto"/>
      </w:divBdr>
    </w:div>
    <w:div w:id="528840487">
      <w:bodyDiv w:val="1"/>
      <w:marLeft w:val="0"/>
      <w:marRight w:val="0"/>
      <w:marTop w:val="0"/>
      <w:marBottom w:val="0"/>
      <w:divBdr>
        <w:top w:val="none" w:sz="0" w:space="0" w:color="auto"/>
        <w:left w:val="none" w:sz="0" w:space="0" w:color="auto"/>
        <w:bottom w:val="none" w:sz="0" w:space="0" w:color="auto"/>
        <w:right w:val="none" w:sz="0" w:space="0" w:color="auto"/>
      </w:divBdr>
    </w:div>
    <w:div w:id="561716666">
      <w:bodyDiv w:val="1"/>
      <w:marLeft w:val="0"/>
      <w:marRight w:val="0"/>
      <w:marTop w:val="0"/>
      <w:marBottom w:val="0"/>
      <w:divBdr>
        <w:top w:val="none" w:sz="0" w:space="0" w:color="auto"/>
        <w:left w:val="none" w:sz="0" w:space="0" w:color="auto"/>
        <w:bottom w:val="none" w:sz="0" w:space="0" w:color="auto"/>
        <w:right w:val="none" w:sz="0" w:space="0" w:color="auto"/>
      </w:divBdr>
    </w:div>
    <w:div w:id="1020010352">
      <w:bodyDiv w:val="1"/>
      <w:marLeft w:val="0"/>
      <w:marRight w:val="0"/>
      <w:marTop w:val="0"/>
      <w:marBottom w:val="0"/>
      <w:divBdr>
        <w:top w:val="none" w:sz="0" w:space="0" w:color="auto"/>
        <w:left w:val="none" w:sz="0" w:space="0" w:color="auto"/>
        <w:bottom w:val="none" w:sz="0" w:space="0" w:color="auto"/>
        <w:right w:val="none" w:sz="0" w:space="0" w:color="auto"/>
      </w:divBdr>
    </w:div>
    <w:div w:id="1028142131">
      <w:bodyDiv w:val="1"/>
      <w:marLeft w:val="0"/>
      <w:marRight w:val="0"/>
      <w:marTop w:val="0"/>
      <w:marBottom w:val="0"/>
      <w:divBdr>
        <w:top w:val="none" w:sz="0" w:space="0" w:color="auto"/>
        <w:left w:val="none" w:sz="0" w:space="0" w:color="auto"/>
        <w:bottom w:val="none" w:sz="0" w:space="0" w:color="auto"/>
        <w:right w:val="none" w:sz="0" w:space="0" w:color="auto"/>
      </w:divBdr>
    </w:div>
    <w:div w:id="1129475428">
      <w:bodyDiv w:val="1"/>
      <w:marLeft w:val="0"/>
      <w:marRight w:val="0"/>
      <w:marTop w:val="0"/>
      <w:marBottom w:val="0"/>
      <w:divBdr>
        <w:top w:val="none" w:sz="0" w:space="0" w:color="auto"/>
        <w:left w:val="none" w:sz="0" w:space="0" w:color="auto"/>
        <w:bottom w:val="none" w:sz="0" w:space="0" w:color="auto"/>
        <w:right w:val="none" w:sz="0" w:space="0" w:color="auto"/>
      </w:divBdr>
    </w:div>
    <w:div w:id="1344241557">
      <w:bodyDiv w:val="1"/>
      <w:marLeft w:val="0"/>
      <w:marRight w:val="0"/>
      <w:marTop w:val="0"/>
      <w:marBottom w:val="0"/>
      <w:divBdr>
        <w:top w:val="none" w:sz="0" w:space="0" w:color="auto"/>
        <w:left w:val="none" w:sz="0" w:space="0" w:color="auto"/>
        <w:bottom w:val="none" w:sz="0" w:space="0" w:color="auto"/>
        <w:right w:val="none" w:sz="0" w:space="0" w:color="auto"/>
      </w:divBdr>
    </w:div>
    <w:div w:id="1469858931">
      <w:bodyDiv w:val="1"/>
      <w:marLeft w:val="0"/>
      <w:marRight w:val="0"/>
      <w:marTop w:val="0"/>
      <w:marBottom w:val="0"/>
      <w:divBdr>
        <w:top w:val="none" w:sz="0" w:space="0" w:color="auto"/>
        <w:left w:val="none" w:sz="0" w:space="0" w:color="auto"/>
        <w:bottom w:val="none" w:sz="0" w:space="0" w:color="auto"/>
        <w:right w:val="none" w:sz="0" w:space="0" w:color="auto"/>
      </w:divBdr>
    </w:div>
    <w:div w:id="1504012992">
      <w:bodyDiv w:val="1"/>
      <w:marLeft w:val="0"/>
      <w:marRight w:val="0"/>
      <w:marTop w:val="0"/>
      <w:marBottom w:val="0"/>
      <w:divBdr>
        <w:top w:val="none" w:sz="0" w:space="0" w:color="auto"/>
        <w:left w:val="none" w:sz="0" w:space="0" w:color="auto"/>
        <w:bottom w:val="none" w:sz="0" w:space="0" w:color="auto"/>
        <w:right w:val="none" w:sz="0" w:space="0" w:color="auto"/>
      </w:divBdr>
    </w:div>
    <w:div w:id="1536653481">
      <w:bodyDiv w:val="1"/>
      <w:marLeft w:val="0"/>
      <w:marRight w:val="0"/>
      <w:marTop w:val="0"/>
      <w:marBottom w:val="0"/>
      <w:divBdr>
        <w:top w:val="none" w:sz="0" w:space="0" w:color="auto"/>
        <w:left w:val="none" w:sz="0" w:space="0" w:color="auto"/>
        <w:bottom w:val="none" w:sz="0" w:space="0" w:color="auto"/>
        <w:right w:val="none" w:sz="0" w:space="0" w:color="auto"/>
      </w:divBdr>
    </w:div>
    <w:div w:id="1632786696">
      <w:bodyDiv w:val="1"/>
      <w:marLeft w:val="0"/>
      <w:marRight w:val="0"/>
      <w:marTop w:val="0"/>
      <w:marBottom w:val="0"/>
      <w:divBdr>
        <w:top w:val="none" w:sz="0" w:space="0" w:color="auto"/>
        <w:left w:val="none" w:sz="0" w:space="0" w:color="auto"/>
        <w:bottom w:val="none" w:sz="0" w:space="0" w:color="auto"/>
        <w:right w:val="none" w:sz="0" w:space="0" w:color="auto"/>
      </w:divBdr>
    </w:div>
    <w:div w:id="1780368668">
      <w:bodyDiv w:val="1"/>
      <w:marLeft w:val="0"/>
      <w:marRight w:val="0"/>
      <w:marTop w:val="0"/>
      <w:marBottom w:val="0"/>
      <w:divBdr>
        <w:top w:val="none" w:sz="0" w:space="0" w:color="auto"/>
        <w:left w:val="none" w:sz="0" w:space="0" w:color="auto"/>
        <w:bottom w:val="none" w:sz="0" w:space="0" w:color="auto"/>
        <w:right w:val="none" w:sz="0" w:space="0" w:color="auto"/>
      </w:divBdr>
    </w:div>
    <w:div w:id="1820339875">
      <w:bodyDiv w:val="1"/>
      <w:marLeft w:val="0"/>
      <w:marRight w:val="0"/>
      <w:marTop w:val="0"/>
      <w:marBottom w:val="0"/>
      <w:divBdr>
        <w:top w:val="none" w:sz="0" w:space="0" w:color="auto"/>
        <w:left w:val="none" w:sz="0" w:space="0" w:color="auto"/>
        <w:bottom w:val="none" w:sz="0" w:space="0" w:color="auto"/>
        <w:right w:val="none" w:sz="0" w:space="0" w:color="auto"/>
      </w:divBdr>
    </w:div>
    <w:div w:id="2010254000">
      <w:bodyDiv w:val="1"/>
      <w:marLeft w:val="0"/>
      <w:marRight w:val="0"/>
      <w:marTop w:val="0"/>
      <w:marBottom w:val="0"/>
      <w:divBdr>
        <w:top w:val="none" w:sz="0" w:space="0" w:color="auto"/>
        <w:left w:val="none" w:sz="0" w:space="0" w:color="auto"/>
        <w:bottom w:val="none" w:sz="0" w:space="0" w:color="auto"/>
        <w:right w:val="none" w:sz="0" w:space="0" w:color="auto"/>
      </w:divBdr>
    </w:div>
    <w:div w:id="20859098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6.png"/><Relationship Id="rId26" Type="http://schemas.microsoft.com/office/2007/relationships/hdphoto" Target="media/hdphoto2.wdp"/><Relationship Id="rId39" Type="http://schemas.openxmlformats.org/officeDocument/2006/relationships/image" Target="media/image23.png"/><Relationship Id="rId21" Type="http://schemas.openxmlformats.org/officeDocument/2006/relationships/image" Target="media/image9.png"/><Relationship Id="rId34" Type="http://schemas.openxmlformats.org/officeDocument/2006/relationships/image" Target="media/image20.png"/><Relationship Id="rId42" Type="http://schemas.openxmlformats.org/officeDocument/2006/relationships/image" Target="media/image25.png"/><Relationship Id="rId47" Type="http://schemas.openxmlformats.org/officeDocument/2006/relationships/header" Target="header4.xml"/><Relationship Id="rId50" Type="http://schemas.openxmlformats.org/officeDocument/2006/relationships/hyperlink" Target="mailto:info@tga.gov.au" TargetMode="External"/><Relationship Id="rId55" Type="http://schemas.openxmlformats.org/officeDocument/2006/relationships/header" Target="header8.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media/image5.png"/><Relationship Id="rId25" Type="http://schemas.openxmlformats.org/officeDocument/2006/relationships/image" Target="media/image12.png"/><Relationship Id="rId33" Type="http://schemas.openxmlformats.org/officeDocument/2006/relationships/image" Target="media/image19.png"/><Relationship Id="rId38" Type="http://schemas.microsoft.com/office/2007/relationships/hdphoto" Target="media/hdphoto4.wdp"/><Relationship Id="rId46"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5.png"/><Relationship Id="rId41" Type="http://schemas.microsoft.com/office/2007/relationships/hdphoto" Target="media/hdphoto5.wdp"/><Relationship Id="rId54"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tga.copyright@tga.gov.au" TargetMode="External"/><Relationship Id="rId24" Type="http://schemas.microsoft.com/office/2007/relationships/hdphoto" Target="media/hdphoto1.wdp"/><Relationship Id="rId32" Type="http://schemas.openxmlformats.org/officeDocument/2006/relationships/image" Target="media/image18.png"/><Relationship Id="rId37" Type="http://schemas.openxmlformats.org/officeDocument/2006/relationships/image" Target="media/image22.png"/><Relationship Id="rId40" Type="http://schemas.openxmlformats.org/officeDocument/2006/relationships/image" Target="media/image24.png"/><Relationship Id="rId45" Type="http://schemas.openxmlformats.org/officeDocument/2006/relationships/image" Target="media/image27.png"/><Relationship Id="rId53" Type="http://schemas.openxmlformats.org/officeDocument/2006/relationships/header" Target="header7.xml"/><Relationship Id="rId58"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4.png"/><Relationship Id="rId36" Type="http://schemas.microsoft.com/office/2007/relationships/hdphoto" Target="media/hdphoto3.wdp"/><Relationship Id="rId49" Type="http://schemas.openxmlformats.org/officeDocument/2006/relationships/footer" Target="footer2.xml"/><Relationship Id="rId57" Type="http://schemas.openxmlformats.org/officeDocument/2006/relationships/fontTable" Target="fontTable.xml"/><Relationship Id="rId61" Type="http://schemas.microsoft.com/office/2011/relationships/people" Target="people.xml"/><Relationship Id="rId10" Type="http://schemas.openxmlformats.org/officeDocument/2006/relationships/hyperlink" Target="https://www.tga.gov.au/product-information-pi" TargetMode="External"/><Relationship Id="rId19" Type="http://schemas.openxmlformats.org/officeDocument/2006/relationships/image" Target="media/image7.png"/><Relationship Id="rId31" Type="http://schemas.openxmlformats.org/officeDocument/2006/relationships/image" Target="media/image17.png"/><Relationship Id="rId44" Type="http://schemas.microsoft.com/office/2007/relationships/hdphoto" Target="media/hdphoto6.wdp"/><Relationship Id="rId52" Type="http://schemas.openxmlformats.org/officeDocument/2006/relationships/header" Target="header6.xml"/><Relationship Id="rId60" Type="http://schemas.microsoft.com/office/2011/relationships/commentsExtended" Target="commentsExtended.xml"/><Relationship Id="rId4" Type="http://schemas.microsoft.com/office/2007/relationships/stylesWithEffects" Target="stylesWithEffects.xml"/><Relationship Id="rId9" Type="http://schemas.openxmlformats.org/officeDocument/2006/relationships/hyperlink" Target="https://www.tga.gov.au" TargetMode="External"/><Relationship Id="rId14" Type="http://schemas.openxmlformats.org/officeDocument/2006/relationships/header" Target="header2.xml"/><Relationship Id="rId22" Type="http://schemas.openxmlformats.org/officeDocument/2006/relationships/image" Target="media/image10.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6.png"/><Relationship Id="rId48" Type="http://schemas.openxmlformats.org/officeDocument/2006/relationships/header" Target="header5.xml"/><Relationship Id="rId56" Type="http://schemas.openxmlformats.org/officeDocument/2006/relationships/footer" Target="footer4.xml"/><Relationship Id="rId8" Type="http://schemas.openxmlformats.org/officeDocument/2006/relationships/endnotes" Target="endnotes.xml"/><Relationship Id="rId51" Type="http://schemas.openxmlformats.org/officeDocument/2006/relationships/hyperlink" Target="https://www.tga.gov.au" TargetMode="External"/><Relationship Id="rId3" Type="http://schemas.openxmlformats.org/officeDocument/2006/relationships/styles" Target="styles.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rann\AppData\Local\Hewlett-Packard\HP%20TRIM\TEMP\HPTRIM.2288\R13%20453302%20%20Clinical%20Evaluation%20Report%20Extract%20template.DOTX" TargetMode="External"/></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68B607-1F80-4CA7-9727-CAFDC4BCA8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R13 453302  Clinical Evaluation Report Extract template</Template>
  <TotalTime>9</TotalTime>
  <Pages>58</Pages>
  <Words>18339</Words>
  <Characters>104533</Characters>
  <Application>Microsoft Office Word</Application>
  <DocSecurity>0</DocSecurity>
  <Lines>871</Lines>
  <Paragraphs>245</Paragraphs>
  <ScaleCrop>false</ScaleCrop>
  <HeadingPairs>
    <vt:vector size="2" baseType="variant">
      <vt:variant>
        <vt:lpstr>Title</vt:lpstr>
      </vt:variant>
      <vt:variant>
        <vt:i4>1</vt:i4>
      </vt:variant>
    </vt:vector>
  </HeadingPairs>
  <TitlesOfParts>
    <vt:vector size="1" baseType="lpstr">
      <vt:lpstr>Extract from the Clinical Evaluation Report for [...]</vt:lpstr>
    </vt:vector>
  </TitlesOfParts>
  <Company>TGA</Company>
  <LinksUpToDate>false</LinksUpToDate>
  <CharactersWithSpaces>122627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Extract from the Clinical Evaluation Report for Talimogene Laherparepvec</dc:title>
  <dc:subject>Prescription medicines</dc:subject>
  <dc:creator>Therapeutic Goods Administration</dc:creator>
  <cp:keywords>AusPARs</cp:keywords>
  <cp:lastModifiedBy>Schilg, Cassie</cp:lastModifiedBy>
  <cp:revision>7</cp:revision>
  <cp:lastPrinted>2015-09-22T23:53:00Z</cp:lastPrinted>
  <dcterms:created xsi:type="dcterms:W3CDTF">2016-05-31T00:47:00Z</dcterms:created>
  <dcterms:modified xsi:type="dcterms:W3CDTF">2016-06-02T01:42:00Z</dcterms:modified>
</cp:coreProperties>
</file>