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A0" w:rsidRPr="004925A9" w:rsidRDefault="007F553A" w:rsidP="00D66BCC">
      <w:pPr>
        <w:pStyle w:val="Heading5"/>
        <w:jc w:val="center"/>
        <w:rPr>
          <w:szCs w:val="24"/>
        </w:rPr>
      </w:pPr>
      <w:r w:rsidRPr="004925A9">
        <w:rPr>
          <w:szCs w:val="24"/>
        </w:rPr>
        <w:t>Product Information</w:t>
      </w:r>
    </w:p>
    <w:p w:rsidR="00D66BCC" w:rsidRPr="004925A9" w:rsidRDefault="00D66BCC" w:rsidP="00D66BCC">
      <w:pPr>
        <w:rPr>
          <w:sz w:val="24"/>
          <w:szCs w:val="24"/>
        </w:rPr>
      </w:pPr>
    </w:p>
    <w:p w:rsidR="007F553A" w:rsidRPr="004925A9" w:rsidRDefault="007F553A" w:rsidP="00D66BCC">
      <w:pPr>
        <w:pStyle w:val="Heading5"/>
        <w:jc w:val="center"/>
        <w:rPr>
          <w:szCs w:val="24"/>
        </w:rPr>
      </w:pPr>
      <w:r w:rsidRPr="004925A9">
        <w:rPr>
          <w:szCs w:val="24"/>
        </w:rPr>
        <w:t>V</w:t>
      </w:r>
      <w:r w:rsidR="00E106E5" w:rsidRPr="004925A9">
        <w:rPr>
          <w:szCs w:val="24"/>
        </w:rPr>
        <w:t>iread</w:t>
      </w:r>
      <w:r w:rsidRPr="004925A9">
        <w:rPr>
          <w:szCs w:val="24"/>
          <w:vertAlign w:val="superscript"/>
        </w:rPr>
        <w:sym w:font="Symbol" w:char="F0D2"/>
      </w:r>
      <w:r w:rsidR="005A6CA0" w:rsidRPr="004925A9">
        <w:rPr>
          <w:szCs w:val="24"/>
        </w:rPr>
        <w:t xml:space="preserve"> (tenofovir disoproxil fumarate) </w:t>
      </w:r>
      <w:r w:rsidR="00DD001E">
        <w:rPr>
          <w:szCs w:val="24"/>
        </w:rPr>
        <w:t xml:space="preserve">300 mg </w:t>
      </w:r>
      <w:r w:rsidR="005A6CA0" w:rsidRPr="004925A9">
        <w:rPr>
          <w:szCs w:val="24"/>
        </w:rPr>
        <w:t>Tablets</w:t>
      </w:r>
    </w:p>
    <w:p w:rsidR="007F553A" w:rsidRPr="004925A9" w:rsidRDefault="007F553A" w:rsidP="009A59E7">
      <w:pPr>
        <w:jc w:val="both"/>
        <w:rPr>
          <w:rFonts w:ascii="Times New Roman" w:hAnsi="Times New Roman"/>
          <w:color w:val="000000"/>
          <w:sz w:val="24"/>
          <w:szCs w:val="24"/>
        </w:rPr>
      </w:pPr>
    </w:p>
    <w:p w:rsidR="007F553A" w:rsidRPr="004925A9" w:rsidRDefault="007F553A" w:rsidP="009A59E7">
      <w:pPr>
        <w:jc w:val="both"/>
        <w:rPr>
          <w:rFonts w:ascii="Times New Roman" w:hAnsi="Times New Roman"/>
          <w:color w:val="000000"/>
          <w:sz w:val="24"/>
          <w:szCs w:val="24"/>
        </w:rPr>
      </w:pPr>
    </w:p>
    <w:p w:rsidR="007F553A" w:rsidRPr="004925A9" w:rsidRDefault="005A6CA0" w:rsidP="009A59E7">
      <w:pPr>
        <w:jc w:val="both"/>
        <w:rPr>
          <w:rFonts w:ascii="Times New Roman" w:hAnsi="Times New Roman"/>
          <w:color w:val="000000"/>
          <w:sz w:val="24"/>
          <w:szCs w:val="24"/>
        </w:rPr>
      </w:pPr>
      <w:r w:rsidRPr="004925A9">
        <w:rPr>
          <w:rFonts w:ascii="Times New Roman" w:hAnsi="Times New Roman"/>
          <w:b/>
          <w:color w:val="000000"/>
          <w:sz w:val="24"/>
          <w:szCs w:val="24"/>
        </w:rPr>
        <w:t>NAME OF THE MEDICINE</w:t>
      </w:r>
    </w:p>
    <w:p w:rsidR="007F553A" w:rsidRPr="004925A9" w:rsidRDefault="007F553A" w:rsidP="009A59E7">
      <w:pPr>
        <w:jc w:val="both"/>
        <w:rPr>
          <w:rFonts w:ascii="Times New Roman" w:hAnsi="Times New Roman"/>
          <w:b/>
          <w:i/>
          <w:color w:val="000000"/>
          <w:sz w:val="24"/>
          <w:szCs w:val="24"/>
        </w:rPr>
      </w:pPr>
    </w:p>
    <w:p w:rsidR="005A6CA0" w:rsidRPr="004925A9" w:rsidRDefault="005A6CA0" w:rsidP="009A59E7">
      <w:pPr>
        <w:jc w:val="both"/>
        <w:rPr>
          <w:rFonts w:ascii="Times New Roman" w:hAnsi="Times New Roman"/>
          <w:color w:val="000000"/>
          <w:sz w:val="24"/>
          <w:szCs w:val="24"/>
        </w:rPr>
      </w:pPr>
      <w:r w:rsidRPr="004925A9">
        <w:rPr>
          <w:rFonts w:ascii="Times New Roman" w:hAnsi="Times New Roman"/>
          <w:color w:val="000000"/>
          <w:sz w:val="24"/>
          <w:szCs w:val="24"/>
        </w:rPr>
        <w:t>VIREAD 300 mg tablets</w:t>
      </w:r>
    </w:p>
    <w:p w:rsidR="007F553A" w:rsidRPr="004925A9" w:rsidRDefault="005A6CA0" w:rsidP="009A59E7">
      <w:pPr>
        <w:jc w:val="both"/>
        <w:rPr>
          <w:rFonts w:ascii="Times New Roman" w:hAnsi="Times New Roman"/>
          <w:color w:val="000000"/>
          <w:sz w:val="24"/>
          <w:szCs w:val="24"/>
        </w:rPr>
      </w:pPr>
      <w:r w:rsidRPr="004925A9">
        <w:rPr>
          <w:rFonts w:ascii="Times New Roman" w:hAnsi="Times New Roman"/>
          <w:color w:val="000000"/>
          <w:sz w:val="24"/>
          <w:szCs w:val="24"/>
        </w:rPr>
        <w:t>The a</w:t>
      </w:r>
      <w:r w:rsidR="007F553A" w:rsidRPr="004925A9">
        <w:rPr>
          <w:rFonts w:ascii="Times New Roman" w:hAnsi="Times New Roman"/>
          <w:color w:val="000000"/>
          <w:sz w:val="24"/>
          <w:szCs w:val="24"/>
        </w:rPr>
        <w:t xml:space="preserve">ctive </w:t>
      </w:r>
      <w:r w:rsidRPr="004925A9">
        <w:rPr>
          <w:rFonts w:ascii="Times New Roman" w:hAnsi="Times New Roman"/>
          <w:color w:val="000000"/>
          <w:sz w:val="24"/>
          <w:szCs w:val="24"/>
        </w:rPr>
        <w:t>substance in VIREAD is</w:t>
      </w:r>
      <w:r w:rsidR="007F553A" w:rsidRPr="004925A9">
        <w:rPr>
          <w:rFonts w:ascii="Times New Roman" w:hAnsi="Times New Roman"/>
          <w:color w:val="000000"/>
          <w:sz w:val="24"/>
          <w:szCs w:val="24"/>
        </w:rPr>
        <w:t xml:space="preserve"> </w:t>
      </w:r>
      <w:r w:rsidR="00C86A29" w:rsidRPr="004925A9">
        <w:rPr>
          <w:rFonts w:ascii="Times New Roman" w:hAnsi="Times New Roman"/>
          <w:color w:val="000000"/>
          <w:sz w:val="24"/>
          <w:szCs w:val="24"/>
        </w:rPr>
        <w:t>t</w:t>
      </w:r>
      <w:r w:rsidR="007F553A" w:rsidRPr="004925A9">
        <w:rPr>
          <w:rFonts w:ascii="Times New Roman" w:hAnsi="Times New Roman"/>
          <w:color w:val="000000"/>
          <w:sz w:val="24"/>
          <w:szCs w:val="24"/>
        </w:rPr>
        <w:t xml:space="preserve">enofovir disoproxil fumarate </w:t>
      </w:r>
    </w:p>
    <w:p w:rsidR="007F553A" w:rsidRPr="004925A9" w:rsidRDefault="007F553A" w:rsidP="009A59E7">
      <w:pPr>
        <w:jc w:val="both"/>
        <w:rPr>
          <w:rFonts w:ascii="Times New Roman" w:hAnsi="Times New Roman"/>
          <w:sz w:val="24"/>
          <w:szCs w:val="24"/>
        </w:rPr>
      </w:pPr>
    </w:p>
    <w:p w:rsidR="007F553A" w:rsidRPr="004925A9" w:rsidRDefault="007F553A" w:rsidP="009A59E7">
      <w:pPr>
        <w:jc w:val="both"/>
        <w:rPr>
          <w:rFonts w:ascii="Times New Roman" w:hAnsi="Times New Roman"/>
          <w:sz w:val="24"/>
          <w:szCs w:val="24"/>
        </w:rPr>
      </w:pPr>
      <w:r w:rsidRPr="004925A9">
        <w:rPr>
          <w:rFonts w:ascii="Times New Roman" w:hAnsi="Times New Roman"/>
          <w:sz w:val="24"/>
          <w:szCs w:val="24"/>
        </w:rPr>
        <w:t>Tenofovir disoproxil fumarate is a salt of a prodrug of tenofovir.  Tenofovir disoproxil fumarate is designated chemically as 9-[(</w:t>
      </w:r>
      <w:r w:rsidRPr="004925A9">
        <w:rPr>
          <w:rFonts w:ascii="Times New Roman" w:hAnsi="Times New Roman"/>
          <w:i/>
          <w:sz w:val="24"/>
          <w:szCs w:val="24"/>
        </w:rPr>
        <w:t>R</w:t>
      </w:r>
      <w:r w:rsidRPr="004925A9">
        <w:rPr>
          <w:rFonts w:ascii="Times New Roman" w:hAnsi="Times New Roman"/>
          <w:sz w:val="24"/>
          <w:szCs w:val="24"/>
        </w:rPr>
        <w:t>)-2-[[bis[[(isopropoxycarbonyl)oxy]methoxy]-phosphinyl]</w:t>
      </w:r>
      <w:r w:rsidRPr="004925A9">
        <w:rPr>
          <w:rFonts w:ascii="Times New Roman" w:hAnsi="Times New Roman"/>
          <w:sz w:val="24"/>
          <w:szCs w:val="24"/>
        </w:rPr>
        <w:softHyphen/>
        <w:t>methoxy]propyl]adenine fumarate (1:1).</w:t>
      </w:r>
    </w:p>
    <w:p w:rsidR="007F553A" w:rsidRPr="004925A9" w:rsidRDefault="007F553A" w:rsidP="009A59E7">
      <w:pPr>
        <w:jc w:val="both"/>
        <w:rPr>
          <w:rFonts w:ascii="Times New Roman" w:hAnsi="Times New Roman"/>
          <w:sz w:val="24"/>
          <w:szCs w:val="24"/>
        </w:rPr>
      </w:pPr>
    </w:p>
    <w:p w:rsidR="007F553A" w:rsidRPr="004925A9" w:rsidRDefault="007F553A" w:rsidP="009A59E7">
      <w:pPr>
        <w:jc w:val="both"/>
        <w:rPr>
          <w:rFonts w:ascii="Times New Roman" w:hAnsi="Times New Roman"/>
          <w:sz w:val="24"/>
          <w:szCs w:val="24"/>
        </w:rPr>
      </w:pPr>
      <w:r w:rsidRPr="004925A9">
        <w:rPr>
          <w:rFonts w:ascii="Times New Roman" w:hAnsi="Times New Roman"/>
          <w:sz w:val="24"/>
          <w:szCs w:val="24"/>
        </w:rPr>
        <w:t>Chemical structure:</w:t>
      </w:r>
    </w:p>
    <w:p w:rsidR="007F553A" w:rsidRPr="004925A9" w:rsidRDefault="00F0712F">
      <w:pPr>
        <w:ind w:right="1620"/>
        <w:rPr>
          <w:rFonts w:ascii="Times New Roman" w:hAnsi="Times New Roman"/>
          <w:sz w:val="24"/>
          <w:szCs w:val="24"/>
        </w:rPr>
      </w:pPr>
      <w:r>
        <w:rPr>
          <w:rFonts w:ascii="Times New Roman" w:hAnsi="Times New Roman"/>
          <w:noProof/>
          <w:sz w:val="24"/>
          <w:szCs w:val="24"/>
          <w:lang w:eastAsia="en-AU"/>
        </w:rPr>
        <w:drawing>
          <wp:inline distT="0" distB="0" distL="0" distR="0">
            <wp:extent cx="2878455" cy="1351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78455" cy="1351915"/>
                    </a:xfrm>
                    <a:prstGeom prst="rect">
                      <a:avLst/>
                    </a:prstGeom>
                    <a:noFill/>
                    <a:ln w="9525">
                      <a:noFill/>
                      <a:miter lim="800000"/>
                      <a:headEnd/>
                      <a:tailEnd/>
                    </a:ln>
                  </pic:spPr>
                </pic:pic>
              </a:graphicData>
            </a:graphic>
          </wp:inline>
        </w:drawing>
      </w:r>
    </w:p>
    <w:p w:rsidR="007F553A" w:rsidRPr="004925A9" w:rsidRDefault="007F553A">
      <w:pPr>
        <w:ind w:right="1829"/>
        <w:rPr>
          <w:rFonts w:ascii="Times New Roman" w:hAnsi="Times New Roman"/>
          <w:sz w:val="24"/>
          <w:szCs w:val="24"/>
        </w:rPr>
      </w:pPr>
    </w:p>
    <w:p w:rsidR="007F553A" w:rsidRPr="004925A9" w:rsidRDefault="007F553A" w:rsidP="009A59E7">
      <w:pPr>
        <w:jc w:val="both"/>
        <w:rPr>
          <w:rFonts w:ascii="Times New Roman" w:hAnsi="Times New Roman"/>
          <w:sz w:val="24"/>
          <w:szCs w:val="24"/>
          <w:lang w:val="es-ES"/>
        </w:rPr>
      </w:pPr>
      <w:r w:rsidRPr="004925A9">
        <w:rPr>
          <w:rFonts w:ascii="Times New Roman" w:hAnsi="Times New Roman"/>
          <w:sz w:val="24"/>
          <w:szCs w:val="24"/>
          <w:lang w:val="es-ES"/>
        </w:rPr>
        <w:t>Molecular formula: C</w:t>
      </w:r>
      <w:r w:rsidRPr="004925A9">
        <w:rPr>
          <w:rFonts w:ascii="Times New Roman" w:hAnsi="Times New Roman"/>
          <w:sz w:val="24"/>
          <w:szCs w:val="24"/>
          <w:vertAlign w:val="subscript"/>
          <w:lang w:val="es-ES"/>
        </w:rPr>
        <w:t>23</w:t>
      </w:r>
      <w:r w:rsidRPr="004925A9">
        <w:rPr>
          <w:rFonts w:ascii="Times New Roman" w:hAnsi="Times New Roman"/>
          <w:sz w:val="24"/>
          <w:szCs w:val="24"/>
          <w:lang w:val="es-ES"/>
        </w:rPr>
        <w:t>H</w:t>
      </w:r>
      <w:r w:rsidRPr="004925A9">
        <w:rPr>
          <w:rFonts w:ascii="Times New Roman" w:hAnsi="Times New Roman"/>
          <w:sz w:val="24"/>
          <w:szCs w:val="24"/>
          <w:vertAlign w:val="subscript"/>
          <w:lang w:val="es-ES"/>
        </w:rPr>
        <w:t>34</w:t>
      </w:r>
      <w:r w:rsidRPr="004925A9">
        <w:rPr>
          <w:rFonts w:ascii="Times New Roman" w:hAnsi="Times New Roman"/>
          <w:sz w:val="24"/>
          <w:szCs w:val="24"/>
          <w:lang w:val="es-ES"/>
        </w:rPr>
        <w:t>O</w:t>
      </w:r>
      <w:r w:rsidRPr="004925A9">
        <w:rPr>
          <w:rFonts w:ascii="Times New Roman" w:hAnsi="Times New Roman"/>
          <w:sz w:val="24"/>
          <w:szCs w:val="24"/>
          <w:vertAlign w:val="subscript"/>
          <w:lang w:val="es-ES"/>
        </w:rPr>
        <w:t>14</w:t>
      </w:r>
      <w:r w:rsidRPr="004925A9">
        <w:rPr>
          <w:rFonts w:ascii="Times New Roman" w:hAnsi="Times New Roman"/>
          <w:sz w:val="24"/>
          <w:szCs w:val="24"/>
          <w:lang w:val="es-ES"/>
        </w:rPr>
        <w:t>N</w:t>
      </w:r>
      <w:r w:rsidRPr="004925A9">
        <w:rPr>
          <w:rFonts w:ascii="Times New Roman" w:hAnsi="Times New Roman"/>
          <w:sz w:val="24"/>
          <w:szCs w:val="24"/>
          <w:vertAlign w:val="subscript"/>
          <w:lang w:val="es-ES"/>
        </w:rPr>
        <w:t>5</w:t>
      </w:r>
      <w:r w:rsidRPr="004925A9">
        <w:rPr>
          <w:rFonts w:ascii="Times New Roman" w:hAnsi="Times New Roman"/>
          <w:sz w:val="24"/>
          <w:szCs w:val="24"/>
          <w:lang w:val="es-ES"/>
        </w:rPr>
        <w:t>P</w:t>
      </w:r>
    </w:p>
    <w:p w:rsidR="007F553A" w:rsidRPr="004925A9" w:rsidRDefault="007F553A" w:rsidP="009A59E7">
      <w:pPr>
        <w:jc w:val="both"/>
        <w:rPr>
          <w:rFonts w:ascii="Times New Roman" w:hAnsi="Times New Roman"/>
          <w:sz w:val="24"/>
          <w:szCs w:val="24"/>
          <w:lang w:val="es-ES"/>
        </w:rPr>
      </w:pPr>
    </w:p>
    <w:p w:rsidR="007F553A" w:rsidRPr="004925A9" w:rsidRDefault="007F553A" w:rsidP="009A59E7">
      <w:pPr>
        <w:jc w:val="both"/>
        <w:rPr>
          <w:rFonts w:ascii="Times New Roman" w:hAnsi="Times New Roman"/>
          <w:sz w:val="24"/>
          <w:szCs w:val="24"/>
          <w:lang w:val="es-ES"/>
        </w:rPr>
      </w:pPr>
      <w:r w:rsidRPr="004925A9">
        <w:rPr>
          <w:rFonts w:ascii="Times New Roman" w:hAnsi="Times New Roman"/>
          <w:sz w:val="24"/>
          <w:szCs w:val="24"/>
          <w:lang w:val="es-ES"/>
        </w:rPr>
        <w:t>Molecular mass: 635.52</w:t>
      </w:r>
    </w:p>
    <w:p w:rsidR="007F553A" w:rsidRPr="004925A9" w:rsidRDefault="007F553A" w:rsidP="009A59E7">
      <w:pPr>
        <w:jc w:val="both"/>
        <w:rPr>
          <w:rFonts w:ascii="Times New Roman" w:hAnsi="Times New Roman"/>
          <w:sz w:val="24"/>
          <w:szCs w:val="24"/>
          <w:lang w:val="es-ES"/>
        </w:rPr>
      </w:pPr>
    </w:p>
    <w:p w:rsidR="007F553A" w:rsidRPr="004925A9" w:rsidRDefault="007F553A" w:rsidP="009A59E7">
      <w:pPr>
        <w:jc w:val="both"/>
        <w:rPr>
          <w:rFonts w:ascii="Times New Roman" w:hAnsi="Times New Roman"/>
          <w:sz w:val="24"/>
          <w:szCs w:val="24"/>
        </w:rPr>
      </w:pPr>
      <w:r w:rsidRPr="004925A9">
        <w:rPr>
          <w:rFonts w:ascii="Times New Roman" w:hAnsi="Times New Roman"/>
          <w:sz w:val="24"/>
          <w:szCs w:val="24"/>
        </w:rPr>
        <w:t>CAS number: 202138-50-9</w:t>
      </w:r>
    </w:p>
    <w:p w:rsidR="005A6CA0" w:rsidRPr="004925A9" w:rsidRDefault="005A6CA0" w:rsidP="009A59E7">
      <w:pPr>
        <w:jc w:val="both"/>
        <w:rPr>
          <w:rFonts w:ascii="Times New Roman" w:hAnsi="Times New Roman"/>
          <w:sz w:val="24"/>
          <w:szCs w:val="24"/>
        </w:rPr>
      </w:pPr>
    </w:p>
    <w:p w:rsidR="005A6CA0" w:rsidRPr="004925A9" w:rsidRDefault="005A6CA0" w:rsidP="005A6CA0">
      <w:pPr>
        <w:jc w:val="both"/>
        <w:rPr>
          <w:rFonts w:ascii="Times New Roman" w:hAnsi="Times New Roman"/>
          <w:sz w:val="24"/>
          <w:szCs w:val="24"/>
        </w:rPr>
      </w:pPr>
      <w:r w:rsidRPr="004925A9">
        <w:rPr>
          <w:rFonts w:ascii="Times New Roman" w:hAnsi="Times New Roman"/>
          <w:b/>
          <w:sz w:val="24"/>
          <w:szCs w:val="24"/>
        </w:rPr>
        <w:t>DESCRIPTION</w:t>
      </w:r>
    </w:p>
    <w:p w:rsidR="007F553A" w:rsidRPr="004925A9" w:rsidRDefault="007F553A" w:rsidP="009A59E7">
      <w:pPr>
        <w:jc w:val="both"/>
        <w:rPr>
          <w:rFonts w:ascii="Times New Roman" w:hAnsi="Times New Roman"/>
          <w:sz w:val="24"/>
          <w:szCs w:val="24"/>
        </w:rPr>
      </w:pPr>
    </w:p>
    <w:p w:rsidR="007F553A" w:rsidRPr="004925A9" w:rsidRDefault="007F553A" w:rsidP="009A59E7">
      <w:pPr>
        <w:jc w:val="both"/>
        <w:rPr>
          <w:rFonts w:ascii="Times New Roman" w:hAnsi="Times New Roman"/>
          <w:b/>
          <w:sz w:val="24"/>
          <w:szCs w:val="24"/>
        </w:rPr>
      </w:pPr>
      <w:r w:rsidRPr="004925A9">
        <w:rPr>
          <w:rFonts w:ascii="Times New Roman" w:hAnsi="Times New Roman"/>
          <w:sz w:val="24"/>
          <w:szCs w:val="24"/>
        </w:rPr>
        <w:t>Tenofovir disoproxil fumarate is a white to off-white crystalline powder with a solubility of 13.4 mg/mL in water</w:t>
      </w:r>
      <w:r w:rsidR="001F696E" w:rsidRPr="004925A9">
        <w:rPr>
          <w:rFonts w:ascii="Times New Roman" w:hAnsi="Times New Roman"/>
          <w:sz w:val="24"/>
          <w:szCs w:val="24"/>
        </w:rPr>
        <w:t xml:space="preserve"> at 25°C.  The partition coefficient (log P) for tenofovir disoproxil is 1.25 and the pKa is 3.75</w:t>
      </w:r>
      <w:r w:rsidRPr="004925A9">
        <w:rPr>
          <w:rFonts w:ascii="Times New Roman" w:hAnsi="Times New Roman"/>
          <w:sz w:val="24"/>
          <w:szCs w:val="24"/>
        </w:rPr>
        <w:t xml:space="preserve">.  The active pharmaceutical product is a single enantiomer that does not undergo racemisation either </w:t>
      </w:r>
      <w:r w:rsidRPr="004925A9">
        <w:rPr>
          <w:rFonts w:ascii="Times New Roman" w:hAnsi="Times New Roman"/>
          <w:i/>
          <w:sz w:val="24"/>
          <w:szCs w:val="24"/>
        </w:rPr>
        <w:t>in vitro</w:t>
      </w:r>
      <w:r w:rsidRPr="004925A9">
        <w:rPr>
          <w:rFonts w:ascii="Times New Roman" w:hAnsi="Times New Roman"/>
          <w:sz w:val="24"/>
          <w:szCs w:val="24"/>
        </w:rPr>
        <w:t xml:space="preserve"> or </w:t>
      </w:r>
      <w:r w:rsidRPr="004925A9">
        <w:rPr>
          <w:rFonts w:ascii="Times New Roman" w:hAnsi="Times New Roman"/>
          <w:i/>
          <w:sz w:val="24"/>
          <w:szCs w:val="24"/>
        </w:rPr>
        <w:t>in vivo</w:t>
      </w:r>
      <w:r w:rsidRPr="004925A9">
        <w:rPr>
          <w:rFonts w:ascii="Times New Roman" w:hAnsi="Times New Roman"/>
          <w:sz w:val="24"/>
          <w:szCs w:val="24"/>
        </w:rPr>
        <w:t>.</w:t>
      </w:r>
    </w:p>
    <w:p w:rsidR="007F553A" w:rsidRPr="004925A9" w:rsidRDefault="007F553A" w:rsidP="009A59E7">
      <w:pPr>
        <w:jc w:val="both"/>
        <w:rPr>
          <w:rFonts w:ascii="Times New Roman" w:hAnsi="Times New Roman"/>
          <w:b/>
          <w:sz w:val="24"/>
          <w:szCs w:val="24"/>
        </w:rPr>
      </w:pPr>
    </w:p>
    <w:p w:rsidR="005A6CA0" w:rsidRPr="004925A9" w:rsidRDefault="005A6CA0" w:rsidP="005A6CA0">
      <w:pPr>
        <w:jc w:val="both"/>
        <w:rPr>
          <w:rFonts w:ascii="Times New Roman" w:hAnsi="Times New Roman"/>
          <w:snapToGrid w:val="0"/>
          <w:color w:val="000000"/>
          <w:sz w:val="24"/>
          <w:szCs w:val="24"/>
        </w:rPr>
      </w:pPr>
      <w:r w:rsidRPr="004925A9">
        <w:rPr>
          <w:rFonts w:ascii="Times New Roman" w:hAnsi="Times New Roman"/>
          <w:sz w:val="24"/>
          <w:szCs w:val="24"/>
        </w:rPr>
        <w:t xml:space="preserve">VIREAD tablets contain the following ingredients as </w:t>
      </w:r>
      <w:r w:rsidRPr="004925A9">
        <w:rPr>
          <w:rFonts w:ascii="Times New Roman" w:hAnsi="Times New Roman"/>
          <w:sz w:val="24"/>
          <w:szCs w:val="24"/>
          <w:u w:val="single"/>
        </w:rPr>
        <w:t>excipients</w:t>
      </w:r>
      <w:r w:rsidRPr="004925A9">
        <w:rPr>
          <w:rFonts w:ascii="Times New Roman" w:hAnsi="Times New Roman"/>
          <w:sz w:val="24"/>
          <w:szCs w:val="24"/>
        </w:rPr>
        <w:t>:</w:t>
      </w:r>
      <w:r w:rsidRPr="004925A9">
        <w:rPr>
          <w:rFonts w:ascii="Times New Roman" w:hAnsi="Times New Roman"/>
          <w:b/>
          <w:i/>
          <w:sz w:val="24"/>
          <w:szCs w:val="24"/>
        </w:rPr>
        <w:t xml:space="preserve"> </w:t>
      </w:r>
      <w:r w:rsidRPr="004925A9">
        <w:rPr>
          <w:rFonts w:ascii="Times New Roman" w:hAnsi="Times New Roman"/>
          <w:sz w:val="24"/>
          <w:szCs w:val="24"/>
        </w:rPr>
        <w:t xml:space="preserve"> </w:t>
      </w:r>
      <w:r w:rsidRPr="004925A9">
        <w:rPr>
          <w:rFonts w:ascii="Times New Roman" w:hAnsi="Times New Roman"/>
          <w:i/>
          <w:color w:val="000000"/>
          <w:sz w:val="24"/>
          <w:szCs w:val="24"/>
        </w:rPr>
        <w:t>Core:</w:t>
      </w:r>
      <w:r w:rsidRPr="004925A9">
        <w:rPr>
          <w:rFonts w:ascii="Times New Roman" w:hAnsi="Times New Roman"/>
          <w:color w:val="000000"/>
          <w:sz w:val="24"/>
          <w:szCs w:val="24"/>
        </w:rPr>
        <w:t xml:space="preserve"> microcrystalline cellulose</w:t>
      </w:r>
      <w:r w:rsidR="00F750BB" w:rsidRPr="004925A9">
        <w:rPr>
          <w:rFonts w:ascii="Times New Roman" w:hAnsi="Times New Roman"/>
          <w:color w:val="000000"/>
          <w:sz w:val="24"/>
          <w:szCs w:val="24"/>
        </w:rPr>
        <w:t xml:space="preserve"> (E460)</w:t>
      </w:r>
      <w:r w:rsidRPr="004925A9">
        <w:rPr>
          <w:rFonts w:ascii="Times New Roman" w:hAnsi="Times New Roman"/>
          <w:color w:val="000000"/>
          <w:sz w:val="24"/>
          <w:szCs w:val="24"/>
        </w:rPr>
        <w:t>, pregelatinised maize starch, croscarmellose sodium, lactose and magnesium stearate</w:t>
      </w:r>
      <w:r w:rsidR="00F750BB" w:rsidRPr="004925A9">
        <w:rPr>
          <w:rFonts w:ascii="Times New Roman" w:hAnsi="Times New Roman"/>
          <w:color w:val="000000"/>
          <w:sz w:val="24"/>
          <w:szCs w:val="24"/>
        </w:rPr>
        <w:t xml:space="preserve"> (E572)</w:t>
      </w:r>
      <w:r w:rsidRPr="004925A9">
        <w:rPr>
          <w:rFonts w:ascii="Times New Roman" w:hAnsi="Times New Roman"/>
          <w:color w:val="000000"/>
          <w:sz w:val="24"/>
          <w:szCs w:val="24"/>
        </w:rPr>
        <w:t xml:space="preserve">.  </w:t>
      </w:r>
      <w:r w:rsidRPr="004925A9">
        <w:rPr>
          <w:rFonts w:ascii="Times New Roman" w:hAnsi="Times New Roman"/>
          <w:i/>
          <w:color w:val="000000"/>
          <w:sz w:val="24"/>
          <w:szCs w:val="24"/>
        </w:rPr>
        <w:t>Coating:</w:t>
      </w:r>
      <w:r w:rsidRPr="004925A9">
        <w:rPr>
          <w:rFonts w:ascii="Times New Roman" w:hAnsi="Times New Roman"/>
          <w:color w:val="000000"/>
          <w:sz w:val="24"/>
          <w:szCs w:val="24"/>
        </w:rPr>
        <w:t xml:space="preserve"> Opadry II Y-30-10671-A-(ARTG3968)</w:t>
      </w:r>
      <w:r w:rsidRPr="004925A9">
        <w:rPr>
          <w:rFonts w:ascii="Times New Roman" w:hAnsi="Times New Roman"/>
          <w:snapToGrid w:val="0"/>
          <w:color w:val="000000"/>
          <w:sz w:val="24"/>
          <w:szCs w:val="24"/>
        </w:rPr>
        <w:t>.</w:t>
      </w:r>
    </w:p>
    <w:p w:rsidR="005A6CA0" w:rsidRPr="004925A9" w:rsidRDefault="005A6CA0" w:rsidP="005A6CA0">
      <w:pPr>
        <w:jc w:val="both"/>
        <w:rPr>
          <w:rFonts w:ascii="Times New Roman" w:hAnsi="Times New Roman"/>
          <w:snapToGrid w:val="0"/>
          <w:color w:val="000000"/>
          <w:sz w:val="24"/>
          <w:szCs w:val="24"/>
        </w:rPr>
      </w:pPr>
    </w:p>
    <w:p w:rsidR="005A6CA0" w:rsidRPr="004925A9" w:rsidRDefault="005A6CA0" w:rsidP="005A6CA0">
      <w:pPr>
        <w:jc w:val="both"/>
        <w:rPr>
          <w:rFonts w:ascii="Times New Roman" w:hAnsi="Times New Roman"/>
          <w:color w:val="000000"/>
          <w:sz w:val="24"/>
          <w:szCs w:val="24"/>
        </w:rPr>
      </w:pPr>
      <w:r w:rsidRPr="004925A9">
        <w:rPr>
          <w:rFonts w:ascii="Times New Roman" w:hAnsi="Times New Roman"/>
          <w:color w:val="000000"/>
          <w:sz w:val="24"/>
          <w:szCs w:val="24"/>
        </w:rPr>
        <w:t>Each VIREAD tablet is light blue and almond-shaped. Each tablet is debossed on one side with the markings “</w:t>
      </w:r>
      <w:smartTag w:uri="urn:schemas-microsoft-com:office:smarttags" w:element="place">
        <w:r w:rsidRPr="004925A9">
          <w:rPr>
            <w:rFonts w:ascii="Times New Roman" w:hAnsi="Times New Roman"/>
            <w:color w:val="000000"/>
            <w:sz w:val="24"/>
            <w:szCs w:val="24"/>
          </w:rPr>
          <w:t>GILEAD</w:t>
        </w:r>
      </w:smartTag>
      <w:r w:rsidRPr="004925A9">
        <w:rPr>
          <w:rFonts w:ascii="Times New Roman" w:hAnsi="Times New Roman"/>
          <w:color w:val="000000"/>
          <w:sz w:val="24"/>
          <w:szCs w:val="24"/>
        </w:rPr>
        <w:t>” and “4331” and on the other side with the marking “300”.</w:t>
      </w:r>
      <w:r w:rsidR="00F750BB" w:rsidRPr="004925A9">
        <w:rPr>
          <w:rFonts w:ascii="Times New Roman" w:hAnsi="Times New Roman"/>
          <w:color w:val="000000"/>
          <w:sz w:val="24"/>
          <w:szCs w:val="24"/>
        </w:rPr>
        <w:t xml:space="preserve"> The tablets are supplied in bottles with screw cap closures.</w:t>
      </w:r>
    </w:p>
    <w:p w:rsidR="007F553A" w:rsidRPr="004925A9" w:rsidRDefault="007F553A" w:rsidP="009A59E7">
      <w:pPr>
        <w:jc w:val="both"/>
        <w:rPr>
          <w:rFonts w:ascii="Times New Roman" w:hAnsi="Times New Roman"/>
          <w:b/>
          <w:sz w:val="24"/>
          <w:szCs w:val="24"/>
        </w:rPr>
      </w:pPr>
    </w:p>
    <w:p w:rsidR="002A219D" w:rsidRDefault="002A219D" w:rsidP="009A59E7">
      <w:pPr>
        <w:pStyle w:val="Heading3"/>
        <w:ind w:right="0"/>
        <w:jc w:val="both"/>
        <w:rPr>
          <w:szCs w:val="24"/>
        </w:rPr>
      </w:pPr>
    </w:p>
    <w:p w:rsidR="002A219D" w:rsidRDefault="002A219D" w:rsidP="009A59E7">
      <w:pPr>
        <w:pStyle w:val="Heading3"/>
        <w:ind w:right="0"/>
        <w:jc w:val="both"/>
        <w:rPr>
          <w:szCs w:val="24"/>
        </w:rPr>
      </w:pPr>
    </w:p>
    <w:p w:rsidR="007F553A" w:rsidRPr="004925A9" w:rsidRDefault="009A59E7" w:rsidP="009A59E7">
      <w:pPr>
        <w:pStyle w:val="Heading3"/>
        <w:ind w:right="0"/>
        <w:jc w:val="both"/>
        <w:rPr>
          <w:szCs w:val="24"/>
        </w:rPr>
      </w:pPr>
      <w:r w:rsidRPr="004925A9">
        <w:rPr>
          <w:szCs w:val="24"/>
        </w:rPr>
        <w:t>PHARMACOLOGY</w:t>
      </w:r>
    </w:p>
    <w:p w:rsidR="007F553A" w:rsidRPr="004925A9" w:rsidRDefault="007F553A" w:rsidP="009A59E7">
      <w:pPr>
        <w:jc w:val="both"/>
        <w:rPr>
          <w:rFonts w:ascii="Times New Roman" w:hAnsi="Times New Roman"/>
          <w:b/>
          <w:i/>
          <w:color w:val="000000"/>
          <w:sz w:val="24"/>
          <w:szCs w:val="24"/>
        </w:rPr>
      </w:pPr>
    </w:p>
    <w:p w:rsidR="007F553A" w:rsidRPr="004925A9" w:rsidRDefault="007F553A" w:rsidP="009A59E7">
      <w:pPr>
        <w:tabs>
          <w:tab w:val="left" w:pos="1890"/>
        </w:tabs>
        <w:jc w:val="both"/>
        <w:rPr>
          <w:rFonts w:ascii="Times New Roman" w:hAnsi="Times New Roman"/>
          <w:b/>
          <w:color w:val="000000"/>
          <w:sz w:val="24"/>
          <w:szCs w:val="24"/>
        </w:rPr>
      </w:pPr>
      <w:r w:rsidRPr="004925A9">
        <w:rPr>
          <w:rFonts w:ascii="Times New Roman" w:hAnsi="Times New Roman"/>
          <w:b/>
          <w:color w:val="000000"/>
          <w:sz w:val="24"/>
          <w:szCs w:val="24"/>
        </w:rPr>
        <w:t>Pharmacokinetics</w:t>
      </w:r>
    </w:p>
    <w:p w:rsidR="007F553A" w:rsidRPr="004925A9" w:rsidRDefault="007F553A" w:rsidP="009A59E7">
      <w:pPr>
        <w:tabs>
          <w:tab w:val="left" w:pos="1890"/>
        </w:tabs>
        <w:jc w:val="both"/>
        <w:rPr>
          <w:rFonts w:ascii="Times New Roman" w:hAnsi="Times New Roman"/>
          <w:color w:val="000000"/>
          <w:sz w:val="24"/>
          <w:szCs w:val="24"/>
        </w:rPr>
      </w:pPr>
    </w:p>
    <w:p w:rsidR="00A43C9B" w:rsidRDefault="007F553A" w:rsidP="009A59E7">
      <w:pPr>
        <w:pStyle w:val="Footer"/>
        <w:widowControl/>
        <w:tabs>
          <w:tab w:val="left" w:pos="720"/>
        </w:tabs>
        <w:jc w:val="both"/>
        <w:rPr>
          <w:rFonts w:ascii="Times New Roman" w:hAnsi="Times New Roman"/>
          <w:color w:val="000000"/>
          <w:sz w:val="24"/>
          <w:szCs w:val="24"/>
          <w:lang w:val="en-AU"/>
        </w:rPr>
      </w:pPr>
      <w:r w:rsidRPr="004925A9">
        <w:rPr>
          <w:rFonts w:ascii="Times New Roman" w:hAnsi="Times New Roman"/>
          <w:sz w:val="24"/>
          <w:szCs w:val="24"/>
          <w:lang w:val="en-AU"/>
        </w:rPr>
        <w:t>Tenofovir disoproxil fumarate is a water soluble ester prodrug of the active ingredient tenofovir.  Tenofovir is converted intracellularly to tenofovir monophosphate and tenofovir diphosphate.</w:t>
      </w:r>
      <w:r w:rsidR="00F9233F" w:rsidRPr="004925A9" w:rsidDel="00F9233F">
        <w:rPr>
          <w:rFonts w:ascii="Times New Roman" w:hAnsi="Times New Roman"/>
          <w:sz w:val="24"/>
          <w:szCs w:val="24"/>
          <w:lang w:val="en-AU"/>
        </w:rPr>
        <w:t xml:space="preserve"> </w:t>
      </w:r>
      <w:r w:rsidR="00566A4A" w:rsidRPr="004925A9">
        <w:rPr>
          <w:rFonts w:ascii="Times New Roman" w:hAnsi="Times New Roman"/>
          <w:sz w:val="24"/>
          <w:szCs w:val="24"/>
          <w:lang w:val="en-AU"/>
        </w:rPr>
        <w:t xml:space="preserve"> The pharmacokinetics of tenofovir disoproxil fumarate have been evaluated in healthy volunteers and HIV-1 infected individuals.  Tenofovir pharmacokinetics are similar between these populations.</w:t>
      </w:r>
      <w:r w:rsidR="00566A4A" w:rsidRPr="004925A9">
        <w:rPr>
          <w:rFonts w:ascii="Times New Roman" w:hAnsi="Times New Roman"/>
          <w:color w:val="000000"/>
          <w:sz w:val="24"/>
          <w:szCs w:val="24"/>
          <w:lang w:val="en-AU"/>
        </w:rPr>
        <w:t xml:space="preserve">  </w:t>
      </w:r>
    </w:p>
    <w:p w:rsidR="009A59E7" w:rsidRPr="004925A9" w:rsidRDefault="009A59E7" w:rsidP="009A59E7">
      <w:pPr>
        <w:pStyle w:val="Footer"/>
        <w:widowControl/>
        <w:tabs>
          <w:tab w:val="left" w:pos="720"/>
        </w:tabs>
        <w:jc w:val="both"/>
        <w:rPr>
          <w:rFonts w:ascii="Times New Roman" w:hAnsi="Times New Roman"/>
          <w:sz w:val="24"/>
          <w:szCs w:val="24"/>
          <w:lang w:val="en-AU"/>
        </w:rPr>
      </w:pPr>
    </w:p>
    <w:p w:rsidR="00CD3FD7" w:rsidRPr="004925A9" w:rsidRDefault="007F553A" w:rsidP="009A59E7">
      <w:pPr>
        <w:ind w:hanging="18"/>
        <w:jc w:val="both"/>
        <w:rPr>
          <w:rFonts w:ascii="Times New Roman" w:hAnsi="Times New Roman"/>
          <w:sz w:val="24"/>
          <w:szCs w:val="24"/>
        </w:rPr>
      </w:pPr>
      <w:r w:rsidRPr="004925A9">
        <w:rPr>
          <w:rFonts w:ascii="Times New Roman" w:hAnsi="Times New Roman"/>
          <w:b/>
          <w:i/>
          <w:color w:val="000000"/>
          <w:sz w:val="24"/>
          <w:szCs w:val="24"/>
        </w:rPr>
        <w:t>Absorption</w:t>
      </w:r>
      <w:r w:rsidR="00CD7EF3" w:rsidRPr="004925A9">
        <w:rPr>
          <w:rFonts w:ascii="Times New Roman" w:hAnsi="Times New Roman"/>
          <w:b/>
          <w:i/>
          <w:color w:val="000000"/>
          <w:sz w:val="24"/>
          <w:szCs w:val="24"/>
        </w:rPr>
        <w:t>:</w:t>
      </w:r>
      <w:r w:rsidRPr="004925A9">
        <w:rPr>
          <w:rFonts w:ascii="Times New Roman" w:hAnsi="Times New Roman"/>
          <w:i/>
          <w:color w:val="000000"/>
          <w:sz w:val="24"/>
          <w:szCs w:val="24"/>
        </w:rPr>
        <w:t xml:space="preserve">  </w:t>
      </w:r>
      <w:r w:rsidRPr="004925A9">
        <w:rPr>
          <w:rFonts w:ascii="Times New Roman" w:hAnsi="Times New Roman"/>
          <w:color w:val="000000"/>
          <w:sz w:val="24"/>
          <w:szCs w:val="24"/>
        </w:rPr>
        <w:t xml:space="preserve">Following oral administration of VIREAD, tenofovir disoproxil fumarate is rapidly absorbed and converted to tenofovir.  </w:t>
      </w:r>
      <w:r w:rsidRPr="004925A9">
        <w:rPr>
          <w:rFonts w:ascii="Times New Roman" w:hAnsi="Times New Roman"/>
          <w:snapToGrid w:val="0"/>
          <w:color w:val="000000"/>
          <w:sz w:val="24"/>
          <w:szCs w:val="24"/>
        </w:rPr>
        <w:t xml:space="preserve">The oral bioavailability of tenofovir from VIREAD in fasted patients was approximately 25%.  </w:t>
      </w:r>
      <w:r w:rsidR="00CD3FD7" w:rsidRPr="004925A9">
        <w:rPr>
          <w:rFonts w:ascii="Times New Roman" w:hAnsi="Times New Roman"/>
          <w:sz w:val="24"/>
          <w:szCs w:val="24"/>
        </w:rPr>
        <w:t>Following oral administration of a single dose of VIREAD 300 mg to HIV-1 infected patients in the fasted state, maximum serum concentrations (C</w:t>
      </w:r>
      <w:r w:rsidR="00CD3FD7" w:rsidRPr="004925A9">
        <w:rPr>
          <w:rFonts w:ascii="Times New Roman" w:hAnsi="Times New Roman"/>
          <w:sz w:val="24"/>
          <w:szCs w:val="24"/>
          <w:vertAlign w:val="subscript"/>
        </w:rPr>
        <w:t>max</w:t>
      </w:r>
      <w:r w:rsidR="00CD3FD7" w:rsidRPr="004925A9">
        <w:rPr>
          <w:rFonts w:ascii="Times New Roman" w:hAnsi="Times New Roman"/>
          <w:sz w:val="24"/>
          <w:szCs w:val="24"/>
        </w:rPr>
        <w:t xml:space="preserve">) are achieved in 1.0 </w:t>
      </w:r>
      <w:r w:rsidR="00CD3FD7" w:rsidRPr="004925A9">
        <w:rPr>
          <w:rFonts w:ascii="Times New Roman" w:hAnsi="Times New Roman"/>
          <w:sz w:val="24"/>
          <w:szCs w:val="24"/>
        </w:rPr>
        <w:sym w:font="Symbol" w:char="00B1"/>
      </w:r>
      <w:r w:rsidR="00CD3FD7" w:rsidRPr="004925A9">
        <w:rPr>
          <w:rFonts w:ascii="Times New Roman" w:hAnsi="Times New Roman"/>
          <w:sz w:val="24"/>
          <w:szCs w:val="24"/>
        </w:rPr>
        <w:t xml:space="preserve"> 0.4 hrs.  C</w:t>
      </w:r>
      <w:r w:rsidR="00CD3FD7" w:rsidRPr="004925A9">
        <w:rPr>
          <w:rFonts w:ascii="Times New Roman" w:hAnsi="Times New Roman"/>
          <w:sz w:val="24"/>
          <w:szCs w:val="24"/>
          <w:vertAlign w:val="subscript"/>
        </w:rPr>
        <w:t>max</w:t>
      </w:r>
      <w:r w:rsidR="00CD3FD7" w:rsidRPr="004925A9">
        <w:rPr>
          <w:rFonts w:ascii="Times New Roman" w:hAnsi="Times New Roman"/>
          <w:sz w:val="24"/>
          <w:szCs w:val="24"/>
        </w:rPr>
        <w:t xml:space="preserve"> and AUC values are 296 </w:t>
      </w:r>
      <w:r w:rsidR="00CD3FD7" w:rsidRPr="004925A9">
        <w:rPr>
          <w:rFonts w:ascii="Times New Roman" w:hAnsi="Times New Roman"/>
          <w:sz w:val="24"/>
          <w:szCs w:val="24"/>
        </w:rPr>
        <w:sym w:font="Symbol" w:char="00B1"/>
      </w:r>
      <w:r w:rsidR="00CD3FD7" w:rsidRPr="004925A9">
        <w:rPr>
          <w:rFonts w:ascii="Times New Roman" w:hAnsi="Times New Roman"/>
          <w:sz w:val="24"/>
          <w:szCs w:val="24"/>
        </w:rPr>
        <w:t xml:space="preserve"> 90 ng/mL and 2287 </w:t>
      </w:r>
      <w:r w:rsidR="00CD3FD7" w:rsidRPr="004925A9">
        <w:rPr>
          <w:rFonts w:ascii="Times New Roman" w:hAnsi="Times New Roman"/>
          <w:sz w:val="24"/>
          <w:szCs w:val="24"/>
        </w:rPr>
        <w:sym w:font="Symbol" w:char="00B1"/>
      </w:r>
      <w:r w:rsidR="00CD3FD7" w:rsidRPr="004925A9">
        <w:rPr>
          <w:rFonts w:ascii="Times New Roman" w:hAnsi="Times New Roman"/>
          <w:sz w:val="24"/>
          <w:szCs w:val="24"/>
        </w:rPr>
        <w:t xml:space="preserve"> 685 ng</w:t>
      </w:r>
      <w:r w:rsidR="00176069">
        <w:rPr>
          <w:rFonts w:ascii="Times New Roman" w:hAnsi="Times New Roman"/>
          <w:sz w:val="22"/>
          <w:szCs w:val="22"/>
        </w:rPr>
        <w:sym w:font="Symbol" w:char="F0B7"/>
      </w:r>
      <w:r w:rsidR="00CD3FD7" w:rsidRPr="004925A9">
        <w:rPr>
          <w:rFonts w:ascii="Times New Roman" w:hAnsi="Times New Roman"/>
          <w:sz w:val="24"/>
          <w:szCs w:val="24"/>
        </w:rPr>
        <w:t>h/mL, respectively.</w:t>
      </w:r>
    </w:p>
    <w:p w:rsidR="00BE0DA7" w:rsidRPr="004925A9" w:rsidRDefault="00BE0DA7" w:rsidP="009A59E7">
      <w:pPr>
        <w:tabs>
          <w:tab w:val="left" w:pos="1890"/>
        </w:tabs>
        <w:jc w:val="both"/>
        <w:rPr>
          <w:rFonts w:ascii="Times New Roman" w:hAnsi="Times New Roman"/>
          <w:snapToGrid w:val="0"/>
          <w:color w:val="000000"/>
          <w:sz w:val="24"/>
          <w:szCs w:val="24"/>
        </w:rPr>
      </w:pPr>
    </w:p>
    <w:p w:rsidR="00356E93" w:rsidRPr="004925A9" w:rsidRDefault="00356E93" w:rsidP="009A59E7">
      <w:pPr>
        <w:jc w:val="both"/>
        <w:rPr>
          <w:rFonts w:ascii="Times New Roman" w:hAnsi="Times New Roman"/>
          <w:sz w:val="24"/>
          <w:szCs w:val="24"/>
        </w:rPr>
      </w:pPr>
      <w:r w:rsidRPr="004925A9">
        <w:rPr>
          <w:rFonts w:ascii="Times New Roman" w:hAnsi="Times New Roman"/>
          <w:b/>
          <w:i/>
          <w:sz w:val="24"/>
          <w:szCs w:val="24"/>
        </w:rPr>
        <w:t>Effects of Food on Oral Absorption:</w:t>
      </w:r>
      <w:r w:rsidRPr="004925A9">
        <w:rPr>
          <w:rFonts w:ascii="Times New Roman" w:hAnsi="Times New Roman"/>
          <w:sz w:val="24"/>
          <w:szCs w:val="24"/>
        </w:rPr>
        <w:t xml:space="preserve">  Administration of VIREAD following a high-fat meal (~700 to 1000 kcal containing 40 to 50% fat) increases the oral bioavailability, with an increase in tenofovir </w:t>
      </w:r>
      <w:r w:rsidR="00616CB6" w:rsidRPr="004925A9">
        <w:rPr>
          <w:rFonts w:ascii="Times New Roman" w:hAnsi="Times New Roman"/>
          <w:sz w:val="24"/>
          <w:szCs w:val="24"/>
        </w:rPr>
        <w:t xml:space="preserve">  </w:t>
      </w:r>
      <w:r w:rsidRPr="004925A9">
        <w:rPr>
          <w:rFonts w:ascii="Times New Roman" w:hAnsi="Times New Roman"/>
          <w:sz w:val="24"/>
          <w:szCs w:val="24"/>
        </w:rPr>
        <w:t>AUC</w:t>
      </w:r>
      <w:r w:rsidRPr="004925A9">
        <w:rPr>
          <w:rFonts w:ascii="Times New Roman" w:hAnsi="Times New Roman"/>
          <w:sz w:val="24"/>
          <w:szCs w:val="24"/>
          <w:vertAlign w:val="subscript"/>
        </w:rPr>
        <w:t>0-</w:t>
      </w:r>
      <w:r w:rsidRPr="004925A9">
        <w:rPr>
          <w:rFonts w:ascii="Times New Roman" w:hAnsi="Times New Roman"/>
          <w:b/>
          <w:w w:val="200"/>
          <w:position w:val="-2"/>
          <w:sz w:val="24"/>
          <w:szCs w:val="24"/>
          <w:vertAlign w:val="subscript"/>
        </w:rPr>
        <w:sym w:font="Symbol" w:char="00A5"/>
      </w:r>
      <w:r w:rsidRPr="004925A9">
        <w:rPr>
          <w:rFonts w:ascii="Times New Roman" w:hAnsi="Times New Roman"/>
          <w:sz w:val="24"/>
          <w:szCs w:val="24"/>
        </w:rPr>
        <w:t xml:space="preserve"> of approximately 40% and an increase in C</w:t>
      </w:r>
      <w:r w:rsidRPr="004925A9">
        <w:rPr>
          <w:rFonts w:ascii="Times New Roman" w:hAnsi="Times New Roman"/>
          <w:sz w:val="24"/>
          <w:szCs w:val="24"/>
          <w:vertAlign w:val="subscript"/>
        </w:rPr>
        <w:t>max</w:t>
      </w:r>
      <w:r w:rsidRPr="004925A9">
        <w:rPr>
          <w:rFonts w:ascii="Times New Roman" w:hAnsi="Times New Roman"/>
          <w:sz w:val="24"/>
          <w:szCs w:val="24"/>
        </w:rPr>
        <w:t xml:space="preserve"> of approximately 14%.</w:t>
      </w:r>
      <w:r w:rsidRPr="004925A9">
        <w:rPr>
          <w:rFonts w:ascii="Times New Roman" w:hAnsi="Times New Roman"/>
          <w:sz w:val="24"/>
          <w:szCs w:val="24"/>
          <w:vertAlign w:val="subscript"/>
        </w:rPr>
        <w:t xml:space="preserve">  </w:t>
      </w:r>
      <w:r w:rsidRPr="004925A9">
        <w:rPr>
          <w:rFonts w:ascii="Times New Roman" w:hAnsi="Times New Roman"/>
          <w:sz w:val="24"/>
          <w:szCs w:val="24"/>
        </w:rPr>
        <w:t xml:space="preserve">  Food delays the time to tenofovir C</w:t>
      </w:r>
      <w:r w:rsidRPr="004925A9">
        <w:rPr>
          <w:rFonts w:ascii="Times New Roman" w:hAnsi="Times New Roman"/>
          <w:sz w:val="24"/>
          <w:szCs w:val="24"/>
          <w:vertAlign w:val="subscript"/>
        </w:rPr>
        <w:t>max</w:t>
      </w:r>
      <w:r w:rsidRPr="004925A9">
        <w:rPr>
          <w:rFonts w:ascii="Times New Roman" w:hAnsi="Times New Roman"/>
          <w:sz w:val="24"/>
          <w:szCs w:val="24"/>
        </w:rPr>
        <w:t xml:space="preserve"> by approximately 1 hour. C</w:t>
      </w:r>
      <w:r w:rsidRPr="004925A9">
        <w:rPr>
          <w:rFonts w:ascii="Times New Roman" w:hAnsi="Times New Roman"/>
          <w:sz w:val="24"/>
          <w:szCs w:val="24"/>
          <w:vertAlign w:val="subscript"/>
        </w:rPr>
        <w:t>max</w:t>
      </w:r>
      <w:r w:rsidRPr="004925A9">
        <w:rPr>
          <w:rFonts w:ascii="Times New Roman" w:hAnsi="Times New Roman"/>
          <w:sz w:val="24"/>
          <w:szCs w:val="24"/>
        </w:rPr>
        <w:t xml:space="preserve"> and AUC of tenofovir are 326 </w:t>
      </w:r>
      <w:r w:rsidRPr="004925A9">
        <w:rPr>
          <w:rFonts w:ascii="Times New Roman" w:hAnsi="Times New Roman"/>
          <w:sz w:val="24"/>
          <w:szCs w:val="24"/>
        </w:rPr>
        <w:sym w:font="Symbol" w:char="00B1"/>
      </w:r>
      <w:r w:rsidRPr="004925A9">
        <w:rPr>
          <w:rFonts w:ascii="Times New Roman" w:hAnsi="Times New Roman"/>
          <w:sz w:val="24"/>
          <w:szCs w:val="24"/>
        </w:rPr>
        <w:t xml:space="preserve"> 119 ng/mL and 3324 </w:t>
      </w:r>
      <w:r w:rsidRPr="004925A9">
        <w:rPr>
          <w:rFonts w:ascii="Times New Roman" w:hAnsi="Times New Roman"/>
          <w:sz w:val="24"/>
          <w:szCs w:val="24"/>
        </w:rPr>
        <w:sym w:font="Symbol" w:char="00B1"/>
      </w:r>
      <w:r w:rsidRPr="004925A9">
        <w:rPr>
          <w:rFonts w:ascii="Times New Roman" w:hAnsi="Times New Roman"/>
          <w:sz w:val="24"/>
          <w:szCs w:val="24"/>
        </w:rPr>
        <w:t xml:space="preserve"> 1370 ng</w:t>
      </w:r>
      <w:r w:rsidR="00176069">
        <w:rPr>
          <w:rFonts w:ascii="Times New Roman" w:hAnsi="Times New Roman"/>
          <w:sz w:val="22"/>
          <w:szCs w:val="22"/>
        </w:rPr>
        <w:sym w:font="Symbol" w:char="F0B7"/>
      </w:r>
      <w:r w:rsidRPr="004925A9">
        <w:rPr>
          <w:rFonts w:ascii="Times New Roman" w:hAnsi="Times New Roman"/>
          <w:sz w:val="24"/>
          <w:szCs w:val="24"/>
        </w:rPr>
        <w:t>h/mL following multiple doses of VIREAD 300 mg once daily in the fed state, when meal content was not controlled.</w:t>
      </w:r>
    </w:p>
    <w:p w:rsidR="007F553A" w:rsidRPr="004925A9" w:rsidRDefault="007F553A" w:rsidP="009A59E7">
      <w:pPr>
        <w:tabs>
          <w:tab w:val="left" w:pos="1890"/>
        </w:tabs>
        <w:jc w:val="both"/>
        <w:rPr>
          <w:rFonts w:ascii="Times New Roman" w:hAnsi="Times New Roman"/>
          <w:color w:val="000000"/>
          <w:sz w:val="24"/>
          <w:szCs w:val="24"/>
        </w:rPr>
      </w:pPr>
    </w:p>
    <w:p w:rsidR="007F553A" w:rsidRPr="004925A9" w:rsidRDefault="007F553A" w:rsidP="009A59E7">
      <w:pPr>
        <w:tabs>
          <w:tab w:val="left" w:pos="1890"/>
        </w:tabs>
        <w:jc w:val="both"/>
        <w:rPr>
          <w:rFonts w:ascii="Times New Roman" w:hAnsi="Times New Roman"/>
          <w:color w:val="000000"/>
          <w:sz w:val="24"/>
          <w:szCs w:val="24"/>
        </w:rPr>
      </w:pPr>
      <w:r w:rsidRPr="004925A9">
        <w:rPr>
          <w:rFonts w:ascii="Times New Roman" w:hAnsi="Times New Roman"/>
          <w:b/>
          <w:i/>
          <w:color w:val="000000"/>
          <w:sz w:val="24"/>
          <w:szCs w:val="24"/>
        </w:rPr>
        <w:t>Distribution</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Pr="004925A9">
        <w:rPr>
          <w:rFonts w:ascii="Times New Roman" w:hAnsi="Times New Roman"/>
          <w:color w:val="000000"/>
          <w:sz w:val="24"/>
          <w:szCs w:val="24"/>
        </w:rPr>
        <w:t xml:space="preserve">After oral administration of VIREAD, tenofovir is distributed to most tissues with the highest concentrations occurring in the kidney, liver and the intestinal contents (preclinical studies).  </w:t>
      </w:r>
      <w:r w:rsidRPr="004925A9">
        <w:rPr>
          <w:rFonts w:ascii="Times New Roman" w:hAnsi="Times New Roman"/>
          <w:i/>
          <w:color w:val="000000"/>
          <w:sz w:val="24"/>
          <w:szCs w:val="24"/>
        </w:rPr>
        <w:t>In vitro</w:t>
      </w:r>
      <w:r w:rsidRPr="004925A9">
        <w:rPr>
          <w:rFonts w:ascii="Times New Roman" w:hAnsi="Times New Roman"/>
          <w:color w:val="000000"/>
          <w:sz w:val="24"/>
          <w:szCs w:val="24"/>
        </w:rPr>
        <w:t xml:space="preserve"> protein binding of tenofovir to human plasma or serum protein was less than 0.7 and 7.2%, respectively, over the tenofovir concentration range 0.01 to 25 </w:t>
      </w:r>
      <w:r w:rsidRPr="004925A9">
        <w:rPr>
          <w:rFonts w:ascii="Times New Roman" w:hAnsi="Times New Roman"/>
          <w:color w:val="000000"/>
          <w:sz w:val="24"/>
          <w:szCs w:val="24"/>
        </w:rPr>
        <w:sym w:font="Symbol" w:char="F06D"/>
      </w:r>
      <w:r w:rsidRPr="004925A9">
        <w:rPr>
          <w:rFonts w:ascii="Times New Roman" w:hAnsi="Times New Roman"/>
          <w:color w:val="000000"/>
          <w:sz w:val="24"/>
          <w:szCs w:val="24"/>
        </w:rPr>
        <w:t>g/mL.</w:t>
      </w:r>
      <w:r w:rsidR="00BE2907" w:rsidRPr="004925A9">
        <w:rPr>
          <w:rFonts w:ascii="Times New Roman" w:hAnsi="Times New Roman"/>
          <w:color w:val="000000"/>
          <w:sz w:val="24"/>
          <w:szCs w:val="24"/>
        </w:rPr>
        <w:t xml:space="preserve">  </w:t>
      </w:r>
      <w:r w:rsidR="00BE2907" w:rsidRPr="004925A9">
        <w:rPr>
          <w:rFonts w:ascii="Times New Roman" w:hAnsi="Times New Roman"/>
          <w:sz w:val="24"/>
          <w:szCs w:val="24"/>
        </w:rPr>
        <w:t xml:space="preserve">The volume of distribution at steady-state is 1.3 </w:t>
      </w:r>
      <w:r w:rsidR="00BE2907" w:rsidRPr="004925A9">
        <w:rPr>
          <w:rFonts w:ascii="Times New Roman" w:hAnsi="Times New Roman"/>
          <w:sz w:val="24"/>
          <w:szCs w:val="24"/>
        </w:rPr>
        <w:sym w:font="Symbol" w:char="00B1"/>
      </w:r>
      <w:r w:rsidR="00BE2907" w:rsidRPr="004925A9">
        <w:rPr>
          <w:rFonts w:ascii="Times New Roman" w:hAnsi="Times New Roman"/>
          <w:sz w:val="24"/>
          <w:szCs w:val="24"/>
        </w:rPr>
        <w:t xml:space="preserve"> 0.6 L/kg and 1.2 </w:t>
      </w:r>
      <w:r w:rsidR="00BE2907" w:rsidRPr="004925A9">
        <w:rPr>
          <w:rFonts w:ascii="Times New Roman" w:hAnsi="Times New Roman"/>
          <w:sz w:val="24"/>
          <w:szCs w:val="24"/>
        </w:rPr>
        <w:sym w:font="Symbol" w:char="00B1"/>
      </w:r>
      <w:r w:rsidR="00BE2907" w:rsidRPr="004925A9">
        <w:rPr>
          <w:rFonts w:ascii="Times New Roman" w:hAnsi="Times New Roman"/>
          <w:sz w:val="24"/>
          <w:szCs w:val="24"/>
        </w:rPr>
        <w:t xml:space="preserve"> 0.4 L/kg, following intravenous administration of tenofovir 1.0 mg/kg and 3.0 mg/kg.</w:t>
      </w:r>
    </w:p>
    <w:p w:rsidR="007F553A" w:rsidRPr="004925A9" w:rsidRDefault="007F553A" w:rsidP="009A59E7">
      <w:pPr>
        <w:tabs>
          <w:tab w:val="left" w:pos="1890"/>
        </w:tabs>
        <w:jc w:val="both"/>
        <w:rPr>
          <w:rFonts w:ascii="Times New Roman" w:hAnsi="Times New Roman"/>
          <w:color w:val="000000"/>
          <w:sz w:val="24"/>
          <w:szCs w:val="24"/>
        </w:rPr>
      </w:pPr>
    </w:p>
    <w:p w:rsidR="007F553A" w:rsidRPr="004925A9" w:rsidRDefault="007F553A" w:rsidP="009A59E7">
      <w:pPr>
        <w:tabs>
          <w:tab w:val="left" w:pos="1890"/>
        </w:tabs>
        <w:jc w:val="both"/>
        <w:rPr>
          <w:rFonts w:ascii="Times New Roman" w:hAnsi="Times New Roman"/>
          <w:snapToGrid w:val="0"/>
          <w:color w:val="000000"/>
          <w:sz w:val="24"/>
          <w:szCs w:val="24"/>
        </w:rPr>
      </w:pPr>
      <w:r w:rsidRPr="004925A9">
        <w:rPr>
          <w:rFonts w:ascii="Times New Roman" w:hAnsi="Times New Roman"/>
          <w:b/>
          <w:i/>
          <w:color w:val="000000"/>
          <w:sz w:val="24"/>
          <w:szCs w:val="24"/>
        </w:rPr>
        <w:t>Metabolism</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Pr="004925A9">
        <w:rPr>
          <w:rFonts w:ascii="Times New Roman" w:hAnsi="Times New Roman"/>
          <w:i/>
          <w:snapToGrid w:val="0"/>
          <w:color w:val="000000"/>
          <w:sz w:val="24"/>
          <w:szCs w:val="24"/>
        </w:rPr>
        <w:t>In vitro</w:t>
      </w:r>
      <w:r w:rsidRPr="004925A9">
        <w:rPr>
          <w:rFonts w:ascii="Times New Roman" w:hAnsi="Times New Roman"/>
          <w:snapToGrid w:val="0"/>
          <w:color w:val="000000"/>
          <w:sz w:val="24"/>
          <w:szCs w:val="24"/>
        </w:rPr>
        <w:t xml:space="preserve"> studies have determined that neither </w:t>
      </w:r>
      <w:r w:rsidRPr="004925A9">
        <w:rPr>
          <w:rFonts w:ascii="Times New Roman" w:hAnsi="Times New Roman"/>
          <w:color w:val="000000"/>
          <w:sz w:val="24"/>
          <w:szCs w:val="24"/>
        </w:rPr>
        <w:t>VIREAD</w:t>
      </w:r>
      <w:r w:rsidRPr="004925A9">
        <w:rPr>
          <w:rFonts w:ascii="Times New Roman" w:hAnsi="Times New Roman"/>
          <w:snapToGrid w:val="0"/>
          <w:color w:val="000000"/>
          <w:sz w:val="24"/>
          <w:szCs w:val="24"/>
        </w:rPr>
        <w:t xml:space="preserve"> nor tenofovir are substrates for the CYP450 enzymes.  Moreover, at concentrations substantially higher (~ 300-fold) than those observed </w:t>
      </w:r>
      <w:r w:rsidRPr="004925A9">
        <w:rPr>
          <w:rFonts w:ascii="Times New Roman" w:hAnsi="Times New Roman"/>
          <w:i/>
          <w:snapToGrid w:val="0"/>
          <w:color w:val="000000"/>
          <w:sz w:val="24"/>
          <w:szCs w:val="24"/>
        </w:rPr>
        <w:t>in vivo</w:t>
      </w:r>
      <w:r w:rsidRPr="004925A9">
        <w:rPr>
          <w:rFonts w:ascii="Times New Roman" w:hAnsi="Times New Roman"/>
          <w:snapToGrid w:val="0"/>
          <w:color w:val="000000"/>
          <w:sz w:val="24"/>
          <w:szCs w:val="24"/>
        </w:rPr>
        <w:t xml:space="preserve">, tenofovir did not inhibit </w:t>
      </w:r>
      <w:r w:rsidRPr="004925A9">
        <w:rPr>
          <w:rFonts w:ascii="Times New Roman" w:hAnsi="Times New Roman"/>
          <w:i/>
          <w:snapToGrid w:val="0"/>
          <w:color w:val="000000"/>
          <w:sz w:val="24"/>
          <w:szCs w:val="24"/>
        </w:rPr>
        <w:t>in vitro</w:t>
      </w:r>
      <w:r w:rsidRPr="004925A9">
        <w:rPr>
          <w:rFonts w:ascii="Times New Roman" w:hAnsi="Times New Roman"/>
          <w:snapToGrid w:val="0"/>
          <w:color w:val="000000"/>
          <w:sz w:val="24"/>
          <w:szCs w:val="24"/>
        </w:rPr>
        <w:t xml:space="preserve"> drug metabolism mediated by any of the major human CYP450 isoforms involved in drug biotransformation (CYP3A4, CYP2D6, CYP2C9, CYP2E1, or CYP1A1/2). </w:t>
      </w:r>
      <w:r w:rsidR="00147A91" w:rsidRPr="004925A9">
        <w:rPr>
          <w:rFonts w:ascii="Times New Roman" w:hAnsi="Times New Roman"/>
          <w:snapToGrid w:val="0"/>
          <w:color w:val="000000"/>
          <w:sz w:val="24"/>
          <w:szCs w:val="24"/>
        </w:rPr>
        <w:t xml:space="preserve"> </w:t>
      </w:r>
      <w:r w:rsidRPr="004925A9">
        <w:rPr>
          <w:rFonts w:ascii="Times New Roman" w:hAnsi="Times New Roman"/>
          <w:snapToGrid w:val="0"/>
          <w:color w:val="000000"/>
          <w:sz w:val="24"/>
          <w:szCs w:val="24"/>
        </w:rPr>
        <w:t xml:space="preserve">Tenofovir disoproxil fumarate at a concentration of 100 </w:t>
      </w:r>
      <w:r w:rsidRPr="004925A9">
        <w:rPr>
          <w:rFonts w:ascii="Times New Roman" w:hAnsi="Times New Roman"/>
          <w:snapToGrid w:val="0"/>
          <w:color w:val="000000"/>
          <w:sz w:val="24"/>
          <w:szCs w:val="24"/>
        </w:rPr>
        <w:sym w:font="Symbol" w:char="F06D"/>
      </w:r>
      <w:r w:rsidRPr="004925A9">
        <w:rPr>
          <w:rFonts w:ascii="Times New Roman" w:hAnsi="Times New Roman"/>
          <w:snapToGrid w:val="0"/>
          <w:color w:val="000000"/>
          <w:sz w:val="24"/>
          <w:szCs w:val="24"/>
        </w:rPr>
        <w:t xml:space="preserve">M had no effect on any of the CYP450 isoforms, except CYP1A1/2, where a small (6%) but statistically significant reduction in metabolism of CYP1A1/2 substrate was observed.  Based on these data, it is unlikely that clinically significant drug-drug interactions involving </w:t>
      </w:r>
      <w:r w:rsidRPr="004925A9">
        <w:rPr>
          <w:rFonts w:ascii="Times New Roman" w:hAnsi="Times New Roman"/>
          <w:color w:val="000000"/>
          <w:sz w:val="24"/>
          <w:szCs w:val="24"/>
        </w:rPr>
        <w:t>VIREAD</w:t>
      </w:r>
      <w:r w:rsidRPr="004925A9">
        <w:rPr>
          <w:rFonts w:ascii="Times New Roman" w:hAnsi="Times New Roman"/>
          <w:snapToGrid w:val="0"/>
          <w:color w:val="000000"/>
          <w:sz w:val="24"/>
          <w:szCs w:val="24"/>
        </w:rPr>
        <w:t xml:space="preserve"> and medicinal products metabolized by CYP450 would occur.</w:t>
      </w:r>
    </w:p>
    <w:p w:rsidR="007F553A" w:rsidRPr="004925A9" w:rsidRDefault="007F553A" w:rsidP="009A59E7">
      <w:pPr>
        <w:tabs>
          <w:tab w:val="left" w:pos="1890"/>
        </w:tabs>
        <w:jc w:val="both"/>
        <w:rPr>
          <w:rFonts w:ascii="Times New Roman" w:hAnsi="Times New Roman"/>
          <w:b/>
          <w:i/>
          <w:color w:val="000000"/>
          <w:sz w:val="24"/>
          <w:szCs w:val="24"/>
        </w:rPr>
      </w:pPr>
    </w:p>
    <w:p w:rsidR="009477AC" w:rsidRPr="004925A9" w:rsidRDefault="007F553A" w:rsidP="009A59E7">
      <w:pPr>
        <w:jc w:val="both"/>
        <w:rPr>
          <w:rFonts w:ascii="Times New Roman" w:hAnsi="Times New Roman"/>
          <w:sz w:val="24"/>
          <w:szCs w:val="24"/>
        </w:rPr>
      </w:pPr>
      <w:r w:rsidRPr="004925A9">
        <w:rPr>
          <w:rFonts w:ascii="Times New Roman" w:hAnsi="Times New Roman"/>
          <w:b/>
          <w:i/>
          <w:sz w:val="24"/>
          <w:szCs w:val="24"/>
        </w:rPr>
        <w:lastRenderedPageBreak/>
        <w:t>Excretion</w:t>
      </w:r>
      <w:r w:rsidR="009A59E7" w:rsidRPr="004925A9">
        <w:rPr>
          <w:rFonts w:ascii="Times New Roman" w:hAnsi="Times New Roman"/>
          <w:b/>
          <w:i/>
          <w:sz w:val="24"/>
          <w:szCs w:val="24"/>
        </w:rPr>
        <w:t>:</w:t>
      </w:r>
      <w:r w:rsidRPr="004925A9">
        <w:rPr>
          <w:rFonts w:ascii="Times New Roman" w:hAnsi="Times New Roman"/>
          <w:b/>
          <w:color w:val="000000"/>
          <w:sz w:val="24"/>
          <w:szCs w:val="24"/>
        </w:rPr>
        <w:t xml:space="preserve">  </w:t>
      </w:r>
      <w:r w:rsidR="00C84540" w:rsidRPr="004925A9">
        <w:rPr>
          <w:rFonts w:ascii="Times New Roman" w:hAnsi="Times New Roman"/>
          <w:sz w:val="24"/>
          <w:szCs w:val="24"/>
        </w:rPr>
        <w:t xml:space="preserve">Tenofovir is primarily excreted by the kidneys by a combination of glomerular filtration and active tubular secretion.  </w:t>
      </w:r>
      <w:r w:rsidR="009477AC" w:rsidRPr="004925A9">
        <w:rPr>
          <w:rFonts w:ascii="Times New Roman" w:hAnsi="Times New Roman"/>
          <w:sz w:val="24"/>
          <w:szCs w:val="24"/>
        </w:rPr>
        <w:t>There may be competition for elimination with other compounds that are also renally eliminated.</w:t>
      </w:r>
      <w:r w:rsidR="00C84540" w:rsidRPr="004925A9">
        <w:rPr>
          <w:rFonts w:ascii="Times New Roman" w:hAnsi="Times New Roman"/>
          <w:sz w:val="24"/>
          <w:szCs w:val="24"/>
        </w:rPr>
        <w:t xml:space="preserve">  </w:t>
      </w:r>
    </w:p>
    <w:p w:rsidR="007F553A" w:rsidRPr="004925A9" w:rsidRDefault="007F553A" w:rsidP="009A59E7">
      <w:pPr>
        <w:tabs>
          <w:tab w:val="left" w:pos="1890"/>
        </w:tabs>
        <w:jc w:val="both"/>
        <w:rPr>
          <w:rFonts w:ascii="Times New Roman" w:hAnsi="Times New Roman"/>
          <w:sz w:val="24"/>
          <w:szCs w:val="24"/>
        </w:rPr>
      </w:pPr>
    </w:p>
    <w:p w:rsidR="007F553A" w:rsidRPr="004925A9" w:rsidRDefault="007F553A" w:rsidP="009A59E7">
      <w:pPr>
        <w:tabs>
          <w:tab w:val="left" w:pos="1890"/>
        </w:tabs>
        <w:jc w:val="both"/>
        <w:rPr>
          <w:rFonts w:ascii="Times New Roman" w:hAnsi="Times New Roman"/>
          <w:color w:val="000000"/>
          <w:sz w:val="24"/>
          <w:szCs w:val="24"/>
        </w:rPr>
      </w:pPr>
      <w:r w:rsidRPr="004925A9">
        <w:rPr>
          <w:rFonts w:ascii="Times New Roman" w:hAnsi="Times New Roman"/>
          <w:b/>
          <w:i/>
          <w:color w:val="000000"/>
          <w:sz w:val="24"/>
          <w:szCs w:val="24"/>
        </w:rPr>
        <w:t>Linearity/non-linearity</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Pr="004925A9">
        <w:rPr>
          <w:rFonts w:ascii="Times New Roman" w:hAnsi="Times New Roman"/>
          <w:color w:val="000000"/>
          <w:sz w:val="24"/>
          <w:szCs w:val="24"/>
        </w:rPr>
        <w:t>The pharmacokinetics of tenofovir were independent of VIREAD dose over the dose range 75 to 600 mg and were not affected by repeated dosing at any dose level.</w:t>
      </w:r>
    </w:p>
    <w:p w:rsidR="007F553A" w:rsidRPr="004925A9" w:rsidRDefault="007F553A" w:rsidP="009A59E7">
      <w:pPr>
        <w:tabs>
          <w:tab w:val="left" w:pos="1890"/>
        </w:tabs>
        <w:jc w:val="both"/>
        <w:rPr>
          <w:rFonts w:ascii="Times New Roman" w:hAnsi="Times New Roman"/>
          <w:color w:val="000000"/>
          <w:sz w:val="24"/>
          <w:szCs w:val="24"/>
        </w:rPr>
      </w:pPr>
    </w:p>
    <w:p w:rsidR="004605D2" w:rsidRDefault="004605D2" w:rsidP="009A59E7">
      <w:pPr>
        <w:tabs>
          <w:tab w:val="left" w:pos="1890"/>
        </w:tabs>
        <w:jc w:val="both"/>
        <w:rPr>
          <w:rFonts w:ascii="Times New Roman" w:hAnsi="Times New Roman"/>
          <w:b/>
          <w:i/>
          <w:color w:val="000000"/>
          <w:sz w:val="24"/>
          <w:szCs w:val="24"/>
        </w:rPr>
      </w:pPr>
      <w:r>
        <w:rPr>
          <w:rFonts w:ascii="Times New Roman" w:hAnsi="Times New Roman"/>
          <w:b/>
          <w:i/>
          <w:color w:val="000000"/>
          <w:sz w:val="24"/>
          <w:szCs w:val="24"/>
        </w:rPr>
        <w:t>Special Populations:</w:t>
      </w:r>
    </w:p>
    <w:p w:rsidR="004605D2" w:rsidRDefault="00E41DC7" w:rsidP="004605D2">
      <w:pPr>
        <w:tabs>
          <w:tab w:val="left" w:pos="1890"/>
        </w:tabs>
        <w:jc w:val="both"/>
        <w:rPr>
          <w:rFonts w:ascii="Times New Roman" w:hAnsi="Times New Roman"/>
          <w:color w:val="000000"/>
          <w:sz w:val="24"/>
          <w:szCs w:val="24"/>
        </w:rPr>
      </w:pPr>
      <w:r w:rsidRPr="004925A9">
        <w:rPr>
          <w:rFonts w:ascii="Times New Roman" w:hAnsi="Times New Roman"/>
          <w:b/>
          <w:i/>
          <w:color w:val="000000"/>
          <w:sz w:val="24"/>
          <w:szCs w:val="24"/>
        </w:rPr>
        <w:t>Gender</w:t>
      </w:r>
      <w:r w:rsidR="009A59E7" w:rsidRPr="004925A9">
        <w:rPr>
          <w:rFonts w:ascii="Times New Roman" w:hAnsi="Times New Roman"/>
          <w:b/>
          <w:i/>
          <w:color w:val="000000"/>
          <w:sz w:val="24"/>
          <w:szCs w:val="24"/>
        </w:rPr>
        <w:t>:</w:t>
      </w:r>
      <w:r w:rsidR="007F553A" w:rsidRPr="004925A9">
        <w:rPr>
          <w:rFonts w:ascii="Times New Roman" w:hAnsi="Times New Roman"/>
          <w:b/>
          <w:i/>
          <w:color w:val="000000"/>
          <w:sz w:val="24"/>
          <w:szCs w:val="24"/>
        </w:rPr>
        <w:t xml:space="preserve">  </w:t>
      </w:r>
      <w:r w:rsidR="007F553A" w:rsidRPr="004925A9">
        <w:rPr>
          <w:rFonts w:ascii="Times New Roman" w:hAnsi="Times New Roman"/>
          <w:color w:val="000000"/>
          <w:sz w:val="24"/>
          <w:szCs w:val="24"/>
        </w:rPr>
        <w:t xml:space="preserve">Pharmacokinetics of tenofovir in patients </w:t>
      </w:r>
      <w:r w:rsidR="00D36959" w:rsidRPr="004925A9">
        <w:rPr>
          <w:rFonts w:ascii="Times New Roman" w:hAnsi="Times New Roman"/>
          <w:color w:val="000000"/>
          <w:sz w:val="24"/>
          <w:szCs w:val="24"/>
        </w:rPr>
        <w:t>are</w:t>
      </w:r>
      <w:r w:rsidR="007F553A" w:rsidRPr="004925A9">
        <w:rPr>
          <w:rFonts w:ascii="Times New Roman" w:hAnsi="Times New Roman"/>
          <w:color w:val="000000"/>
          <w:sz w:val="24"/>
          <w:szCs w:val="24"/>
        </w:rPr>
        <w:t xml:space="preserve"> similar with regard to gender.  </w:t>
      </w:r>
    </w:p>
    <w:p w:rsidR="004605D2" w:rsidRDefault="004605D2" w:rsidP="004605D2">
      <w:pPr>
        <w:tabs>
          <w:tab w:val="left" w:pos="1890"/>
        </w:tabs>
        <w:jc w:val="both"/>
        <w:rPr>
          <w:rFonts w:ascii="Times New Roman" w:hAnsi="Times New Roman"/>
          <w:color w:val="000000"/>
          <w:sz w:val="24"/>
          <w:szCs w:val="24"/>
        </w:rPr>
      </w:pPr>
    </w:p>
    <w:p w:rsidR="004605D2" w:rsidRDefault="004605D2" w:rsidP="004605D2">
      <w:pPr>
        <w:tabs>
          <w:tab w:val="left" w:pos="1890"/>
        </w:tabs>
        <w:jc w:val="both"/>
        <w:rPr>
          <w:rFonts w:ascii="Times New Roman" w:hAnsi="Times New Roman"/>
          <w:color w:val="000000"/>
          <w:sz w:val="24"/>
          <w:szCs w:val="24"/>
        </w:rPr>
      </w:pPr>
      <w:r>
        <w:rPr>
          <w:rFonts w:ascii="Times New Roman" w:hAnsi="Times New Roman"/>
          <w:b/>
          <w:i/>
          <w:color w:val="000000"/>
          <w:sz w:val="24"/>
          <w:szCs w:val="24"/>
        </w:rPr>
        <w:t xml:space="preserve">Paediatric Patients 12 Years of Age and Older: </w:t>
      </w:r>
      <w:r>
        <w:rPr>
          <w:rFonts w:ascii="Times New Roman" w:hAnsi="Times New Roman"/>
          <w:color w:val="000000"/>
          <w:sz w:val="24"/>
          <w:szCs w:val="24"/>
        </w:rPr>
        <w:t>Steady-state pharmacokinetics of tenofovir were evaluated in eight HIV-1 infected paediatric patients (12 to &lt;18 years).  Mean (± SD) C</w:t>
      </w:r>
      <w:r w:rsidRPr="00842115">
        <w:rPr>
          <w:rFonts w:ascii="Times New Roman" w:hAnsi="Times New Roman"/>
          <w:color w:val="000000"/>
          <w:sz w:val="24"/>
          <w:szCs w:val="24"/>
          <w:vertAlign w:val="subscript"/>
        </w:rPr>
        <w:t>max</w:t>
      </w:r>
      <w:r>
        <w:rPr>
          <w:rFonts w:ascii="Times New Roman" w:hAnsi="Times New Roman"/>
          <w:color w:val="000000"/>
          <w:sz w:val="24"/>
          <w:szCs w:val="24"/>
        </w:rPr>
        <w:t xml:space="preserve"> and AUC</w:t>
      </w:r>
      <w:r w:rsidRPr="00842115">
        <w:rPr>
          <w:rFonts w:ascii="Times New Roman" w:hAnsi="Times New Roman"/>
          <w:color w:val="000000"/>
          <w:sz w:val="24"/>
          <w:szCs w:val="24"/>
          <w:vertAlign w:val="subscript"/>
        </w:rPr>
        <w:t>tau</w:t>
      </w:r>
      <w:r>
        <w:rPr>
          <w:rFonts w:ascii="Times New Roman" w:hAnsi="Times New Roman"/>
          <w:color w:val="000000"/>
          <w:sz w:val="24"/>
          <w:szCs w:val="24"/>
        </w:rPr>
        <w:t xml:space="preserve"> are 0.38 ± 0.13 μg/mL and 3.39 ± 1.22 μg•hr/mL, respectively.  Tenofovir exposure achieved in paediatric patients aged 12 years of age and older receiving oral daily doses of VIREAD 300 mg were similar to exposures achieved in adults receiving once-daily doses of VIREAD 300 mg.</w:t>
      </w:r>
    </w:p>
    <w:p w:rsidR="0081675E" w:rsidRDefault="0081675E" w:rsidP="004605D2">
      <w:pPr>
        <w:tabs>
          <w:tab w:val="left" w:pos="1890"/>
        </w:tabs>
        <w:jc w:val="both"/>
        <w:rPr>
          <w:rFonts w:ascii="Times New Roman" w:hAnsi="Times New Roman"/>
          <w:color w:val="000000"/>
          <w:sz w:val="24"/>
          <w:szCs w:val="24"/>
        </w:rPr>
      </w:pPr>
    </w:p>
    <w:p w:rsidR="0081675E" w:rsidRDefault="0081675E" w:rsidP="0081675E">
      <w:pPr>
        <w:pStyle w:val="Footer"/>
        <w:widowControl/>
        <w:tabs>
          <w:tab w:val="left" w:pos="720"/>
        </w:tabs>
        <w:jc w:val="both"/>
        <w:rPr>
          <w:rFonts w:ascii="Times New Roman" w:hAnsi="Times New Roman"/>
          <w:color w:val="000000"/>
          <w:sz w:val="24"/>
          <w:szCs w:val="24"/>
          <w:lang w:val="en-AU"/>
        </w:rPr>
      </w:pPr>
      <w:r>
        <w:rPr>
          <w:rFonts w:ascii="Times New Roman" w:hAnsi="Times New Roman"/>
          <w:color w:val="000000"/>
          <w:sz w:val="24"/>
          <w:szCs w:val="24"/>
          <w:lang w:val="en-AU"/>
        </w:rPr>
        <w:t>Tenofovir exposure in HBV infected paediatric patients (12 to &lt;18 years of age) receiving oral daily dose of VIREAD 300 mg tablet was similar to exposures achieved in adults receiving once-daily doses of VIREAD 300 mg.</w:t>
      </w:r>
    </w:p>
    <w:p w:rsidR="0081675E" w:rsidRDefault="0081675E" w:rsidP="004605D2">
      <w:pPr>
        <w:tabs>
          <w:tab w:val="left" w:pos="1890"/>
        </w:tabs>
        <w:jc w:val="both"/>
        <w:rPr>
          <w:rFonts w:ascii="Times New Roman" w:hAnsi="Times New Roman"/>
          <w:color w:val="000000"/>
          <w:sz w:val="24"/>
          <w:szCs w:val="24"/>
        </w:rPr>
      </w:pPr>
    </w:p>
    <w:p w:rsidR="001375CF" w:rsidRDefault="001375CF" w:rsidP="001375CF">
      <w:pPr>
        <w:pStyle w:val="Footer"/>
        <w:widowControl/>
        <w:tabs>
          <w:tab w:val="left" w:pos="720"/>
        </w:tabs>
        <w:jc w:val="both"/>
        <w:rPr>
          <w:rFonts w:ascii="Times New Roman" w:hAnsi="Times New Roman"/>
          <w:color w:val="000000"/>
          <w:sz w:val="24"/>
          <w:szCs w:val="24"/>
          <w:lang w:val="en-AU"/>
        </w:rPr>
      </w:pPr>
    </w:p>
    <w:p w:rsidR="001375CF" w:rsidRPr="004925A9" w:rsidRDefault="001375CF" w:rsidP="001375CF">
      <w:pPr>
        <w:pStyle w:val="Footer"/>
        <w:widowControl/>
        <w:tabs>
          <w:tab w:val="left" w:pos="720"/>
        </w:tabs>
        <w:jc w:val="both"/>
        <w:rPr>
          <w:rFonts w:ascii="Times New Roman" w:hAnsi="Times New Roman"/>
          <w:color w:val="000000"/>
          <w:sz w:val="24"/>
          <w:szCs w:val="24"/>
          <w:lang w:val="en-AU"/>
        </w:rPr>
      </w:pPr>
      <w:r>
        <w:rPr>
          <w:rFonts w:ascii="Times New Roman" w:hAnsi="Times New Roman"/>
          <w:color w:val="000000"/>
          <w:sz w:val="24"/>
          <w:szCs w:val="24"/>
          <w:lang w:val="en-AU"/>
        </w:rPr>
        <w:t>Pharmacokinetic studies have not been performed with in paediatric subjects &lt; 12 years of age.</w:t>
      </w:r>
    </w:p>
    <w:p w:rsidR="004605D2" w:rsidRDefault="004605D2" w:rsidP="009A59E7">
      <w:pPr>
        <w:tabs>
          <w:tab w:val="left" w:pos="1890"/>
        </w:tabs>
        <w:jc w:val="both"/>
        <w:rPr>
          <w:rFonts w:ascii="Times New Roman" w:hAnsi="Times New Roman"/>
          <w:color w:val="000000"/>
          <w:sz w:val="24"/>
          <w:szCs w:val="24"/>
        </w:rPr>
      </w:pPr>
    </w:p>
    <w:p w:rsidR="004605D2" w:rsidRDefault="004605D2" w:rsidP="009A59E7">
      <w:pPr>
        <w:tabs>
          <w:tab w:val="left" w:pos="1890"/>
        </w:tabs>
        <w:jc w:val="both"/>
        <w:rPr>
          <w:rFonts w:ascii="Times New Roman" w:hAnsi="Times New Roman"/>
          <w:color w:val="000000"/>
          <w:sz w:val="24"/>
          <w:szCs w:val="24"/>
        </w:rPr>
      </w:pPr>
      <w:r>
        <w:rPr>
          <w:rFonts w:ascii="Times New Roman" w:hAnsi="Times New Roman"/>
          <w:b/>
          <w:i/>
          <w:color w:val="000000"/>
          <w:sz w:val="24"/>
          <w:szCs w:val="24"/>
        </w:rPr>
        <w:t xml:space="preserve">Elderly Patients: </w:t>
      </w:r>
      <w:r w:rsidR="007F553A" w:rsidRPr="004925A9">
        <w:rPr>
          <w:rFonts w:ascii="Times New Roman" w:hAnsi="Times New Roman"/>
          <w:color w:val="000000"/>
          <w:sz w:val="24"/>
          <w:szCs w:val="24"/>
        </w:rPr>
        <w:t>Pharmacokinetic studies have not been performed in the elderly</w:t>
      </w:r>
      <w:r w:rsidR="00D36959" w:rsidRPr="004925A9">
        <w:rPr>
          <w:rFonts w:ascii="Times New Roman" w:hAnsi="Times New Roman"/>
          <w:color w:val="000000"/>
          <w:sz w:val="24"/>
          <w:szCs w:val="24"/>
        </w:rPr>
        <w:t xml:space="preserve"> (&gt; 65 years)</w:t>
      </w:r>
      <w:r w:rsidR="007F553A" w:rsidRPr="004925A9">
        <w:rPr>
          <w:rFonts w:ascii="Times New Roman" w:hAnsi="Times New Roman"/>
          <w:color w:val="000000"/>
          <w:sz w:val="24"/>
          <w:szCs w:val="24"/>
        </w:rPr>
        <w:t>.</w:t>
      </w:r>
      <w:r w:rsidR="00E41DC7" w:rsidRPr="004925A9">
        <w:rPr>
          <w:rFonts w:ascii="Times New Roman" w:hAnsi="Times New Roman"/>
          <w:color w:val="000000"/>
          <w:sz w:val="24"/>
          <w:szCs w:val="24"/>
        </w:rPr>
        <w:t xml:space="preserve">  </w:t>
      </w:r>
    </w:p>
    <w:p w:rsidR="004605D2" w:rsidRDefault="004605D2" w:rsidP="009A59E7">
      <w:pPr>
        <w:tabs>
          <w:tab w:val="left" w:pos="1890"/>
        </w:tabs>
        <w:jc w:val="both"/>
        <w:rPr>
          <w:rFonts w:ascii="Times New Roman" w:hAnsi="Times New Roman"/>
          <w:color w:val="000000"/>
          <w:sz w:val="24"/>
          <w:szCs w:val="24"/>
        </w:rPr>
      </w:pPr>
    </w:p>
    <w:p w:rsidR="007F553A" w:rsidRPr="004925A9" w:rsidRDefault="004605D2" w:rsidP="009A59E7">
      <w:pPr>
        <w:tabs>
          <w:tab w:val="left" w:pos="1890"/>
        </w:tabs>
        <w:jc w:val="both"/>
        <w:rPr>
          <w:rFonts w:ascii="Times New Roman" w:hAnsi="Times New Roman"/>
          <w:color w:val="000000"/>
          <w:sz w:val="24"/>
          <w:szCs w:val="24"/>
        </w:rPr>
      </w:pPr>
      <w:r>
        <w:rPr>
          <w:rFonts w:ascii="Times New Roman" w:hAnsi="Times New Roman"/>
          <w:b/>
          <w:i/>
          <w:color w:val="000000"/>
          <w:sz w:val="24"/>
          <w:szCs w:val="24"/>
        </w:rPr>
        <w:t xml:space="preserve">Ethnicity:  </w:t>
      </w:r>
      <w:r w:rsidR="00E41DC7" w:rsidRPr="004925A9">
        <w:rPr>
          <w:rFonts w:ascii="Times New Roman" w:hAnsi="Times New Roman"/>
          <w:color w:val="000000"/>
          <w:sz w:val="24"/>
          <w:szCs w:val="24"/>
        </w:rPr>
        <w:t>Pharmacokinetics have not been specifically studied in different ethnic groups.</w:t>
      </w:r>
    </w:p>
    <w:p w:rsidR="007F553A" w:rsidRPr="004925A9" w:rsidRDefault="007F553A" w:rsidP="009A59E7">
      <w:pPr>
        <w:tabs>
          <w:tab w:val="left" w:pos="1890"/>
        </w:tabs>
        <w:jc w:val="both"/>
        <w:rPr>
          <w:rFonts w:ascii="Times New Roman" w:hAnsi="Times New Roman"/>
          <w:color w:val="000000"/>
          <w:sz w:val="24"/>
          <w:szCs w:val="24"/>
        </w:rPr>
      </w:pPr>
    </w:p>
    <w:p w:rsidR="002C5443" w:rsidRPr="004925A9" w:rsidRDefault="007F553A" w:rsidP="007651F2">
      <w:pPr>
        <w:spacing w:after="60"/>
        <w:ind w:right="-14"/>
        <w:jc w:val="both"/>
        <w:rPr>
          <w:rFonts w:ascii="Times New Roman" w:hAnsi="Times New Roman"/>
          <w:sz w:val="24"/>
          <w:szCs w:val="24"/>
        </w:rPr>
      </w:pPr>
      <w:r w:rsidRPr="004925A9">
        <w:rPr>
          <w:rFonts w:ascii="Times New Roman" w:hAnsi="Times New Roman"/>
          <w:b/>
          <w:i/>
          <w:color w:val="000000"/>
          <w:sz w:val="24"/>
          <w:szCs w:val="24"/>
        </w:rPr>
        <w:t>Renal impairment</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00AB2049" w:rsidRPr="004925A9">
        <w:rPr>
          <w:rFonts w:ascii="Times New Roman" w:hAnsi="Times New Roman"/>
          <w:b/>
          <w:i/>
          <w:color w:val="000000"/>
          <w:sz w:val="24"/>
          <w:szCs w:val="24"/>
        </w:rPr>
        <w:t xml:space="preserve"> </w:t>
      </w:r>
      <w:r w:rsidR="00560FA2" w:rsidRPr="004925A9">
        <w:rPr>
          <w:rFonts w:ascii="Times New Roman" w:hAnsi="Times New Roman"/>
          <w:sz w:val="24"/>
          <w:szCs w:val="24"/>
        </w:rPr>
        <w:t xml:space="preserve">The pharmacokinetics of tenofovir are altered in </w:t>
      </w:r>
      <w:r w:rsidR="00204477" w:rsidRPr="004925A9">
        <w:rPr>
          <w:rFonts w:ascii="Times New Roman" w:hAnsi="Times New Roman"/>
          <w:sz w:val="24"/>
          <w:szCs w:val="24"/>
        </w:rPr>
        <w:t>subjects</w:t>
      </w:r>
      <w:r w:rsidR="00560FA2" w:rsidRPr="004925A9">
        <w:rPr>
          <w:rFonts w:ascii="Times New Roman" w:hAnsi="Times New Roman"/>
          <w:sz w:val="24"/>
          <w:szCs w:val="24"/>
        </w:rPr>
        <w:t xml:space="preserve"> with renal impairment (See </w:t>
      </w:r>
      <w:r w:rsidR="00455731" w:rsidRPr="004925A9">
        <w:rPr>
          <w:rFonts w:ascii="Times New Roman" w:hAnsi="Times New Roman"/>
          <w:sz w:val="24"/>
          <w:szCs w:val="24"/>
        </w:rPr>
        <w:t>PRECAUTIONS</w:t>
      </w:r>
      <w:r w:rsidR="00560FA2" w:rsidRPr="004925A9">
        <w:rPr>
          <w:rFonts w:ascii="Times New Roman" w:hAnsi="Times New Roman"/>
          <w:sz w:val="24"/>
          <w:szCs w:val="24"/>
        </w:rPr>
        <w:t xml:space="preserve">).  In </w:t>
      </w:r>
      <w:r w:rsidR="0019041B" w:rsidRPr="004925A9">
        <w:rPr>
          <w:rFonts w:ascii="Times New Roman" w:hAnsi="Times New Roman"/>
          <w:sz w:val="24"/>
          <w:szCs w:val="24"/>
        </w:rPr>
        <w:t xml:space="preserve">non-HIV </w:t>
      </w:r>
      <w:r w:rsidR="00E41DC7" w:rsidRPr="004925A9">
        <w:rPr>
          <w:rFonts w:ascii="Times New Roman" w:hAnsi="Times New Roman"/>
          <w:sz w:val="24"/>
          <w:szCs w:val="24"/>
        </w:rPr>
        <w:t xml:space="preserve">and non-HBV </w:t>
      </w:r>
      <w:r w:rsidR="0019041B" w:rsidRPr="004925A9">
        <w:rPr>
          <w:rFonts w:ascii="Times New Roman" w:hAnsi="Times New Roman"/>
          <w:sz w:val="24"/>
          <w:szCs w:val="24"/>
        </w:rPr>
        <w:t>infected subjects</w:t>
      </w:r>
      <w:r w:rsidR="00560FA2" w:rsidRPr="004925A9">
        <w:rPr>
          <w:rFonts w:ascii="Times New Roman" w:hAnsi="Times New Roman"/>
          <w:sz w:val="24"/>
          <w:szCs w:val="24"/>
        </w:rPr>
        <w:t xml:space="preserve"> with creatinine clearance &lt;50 mL/min or with end</w:t>
      </w:r>
      <w:r w:rsidR="00560FA2" w:rsidRPr="004925A9">
        <w:rPr>
          <w:rFonts w:ascii="Times New Roman" w:hAnsi="Times New Roman"/>
          <w:sz w:val="24"/>
          <w:szCs w:val="24"/>
        </w:rPr>
        <w:noBreakHyphen/>
        <w:t>stage renal disease (ESRD) requiring dialysis, C</w:t>
      </w:r>
      <w:r w:rsidR="00560FA2" w:rsidRPr="004925A9">
        <w:rPr>
          <w:rFonts w:ascii="Times New Roman" w:hAnsi="Times New Roman"/>
          <w:sz w:val="24"/>
          <w:szCs w:val="24"/>
          <w:vertAlign w:val="subscript"/>
        </w:rPr>
        <w:t>max</w:t>
      </w:r>
      <w:r w:rsidR="00560FA2" w:rsidRPr="004925A9">
        <w:rPr>
          <w:rFonts w:ascii="Times New Roman" w:hAnsi="Times New Roman"/>
          <w:sz w:val="24"/>
          <w:szCs w:val="24"/>
        </w:rPr>
        <w:t>, and AUC</w:t>
      </w:r>
      <w:r w:rsidR="00560FA2" w:rsidRPr="004925A9">
        <w:rPr>
          <w:rFonts w:ascii="Times New Roman" w:hAnsi="Times New Roman"/>
          <w:sz w:val="24"/>
          <w:szCs w:val="24"/>
          <w:vertAlign w:val="subscript"/>
        </w:rPr>
        <w:t>0</w:t>
      </w:r>
      <w:r w:rsidR="00560FA2" w:rsidRPr="004925A9">
        <w:rPr>
          <w:rFonts w:ascii="Times New Roman" w:hAnsi="Times New Roman"/>
          <w:sz w:val="24"/>
          <w:szCs w:val="24"/>
          <w:vertAlign w:val="subscript"/>
        </w:rPr>
        <w:noBreakHyphen/>
        <w:t>∞</w:t>
      </w:r>
      <w:r w:rsidR="00560FA2" w:rsidRPr="004925A9">
        <w:rPr>
          <w:rFonts w:ascii="Times New Roman" w:hAnsi="Times New Roman"/>
          <w:sz w:val="24"/>
          <w:szCs w:val="24"/>
        </w:rPr>
        <w:t xml:space="preserve"> of tenofovir were increased (Table 1).  It is </w:t>
      </w:r>
      <w:r w:rsidR="007651F2" w:rsidRPr="004925A9">
        <w:rPr>
          <w:rFonts w:ascii="Times New Roman" w:hAnsi="Times New Roman"/>
          <w:sz w:val="24"/>
          <w:szCs w:val="24"/>
        </w:rPr>
        <w:t>required</w:t>
      </w:r>
      <w:r w:rsidR="00560FA2" w:rsidRPr="004925A9">
        <w:rPr>
          <w:rFonts w:ascii="Times New Roman" w:hAnsi="Times New Roman"/>
          <w:sz w:val="24"/>
          <w:szCs w:val="24"/>
        </w:rPr>
        <w:t xml:space="preserve"> that the dosing interval for VIREAD be modified in patients with creatinine clearance &lt;50 mL/min or in patients with ESRD who require dialysis (see DOSAGE AND ADMINISTRATION).</w:t>
      </w:r>
    </w:p>
    <w:p w:rsidR="002C5443" w:rsidRDefault="002C5443" w:rsidP="007651F2">
      <w:pPr>
        <w:spacing w:after="60"/>
        <w:ind w:right="-14"/>
        <w:jc w:val="both"/>
        <w:rPr>
          <w:rFonts w:ascii="Times New Roman" w:hAnsi="Times New Roman"/>
          <w:sz w:val="22"/>
          <w:szCs w:val="22"/>
        </w:rPr>
      </w:pPr>
    </w:p>
    <w:p w:rsidR="00560FA2" w:rsidRPr="009A59E7" w:rsidRDefault="00560FA2" w:rsidP="007651F2">
      <w:pPr>
        <w:spacing w:after="60"/>
        <w:ind w:right="-14"/>
        <w:jc w:val="both"/>
        <w:rPr>
          <w:rFonts w:ascii="Times New Roman" w:hAnsi="Times New Roman"/>
          <w:sz w:val="22"/>
        </w:rPr>
      </w:pPr>
      <w:r w:rsidRPr="009A59E7">
        <w:rPr>
          <w:rFonts w:ascii="Times New Roman" w:hAnsi="Times New Roman"/>
          <w:b/>
          <w:sz w:val="22"/>
        </w:rPr>
        <w:t>Table 1.</w:t>
      </w:r>
      <w:r w:rsidRPr="009A59E7">
        <w:rPr>
          <w:rFonts w:ascii="Times New Roman" w:hAnsi="Times New Roman"/>
          <w:b/>
          <w:sz w:val="22"/>
        </w:rPr>
        <w:tab/>
        <w:t>Pharmacokinetic Parameters (Mean</w:t>
      </w:r>
      <w:r w:rsidRPr="009A59E7">
        <w:rPr>
          <w:rFonts w:ascii="Times New Roman" w:hAnsi="Times New Roman"/>
          <w:b/>
          <w:sz w:val="22"/>
        </w:rPr>
        <w:sym w:font="Symbol" w:char="00B1"/>
      </w:r>
      <w:r w:rsidRPr="009A59E7">
        <w:rPr>
          <w:rFonts w:ascii="Times New Roman" w:hAnsi="Times New Roman"/>
          <w:b/>
          <w:sz w:val="22"/>
        </w:rPr>
        <w:t xml:space="preserve">SD) of Tenofovir* in Patients with varying </w:t>
      </w:r>
      <w:r w:rsidR="001555F7">
        <w:rPr>
          <w:rFonts w:ascii="Times New Roman" w:hAnsi="Times New Roman"/>
          <w:b/>
          <w:sz w:val="22"/>
        </w:rPr>
        <w:tab/>
      </w:r>
      <w:r w:rsidR="001555F7">
        <w:rPr>
          <w:rFonts w:ascii="Times New Roman" w:hAnsi="Times New Roman"/>
          <w:b/>
          <w:sz w:val="22"/>
        </w:rPr>
        <w:tab/>
      </w:r>
      <w:r w:rsidR="001555F7">
        <w:rPr>
          <w:rFonts w:ascii="Times New Roman" w:hAnsi="Times New Roman"/>
          <w:b/>
          <w:sz w:val="22"/>
        </w:rPr>
        <w:tab/>
      </w:r>
      <w:r w:rsidRPr="009A59E7">
        <w:rPr>
          <w:rFonts w:ascii="Times New Roman" w:hAnsi="Times New Roman"/>
          <w:b/>
          <w:sz w:val="22"/>
        </w:rPr>
        <w:t>Degrees of Renal Function</w:t>
      </w:r>
    </w:p>
    <w:tbl>
      <w:tblPr>
        <w:tblW w:w="0" w:type="auto"/>
        <w:tblInd w:w="30" w:type="dxa"/>
        <w:tblLayout w:type="fixed"/>
        <w:tblCellMar>
          <w:left w:w="30" w:type="dxa"/>
          <w:right w:w="30" w:type="dxa"/>
        </w:tblCellMar>
        <w:tblLook w:val="0000"/>
      </w:tblPr>
      <w:tblGrid>
        <w:gridCol w:w="2070"/>
        <w:gridCol w:w="1665"/>
        <w:gridCol w:w="1665"/>
        <w:gridCol w:w="1665"/>
        <w:gridCol w:w="1665"/>
      </w:tblGrid>
      <w:tr w:rsidR="00560FA2" w:rsidRPr="009A59E7">
        <w:trPr>
          <w:cantSplit/>
          <w:trHeight w:val="72"/>
        </w:trPr>
        <w:tc>
          <w:tcPr>
            <w:tcW w:w="2070"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ind w:left="81"/>
              <w:rPr>
                <w:rFonts w:ascii="Times New Roman" w:hAnsi="Times New Roman"/>
                <w:b/>
                <w:snapToGrid w:val="0"/>
              </w:rPr>
            </w:pPr>
            <w:r w:rsidRPr="009A59E7">
              <w:rPr>
                <w:rFonts w:ascii="Times New Roman" w:hAnsi="Times New Roman"/>
                <w:b/>
                <w:snapToGrid w:val="0"/>
              </w:rPr>
              <w:t>Baseline Creatinine Clearance (mL/min)</w:t>
            </w:r>
            <w:r w:rsidR="001B1A1C" w:rsidRPr="001370DF">
              <w:rPr>
                <w:rFonts w:ascii="Times New Roman" w:hAnsi="Times New Roman"/>
                <w:sz w:val="18"/>
                <w:vertAlign w:val="superscript"/>
              </w:rPr>
              <w:t xml:space="preserve"> 1</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b/>
                <w:snapToGrid w:val="0"/>
              </w:rPr>
            </w:pPr>
            <w:r w:rsidRPr="009A59E7">
              <w:rPr>
                <w:rFonts w:ascii="Times New Roman" w:hAnsi="Times New Roman"/>
                <w:b/>
                <w:snapToGrid w:val="0"/>
              </w:rPr>
              <w:t xml:space="preserve">&gt;80 </w:t>
            </w:r>
            <w:r w:rsidRPr="009A59E7">
              <w:rPr>
                <w:rFonts w:ascii="Times New Roman" w:hAnsi="Times New Roman"/>
                <w:b/>
                <w:snapToGrid w:val="0"/>
              </w:rPr>
              <w:br/>
              <w:t>(N=3)</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b/>
                <w:snapToGrid w:val="0"/>
              </w:rPr>
            </w:pPr>
            <w:r w:rsidRPr="009A59E7">
              <w:rPr>
                <w:rFonts w:ascii="Times New Roman" w:hAnsi="Times New Roman"/>
                <w:b/>
                <w:snapToGrid w:val="0"/>
              </w:rPr>
              <w:t>50-80</w:t>
            </w:r>
            <w:r w:rsidRPr="009A59E7">
              <w:rPr>
                <w:rFonts w:ascii="Times New Roman" w:hAnsi="Times New Roman"/>
                <w:b/>
                <w:snapToGrid w:val="0"/>
              </w:rPr>
              <w:br/>
              <w:t>(N=10)</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b/>
                <w:snapToGrid w:val="0"/>
              </w:rPr>
            </w:pPr>
            <w:r w:rsidRPr="009A59E7">
              <w:rPr>
                <w:rFonts w:ascii="Times New Roman" w:hAnsi="Times New Roman"/>
                <w:b/>
                <w:snapToGrid w:val="0"/>
              </w:rPr>
              <w:t xml:space="preserve">30-49 </w:t>
            </w:r>
            <w:r w:rsidRPr="009A59E7">
              <w:rPr>
                <w:rFonts w:ascii="Times New Roman" w:hAnsi="Times New Roman"/>
                <w:b/>
                <w:snapToGrid w:val="0"/>
              </w:rPr>
              <w:br/>
              <w:t>(N=8)</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b/>
                <w:snapToGrid w:val="0"/>
              </w:rPr>
            </w:pPr>
            <w:r w:rsidRPr="009A59E7">
              <w:rPr>
                <w:rFonts w:ascii="Times New Roman" w:hAnsi="Times New Roman"/>
                <w:b/>
                <w:snapToGrid w:val="0"/>
              </w:rPr>
              <w:t>12-</w:t>
            </w:r>
            <w:r w:rsidR="00A216EC" w:rsidRPr="009A59E7">
              <w:rPr>
                <w:rFonts w:ascii="Times New Roman" w:hAnsi="Times New Roman"/>
                <w:b/>
                <w:snapToGrid w:val="0"/>
              </w:rPr>
              <w:t>2</w:t>
            </w:r>
            <w:r w:rsidR="00A216EC">
              <w:rPr>
                <w:rFonts w:ascii="Times New Roman" w:hAnsi="Times New Roman"/>
                <w:b/>
                <w:snapToGrid w:val="0"/>
              </w:rPr>
              <w:t>9</w:t>
            </w:r>
            <w:r w:rsidRPr="009A59E7">
              <w:rPr>
                <w:rFonts w:ascii="Times New Roman" w:hAnsi="Times New Roman"/>
                <w:b/>
                <w:snapToGrid w:val="0"/>
              </w:rPr>
              <w:br/>
              <w:t>(N=11)</w:t>
            </w:r>
          </w:p>
        </w:tc>
      </w:tr>
      <w:tr w:rsidR="00560FA2" w:rsidRPr="009A59E7">
        <w:trPr>
          <w:cantSplit/>
          <w:trHeight w:val="72"/>
        </w:trPr>
        <w:tc>
          <w:tcPr>
            <w:tcW w:w="2070"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ind w:left="81" w:right="-108"/>
              <w:rPr>
                <w:rFonts w:ascii="Times New Roman" w:hAnsi="Times New Roman"/>
                <w:vertAlign w:val="subscript"/>
              </w:rPr>
            </w:pPr>
            <w:r w:rsidRPr="009A59E7">
              <w:rPr>
                <w:rFonts w:ascii="Times New Roman" w:hAnsi="Times New Roman"/>
              </w:rPr>
              <w:t>C</w:t>
            </w:r>
            <w:r w:rsidRPr="009A59E7">
              <w:rPr>
                <w:rFonts w:ascii="Times New Roman" w:hAnsi="Times New Roman"/>
                <w:vertAlign w:val="subscript"/>
              </w:rPr>
              <w:t>max</w:t>
            </w:r>
            <w:r w:rsidRPr="009A59E7">
              <w:rPr>
                <w:rFonts w:ascii="Times New Roman" w:hAnsi="Times New Roman"/>
              </w:rPr>
              <w:t xml:space="preserve"> (ng/mL)</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335.</w:t>
            </w:r>
            <w:r w:rsidR="00952D63" w:rsidRPr="009A59E7">
              <w:rPr>
                <w:rFonts w:ascii="Times New Roman" w:hAnsi="Times New Roman"/>
                <w:snapToGrid w:val="0"/>
              </w:rPr>
              <w:t>5</w:t>
            </w:r>
            <w:r w:rsidRPr="009A59E7">
              <w:rPr>
                <w:rFonts w:ascii="Times New Roman" w:hAnsi="Times New Roman"/>
                <w:snapToGrid w:val="0"/>
              </w:rPr>
              <w:t xml:space="preserve"> </w:t>
            </w:r>
            <w:r w:rsidRPr="009A59E7">
              <w:rPr>
                <w:rFonts w:ascii="Times New Roman" w:hAnsi="Times New Roman"/>
                <w:snapToGrid w:val="0"/>
              </w:rPr>
              <w:sym w:font="Symbol" w:char="00B1"/>
            </w:r>
            <w:r w:rsidRPr="009A59E7">
              <w:rPr>
                <w:rFonts w:ascii="Times New Roman" w:hAnsi="Times New Roman"/>
                <w:snapToGrid w:val="0"/>
              </w:rPr>
              <w:t xml:space="preserve"> 31.8</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330.4 </w:t>
            </w:r>
            <w:r w:rsidRPr="009A59E7">
              <w:rPr>
                <w:rFonts w:ascii="Times New Roman" w:hAnsi="Times New Roman"/>
                <w:snapToGrid w:val="0"/>
              </w:rPr>
              <w:sym w:font="Symbol" w:char="00B1"/>
            </w:r>
            <w:r w:rsidRPr="009A59E7">
              <w:rPr>
                <w:rFonts w:ascii="Times New Roman" w:hAnsi="Times New Roman"/>
                <w:snapToGrid w:val="0"/>
              </w:rPr>
              <w:t xml:space="preserve"> 61.0</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372.1 </w:t>
            </w:r>
            <w:r w:rsidRPr="009A59E7">
              <w:rPr>
                <w:rFonts w:ascii="Times New Roman" w:hAnsi="Times New Roman"/>
                <w:snapToGrid w:val="0"/>
              </w:rPr>
              <w:sym w:font="Symbol" w:char="00B1"/>
            </w:r>
            <w:r w:rsidRPr="009A59E7">
              <w:rPr>
                <w:rFonts w:ascii="Times New Roman" w:hAnsi="Times New Roman"/>
                <w:snapToGrid w:val="0"/>
              </w:rPr>
              <w:t xml:space="preserve"> 156.1</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601.6 </w:t>
            </w:r>
            <w:r w:rsidRPr="009A59E7">
              <w:rPr>
                <w:rFonts w:ascii="Times New Roman" w:hAnsi="Times New Roman"/>
                <w:snapToGrid w:val="0"/>
              </w:rPr>
              <w:sym w:font="Symbol" w:char="00B1"/>
            </w:r>
            <w:r w:rsidRPr="009A59E7">
              <w:rPr>
                <w:rFonts w:ascii="Times New Roman" w:hAnsi="Times New Roman"/>
                <w:snapToGrid w:val="0"/>
              </w:rPr>
              <w:t xml:space="preserve"> 185.3</w:t>
            </w:r>
          </w:p>
        </w:tc>
      </w:tr>
      <w:tr w:rsidR="00560FA2" w:rsidRPr="009A59E7">
        <w:trPr>
          <w:cantSplit/>
          <w:trHeight w:val="270"/>
        </w:trPr>
        <w:tc>
          <w:tcPr>
            <w:tcW w:w="2070"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ind w:left="81" w:right="-108"/>
              <w:rPr>
                <w:rFonts w:ascii="Times New Roman" w:hAnsi="Times New Roman"/>
              </w:rPr>
            </w:pPr>
            <w:r w:rsidRPr="009A59E7">
              <w:rPr>
                <w:rFonts w:ascii="Times New Roman" w:hAnsi="Times New Roman"/>
              </w:rPr>
              <w:t xml:space="preserve">AUC </w:t>
            </w:r>
            <w:r w:rsidRPr="009A59E7">
              <w:rPr>
                <w:rFonts w:ascii="Times New Roman" w:hAnsi="Times New Roman"/>
                <w:vertAlign w:val="subscript"/>
              </w:rPr>
              <w:t>0-</w:t>
            </w:r>
            <w:r w:rsidRPr="009A59E7">
              <w:rPr>
                <w:rFonts w:ascii="Times New Roman" w:hAnsi="Times New Roman"/>
                <w:vertAlign w:val="subscript"/>
              </w:rPr>
              <w:sym w:font="Symbol" w:char="00A5"/>
            </w:r>
            <w:r w:rsidRPr="009A59E7">
              <w:rPr>
                <w:rFonts w:ascii="Times New Roman" w:hAnsi="Times New Roman"/>
                <w:vertAlign w:val="subscript"/>
              </w:rPr>
              <w:t xml:space="preserve"> </w:t>
            </w:r>
            <w:r w:rsidRPr="009A59E7">
              <w:rPr>
                <w:rFonts w:ascii="Times New Roman" w:hAnsi="Times New Roman"/>
              </w:rPr>
              <w:t>(ng</w:t>
            </w:r>
            <w:r w:rsidRPr="009A59E7">
              <w:rPr>
                <w:rFonts w:ascii="Times New Roman" w:hAnsi="Times New Roman"/>
              </w:rPr>
              <w:sym w:font="Symbol" w:char="00B7"/>
            </w:r>
            <w:r w:rsidRPr="009A59E7">
              <w:rPr>
                <w:rFonts w:ascii="Times New Roman" w:hAnsi="Times New Roman"/>
              </w:rPr>
              <w:t>hr/mL)</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2184.5 </w:t>
            </w:r>
            <w:r w:rsidRPr="009A59E7">
              <w:rPr>
                <w:rFonts w:ascii="Times New Roman" w:hAnsi="Times New Roman"/>
                <w:snapToGrid w:val="0"/>
              </w:rPr>
              <w:sym w:font="Symbol" w:char="00B1"/>
            </w:r>
            <w:r w:rsidRPr="009A59E7">
              <w:rPr>
                <w:rFonts w:ascii="Times New Roman" w:hAnsi="Times New Roman"/>
                <w:snapToGrid w:val="0"/>
              </w:rPr>
              <w:t xml:space="preserve"> 257.4</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pStyle w:val="Table-Text"/>
              <w:keepNext w:val="0"/>
              <w:keepLines w:val="0"/>
              <w:tabs>
                <w:tab w:val="clear" w:pos="360"/>
              </w:tabs>
              <w:spacing w:before="60" w:after="60"/>
              <w:jc w:val="center"/>
              <w:rPr>
                <w:snapToGrid w:val="0"/>
                <w:sz w:val="20"/>
                <w:lang w:val="en-AU"/>
              </w:rPr>
            </w:pPr>
            <w:r w:rsidRPr="009A59E7">
              <w:rPr>
                <w:snapToGrid w:val="0"/>
                <w:sz w:val="20"/>
                <w:lang w:val="en-AU"/>
              </w:rPr>
              <w:t xml:space="preserve">3063.8 </w:t>
            </w:r>
            <w:r w:rsidRPr="009A59E7">
              <w:rPr>
                <w:snapToGrid w:val="0"/>
                <w:sz w:val="20"/>
                <w:lang w:val="en-AU"/>
              </w:rPr>
              <w:sym w:font="Symbol" w:char="00B1"/>
            </w:r>
            <w:r w:rsidRPr="009A59E7">
              <w:rPr>
                <w:snapToGrid w:val="0"/>
                <w:sz w:val="20"/>
                <w:lang w:val="en-AU"/>
              </w:rPr>
              <w:t xml:space="preserve"> 927.0</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6008.5 </w:t>
            </w:r>
            <w:r w:rsidRPr="009A59E7">
              <w:rPr>
                <w:rFonts w:ascii="Times New Roman" w:hAnsi="Times New Roman"/>
                <w:snapToGrid w:val="0"/>
              </w:rPr>
              <w:sym w:font="Symbol" w:char="00B1"/>
            </w:r>
            <w:r w:rsidRPr="009A59E7">
              <w:rPr>
                <w:rFonts w:ascii="Times New Roman" w:hAnsi="Times New Roman"/>
                <w:snapToGrid w:val="0"/>
              </w:rPr>
              <w:t xml:space="preserve"> 2504.7</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15984.7 </w:t>
            </w:r>
            <w:r w:rsidRPr="009A59E7">
              <w:rPr>
                <w:rFonts w:ascii="Times New Roman" w:hAnsi="Times New Roman"/>
                <w:snapToGrid w:val="0"/>
              </w:rPr>
              <w:sym w:font="Symbol" w:char="00B1"/>
            </w:r>
            <w:r w:rsidRPr="009A59E7">
              <w:rPr>
                <w:rFonts w:ascii="Times New Roman" w:hAnsi="Times New Roman"/>
                <w:snapToGrid w:val="0"/>
              </w:rPr>
              <w:t xml:space="preserve"> 7223.0</w:t>
            </w:r>
          </w:p>
        </w:tc>
      </w:tr>
      <w:tr w:rsidR="00560FA2" w:rsidRPr="009A59E7">
        <w:trPr>
          <w:cantSplit/>
          <w:trHeight w:val="270"/>
        </w:trPr>
        <w:tc>
          <w:tcPr>
            <w:tcW w:w="2070"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ind w:left="81" w:right="-108"/>
              <w:rPr>
                <w:rFonts w:ascii="Times New Roman" w:hAnsi="Times New Roman"/>
              </w:rPr>
            </w:pPr>
            <w:r w:rsidRPr="009A59E7">
              <w:rPr>
                <w:rFonts w:ascii="Times New Roman" w:hAnsi="Times New Roman"/>
              </w:rPr>
              <w:t>CL/F</w:t>
            </w:r>
            <w:r w:rsidRPr="009A59E7">
              <w:rPr>
                <w:rFonts w:ascii="Times New Roman" w:hAnsi="Times New Roman"/>
                <w:vertAlign w:val="subscript"/>
              </w:rPr>
              <w:t xml:space="preserve"> </w:t>
            </w:r>
            <w:r w:rsidRPr="009A59E7">
              <w:rPr>
                <w:rFonts w:ascii="Times New Roman" w:hAnsi="Times New Roman"/>
              </w:rPr>
              <w:t>(mL/min)</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pStyle w:val="Table-Text"/>
              <w:keepNext w:val="0"/>
              <w:keepLines w:val="0"/>
              <w:tabs>
                <w:tab w:val="clear" w:pos="360"/>
              </w:tabs>
              <w:spacing w:before="60" w:after="60"/>
              <w:jc w:val="center"/>
              <w:rPr>
                <w:snapToGrid w:val="0"/>
                <w:sz w:val="20"/>
                <w:lang w:val="en-AU"/>
              </w:rPr>
            </w:pPr>
            <w:r w:rsidRPr="009A59E7">
              <w:rPr>
                <w:snapToGrid w:val="0"/>
                <w:sz w:val="20"/>
                <w:lang w:val="en-AU"/>
              </w:rPr>
              <w:t xml:space="preserve">1043.7 </w:t>
            </w:r>
            <w:r w:rsidRPr="009A59E7">
              <w:rPr>
                <w:snapToGrid w:val="0"/>
                <w:sz w:val="20"/>
                <w:lang w:val="en-AU"/>
              </w:rPr>
              <w:sym w:font="Symbol" w:char="00B1"/>
            </w:r>
            <w:r w:rsidRPr="009A59E7">
              <w:rPr>
                <w:snapToGrid w:val="0"/>
                <w:sz w:val="20"/>
                <w:lang w:val="en-AU"/>
              </w:rPr>
              <w:t xml:space="preserve"> 15.4</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807.7 </w:t>
            </w:r>
            <w:r w:rsidRPr="009A59E7">
              <w:rPr>
                <w:rFonts w:ascii="Times New Roman" w:hAnsi="Times New Roman"/>
                <w:snapToGrid w:val="0"/>
              </w:rPr>
              <w:sym w:font="Symbol" w:char="00B1"/>
            </w:r>
            <w:r w:rsidRPr="009A59E7">
              <w:rPr>
                <w:rFonts w:ascii="Times New Roman" w:hAnsi="Times New Roman"/>
                <w:snapToGrid w:val="0"/>
              </w:rPr>
              <w:t xml:space="preserve"> 279.2</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b/>
                <w:snapToGrid w:val="0"/>
              </w:rPr>
            </w:pPr>
            <w:r w:rsidRPr="009A59E7">
              <w:rPr>
                <w:rFonts w:ascii="Times New Roman" w:hAnsi="Times New Roman"/>
                <w:snapToGrid w:val="0"/>
              </w:rPr>
              <w:t xml:space="preserve">444.4 </w:t>
            </w:r>
            <w:r w:rsidRPr="009A59E7">
              <w:rPr>
                <w:rFonts w:ascii="Times New Roman" w:hAnsi="Times New Roman"/>
                <w:snapToGrid w:val="0"/>
              </w:rPr>
              <w:sym w:font="Symbol" w:char="00B1"/>
            </w:r>
            <w:r w:rsidRPr="009A59E7">
              <w:rPr>
                <w:rFonts w:ascii="Times New Roman" w:hAnsi="Times New Roman"/>
                <w:snapToGrid w:val="0"/>
              </w:rPr>
              <w:t xml:space="preserve"> 209.8</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b/>
                <w:snapToGrid w:val="0"/>
              </w:rPr>
            </w:pPr>
            <w:r w:rsidRPr="009A59E7">
              <w:rPr>
                <w:rFonts w:ascii="Times New Roman" w:hAnsi="Times New Roman"/>
                <w:snapToGrid w:val="0"/>
              </w:rPr>
              <w:t xml:space="preserve">177.0 </w:t>
            </w:r>
            <w:r w:rsidRPr="009A59E7">
              <w:rPr>
                <w:rFonts w:ascii="Times New Roman" w:hAnsi="Times New Roman"/>
                <w:snapToGrid w:val="0"/>
              </w:rPr>
              <w:sym w:font="Symbol" w:char="00B1"/>
            </w:r>
            <w:r w:rsidRPr="009A59E7">
              <w:rPr>
                <w:rFonts w:ascii="Times New Roman" w:hAnsi="Times New Roman"/>
                <w:snapToGrid w:val="0"/>
              </w:rPr>
              <w:t xml:space="preserve"> 97.1</w:t>
            </w:r>
          </w:p>
        </w:tc>
      </w:tr>
      <w:tr w:rsidR="00560FA2" w:rsidRPr="009A59E7">
        <w:trPr>
          <w:cantSplit/>
          <w:trHeight w:val="270"/>
        </w:trPr>
        <w:tc>
          <w:tcPr>
            <w:tcW w:w="2070"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ind w:left="81" w:right="-108"/>
              <w:rPr>
                <w:rFonts w:ascii="Times New Roman" w:hAnsi="Times New Roman"/>
              </w:rPr>
            </w:pPr>
            <w:r w:rsidRPr="009A59E7">
              <w:rPr>
                <w:rFonts w:ascii="Times New Roman" w:hAnsi="Times New Roman"/>
              </w:rPr>
              <w:t>CL</w:t>
            </w:r>
            <w:r w:rsidRPr="009A59E7">
              <w:rPr>
                <w:rFonts w:ascii="Times New Roman" w:hAnsi="Times New Roman"/>
                <w:vertAlign w:val="subscript"/>
              </w:rPr>
              <w:t xml:space="preserve">renal </w:t>
            </w:r>
            <w:r w:rsidRPr="009A59E7">
              <w:rPr>
                <w:rFonts w:ascii="Times New Roman" w:hAnsi="Times New Roman"/>
              </w:rPr>
              <w:t>(mL/min)</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243.5 </w:t>
            </w:r>
            <w:r w:rsidRPr="009A59E7">
              <w:rPr>
                <w:rFonts w:ascii="Times New Roman" w:hAnsi="Times New Roman"/>
                <w:snapToGrid w:val="0"/>
              </w:rPr>
              <w:sym w:font="Symbol" w:char="00B1"/>
            </w:r>
            <w:r w:rsidRPr="009A59E7">
              <w:rPr>
                <w:rFonts w:ascii="Times New Roman" w:hAnsi="Times New Roman"/>
                <w:snapToGrid w:val="0"/>
              </w:rPr>
              <w:t xml:space="preserve"> 33.3</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168.6 </w:t>
            </w:r>
            <w:r w:rsidRPr="009A59E7">
              <w:rPr>
                <w:rFonts w:ascii="Times New Roman" w:hAnsi="Times New Roman"/>
                <w:snapToGrid w:val="0"/>
              </w:rPr>
              <w:sym w:font="Symbol" w:char="00B1"/>
            </w:r>
            <w:r w:rsidRPr="009A59E7">
              <w:rPr>
                <w:rFonts w:ascii="Times New Roman" w:hAnsi="Times New Roman"/>
                <w:snapToGrid w:val="0"/>
              </w:rPr>
              <w:t xml:space="preserve"> 27.5</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100.6 </w:t>
            </w:r>
            <w:r w:rsidRPr="009A59E7">
              <w:rPr>
                <w:rFonts w:ascii="Times New Roman" w:hAnsi="Times New Roman"/>
                <w:snapToGrid w:val="0"/>
              </w:rPr>
              <w:sym w:font="Symbol" w:char="00B1"/>
            </w:r>
            <w:r w:rsidRPr="009A59E7">
              <w:rPr>
                <w:rFonts w:ascii="Times New Roman" w:hAnsi="Times New Roman"/>
                <w:snapToGrid w:val="0"/>
              </w:rPr>
              <w:t xml:space="preserve"> 27.5</w:t>
            </w: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560FA2" w:rsidRPr="009A59E7" w:rsidRDefault="00560FA2">
            <w:pPr>
              <w:spacing w:before="60" w:after="60"/>
              <w:jc w:val="center"/>
              <w:rPr>
                <w:rFonts w:ascii="Times New Roman" w:hAnsi="Times New Roman"/>
                <w:snapToGrid w:val="0"/>
              </w:rPr>
            </w:pPr>
            <w:r w:rsidRPr="009A59E7">
              <w:rPr>
                <w:rFonts w:ascii="Times New Roman" w:hAnsi="Times New Roman"/>
                <w:snapToGrid w:val="0"/>
              </w:rPr>
              <w:t xml:space="preserve">43.0 </w:t>
            </w:r>
            <w:r w:rsidRPr="009A59E7">
              <w:rPr>
                <w:rFonts w:ascii="Times New Roman" w:hAnsi="Times New Roman"/>
                <w:snapToGrid w:val="0"/>
              </w:rPr>
              <w:sym w:font="Symbol" w:char="00B1"/>
            </w:r>
            <w:r w:rsidRPr="009A59E7">
              <w:rPr>
                <w:rFonts w:ascii="Times New Roman" w:hAnsi="Times New Roman"/>
                <w:snapToGrid w:val="0"/>
              </w:rPr>
              <w:t xml:space="preserve"> 31.2</w:t>
            </w:r>
          </w:p>
        </w:tc>
      </w:tr>
    </w:tbl>
    <w:p w:rsidR="00560FA2" w:rsidRDefault="00560FA2" w:rsidP="00560FA2">
      <w:pPr>
        <w:spacing w:before="60" w:after="120"/>
        <w:ind w:right="-14"/>
        <w:rPr>
          <w:rFonts w:ascii="Times New Roman" w:hAnsi="Times New Roman"/>
          <w:sz w:val="18"/>
        </w:rPr>
      </w:pPr>
      <w:r w:rsidRPr="009A59E7">
        <w:rPr>
          <w:rFonts w:ascii="Times New Roman" w:hAnsi="Times New Roman"/>
          <w:sz w:val="18"/>
        </w:rPr>
        <w:lastRenderedPageBreak/>
        <w:t>*300 mg, single dose of VIREAD</w:t>
      </w:r>
    </w:p>
    <w:p w:rsidR="001B1A1C" w:rsidRPr="009A59E7" w:rsidRDefault="001B1A1C" w:rsidP="00560FA2">
      <w:pPr>
        <w:spacing w:before="60" w:after="120"/>
        <w:ind w:right="-14"/>
        <w:rPr>
          <w:rFonts w:ascii="Times New Roman" w:hAnsi="Times New Roman"/>
          <w:sz w:val="22"/>
        </w:rPr>
      </w:pPr>
      <w:r w:rsidRPr="001370DF">
        <w:rPr>
          <w:rFonts w:ascii="Times New Roman" w:hAnsi="Times New Roman"/>
          <w:sz w:val="18"/>
          <w:vertAlign w:val="superscript"/>
        </w:rPr>
        <w:t>1</w:t>
      </w:r>
      <w:r>
        <w:rPr>
          <w:rFonts w:ascii="Times New Roman" w:hAnsi="Times New Roman"/>
          <w:sz w:val="18"/>
        </w:rPr>
        <w:t xml:space="preserve"> Creatinine clearance calculated using the Cockcroft Gault equation</w:t>
      </w:r>
    </w:p>
    <w:p w:rsidR="00560FA2" w:rsidRPr="004925A9" w:rsidRDefault="00560FA2" w:rsidP="009A59E7">
      <w:pPr>
        <w:jc w:val="both"/>
        <w:rPr>
          <w:rFonts w:ascii="Times New Roman" w:hAnsi="Times New Roman"/>
          <w:sz w:val="24"/>
          <w:szCs w:val="24"/>
        </w:rPr>
      </w:pPr>
      <w:r w:rsidRPr="004925A9">
        <w:rPr>
          <w:rFonts w:ascii="Times New Roman" w:hAnsi="Times New Roman"/>
          <w:sz w:val="24"/>
          <w:szCs w:val="24"/>
        </w:rPr>
        <w:t>Tenofovir is efficiently removed by h</w:t>
      </w:r>
      <w:r w:rsidR="00455731" w:rsidRPr="004925A9">
        <w:rPr>
          <w:rFonts w:ascii="Times New Roman" w:hAnsi="Times New Roman"/>
          <w:sz w:val="24"/>
          <w:szCs w:val="24"/>
        </w:rPr>
        <w:t>a</w:t>
      </w:r>
      <w:r w:rsidRPr="004925A9">
        <w:rPr>
          <w:rFonts w:ascii="Times New Roman" w:hAnsi="Times New Roman"/>
          <w:sz w:val="24"/>
          <w:szCs w:val="24"/>
        </w:rPr>
        <w:t>emodialysis with an extraction coefficient of approximately 54%.  Following a single 300 mg dose of VIREAD, a four-hour h</w:t>
      </w:r>
      <w:r w:rsidR="00455731" w:rsidRPr="004925A9">
        <w:rPr>
          <w:rFonts w:ascii="Times New Roman" w:hAnsi="Times New Roman"/>
          <w:sz w:val="24"/>
          <w:szCs w:val="24"/>
        </w:rPr>
        <w:t>a</w:t>
      </w:r>
      <w:r w:rsidRPr="004925A9">
        <w:rPr>
          <w:rFonts w:ascii="Times New Roman" w:hAnsi="Times New Roman"/>
          <w:sz w:val="24"/>
          <w:szCs w:val="24"/>
        </w:rPr>
        <w:t>emodialysis session removed approximately 10% of the administered tenofovir dose.</w:t>
      </w:r>
    </w:p>
    <w:p w:rsidR="007F553A" w:rsidRPr="004925A9" w:rsidRDefault="007F553A" w:rsidP="009A59E7">
      <w:pPr>
        <w:tabs>
          <w:tab w:val="left" w:pos="1890"/>
        </w:tabs>
        <w:jc w:val="both"/>
        <w:rPr>
          <w:rFonts w:ascii="Times New Roman" w:hAnsi="Times New Roman"/>
          <w:color w:val="000000"/>
          <w:sz w:val="24"/>
          <w:szCs w:val="24"/>
        </w:rPr>
      </w:pPr>
    </w:p>
    <w:p w:rsidR="007F553A" w:rsidRPr="004925A9" w:rsidRDefault="007F553A" w:rsidP="009A59E7">
      <w:pPr>
        <w:jc w:val="both"/>
        <w:rPr>
          <w:rFonts w:ascii="Times New Roman" w:hAnsi="Times New Roman"/>
          <w:color w:val="000000"/>
          <w:sz w:val="24"/>
          <w:szCs w:val="24"/>
        </w:rPr>
      </w:pPr>
      <w:r w:rsidRPr="004925A9">
        <w:rPr>
          <w:rFonts w:ascii="Times New Roman" w:hAnsi="Times New Roman"/>
          <w:b/>
          <w:i/>
          <w:color w:val="000000"/>
          <w:sz w:val="24"/>
          <w:szCs w:val="24"/>
        </w:rPr>
        <w:t>Hepatic impairment</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00D51AFC" w:rsidRPr="004925A9">
        <w:rPr>
          <w:rFonts w:ascii="Times New Roman" w:hAnsi="Times New Roman"/>
          <w:sz w:val="24"/>
          <w:szCs w:val="24"/>
        </w:rPr>
        <w:t xml:space="preserve">The pharmacokinetics of tenofovir following a 300 mg single dose of VIREAD have been studied in non-HIV </w:t>
      </w:r>
      <w:r w:rsidR="00E41DC7" w:rsidRPr="004925A9">
        <w:rPr>
          <w:rFonts w:ascii="Times New Roman" w:hAnsi="Times New Roman"/>
          <w:sz w:val="24"/>
          <w:szCs w:val="24"/>
        </w:rPr>
        <w:t xml:space="preserve">and non-HBV </w:t>
      </w:r>
      <w:r w:rsidR="00D51AFC" w:rsidRPr="004925A9">
        <w:rPr>
          <w:rFonts w:ascii="Times New Roman" w:hAnsi="Times New Roman"/>
          <w:sz w:val="24"/>
          <w:szCs w:val="24"/>
        </w:rPr>
        <w:t xml:space="preserve">infected </w:t>
      </w:r>
      <w:r w:rsidR="00204477" w:rsidRPr="004925A9">
        <w:rPr>
          <w:rFonts w:ascii="Times New Roman" w:hAnsi="Times New Roman"/>
          <w:sz w:val="24"/>
          <w:szCs w:val="24"/>
        </w:rPr>
        <w:t>subjects</w:t>
      </w:r>
      <w:r w:rsidR="00D51AFC" w:rsidRPr="004925A9">
        <w:rPr>
          <w:rFonts w:ascii="Times New Roman" w:hAnsi="Times New Roman"/>
          <w:sz w:val="24"/>
          <w:szCs w:val="24"/>
        </w:rPr>
        <w:t xml:space="preserve"> with moderate to severe hepatic impairment.  There were no substantial alterations in tenofovir pharmacokinetics in patients with hepatic impairment compared with unimpaired patients.  No change in VIREAD dosing is required in patients with hepatic impairment.</w:t>
      </w:r>
      <w:r w:rsidR="005855E3" w:rsidRPr="004925A9">
        <w:rPr>
          <w:rFonts w:ascii="Times New Roman" w:hAnsi="Times New Roman"/>
          <w:color w:val="000000"/>
          <w:sz w:val="24"/>
          <w:szCs w:val="24"/>
        </w:rPr>
        <w:t xml:space="preserve"> </w:t>
      </w:r>
    </w:p>
    <w:p w:rsidR="007F553A" w:rsidRPr="004925A9" w:rsidRDefault="007F553A" w:rsidP="009A59E7">
      <w:pPr>
        <w:tabs>
          <w:tab w:val="left" w:pos="1890"/>
        </w:tabs>
        <w:jc w:val="both"/>
        <w:rPr>
          <w:rFonts w:ascii="Times New Roman" w:hAnsi="Times New Roman"/>
          <w:color w:val="000000"/>
          <w:sz w:val="24"/>
          <w:szCs w:val="24"/>
        </w:rPr>
      </w:pPr>
    </w:p>
    <w:p w:rsidR="007F553A" w:rsidRPr="004925A9" w:rsidRDefault="007F553A" w:rsidP="009A59E7">
      <w:pPr>
        <w:tabs>
          <w:tab w:val="left" w:pos="1890"/>
        </w:tabs>
        <w:jc w:val="both"/>
        <w:rPr>
          <w:rFonts w:ascii="Times New Roman" w:hAnsi="Times New Roman"/>
          <w:color w:val="000000"/>
          <w:sz w:val="24"/>
          <w:szCs w:val="24"/>
        </w:rPr>
      </w:pPr>
      <w:r w:rsidRPr="004925A9">
        <w:rPr>
          <w:rFonts w:ascii="Times New Roman" w:hAnsi="Times New Roman"/>
          <w:b/>
          <w:i/>
          <w:color w:val="000000"/>
          <w:sz w:val="24"/>
          <w:szCs w:val="24"/>
        </w:rPr>
        <w:t>Pharmacokinetic/pharmacodynamic relationship</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Pr="004925A9">
        <w:rPr>
          <w:rFonts w:ascii="Times New Roman" w:hAnsi="Times New Roman"/>
          <w:color w:val="000000"/>
          <w:sz w:val="24"/>
          <w:szCs w:val="24"/>
        </w:rPr>
        <w:t>VIREAD has demonstrated a dose related significant and sustained anti-HIV effect at doses ranging from 75 mg to 300 mg.</w:t>
      </w:r>
    </w:p>
    <w:p w:rsidR="007F553A" w:rsidRPr="004925A9" w:rsidRDefault="007F553A" w:rsidP="009A59E7">
      <w:pPr>
        <w:tabs>
          <w:tab w:val="left" w:pos="1890"/>
        </w:tabs>
        <w:jc w:val="both"/>
        <w:rPr>
          <w:rFonts w:ascii="Times New Roman" w:hAnsi="Times New Roman"/>
          <w:b/>
          <w:i/>
          <w:color w:val="000000"/>
          <w:sz w:val="24"/>
          <w:szCs w:val="24"/>
        </w:rPr>
      </w:pPr>
    </w:p>
    <w:p w:rsidR="007F553A" w:rsidRPr="004925A9" w:rsidRDefault="007F553A" w:rsidP="009A59E7">
      <w:pPr>
        <w:tabs>
          <w:tab w:val="left" w:pos="1890"/>
        </w:tabs>
        <w:jc w:val="both"/>
        <w:rPr>
          <w:rFonts w:ascii="Times New Roman" w:hAnsi="Times New Roman"/>
          <w:sz w:val="24"/>
          <w:szCs w:val="24"/>
        </w:rPr>
      </w:pPr>
      <w:r w:rsidRPr="004925A9">
        <w:rPr>
          <w:rFonts w:ascii="Times New Roman" w:hAnsi="Times New Roman"/>
          <w:b/>
          <w:i/>
          <w:color w:val="000000"/>
          <w:sz w:val="24"/>
          <w:szCs w:val="24"/>
        </w:rPr>
        <w:t>Drug interactions</w:t>
      </w:r>
      <w:r w:rsidR="009A59E7" w:rsidRPr="004925A9">
        <w:rPr>
          <w:rFonts w:ascii="Times New Roman" w:hAnsi="Times New Roman"/>
          <w:b/>
          <w:i/>
          <w:color w:val="000000"/>
          <w:sz w:val="24"/>
          <w:szCs w:val="24"/>
        </w:rPr>
        <w:t>:</w:t>
      </w:r>
      <w:r w:rsidRPr="004925A9">
        <w:rPr>
          <w:rFonts w:ascii="Times New Roman" w:hAnsi="Times New Roman"/>
          <w:b/>
          <w:i/>
          <w:color w:val="000000"/>
          <w:sz w:val="24"/>
          <w:szCs w:val="24"/>
        </w:rPr>
        <w:t xml:space="preserve"> </w:t>
      </w:r>
      <w:r w:rsidRPr="004925A9">
        <w:rPr>
          <w:rFonts w:ascii="Times New Roman" w:hAnsi="Times New Roman"/>
          <w:color w:val="000000"/>
          <w:sz w:val="24"/>
          <w:szCs w:val="24"/>
        </w:rPr>
        <w:t xml:space="preserve"> </w:t>
      </w:r>
      <w:r w:rsidRPr="004925A9">
        <w:rPr>
          <w:rFonts w:ascii="Times New Roman" w:hAnsi="Times New Roman"/>
          <w:sz w:val="24"/>
          <w:szCs w:val="24"/>
        </w:rPr>
        <w:t>At concentrations substantially higher (~ 300-fold) than those observed in vivo, tenofovir did not inhibit in vitro drug metabolism mediated by any of the following human CYP450 isoforms: CYP3A4, CYP2D6, CYP2C9 or CYP2E1.  However, a small (6%) but statistically significant reduction in metabolism of CYP1A substrate was observed.  Based on the results of in vitro experiments and the known elimination pathway of tenofovir, the potential for CYP450 mediated interactions involving tenofovir with other medicinal products is low (see Pharmacokinetics).</w:t>
      </w:r>
    </w:p>
    <w:p w:rsidR="00A60A8F" w:rsidRPr="004925A9" w:rsidRDefault="00A60A8F" w:rsidP="009A59E7">
      <w:pPr>
        <w:tabs>
          <w:tab w:val="left" w:pos="1890"/>
        </w:tabs>
        <w:jc w:val="both"/>
        <w:rPr>
          <w:rFonts w:ascii="Times New Roman" w:hAnsi="Times New Roman"/>
          <w:sz w:val="24"/>
          <w:szCs w:val="24"/>
        </w:rPr>
      </w:pPr>
    </w:p>
    <w:p w:rsidR="007F553A" w:rsidRPr="004925A9" w:rsidRDefault="007F553A" w:rsidP="009A59E7">
      <w:pPr>
        <w:jc w:val="both"/>
        <w:rPr>
          <w:rFonts w:ascii="Times New Roman" w:hAnsi="Times New Roman"/>
          <w:sz w:val="24"/>
          <w:szCs w:val="24"/>
        </w:rPr>
      </w:pPr>
      <w:r w:rsidRPr="004925A9">
        <w:rPr>
          <w:rFonts w:ascii="Times New Roman" w:hAnsi="Times New Roman"/>
          <w:sz w:val="24"/>
          <w:szCs w:val="24"/>
        </w:rPr>
        <w:t>Tenofovir is primarily excreted by the kidneys by a combination of glomerular filtration and active tubular secretion.  Co-administration of VIREAD with drugs that are eliminated by active tubular secretion may increase serum concentrations of either tenofovir or the co-administered drug, due to competition for this elimination pathway.  Drugs that decrease renal function may also increase serum concentrations of tenofovir.</w:t>
      </w:r>
    </w:p>
    <w:p w:rsidR="005A1898" w:rsidRPr="004925A9" w:rsidRDefault="005A1898" w:rsidP="009A59E7">
      <w:pPr>
        <w:jc w:val="both"/>
        <w:rPr>
          <w:rFonts w:ascii="Times New Roman" w:hAnsi="Times New Roman"/>
          <w:sz w:val="24"/>
          <w:szCs w:val="24"/>
        </w:rPr>
      </w:pPr>
    </w:p>
    <w:p w:rsidR="00927F7D" w:rsidRPr="004925A9" w:rsidRDefault="00927F7D" w:rsidP="009A59E7">
      <w:pPr>
        <w:jc w:val="both"/>
        <w:rPr>
          <w:rFonts w:ascii="Times New Roman" w:hAnsi="Times New Roman"/>
          <w:sz w:val="24"/>
          <w:szCs w:val="24"/>
        </w:rPr>
      </w:pPr>
      <w:r w:rsidRPr="004925A9">
        <w:rPr>
          <w:rFonts w:ascii="Times New Roman" w:hAnsi="Times New Roman"/>
          <w:snapToGrid w:val="0"/>
          <w:sz w:val="24"/>
          <w:szCs w:val="24"/>
        </w:rPr>
        <w:t>VIREAD has been evaluated in healthy volunteers in combination with abacavir, didanosine, efavirenz, emtricitabine</w:t>
      </w:r>
      <w:r w:rsidR="000D56DC" w:rsidRPr="004925A9">
        <w:rPr>
          <w:rFonts w:ascii="Times New Roman" w:hAnsi="Times New Roman"/>
          <w:snapToGrid w:val="0"/>
          <w:sz w:val="24"/>
          <w:szCs w:val="24"/>
        </w:rPr>
        <w:t xml:space="preserve"> (Emtriva</w:t>
      </w:r>
      <w:r w:rsidR="008323B8" w:rsidRPr="004925A9">
        <w:rPr>
          <w:rFonts w:ascii="Times New Roman" w:hAnsi="Times New Roman"/>
          <w:snapToGrid w:val="0"/>
          <w:sz w:val="24"/>
          <w:szCs w:val="24"/>
          <w:vertAlign w:val="superscript"/>
        </w:rPr>
        <w:t>®</w:t>
      </w:r>
      <w:r w:rsidR="000D56DC" w:rsidRPr="004925A9">
        <w:rPr>
          <w:rFonts w:ascii="Times New Roman" w:hAnsi="Times New Roman"/>
          <w:snapToGrid w:val="0"/>
          <w:sz w:val="24"/>
          <w:szCs w:val="24"/>
        </w:rPr>
        <w:t>)</w:t>
      </w:r>
      <w:r w:rsidRPr="004925A9">
        <w:rPr>
          <w:rFonts w:ascii="Times New Roman" w:hAnsi="Times New Roman"/>
          <w:snapToGrid w:val="0"/>
          <w:sz w:val="24"/>
          <w:szCs w:val="24"/>
        </w:rPr>
        <w:t xml:space="preserve">, </w:t>
      </w:r>
      <w:r w:rsidR="00E41DC7" w:rsidRPr="004925A9">
        <w:rPr>
          <w:rFonts w:ascii="Times New Roman" w:hAnsi="Times New Roman"/>
          <w:snapToGrid w:val="0"/>
          <w:sz w:val="24"/>
          <w:szCs w:val="24"/>
        </w:rPr>
        <w:t xml:space="preserve">entecavir, </w:t>
      </w:r>
      <w:r w:rsidRPr="004925A9">
        <w:rPr>
          <w:rFonts w:ascii="Times New Roman" w:hAnsi="Times New Roman"/>
          <w:snapToGrid w:val="0"/>
          <w:sz w:val="24"/>
          <w:szCs w:val="24"/>
        </w:rPr>
        <w:t>indinavir, lamivudine</w:t>
      </w:r>
      <w:r w:rsidR="00E8352A" w:rsidRPr="004925A9">
        <w:rPr>
          <w:rFonts w:ascii="Times New Roman" w:hAnsi="Times New Roman"/>
          <w:snapToGrid w:val="0"/>
          <w:sz w:val="24"/>
          <w:szCs w:val="24"/>
        </w:rPr>
        <w:t xml:space="preserve"> (3TC)</w:t>
      </w:r>
      <w:r w:rsidRPr="004925A9">
        <w:rPr>
          <w:rFonts w:ascii="Times New Roman" w:hAnsi="Times New Roman"/>
          <w:snapToGrid w:val="0"/>
          <w:sz w:val="24"/>
          <w:szCs w:val="24"/>
        </w:rPr>
        <w:t>, lopinavir/ritonavir, methadone,</w:t>
      </w:r>
      <w:r w:rsidR="00E91411" w:rsidRPr="004925A9">
        <w:rPr>
          <w:rFonts w:ascii="Times New Roman" w:hAnsi="Times New Roman"/>
          <w:snapToGrid w:val="0"/>
          <w:sz w:val="24"/>
          <w:szCs w:val="24"/>
        </w:rPr>
        <w:t xml:space="preserve"> </w:t>
      </w:r>
      <w:r w:rsidR="00E91411" w:rsidRPr="004925A9">
        <w:rPr>
          <w:rFonts w:ascii="Times New Roman" w:hAnsi="Times New Roman"/>
          <w:sz w:val="24"/>
          <w:szCs w:val="24"/>
        </w:rPr>
        <w:t>nelfinavir,</w:t>
      </w:r>
      <w:r w:rsidRPr="004925A9">
        <w:rPr>
          <w:rFonts w:ascii="Times New Roman" w:hAnsi="Times New Roman"/>
          <w:snapToGrid w:val="0"/>
          <w:sz w:val="24"/>
          <w:szCs w:val="24"/>
        </w:rPr>
        <w:t xml:space="preserve"> oral contraceptives</w:t>
      </w:r>
      <w:r w:rsidR="00E91411" w:rsidRPr="004925A9">
        <w:rPr>
          <w:rFonts w:ascii="Times New Roman" w:hAnsi="Times New Roman"/>
          <w:snapToGrid w:val="0"/>
          <w:sz w:val="24"/>
          <w:szCs w:val="24"/>
        </w:rPr>
        <w:t>,</w:t>
      </w:r>
      <w:r w:rsidRPr="004925A9">
        <w:rPr>
          <w:rFonts w:ascii="Times New Roman" w:hAnsi="Times New Roman"/>
          <w:snapToGrid w:val="0"/>
          <w:sz w:val="24"/>
          <w:szCs w:val="24"/>
        </w:rPr>
        <w:t xml:space="preserve"> ribavirin</w:t>
      </w:r>
      <w:r w:rsidR="00E91411" w:rsidRPr="004925A9">
        <w:rPr>
          <w:rFonts w:ascii="Times New Roman" w:hAnsi="Times New Roman"/>
          <w:snapToGrid w:val="0"/>
          <w:sz w:val="24"/>
          <w:szCs w:val="24"/>
        </w:rPr>
        <w:t xml:space="preserve"> </w:t>
      </w:r>
      <w:r w:rsidR="00E91411" w:rsidRPr="004925A9">
        <w:rPr>
          <w:rFonts w:ascii="Times New Roman" w:hAnsi="Times New Roman"/>
          <w:sz w:val="24"/>
          <w:szCs w:val="24"/>
        </w:rPr>
        <w:t>saquinavir/ritonavir</w:t>
      </w:r>
      <w:r w:rsidR="00E41DC7" w:rsidRPr="004925A9">
        <w:rPr>
          <w:rFonts w:ascii="Times New Roman" w:hAnsi="Times New Roman"/>
          <w:sz w:val="24"/>
          <w:szCs w:val="24"/>
        </w:rPr>
        <w:t xml:space="preserve"> and tacrolimus</w:t>
      </w:r>
      <w:r w:rsidRPr="004925A9">
        <w:rPr>
          <w:rFonts w:ascii="Times New Roman" w:hAnsi="Times New Roman"/>
          <w:snapToGrid w:val="0"/>
          <w:sz w:val="24"/>
          <w:szCs w:val="24"/>
        </w:rPr>
        <w:t xml:space="preserve">.  </w:t>
      </w:r>
      <w:r w:rsidRPr="004925A9">
        <w:rPr>
          <w:rFonts w:ascii="Times New Roman" w:hAnsi="Times New Roman"/>
          <w:sz w:val="24"/>
          <w:szCs w:val="24"/>
        </w:rPr>
        <w:t>Tables 2 and 3 summari</w:t>
      </w:r>
      <w:r w:rsidR="00090267" w:rsidRPr="004925A9">
        <w:rPr>
          <w:rFonts w:ascii="Times New Roman" w:hAnsi="Times New Roman"/>
          <w:sz w:val="24"/>
          <w:szCs w:val="24"/>
        </w:rPr>
        <w:t>s</w:t>
      </w:r>
      <w:r w:rsidRPr="004925A9">
        <w:rPr>
          <w:rFonts w:ascii="Times New Roman" w:hAnsi="Times New Roman"/>
          <w:sz w:val="24"/>
          <w:szCs w:val="24"/>
        </w:rPr>
        <w:t xml:space="preserve">e pharmacokinetic effects of co-administered drug on tenofovir pharmacokinetics and effects of VIREAD on the pharmacokinetics of co-administered drug. </w:t>
      </w:r>
    </w:p>
    <w:p w:rsidR="005A6CA0" w:rsidRPr="004925A9" w:rsidRDefault="005A6CA0" w:rsidP="005A6CA0">
      <w:pPr>
        <w:jc w:val="both"/>
        <w:rPr>
          <w:rFonts w:ascii="Times New Roman" w:hAnsi="Times New Roman"/>
          <w:sz w:val="24"/>
          <w:szCs w:val="24"/>
        </w:rPr>
      </w:pPr>
    </w:p>
    <w:p w:rsidR="005A6CA0" w:rsidRPr="004925A9" w:rsidRDefault="005A6CA0" w:rsidP="005A6CA0">
      <w:pPr>
        <w:jc w:val="both"/>
        <w:rPr>
          <w:rFonts w:ascii="Times New Roman" w:hAnsi="Times New Roman"/>
          <w:sz w:val="24"/>
          <w:szCs w:val="24"/>
        </w:rPr>
      </w:pPr>
      <w:r w:rsidRPr="004925A9">
        <w:rPr>
          <w:rFonts w:ascii="Times New Roman" w:hAnsi="Times New Roman"/>
          <w:sz w:val="24"/>
          <w:szCs w:val="24"/>
        </w:rPr>
        <w:t>When unboosted atazanavir (400 mg) was co-administered with tenofovir disoproxil fumarate, atazanavir increased tenofovir C</w:t>
      </w:r>
      <w:r w:rsidRPr="004925A9">
        <w:rPr>
          <w:rFonts w:ascii="Times New Roman" w:hAnsi="Times New Roman"/>
          <w:sz w:val="24"/>
          <w:szCs w:val="24"/>
          <w:vertAlign w:val="subscript"/>
        </w:rPr>
        <w:t>max</w:t>
      </w:r>
      <w:r w:rsidRPr="004925A9">
        <w:rPr>
          <w:rFonts w:ascii="Times New Roman" w:hAnsi="Times New Roman"/>
          <w:sz w:val="24"/>
          <w:szCs w:val="24"/>
        </w:rPr>
        <w:t xml:space="preserve"> by 14% and AUC by 24%.  Similarly, lopinavir (400 mg)/ritonavir (100 mg) i</w:t>
      </w:r>
      <w:r w:rsidR="00426549" w:rsidRPr="004925A9">
        <w:rPr>
          <w:rFonts w:ascii="Times New Roman" w:hAnsi="Times New Roman"/>
          <w:sz w:val="24"/>
          <w:szCs w:val="24"/>
        </w:rPr>
        <w:t>ncreased tenofovir AUC by 32%.</w:t>
      </w:r>
    </w:p>
    <w:p w:rsidR="009A59E7" w:rsidRPr="004925A9" w:rsidRDefault="009A59E7" w:rsidP="009A59E7">
      <w:pPr>
        <w:jc w:val="both"/>
        <w:rPr>
          <w:rFonts w:ascii="Times New Roman" w:hAnsi="Times New Roman"/>
          <w:sz w:val="24"/>
          <w:szCs w:val="24"/>
        </w:rPr>
      </w:pPr>
    </w:p>
    <w:p w:rsidR="00927F7D" w:rsidRPr="004925A9" w:rsidRDefault="007651F2" w:rsidP="009A59E7">
      <w:pPr>
        <w:jc w:val="both"/>
        <w:rPr>
          <w:rFonts w:ascii="Times New Roman" w:hAnsi="Times New Roman"/>
          <w:sz w:val="24"/>
          <w:szCs w:val="24"/>
        </w:rPr>
      </w:pPr>
      <w:r w:rsidRPr="004925A9">
        <w:rPr>
          <w:rFonts w:ascii="Times New Roman" w:hAnsi="Times New Roman"/>
          <w:sz w:val="24"/>
          <w:szCs w:val="24"/>
        </w:rPr>
        <w:t xml:space="preserve">Co-administration of tenofovir disoproxil fumarate with didanosine and atazanavir results in changes in the pharmacokinetics of didanosine and atazanavir that may be of clinical significance.  </w:t>
      </w:r>
      <w:r w:rsidR="00927F7D" w:rsidRPr="004925A9">
        <w:rPr>
          <w:rFonts w:ascii="Times New Roman" w:hAnsi="Times New Roman"/>
          <w:sz w:val="24"/>
          <w:szCs w:val="24"/>
        </w:rPr>
        <w:t>Table 4 summari</w:t>
      </w:r>
      <w:r w:rsidR="00090267" w:rsidRPr="004925A9">
        <w:rPr>
          <w:rFonts w:ascii="Times New Roman" w:hAnsi="Times New Roman"/>
          <w:sz w:val="24"/>
          <w:szCs w:val="24"/>
        </w:rPr>
        <w:t>s</w:t>
      </w:r>
      <w:r w:rsidR="00927F7D" w:rsidRPr="004925A9">
        <w:rPr>
          <w:rFonts w:ascii="Times New Roman" w:hAnsi="Times New Roman"/>
          <w:sz w:val="24"/>
          <w:szCs w:val="24"/>
        </w:rPr>
        <w:t>es the drug interaction between VIREAD and didanosine.  When administered with multiple doses of VIREAD, the C</w:t>
      </w:r>
      <w:r w:rsidR="00927F7D" w:rsidRPr="004925A9">
        <w:rPr>
          <w:rFonts w:ascii="Times New Roman" w:hAnsi="Times New Roman"/>
          <w:sz w:val="24"/>
          <w:szCs w:val="24"/>
          <w:vertAlign w:val="subscript"/>
        </w:rPr>
        <w:t>max</w:t>
      </w:r>
      <w:r w:rsidR="00927F7D" w:rsidRPr="004925A9">
        <w:rPr>
          <w:rFonts w:ascii="Times New Roman" w:hAnsi="Times New Roman"/>
          <w:sz w:val="24"/>
          <w:szCs w:val="24"/>
        </w:rPr>
        <w:t xml:space="preserve"> and AUC of didanosine 400 mg increased significantly.  The mechanism of this interaction is unknown.  When didanosine 250 mg enteric-coated capsules were administered with VIREAD, systemic exposures to didanosine were similar </w:t>
      </w:r>
      <w:r w:rsidR="00927F7D" w:rsidRPr="004925A9">
        <w:rPr>
          <w:rFonts w:ascii="Times New Roman" w:hAnsi="Times New Roman"/>
          <w:sz w:val="24"/>
          <w:szCs w:val="24"/>
        </w:rPr>
        <w:lastRenderedPageBreak/>
        <w:t>to those seen with the 400 mg enteric-coated capsules alone under fasted conditions</w:t>
      </w:r>
      <w:r w:rsidR="00090267" w:rsidRPr="004925A9">
        <w:rPr>
          <w:rFonts w:ascii="Times New Roman" w:hAnsi="Times New Roman"/>
          <w:sz w:val="24"/>
          <w:szCs w:val="24"/>
        </w:rPr>
        <w:t xml:space="preserve"> (see PRECAUTIONS)</w:t>
      </w:r>
      <w:r w:rsidR="00927F7D" w:rsidRPr="004925A9">
        <w:rPr>
          <w:rFonts w:ascii="Times New Roman" w:hAnsi="Times New Roman"/>
          <w:sz w:val="24"/>
          <w:szCs w:val="24"/>
        </w:rPr>
        <w:t>.</w:t>
      </w:r>
    </w:p>
    <w:p w:rsidR="00960E4B" w:rsidRDefault="00960E4B" w:rsidP="009A59E7">
      <w:pPr>
        <w:pStyle w:val="TableHeading"/>
        <w:keepNext w:val="0"/>
        <w:keepLines w:val="0"/>
        <w:spacing w:before="0" w:after="0"/>
        <w:jc w:val="both"/>
        <w:rPr>
          <w:b w:val="0"/>
          <w:sz w:val="22"/>
          <w:szCs w:val="22"/>
          <w:lang w:val="en-AU"/>
        </w:rPr>
      </w:pPr>
    </w:p>
    <w:p w:rsidR="00927F7D" w:rsidRPr="009A59E7" w:rsidRDefault="00D92EAF" w:rsidP="009A59E7">
      <w:pPr>
        <w:pStyle w:val="TableHeading"/>
        <w:keepNext w:val="0"/>
        <w:keepLines w:val="0"/>
        <w:spacing w:before="0" w:after="0"/>
        <w:jc w:val="both"/>
        <w:rPr>
          <w:sz w:val="22"/>
          <w:lang w:val="en-AU"/>
        </w:rPr>
      </w:pPr>
      <w:r>
        <w:rPr>
          <w:sz w:val="22"/>
          <w:lang w:val="en-AU"/>
        </w:rPr>
        <w:br w:type="page"/>
      </w:r>
      <w:r w:rsidR="00927F7D" w:rsidRPr="009A59E7">
        <w:rPr>
          <w:sz w:val="22"/>
          <w:lang w:val="en-AU"/>
        </w:rPr>
        <w:lastRenderedPageBreak/>
        <w:t xml:space="preserve">Table 2. </w:t>
      </w:r>
      <w:r w:rsidR="00927F7D" w:rsidRPr="009A59E7">
        <w:rPr>
          <w:sz w:val="22"/>
          <w:lang w:val="en-AU"/>
        </w:rPr>
        <w:tab/>
        <w:t>Drug Interactions: Changes in Pharmacokinetic Parameters for Tenofovir</w:t>
      </w:r>
      <w:r w:rsidR="00927F7D" w:rsidRPr="009A59E7">
        <w:rPr>
          <w:sz w:val="22"/>
          <w:vertAlign w:val="superscript"/>
          <w:lang w:val="en-AU"/>
        </w:rPr>
        <w:t>1</w:t>
      </w:r>
      <w:r w:rsidR="00927F7D" w:rsidRPr="009A59E7">
        <w:rPr>
          <w:sz w:val="22"/>
          <w:lang w:val="en-AU"/>
        </w:rPr>
        <w:t xml:space="preserve"> in the </w:t>
      </w:r>
      <w:r w:rsidR="001555F7">
        <w:rPr>
          <w:sz w:val="22"/>
          <w:lang w:val="en-AU"/>
        </w:rPr>
        <w:tab/>
      </w:r>
      <w:r w:rsidR="001555F7">
        <w:rPr>
          <w:sz w:val="22"/>
          <w:lang w:val="en-AU"/>
        </w:rPr>
        <w:tab/>
      </w:r>
      <w:r w:rsidR="001555F7">
        <w:rPr>
          <w:sz w:val="22"/>
          <w:lang w:val="en-AU"/>
        </w:rPr>
        <w:tab/>
      </w:r>
      <w:r w:rsidR="00927F7D" w:rsidRPr="009A59E7">
        <w:rPr>
          <w:sz w:val="22"/>
          <w:lang w:val="en-AU"/>
        </w:rPr>
        <w:t>Presence of the Co-administered Drug</w:t>
      </w:r>
    </w:p>
    <w:tbl>
      <w:tblPr>
        <w:tblW w:w="9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20"/>
        <w:gridCol w:w="2633"/>
        <w:gridCol w:w="709"/>
        <w:gridCol w:w="1417"/>
        <w:gridCol w:w="1418"/>
        <w:gridCol w:w="1347"/>
      </w:tblGrid>
      <w:tr w:rsidR="00927F7D" w:rsidRPr="009A59E7" w:rsidTr="00C43947">
        <w:trPr>
          <w:cantSplit/>
        </w:trPr>
        <w:tc>
          <w:tcPr>
            <w:tcW w:w="16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b/>
              </w:rPr>
            </w:pPr>
            <w:r w:rsidRPr="009A59E7">
              <w:rPr>
                <w:rFonts w:ascii="Times New Roman" w:hAnsi="Times New Roman"/>
                <w:b/>
              </w:rPr>
              <w:t>Co-administered Drug</w:t>
            </w:r>
          </w:p>
        </w:tc>
        <w:tc>
          <w:tcPr>
            <w:tcW w:w="263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b/>
              </w:rPr>
            </w:pPr>
            <w:r w:rsidRPr="009A59E7">
              <w:rPr>
                <w:rFonts w:ascii="Times New Roman" w:hAnsi="Times New Roman"/>
                <w:b/>
              </w:rPr>
              <w:t>Dose of Co-administered Drug (mg)</w:t>
            </w:r>
          </w:p>
        </w:tc>
        <w:tc>
          <w:tcPr>
            <w:tcW w:w="70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b/>
              </w:rPr>
            </w:pPr>
            <w:r w:rsidRPr="009A59E7">
              <w:rPr>
                <w:rFonts w:ascii="Times New Roman" w:hAnsi="Times New Roman"/>
                <w:b/>
              </w:rPr>
              <w:t>N</w:t>
            </w:r>
          </w:p>
        </w:tc>
        <w:tc>
          <w:tcPr>
            <w:tcW w:w="4182" w:type="dxa"/>
            <w:gridSpan w:val="3"/>
            <w:tcBorders>
              <w:top w:val="single" w:sz="6" w:space="0" w:color="auto"/>
              <w:left w:val="single" w:sz="6" w:space="0" w:color="auto"/>
              <w:bottom w:val="single" w:sz="6" w:space="0" w:color="auto"/>
              <w:right w:val="single" w:sz="6" w:space="0" w:color="auto"/>
            </w:tcBorders>
            <w:shd w:val="clear" w:color="auto" w:fill="auto"/>
          </w:tcPr>
          <w:p w:rsidR="00927F7D" w:rsidRPr="009A59E7" w:rsidRDefault="00927F7D">
            <w:pPr>
              <w:spacing w:before="60"/>
              <w:jc w:val="center"/>
              <w:rPr>
                <w:rFonts w:ascii="Times New Roman" w:hAnsi="Times New Roman"/>
                <w:b/>
              </w:rPr>
            </w:pPr>
            <w:r w:rsidRPr="009A59E7">
              <w:rPr>
                <w:rFonts w:ascii="Times New Roman" w:hAnsi="Times New Roman"/>
                <w:b/>
              </w:rPr>
              <w:t>% Change of Tenofovir Pharmacokinetic Parameters</w:t>
            </w:r>
            <w:r w:rsidRPr="009A59E7">
              <w:rPr>
                <w:rFonts w:ascii="Times New Roman" w:hAnsi="Times New Roman"/>
                <w:b/>
                <w:vertAlign w:val="superscript"/>
              </w:rPr>
              <w:t>2</w:t>
            </w:r>
          </w:p>
          <w:p w:rsidR="00927F7D" w:rsidRPr="009A59E7" w:rsidRDefault="00927F7D">
            <w:pPr>
              <w:spacing w:after="60"/>
              <w:jc w:val="center"/>
              <w:rPr>
                <w:rFonts w:ascii="Times New Roman" w:hAnsi="Times New Roman"/>
                <w:b/>
              </w:rPr>
            </w:pPr>
            <w:r w:rsidRPr="009A59E7">
              <w:rPr>
                <w:rFonts w:ascii="Times New Roman" w:hAnsi="Times New Roman"/>
                <w:b/>
              </w:rPr>
              <w:t>(90% CI)</w:t>
            </w:r>
          </w:p>
        </w:tc>
      </w:tr>
      <w:tr w:rsidR="00927F7D" w:rsidRPr="009A59E7" w:rsidTr="00C43947">
        <w:trPr>
          <w:cantSplit/>
        </w:trPr>
        <w:tc>
          <w:tcPr>
            <w:tcW w:w="162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rPr>
                <w:rFonts w:ascii="Times New Roman" w:hAnsi="Times New Roman"/>
                <w:b/>
              </w:rPr>
            </w:pPr>
          </w:p>
        </w:tc>
        <w:tc>
          <w:tcPr>
            <w:tcW w:w="2633"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rPr>
                <w:rFonts w:ascii="Times New Roman" w:hAnsi="Times New Roman"/>
                <w:b/>
              </w:rPr>
            </w:pPr>
          </w:p>
        </w:tc>
        <w:tc>
          <w:tcPr>
            <w:tcW w:w="709"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rPr>
                <w:rFonts w:ascii="Times New Roman" w:hAnsi="Times New Roman"/>
                <w:b/>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927F7D" w:rsidRPr="009A59E7" w:rsidRDefault="00927F7D">
            <w:pPr>
              <w:spacing w:before="60" w:after="60"/>
              <w:jc w:val="center"/>
              <w:rPr>
                <w:rFonts w:ascii="Times New Roman" w:hAnsi="Times New Roman"/>
                <w:b/>
              </w:rPr>
            </w:pPr>
            <w:r w:rsidRPr="009A59E7">
              <w:rPr>
                <w:rFonts w:ascii="Times New Roman" w:hAnsi="Times New Roman"/>
                <w:b/>
              </w:rPr>
              <w:t>C</w:t>
            </w:r>
            <w:r w:rsidRPr="009A59E7">
              <w:rPr>
                <w:rFonts w:ascii="Times New Roman" w:hAnsi="Times New Roman"/>
                <w:b/>
                <w:vertAlign w:val="subscript"/>
              </w:rPr>
              <w:t>max</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27F7D" w:rsidRPr="009A59E7" w:rsidRDefault="00927F7D">
            <w:pPr>
              <w:spacing w:before="60" w:after="60"/>
              <w:jc w:val="center"/>
              <w:rPr>
                <w:rFonts w:ascii="Times New Roman" w:hAnsi="Times New Roman"/>
                <w:b/>
              </w:rPr>
            </w:pPr>
            <w:r w:rsidRPr="009A59E7">
              <w:rPr>
                <w:rFonts w:ascii="Times New Roman" w:hAnsi="Times New Roman"/>
                <w:b/>
              </w:rPr>
              <w:t>AUC</w:t>
            </w:r>
          </w:p>
        </w:tc>
        <w:tc>
          <w:tcPr>
            <w:tcW w:w="1347" w:type="dxa"/>
            <w:tcBorders>
              <w:top w:val="single" w:sz="6" w:space="0" w:color="auto"/>
              <w:left w:val="single" w:sz="6" w:space="0" w:color="auto"/>
              <w:bottom w:val="single" w:sz="6" w:space="0" w:color="auto"/>
              <w:right w:val="single" w:sz="6" w:space="0" w:color="auto"/>
            </w:tcBorders>
            <w:shd w:val="clear" w:color="auto" w:fill="auto"/>
          </w:tcPr>
          <w:p w:rsidR="00927F7D" w:rsidRPr="009A59E7" w:rsidRDefault="00927F7D">
            <w:pPr>
              <w:spacing w:before="60" w:after="60"/>
              <w:jc w:val="center"/>
              <w:rPr>
                <w:rFonts w:ascii="Times New Roman" w:hAnsi="Times New Roman"/>
                <w:b/>
              </w:rPr>
            </w:pPr>
            <w:r w:rsidRPr="009A59E7">
              <w:rPr>
                <w:rFonts w:ascii="Times New Roman" w:hAnsi="Times New Roman"/>
                <w:b/>
              </w:rPr>
              <w:t>C</w:t>
            </w:r>
            <w:r w:rsidRPr="009A59E7">
              <w:rPr>
                <w:rFonts w:ascii="Times New Roman" w:hAnsi="Times New Roman"/>
                <w:b/>
                <w:vertAlign w:val="subscript"/>
              </w:rPr>
              <w:t>min</w:t>
            </w:r>
          </w:p>
        </w:tc>
      </w:tr>
      <w:tr w:rsidR="00927F7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rPr>
                <w:rFonts w:ascii="Times New Roman" w:hAnsi="Times New Roman"/>
              </w:rPr>
            </w:pPr>
            <w:r w:rsidRPr="009A59E7">
              <w:rPr>
                <w:rFonts w:ascii="Times New Roman" w:hAnsi="Times New Roman"/>
              </w:rPr>
              <w:t>Abacavir</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300 once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pStyle w:val="Table-Heading"/>
              <w:keepNext w:val="0"/>
              <w:keepLines w:val="0"/>
              <w:tabs>
                <w:tab w:val="clear" w:pos="360"/>
              </w:tabs>
              <w:spacing w:before="60" w:after="60"/>
              <w:jc w:val="center"/>
              <w:rPr>
                <w:b w:val="0"/>
                <w:lang w:val="en-AU"/>
              </w:rPr>
            </w:pPr>
            <w:r w:rsidRPr="009A59E7">
              <w:rPr>
                <w:b w:val="0"/>
                <w:lang w:val="en-AU"/>
              </w:rPr>
              <w:t>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t>NC</w:t>
            </w:r>
          </w:p>
        </w:tc>
      </w:tr>
      <w:tr w:rsidR="00F750BB"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F750BB" w:rsidRPr="009A59E7" w:rsidRDefault="00F750BB">
            <w:pPr>
              <w:spacing w:before="60" w:after="60"/>
              <w:rPr>
                <w:rFonts w:ascii="Times New Roman" w:hAnsi="Times New Roman"/>
              </w:rPr>
            </w:pPr>
            <w:r>
              <w:rPr>
                <w:rFonts w:ascii="Times New Roman" w:hAnsi="Times New Roman"/>
              </w:rPr>
              <w:t>Atazanavir</w:t>
            </w:r>
            <w:r w:rsidR="00DA2B81">
              <w:rPr>
                <w:rFonts w:ascii="Times New Roman" w:hAnsi="Times New Roman"/>
                <w:vertAlign w:val="superscript"/>
              </w:rPr>
              <w:t>3</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F750BB" w:rsidRPr="009A59E7" w:rsidRDefault="00F750BB">
            <w:pPr>
              <w:spacing w:before="60" w:after="60"/>
              <w:jc w:val="center"/>
              <w:rPr>
                <w:rFonts w:ascii="Times New Roman" w:hAnsi="Times New Roman"/>
              </w:rPr>
            </w:pPr>
            <w:r>
              <w:rPr>
                <w:rFonts w:ascii="Times New Roman" w:hAnsi="Times New Roman"/>
              </w:rPr>
              <w:t>400 once daily x 14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F750BB" w:rsidRPr="009A59E7" w:rsidRDefault="00F750BB">
            <w:pPr>
              <w:pStyle w:val="Table-Heading"/>
              <w:keepNext w:val="0"/>
              <w:keepLines w:val="0"/>
              <w:tabs>
                <w:tab w:val="clear" w:pos="360"/>
              </w:tabs>
              <w:spacing w:before="60" w:after="60"/>
              <w:jc w:val="center"/>
              <w:rPr>
                <w:b w:val="0"/>
                <w:lang w:val="en-AU"/>
              </w:rPr>
            </w:pPr>
            <w:r>
              <w:rPr>
                <w:b w:val="0"/>
                <w:lang w:val="en-AU"/>
              </w:rPr>
              <w:t>33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F750BB" w:rsidRPr="009A59E7" w:rsidRDefault="00F750BB" w:rsidP="00F750BB">
            <w:pPr>
              <w:spacing w:before="60"/>
              <w:jc w:val="center"/>
              <w:rPr>
                <w:rFonts w:ascii="Times New Roman" w:hAnsi="Times New Roman"/>
              </w:rPr>
            </w:pPr>
            <w:r w:rsidRPr="009A59E7">
              <w:rPr>
                <w:rFonts w:ascii="Times New Roman" w:hAnsi="Times New Roman"/>
                <w:noProof/>
              </w:rPr>
              <w:sym w:font="Symbol" w:char="00AD"/>
            </w:r>
            <w:r w:rsidRPr="009A59E7">
              <w:rPr>
                <w:rFonts w:ascii="Times New Roman" w:hAnsi="Times New Roman"/>
                <w:noProof/>
              </w:rPr>
              <w:t xml:space="preserve"> 14</w:t>
            </w:r>
          </w:p>
          <w:p w:rsidR="00F750BB" w:rsidRPr="009A59E7" w:rsidRDefault="00F750BB" w:rsidP="00F750BB">
            <w:pPr>
              <w:spacing w:before="60" w:after="60"/>
              <w:jc w:val="center"/>
              <w:rPr>
                <w:rFonts w:ascii="Times New Roman" w:hAnsi="Times New Roman"/>
                <w:noProof/>
              </w:rPr>
            </w:pPr>
            <w:r w:rsidRPr="009A59E7">
              <w:rPr>
                <w:rFonts w:ascii="Times New Roman" w:hAnsi="Times New Roman"/>
              </w:rPr>
              <w:t>(</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8</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20</w:t>
            </w:r>
            <w:r w:rsidRPr="009A59E7">
              <w:rPr>
                <w:rFonts w:ascii="Times New Roman" w:hAnsi="Times New Roman"/>
              </w:rPr>
              <w:t>)</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750BB" w:rsidRPr="009A59E7" w:rsidRDefault="00F750BB" w:rsidP="00F750BB">
            <w:pPr>
              <w:spacing w:before="60"/>
              <w:jc w:val="center"/>
              <w:rPr>
                <w:rFonts w:ascii="Times New Roman" w:hAnsi="Times New Roman"/>
              </w:rPr>
            </w:pPr>
            <w:r w:rsidRPr="009A59E7">
              <w:rPr>
                <w:rFonts w:ascii="Times New Roman" w:hAnsi="Times New Roman"/>
                <w:noProof/>
              </w:rPr>
              <w:sym w:font="Symbol" w:char="00AD"/>
            </w:r>
            <w:r>
              <w:rPr>
                <w:rFonts w:ascii="Times New Roman" w:hAnsi="Times New Roman"/>
                <w:noProof/>
              </w:rPr>
              <w:t xml:space="preserve"> 2</w:t>
            </w:r>
            <w:r w:rsidRPr="009A59E7">
              <w:rPr>
                <w:rFonts w:ascii="Times New Roman" w:hAnsi="Times New Roman"/>
                <w:noProof/>
              </w:rPr>
              <w:t>4</w:t>
            </w:r>
          </w:p>
          <w:p w:rsidR="00F750BB" w:rsidRPr="009A59E7" w:rsidRDefault="00F750BB" w:rsidP="00F750BB">
            <w:pPr>
              <w:spacing w:before="60" w:after="60"/>
              <w:jc w:val="center"/>
              <w:rPr>
                <w:rFonts w:ascii="Times New Roman" w:hAnsi="Times New Roman"/>
                <w:noProof/>
              </w:rPr>
            </w:pPr>
            <w:r w:rsidRPr="009A59E7">
              <w:rPr>
                <w:rFonts w:ascii="Times New Roman" w:hAnsi="Times New Roman"/>
              </w:rPr>
              <w:t>(</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21</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28</w:t>
            </w:r>
            <w:r w:rsidRPr="009A59E7">
              <w:rPr>
                <w:rFonts w:ascii="Times New Roman" w:hAnsi="Times New Roman"/>
              </w:rPr>
              <w:t>)</w:t>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F750BB" w:rsidRPr="009A59E7" w:rsidRDefault="00F750BB" w:rsidP="00F750BB">
            <w:pPr>
              <w:spacing w:before="60"/>
              <w:jc w:val="center"/>
              <w:rPr>
                <w:rFonts w:ascii="Times New Roman" w:hAnsi="Times New Roman"/>
              </w:rPr>
            </w:pPr>
            <w:r w:rsidRPr="009A59E7">
              <w:rPr>
                <w:rFonts w:ascii="Times New Roman" w:hAnsi="Times New Roman"/>
                <w:noProof/>
              </w:rPr>
              <w:sym w:font="Symbol" w:char="00AD"/>
            </w:r>
            <w:r>
              <w:rPr>
                <w:rFonts w:ascii="Times New Roman" w:hAnsi="Times New Roman"/>
                <w:noProof/>
              </w:rPr>
              <w:t xml:space="preserve"> 22</w:t>
            </w:r>
          </w:p>
          <w:p w:rsidR="00F750BB" w:rsidRPr="009A59E7" w:rsidRDefault="00F750BB" w:rsidP="00F750BB">
            <w:pPr>
              <w:spacing w:before="60" w:after="60"/>
              <w:jc w:val="center"/>
              <w:rPr>
                <w:rFonts w:ascii="Times New Roman" w:hAnsi="Times New Roman"/>
                <w:noProof/>
              </w:rPr>
            </w:pPr>
            <w:r w:rsidRPr="009A59E7">
              <w:rPr>
                <w:rFonts w:ascii="Times New Roman" w:hAnsi="Times New Roman"/>
              </w:rPr>
              <w:t>(</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15</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30</w:t>
            </w:r>
            <w:r w:rsidRPr="009A59E7">
              <w:rPr>
                <w:rFonts w:ascii="Times New Roman" w:hAnsi="Times New Roman"/>
              </w:rPr>
              <w:t>)</w:t>
            </w:r>
          </w:p>
        </w:tc>
      </w:tr>
      <w:tr w:rsidR="00927F7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rPr>
                <w:rFonts w:ascii="Times New Roman" w:hAnsi="Times New Roman"/>
              </w:rPr>
            </w:pPr>
            <w:r w:rsidRPr="009A59E7">
              <w:rPr>
                <w:rFonts w:ascii="Times New Roman" w:hAnsi="Times New Roman"/>
              </w:rPr>
              <w:t>Didanosine (enteric-coated)</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400 once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pStyle w:val="Table-Heading"/>
              <w:keepNext w:val="0"/>
              <w:keepLines w:val="0"/>
              <w:tabs>
                <w:tab w:val="clear" w:pos="360"/>
              </w:tabs>
              <w:spacing w:before="60" w:after="60"/>
              <w:jc w:val="center"/>
              <w:rPr>
                <w:lang w:val="en-AU"/>
              </w:rPr>
            </w:pPr>
            <w:r w:rsidRPr="009A59E7">
              <w:rPr>
                <w:b w:val="0"/>
                <w:lang w:val="en-AU"/>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r>
      <w:tr w:rsidR="00927F7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rPr>
                <w:rFonts w:ascii="Times New Roman" w:hAnsi="Times New Roman"/>
              </w:rPr>
            </w:pPr>
            <w:r w:rsidRPr="009A59E7">
              <w:rPr>
                <w:rFonts w:ascii="Times New Roman" w:hAnsi="Times New Roman"/>
              </w:rPr>
              <w:t>Didanosine (buffered)</w:t>
            </w:r>
            <w:r w:rsidR="00DA2B81">
              <w:rPr>
                <w:rFonts w:ascii="Times New Roman" w:hAnsi="Times New Roman"/>
                <w:vertAlign w:val="superscript"/>
              </w:rPr>
              <w:t>4</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250 or 400 once daily x 7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pStyle w:val="Table-Heading"/>
              <w:keepNext w:val="0"/>
              <w:keepLines w:val="0"/>
              <w:tabs>
                <w:tab w:val="clear" w:pos="360"/>
              </w:tabs>
              <w:spacing w:before="60" w:after="60"/>
              <w:jc w:val="center"/>
              <w:rPr>
                <w:b w:val="0"/>
                <w:lang w:val="en-AU"/>
              </w:rPr>
            </w:pPr>
            <w:r w:rsidRPr="009A59E7">
              <w:rPr>
                <w:b w:val="0"/>
                <w:lang w:val="en-AU"/>
              </w:rPr>
              <w:t>14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r>
      <w:tr w:rsidR="00927F7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B9645B" w:rsidRDefault="00927F7D" w:rsidP="00B9645B">
            <w:pPr>
              <w:pStyle w:val="CommentText"/>
              <w:spacing w:before="60" w:after="60"/>
              <w:jc w:val="left"/>
              <w:rPr>
                <w:sz w:val="20"/>
                <w:lang w:val="en-AU"/>
              </w:rPr>
            </w:pPr>
            <w:r w:rsidRPr="00B9645B">
              <w:rPr>
                <w:sz w:val="20"/>
                <w:lang w:val="en-AU"/>
              </w:rPr>
              <w:t xml:space="preserve">Efavirenz </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after="60"/>
              <w:jc w:val="center"/>
              <w:rPr>
                <w:rFonts w:ascii="Times New Roman" w:hAnsi="Times New Roman"/>
              </w:rPr>
            </w:pPr>
            <w:r w:rsidRPr="009A59E7">
              <w:rPr>
                <w:rFonts w:ascii="Times New Roman" w:hAnsi="Times New Roman"/>
              </w:rPr>
              <w:t>600 once daily x 14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pStyle w:val="Table-Heading"/>
              <w:keepNext w:val="0"/>
              <w:keepLines w:val="0"/>
              <w:tabs>
                <w:tab w:val="clear" w:pos="360"/>
              </w:tabs>
              <w:spacing w:before="60" w:after="60"/>
              <w:jc w:val="center"/>
              <w:rPr>
                <w:b w:val="0"/>
                <w:lang w:val="en-AU"/>
              </w:rPr>
            </w:pPr>
            <w:r w:rsidRPr="009A59E7">
              <w:rPr>
                <w:b w:val="0"/>
                <w:lang w:val="en-AU"/>
              </w:rPr>
              <w:t>29</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r>
      <w:tr w:rsidR="00927F7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rPr>
                <w:rFonts w:ascii="Times New Roman" w:hAnsi="Times New Roman"/>
              </w:rPr>
            </w:pPr>
            <w:r w:rsidRPr="009A59E7">
              <w:rPr>
                <w:rFonts w:ascii="Times New Roman" w:hAnsi="Times New Roman"/>
              </w:rPr>
              <w:t>Emtricitabine</w:t>
            </w:r>
            <w:r w:rsidR="000D56DC" w:rsidRPr="009A59E7">
              <w:rPr>
                <w:rFonts w:ascii="Times New Roman" w:hAnsi="Times New Roman"/>
              </w:rPr>
              <w:t xml:space="preserve"> (Emtriva)</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200 once daily x 7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pStyle w:val="Table-Heading"/>
              <w:keepNext w:val="0"/>
              <w:keepLines w:val="0"/>
              <w:tabs>
                <w:tab w:val="clear" w:pos="360"/>
              </w:tabs>
              <w:spacing w:before="60" w:after="60"/>
              <w:jc w:val="center"/>
              <w:rPr>
                <w:b w:val="0"/>
                <w:lang w:val="en-AU"/>
              </w:rPr>
            </w:pPr>
            <w:r w:rsidRPr="009A59E7">
              <w:rPr>
                <w:b w:val="0"/>
                <w:lang w:val="en-AU"/>
              </w:rPr>
              <w:t>17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Pr>
                <w:rFonts w:ascii="Times New Roman" w:hAnsi="Times New Roman"/>
              </w:rPr>
              <w:t>Entecavir</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042965">
              <w:rPr>
                <w:rFonts w:ascii="Times New Roman" w:hAnsi="Times New Roman"/>
                <w:color w:val="000000"/>
              </w:rPr>
              <w:t>1 mg once daily x 10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pStyle w:val="Table-Heading"/>
              <w:keepNext w:val="0"/>
              <w:keepLines w:val="0"/>
              <w:tabs>
                <w:tab w:val="clear" w:pos="360"/>
              </w:tabs>
              <w:spacing w:before="60" w:after="60"/>
              <w:jc w:val="center"/>
              <w:rPr>
                <w:b w:val="0"/>
                <w:lang w:val="en-AU"/>
              </w:rPr>
            </w:pPr>
            <w:r w:rsidRPr="00042965">
              <w:rPr>
                <w:b w:val="0"/>
                <w:color w:val="000000"/>
                <w:lang w:val="en-AU"/>
              </w:rPr>
              <w:t>28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B9645B" w:rsidRDefault="00134F4D" w:rsidP="00B9645B">
            <w:pPr>
              <w:pStyle w:val="CommentText"/>
              <w:spacing w:before="60" w:after="60"/>
              <w:jc w:val="left"/>
              <w:rPr>
                <w:sz w:val="20"/>
                <w:lang w:val="en-AU"/>
              </w:rPr>
            </w:pPr>
            <w:r w:rsidRPr="00B9645B">
              <w:rPr>
                <w:sz w:val="20"/>
                <w:lang w:val="en-AU"/>
              </w:rPr>
              <w:t>Indinavir</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800 three times daily x 7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pStyle w:val="Table-Heading"/>
              <w:keepNext w:val="0"/>
              <w:keepLines w:val="0"/>
              <w:tabs>
                <w:tab w:val="clear" w:pos="360"/>
              </w:tabs>
              <w:spacing w:before="60" w:after="60"/>
              <w:jc w:val="center"/>
              <w:rPr>
                <w:b w:val="0"/>
                <w:lang w:val="en-AU"/>
              </w:rPr>
            </w:pPr>
            <w:r w:rsidRPr="009A59E7">
              <w:rPr>
                <w:b w:val="0"/>
                <w:lang w:val="en-AU"/>
              </w:rPr>
              <w:t>13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noProof/>
              </w:rPr>
              <w:sym w:font="Symbol" w:char="00AD"/>
            </w:r>
            <w:r w:rsidRPr="009A59E7">
              <w:rPr>
                <w:rFonts w:ascii="Times New Roman" w:hAnsi="Times New Roman"/>
                <w:noProof/>
              </w:rPr>
              <w:t xml:space="preserve"> 14</w:t>
            </w:r>
          </w:p>
          <w:p w:rsidR="00134F4D" w:rsidRPr="009A59E7" w:rsidRDefault="00134F4D">
            <w:pPr>
              <w:spacing w:after="60"/>
              <w:jc w:val="center"/>
              <w:rPr>
                <w:rFonts w:ascii="Times New Roman" w:hAnsi="Times New Roman"/>
                <w:noProof/>
              </w:rPr>
            </w:pPr>
            <w:r w:rsidRPr="009A59E7">
              <w:rPr>
                <w:rFonts w:ascii="Times New Roman" w:hAnsi="Times New Roman"/>
              </w:rPr>
              <w:t>(</w:t>
            </w:r>
            <w:r w:rsidRPr="009A59E7">
              <w:rPr>
                <w:rFonts w:ascii="Times New Roman" w:hAnsi="Times New Roman"/>
              </w:rPr>
              <w:sym w:font="Symbol" w:char="00AF"/>
            </w:r>
            <w:r w:rsidRPr="009A59E7">
              <w:rPr>
                <w:rFonts w:ascii="Times New Roman" w:hAnsi="Times New Roman"/>
              </w:rPr>
              <w:t xml:space="preserve"> 3 to </w:t>
            </w:r>
            <w:r w:rsidRPr="009A59E7">
              <w:rPr>
                <w:rFonts w:ascii="Times New Roman" w:hAnsi="Times New Roman"/>
                <w:noProof/>
              </w:rPr>
              <w:sym w:font="Symbol" w:char="00AD"/>
            </w:r>
            <w:r w:rsidRPr="009A59E7">
              <w:rPr>
                <w:rFonts w:ascii="Times New Roman" w:hAnsi="Times New Roman"/>
                <w:noProof/>
              </w:rPr>
              <w:t xml:space="preserve"> 33</w:t>
            </w:r>
            <w:r w:rsidRPr="009A59E7">
              <w:rPr>
                <w:rFonts w:ascii="Times New Roman" w:hAnsi="Times New Roman"/>
              </w:rPr>
              <w:t>)</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Lamivudine</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150 twice daily x 7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pStyle w:val="Table-Heading"/>
              <w:keepNext w:val="0"/>
              <w:keepLines w:val="0"/>
              <w:tabs>
                <w:tab w:val="clear" w:pos="360"/>
              </w:tabs>
              <w:spacing w:before="60" w:after="60"/>
              <w:jc w:val="center"/>
              <w:rPr>
                <w:b w:val="0"/>
                <w:lang w:val="en-AU"/>
              </w:rPr>
            </w:pPr>
            <w:r w:rsidRPr="009A59E7">
              <w:rPr>
                <w:b w:val="0"/>
                <w:lang w:val="en-AU"/>
              </w:rPr>
              <w:t>15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 xml:space="preserve">Lopinavir/ Ritonavir </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400/100 twice daily x 14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24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noProof/>
              </w:rPr>
              <w:sym w:font="Symbol" w:char="00AD"/>
            </w:r>
            <w:r w:rsidRPr="009A59E7">
              <w:rPr>
                <w:rFonts w:ascii="Times New Roman" w:hAnsi="Times New Roman"/>
                <w:noProof/>
              </w:rPr>
              <w:t xml:space="preserve"> 32</w:t>
            </w:r>
          </w:p>
          <w:p w:rsidR="00134F4D" w:rsidRPr="009A59E7" w:rsidRDefault="00134F4D">
            <w:pPr>
              <w:spacing w:after="60"/>
              <w:jc w:val="center"/>
              <w:rPr>
                <w:rFonts w:ascii="Times New Roman" w:hAnsi="Times New Roman"/>
              </w:rPr>
            </w:pPr>
            <w:r w:rsidRPr="009A59E7">
              <w:rPr>
                <w:rFonts w:ascii="Times New Roman" w:hAnsi="Times New Roman"/>
              </w:rPr>
              <w:t>(</w:t>
            </w:r>
            <w:r w:rsidRPr="009A59E7">
              <w:rPr>
                <w:rFonts w:ascii="Times New Roman" w:hAnsi="Times New Roman"/>
                <w:noProof/>
              </w:rPr>
              <w:sym w:font="Symbol" w:char="00AD"/>
            </w:r>
            <w:r w:rsidRPr="009A59E7">
              <w:rPr>
                <w:rFonts w:ascii="Times New Roman" w:hAnsi="Times New Roman"/>
                <w:noProof/>
              </w:rPr>
              <w:t xml:space="preserve"> </w:t>
            </w:r>
            <w:r w:rsidRPr="009A59E7">
              <w:rPr>
                <w:rFonts w:ascii="Times New Roman" w:hAnsi="Times New Roman"/>
              </w:rPr>
              <w:t xml:space="preserve">26 to </w:t>
            </w:r>
            <w:r w:rsidRPr="009A59E7">
              <w:rPr>
                <w:rFonts w:ascii="Times New Roman" w:hAnsi="Times New Roman"/>
                <w:noProof/>
              </w:rPr>
              <w:sym w:font="Symbol" w:char="00AD"/>
            </w:r>
            <w:r w:rsidRPr="009A59E7">
              <w:rPr>
                <w:rFonts w:ascii="Times New Roman" w:hAnsi="Times New Roman"/>
                <w:noProof/>
              </w:rPr>
              <w:t xml:space="preserve"> </w:t>
            </w:r>
            <w:r w:rsidRPr="009A59E7">
              <w:rPr>
                <w:rFonts w:ascii="Times New Roman" w:hAnsi="Times New Roman"/>
              </w:rPr>
              <w:t>38)</w:t>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noProof/>
              </w:rPr>
              <w:sym w:font="Symbol" w:char="00AD"/>
            </w:r>
            <w:r w:rsidRPr="009A59E7">
              <w:rPr>
                <w:rFonts w:ascii="Times New Roman" w:hAnsi="Times New Roman"/>
                <w:noProof/>
              </w:rPr>
              <w:t xml:space="preserve"> 51</w:t>
            </w:r>
          </w:p>
          <w:p w:rsidR="00134F4D" w:rsidRPr="009A59E7" w:rsidRDefault="00134F4D">
            <w:pPr>
              <w:spacing w:after="60"/>
              <w:jc w:val="center"/>
              <w:rPr>
                <w:rFonts w:ascii="Times New Roman" w:hAnsi="Times New Roman"/>
              </w:rPr>
            </w:pPr>
            <w:r w:rsidRPr="009A59E7">
              <w:rPr>
                <w:rFonts w:ascii="Times New Roman" w:hAnsi="Times New Roman"/>
              </w:rPr>
              <w:t>(</w:t>
            </w:r>
            <w:r w:rsidRPr="009A59E7">
              <w:rPr>
                <w:rFonts w:ascii="Times New Roman" w:hAnsi="Times New Roman"/>
                <w:noProof/>
              </w:rPr>
              <w:sym w:font="Symbol" w:char="00AD"/>
            </w:r>
            <w:r w:rsidRPr="009A59E7">
              <w:rPr>
                <w:rFonts w:ascii="Times New Roman" w:hAnsi="Times New Roman"/>
                <w:noProof/>
              </w:rPr>
              <w:t xml:space="preserve"> 32 to </w:t>
            </w:r>
            <w:r w:rsidRPr="009A59E7">
              <w:rPr>
                <w:rFonts w:ascii="Times New Roman" w:hAnsi="Times New Roman"/>
                <w:noProof/>
              </w:rPr>
              <w:sym w:font="Symbol" w:char="00AD"/>
            </w:r>
            <w:r w:rsidRPr="009A59E7">
              <w:rPr>
                <w:rFonts w:ascii="Times New Roman" w:hAnsi="Times New Roman"/>
                <w:noProof/>
              </w:rPr>
              <w:t xml:space="preserve"> </w:t>
            </w:r>
            <w:r w:rsidRPr="009A59E7">
              <w:rPr>
                <w:rFonts w:ascii="Times New Roman" w:hAnsi="Times New Roman"/>
              </w:rPr>
              <w:t>66)</w:t>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rPr>
                <w:rFonts w:ascii="Times New Roman" w:hAnsi="Times New Roman"/>
              </w:rPr>
            </w:pPr>
            <w:r w:rsidRPr="009A59E7">
              <w:rPr>
                <w:rFonts w:ascii="Times New Roman" w:hAnsi="Times New Roman"/>
              </w:rPr>
              <w:t>Methadone</w:t>
            </w:r>
            <w:r>
              <w:rPr>
                <w:rFonts w:ascii="Times New Roman" w:hAnsi="Times New Roman"/>
                <w:vertAlign w:val="superscript"/>
              </w:rPr>
              <w:t>5</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sidRPr="009A59E7">
              <w:rPr>
                <w:rFonts w:ascii="Times New Roman" w:hAnsi="Times New Roman"/>
              </w:rPr>
              <w:t>40-110 once daily x 14 days</w:t>
            </w:r>
            <w:r w:rsidR="00176069">
              <w:rPr>
                <w:rFonts w:ascii="Times New Roman" w:hAnsi="Times New Roman"/>
                <w:vertAlign w:val="superscript"/>
              </w:rPr>
              <w:t>6</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sidRPr="009A59E7">
              <w:rPr>
                <w:rFonts w:ascii="Times New Roman" w:hAnsi="Times New Roman"/>
              </w:rPr>
              <w:t>13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rPr>
                <w:rFonts w:ascii="Times New Roman" w:hAnsi="Times New Roman"/>
              </w:rPr>
            </w:pPr>
            <w:r>
              <w:rPr>
                <w:rFonts w:ascii="Times New Roman" w:hAnsi="Times New Roman"/>
              </w:rPr>
              <w:t>Nelfinavir</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jc w:val="center"/>
              <w:rPr>
                <w:rFonts w:ascii="Times New Roman" w:hAnsi="Times New Roman"/>
              </w:rPr>
            </w:pPr>
            <w:r>
              <w:rPr>
                <w:rFonts w:ascii="Times New Roman" w:hAnsi="Times New Roman"/>
              </w:rPr>
              <w:t>1250 twice daily x 14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Pr>
                <w:rFonts w:ascii="Times New Roman" w:hAnsi="Times New Roman"/>
              </w:rPr>
              <w:t>29</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rPr>
                <w:rFonts w:ascii="Times New Roman" w:hAnsi="Times New Roman"/>
              </w:rPr>
            </w:pPr>
            <w:r w:rsidRPr="009A59E7">
              <w:rPr>
                <w:rFonts w:ascii="Times New Roman" w:hAnsi="Times New Roman"/>
              </w:rPr>
              <w:t>Oral Contraceptives</w:t>
            </w:r>
            <w:r w:rsidR="00176069">
              <w:rPr>
                <w:rFonts w:ascii="Times New Roman" w:hAnsi="Times New Roman"/>
                <w:vertAlign w:val="superscript"/>
              </w:rPr>
              <w:t>7</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jc w:val="center"/>
              <w:rPr>
                <w:rFonts w:ascii="Times New Roman" w:hAnsi="Times New Roman"/>
              </w:rPr>
            </w:pPr>
            <w:r w:rsidRPr="009A59E7">
              <w:rPr>
                <w:rFonts w:ascii="Times New Roman" w:hAnsi="Times New Roman"/>
              </w:rPr>
              <w:t>Ethinyl Estradiol/</w:t>
            </w:r>
          </w:p>
          <w:p w:rsidR="00134F4D" w:rsidRPr="009A59E7" w:rsidRDefault="00134F4D" w:rsidP="006308F2">
            <w:pPr>
              <w:jc w:val="center"/>
              <w:rPr>
                <w:rFonts w:ascii="Times New Roman" w:hAnsi="Times New Roman"/>
              </w:rPr>
            </w:pPr>
            <w:r w:rsidRPr="009A59E7">
              <w:rPr>
                <w:rFonts w:ascii="Times New Roman" w:hAnsi="Times New Roman"/>
              </w:rPr>
              <w:t>Norgestimate (Ortho-Tricyclen</w:t>
            </w:r>
            <w:r w:rsidRPr="009A59E7">
              <w:rPr>
                <w:rFonts w:ascii="Times New Roman" w:hAnsi="Times New Roman"/>
                <w:vertAlign w:val="superscript"/>
              </w:rPr>
              <w:t>®</w:t>
            </w:r>
            <w:r w:rsidRPr="009A59E7">
              <w:rPr>
                <w:rFonts w:ascii="Times New Roman" w:hAnsi="Times New Roman"/>
              </w:rPr>
              <w:t xml:space="preserve">) </w:t>
            </w:r>
          </w:p>
          <w:p w:rsidR="00134F4D" w:rsidRPr="009A59E7" w:rsidRDefault="00134F4D" w:rsidP="006308F2">
            <w:pPr>
              <w:spacing w:after="60"/>
              <w:jc w:val="center"/>
              <w:rPr>
                <w:rFonts w:ascii="Times New Roman" w:hAnsi="Times New Roman"/>
              </w:rPr>
            </w:pPr>
            <w:r w:rsidRPr="009A59E7">
              <w:rPr>
                <w:rFonts w:ascii="Times New Roman" w:hAnsi="Times New Roman"/>
              </w:rPr>
              <w:t>Once daily x 7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sidRPr="009A59E7">
              <w:rPr>
                <w:rFonts w:ascii="Times New Roman" w:hAnsi="Times New Roman"/>
              </w:rPr>
              <w:t>20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6308F2">
            <w:pPr>
              <w:spacing w:before="60" w:after="60"/>
              <w:jc w:val="center"/>
              <w:rPr>
                <w:rFonts w:ascii="Times New Roman" w:hAnsi="Times New Roman"/>
              </w:rPr>
            </w:pPr>
            <w:r w:rsidRPr="009A59E7">
              <w:rPr>
                <w:rFonts w:ascii="Times New Roman" w:hAnsi="Times New Roman"/>
                <w:noProof/>
              </w:rPr>
              <w:sym w:font="Wingdings" w:char="00F3"/>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Ribavirin</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600 once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22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after="60"/>
              <w:jc w:val="center"/>
              <w:rPr>
                <w:rFonts w:ascii="Times New Roman" w:hAnsi="Times New Roman"/>
                <w:noProof/>
              </w:rPr>
            </w:pPr>
            <w:r w:rsidRPr="005607D8">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jc w:val="center"/>
              <w:rPr>
                <w:rFonts w:ascii="Times New Roman" w:hAnsi="Times New Roman"/>
                <w:noProof/>
              </w:rPr>
            </w:pPr>
            <w:r w:rsidRPr="005607D8">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jc w:val="center"/>
              <w:rPr>
                <w:rFonts w:ascii="Times New Roman" w:hAnsi="Times New Roman"/>
                <w:noProof/>
              </w:rPr>
            </w:pPr>
            <w:r w:rsidRPr="005607D8">
              <w:rPr>
                <w:rFonts w:ascii="Times New Roman" w:hAnsi="Times New Roman"/>
                <w:noProof/>
              </w:rPr>
              <w:t>NC</w:t>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Pr>
                <w:rFonts w:ascii="Times New Roman" w:hAnsi="Times New Roman"/>
              </w:rPr>
              <w:t>Saquinavir/ Ritonavir</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Pr>
                <w:rFonts w:ascii="Times New Roman" w:hAnsi="Times New Roman"/>
              </w:rPr>
              <w:t>1000/100 twice daily x 14 days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Pr>
                <w:rFonts w:ascii="Times New Roman" w:hAnsi="Times New Roman"/>
              </w:rPr>
              <w:t>35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jc w:val="center"/>
              <w:rPr>
                <w:rFonts w:ascii="Times New Roman" w:hAnsi="Times New Roman"/>
                <w:noProof/>
              </w:rPr>
            </w:pPr>
            <w:r w:rsidRPr="009A59E7">
              <w:rPr>
                <w:rFonts w:ascii="Times New Roman" w:hAnsi="Times New Roman"/>
                <w:noProof/>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C14E66">
            <w:pPr>
              <w:spacing w:before="60"/>
              <w:jc w:val="center"/>
              <w:rPr>
                <w:rFonts w:ascii="Times New Roman" w:hAnsi="Times New Roman"/>
              </w:rPr>
            </w:pPr>
            <w:r w:rsidRPr="009A59E7">
              <w:rPr>
                <w:rFonts w:ascii="Times New Roman" w:hAnsi="Times New Roman"/>
                <w:noProof/>
              </w:rPr>
              <w:sym w:font="Symbol" w:char="00AD"/>
            </w:r>
            <w:r>
              <w:rPr>
                <w:rFonts w:ascii="Times New Roman" w:hAnsi="Times New Roman"/>
                <w:noProof/>
              </w:rPr>
              <w:t xml:space="preserve"> 23</w:t>
            </w:r>
          </w:p>
          <w:p w:rsidR="00134F4D" w:rsidRPr="005607D8" w:rsidRDefault="00134F4D" w:rsidP="00C14E66">
            <w:pPr>
              <w:spacing w:before="60"/>
              <w:jc w:val="center"/>
              <w:rPr>
                <w:rFonts w:ascii="Times New Roman" w:hAnsi="Times New Roman"/>
                <w:noProof/>
              </w:rPr>
            </w:pPr>
            <w:r w:rsidRPr="009A59E7">
              <w:rPr>
                <w:rFonts w:ascii="Times New Roman" w:hAnsi="Times New Roman"/>
              </w:rPr>
              <w:t>(</w:t>
            </w:r>
            <w:r w:rsidRPr="009A59E7">
              <w:rPr>
                <w:rFonts w:ascii="Times New Roman" w:hAnsi="Times New Roman"/>
                <w:noProof/>
              </w:rPr>
              <w:sym w:font="Symbol" w:char="00AD"/>
            </w:r>
            <w:r>
              <w:rPr>
                <w:rFonts w:ascii="Times New Roman" w:hAnsi="Times New Roman"/>
                <w:noProof/>
              </w:rPr>
              <w:t xml:space="preserve"> 16</w:t>
            </w:r>
            <w:r w:rsidRPr="009A59E7">
              <w:rPr>
                <w:rFonts w:ascii="Times New Roman" w:hAnsi="Times New Roman"/>
                <w:noProof/>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30</w:t>
            </w:r>
            <w:r w:rsidRPr="009A59E7">
              <w:rPr>
                <w:rFonts w:ascii="Times New Roman" w:hAnsi="Times New Roman"/>
              </w:rPr>
              <w:t>)</w:t>
            </w:r>
          </w:p>
        </w:tc>
      </w:tr>
      <w:tr w:rsidR="00134F4D" w:rsidRPr="009A59E7" w:rsidTr="00C43947">
        <w:trPr>
          <w:cantSplit/>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Default="00134F4D">
            <w:pPr>
              <w:spacing w:before="60" w:after="60"/>
              <w:rPr>
                <w:rFonts w:ascii="Times New Roman" w:hAnsi="Times New Roman"/>
              </w:rPr>
            </w:pPr>
            <w:r w:rsidRPr="00042965">
              <w:rPr>
                <w:rFonts w:ascii="Times New Roman" w:hAnsi="Times New Roman"/>
                <w:color w:val="000000"/>
              </w:rPr>
              <w:t>Tacrolimus</w:t>
            </w:r>
            <w:r w:rsidR="00176069">
              <w:rPr>
                <w:rFonts w:ascii="Times New Roman" w:hAnsi="Times New Roman"/>
                <w:color w:val="000000"/>
                <w:vertAlign w:val="superscript"/>
              </w:rPr>
              <w:t>8</w:t>
            </w:r>
          </w:p>
        </w:tc>
        <w:tc>
          <w:tcPr>
            <w:tcW w:w="2633"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r w:rsidRPr="00042965">
              <w:rPr>
                <w:rFonts w:ascii="Times New Roman" w:hAnsi="Times New Roman"/>
                <w:color w:val="000000"/>
              </w:rPr>
              <w:t xml:space="preserve">0.05 mg/kg twice daily x 7 days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r w:rsidRPr="00042965">
              <w:rPr>
                <w:rFonts w:ascii="Times New Roman" w:hAnsi="Times New Roman"/>
                <w:color w:val="000000"/>
              </w:rPr>
              <w:t>21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042965" w:rsidRDefault="00134F4D" w:rsidP="00FA25FA">
            <w:pPr>
              <w:spacing w:before="60"/>
              <w:jc w:val="center"/>
              <w:rPr>
                <w:rFonts w:ascii="Times New Roman" w:hAnsi="Times New Roman"/>
                <w:noProof/>
                <w:color w:val="000000"/>
              </w:rPr>
            </w:pPr>
            <w:r w:rsidRPr="00042965">
              <w:rPr>
                <w:rFonts w:ascii="Times New Roman" w:hAnsi="Times New Roman"/>
                <w:noProof/>
                <w:color w:val="000000"/>
              </w:rPr>
              <w:sym w:font="Symbol" w:char="00AD"/>
            </w:r>
            <w:r w:rsidRPr="00042965">
              <w:rPr>
                <w:rFonts w:ascii="Times New Roman" w:hAnsi="Times New Roman"/>
                <w:noProof/>
                <w:color w:val="000000"/>
              </w:rPr>
              <w:t xml:space="preserve"> 13</w:t>
            </w:r>
          </w:p>
          <w:p w:rsidR="00134F4D" w:rsidRPr="009A59E7" w:rsidRDefault="00134F4D">
            <w:pPr>
              <w:spacing w:before="60" w:after="60"/>
              <w:jc w:val="center"/>
              <w:rPr>
                <w:rFonts w:ascii="Times New Roman" w:hAnsi="Times New Roman"/>
                <w:noProof/>
              </w:rPr>
            </w:pPr>
            <w:r w:rsidRPr="00042965">
              <w:rPr>
                <w:rFonts w:ascii="Times New Roman" w:hAnsi="Times New Roman"/>
                <w:color w:val="000000"/>
              </w:rPr>
              <w:t>(</w:t>
            </w:r>
            <w:r w:rsidRPr="00042965">
              <w:rPr>
                <w:rFonts w:ascii="Times New Roman" w:hAnsi="Times New Roman"/>
                <w:noProof/>
                <w:color w:val="000000"/>
              </w:rPr>
              <w:sym w:font="Symbol" w:char="00AD"/>
            </w:r>
            <w:r w:rsidRPr="00042965">
              <w:rPr>
                <w:rFonts w:ascii="Times New Roman" w:hAnsi="Times New Roman"/>
                <w:noProof/>
                <w:color w:val="000000"/>
              </w:rPr>
              <w:t>1</w:t>
            </w:r>
            <w:r w:rsidRPr="00042965">
              <w:rPr>
                <w:rFonts w:ascii="Times New Roman" w:hAnsi="Times New Roman"/>
                <w:color w:val="000000"/>
              </w:rPr>
              <w:t xml:space="preserve"> to </w:t>
            </w:r>
            <w:r w:rsidRPr="00042965">
              <w:rPr>
                <w:rFonts w:ascii="Times New Roman" w:hAnsi="Times New Roman"/>
                <w:noProof/>
                <w:color w:val="000000"/>
              </w:rPr>
              <w:sym w:font="Symbol" w:char="00AD"/>
            </w:r>
            <w:r w:rsidRPr="00042965">
              <w:rPr>
                <w:rFonts w:ascii="Times New Roman" w:hAnsi="Times New Roman"/>
                <w:noProof/>
                <w:color w:val="000000"/>
              </w:rPr>
              <w:t xml:space="preserve"> 27</w:t>
            </w:r>
            <w:r w:rsidRPr="00042965">
              <w:rPr>
                <w:rFonts w:ascii="Times New Roman" w:hAnsi="Times New Roman"/>
                <w:color w:val="000000"/>
              </w:rPr>
              <w:t>)</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noProof/>
              </w:rPr>
            </w:pPr>
            <w:r w:rsidRPr="00042965">
              <w:rPr>
                <w:rFonts w:ascii="Times New Roman" w:hAnsi="Times New Roman"/>
                <w:noProof/>
                <w:color w:val="000000"/>
              </w:rPr>
              <w:sym w:font="Wingdings" w:char="00F3"/>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C14E66">
            <w:pPr>
              <w:spacing w:before="60"/>
              <w:jc w:val="center"/>
              <w:rPr>
                <w:rFonts w:ascii="Times New Roman" w:hAnsi="Times New Roman"/>
                <w:noProof/>
              </w:rPr>
            </w:pPr>
            <w:r w:rsidRPr="00042965">
              <w:rPr>
                <w:rFonts w:ascii="Times New Roman" w:hAnsi="Times New Roman"/>
                <w:noProof/>
                <w:color w:val="000000"/>
              </w:rPr>
              <w:sym w:font="Wingdings" w:char="00F3"/>
            </w:r>
          </w:p>
        </w:tc>
      </w:tr>
    </w:tbl>
    <w:p w:rsidR="00927F7D" w:rsidRPr="009A59E7" w:rsidRDefault="00220BF5" w:rsidP="00FA25FA">
      <w:pPr>
        <w:numPr>
          <w:ilvl w:val="0"/>
          <w:numId w:val="4"/>
        </w:numPr>
        <w:tabs>
          <w:tab w:val="left" w:pos="360"/>
        </w:tabs>
        <w:rPr>
          <w:rFonts w:ascii="Times New Roman" w:hAnsi="Times New Roman"/>
          <w:sz w:val="18"/>
        </w:rPr>
      </w:pPr>
      <w:r>
        <w:rPr>
          <w:rFonts w:ascii="Times New Roman" w:hAnsi="Times New Roman"/>
          <w:sz w:val="18"/>
        </w:rPr>
        <w:t>Subjects</w:t>
      </w:r>
      <w:r w:rsidR="00927F7D" w:rsidRPr="009A59E7">
        <w:rPr>
          <w:rFonts w:ascii="Times New Roman" w:hAnsi="Times New Roman"/>
          <w:sz w:val="18"/>
        </w:rPr>
        <w:t xml:space="preserve"> received VIREAD 300 mg once daily.</w:t>
      </w:r>
    </w:p>
    <w:p w:rsidR="00927F7D" w:rsidRDefault="00927F7D" w:rsidP="00FA25FA">
      <w:pPr>
        <w:numPr>
          <w:ilvl w:val="0"/>
          <w:numId w:val="4"/>
        </w:numPr>
        <w:tabs>
          <w:tab w:val="num" w:pos="360"/>
        </w:tabs>
        <w:ind w:left="0" w:firstLine="0"/>
        <w:rPr>
          <w:rFonts w:ascii="Times New Roman" w:hAnsi="Times New Roman"/>
          <w:sz w:val="18"/>
        </w:rPr>
      </w:pPr>
      <w:r w:rsidRPr="009A59E7">
        <w:rPr>
          <w:rFonts w:ascii="Times New Roman" w:hAnsi="Times New Roman"/>
          <w:sz w:val="18"/>
        </w:rPr>
        <w:t xml:space="preserve">Increase = </w:t>
      </w:r>
      <w:r w:rsidRPr="009A59E7">
        <w:rPr>
          <w:rFonts w:ascii="Times New Roman" w:hAnsi="Times New Roman"/>
          <w:noProof/>
          <w:sz w:val="18"/>
        </w:rPr>
        <w:sym w:font="Symbol" w:char="00AD"/>
      </w:r>
      <w:r w:rsidRPr="009A59E7">
        <w:rPr>
          <w:rFonts w:ascii="Times New Roman" w:hAnsi="Times New Roman"/>
          <w:sz w:val="18"/>
        </w:rPr>
        <w:t xml:space="preserve">; Decrease = </w:t>
      </w:r>
      <w:r w:rsidRPr="009A59E7">
        <w:rPr>
          <w:rFonts w:ascii="Times New Roman" w:hAnsi="Times New Roman"/>
          <w:sz w:val="18"/>
        </w:rPr>
        <w:sym w:font="Symbol" w:char="00AF"/>
      </w:r>
      <w:r w:rsidRPr="009A59E7">
        <w:rPr>
          <w:rFonts w:ascii="Times New Roman" w:hAnsi="Times New Roman"/>
          <w:sz w:val="18"/>
        </w:rPr>
        <w:t xml:space="preserve">; No Effect = </w:t>
      </w:r>
      <w:r w:rsidRPr="009A59E7">
        <w:rPr>
          <w:rFonts w:ascii="Times New Roman" w:hAnsi="Times New Roman"/>
          <w:noProof/>
          <w:sz w:val="18"/>
        </w:rPr>
        <w:sym w:font="Wingdings" w:char="00F3"/>
      </w:r>
      <w:r w:rsidRPr="009A59E7">
        <w:rPr>
          <w:rFonts w:ascii="Times New Roman" w:hAnsi="Times New Roman"/>
          <w:noProof/>
          <w:sz w:val="18"/>
        </w:rPr>
        <w:t>; NC = Not Calculated</w:t>
      </w:r>
    </w:p>
    <w:p w:rsidR="00DA2B81" w:rsidRPr="009A59E7" w:rsidRDefault="00DA2B81" w:rsidP="00FA25FA">
      <w:pPr>
        <w:numPr>
          <w:ilvl w:val="0"/>
          <w:numId w:val="4"/>
        </w:numPr>
        <w:tabs>
          <w:tab w:val="clear" w:pos="720"/>
          <w:tab w:val="num" w:pos="360"/>
        </w:tabs>
        <w:ind w:left="360" w:hanging="360"/>
        <w:rPr>
          <w:rFonts w:ascii="Times New Roman" w:hAnsi="Times New Roman"/>
          <w:noProof/>
          <w:sz w:val="18"/>
        </w:rPr>
      </w:pPr>
      <w:r>
        <w:rPr>
          <w:rFonts w:ascii="Times New Roman" w:hAnsi="Times New Roman"/>
          <w:noProof/>
          <w:sz w:val="18"/>
        </w:rPr>
        <w:t>REYATAZ</w:t>
      </w:r>
      <w:r w:rsidRPr="00D66BCC">
        <w:rPr>
          <w:rFonts w:ascii="Times New Roman" w:hAnsi="Times New Roman"/>
          <w:noProof/>
          <w:sz w:val="18"/>
          <w:szCs w:val="18"/>
          <w:vertAlign w:val="superscript"/>
        </w:rPr>
        <w:t>TM</w:t>
      </w:r>
      <w:r>
        <w:rPr>
          <w:rFonts w:ascii="Times New Roman" w:hAnsi="Times New Roman"/>
          <w:noProof/>
          <w:sz w:val="18"/>
        </w:rPr>
        <w:t xml:space="preserve"> Prescribing Information (Bristol-Myers Squibb)</w:t>
      </w:r>
    </w:p>
    <w:p w:rsidR="00944730" w:rsidRPr="009A59E7" w:rsidRDefault="00B56A84" w:rsidP="00FA25FA">
      <w:pPr>
        <w:numPr>
          <w:ilvl w:val="0"/>
          <w:numId w:val="4"/>
        </w:numPr>
        <w:tabs>
          <w:tab w:val="num" w:pos="360"/>
        </w:tabs>
        <w:ind w:left="0" w:firstLine="0"/>
        <w:rPr>
          <w:rFonts w:ascii="Times New Roman" w:hAnsi="Times New Roman"/>
          <w:sz w:val="18"/>
        </w:rPr>
      </w:pPr>
      <w:r w:rsidRPr="009A59E7">
        <w:rPr>
          <w:rFonts w:ascii="Times New Roman" w:hAnsi="Times New Roman"/>
          <w:noProof/>
          <w:sz w:val="18"/>
        </w:rPr>
        <w:t>Includes 4 subjects weighing &lt;60 kg receiving ddI 250 mg</w:t>
      </w:r>
    </w:p>
    <w:p w:rsidR="00E37BD8" w:rsidRDefault="00E37BD8" w:rsidP="00FA25FA">
      <w:pPr>
        <w:numPr>
          <w:ilvl w:val="0"/>
          <w:numId w:val="4"/>
        </w:numPr>
        <w:tabs>
          <w:tab w:val="clear" w:pos="720"/>
          <w:tab w:val="num" w:pos="360"/>
        </w:tabs>
        <w:rPr>
          <w:rFonts w:ascii="Times New Roman" w:hAnsi="Times New Roman"/>
          <w:noProof/>
          <w:sz w:val="18"/>
        </w:rPr>
      </w:pPr>
      <w:r w:rsidRPr="009A59E7">
        <w:rPr>
          <w:rFonts w:ascii="Times New Roman" w:hAnsi="Times New Roman"/>
          <w:noProof/>
          <w:sz w:val="18"/>
        </w:rPr>
        <w:t>R-(active), S-and total methadone exposures were equivalent when dosed alone or with VIREAD.</w:t>
      </w:r>
    </w:p>
    <w:p w:rsidR="00176069" w:rsidRPr="009A59E7" w:rsidRDefault="00176069" w:rsidP="00176069">
      <w:pPr>
        <w:numPr>
          <w:ilvl w:val="0"/>
          <w:numId w:val="4"/>
        </w:numPr>
        <w:tabs>
          <w:tab w:val="clear" w:pos="720"/>
          <w:tab w:val="num" w:pos="360"/>
        </w:tabs>
        <w:ind w:left="360" w:hanging="360"/>
        <w:rPr>
          <w:rFonts w:ascii="Times New Roman" w:hAnsi="Times New Roman"/>
          <w:noProof/>
          <w:sz w:val="18"/>
        </w:rPr>
      </w:pPr>
      <w:r w:rsidRPr="009A59E7">
        <w:rPr>
          <w:rFonts w:ascii="Times New Roman" w:hAnsi="Times New Roman"/>
          <w:noProof/>
          <w:sz w:val="18"/>
        </w:rPr>
        <w:t>Individual subjects were maintained on their stable methadone dose.  No pharmacodynamic alterations (opiate toxicity or withdrawal signs or symptoms) were reported.</w:t>
      </w:r>
    </w:p>
    <w:p w:rsidR="00E37BD8" w:rsidRDefault="00E37BD8" w:rsidP="00571B28">
      <w:pPr>
        <w:numPr>
          <w:ilvl w:val="0"/>
          <w:numId w:val="4"/>
        </w:numPr>
        <w:tabs>
          <w:tab w:val="clear" w:pos="720"/>
        </w:tabs>
        <w:ind w:left="426" w:hanging="426"/>
        <w:rPr>
          <w:rFonts w:ascii="Times New Roman" w:hAnsi="Times New Roman"/>
          <w:noProof/>
          <w:sz w:val="18"/>
        </w:rPr>
      </w:pPr>
      <w:r w:rsidRPr="009A59E7">
        <w:rPr>
          <w:rFonts w:ascii="Times New Roman" w:hAnsi="Times New Roman"/>
          <w:noProof/>
          <w:sz w:val="18"/>
        </w:rPr>
        <w:t>Ethinyl estradiol and 17-deacetyl norgestimate (pharmacologically active metabolite) exposures were equivalent when dosed alone or with VIREAD.</w:t>
      </w:r>
    </w:p>
    <w:p w:rsidR="00134F4D" w:rsidRPr="00042965" w:rsidRDefault="00134F4D" w:rsidP="00FA25FA">
      <w:pPr>
        <w:numPr>
          <w:ilvl w:val="0"/>
          <w:numId w:val="4"/>
        </w:numPr>
        <w:tabs>
          <w:tab w:val="clear" w:pos="720"/>
          <w:tab w:val="num" w:pos="360"/>
        </w:tabs>
        <w:ind w:left="360" w:hanging="360"/>
        <w:rPr>
          <w:rFonts w:ascii="Times New Roman" w:hAnsi="Times New Roman"/>
          <w:noProof/>
          <w:color w:val="000000"/>
          <w:sz w:val="18"/>
        </w:rPr>
      </w:pPr>
      <w:r w:rsidRPr="00D3615E">
        <w:rPr>
          <w:rFonts w:ascii="Times New Roman" w:hAnsi="Times New Roman"/>
          <w:noProof/>
          <w:sz w:val="18"/>
        </w:rPr>
        <w:t xml:space="preserve">Subjects </w:t>
      </w:r>
      <w:r w:rsidRPr="00042965">
        <w:rPr>
          <w:rFonts w:ascii="Times New Roman" w:hAnsi="Times New Roman"/>
          <w:noProof/>
          <w:color w:val="000000"/>
          <w:sz w:val="18"/>
        </w:rPr>
        <w:t>received tenofovir DF 300 mg once daily as the combination product TRUVADA.</w:t>
      </w:r>
    </w:p>
    <w:p w:rsidR="002C5443" w:rsidRDefault="002C5443" w:rsidP="009A59E7">
      <w:pPr>
        <w:pStyle w:val="TableHeading"/>
        <w:keepNext w:val="0"/>
        <w:keepLines w:val="0"/>
        <w:spacing w:before="0" w:after="0"/>
        <w:jc w:val="both"/>
        <w:rPr>
          <w:b w:val="0"/>
          <w:sz w:val="22"/>
          <w:szCs w:val="22"/>
          <w:lang w:val="en-AU"/>
        </w:rPr>
      </w:pPr>
    </w:p>
    <w:p w:rsidR="00E37BD8" w:rsidRPr="009A59E7" w:rsidRDefault="00E37BD8" w:rsidP="009A59E7">
      <w:pPr>
        <w:pStyle w:val="TableHeading"/>
        <w:keepNext w:val="0"/>
        <w:keepLines w:val="0"/>
        <w:spacing w:before="0" w:after="0"/>
        <w:jc w:val="both"/>
        <w:rPr>
          <w:b w:val="0"/>
          <w:sz w:val="22"/>
          <w:szCs w:val="22"/>
          <w:lang w:val="en-AU"/>
        </w:rPr>
      </w:pPr>
    </w:p>
    <w:p w:rsidR="00927F7D" w:rsidRPr="00015C34" w:rsidRDefault="00927F7D" w:rsidP="009A59E7">
      <w:pPr>
        <w:pStyle w:val="TableHeading"/>
        <w:keepNext w:val="0"/>
        <w:keepLines w:val="0"/>
        <w:spacing w:before="0" w:after="0"/>
        <w:jc w:val="both"/>
        <w:rPr>
          <w:b w:val="0"/>
          <w:szCs w:val="24"/>
          <w:lang w:val="en-AU"/>
        </w:rPr>
      </w:pPr>
      <w:r w:rsidRPr="00015C34">
        <w:rPr>
          <w:b w:val="0"/>
          <w:szCs w:val="24"/>
          <w:lang w:val="en-AU"/>
        </w:rPr>
        <w:t>Following multiple dosing to HIV-</w:t>
      </w:r>
      <w:r w:rsidR="00134F4D" w:rsidRPr="00015C34">
        <w:rPr>
          <w:b w:val="0"/>
          <w:szCs w:val="24"/>
          <w:lang w:val="en-AU"/>
        </w:rPr>
        <w:t xml:space="preserve"> and HBV-</w:t>
      </w:r>
      <w:r w:rsidRPr="00015C34">
        <w:rPr>
          <w:b w:val="0"/>
          <w:szCs w:val="24"/>
          <w:lang w:val="en-AU"/>
        </w:rPr>
        <w:t>negative subjects receiving either chronic methadone maintenance therapy or oral contraceptives, steady state tenofovir pharmacokinetics were similar to those observed in previous studies, indicating lack of clinically significant drug interactions between these agents and VIREAD.</w:t>
      </w:r>
      <w:r w:rsidR="00BC75CD" w:rsidRPr="00015C34">
        <w:rPr>
          <w:b w:val="0"/>
          <w:szCs w:val="24"/>
          <w:lang w:val="en-AU"/>
        </w:rPr>
        <w:t xml:space="preserve"> </w:t>
      </w:r>
      <w:r w:rsidR="00BC75CD" w:rsidRPr="00015C34">
        <w:rPr>
          <w:szCs w:val="24"/>
        </w:rPr>
        <w:t xml:space="preserve"> </w:t>
      </w:r>
      <w:r w:rsidR="00BC75CD" w:rsidRPr="00015C34">
        <w:rPr>
          <w:b w:val="0"/>
          <w:szCs w:val="24"/>
        </w:rPr>
        <w:t>In a study conducted in healthy volunteers dosed with a single 600 mg dose of ribavirin, no clinically significant drug interactions were observed between tenofovir disoproxil fumarate and ribavirin.</w:t>
      </w:r>
    </w:p>
    <w:p w:rsidR="002B5C57" w:rsidRDefault="002B5C57" w:rsidP="009718F7">
      <w:pPr>
        <w:pStyle w:val="TableHeading"/>
        <w:keepNext w:val="0"/>
        <w:keepLines w:val="0"/>
        <w:spacing w:before="0" w:after="0"/>
        <w:jc w:val="both"/>
        <w:rPr>
          <w:b w:val="0"/>
          <w:sz w:val="22"/>
          <w:szCs w:val="22"/>
          <w:lang w:val="en-AU"/>
        </w:rPr>
      </w:pPr>
    </w:p>
    <w:p w:rsidR="00927F7D" w:rsidRPr="009A59E7" w:rsidRDefault="00927F7D" w:rsidP="009718F7">
      <w:pPr>
        <w:pStyle w:val="TableHeading"/>
        <w:keepNext w:val="0"/>
        <w:keepLines w:val="0"/>
        <w:spacing w:before="0" w:after="0"/>
        <w:jc w:val="both"/>
        <w:rPr>
          <w:sz w:val="22"/>
          <w:lang w:val="en-AU"/>
        </w:rPr>
      </w:pPr>
      <w:r w:rsidRPr="009A59E7">
        <w:rPr>
          <w:sz w:val="22"/>
          <w:lang w:val="en-AU"/>
        </w:rPr>
        <w:t xml:space="preserve">Table 3. </w:t>
      </w:r>
      <w:r w:rsidRPr="009A59E7">
        <w:rPr>
          <w:sz w:val="22"/>
          <w:lang w:val="en-AU"/>
        </w:rPr>
        <w:tab/>
        <w:t xml:space="preserve">Drug Interactions: Changes in Pharmacokinetic Parameters for Co-administered </w:t>
      </w:r>
      <w:r w:rsidR="001555F7">
        <w:rPr>
          <w:sz w:val="22"/>
          <w:lang w:val="en-AU"/>
        </w:rPr>
        <w:tab/>
      </w:r>
      <w:r w:rsidR="001555F7">
        <w:rPr>
          <w:sz w:val="22"/>
          <w:lang w:val="en-AU"/>
        </w:rPr>
        <w:tab/>
      </w:r>
      <w:r w:rsidR="001555F7">
        <w:rPr>
          <w:sz w:val="22"/>
          <w:lang w:val="en-AU"/>
        </w:rPr>
        <w:tab/>
      </w:r>
      <w:r w:rsidRPr="009A59E7">
        <w:rPr>
          <w:sz w:val="22"/>
          <w:lang w:val="en-AU"/>
        </w:rPr>
        <w:t xml:space="preserve">Drug in the Presence of VIREAD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60"/>
        <w:gridCol w:w="2976"/>
        <w:gridCol w:w="567"/>
        <w:gridCol w:w="1418"/>
        <w:gridCol w:w="1417"/>
        <w:gridCol w:w="1542"/>
      </w:tblGrid>
      <w:tr w:rsidR="00927F7D" w:rsidRPr="009A59E7" w:rsidTr="00B13BC7">
        <w:trPr>
          <w:cantSplit/>
        </w:trPr>
        <w:tc>
          <w:tcPr>
            <w:tcW w:w="15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jc w:val="center"/>
              <w:rPr>
                <w:rFonts w:ascii="Times New Roman" w:hAnsi="Times New Roman"/>
                <w:b/>
              </w:rPr>
            </w:pPr>
            <w:r w:rsidRPr="009A59E7">
              <w:rPr>
                <w:rFonts w:ascii="Times New Roman" w:hAnsi="Times New Roman"/>
                <w:b/>
              </w:rPr>
              <w:t>Co-administered Drug</w:t>
            </w:r>
          </w:p>
        </w:tc>
        <w:tc>
          <w:tcPr>
            <w:tcW w:w="29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jc w:val="center"/>
              <w:rPr>
                <w:rFonts w:ascii="Times New Roman" w:hAnsi="Times New Roman"/>
                <w:b/>
              </w:rPr>
            </w:pPr>
            <w:r w:rsidRPr="009A59E7">
              <w:rPr>
                <w:rFonts w:ascii="Times New Roman" w:hAnsi="Times New Roman"/>
                <w:b/>
              </w:rPr>
              <w:t>Dose of Co-administered Drug (mg)</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jc w:val="center"/>
              <w:rPr>
                <w:rFonts w:ascii="Times New Roman" w:hAnsi="Times New Roman"/>
                <w:b/>
              </w:rPr>
            </w:pPr>
            <w:r w:rsidRPr="009A59E7">
              <w:rPr>
                <w:rFonts w:ascii="Times New Roman" w:hAnsi="Times New Roman"/>
                <w:b/>
              </w:rPr>
              <w:t>N</w:t>
            </w:r>
          </w:p>
        </w:tc>
        <w:tc>
          <w:tcPr>
            <w:tcW w:w="43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rsidP="006572F3">
            <w:pPr>
              <w:pStyle w:val="BodyText"/>
              <w:spacing w:before="60"/>
              <w:ind w:right="-18"/>
              <w:jc w:val="center"/>
              <w:rPr>
                <w:b/>
                <w:color w:val="auto"/>
                <w:sz w:val="20"/>
              </w:rPr>
            </w:pPr>
            <w:r w:rsidRPr="009A59E7">
              <w:rPr>
                <w:b/>
                <w:color w:val="auto"/>
                <w:sz w:val="20"/>
              </w:rPr>
              <w:t>% Change of Co-administered Drug Pharmacokinetic Parameters</w:t>
            </w:r>
            <w:r w:rsidRPr="009A59E7">
              <w:rPr>
                <w:b/>
                <w:color w:val="auto"/>
                <w:sz w:val="20"/>
                <w:vertAlign w:val="superscript"/>
              </w:rPr>
              <w:t>1</w:t>
            </w:r>
          </w:p>
          <w:p w:rsidR="00927F7D" w:rsidRPr="009A59E7" w:rsidRDefault="00927F7D">
            <w:pPr>
              <w:spacing w:after="60"/>
              <w:jc w:val="center"/>
              <w:rPr>
                <w:rFonts w:ascii="Times New Roman" w:hAnsi="Times New Roman"/>
                <w:b/>
              </w:rPr>
            </w:pPr>
            <w:r w:rsidRPr="009A59E7">
              <w:rPr>
                <w:rFonts w:ascii="Times New Roman" w:hAnsi="Times New Roman"/>
                <w:b/>
              </w:rPr>
              <w:t>(90% CI)</w:t>
            </w:r>
          </w:p>
        </w:tc>
      </w:tr>
      <w:tr w:rsidR="00927F7D" w:rsidRPr="009A59E7" w:rsidTr="00B13BC7">
        <w:trPr>
          <w:cantSplit/>
        </w:trPr>
        <w:tc>
          <w:tcPr>
            <w:tcW w:w="156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rPr>
                <w:rFonts w:ascii="Times New Roman" w:hAnsi="Times New Roman"/>
                <w:b/>
              </w:rPr>
            </w:pPr>
          </w:p>
        </w:tc>
        <w:tc>
          <w:tcPr>
            <w:tcW w:w="2976"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rPr>
                <w:rFonts w:ascii="Times New Roman" w:hAnsi="Times New Roman"/>
                <w:b/>
              </w:rPr>
            </w:pPr>
          </w:p>
        </w:tc>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rPr>
                <w:rFonts w:ascii="Times New Roman" w:hAnsi="Times New Roman"/>
                <w:b/>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b/>
              </w:rPr>
            </w:pPr>
            <w:r w:rsidRPr="009A59E7">
              <w:rPr>
                <w:rFonts w:ascii="Times New Roman" w:hAnsi="Times New Roman"/>
                <w:b/>
              </w:rPr>
              <w:t>C</w:t>
            </w:r>
            <w:r w:rsidRPr="009A59E7">
              <w:rPr>
                <w:rFonts w:ascii="Times New Roman" w:hAnsi="Times New Roman"/>
                <w:b/>
                <w:vertAlign w:val="subscript"/>
              </w:rPr>
              <w:t>max</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b/>
              </w:rPr>
            </w:pPr>
            <w:r w:rsidRPr="009A59E7">
              <w:rPr>
                <w:rFonts w:ascii="Times New Roman" w:hAnsi="Times New Roman"/>
                <w:b/>
              </w:rPr>
              <w:t>AUC</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b/>
              </w:rPr>
            </w:pPr>
            <w:r w:rsidRPr="009A59E7">
              <w:rPr>
                <w:rFonts w:ascii="Times New Roman" w:hAnsi="Times New Roman"/>
                <w:b/>
              </w:rPr>
              <w:t>C</w:t>
            </w:r>
            <w:r w:rsidRPr="009A59E7">
              <w:rPr>
                <w:rFonts w:ascii="Times New Roman" w:hAnsi="Times New Roman"/>
                <w:b/>
                <w:vertAlign w:val="subscript"/>
              </w:rPr>
              <w:t>min</w:t>
            </w:r>
          </w:p>
        </w:tc>
      </w:tr>
      <w:tr w:rsidR="00927F7D"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B9645B" w:rsidRDefault="00927F7D" w:rsidP="00B9645B">
            <w:pPr>
              <w:pStyle w:val="CommentText"/>
              <w:spacing w:before="60" w:after="60"/>
              <w:jc w:val="left"/>
              <w:rPr>
                <w:sz w:val="20"/>
                <w:lang w:val="en-AU"/>
              </w:rPr>
            </w:pPr>
            <w:r w:rsidRPr="00B9645B">
              <w:rPr>
                <w:sz w:val="20"/>
                <w:lang w:val="en-AU"/>
              </w:rPr>
              <w:t>Abacavir</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300 once</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8</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Symbol" w:char="00AD"/>
            </w:r>
            <w:r w:rsidRPr="009A59E7">
              <w:rPr>
                <w:rFonts w:ascii="Times New Roman" w:hAnsi="Times New Roman"/>
                <w:noProof/>
              </w:rPr>
              <w:t xml:space="preserve"> 12</w:t>
            </w:r>
            <w:r w:rsidRPr="009A59E7">
              <w:rPr>
                <w:rFonts w:ascii="Times New Roman" w:hAnsi="Times New Roman"/>
                <w:noProof/>
              </w:rPr>
              <w:br/>
              <w:t>(</w:t>
            </w:r>
            <w:r w:rsidRPr="009A59E7">
              <w:rPr>
                <w:rFonts w:ascii="Times New Roman" w:hAnsi="Times New Roman"/>
              </w:rPr>
              <w:sym w:font="Symbol" w:char="00AF"/>
            </w:r>
            <w:r w:rsidRPr="009A59E7">
              <w:rPr>
                <w:rFonts w:ascii="Times New Roman" w:hAnsi="Times New Roman"/>
              </w:rPr>
              <w:t xml:space="preserve"> 1 to </w:t>
            </w:r>
            <w:r w:rsidRPr="009A59E7">
              <w:rPr>
                <w:rFonts w:ascii="Times New Roman" w:hAnsi="Times New Roman"/>
                <w:noProof/>
              </w:rPr>
              <w:sym w:font="Symbol" w:char="00AD"/>
            </w:r>
            <w:r w:rsidRPr="009A59E7">
              <w:rPr>
                <w:rFonts w:ascii="Times New Roman" w:hAnsi="Times New Roman"/>
                <w:noProof/>
              </w:rPr>
              <w:t xml:space="preserve"> 26)</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noProof/>
              </w:rPr>
            </w:pPr>
            <w:r w:rsidRPr="009A59E7">
              <w:rPr>
                <w:rFonts w:ascii="Times New Roman" w:hAnsi="Times New Roman"/>
                <w:noProof/>
              </w:rPr>
              <w:t>NA</w:t>
            </w:r>
          </w:p>
        </w:tc>
      </w:tr>
      <w:tr w:rsidR="006572F3"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9A59E7" w:rsidRDefault="006572F3" w:rsidP="00B03505">
            <w:pPr>
              <w:spacing w:before="60" w:after="60"/>
              <w:jc w:val="both"/>
              <w:rPr>
                <w:rFonts w:ascii="Times New Roman" w:hAnsi="Times New Roman"/>
              </w:rPr>
            </w:pPr>
            <w:r w:rsidRPr="00E7636B">
              <w:rPr>
                <w:rFonts w:ascii="Times New Roman" w:hAnsi="Times New Roman"/>
              </w:rPr>
              <w:t>Atazanavir</w:t>
            </w:r>
            <w:r w:rsidR="000C5FBF">
              <w:rPr>
                <w:rFonts w:ascii="Times New Roman" w:hAnsi="Times New Roman"/>
                <w:vertAlign w:val="superscript"/>
              </w:rPr>
              <w:t>2</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spacing w:before="60"/>
              <w:jc w:val="center"/>
              <w:rPr>
                <w:rFonts w:ascii="Times New Roman" w:hAnsi="Times New Roman"/>
              </w:rPr>
            </w:pPr>
            <w:r w:rsidRPr="00E7636B">
              <w:rPr>
                <w:rFonts w:ascii="Times New Roman" w:hAnsi="Times New Roman"/>
              </w:rPr>
              <w:t>400 once daily</w:t>
            </w:r>
          </w:p>
          <w:p w:rsidR="006572F3" w:rsidRPr="009A59E7" w:rsidRDefault="006572F3" w:rsidP="00DC1869">
            <w:pPr>
              <w:spacing w:before="60" w:after="60"/>
              <w:jc w:val="center"/>
              <w:rPr>
                <w:rFonts w:ascii="Times New Roman" w:hAnsi="Times New Roman"/>
              </w:rPr>
            </w:pPr>
            <w:r w:rsidRPr="00E7636B">
              <w:rPr>
                <w:rFonts w:ascii="Times New Roman" w:hAnsi="Times New Roman"/>
              </w:rPr>
              <w:t>x 14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9A59E7" w:rsidRDefault="006572F3" w:rsidP="00DC1869">
            <w:pPr>
              <w:spacing w:before="60" w:after="60"/>
              <w:jc w:val="center"/>
              <w:rPr>
                <w:rFonts w:ascii="Times New Roman" w:hAnsi="Times New Roman"/>
              </w:rPr>
            </w:pPr>
            <w:r w:rsidRPr="00E7636B">
              <w:rPr>
                <w:rFonts w:ascii="Times New Roman" w:hAnsi="Times New Roman"/>
              </w:rPr>
              <w:t>34</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sym w:font="Symbol" w:char="00AF"/>
            </w:r>
            <w:r w:rsidRPr="00E7636B">
              <w:rPr>
                <w:rFonts w:ascii="Times New Roman" w:hAnsi="Times New Roman"/>
              </w:rPr>
              <w:t xml:space="preserve"> 21</w:t>
            </w:r>
          </w:p>
          <w:p w:rsidR="006572F3" w:rsidRPr="009A59E7" w:rsidRDefault="006572F3" w:rsidP="00DC1869">
            <w:pPr>
              <w:spacing w:before="60" w:after="60"/>
              <w:jc w:val="center"/>
              <w:rPr>
                <w:rFonts w:ascii="Times New Roman" w:hAnsi="Times New Roman"/>
                <w:noProof/>
              </w:rPr>
            </w:pPr>
            <w:r w:rsidRPr="00E7636B">
              <w:rPr>
                <w:rFonts w:ascii="Times New Roman" w:hAnsi="Times New Roman"/>
              </w:rPr>
              <w:t>(</w:t>
            </w:r>
            <w:r w:rsidRPr="00E7636B">
              <w:rPr>
                <w:rFonts w:ascii="Times New Roman" w:hAnsi="Times New Roman"/>
              </w:rPr>
              <w:sym w:font="Symbol" w:char="00AF"/>
            </w:r>
            <w:r w:rsidRPr="00E7636B">
              <w:rPr>
                <w:rFonts w:ascii="Times New Roman" w:hAnsi="Times New Roman"/>
              </w:rPr>
              <w:t xml:space="preserve"> 27 to </w:t>
            </w:r>
            <w:r w:rsidRPr="00E7636B">
              <w:rPr>
                <w:rFonts w:ascii="Times New Roman" w:hAnsi="Times New Roman"/>
              </w:rPr>
              <w:sym w:font="Symbol" w:char="00AF"/>
            </w:r>
            <w:r w:rsidRPr="00E7636B">
              <w:rPr>
                <w:rFonts w:ascii="Times New Roman" w:hAnsi="Times New Roman"/>
              </w:rPr>
              <w:t xml:space="preserve"> 14)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sym w:font="Symbol" w:char="00AF"/>
            </w:r>
            <w:r w:rsidRPr="00E7636B">
              <w:rPr>
                <w:rFonts w:ascii="Times New Roman" w:hAnsi="Times New Roman"/>
              </w:rPr>
              <w:t xml:space="preserve"> 25</w:t>
            </w:r>
          </w:p>
          <w:p w:rsidR="006572F3" w:rsidRPr="009A59E7" w:rsidRDefault="006572F3" w:rsidP="00DC1869">
            <w:pPr>
              <w:spacing w:before="60" w:after="60"/>
              <w:jc w:val="center"/>
              <w:rPr>
                <w:rFonts w:ascii="Times New Roman" w:hAnsi="Times New Roman"/>
                <w:noProof/>
              </w:rPr>
            </w:pPr>
            <w:r w:rsidRPr="00E7636B">
              <w:rPr>
                <w:rFonts w:ascii="Times New Roman" w:hAnsi="Times New Roman"/>
              </w:rPr>
              <w:t>(</w:t>
            </w:r>
            <w:r w:rsidRPr="00E7636B">
              <w:rPr>
                <w:rFonts w:ascii="Times New Roman" w:hAnsi="Times New Roman"/>
              </w:rPr>
              <w:sym w:font="Symbol" w:char="00AF"/>
            </w:r>
            <w:r w:rsidRPr="00E7636B">
              <w:rPr>
                <w:rFonts w:ascii="Times New Roman" w:hAnsi="Times New Roman"/>
              </w:rPr>
              <w:t xml:space="preserve"> 30 to </w:t>
            </w:r>
            <w:r w:rsidRPr="00E7636B">
              <w:rPr>
                <w:rFonts w:ascii="Times New Roman" w:hAnsi="Times New Roman"/>
              </w:rPr>
              <w:sym w:font="Symbol" w:char="00AF"/>
            </w:r>
            <w:r w:rsidRPr="00E7636B">
              <w:rPr>
                <w:rFonts w:ascii="Times New Roman" w:hAnsi="Times New Roman"/>
              </w:rPr>
              <w:t xml:space="preserve"> 19)</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sym w:font="Symbol" w:char="00AF"/>
            </w:r>
            <w:r w:rsidRPr="00E7636B">
              <w:rPr>
                <w:rFonts w:ascii="Times New Roman" w:hAnsi="Times New Roman"/>
              </w:rPr>
              <w:t xml:space="preserve"> 40</w:t>
            </w:r>
          </w:p>
          <w:p w:rsidR="006572F3" w:rsidRPr="009A59E7" w:rsidRDefault="006572F3" w:rsidP="00DC1869">
            <w:pPr>
              <w:spacing w:before="60" w:after="60"/>
              <w:jc w:val="center"/>
              <w:rPr>
                <w:rFonts w:ascii="Times New Roman" w:hAnsi="Times New Roman"/>
                <w:noProof/>
              </w:rPr>
            </w:pPr>
            <w:r w:rsidRPr="00E7636B">
              <w:rPr>
                <w:rFonts w:ascii="Times New Roman" w:hAnsi="Times New Roman"/>
              </w:rPr>
              <w:t>(</w:t>
            </w:r>
            <w:r w:rsidRPr="00E7636B">
              <w:rPr>
                <w:rFonts w:ascii="Times New Roman" w:hAnsi="Times New Roman"/>
              </w:rPr>
              <w:sym w:font="Symbol" w:char="00AF"/>
            </w:r>
            <w:r w:rsidRPr="00E7636B">
              <w:rPr>
                <w:rFonts w:ascii="Times New Roman" w:hAnsi="Times New Roman"/>
              </w:rPr>
              <w:t xml:space="preserve"> 48 to </w:t>
            </w:r>
            <w:r w:rsidRPr="00E7636B">
              <w:rPr>
                <w:rFonts w:ascii="Times New Roman" w:hAnsi="Times New Roman"/>
              </w:rPr>
              <w:sym w:font="Symbol" w:char="00AF"/>
            </w:r>
            <w:r w:rsidRPr="00E7636B">
              <w:rPr>
                <w:rFonts w:ascii="Times New Roman" w:hAnsi="Times New Roman"/>
              </w:rPr>
              <w:t xml:space="preserve"> 32)</w:t>
            </w:r>
          </w:p>
        </w:tc>
      </w:tr>
      <w:tr w:rsidR="006572F3"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9A59E7" w:rsidRDefault="006572F3" w:rsidP="00B03505">
            <w:pPr>
              <w:spacing w:before="60" w:after="60"/>
              <w:jc w:val="both"/>
              <w:rPr>
                <w:rFonts w:ascii="Times New Roman" w:hAnsi="Times New Roman"/>
              </w:rPr>
            </w:pPr>
            <w:r w:rsidRPr="00E7636B">
              <w:rPr>
                <w:rFonts w:ascii="Times New Roman" w:hAnsi="Times New Roman"/>
              </w:rPr>
              <w:t>Atazanavir</w:t>
            </w:r>
            <w:r w:rsidR="000C5FBF" w:rsidRPr="000C5FBF">
              <w:rPr>
                <w:rFonts w:ascii="Times New Roman" w:hAnsi="Times New Roman"/>
                <w:vertAlign w:val="superscript"/>
              </w:rPr>
              <w:t>2</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t>Atazanavir/Ritonavir</w:t>
            </w:r>
            <w:r w:rsidR="000C5FBF">
              <w:rPr>
                <w:rFonts w:ascii="Times New Roman" w:hAnsi="Times New Roman"/>
                <w:vertAlign w:val="superscript"/>
              </w:rPr>
              <w:t>3</w:t>
            </w:r>
          </w:p>
          <w:p w:rsidR="006572F3" w:rsidRPr="00E7636B" w:rsidRDefault="006572F3" w:rsidP="00DC1869">
            <w:pPr>
              <w:jc w:val="center"/>
              <w:rPr>
                <w:rFonts w:ascii="Times New Roman" w:hAnsi="Times New Roman"/>
              </w:rPr>
            </w:pPr>
            <w:r w:rsidRPr="00E7636B">
              <w:rPr>
                <w:rFonts w:ascii="Times New Roman" w:hAnsi="Times New Roman"/>
              </w:rPr>
              <w:t>300/100 once daily</w:t>
            </w:r>
          </w:p>
          <w:p w:rsidR="006572F3" w:rsidRPr="009A59E7" w:rsidRDefault="006572F3" w:rsidP="00DC1869">
            <w:pPr>
              <w:spacing w:before="60" w:after="60"/>
              <w:jc w:val="center"/>
              <w:rPr>
                <w:rFonts w:ascii="Times New Roman" w:hAnsi="Times New Roman"/>
              </w:rPr>
            </w:pPr>
            <w:r w:rsidRPr="00E7636B">
              <w:rPr>
                <w:rFonts w:ascii="Times New Roman" w:hAnsi="Times New Roman"/>
              </w:rPr>
              <w:t>x 42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9A59E7" w:rsidRDefault="006572F3" w:rsidP="00DC1869">
            <w:pPr>
              <w:spacing w:before="60" w:after="60"/>
              <w:jc w:val="center"/>
              <w:rPr>
                <w:rFonts w:ascii="Times New Roman" w:hAnsi="Times New Roman"/>
              </w:rPr>
            </w:pPr>
            <w:r w:rsidRPr="00E7636B">
              <w:rPr>
                <w:rFonts w:ascii="Times New Roman" w:hAnsi="Times New Roman"/>
              </w:rPr>
              <w:t>10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sym w:font="Symbol" w:char="00AF"/>
            </w:r>
            <w:r w:rsidRPr="00E7636B">
              <w:rPr>
                <w:rFonts w:ascii="Times New Roman" w:hAnsi="Times New Roman"/>
              </w:rPr>
              <w:t xml:space="preserve"> 28</w:t>
            </w:r>
          </w:p>
          <w:p w:rsidR="006572F3" w:rsidRPr="009A59E7" w:rsidRDefault="006572F3" w:rsidP="00DC1869">
            <w:pPr>
              <w:spacing w:before="60" w:after="60"/>
              <w:jc w:val="center"/>
              <w:rPr>
                <w:rFonts w:ascii="Times New Roman" w:hAnsi="Times New Roman"/>
                <w:noProof/>
              </w:rPr>
            </w:pPr>
            <w:r w:rsidRPr="00E7636B">
              <w:rPr>
                <w:rFonts w:ascii="Times New Roman" w:hAnsi="Times New Roman"/>
              </w:rPr>
              <w:t>(</w:t>
            </w:r>
            <w:r w:rsidRPr="00E7636B">
              <w:rPr>
                <w:rFonts w:ascii="Times New Roman" w:hAnsi="Times New Roman"/>
              </w:rPr>
              <w:sym w:font="Symbol" w:char="00AF"/>
            </w:r>
            <w:r w:rsidRPr="00E7636B">
              <w:rPr>
                <w:rFonts w:ascii="Times New Roman" w:hAnsi="Times New Roman"/>
              </w:rPr>
              <w:t xml:space="preserve"> 50 to </w:t>
            </w:r>
            <w:r w:rsidRPr="00E7636B">
              <w:rPr>
                <w:rFonts w:ascii="Times New Roman" w:hAnsi="Times New Roman"/>
              </w:rPr>
              <w:sym w:font="Symbol" w:char="00AD"/>
            </w:r>
            <w:r w:rsidRPr="00E7636B">
              <w:rPr>
                <w:rFonts w:ascii="Times New Roman" w:hAnsi="Times New Roman"/>
              </w:rPr>
              <w:t xml:space="preserve"> 5)</w:t>
            </w:r>
            <w:r w:rsidRPr="00E7636B">
              <w:rPr>
                <w:rFonts w:ascii="Times New Roman" w:hAnsi="Times New Roman"/>
                <w:vertAlign w:val="superscript"/>
              </w:rPr>
              <w:t xml:space="preserve"> </w:t>
            </w:r>
            <w:r w:rsidR="00176F23">
              <w:rPr>
                <w:rFonts w:ascii="Times New Roman" w:hAnsi="Times New Roman"/>
                <w:vertAlign w:val="superscript"/>
              </w:rPr>
              <w:t>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sym w:font="Symbol" w:char="00AF"/>
            </w:r>
            <w:r w:rsidRPr="00E7636B">
              <w:rPr>
                <w:rFonts w:ascii="Times New Roman" w:hAnsi="Times New Roman"/>
              </w:rPr>
              <w:t xml:space="preserve"> 25</w:t>
            </w:r>
          </w:p>
          <w:p w:rsidR="006572F3" w:rsidRPr="009A59E7" w:rsidRDefault="006572F3" w:rsidP="00DC1869">
            <w:pPr>
              <w:spacing w:before="60" w:after="60"/>
              <w:jc w:val="center"/>
              <w:rPr>
                <w:rFonts w:ascii="Times New Roman" w:hAnsi="Times New Roman"/>
                <w:noProof/>
              </w:rPr>
            </w:pPr>
            <w:r w:rsidRPr="00E7636B">
              <w:rPr>
                <w:rFonts w:ascii="Times New Roman" w:hAnsi="Times New Roman"/>
              </w:rPr>
              <w:t>(</w:t>
            </w:r>
            <w:r w:rsidRPr="00E7636B">
              <w:rPr>
                <w:rFonts w:ascii="Times New Roman" w:hAnsi="Times New Roman"/>
              </w:rPr>
              <w:sym w:font="Symbol" w:char="00AF"/>
            </w:r>
            <w:r w:rsidRPr="00E7636B">
              <w:rPr>
                <w:rFonts w:ascii="Times New Roman" w:hAnsi="Times New Roman"/>
              </w:rPr>
              <w:t xml:space="preserve"> 42 to </w:t>
            </w:r>
            <w:r w:rsidRPr="00E7636B">
              <w:rPr>
                <w:rFonts w:ascii="Times New Roman" w:hAnsi="Times New Roman"/>
              </w:rPr>
              <w:sym w:font="Symbol" w:char="00AF"/>
            </w:r>
            <w:r w:rsidRPr="00E7636B">
              <w:rPr>
                <w:rFonts w:ascii="Times New Roman" w:hAnsi="Times New Roman"/>
              </w:rPr>
              <w:t xml:space="preserve"> 3)</w:t>
            </w:r>
            <w:r w:rsidRPr="00E7636B">
              <w:rPr>
                <w:rFonts w:ascii="Times New Roman" w:hAnsi="Times New Roman"/>
                <w:vertAlign w:val="superscript"/>
              </w:rPr>
              <w:t xml:space="preserve"> </w:t>
            </w:r>
            <w:r w:rsidR="00176F23">
              <w:rPr>
                <w:rFonts w:ascii="Times New Roman" w:hAnsi="Times New Roman"/>
                <w:vertAlign w:val="superscript"/>
              </w:rPr>
              <w:t>3</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6572F3" w:rsidRPr="00E7636B" w:rsidRDefault="006572F3" w:rsidP="00DC1869">
            <w:pPr>
              <w:jc w:val="center"/>
              <w:rPr>
                <w:rFonts w:ascii="Times New Roman" w:hAnsi="Times New Roman"/>
              </w:rPr>
            </w:pPr>
            <w:r w:rsidRPr="00E7636B">
              <w:rPr>
                <w:rFonts w:ascii="Times New Roman" w:hAnsi="Times New Roman"/>
              </w:rPr>
              <w:sym w:font="Symbol" w:char="00AF"/>
            </w:r>
            <w:r w:rsidRPr="00E7636B">
              <w:rPr>
                <w:rFonts w:ascii="Times New Roman" w:hAnsi="Times New Roman"/>
              </w:rPr>
              <w:t xml:space="preserve"> 23</w:t>
            </w:r>
          </w:p>
          <w:p w:rsidR="006572F3" w:rsidRPr="009A59E7" w:rsidRDefault="006572F3" w:rsidP="00DC1869">
            <w:pPr>
              <w:spacing w:before="60" w:after="60"/>
              <w:jc w:val="center"/>
              <w:rPr>
                <w:rFonts w:ascii="Times New Roman" w:hAnsi="Times New Roman"/>
                <w:noProof/>
              </w:rPr>
            </w:pPr>
            <w:r w:rsidRPr="00E7636B">
              <w:rPr>
                <w:rFonts w:ascii="Times New Roman" w:hAnsi="Times New Roman"/>
              </w:rPr>
              <w:t>(</w:t>
            </w:r>
            <w:r w:rsidRPr="00E7636B">
              <w:rPr>
                <w:rFonts w:ascii="Times New Roman" w:hAnsi="Times New Roman"/>
              </w:rPr>
              <w:sym w:font="Symbol" w:char="00AF"/>
            </w:r>
            <w:r w:rsidRPr="00E7636B">
              <w:rPr>
                <w:rFonts w:ascii="Times New Roman" w:hAnsi="Times New Roman"/>
              </w:rPr>
              <w:t xml:space="preserve"> 46 to </w:t>
            </w:r>
            <w:r w:rsidRPr="00E7636B">
              <w:rPr>
                <w:rFonts w:ascii="Times New Roman" w:hAnsi="Times New Roman"/>
              </w:rPr>
              <w:sym w:font="Symbol" w:char="00AD"/>
            </w:r>
            <w:r w:rsidRPr="00E7636B">
              <w:rPr>
                <w:rFonts w:ascii="Times New Roman" w:hAnsi="Times New Roman"/>
              </w:rPr>
              <w:t xml:space="preserve"> 10)</w:t>
            </w:r>
            <w:r w:rsidRPr="00E7636B">
              <w:rPr>
                <w:rFonts w:ascii="Times New Roman" w:hAnsi="Times New Roman"/>
                <w:vertAlign w:val="superscript"/>
              </w:rPr>
              <w:t xml:space="preserve"> </w:t>
            </w:r>
            <w:r w:rsidR="00176F23">
              <w:rPr>
                <w:rFonts w:ascii="Times New Roman" w:hAnsi="Times New Roman"/>
                <w:vertAlign w:val="superscript"/>
              </w:rPr>
              <w:t>3</w:t>
            </w:r>
          </w:p>
        </w:tc>
      </w:tr>
      <w:tr w:rsidR="00022E0F" w:rsidRPr="00E7636B"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after="60"/>
              <w:rPr>
                <w:rFonts w:ascii="Times New Roman" w:hAnsi="Times New Roman"/>
              </w:rPr>
            </w:pPr>
            <w:r w:rsidRPr="009A59E7">
              <w:rPr>
                <w:rFonts w:ascii="Times New Roman" w:hAnsi="Times New Roman"/>
              </w:rPr>
              <w:t xml:space="preserve">Efavirenz </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jc w:val="center"/>
              <w:rPr>
                <w:rFonts w:ascii="Times New Roman" w:hAnsi="Times New Roman"/>
              </w:rPr>
            </w:pPr>
            <w:r w:rsidRPr="009A59E7">
              <w:rPr>
                <w:rFonts w:ascii="Times New Roman" w:hAnsi="Times New Roman"/>
              </w:rPr>
              <w:t>600 once daily x 14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after="60"/>
              <w:jc w:val="center"/>
              <w:rPr>
                <w:rFonts w:ascii="Times New Roman" w:hAnsi="Times New Roman"/>
              </w:rPr>
            </w:pPr>
            <w:r w:rsidRPr="009A59E7">
              <w:rPr>
                <w:rFonts w:ascii="Times New Roman" w:hAnsi="Times New Roman"/>
              </w:rPr>
              <w:t>30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jc w:val="center"/>
              <w:rPr>
                <w:rFonts w:ascii="Times New Roman" w:hAnsi="Times New Roman"/>
              </w:rPr>
            </w:pPr>
            <w:r w:rsidRPr="009A59E7">
              <w:rPr>
                <w:rFonts w:ascii="Times New Roman" w:hAnsi="Times New Roman"/>
                <w:noProof/>
              </w:rPr>
              <w:sym w:font="Wingdings" w:char="00F3"/>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after="60"/>
              <w:jc w:val="center"/>
              <w:rPr>
                <w:rFonts w:ascii="Times New Roman" w:hAnsi="Times New Roman"/>
                <w:noProof/>
              </w:rPr>
            </w:pPr>
            <w:r w:rsidRPr="009A59E7">
              <w:rPr>
                <w:rFonts w:ascii="Times New Roman" w:hAnsi="Times New Roman"/>
                <w:noProof/>
              </w:rPr>
              <w:sym w:font="Wingdings" w:char="00F3"/>
            </w:r>
          </w:p>
        </w:tc>
      </w:tr>
      <w:tr w:rsidR="00022E0F" w:rsidRPr="00E7636B"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rsidP="000D56DC">
            <w:pPr>
              <w:spacing w:before="60"/>
              <w:rPr>
                <w:rFonts w:ascii="Times New Roman" w:hAnsi="Times New Roman"/>
              </w:rPr>
            </w:pPr>
            <w:r w:rsidRPr="009A59E7">
              <w:rPr>
                <w:rFonts w:ascii="Times New Roman" w:hAnsi="Times New Roman"/>
              </w:rPr>
              <w:t>Emtricitabine</w:t>
            </w:r>
          </w:p>
          <w:p w:rsidR="00022E0F" w:rsidRPr="009A59E7" w:rsidRDefault="00022E0F" w:rsidP="000D56DC">
            <w:pPr>
              <w:spacing w:after="60"/>
              <w:rPr>
                <w:rFonts w:ascii="Times New Roman" w:hAnsi="Times New Roman"/>
              </w:rPr>
            </w:pPr>
            <w:r w:rsidRPr="009A59E7">
              <w:rPr>
                <w:rFonts w:ascii="Times New Roman" w:hAnsi="Times New Roman"/>
              </w:rPr>
              <w:t>(Emtriva)</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jc w:val="center"/>
              <w:rPr>
                <w:rFonts w:ascii="Times New Roman" w:hAnsi="Times New Roman"/>
              </w:rPr>
            </w:pPr>
            <w:r w:rsidRPr="009A59E7">
              <w:rPr>
                <w:rFonts w:ascii="Times New Roman" w:hAnsi="Times New Roman"/>
              </w:rPr>
              <w:t>200 once daily x 7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pStyle w:val="Table-Heading"/>
              <w:keepNext w:val="0"/>
              <w:keepLines w:val="0"/>
              <w:tabs>
                <w:tab w:val="clear" w:pos="360"/>
              </w:tabs>
              <w:spacing w:before="60" w:after="60"/>
              <w:jc w:val="center"/>
              <w:rPr>
                <w:b w:val="0"/>
                <w:lang w:val="en-AU"/>
              </w:rPr>
            </w:pPr>
            <w:r w:rsidRPr="009A59E7">
              <w:rPr>
                <w:b w:val="0"/>
                <w:lang w:val="en-AU"/>
              </w:rPr>
              <w:t>17</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jc w:val="center"/>
              <w:rPr>
                <w:rFonts w:ascii="Times New Roman" w:hAnsi="Times New Roman"/>
                <w:noProof/>
              </w:rPr>
            </w:pPr>
            <w:r w:rsidRPr="009A59E7">
              <w:rPr>
                <w:rFonts w:ascii="Times New Roman" w:hAnsi="Times New Roman"/>
                <w:noProof/>
              </w:rPr>
              <w:sym w:font="Wingdings" w:char="00F3"/>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022E0F">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022E0F" w:rsidRPr="009A59E7" w:rsidRDefault="00DA2B81">
            <w:pPr>
              <w:spacing w:before="60" w:after="60"/>
              <w:jc w:val="center"/>
              <w:rPr>
                <w:rFonts w:ascii="Times New Roman" w:hAnsi="Times New Roman"/>
                <w:noProof/>
              </w:rPr>
            </w:pPr>
            <w:r w:rsidRPr="009A59E7">
              <w:rPr>
                <w:rFonts w:ascii="Times New Roman" w:hAnsi="Times New Roman"/>
                <w:noProof/>
              </w:rPr>
              <w:sym w:font="Symbol" w:char="00AD"/>
            </w:r>
            <w:r>
              <w:rPr>
                <w:rFonts w:ascii="Times New Roman" w:hAnsi="Times New Roman"/>
                <w:noProof/>
              </w:rPr>
              <w:t xml:space="preserve"> 20</w:t>
            </w:r>
            <w:r w:rsidRPr="009A59E7">
              <w:rPr>
                <w:rFonts w:ascii="Times New Roman" w:hAnsi="Times New Roman"/>
                <w:noProof/>
              </w:rPr>
              <w:br/>
              <w:t>(</w:t>
            </w:r>
            <w:r w:rsidRPr="009A59E7">
              <w:rPr>
                <w:rFonts w:ascii="Times New Roman" w:hAnsi="Times New Roman"/>
                <w:noProof/>
              </w:rPr>
              <w:sym w:font="Symbol" w:char="00AD"/>
            </w:r>
            <w:r w:rsidRPr="009A59E7">
              <w:rPr>
                <w:rFonts w:ascii="Times New Roman" w:hAnsi="Times New Roman"/>
              </w:rPr>
              <w:t xml:space="preserve"> </w:t>
            </w:r>
            <w:r>
              <w:rPr>
                <w:rFonts w:ascii="Times New Roman" w:hAnsi="Times New Roman"/>
              </w:rPr>
              <w:t>12</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29</w:t>
            </w:r>
            <w:r w:rsidRPr="009A59E7">
              <w:rPr>
                <w:rFonts w:ascii="Times New Roman" w:hAnsi="Times New Roman"/>
                <w:noProof/>
              </w:rPr>
              <w:t>)</w:t>
            </w:r>
          </w:p>
        </w:tc>
      </w:tr>
      <w:tr w:rsidR="00134F4D" w:rsidRPr="00E7636B"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rsidP="000D56DC">
            <w:pPr>
              <w:spacing w:before="60"/>
              <w:rPr>
                <w:rFonts w:ascii="Times New Roman" w:hAnsi="Times New Roman"/>
              </w:rPr>
            </w:pPr>
            <w:r w:rsidRPr="00042965">
              <w:rPr>
                <w:rFonts w:ascii="Times New Roman" w:hAnsi="Times New Roman"/>
                <w:color w:val="000000"/>
              </w:rPr>
              <w:t>Entecavir</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042965">
              <w:rPr>
                <w:rFonts w:ascii="Times New Roman" w:hAnsi="Times New Roman"/>
                <w:color w:val="000000"/>
              </w:rPr>
              <w:t>1 mg once daily x 10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134F4D" w:rsidRDefault="00134F4D">
            <w:pPr>
              <w:pStyle w:val="Table-Heading"/>
              <w:keepNext w:val="0"/>
              <w:keepLines w:val="0"/>
              <w:tabs>
                <w:tab w:val="clear" w:pos="360"/>
              </w:tabs>
              <w:spacing w:before="60" w:after="60"/>
              <w:jc w:val="center"/>
              <w:rPr>
                <w:b w:val="0"/>
                <w:lang w:val="en-AU"/>
              </w:rPr>
            </w:pPr>
            <w:r w:rsidRPr="00134F4D">
              <w:rPr>
                <w:b w:val="0"/>
                <w:color w:val="000000"/>
              </w:rPr>
              <w:t>28</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jc w:val="center"/>
              <w:rPr>
                <w:rFonts w:ascii="Times New Roman" w:hAnsi="Times New Roman"/>
                <w:noProof/>
              </w:rPr>
            </w:pPr>
            <w:r w:rsidRPr="00042965">
              <w:rPr>
                <w:rFonts w:ascii="Times New Roman" w:hAnsi="Times New Roman"/>
                <w:noProof/>
                <w:color w:val="000000"/>
              </w:rPr>
              <w:sym w:font="Wingdings" w:char="00F3"/>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042965" w:rsidRDefault="00134F4D" w:rsidP="00FA25FA">
            <w:pPr>
              <w:spacing w:before="60"/>
              <w:jc w:val="center"/>
              <w:rPr>
                <w:rFonts w:ascii="Times New Roman" w:hAnsi="Times New Roman"/>
                <w:color w:val="000000"/>
              </w:rPr>
            </w:pPr>
            <w:r w:rsidRPr="00042965">
              <w:rPr>
                <w:rFonts w:ascii="Times New Roman" w:hAnsi="Times New Roman"/>
                <w:noProof/>
                <w:color w:val="000000"/>
              </w:rPr>
              <w:sym w:font="Symbol" w:char="00AD"/>
            </w:r>
            <w:r w:rsidRPr="00042965">
              <w:rPr>
                <w:rFonts w:ascii="Times New Roman" w:hAnsi="Times New Roman"/>
                <w:noProof/>
                <w:color w:val="000000"/>
              </w:rPr>
              <w:t xml:space="preserve"> 13</w:t>
            </w:r>
          </w:p>
          <w:p w:rsidR="00134F4D" w:rsidRPr="009A59E7" w:rsidRDefault="00134F4D">
            <w:pPr>
              <w:spacing w:before="60" w:after="60"/>
              <w:jc w:val="center"/>
              <w:rPr>
                <w:rFonts w:ascii="Times New Roman" w:hAnsi="Times New Roman"/>
                <w:noProof/>
              </w:rPr>
            </w:pPr>
            <w:r w:rsidRPr="00042965">
              <w:rPr>
                <w:rFonts w:ascii="Times New Roman" w:hAnsi="Times New Roman"/>
                <w:color w:val="000000"/>
              </w:rPr>
              <w:t>(</w:t>
            </w:r>
            <w:r w:rsidRPr="00042965">
              <w:rPr>
                <w:rFonts w:ascii="Times New Roman" w:hAnsi="Times New Roman"/>
                <w:color w:val="000000"/>
              </w:rPr>
              <w:sym w:font="Symbol" w:char="00AF"/>
            </w:r>
            <w:r w:rsidRPr="00042965">
              <w:rPr>
                <w:rFonts w:ascii="Times New Roman" w:hAnsi="Times New Roman"/>
                <w:color w:val="000000"/>
              </w:rPr>
              <w:t xml:space="preserve"> 11 to </w:t>
            </w:r>
            <w:r w:rsidRPr="00042965">
              <w:rPr>
                <w:rFonts w:ascii="Times New Roman" w:hAnsi="Times New Roman"/>
                <w:noProof/>
                <w:color w:val="000000"/>
              </w:rPr>
              <w:sym w:font="Symbol" w:char="00AD"/>
            </w:r>
            <w:r w:rsidRPr="00042965">
              <w:rPr>
                <w:rFonts w:ascii="Times New Roman" w:hAnsi="Times New Roman"/>
                <w:noProof/>
                <w:color w:val="000000"/>
              </w:rPr>
              <w:t xml:space="preserve"> 15</w:t>
            </w:r>
            <w:r w:rsidRPr="00042965">
              <w:rPr>
                <w:rFonts w:ascii="Times New Roman" w:hAnsi="Times New Roman"/>
                <w:color w:val="000000"/>
              </w:rPr>
              <w:t>)</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r>
      <w:tr w:rsidR="00134F4D" w:rsidRPr="00E7636B"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Indinavir</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rPr>
              <w:t>800 three times daily x 7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12</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noProof/>
              </w:rPr>
            </w:pPr>
            <w:r w:rsidRPr="009A59E7">
              <w:rPr>
                <w:rFonts w:ascii="Times New Roman" w:hAnsi="Times New Roman"/>
                <w:noProof/>
              </w:rPr>
              <w:t xml:space="preserve"> </w:t>
            </w:r>
            <w:r w:rsidRPr="009A59E7">
              <w:rPr>
                <w:rFonts w:ascii="Times New Roman" w:hAnsi="Times New Roman"/>
                <w:noProof/>
              </w:rPr>
              <w:sym w:font="Symbol" w:char="00AF"/>
            </w:r>
            <w:r w:rsidRPr="009A59E7">
              <w:rPr>
                <w:rFonts w:ascii="Times New Roman" w:hAnsi="Times New Roman"/>
                <w:noProof/>
              </w:rPr>
              <w:t xml:space="preserve"> 11</w:t>
            </w:r>
          </w:p>
          <w:p w:rsidR="00134F4D" w:rsidRPr="009A59E7" w:rsidRDefault="00134F4D">
            <w:pPr>
              <w:spacing w:after="60"/>
              <w:jc w:val="center"/>
              <w:rPr>
                <w:rFonts w:ascii="Times New Roman" w:hAnsi="Times New Roman"/>
              </w:rPr>
            </w:pPr>
            <w:r w:rsidRPr="009A59E7">
              <w:rPr>
                <w:rFonts w:ascii="Times New Roman" w:hAnsi="Times New Roman"/>
                <w:noProof/>
              </w:rPr>
              <w:t>(</w:t>
            </w:r>
            <w:r w:rsidRPr="009A59E7">
              <w:rPr>
                <w:rFonts w:ascii="Times New Roman" w:hAnsi="Times New Roman"/>
                <w:noProof/>
              </w:rPr>
              <w:sym w:font="Symbol" w:char="00AF"/>
            </w:r>
            <w:r w:rsidRPr="009A59E7">
              <w:rPr>
                <w:rFonts w:ascii="Times New Roman" w:hAnsi="Times New Roman"/>
                <w:noProof/>
              </w:rPr>
              <w:t xml:space="preserve"> 30 to </w:t>
            </w:r>
            <w:r w:rsidRPr="009A59E7">
              <w:rPr>
                <w:rFonts w:ascii="Times New Roman" w:hAnsi="Times New Roman"/>
                <w:noProof/>
              </w:rPr>
              <w:sym w:font="Symbol" w:char="00AD"/>
            </w:r>
            <w:r w:rsidRPr="009A59E7">
              <w:rPr>
                <w:rFonts w:ascii="Times New Roman" w:hAnsi="Times New Roman"/>
                <w:noProof/>
              </w:rPr>
              <w:t xml:space="preserve"> 12)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r>
      <w:tr w:rsidR="00134F4D"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Lamivudine</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rPr>
              <w:t xml:space="preserve">150 twice daily </w:t>
            </w:r>
          </w:p>
          <w:p w:rsidR="00134F4D" w:rsidRPr="009A59E7" w:rsidRDefault="00134F4D">
            <w:pPr>
              <w:jc w:val="center"/>
              <w:rPr>
                <w:rFonts w:ascii="Times New Roman" w:hAnsi="Times New Roman"/>
              </w:rPr>
            </w:pPr>
            <w:r w:rsidRPr="009A59E7">
              <w:rPr>
                <w:rFonts w:ascii="Times New Roman" w:hAnsi="Times New Roman"/>
              </w:rPr>
              <w:t>x 7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15</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rPr>
              <w:sym w:font="Symbol" w:char="00AF"/>
            </w:r>
            <w:r w:rsidRPr="009A59E7">
              <w:rPr>
                <w:rFonts w:ascii="Times New Roman" w:hAnsi="Times New Roman"/>
              </w:rPr>
              <w:t xml:space="preserve"> 24</w:t>
            </w:r>
          </w:p>
          <w:p w:rsidR="00134F4D" w:rsidRPr="009A59E7" w:rsidRDefault="00134F4D">
            <w:pPr>
              <w:spacing w:after="60"/>
              <w:jc w:val="center"/>
              <w:rPr>
                <w:rFonts w:ascii="Times New Roman" w:hAnsi="Times New Roman"/>
              </w:rPr>
            </w:pPr>
            <w:r w:rsidRPr="009A59E7">
              <w:rPr>
                <w:rFonts w:ascii="Times New Roman" w:hAnsi="Times New Roman"/>
              </w:rPr>
              <w:t>(</w:t>
            </w:r>
            <w:r w:rsidRPr="009A59E7">
              <w:rPr>
                <w:rFonts w:ascii="Times New Roman" w:hAnsi="Times New Roman"/>
              </w:rPr>
              <w:sym w:font="Symbol" w:char="00AF"/>
            </w:r>
            <w:r w:rsidRPr="009A59E7">
              <w:rPr>
                <w:rFonts w:ascii="Times New Roman" w:hAnsi="Times New Roman"/>
              </w:rPr>
              <w:t xml:space="preserve">  34 to </w:t>
            </w:r>
            <w:r w:rsidRPr="009A59E7">
              <w:rPr>
                <w:rFonts w:ascii="Times New Roman" w:hAnsi="Times New Roman"/>
              </w:rPr>
              <w:sym w:font="Symbol" w:char="00AF"/>
            </w:r>
            <w:r w:rsidRPr="009A59E7">
              <w:rPr>
                <w:rFonts w:ascii="Times New Roman" w:hAnsi="Times New Roman"/>
              </w:rPr>
              <w:t xml:space="preserve"> 12)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r>
      <w:tr w:rsidR="00134F4D" w:rsidRPr="009A59E7" w:rsidTr="00B13BC7">
        <w:trPr>
          <w:cantSplit/>
          <w:trHeight w:val="397"/>
        </w:trPr>
        <w:tc>
          <w:tcPr>
            <w:tcW w:w="1560" w:type="dxa"/>
            <w:vMerge w:val="restart"/>
            <w:tcBorders>
              <w:top w:val="single" w:sz="6" w:space="0" w:color="auto"/>
              <w:left w:val="single" w:sz="6" w:space="0" w:color="auto"/>
              <w:right w:val="single" w:sz="6" w:space="0" w:color="auto"/>
            </w:tcBorders>
            <w:shd w:val="clear" w:color="auto" w:fill="auto"/>
            <w:vAlign w:val="center"/>
          </w:tcPr>
          <w:p w:rsidR="00134F4D" w:rsidRDefault="00134F4D" w:rsidP="00C86A29">
            <w:pPr>
              <w:spacing w:before="60" w:after="60"/>
              <w:rPr>
                <w:rFonts w:ascii="Times New Roman" w:hAnsi="Times New Roman"/>
              </w:rPr>
            </w:pPr>
            <w:r w:rsidRPr="009A59E7">
              <w:rPr>
                <w:rFonts w:ascii="Times New Roman" w:hAnsi="Times New Roman"/>
              </w:rPr>
              <w:t>Lopinavir</w:t>
            </w:r>
          </w:p>
          <w:p w:rsidR="00134F4D" w:rsidRPr="009A59E7" w:rsidRDefault="00134F4D" w:rsidP="00C86A29">
            <w:pPr>
              <w:spacing w:before="60" w:after="60"/>
              <w:rPr>
                <w:rFonts w:ascii="Times New Roman" w:hAnsi="Times New Roman"/>
              </w:rPr>
            </w:pPr>
            <w:r>
              <w:rPr>
                <w:rFonts w:ascii="Times New Roman" w:hAnsi="Times New Roman"/>
              </w:rPr>
              <w:t>Ritonavir</w:t>
            </w:r>
          </w:p>
        </w:tc>
        <w:tc>
          <w:tcPr>
            <w:tcW w:w="2976" w:type="dxa"/>
            <w:vMerge w:val="restart"/>
            <w:tcBorders>
              <w:top w:val="single" w:sz="6" w:space="0" w:color="auto"/>
              <w:left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Lopinavir/Ritonavir 400/100 twice daily x 14 days</w:t>
            </w:r>
          </w:p>
        </w:tc>
        <w:tc>
          <w:tcPr>
            <w:tcW w:w="567" w:type="dxa"/>
            <w:vMerge w:val="restart"/>
            <w:tcBorders>
              <w:top w:val="single" w:sz="6" w:space="0" w:color="auto"/>
              <w:left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24</w:t>
            </w:r>
          </w:p>
        </w:tc>
        <w:tc>
          <w:tcPr>
            <w:tcW w:w="1418"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417"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542"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r>
      <w:tr w:rsidR="00134F4D" w:rsidRPr="009A59E7" w:rsidTr="00B13BC7">
        <w:trPr>
          <w:cantSplit/>
          <w:trHeight w:val="398"/>
        </w:trPr>
        <w:tc>
          <w:tcPr>
            <w:tcW w:w="1560" w:type="dxa"/>
            <w:vMerge/>
            <w:tcBorders>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p>
        </w:tc>
        <w:tc>
          <w:tcPr>
            <w:tcW w:w="2976" w:type="dxa"/>
            <w:vMerge/>
            <w:tcBorders>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p>
        </w:tc>
        <w:tc>
          <w:tcPr>
            <w:tcW w:w="567" w:type="dxa"/>
            <w:vMerge/>
            <w:tcBorders>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p>
        </w:tc>
        <w:tc>
          <w:tcPr>
            <w:tcW w:w="1418" w:type="dxa"/>
            <w:tcBorders>
              <w:top w:val="nil"/>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417" w:type="dxa"/>
            <w:tcBorders>
              <w:top w:val="nil"/>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nil"/>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Methadone</w:t>
            </w:r>
            <w:r>
              <w:rPr>
                <w:rFonts w:ascii="Times New Roman" w:hAnsi="Times New Roman"/>
                <w:vertAlign w:val="superscript"/>
              </w:rPr>
              <w:t>4</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40-110 once daily x 14 days</w:t>
            </w:r>
            <w:r>
              <w:rPr>
                <w:rFonts w:ascii="Times New Roman" w:hAnsi="Times New Roman"/>
                <w:vertAlign w:val="superscript"/>
              </w:rPr>
              <w:t>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13</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B13BC7">
        <w:trPr>
          <w:cantSplit/>
          <w:trHeight w:val="423"/>
        </w:trPr>
        <w:tc>
          <w:tcPr>
            <w:tcW w:w="1560" w:type="dxa"/>
            <w:vMerge w:val="restart"/>
            <w:tcBorders>
              <w:top w:val="single" w:sz="6" w:space="0" w:color="auto"/>
              <w:left w:val="single" w:sz="6" w:space="0" w:color="auto"/>
              <w:right w:val="single" w:sz="6" w:space="0" w:color="auto"/>
            </w:tcBorders>
            <w:shd w:val="clear" w:color="auto" w:fill="auto"/>
            <w:vAlign w:val="center"/>
          </w:tcPr>
          <w:p w:rsidR="00134F4D" w:rsidRDefault="00134F4D">
            <w:pPr>
              <w:spacing w:before="60" w:after="60"/>
              <w:rPr>
                <w:rFonts w:ascii="Times New Roman" w:hAnsi="Times New Roman"/>
              </w:rPr>
            </w:pPr>
            <w:r>
              <w:rPr>
                <w:rFonts w:ascii="Times New Roman" w:hAnsi="Times New Roman"/>
              </w:rPr>
              <w:t xml:space="preserve">Nelfinavir M8 </w:t>
            </w:r>
          </w:p>
          <w:p w:rsidR="00134F4D" w:rsidRPr="009A59E7" w:rsidRDefault="00134F4D">
            <w:pPr>
              <w:spacing w:before="60" w:after="60"/>
              <w:rPr>
                <w:rFonts w:ascii="Times New Roman" w:hAnsi="Times New Roman"/>
              </w:rPr>
            </w:pPr>
            <w:r>
              <w:rPr>
                <w:rFonts w:ascii="Times New Roman" w:hAnsi="Times New Roman"/>
              </w:rPr>
              <w:t>Metabolite</w:t>
            </w:r>
          </w:p>
        </w:tc>
        <w:tc>
          <w:tcPr>
            <w:tcW w:w="2976" w:type="dxa"/>
            <w:vMerge w:val="restart"/>
            <w:tcBorders>
              <w:top w:val="single" w:sz="6" w:space="0" w:color="auto"/>
              <w:left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Pr>
                <w:rFonts w:ascii="Times New Roman" w:hAnsi="Times New Roman"/>
              </w:rPr>
              <w:t>1250 twice daily x 14 days</w:t>
            </w:r>
          </w:p>
        </w:tc>
        <w:tc>
          <w:tcPr>
            <w:tcW w:w="567" w:type="dxa"/>
            <w:vMerge w:val="restart"/>
            <w:tcBorders>
              <w:top w:val="single" w:sz="6" w:space="0" w:color="auto"/>
              <w:left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Pr>
                <w:rFonts w:ascii="Times New Roman" w:hAnsi="Times New Roman"/>
              </w:rPr>
              <w:t>29</w:t>
            </w:r>
          </w:p>
        </w:tc>
        <w:tc>
          <w:tcPr>
            <w:tcW w:w="1418"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417"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B13BC7">
        <w:trPr>
          <w:cantSplit/>
          <w:trHeight w:val="387"/>
        </w:trPr>
        <w:tc>
          <w:tcPr>
            <w:tcW w:w="1560" w:type="dxa"/>
            <w:vMerge/>
            <w:tcBorders>
              <w:left w:val="single" w:sz="6" w:space="0" w:color="auto"/>
              <w:bottom w:val="single" w:sz="6" w:space="0" w:color="auto"/>
              <w:right w:val="single" w:sz="6" w:space="0" w:color="auto"/>
            </w:tcBorders>
            <w:shd w:val="clear" w:color="auto" w:fill="auto"/>
            <w:vAlign w:val="center"/>
          </w:tcPr>
          <w:p w:rsidR="00134F4D" w:rsidRDefault="00134F4D">
            <w:pPr>
              <w:spacing w:before="60" w:after="60"/>
              <w:rPr>
                <w:rFonts w:ascii="Times New Roman" w:hAnsi="Times New Roman"/>
              </w:rPr>
            </w:pPr>
          </w:p>
        </w:tc>
        <w:tc>
          <w:tcPr>
            <w:tcW w:w="2976" w:type="dxa"/>
            <w:vMerge/>
            <w:tcBorders>
              <w:left w:val="single" w:sz="6" w:space="0" w:color="auto"/>
              <w:bottom w:val="single" w:sz="6" w:space="0" w:color="auto"/>
              <w:right w:val="single" w:sz="6" w:space="0" w:color="auto"/>
            </w:tcBorders>
            <w:shd w:val="clear" w:color="auto" w:fill="auto"/>
            <w:vAlign w:val="center"/>
          </w:tcPr>
          <w:p w:rsidR="00134F4D" w:rsidRDefault="00134F4D">
            <w:pPr>
              <w:spacing w:before="60"/>
              <w:jc w:val="center"/>
              <w:rPr>
                <w:rFonts w:ascii="Times New Roman" w:hAnsi="Times New Roman"/>
              </w:rPr>
            </w:pPr>
          </w:p>
        </w:tc>
        <w:tc>
          <w:tcPr>
            <w:tcW w:w="567" w:type="dxa"/>
            <w:vMerge/>
            <w:tcBorders>
              <w:left w:val="single" w:sz="6" w:space="0" w:color="auto"/>
              <w:bottom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p>
        </w:tc>
        <w:tc>
          <w:tcPr>
            <w:tcW w:w="1418" w:type="dxa"/>
            <w:tcBorders>
              <w:top w:val="nil"/>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417" w:type="dxa"/>
            <w:tcBorders>
              <w:top w:val="nil"/>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nil"/>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r>
      <w:tr w:rsidR="00134F4D"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Oral Contraceptives</w:t>
            </w:r>
            <w:r>
              <w:rPr>
                <w:rFonts w:ascii="Times New Roman" w:hAnsi="Times New Roman"/>
                <w:vertAlign w:val="superscript"/>
              </w:rPr>
              <w:t>6</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jc w:val="center"/>
              <w:rPr>
                <w:rFonts w:ascii="Times New Roman" w:hAnsi="Times New Roman"/>
              </w:rPr>
            </w:pPr>
            <w:r w:rsidRPr="009A59E7">
              <w:rPr>
                <w:rFonts w:ascii="Times New Roman" w:hAnsi="Times New Roman"/>
              </w:rPr>
              <w:t>Ethinyl Estradiol/</w:t>
            </w:r>
          </w:p>
          <w:p w:rsidR="00134F4D" w:rsidRPr="009A59E7" w:rsidRDefault="00134F4D">
            <w:pPr>
              <w:jc w:val="center"/>
              <w:rPr>
                <w:rFonts w:ascii="Times New Roman" w:hAnsi="Times New Roman"/>
              </w:rPr>
            </w:pPr>
            <w:r w:rsidRPr="009A59E7">
              <w:rPr>
                <w:rFonts w:ascii="Times New Roman" w:hAnsi="Times New Roman"/>
              </w:rPr>
              <w:t>Norgestimate (Ortho-Tricyclen</w:t>
            </w:r>
            <w:r w:rsidRPr="009A59E7">
              <w:rPr>
                <w:rFonts w:ascii="Times New Roman" w:hAnsi="Times New Roman"/>
                <w:vertAlign w:val="superscript"/>
              </w:rPr>
              <w:t>®</w:t>
            </w:r>
            <w:r w:rsidRPr="009A59E7">
              <w:rPr>
                <w:rFonts w:ascii="Times New Roman" w:hAnsi="Times New Roman"/>
              </w:rPr>
              <w:t xml:space="preserve">) </w:t>
            </w:r>
          </w:p>
          <w:p w:rsidR="00134F4D" w:rsidRPr="009A59E7" w:rsidRDefault="00134F4D">
            <w:pPr>
              <w:spacing w:after="60"/>
              <w:jc w:val="center"/>
              <w:rPr>
                <w:rFonts w:ascii="Times New Roman" w:hAnsi="Times New Roman"/>
              </w:rPr>
            </w:pPr>
            <w:r w:rsidRPr="009A59E7">
              <w:rPr>
                <w:rFonts w:ascii="Times New Roman" w:hAnsi="Times New Roman"/>
              </w:rPr>
              <w:t>Once daily x 7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20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noProof/>
              </w:rPr>
              <w:sym w:font="Wingdings" w:char="00F3"/>
            </w:r>
          </w:p>
        </w:tc>
      </w:tr>
      <w:tr w:rsidR="00134F4D" w:rsidRPr="009A59E7" w:rsidTr="00B13BC7">
        <w:trPr>
          <w:cantSplit/>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rPr>
                <w:rFonts w:ascii="Times New Roman" w:hAnsi="Times New Roman"/>
              </w:rPr>
            </w:pPr>
            <w:r w:rsidRPr="009A59E7">
              <w:rPr>
                <w:rFonts w:ascii="Times New Roman" w:hAnsi="Times New Roman"/>
              </w:rPr>
              <w:t>Ribavirin</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sidRPr="009A59E7">
              <w:rPr>
                <w:rFonts w:ascii="Times New Roman" w:hAnsi="Times New Roman"/>
              </w:rPr>
              <w:t>600 once</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after="60"/>
              <w:jc w:val="center"/>
              <w:rPr>
                <w:rFonts w:ascii="Times New Roman" w:hAnsi="Times New Roman"/>
              </w:rPr>
            </w:pPr>
            <w:r w:rsidRPr="005607D8">
              <w:rPr>
                <w:rFonts w:ascii="Times New Roman" w:hAnsi="Times New Roman"/>
              </w:rPr>
              <w:t>22</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after="60"/>
              <w:jc w:val="center"/>
              <w:rPr>
                <w:rFonts w:ascii="Times New Roman" w:hAnsi="Times New Roman"/>
                <w:noProof/>
              </w:rPr>
            </w:pPr>
            <w:r w:rsidRPr="005607D8">
              <w:rPr>
                <w:rFonts w:ascii="Times New Roman" w:hAnsi="Times New Roman"/>
                <w:noProof/>
              </w:rPr>
              <w:sym w:font="Wingdings" w:char="00F3"/>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after="60"/>
              <w:jc w:val="center"/>
              <w:rPr>
                <w:rFonts w:ascii="Times New Roman" w:hAnsi="Times New Roman"/>
                <w:noProof/>
              </w:rPr>
            </w:pPr>
            <w:r w:rsidRPr="005607D8">
              <w:rPr>
                <w:rFonts w:ascii="Times New Roman" w:hAnsi="Times New Roman"/>
                <w:noProof/>
              </w:rPr>
              <w:sym w:font="Wingdings" w:char="00F3"/>
            </w:r>
          </w:p>
        </w:tc>
        <w:tc>
          <w:tcPr>
            <w:tcW w:w="1542" w:type="dxa"/>
            <w:tcBorders>
              <w:top w:val="single" w:sz="6" w:space="0" w:color="auto"/>
              <w:left w:val="single" w:sz="6" w:space="0" w:color="auto"/>
              <w:bottom w:val="single" w:sz="6" w:space="0" w:color="auto"/>
              <w:right w:val="single" w:sz="6" w:space="0" w:color="auto"/>
            </w:tcBorders>
            <w:shd w:val="clear" w:color="auto" w:fill="auto"/>
            <w:vAlign w:val="center"/>
          </w:tcPr>
          <w:p w:rsidR="00134F4D" w:rsidRPr="005607D8" w:rsidRDefault="00134F4D">
            <w:pPr>
              <w:spacing w:before="60" w:after="60"/>
              <w:jc w:val="center"/>
              <w:rPr>
                <w:rFonts w:ascii="Times New Roman" w:hAnsi="Times New Roman"/>
                <w:noProof/>
              </w:rPr>
            </w:pPr>
            <w:r w:rsidRPr="005607D8">
              <w:rPr>
                <w:rFonts w:ascii="Times New Roman" w:hAnsi="Times New Roman"/>
                <w:noProof/>
              </w:rPr>
              <w:t>NA</w:t>
            </w:r>
          </w:p>
        </w:tc>
      </w:tr>
      <w:tr w:rsidR="00134F4D" w:rsidRPr="009A59E7" w:rsidTr="00B13BC7">
        <w:trPr>
          <w:cantSplit/>
        </w:trPr>
        <w:tc>
          <w:tcPr>
            <w:tcW w:w="1560" w:type="dxa"/>
            <w:vMerge w:val="restart"/>
            <w:tcBorders>
              <w:top w:val="single" w:sz="6" w:space="0" w:color="auto"/>
              <w:left w:val="single" w:sz="6" w:space="0" w:color="auto"/>
              <w:right w:val="single" w:sz="6" w:space="0" w:color="auto"/>
            </w:tcBorders>
            <w:shd w:val="clear" w:color="auto" w:fill="auto"/>
            <w:vAlign w:val="center"/>
          </w:tcPr>
          <w:p w:rsidR="00134F4D" w:rsidRDefault="00134F4D" w:rsidP="00C86A29">
            <w:pPr>
              <w:spacing w:before="60" w:after="60"/>
              <w:rPr>
                <w:rFonts w:ascii="Times New Roman" w:hAnsi="Times New Roman"/>
              </w:rPr>
            </w:pPr>
            <w:r>
              <w:rPr>
                <w:rFonts w:ascii="Times New Roman" w:hAnsi="Times New Roman"/>
              </w:rPr>
              <w:lastRenderedPageBreak/>
              <w:t>Saquinavir</w:t>
            </w:r>
          </w:p>
          <w:p w:rsidR="00134F4D" w:rsidRPr="009A59E7" w:rsidRDefault="00134F4D" w:rsidP="00C86A29">
            <w:pPr>
              <w:spacing w:before="60" w:after="60"/>
              <w:rPr>
                <w:rFonts w:ascii="Times New Roman" w:hAnsi="Times New Roman"/>
              </w:rPr>
            </w:pPr>
            <w:r>
              <w:rPr>
                <w:rFonts w:ascii="Times New Roman" w:hAnsi="Times New Roman"/>
              </w:rPr>
              <w:t xml:space="preserve"> Ritonavir</w:t>
            </w:r>
          </w:p>
        </w:tc>
        <w:tc>
          <w:tcPr>
            <w:tcW w:w="2976" w:type="dxa"/>
            <w:vMerge w:val="restart"/>
            <w:tcBorders>
              <w:top w:val="single" w:sz="6" w:space="0" w:color="auto"/>
              <w:left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Pr>
                <w:rFonts w:ascii="Times New Roman" w:hAnsi="Times New Roman"/>
              </w:rPr>
              <w:t>Saquinavir/Ritonavir 1000/100 twice daily x 14 days</w:t>
            </w:r>
          </w:p>
        </w:tc>
        <w:tc>
          <w:tcPr>
            <w:tcW w:w="567" w:type="dxa"/>
            <w:vMerge w:val="restart"/>
            <w:tcBorders>
              <w:top w:val="single" w:sz="6" w:space="0" w:color="auto"/>
              <w:left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rPr>
            </w:pPr>
            <w:r>
              <w:rPr>
                <w:rFonts w:ascii="Times New Roman" w:hAnsi="Times New Roman"/>
              </w:rPr>
              <w:t>32</w:t>
            </w:r>
          </w:p>
        </w:tc>
        <w:tc>
          <w:tcPr>
            <w:tcW w:w="1418"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Symbol" w:char="00AD"/>
            </w:r>
            <w:r>
              <w:rPr>
                <w:rFonts w:ascii="Times New Roman" w:hAnsi="Times New Roman"/>
                <w:noProof/>
              </w:rPr>
              <w:t xml:space="preserve"> 2</w:t>
            </w:r>
            <w:r w:rsidRPr="009A59E7">
              <w:rPr>
                <w:rFonts w:ascii="Times New Roman" w:hAnsi="Times New Roman"/>
                <w:noProof/>
              </w:rPr>
              <w:t>2</w:t>
            </w:r>
            <w:r w:rsidRPr="009A59E7">
              <w:rPr>
                <w:rFonts w:ascii="Times New Roman" w:hAnsi="Times New Roman"/>
                <w:noProof/>
              </w:rPr>
              <w:br/>
              <w:t>(</w:t>
            </w:r>
            <w:r w:rsidRPr="009A59E7">
              <w:rPr>
                <w:rFonts w:ascii="Times New Roman" w:hAnsi="Times New Roman"/>
                <w:noProof/>
              </w:rPr>
              <w:sym w:font="Symbol" w:char="00AD"/>
            </w:r>
            <w:r w:rsidRPr="009A59E7">
              <w:rPr>
                <w:rFonts w:ascii="Times New Roman" w:hAnsi="Times New Roman"/>
              </w:rPr>
              <w:t xml:space="preserve"> </w:t>
            </w:r>
            <w:r>
              <w:rPr>
                <w:rFonts w:ascii="Times New Roman" w:hAnsi="Times New Roman"/>
              </w:rPr>
              <w:t>6</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41</w:t>
            </w:r>
            <w:r w:rsidRPr="009A59E7">
              <w:rPr>
                <w:rFonts w:ascii="Times New Roman" w:hAnsi="Times New Roman"/>
                <w:noProof/>
              </w:rPr>
              <w:t>)</w:t>
            </w:r>
          </w:p>
        </w:tc>
        <w:tc>
          <w:tcPr>
            <w:tcW w:w="1417"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Symbol" w:char="00AD"/>
            </w:r>
            <w:r>
              <w:rPr>
                <w:rFonts w:ascii="Times New Roman" w:hAnsi="Times New Roman"/>
                <w:noProof/>
              </w:rPr>
              <w:t xml:space="preserve"> 29</w:t>
            </w:r>
            <w:r>
              <w:rPr>
                <w:rFonts w:ascii="Times New Roman" w:hAnsi="Times New Roman"/>
                <w:vertAlign w:val="superscript"/>
              </w:rPr>
              <w:t>7</w:t>
            </w:r>
            <w:r w:rsidRPr="009A59E7">
              <w:rPr>
                <w:rFonts w:ascii="Times New Roman" w:hAnsi="Times New Roman"/>
                <w:noProof/>
              </w:rPr>
              <w:br/>
              <w:t>(</w:t>
            </w:r>
            <w:r w:rsidRPr="009A59E7">
              <w:rPr>
                <w:rFonts w:ascii="Times New Roman" w:hAnsi="Times New Roman"/>
                <w:noProof/>
              </w:rPr>
              <w:sym w:font="Symbol" w:char="00AD"/>
            </w:r>
            <w:r w:rsidRPr="009A59E7">
              <w:rPr>
                <w:rFonts w:ascii="Times New Roman" w:hAnsi="Times New Roman"/>
              </w:rPr>
              <w:t xml:space="preserve"> </w:t>
            </w:r>
            <w:r>
              <w:rPr>
                <w:rFonts w:ascii="Times New Roman" w:hAnsi="Times New Roman"/>
              </w:rPr>
              <w:t>12</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48</w:t>
            </w:r>
            <w:r w:rsidRPr="009A59E7">
              <w:rPr>
                <w:rFonts w:ascii="Times New Roman" w:hAnsi="Times New Roman"/>
                <w:noProof/>
              </w:rPr>
              <w:t>)</w:t>
            </w:r>
          </w:p>
        </w:tc>
        <w:tc>
          <w:tcPr>
            <w:tcW w:w="1542" w:type="dxa"/>
            <w:tcBorders>
              <w:top w:val="single" w:sz="6" w:space="0" w:color="auto"/>
              <w:left w:val="single" w:sz="6" w:space="0" w:color="auto"/>
              <w:bottom w:val="nil"/>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Symbol" w:char="00AD"/>
            </w:r>
            <w:r>
              <w:rPr>
                <w:rFonts w:ascii="Times New Roman" w:hAnsi="Times New Roman"/>
                <w:noProof/>
              </w:rPr>
              <w:t xml:space="preserve"> 47</w:t>
            </w:r>
            <w:r>
              <w:rPr>
                <w:rFonts w:ascii="Times New Roman" w:hAnsi="Times New Roman"/>
                <w:vertAlign w:val="superscript"/>
              </w:rPr>
              <w:t>7</w:t>
            </w:r>
            <w:r w:rsidRPr="009A59E7">
              <w:rPr>
                <w:rFonts w:ascii="Times New Roman" w:hAnsi="Times New Roman"/>
                <w:noProof/>
              </w:rPr>
              <w:br/>
              <w:t>(</w:t>
            </w:r>
            <w:r w:rsidRPr="009A59E7">
              <w:rPr>
                <w:rFonts w:ascii="Times New Roman" w:hAnsi="Times New Roman"/>
                <w:noProof/>
              </w:rPr>
              <w:sym w:font="Symbol" w:char="00AD"/>
            </w:r>
            <w:r w:rsidRPr="009A59E7">
              <w:rPr>
                <w:rFonts w:ascii="Times New Roman" w:hAnsi="Times New Roman"/>
              </w:rPr>
              <w:t xml:space="preserve"> </w:t>
            </w:r>
            <w:r>
              <w:rPr>
                <w:rFonts w:ascii="Times New Roman" w:hAnsi="Times New Roman"/>
              </w:rPr>
              <w:t>23</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76</w:t>
            </w:r>
            <w:r w:rsidRPr="009A59E7">
              <w:rPr>
                <w:rFonts w:ascii="Times New Roman" w:hAnsi="Times New Roman"/>
                <w:noProof/>
              </w:rPr>
              <w:t>)</w:t>
            </w:r>
          </w:p>
        </w:tc>
      </w:tr>
      <w:tr w:rsidR="00134F4D" w:rsidRPr="009A59E7" w:rsidTr="00B13BC7">
        <w:trPr>
          <w:cantSplit/>
        </w:trPr>
        <w:tc>
          <w:tcPr>
            <w:tcW w:w="1560" w:type="dxa"/>
            <w:vMerge/>
            <w:tcBorders>
              <w:left w:val="single" w:sz="6" w:space="0" w:color="auto"/>
              <w:right w:val="single" w:sz="6" w:space="0" w:color="auto"/>
            </w:tcBorders>
            <w:shd w:val="clear" w:color="auto" w:fill="auto"/>
            <w:vAlign w:val="center"/>
          </w:tcPr>
          <w:p w:rsidR="00134F4D" w:rsidRDefault="00134F4D">
            <w:pPr>
              <w:spacing w:before="60" w:after="60"/>
              <w:rPr>
                <w:rFonts w:ascii="Times New Roman" w:hAnsi="Times New Roman"/>
              </w:rPr>
            </w:pPr>
          </w:p>
        </w:tc>
        <w:tc>
          <w:tcPr>
            <w:tcW w:w="2976" w:type="dxa"/>
            <w:vMerge/>
            <w:tcBorders>
              <w:left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p>
        </w:tc>
        <w:tc>
          <w:tcPr>
            <w:tcW w:w="567" w:type="dxa"/>
            <w:vMerge/>
            <w:tcBorders>
              <w:left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p>
        </w:tc>
        <w:tc>
          <w:tcPr>
            <w:tcW w:w="1418" w:type="dxa"/>
            <w:tcBorders>
              <w:top w:val="nil"/>
              <w:left w:val="single" w:sz="6" w:space="0" w:color="auto"/>
              <w:bottom w:val="single" w:sz="4"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417" w:type="dxa"/>
            <w:tcBorders>
              <w:top w:val="nil"/>
              <w:left w:val="single" w:sz="6" w:space="0" w:color="auto"/>
              <w:bottom w:val="single" w:sz="4"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Wingdings" w:char="00F3"/>
            </w:r>
          </w:p>
        </w:tc>
        <w:tc>
          <w:tcPr>
            <w:tcW w:w="1542" w:type="dxa"/>
            <w:tcBorders>
              <w:top w:val="nil"/>
              <w:left w:val="single" w:sz="6" w:space="0" w:color="auto"/>
              <w:bottom w:val="single" w:sz="4"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9A59E7">
              <w:rPr>
                <w:rFonts w:ascii="Times New Roman" w:hAnsi="Times New Roman"/>
                <w:noProof/>
              </w:rPr>
              <w:sym w:font="Symbol" w:char="00AD"/>
            </w:r>
            <w:r>
              <w:rPr>
                <w:rFonts w:ascii="Times New Roman" w:hAnsi="Times New Roman"/>
                <w:noProof/>
              </w:rPr>
              <w:t xml:space="preserve"> 23</w:t>
            </w:r>
            <w:r w:rsidRPr="009A59E7">
              <w:rPr>
                <w:rFonts w:ascii="Times New Roman" w:hAnsi="Times New Roman"/>
                <w:noProof/>
              </w:rPr>
              <w:br/>
              <w:t>(</w:t>
            </w:r>
            <w:r w:rsidRPr="009A59E7">
              <w:rPr>
                <w:rFonts w:ascii="Times New Roman" w:hAnsi="Times New Roman"/>
                <w:noProof/>
              </w:rPr>
              <w:sym w:font="Symbol" w:char="00AD"/>
            </w:r>
            <w:r w:rsidRPr="009A59E7">
              <w:rPr>
                <w:rFonts w:ascii="Times New Roman" w:hAnsi="Times New Roman"/>
              </w:rPr>
              <w:t xml:space="preserve"> </w:t>
            </w:r>
            <w:r>
              <w:rPr>
                <w:rFonts w:ascii="Times New Roman" w:hAnsi="Times New Roman"/>
              </w:rPr>
              <w:t>3</w:t>
            </w:r>
            <w:r w:rsidRPr="009A59E7">
              <w:rPr>
                <w:rFonts w:ascii="Times New Roman" w:hAnsi="Times New Roman"/>
              </w:rPr>
              <w:t xml:space="preserve"> to </w:t>
            </w:r>
            <w:r w:rsidRPr="009A59E7">
              <w:rPr>
                <w:rFonts w:ascii="Times New Roman" w:hAnsi="Times New Roman"/>
                <w:noProof/>
              </w:rPr>
              <w:sym w:font="Symbol" w:char="00AD"/>
            </w:r>
            <w:r w:rsidRPr="009A59E7">
              <w:rPr>
                <w:rFonts w:ascii="Times New Roman" w:hAnsi="Times New Roman"/>
                <w:noProof/>
              </w:rPr>
              <w:t xml:space="preserve"> </w:t>
            </w:r>
            <w:r>
              <w:rPr>
                <w:rFonts w:ascii="Times New Roman" w:hAnsi="Times New Roman"/>
                <w:noProof/>
              </w:rPr>
              <w:t>46</w:t>
            </w:r>
            <w:r w:rsidRPr="009A59E7">
              <w:rPr>
                <w:rFonts w:ascii="Times New Roman" w:hAnsi="Times New Roman"/>
                <w:noProof/>
              </w:rPr>
              <w:t>)</w:t>
            </w:r>
          </w:p>
        </w:tc>
      </w:tr>
      <w:tr w:rsidR="00134F4D" w:rsidRPr="009A59E7" w:rsidTr="00B13BC7">
        <w:trPr>
          <w:cantSplit/>
        </w:trPr>
        <w:tc>
          <w:tcPr>
            <w:tcW w:w="1560" w:type="dxa"/>
            <w:tcBorders>
              <w:left w:val="single" w:sz="6" w:space="0" w:color="auto"/>
              <w:bottom w:val="single" w:sz="6" w:space="0" w:color="auto"/>
              <w:right w:val="single" w:sz="6" w:space="0" w:color="auto"/>
            </w:tcBorders>
            <w:shd w:val="clear" w:color="auto" w:fill="auto"/>
            <w:vAlign w:val="center"/>
          </w:tcPr>
          <w:p w:rsidR="00134F4D" w:rsidRDefault="00134F4D">
            <w:pPr>
              <w:spacing w:before="60" w:after="60"/>
              <w:rPr>
                <w:rFonts w:ascii="Times New Roman" w:hAnsi="Times New Roman"/>
              </w:rPr>
            </w:pPr>
            <w:r w:rsidRPr="00042965">
              <w:rPr>
                <w:rFonts w:ascii="Times New Roman" w:hAnsi="Times New Roman"/>
                <w:color w:val="000000"/>
              </w:rPr>
              <w:t>Tacrolimus</w:t>
            </w:r>
            <w:r>
              <w:rPr>
                <w:rFonts w:ascii="Times New Roman" w:hAnsi="Times New Roman"/>
                <w:color w:val="000000"/>
                <w:vertAlign w:val="superscript"/>
              </w:rPr>
              <w:t>8</w:t>
            </w:r>
          </w:p>
        </w:tc>
        <w:tc>
          <w:tcPr>
            <w:tcW w:w="2976" w:type="dxa"/>
            <w:tcBorders>
              <w:left w:val="single" w:sz="6" w:space="0" w:color="auto"/>
              <w:bottom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r w:rsidRPr="00042965">
              <w:rPr>
                <w:rFonts w:ascii="Times New Roman" w:hAnsi="Times New Roman"/>
                <w:color w:val="000000"/>
              </w:rPr>
              <w:t>0.05 mg/kg twice daily x 7 days</w:t>
            </w:r>
          </w:p>
        </w:tc>
        <w:tc>
          <w:tcPr>
            <w:tcW w:w="567" w:type="dxa"/>
            <w:tcBorders>
              <w:left w:val="single" w:sz="6" w:space="0" w:color="auto"/>
              <w:bottom w:val="single" w:sz="6" w:space="0" w:color="auto"/>
              <w:right w:val="single" w:sz="6" w:space="0" w:color="auto"/>
            </w:tcBorders>
            <w:shd w:val="clear" w:color="auto" w:fill="auto"/>
            <w:vAlign w:val="center"/>
          </w:tcPr>
          <w:p w:rsidR="00134F4D" w:rsidRDefault="00134F4D">
            <w:pPr>
              <w:spacing w:before="60" w:after="60"/>
              <w:jc w:val="center"/>
              <w:rPr>
                <w:rFonts w:ascii="Times New Roman" w:hAnsi="Times New Roman"/>
              </w:rPr>
            </w:pPr>
            <w:r w:rsidRPr="00042965">
              <w:rPr>
                <w:rFonts w:ascii="Times New Roman" w:hAnsi="Times New Roman"/>
                <w:color w:val="000000"/>
              </w:rPr>
              <w:t>21</w:t>
            </w:r>
          </w:p>
        </w:tc>
        <w:tc>
          <w:tcPr>
            <w:tcW w:w="1418" w:type="dxa"/>
            <w:tcBorders>
              <w:top w:val="single" w:sz="4"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c>
          <w:tcPr>
            <w:tcW w:w="1417" w:type="dxa"/>
            <w:tcBorders>
              <w:top w:val="single" w:sz="4"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c>
          <w:tcPr>
            <w:tcW w:w="1542" w:type="dxa"/>
            <w:tcBorders>
              <w:top w:val="single" w:sz="4" w:space="0" w:color="auto"/>
              <w:left w:val="single" w:sz="6" w:space="0" w:color="auto"/>
              <w:bottom w:val="single" w:sz="6" w:space="0" w:color="auto"/>
              <w:right w:val="single" w:sz="6" w:space="0" w:color="auto"/>
            </w:tcBorders>
            <w:shd w:val="clear" w:color="auto" w:fill="auto"/>
            <w:vAlign w:val="center"/>
          </w:tcPr>
          <w:p w:rsidR="00134F4D" w:rsidRPr="009A59E7" w:rsidRDefault="00134F4D">
            <w:pPr>
              <w:spacing w:before="60" w:after="60"/>
              <w:jc w:val="center"/>
              <w:rPr>
                <w:rFonts w:ascii="Times New Roman" w:hAnsi="Times New Roman"/>
                <w:noProof/>
              </w:rPr>
            </w:pPr>
            <w:r w:rsidRPr="00042965">
              <w:rPr>
                <w:rFonts w:ascii="Times New Roman" w:hAnsi="Times New Roman"/>
                <w:noProof/>
                <w:color w:val="000000"/>
              </w:rPr>
              <w:sym w:font="Wingdings" w:char="00F3"/>
            </w:r>
          </w:p>
        </w:tc>
      </w:tr>
    </w:tbl>
    <w:p w:rsidR="00927F7D" w:rsidRPr="00DA2B81" w:rsidRDefault="00927F7D" w:rsidP="00927F7D">
      <w:pPr>
        <w:numPr>
          <w:ilvl w:val="0"/>
          <w:numId w:val="5"/>
        </w:numPr>
        <w:spacing w:before="60"/>
        <w:rPr>
          <w:rFonts w:ascii="Times New Roman" w:hAnsi="Times New Roman"/>
          <w:noProof/>
          <w:sz w:val="18"/>
          <w:szCs w:val="18"/>
        </w:rPr>
      </w:pPr>
      <w:r w:rsidRPr="00DA2B81">
        <w:rPr>
          <w:rFonts w:ascii="Times New Roman" w:hAnsi="Times New Roman"/>
          <w:sz w:val="18"/>
          <w:szCs w:val="18"/>
        </w:rPr>
        <w:t xml:space="preserve">Increase = </w:t>
      </w:r>
      <w:r w:rsidRPr="00DA2B81">
        <w:rPr>
          <w:rFonts w:ascii="Times New Roman" w:hAnsi="Times New Roman"/>
          <w:noProof/>
          <w:sz w:val="18"/>
          <w:szCs w:val="18"/>
        </w:rPr>
        <w:sym w:font="Symbol" w:char="00AD"/>
      </w:r>
      <w:r w:rsidRPr="00DA2B81">
        <w:rPr>
          <w:rFonts w:ascii="Times New Roman" w:hAnsi="Times New Roman"/>
          <w:sz w:val="18"/>
          <w:szCs w:val="18"/>
        </w:rPr>
        <w:t xml:space="preserve">; Decrease = </w:t>
      </w:r>
      <w:r w:rsidRPr="00DA2B81">
        <w:rPr>
          <w:rFonts w:ascii="Times New Roman" w:hAnsi="Times New Roman"/>
          <w:sz w:val="18"/>
          <w:szCs w:val="18"/>
        </w:rPr>
        <w:sym w:font="Symbol" w:char="00AF"/>
      </w:r>
      <w:r w:rsidRPr="00DA2B81">
        <w:rPr>
          <w:rFonts w:ascii="Times New Roman" w:hAnsi="Times New Roman"/>
          <w:sz w:val="18"/>
          <w:szCs w:val="18"/>
        </w:rPr>
        <w:t xml:space="preserve">; No Effect = </w:t>
      </w:r>
      <w:r w:rsidRPr="00DA2B81">
        <w:rPr>
          <w:rFonts w:ascii="Times New Roman" w:hAnsi="Times New Roman"/>
          <w:noProof/>
          <w:sz w:val="18"/>
          <w:szCs w:val="18"/>
        </w:rPr>
        <w:sym w:font="Wingdings" w:char="00F3"/>
      </w:r>
      <w:r w:rsidRPr="00DA2B81">
        <w:rPr>
          <w:rFonts w:ascii="Times New Roman" w:hAnsi="Times New Roman"/>
          <w:noProof/>
          <w:sz w:val="18"/>
          <w:szCs w:val="18"/>
        </w:rPr>
        <w:t>; NA = Not Applicable</w:t>
      </w:r>
    </w:p>
    <w:p w:rsidR="000C5FBF" w:rsidRPr="00DA2B81" w:rsidRDefault="000C5FBF" w:rsidP="00927F7D">
      <w:pPr>
        <w:numPr>
          <w:ilvl w:val="0"/>
          <w:numId w:val="5"/>
        </w:numPr>
        <w:spacing w:before="60"/>
        <w:rPr>
          <w:rFonts w:ascii="Times New Roman" w:hAnsi="Times New Roman"/>
          <w:noProof/>
          <w:sz w:val="18"/>
          <w:szCs w:val="18"/>
        </w:rPr>
      </w:pPr>
      <w:r w:rsidRPr="00DA2B81">
        <w:rPr>
          <w:rFonts w:ascii="Times New Roman" w:hAnsi="Times New Roman"/>
          <w:sz w:val="18"/>
          <w:szCs w:val="18"/>
        </w:rPr>
        <w:t>REYATAZ</w:t>
      </w:r>
      <w:r w:rsidRPr="00DA2B81">
        <w:rPr>
          <w:rFonts w:ascii="Times New Roman" w:hAnsi="Times New Roman"/>
          <w:sz w:val="18"/>
          <w:szCs w:val="18"/>
          <w:vertAlign w:val="superscript"/>
        </w:rPr>
        <w:t>™</w:t>
      </w:r>
      <w:r w:rsidRPr="00DA2B81">
        <w:rPr>
          <w:rFonts w:ascii="Times New Roman" w:hAnsi="Times New Roman"/>
          <w:sz w:val="18"/>
          <w:szCs w:val="18"/>
        </w:rPr>
        <w:t xml:space="preserve"> Prescribing Information (Bristol-Myers Squibb)</w:t>
      </w:r>
    </w:p>
    <w:p w:rsidR="000C5FBF" w:rsidRPr="00DA2B81" w:rsidRDefault="000C5FBF" w:rsidP="00927F7D">
      <w:pPr>
        <w:numPr>
          <w:ilvl w:val="0"/>
          <w:numId w:val="5"/>
        </w:numPr>
        <w:spacing w:before="60"/>
        <w:rPr>
          <w:rFonts w:ascii="Times New Roman" w:hAnsi="Times New Roman"/>
          <w:noProof/>
          <w:sz w:val="18"/>
          <w:szCs w:val="18"/>
        </w:rPr>
      </w:pPr>
      <w:r w:rsidRPr="00DA2B81">
        <w:rPr>
          <w:rFonts w:ascii="Times New Roman" w:hAnsi="Times New Roman"/>
          <w:sz w:val="18"/>
          <w:szCs w:val="18"/>
        </w:rPr>
        <w:t>In HIV-infected patients, addition of tenofovir DF to atazanavir 300 mg plus ritonavir 100 mg, resulted in AUC and C</w:t>
      </w:r>
      <w:r w:rsidRPr="00DA2B81">
        <w:rPr>
          <w:rFonts w:ascii="Times New Roman" w:hAnsi="Times New Roman"/>
          <w:sz w:val="18"/>
          <w:szCs w:val="18"/>
          <w:vertAlign w:val="subscript"/>
        </w:rPr>
        <w:t>min</w:t>
      </w:r>
      <w:r w:rsidRPr="00DA2B81">
        <w:rPr>
          <w:rFonts w:ascii="Times New Roman" w:hAnsi="Times New Roman"/>
          <w:sz w:val="18"/>
          <w:szCs w:val="18"/>
        </w:rPr>
        <w:t xml:space="preserve"> values of atazanavir that were 2.3- and 4-fold higher than the respective values observed for atazanavir 400 mg when given alone (REYATAZ</w:t>
      </w:r>
      <w:r w:rsidRPr="00DA2B81">
        <w:rPr>
          <w:rFonts w:ascii="Times New Roman" w:hAnsi="Times New Roman"/>
          <w:sz w:val="18"/>
          <w:szCs w:val="18"/>
          <w:vertAlign w:val="superscript"/>
        </w:rPr>
        <w:t>™</w:t>
      </w:r>
      <w:r w:rsidRPr="00DA2B81">
        <w:rPr>
          <w:rFonts w:ascii="Times New Roman" w:hAnsi="Times New Roman"/>
          <w:sz w:val="18"/>
          <w:szCs w:val="18"/>
        </w:rPr>
        <w:t xml:space="preserve"> March 2004 United States Package Insert)</w:t>
      </w:r>
    </w:p>
    <w:p w:rsidR="00927F7D" w:rsidRPr="00DA2B81" w:rsidRDefault="00927F7D" w:rsidP="00927F7D">
      <w:pPr>
        <w:numPr>
          <w:ilvl w:val="0"/>
          <w:numId w:val="5"/>
        </w:numPr>
        <w:rPr>
          <w:rFonts w:ascii="Times New Roman" w:hAnsi="Times New Roman"/>
          <w:noProof/>
          <w:sz w:val="18"/>
          <w:szCs w:val="18"/>
        </w:rPr>
      </w:pPr>
      <w:r w:rsidRPr="00DA2B81">
        <w:rPr>
          <w:rFonts w:ascii="Times New Roman" w:hAnsi="Times New Roman"/>
          <w:noProof/>
          <w:sz w:val="18"/>
          <w:szCs w:val="18"/>
        </w:rPr>
        <w:t>R-(active), S-and total methadone exposures were equivalent when dosed alone or with VIREAD.</w:t>
      </w:r>
    </w:p>
    <w:p w:rsidR="00927F7D" w:rsidRPr="00DA2B81" w:rsidRDefault="00927F7D" w:rsidP="00927F7D">
      <w:pPr>
        <w:numPr>
          <w:ilvl w:val="0"/>
          <w:numId w:val="5"/>
        </w:numPr>
        <w:rPr>
          <w:rFonts w:ascii="Times New Roman" w:hAnsi="Times New Roman"/>
          <w:noProof/>
          <w:sz w:val="18"/>
          <w:szCs w:val="18"/>
        </w:rPr>
      </w:pPr>
      <w:r w:rsidRPr="00DA2B81">
        <w:rPr>
          <w:rFonts w:ascii="Times New Roman" w:hAnsi="Times New Roman"/>
          <w:noProof/>
          <w:sz w:val="18"/>
          <w:szCs w:val="18"/>
        </w:rPr>
        <w:t>Individual subjects were maintained on their stable methadone dose.  No pharmacodynamic alterations (opiate toxicity or withdrawal signs or symptoms) were reported.</w:t>
      </w:r>
    </w:p>
    <w:p w:rsidR="002915A6" w:rsidRPr="00DA2B81" w:rsidRDefault="00927F7D" w:rsidP="000C5FBF">
      <w:pPr>
        <w:numPr>
          <w:ilvl w:val="0"/>
          <w:numId w:val="5"/>
        </w:numPr>
        <w:rPr>
          <w:rFonts w:ascii="Times New Roman" w:hAnsi="Times New Roman"/>
          <w:sz w:val="18"/>
          <w:szCs w:val="18"/>
        </w:rPr>
      </w:pPr>
      <w:r w:rsidRPr="00DA2B81">
        <w:rPr>
          <w:rFonts w:ascii="Times New Roman" w:hAnsi="Times New Roman"/>
          <w:noProof/>
          <w:sz w:val="18"/>
          <w:szCs w:val="18"/>
        </w:rPr>
        <w:t>Ethinyl estradiol and 17-deacetyl norgestimate (pharmacologically active metabolite) exposures were equivalent when dosed alone or with VIREAD.</w:t>
      </w:r>
    </w:p>
    <w:p w:rsidR="0081766E" w:rsidRPr="00DA2B81" w:rsidRDefault="0081766E" w:rsidP="00426549">
      <w:pPr>
        <w:numPr>
          <w:ilvl w:val="0"/>
          <w:numId w:val="5"/>
        </w:numPr>
        <w:autoSpaceDE w:val="0"/>
        <w:autoSpaceDN w:val="0"/>
        <w:adjustRightInd w:val="0"/>
        <w:rPr>
          <w:rFonts w:ascii="Times New Roman" w:hAnsi="Times New Roman"/>
          <w:sz w:val="18"/>
          <w:szCs w:val="18"/>
        </w:rPr>
      </w:pPr>
      <w:r w:rsidRPr="00DA2B81">
        <w:rPr>
          <w:rFonts w:ascii="Times New Roman" w:hAnsi="Times New Roman"/>
          <w:sz w:val="18"/>
          <w:szCs w:val="18"/>
        </w:rPr>
        <w:t>Increases in AUC and C</w:t>
      </w:r>
      <w:r w:rsidRPr="00DA2B81">
        <w:rPr>
          <w:rFonts w:ascii="Times New Roman" w:hAnsi="Times New Roman"/>
          <w:sz w:val="18"/>
          <w:szCs w:val="18"/>
          <w:vertAlign w:val="subscript"/>
        </w:rPr>
        <w:t>min</w:t>
      </w:r>
      <w:r w:rsidRPr="00DA2B81">
        <w:rPr>
          <w:rFonts w:ascii="Times New Roman" w:hAnsi="Times New Roman"/>
          <w:sz w:val="18"/>
          <w:szCs w:val="18"/>
        </w:rPr>
        <w:t xml:space="preserve"> are not expected to be clinically relevant; hence no dose adjustments are required when tenofovir DF and ritonavir-boosted saquinavir are coadministered.</w:t>
      </w:r>
    </w:p>
    <w:p w:rsidR="00134F4D" w:rsidRPr="00042965" w:rsidRDefault="00134F4D" w:rsidP="00134F4D">
      <w:pPr>
        <w:numPr>
          <w:ilvl w:val="0"/>
          <w:numId w:val="5"/>
        </w:numPr>
        <w:rPr>
          <w:rFonts w:ascii="Times New Roman" w:hAnsi="Times New Roman"/>
          <w:noProof/>
          <w:color w:val="000000"/>
          <w:sz w:val="18"/>
        </w:rPr>
      </w:pPr>
      <w:r w:rsidRPr="00D3615E">
        <w:rPr>
          <w:rFonts w:ascii="Times New Roman" w:hAnsi="Times New Roman"/>
          <w:noProof/>
          <w:sz w:val="18"/>
        </w:rPr>
        <w:t>Subjects</w:t>
      </w:r>
      <w:r w:rsidRPr="001624EE">
        <w:rPr>
          <w:rFonts w:ascii="Times New Roman" w:hAnsi="Times New Roman"/>
          <w:noProof/>
          <w:color w:val="FF0000"/>
          <w:sz w:val="18"/>
        </w:rPr>
        <w:t xml:space="preserve"> </w:t>
      </w:r>
      <w:r w:rsidRPr="00042965">
        <w:rPr>
          <w:rFonts w:ascii="Times New Roman" w:hAnsi="Times New Roman"/>
          <w:noProof/>
          <w:color w:val="000000"/>
          <w:sz w:val="18"/>
        </w:rPr>
        <w:t>received tenofovir DF 300 mg once daily as the combination product TRUVADA.</w:t>
      </w:r>
    </w:p>
    <w:p w:rsidR="0081766E" w:rsidRDefault="0081766E" w:rsidP="00426549">
      <w:pPr>
        <w:spacing w:after="60"/>
        <w:ind w:left="1267" w:right="-14" w:hanging="1267"/>
        <w:rPr>
          <w:rFonts w:ascii="Times New Roman" w:hAnsi="Times New Roman"/>
          <w:b/>
          <w:sz w:val="22"/>
        </w:rPr>
      </w:pPr>
    </w:p>
    <w:p w:rsidR="00927F7D" w:rsidRPr="009A59E7" w:rsidRDefault="00927F7D" w:rsidP="00426549">
      <w:pPr>
        <w:spacing w:after="60"/>
        <w:ind w:left="1267" w:right="-14" w:hanging="1267"/>
        <w:rPr>
          <w:rFonts w:ascii="Times New Roman" w:hAnsi="Times New Roman"/>
          <w:b/>
          <w:sz w:val="22"/>
        </w:rPr>
      </w:pPr>
      <w:r w:rsidRPr="009A59E7">
        <w:rPr>
          <w:rFonts w:ascii="Times New Roman" w:hAnsi="Times New Roman"/>
          <w:b/>
          <w:sz w:val="22"/>
        </w:rPr>
        <w:t>Table 4.</w:t>
      </w:r>
      <w:r w:rsidRPr="009A59E7">
        <w:rPr>
          <w:rFonts w:ascii="Times New Roman" w:hAnsi="Times New Roman"/>
          <w:b/>
          <w:sz w:val="22"/>
        </w:rPr>
        <w:tab/>
        <w:t>Drug Interactions: Pharmacokinetic Parameters for Didanosine in the Presence of VIREAD</w:t>
      </w:r>
      <w:r w:rsidRPr="009A59E7">
        <w:rPr>
          <w:rFonts w:ascii="Times New Roman" w:hAnsi="Times New Roman"/>
          <w:b/>
          <w:sz w:val="22"/>
          <w:vertAlign w:val="superscript"/>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0"/>
        <w:gridCol w:w="1980"/>
        <w:gridCol w:w="720"/>
        <w:gridCol w:w="2295"/>
        <w:gridCol w:w="2295"/>
      </w:tblGrid>
      <w:tr w:rsidR="00927F7D" w:rsidRPr="009A59E7">
        <w:trPr>
          <w:cantSplit/>
        </w:trPr>
        <w:tc>
          <w:tcPr>
            <w:tcW w:w="18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b/>
              </w:rPr>
            </w:pPr>
            <w:r w:rsidRPr="006125D5">
              <w:rPr>
                <w:rFonts w:ascii="Times New Roman" w:hAnsi="Times New Roman"/>
                <w:b/>
              </w:rPr>
              <w:t>Didanosine</w:t>
            </w:r>
            <w:r w:rsidRPr="006125D5">
              <w:rPr>
                <w:rFonts w:ascii="Times New Roman" w:hAnsi="Times New Roman"/>
                <w:b/>
                <w:vertAlign w:val="superscript"/>
              </w:rPr>
              <w:t>1</w:t>
            </w:r>
            <w:r w:rsidRPr="006125D5">
              <w:rPr>
                <w:rFonts w:ascii="Times New Roman" w:hAnsi="Times New Roman"/>
                <w:b/>
              </w:rPr>
              <w:t xml:space="preserve"> Dose (mg)/</w:t>
            </w:r>
            <w:r w:rsidRPr="006125D5">
              <w:rPr>
                <w:rFonts w:ascii="Times New Roman" w:hAnsi="Times New Roman"/>
                <w:b/>
              </w:rPr>
              <w:br/>
              <w:t>Method of Administration</w:t>
            </w:r>
            <w:r w:rsidRPr="006125D5">
              <w:rPr>
                <w:rFonts w:ascii="Times New Roman" w:hAnsi="Times New Roman"/>
                <w:b/>
                <w:vertAlign w:val="superscript"/>
              </w:rPr>
              <w:t>2</w:t>
            </w:r>
          </w:p>
        </w:tc>
        <w:tc>
          <w:tcPr>
            <w:tcW w:w="198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b/>
              </w:rPr>
            </w:pPr>
            <w:r w:rsidRPr="006125D5">
              <w:rPr>
                <w:rFonts w:ascii="Times New Roman" w:hAnsi="Times New Roman"/>
                <w:b/>
              </w:rPr>
              <w:t>VIREAD Method of Administration</w:t>
            </w:r>
            <w:r w:rsidRPr="006125D5">
              <w:rPr>
                <w:rFonts w:ascii="Times New Roman" w:hAnsi="Times New Roman"/>
                <w:b/>
                <w:vertAlign w:val="superscript"/>
              </w:rPr>
              <w:t>2</w:t>
            </w:r>
          </w:p>
        </w:tc>
        <w:tc>
          <w:tcPr>
            <w:tcW w:w="7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jc w:val="center"/>
              <w:rPr>
                <w:rFonts w:ascii="Times New Roman" w:hAnsi="Times New Roman"/>
                <w:b/>
              </w:rPr>
            </w:pPr>
            <w:r w:rsidRPr="006125D5">
              <w:rPr>
                <w:rFonts w:ascii="Times New Roman" w:hAnsi="Times New Roman"/>
                <w:b/>
              </w:rPr>
              <w:t>N</w:t>
            </w:r>
          </w:p>
        </w:tc>
        <w:tc>
          <w:tcPr>
            <w:tcW w:w="45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b/>
              </w:rPr>
            </w:pPr>
            <w:r w:rsidRPr="006125D5">
              <w:rPr>
                <w:rFonts w:ascii="Times New Roman" w:hAnsi="Times New Roman"/>
                <w:b/>
              </w:rPr>
              <w:t>% Difference (90% CI) vs. Didanosine  400 mg alone, Fasted</w:t>
            </w:r>
            <w:r w:rsidRPr="006125D5">
              <w:rPr>
                <w:rFonts w:ascii="Times New Roman" w:hAnsi="Times New Roman"/>
                <w:b/>
                <w:vertAlign w:val="superscript"/>
              </w:rPr>
              <w:t>3</w:t>
            </w:r>
          </w:p>
        </w:tc>
      </w:tr>
      <w:tr w:rsidR="00927F7D" w:rsidRPr="009A59E7">
        <w:trPr>
          <w:cantSplit/>
        </w:trPr>
        <w:tc>
          <w:tcPr>
            <w:tcW w:w="180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rPr>
                <w:rFonts w:ascii="Times New Roman" w:hAnsi="Times New Roman"/>
                <w:b/>
              </w:rPr>
            </w:pPr>
          </w:p>
        </w:tc>
        <w:tc>
          <w:tcPr>
            <w:tcW w:w="198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rPr>
                <w:rFonts w:ascii="Times New Roman" w:hAnsi="Times New Roman"/>
                <w:b/>
              </w:rPr>
            </w:pPr>
          </w:p>
        </w:tc>
        <w:tc>
          <w:tcPr>
            <w:tcW w:w="720" w:type="dxa"/>
            <w:vMerge/>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rPr>
                <w:rFonts w:ascii="Times New Roman" w:hAnsi="Times New Roman"/>
                <w:b/>
              </w:rPr>
            </w:pP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b/>
              </w:rPr>
            </w:pPr>
            <w:r w:rsidRPr="006125D5">
              <w:rPr>
                <w:rFonts w:ascii="Times New Roman" w:hAnsi="Times New Roman"/>
                <w:b/>
              </w:rPr>
              <w:t>C</w:t>
            </w:r>
            <w:r w:rsidRPr="006125D5">
              <w:rPr>
                <w:rFonts w:ascii="Times New Roman" w:hAnsi="Times New Roman"/>
                <w:b/>
                <w:vertAlign w:val="subscript"/>
              </w:rPr>
              <w:t>max</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537553" w:rsidRDefault="00927F7D" w:rsidP="00537553">
            <w:pPr>
              <w:pStyle w:val="Heading1"/>
              <w:keepNext w:val="0"/>
              <w:spacing w:before="60" w:after="60"/>
              <w:jc w:val="center"/>
              <w:rPr>
                <w:b/>
                <w:i w:val="0"/>
                <w:lang w:val="en-AU"/>
              </w:rPr>
            </w:pPr>
            <w:r w:rsidRPr="00537553">
              <w:rPr>
                <w:b/>
                <w:i w:val="0"/>
                <w:lang w:val="en-AU"/>
              </w:rPr>
              <w:t>AUC</w:t>
            </w:r>
          </w:p>
        </w:tc>
      </w:tr>
      <w:tr w:rsidR="00927F7D" w:rsidRPr="009A59E7">
        <w:trPr>
          <w:cantSplit/>
        </w:trPr>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pStyle w:val="Heading2"/>
              <w:spacing w:before="60" w:after="60"/>
              <w:rPr>
                <w:sz w:val="20"/>
                <w:lang w:val="en-AU"/>
              </w:rPr>
            </w:pPr>
            <w:r w:rsidRPr="006125D5">
              <w:rPr>
                <w:sz w:val="20"/>
                <w:lang w:val="en-AU"/>
              </w:rPr>
              <w:t>Buffered tablets</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jc w:val="center"/>
              <w:rPr>
                <w:rFonts w:ascii="Times New Roman" w:hAnsi="Times New Roman"/>
              </w:rPr>
            </w:pP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jc w:val="center"/>
              <w:rPr>
                <w:rFonts w:ascii="Times New Roman" w:hAnsi="Times New Roman"/>
              </w:rPr>
            </w:pP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jc w:val="center"/>
              <w:rPr>
                <w:rFonts w:ascii="Times New Roman" w:hAnsi="Times New Roman"/>
              </w:rPr>
            </w:pPr>
          </w:p>
        </w:tc>
      </w:tr>
      <w:tr w:rsidR="00927F7D" w:rsidRPr="009A59E7">
        <w:trPr>
          <w:cantSplit/>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t>400 once daily</w:t>
            </w:r>
            <w:r w:rsidRPr="006125D5">
              <w:rPr>
                <w:rFonts w:ascii="Times New Roman" w:hAnsi="Times New Roman"/>
                <w:vertAlign w:val="superscript"/>
              </w:rPr>
              <w:t xml:space="preserve">4 </w:t>
            </w:r>
            <w:r w:rsidRPr="006125D5">
              <w:rPr>
                <w:rFonts w:ascii="Times New Roman" w:hAnsi="Times New Roman"/>
              </w:rPr>
              <w:t xml:space="preserve"> x 7 days</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t>Fasted 1 hour after didanosine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rPr>
            </w:pPr>
            <w:r w:rsidRPr="006125D5">
              <w:rPr>
                <w:rFonts w:ascii="Times New Roman" w:hAnsi="Times New Roman"/>
              </w:rPr>
              <w:t>14</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sym w:font="Symbol" w:char="00AD"/>
            </w:r>
            <w:r w:rsidRPr="006125D5">
              <w:rPr>
                <w:rFonts w:ascii="Times New Roman" w:hAnsi="Times New Roman"/>
              </w:rPr>
              <w:t xml:space="preserve"> 28</w:t>
            </w:r>
          </w:p>
          <w:p w:rsidR="00927F7D" w:rsidRPr="006125D5" w:rsidRDefault="00927F7D">
            <w:pPr>
              <w:jc w:val="center"/>
              <w:rPr>
                <w:rFonts w:ascii="Times New Roman" w:hAnsi="Times New Roman"/>
              </w:rPr>
            </w:pPr>
            <w:r w:rsidRPr="006125D5">
              <w:rPr>
                <w:rFonts w:ascii="Times New Roman" w:hAnsi="Times New Roman"/>
              </w:rPr>
              <w:t>(</w:t>
            </w:r>
            <w:r w:rsidRPr="006125D5">
              <w:rPr>
                <w:rFonts w:ascii="Times New Roman" w:hAnsi="Times New Roman"/>
              </w:rPr>
              <w:sym w:font="Symbol" w:char="00AD"/>
            </w:r>
            <w:r w:rsidRPr="006125D5">
              <w:rPr>
                <w:rFonts w:ascii="Times New Roman" w:hAnsi="Times New Roman"/>
              </w:rPr>
              <w:t xml:space="preserve"> 11 to </w:t>
            </w:r>
            <w:r w:rsidRPr="006125D5">
              <w:rPr>
                <w:rFonts w:ascii="Times New Roman" w:hAnsi="Times New Roman"/>
              </w:rPr>
              <w:sym w:font="Symbol" w:char="00AD"/>
            </w:r>
            <w:r w:rsidRPr="006125D5">
              <w:rPr>
                <w:rFonts w:ascii="Times New Roman" w:hAnsi="Times New Roman"/>
              </w:rPr>
              <w:t xml:space="preserve"> 48)</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sym w:font="Symbol" w:char="00AD"/>
            </w:r>
            <w:r w:rsidRPr="006125D5">
              <w:rPr>
                <w:rFonts w:ascii="Times New Roman" w:hAnsi="Times New Roman"/>
              </w:rPr>
              <w:t xml:space="preserve"> 44</w:t>
            </w:r>
          </w:p>
          <w:p w:rsidR="00927F7D" w:rsidRPr="006125D5" w:rsidRDefault="00927F7D">
            <w:pPr>
              <w:spacing w:after="60"/>
              <w:jc w:val="center"/>
              <w:rPr>
                <w:rFonts w:ascii="Times New Roman" w:hAnsi="Times New Roman"/>
              </w:rPr>
            </w:pPr>
            <w:r w:rsidRPr="006125D5">
              <w:rPr>
                <w:rFonts w:ascii="Times New Roman" w:hAnsi="Times New Roman"/>
              </w:rPr>
              <w:t>(</w:t>
            </w:r>
            <w:r w:rsidRPr="006125D5">
              <w:rPr>
                <w:rFonts w:ascii="Times New Roman" w:hAnsi="Times New Roman"/>
              </w:rPr>
              <w:sym w:font="Symbol" w:char="00AD"/>
            </w:r>
            <w:r w:rsidRPr="006125D5">
              <w:rPr>
                <w:rFonts w:ascii="Times New Roman" w:hAnsi="Times New Roman"/>
              </w:rPr>
              <w:t xml:space="preserve"> 31 to </w:t>
            </w:r>
            <w:r w:rsidRPr="006125D5">
              <w:rPr>
                <w:rFonts w:ascii="Times New Roman" w:hAnsi="Times New Roman"/>
              </w:rPr>
              <w:sym w:font="Symbol" w:char="00AD"/>
            </w:r>
            <w:r w:rsidRPr="006125D5">
              <w:rPr>
                <w:rFonts w:ascii="Times New Roman" w:hAnsi="Times New Roman"/>
              </w:rPr>
              <w:t xml:space="preserve"> 59)</w:t>
            </w:r>
          </w:p>
        </w:tc>
      </w:tr>
      <w:tr w:rsidR="00927F7D" w:rsidRPr="009A59E7">
        <w:trPr>
          <w:cantSplit/>
        </w:trPr>
        <w:tc>
          <w:tcPr>
            <w:tcW w:w="37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pStyle w:val="Heading2"/>
              <w:rPr>
                <w:sz w:val="20"/>
                <w:lang w:val="en-AU"/>
              </w:rPr>
            </w:pPr>
            <w:r w:rsidRPr="006125D5">
              <w:rPr>
                <w:sz w:val="20"/>
                <w:lang w:val="en-AU"/>
              </w:rPr>
              <w:t>Enteric coated capsules</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rPr>
            </w:pP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jc w:val="center"/>
              <w:rPr>
                <w:rFonts w:ascii="Times New Roman" w:hAnsi="Times New Roman"/>
              </w:rPr>
            </w:pP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jc w:val="center"/>
              <w:rPr>
                <w:rFonts w:ascii="Times New Roman" w:hAnsi="Times New Roman"/>
              </w:rPr>
            </w:pPr>
          </w:p>
        </w:tc>
      </w:tr>
      <w:tr w:rsidR="00927F7D" w:rsidRPr="009A59E7">
        <w:trPr>
          <w:cantSplit/>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t>400 once,</w:t>
            </w:r>
          </w:p>
          <w:p w:rsidR="00927F7D" w:rsidRPr="006125D5" w:rsidRDefault="00927F7D">
            <w:pPr>
              <w:jc w:val="center"/>
              <w:rPr>
                <w:rFonts w:ascii="Times New Roman" w:hAnsi="Times New Roman"/>
              </w:rPr>
            </w:pPr>
            <w:r w:rsidRPr="006125D5">
              <w:rPr>
                <w:rFonts w:ascii="Times New Roman" w:hAnsi="Times New Roman"/>
              </w:rPr>
              <w:t>fasted</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t>With food, 2 hr after didanosine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rPr>
            </w:pPr>
            <w:r w:rsidRPr="006125D5">
              <w:rPr>
                <w:rFonts w:ascii="Times New Roman" w:hAnsi="Times New Roman"/>
              </w:rPr>
              <w:t>26</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sym w:font="Symbol" w:char="00AD"/>
            </w:r>
            <w:r w:rsidRPr="006125D5">
              <w:rPr>
                <w:rFonts w:ascii="Times New Roman" w:hAnsi="Times New Roman"/>
              </w:rPr>
              <w:t xml:space="preserve"> 48</w:t>
            </w:r>
          </w:p>
          <w:p w:rsidR="00927F7D" w:rsidRPr="006125D5" w:rsidRDefault="00927F7D">
            <w:pPr>
              <w:spacing w:after="60"/>
              <w:jc w:val="center"/>
              <w:rPr>
                <w:rFonts w:ascii="Times New Roman" w:hAnsi="Times New Roman"/>
              </w:rPr>
            </w:pPr>
            <w:r w:rsidRPr="006125D5">
              <w:rPr>
                <w:rFonts w:ascii="Times New Roman" w:hAnsi="Times New Roman"/>
              </w:rPr>
              <w:t>(</w:t>
            </w:r>
            <w:r w:rsidRPr="006125D5">
              <w:rPr>
                <w:rFonts w:ascii="Times New Roman" w:hAnsi="Times New Roman"/>
              </w:rPr>
              <w:sym w:font="Symbol" w:char="00AD"/>
            </w:r>
            <w:r w:rsidRPr="006125D5">
              <w:rPr>
                <w:rFonts w:ascii="Times New Roman" w:hAnsi="Times New Roman"/>
              </w:rPr>
              <w:t xml:space="preserve"> 25 to </w:t>
            </w:r>
            <w:r w:rsidRPr="006125D5">
              <w:rPr>
                <w:rFonts w:ascii="Times New Roman" w:hAnsi="Times New Roman"/>
              </w:rPr>
              <w:sym w:font="Symbol" w:char="00AD"/>
            </w:r>
            <w:r w:rsidRPr="006125D5">
              <w:rPr>
                <w:rFonts w:ascii="Times New Roman" w:hAnsi="Times New Roman"/>
              </w:rPr>
              <w:t xml:space="preserve"> 76)</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sym w:font="Symbol" w:char="00AD"/>
            </w:r>
            <w:r w:rsidRPr="006125D5">
              <w:rPr>
                <w:rFonts w:ascii="Times New Roman" w:hAnsi="Times New Roman"/>
              </w:rPr>
              <w:t xml:space="preserve"> 48</w:t>
            </w:r>
          </w:p>
          <w:p w:rsidR="00927F7D" w:rsidRPr="006125D5" w:rsidRDefault="00927F7D">
            <w:pPr>
              <w:jc w:val="center"/>
              <w:rPr>
                <w:rFonts w:ascii="Times New Roman" w:hAnsi="Times New Roman"/>
              </w:rPr>
            </w:pPr>
            <w:r w:rsidRPr="006125D5">
              <w:rPr>
                <w:rFonts w:ascii="Times New Roman" w:hAnsi="Times New Roman"/>
              </w:rPr>
              <w:t>(</w:t>
            </w:r>
            <w:r w:rsidRPr="006125D5">
              <w:rPr>
                <w:rFonts w:ascii="Times New Roman" w:hAnsi="Times New Roman"/>
              </w:rPr>
              <w:sym w:font="Symbol" w:char="00AD"/>
            </w:r>
            <w:r w:rsidRPr="006125D5">
              <w:rPr>
                <w:rFonts w:ascii="Times New Roman" w:hAnsi="Times New Roman"/>
              </w:rPr>
              <w:t xml:space="preserve"> 31 to </w:t>
            </w:r>
            <w:r w:rsidRPr="006125D5">
              <w:rPr>
                <w:rFonts w:ascii="Times New Roman" w:hAnsi="Times New Roman"/>
              </w:rPr>
              <w:sym w:font="Symbol" w:char="00AD"/>
            </w:r>
            <w:r w:rsidRPr="006125D5">
              <w:rPr>
                <w:rFonts w:ascii="Times New Roman" w:hAnsi="Times New Roman"/>
              </w:rPr>
              <w:t xml:space="preserve"> 67)</w:t>
            </w:r>
          </w:p>
        </w:tc>
      </w:tr>
      <w:tr w:rsidR="00927F7D" w:rsidRPr="009A59E7">
        <w:trPr>
          <w:cantSplit/>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t>400 once,</w:t>
            </w:r>
          </w:p>
          <w:p w:rsidR="00927F7D" w:rsidRPr="006125D5" w:rsidRDefault="00927F7D">
            <w:pPr>
              <w:jc w:val="center"/>
              <w:rPr>
                <w:rFonts w:ascii="Times New Roman" w:hAnsi="Times New Roman"/>
              </w:rPr>
            </w:pPr>
            <w:r w:rsidRPr="006125D5">
              <w:rPr>
                <w:rFonts w:ascii="Times New Roman" w:hAnsi="Times New Roman"/>
              </w:rPr>
              <w:t>with food</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t>Simultaneously with didanosine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after="60"/>
              <w:jc w:val="center"/>
              <w:rPr>
                <w:rFonts w:ascii="Times New Roman" w:hAnsi="Times New Roman"/>
              </w:rPr>
            </w:pPr>
            <w:r w:rsidRPr="006125D5">
              <w:rPr>
                <w:rFonts w:ascii="Times New Roman" w:hAnsi="Times New Roman"/>
              </w:rPr>
              <w:t>26</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sym w:font="Symbol" w:char="00AD"/>
            </w:r>
            <w:r w:rsidRPr="006125D5">
              <w:rPr>
                <w:rFonts w:ascii="Times New Roman" w:hAnsi="Times New Roman"/>
              </w:rPr>
              <w:t xml:space="preserve"> 64</w:t>
            </w:r>
          </w:p>
          <w:p w:rsidR="00927F7D" w:rsidRPr="006125D5" w:rsidRDefault="00927F7D">
            <w:pPr>
              <w:spacing w:after="60"/>
              <w:jc w:val="center"/>
              <w:rPr>
                <w:rFonts w:ascii="Times New Roman" w:hAnsi="Times New Roman"/>
              </w:rPr>
            </w:pPr>
            <w:r w:rsidRPr="006125D5">
              <w:rPr>
                <w:rFonts w:ascii="Times New Roman" w:hAnsi="Times New Roman"/>
              </w:rPr>
              <w:t>(</w:t>
            </w:r>
            <w:r w:rsidRPr="006125D5">
              <w:rPr>
                <w:rFonts w:ascii="Times New Roman" w:hAnsi="Times New Roman"/>
              </w:rPr>
              <w:sym w:font="Symbol" w:char="00AD"/>
            </w:r>
            <w:r w:rsidRPr="006125D5">
              <w:rPr>
                <w:rFonts w:ascii="Times New Roman" w:hAnsi="Times New Roman"/>
              </w:rPr>
              <w:t xml:space="preserve"> 41 to </w:t>
            </w:r>
            <w:r w:rsidRPr="006125D5">
              <w:rPr>
                <w:rFonts w:ascii="Times New Roman" w:hAnsi="Times New Roman"/>
              </w:rPr>
              <w:sym w:font="Symbol" w:char="00AD"/>
            </w:r>
            <w:r w:rsidRPr="006125D5">
              <w:rPr>
                <w:rFonts w:ascii="Times New Roman" w:hAnsi="Times New Roman"/>
              </w:rPr>
              <w:t xml:space="preserve"> 89)</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6125D5" w:rsidRDefault="00927F7D">
            <w:pPr>
              <w:spacing w:before="60"/>
              <w:jc w:val="center"/>
              <w:rPr>
                <w:rFonts w:ascii="Times New Roman" w:hAnsi="Times New Roman"/>
              </w:rPr>
            </w:pPr>
            <w:r w:rsidRPr="006125D5">
              <w:rPr>
                <w:rFonts w:ascii="Times New Roman" w:hAnsi="Times New Roman"/>
              </w:rPr>
              <w:sym w:font="Symbol" w:char="00AD"/>
            </w:r>
            <w:r w:rsidRPr="006125D5">
              <w:rPr>
                <w:rFonts w:ascii="Times New Roman" w:hAnsi="Times New Roman"/>
              </w:rPr>
              <w:t xml:space="preserve"> 60</w:t>
            </w:r>
          </w:p>
          <w:p w:rsidR="00927F7D" w:rsidRPr="006125D5" w:rsidRDefault="00927F7D">
            <w:pPr>
              <w:jc w:val="center"/>
              <w:rPr>
                <w:rFonts w:ascii="Times New Roman" w:hAnsi="Times New Roman"/>
              </w:rPr>
            </w:pPr>
            <w:r w:rsidRPr="006125D5">
              <w:rPr>
                <w:rFonts w:ascii="Times New Roman" w:hAnsi="Times New Roman"/>
              </w:rPr>
              <w:t>(</w:t>
            </w:r>
            <w:r w:rsidRPr="006125D5">
              <w:rPr>
                <w:rFonts w:ascii="Times New Roman" w:hAnsi="Times New Roman"/>
              </w:rPr>
              <w:sym w:font="Symbol" w:char="00AD"/>
            </w:r>
            <w:r w:rsidRPr="006125D5">
              <w:rPr>
                <w:rFonts w:ascii="Times New Roman" w:hAnsi="Times New Roman"/>
              </w:rPr>
              <w:t xml:space="preserve"> 44 to </w:t>
            </w:r>
            <w:r w:rsidRPr="006125D5">
              <w:rPr>
                <w:rFonts w:ascii="Times New Roman" w:hAnsi="Times New Roman"/>
              </w:rPr>
              <w:sym w:font="Symbol" w:char="00AD"/>
            </w:r>
            <w:r w:rsidRPr="006125D5">
              <w:rPr>
                <w:rFonts w:ascii="Times New Roman" w:hAnsi="Times New Roman"/>
              </w:rPr>
              <w:t xml:space="preserve"> 79)</w:t>
            </w:r>
          </w:p>
        </w:tc>
      </w:tr>
      <w:tr w:rsidR="00927F7D" w:rsidRPr="009A59E7">
        <w:trPr>
          <w:cantSplit/>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t>250 once,</w:t>
            </w:r>
          </w:p>
          <w:p w:rsidR="00927F7D" w:rsidRPr="009A59E7" w:rsidRDefault="00927F7D">
            <w:pPr>
              <w:jc w:val="center"/>
              <w:rPr>
                <w:rFonts w:ascii="Times New Roman" w:hAnsi="Times New Roman"/>
              </w:rPr>
            </w:pPr>
            <w:r w:rsidRPr="009A59E7">
              <w:rPr>
                <w:rFonts w:ascii="Times New Roman" w:hAnsi="Times New Roman"/>
              </w:rPr>
              <w:t xml:space="preserve"> fasted</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t>With food, 2 hr after didanosine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28</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sym w:font="Symbol" w:char="00AF"/>
            </w:r>
            <w:r w:rsidRPr="009A59E7">
              <w:rPr>
                <w:rFonts w:ascii="Times New Roman" w:hAnsi="Times New Roman"/>
              </w:rPr>
              <w:t xml:space="preserve"> 10</w:t>
            </w:r>
          </w:p>
          <w:p w:rsidR="00927F7D" w:rsidRPr="009A59E7" w:rsidRDefault="00927F7D">
            <w:pPr>
              <w:spacing w:after="60"/>
              <w:jc w:val="center"/>
              <w:rPr>
                <w:rFonts w:ascii="Times New Roman" w:hAnsi="Times New Roman"/>
                <w:noProof/>
              </w:rPr>
            </w:pPr>
            <w:r w:rsidRPr="009A59E7">
              <w:rPr>
                <w:rFonts w:ascii="Times New Roman" w:hAnsi="Times New Roman"/>
              </w:rPr>
              <w:t>(</w:t>
            </w:r>
            <w:r w:rsidRPr="009A59E7">
              <w:rPr>
                <w:rFonts w:ascii="Times New Roman" w:hAnsi="Times New Roman"/>
              </w:rPr>
              <w:sym w:font="Symbol" w:char="00AF"/>
            </w:r>
            <w:r w:rsidRPr="009A59E7">
              <w:rPr>
                <w:rFonts w:ascii="Times New Roman" w:hAnsi="Times New Roman"/>
              </w:rPr>
              <w:t xml:space="preserve"> 22 to </w:t>
            </w:r>
            <w:r w:rsidRPr="009A59E7">
              <w:rPr>
                <w:rFonts w:ascii="Times New Roman" w:hAnsi="Times New Roman"/>
              </w:rPr>
              <w:sym w:font="Symbol" w:char="00AD"/>
            </w:r>
            <w:r w:rsidRPr="009A59E7">
              <w:rPr>
                <w:rFonts w:ascii="Times New Roman" w:hAnsi="Times New Roman"/>
              </w:rPr>
              <w:t xml:space="preserve"> 3)</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noProof/>
              </w:rPr>
            </w:pPr>
            <w:r w:rsidRPr="009A59E7">
              <w:rPr>
                <w:rFonts w:ascii="Times New Roman" w:hAnsi="Times New Roman"/>
                <w:noProof/>
              </w:rPr>
              <w:sym w:font="Wingdings" w:char="00F3"/>
            </w:r>
          </w:p>
        </w:tc>
      </w:tr>
      <w:tr w:rsidR="00927F7D" w:rsidRPr="009A59E7">
        <w:trPr>
          <w:cantSplit/>
        </w:trPr>
        <w:tc>
          <w:tcPr>
            <w:tcW w:w="1800" w:type="dxa"/>
            <w:tcBorders>
              <w:top w:val="single" w:sz="6" w:space="0" w:color="auto"/>
              <w:left w:val="single" w:sz="6" w:space="0" w:color="auto"/>
              <w:bottom w:val="nil"/>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t>250 once,</w:t>
            </w:r>
          </w:p>
          <w:p w:rsidR="00927F7D" w:rsidRPr="009A59E7" w:rsidRDefault="00927F7D">
            <w:pPr>
              <w:jc w:val="center"/>
              <w:rPr>
                <w:rFonts w:ascii="Times New Roman" w:hAnsi="Times New Roman"/>
                <w:strike/>
                <w:highlight w:val="red"/>
              </w:rPr>
            </w:pPr>
            <w:r w:rsidRPr="009A59E7">
              <w:rPr>
                <w:rFonts w:ascii="Times New Roman" w:hAnsi="Times New Roman"/>
              </w:rPr>
              <w:t xml:space="preserve"> fasted</w:t>
            </w:r>
          </w:p>
        </w:tc>
        <w:tc>
          <w:tcPr>
            <w:tcW w:w="1980" w:type="dxa"/>
            <w:tcBorders>
              <w:top w:val="single" w:sz="6" w:space="0" w:color="auto"/>
              <w:left w:val="single" w:sz="6" w:space="0" w:color="auto"/>
              <w:bottom w:val="nil"/>
              <w:right w:val="single" w:sz="6" w:space="0" w:color="auto"/>
            </w:tcBorders>
            <w:shd w:val="clear" w:color="auto" w:fill="auto"/>
            <w:vAlign w:val="center"/>
          </w:tcPr>
          <w:p w:rsidR="00927F7D" w:rsidRPr="009A59E7" w:rsidRDefault="00927F7D">
            <w:pPr>
              <w:spacing w:before="60"/>
              <w:jc w:val="center"/>
              <w:rPr>
                <w:rFonts w:ascii="Times New Roman" w:hAnsi="Times New Roman"/>
                <w:strike/>
                <w:highlight w:val="red"/>
              </w:rPr>
            </w:pPr>
            <w:r w:rsidRPr="009A59E7">
              <w:rPr>
                <w:rFonts w:ascii="Times New Roman" w:hAnsi="Times New Roman"/>
              </w:rPr>
              <w:t>Simultaneously with didanosine</w:t>
            </w:r>
          </w:p>
        </w:tc>
        <w:tc>
          <w:tcPr>
            <w:tcW w:w="720" w:type="dxa"/>
            <w:tcBorders>
              <w:top w:val="single" w:sz="6" w:space="0" w:color="auto"/>
              <w:left w:val="single" w:sz="6" w:space="0" w:color="auto"/>
              <w:bottom w:val="nil"/>
              <w:right w:val="single" w:sz="6" w:space="0" w:color="auto"/>
            </w:tcBorders>
            <w:shd w:val="clear" w:color="auto" w:fill="auto"/>
            <w:vAlign w:val="center"/>
          </w:tcPr>
          <w:p w:rsidR="00927F7D" w:rsidRPr="009A59E7" w:rsidRDefault="00927F7D">
            <w:pPr>
              <w:spacing w:before="60" w:after="60"/>
              <w:jc w:val="center"/>
              <w:rPr>
                <w:rFonts w:ascii="Times New Roman" w:hAnsi="Times New Roman"/>
                <w:strike/>
                <w:highlight w:val="red"/>
              </w:rPr>
            </w:pPr>
            <w:r w:rsidRPr="009A59E7">
              <w:rPr>
                <w:rFonts w:ascii="Times New Roman" w:hAnsi="Times New Roman"/>
              </w:rPr>
              <w:t>28</w:t>
            </w:r>
          </w:p>
        </w:tc>
        <w:tc>
          <w:tcPr>
            <w:tcW w:w="2295" w:type="dxa"/>
            <w:tcBorders>
              <w:top w:val="single" w:sz="6" w:space="0" w:color="auto"/>
              <w:left w:val="single" w:sz="6" w:space="0" w:color="auto"/>
              <w:bottom w:val="nil"/>
              <w:right w:val="single" w:sz="6" w:space="0" w:color="auto"/>
            </w:tcBorders>
            <w:shd w:val="clear" w:color="auto" w:fill="auto"/>
            <w:vAlign w:val="center"/>
          </w:tcPr>
          <w:p w:rsidR="00927F7D" w:rsidRPr="009A59E7" w:rsidRDefault="00927F7D">
            <w:pPr>
              <w:spacing w:before="60"/>
              <w:jc w:val="center"/>
              <w:rPr>
                <w:rFonts w:ascii="Times New Roman" w:hAnsi="Times New Roman"/>
                <w:strike/>
                <w:highlight w:val="red"/>
              </w:rPr>
            </w:pPr>
            <w:r w:rsidRPr="009A59E7">
              <w:rPr>
                <w:rFonts w:ascii="Times New Roman" w:hAnsi="Times New Roman"/>
                <w:noProof/>
              </w:rPr>
              <w:sym w:font="Wingdings" w:char="00F3"/>
            </w:r>
          </w:p>
        </w:tc>
        <w:tc>
          <w:tcPr>
            <w:tcW w:w="2295" w:type="dxa"/>
            <w:tcBorders>
              <w:top w:val="single" w:sz="6" w:space="0" w:color="auto"/>
              <w:left w:val="single" w:sz="6" w:space="0" w:color="auto"/>
              <w:bottom w:val="nil"/>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sym w:font="Symbol" w:char="00AD"/>
            </w:r>
            <w:r w:rsidRPr="009A59E7">
              <w:rPr>
                <w:rFonts w:ascii="Times New Roman" w:hAnsi="Times New Roman"/>
              </w:rPr>
              <w:t xml:space="preserve"> 14</w:t>
            </w:r>
          </w:p>
          <w:p w:rsidR="00927F7D" w:rsidRPr="009A59E7" w:rsidRDefault="00927F7D">
            <w:pPr>
              <w:spacing w:after="60"/>
              <w:jc w:val="center"/>
              <w:rPr>
                <w:rFonts w:ascii="Times New Roman" w:hAnsi="Times New Roman"/>
                <w:strike/>
                <w:highlight w:val="red"/>
              </w:rPr>
            </w:pPr>
            <w:r w:rsidRPr="009A59E7">
              <w:rPr>
                <w:rFonts w:ascii="Times New Roman" w:hAnsi="Times New Roman"/>
              </w:rPr>
              <w:t xml:space="preserve">(0 to </w:t>
            </w:r>
            <w:r w:rsidRPr="009A59E7">
              <w:rPr>
                <w:rFonts w:ascii="Times New Roman" w:hAnsi="Times New Roman"/>
              </w:rPr>
              <w:sym w:font="Symbol" w:char="00AD"/>
            </w:r>
            <w:r w:rsidRPr="009A59E7">
              <w:rPr>
                <w:rFonts w:ascii="Times New Roman" w:hAnsi="Times New Roman"/>
              </w:rPr>
              <w:t xml:space="preserve"> 31)</w:t>
            </w:r>
          </w:p>
        </w:tc>
      </w:tr>
      <w:tr w:rsidR="00927F7D" w:rsidRPr="009A59E7">
        <w:trPr>
          <w:cantSplit/>
        </w:trPr>
        <w:tc>
          <w:tcPr>
            <w:tcW w:w="1800" w:type="dxa"/>
            <w:tcBorders>
              <w:top w:val="single" w:sz="6" w:space="0" w:color="auto"/>
              <w:left w:val="single" w:sz="6" w:space="0" w:color="auto"/>
              <w:bottom w:val="single" w:sz="4"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t>250 once,</w:t>
            </w:r>
          </w:p>
          <w:p w:rsidR="00927F7D" w:rsidRPr="009A59E7" w:rsidRDefault="00927F7D">
            <w:pPr>
              <w:jc w:val="center"/>
              <w:rPr>
                <w:rFonts w:ascii="Times New Roman" w:hAnsi="Times New Roman"/>
              </w:rPr>
            </w:pPr>
            <w:r w:rsidRPr="009A59E7">
              <w:rPr>
                <w:rFonts w:ascii="Times New Roman" w:hAnsi="Times New Roman"/>
              </w:rPr>
              <w:t xml:space="preserve"> with food</w:t>
            </w:r>
          </w:p>
        </w:tc>
        <w:tc>
          <w:tcPr>
            <w:tcW w:w="1980" w:type="dxa"/>
            <w:tcBorders>
              <w:top w:val="single" w:sz="6" w:space="0" w:color="auto"/>
              <w:left w:val="single" w:sz="6" w:space="0" w:color="auto"/>
              <w:bottom w:val="single" w:sz="4"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t>Simultaneously with didanosine</w:t>
            </w:r>
          </w:p>
        </w:tc>
        <w:tc>
          <w:tcPr>
            <w:tcW w:w="720" w:type="dxa"/>
            <w:tcBorders>
              <w:top w:val="single" w:sz="6" w:space="0" w:color="auto"/>
              <w:left w:val="single" w:sz="6" w:space="0" w:color="auto"/>
              <w:bottom w:val="single" w:sz="4" w:space="0" w:color="auto"/>
              <w:right w:val="single" w:sz="6" w:space="0" w:color="auto"/>
            </w:tcBorders>
            <w:shd w:val="clear" w:color="auto" w:fill="auto"/>
            <w:vAlign w:val="center"/>
          </w:tcPr>
          <w:p w:rsidR="00927F7D" w:rsidRPr="009A59E7" w:rsidRDefault="00927F7D">
            <w:pPr>
              <w:spacing w:before="60" w:after="60"/>
              <w:jc w:val="center"/>
              <w:rPr>
                <w:rFonts w:ascii="Times New Roman" w:hAnsi="Times New Roman"/>
              </w:rPr>
            </w:pPr>
            <w:r w:rsidRPr="009A59E7">
              <w:rPr>
                <w:rFonts w:ascii="Times New Roman" w:hAnsi="Times New Roman"/>
              </w:rPr>
              <w:t>28</w:t>
            </w:r>
          </w:p>
        </w:tc>
        <w:tc>
          <w:tcPr>
            <w:tcW w:w="2295" w:type="dxa"/>
            <w:tcBorders>
              <w:top w:val="single" w:sz="6" w:space="0" w:color="auto"/>
              <w:left w:val="single" w:sz="6" w:space="0" w:color="auto"/>
              <w:bottom w:val="single" w:sz="4"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sym w:font="Symbol" w:char="00AF"/>
            </w:r>
            <w:r w:rsidRPr="009A59E7">
              <w:rPr>
                <w:rFonts w:ascii="Times New Roman" w:hAnsi="Times New Roman"/>
              </w:rPr>
              <w:t xml:space="preserve"> 29</w:t>
            </w:r>
          </w:p>
          <w:p w:rsidR="00927F7D" w:rsidRPr="009A59E7" w:rsidRDefault="00927F7D">
            <w:pPr>
              <w:jc w:val="center"/>
              <w:rPr>
                <w:rFonts w:ascii="Times New Roman" w:hAnsi="Times New Roman"/>
                <w:noProof/>
              </w:rPr>
            </w:pPr>
            <w:r w:rsidRPr="009A59E7">
              <w:rPr>
                <w:rFonts w:ascii="Times New Roman" w:hAnsi="Times New Roman"/>
              </w:rPr>
              <w:t>(</w:t>
            </w:r>
            <w:r w:rsidRPr="009A59E7">
              <w:rPr>
                <w:rFonts w:ascii="Times New Roman" w:hAnsi="Times New Roman"/>
              </w:rPr>
              <w:sym w:font="Symbol" w:char="00AF"/>
            </w:r>
            <w:r w:rsidRPr="009A59E7">
              <w:rPr>
                <w:rFonts w:ascii="Times New Roman" w:hAnsi="Times New Roman"/>
              </w:rPr>
              <w:t xml:space="preserve"> 39 to </w:t>
            </w:r>
            <w:r w:rsidRPr="009A59E7">
              <w:rPr>
                <w:rFonts w:ascii="Times New Roman" w:hAnsi="Times New Roman"/>
              </w:rPr>
              <w:sym w:font="Symbol" w:char="00AF"/>
            </w:r>
            <w:r w:rsidRPr="009A59E7">
              <w:rPr>
                <w:rFonts w:ascii="Times New Roman" w:hAnsi="Times New Roman"/>
              </w:rPr>
              <w:t xml:space="preserve"> 18)</w:t>
            </w:r>
          </w:p>
        </w:tc>
        <w:tc>
          <w:tcPr>
            <w:tcW w:w="2295" w:type="dxa"/>
            <w:tcBorders>
              <w:top w:val="single" w:sz="6" w:space="0" w:color="auto"/>
              <w:left w:val="single" w:sz="6" w:space="0" w:color="auto"/>
              <w:bottom w:val="single" w:sz="4" w:space="0" w:color="auto"/>
              <w:right w:val="single" w:sz="6" w:space="0" w:color="auto"/>
            </w:tcBorders>
            <w:shd w:val="clear" w:color="auto" w:fill="auto"/>
            <w:vAlign w:val="center"/>
          </w:tcPr>
          <w:p w:rsidR="00927F7D" w:rsidRPr="009A59E7" w:rsidRDefault="00927F7D">
            <w:pPr>
              <w:spacing w:before="60"/>
              <w:jc w:val="center"/>
              <w:rPr>
                <w:rFonts w:ascii="Times New Roman" w:hAnsi="Times New Roman"/>
              </w:rPr>
            </w:pPr>
            <w:r w:rsidRPr="009A59E7">
              <w:rPr>
                <w:rFonts w:ascii="Times New Roman" w:hAnsi="Times New Roman"/>
              </w:rPr>
              <w:sym w:font="Symbol" w:char="00AF"/>
            </w:r>
            <w:r w:rsidRPr="009A59E7">
              <w:rPr>
                <w:rFonts w:ascii="Times New Roman" w:hAnsi="Times New Roman"/>
              </w:rPr>
              <w:t xml:space="preserve"> 11</w:t>
            </w:r>
          </w:p>
          <w:p w:rsidR="00927F7D" w:rsidRPr="009A59E7" w:rsidRDefault="00927F7D">
            <w:pPr>
              <w:spacing w:after="60"/>
              <w:jc w:val="center"/>
              <w:rPr>
                <w:rFonts w:ascii="Times New Roman" w:hAnsi="Times New Roman"/>
                <w:noProof/>
              </w:rPr>
            </w:pPr>
            <w:r w:rsidRPr="009A59E7">
              <w:rPr>
                <w:rFonts w:ascii="Times New Roman" w:hAnsi="Times New Roman"/>
              </w:rPr>
              <w:t>(</w:t>
            </w:r>
            <w:r w:rsidRPr="009A59E7">
              <w:rPr>
                <w:rFonts w:ascii="Times New Roman" w:hAnsi="Times New Roman"/>
              </w:rPr>
              <w:sym w:font="Symbol" w:char="00AF"/>
            </w:r>
            <w:r w:rsidRPr="009A59E7">
              <w:rPr>
                <w:rFonts w:ascii="Times New Roman" w:hAnsi="Times New Roman"/>
              </w:rPr>
              <w:t xml:space="preserve"> 23 to </w:t>
            </w:r>
            <w:r w:rsidRPr="009A59E7">
              <w:rPr>
                <w:rFonts w:ascii="Times New Roman" w:hAnsi="Times New Roman"/>
              </w:rPr>
              <w:sym w:font="Symbol" w:char="00AD"/>
            </w:r>
            <w:r w:rsidRPr="009A59E7">
              <w:rPr>
                <w:rFonts w:ascii="Times New Roman" w:hAnsi="Times New Roman"/>
              </w:rPr>
              <w:t xml:space="preserve"> 2)</w:t>
            </w:r>
          </w:p>
        </w:tc>
      </w:tr>
    </w:tbl>
    <w:p w:rsidR="00927F7D" w:rsidRPr="009A59E7" w:rsidRDefault="00927F7D" w:rsidP="00927F7D">
      <w:pPr>
        <w:numPr>
          <w:ilvl w:val="0"/>
          <w:numId w:val="6"/>
        </w:numPr>
        <w:spacing w:before="60"/>
        <w:rPr>
          <w:rFonts w:ascii="Times New Roman" w:hAnsi="Times New Roman"/>
          <w:noProof/>
          <w:sz w:val="18"/>
        </w:rPr>
      </w:pPr>
      <w:r w:rsidRPr="009A59E7">
        <w:rPr>
          <w:rFonts w:ascii="Times New Roman" w:hAnsi="Times New Roman"/>
          <w:noProof/>
          <w:sz w:val="18"/>
        </w:rPr>
        <w:t>See</w:t>
      </w:r>
      <w:r w:rsidRPr="009A59E7">
        <w:rPr>
          <w:rFonts w:ascii="Times New Roman" w:hAnsi="Times New Roman"/>
          <w:sz w:val="18"/>
        </w:rPr>
        <w:t xml:space="preserve"> PRECAUTIONS regarding use of didanosine with VIREAD.</w:t>
      </w:r>
    </w:p>
    <w:p w:rsidR="00927F7D" w:rsidRPr="009A59E7" w:rsidRDefault="00927F7D" w:rsidP="00927F7D">
      <w:pPr>
        <w:numPr>
          <w:ilvl w:val="0"/>
          <w:numId w:val="6"/>
        </w:numPr>
        <w:rPr>
          <w:rFonts w:ascii="Times New Roman" w:hAnsi="Times New Roman"/>
          <w:noProof/>
          <w:sz w:val="18"/>
        </w:rPr>
      </w:pPr>
      <w:r w:rsidRPr="009A59E7">
        <w:rPr>
          <w:rFonts w:ascii="Times New Roman" w:hAnsi="Times New Roman"/>
          <w:sz w:val="18"/>
        </w:rPr>
        <w:t>Administration with food was with a light meal (~373 kcal, 20% fat).</w:t>
      </w:r>
    </w:p>
    <w:p w:rsidR="00927F7D" w:rsidRPr="009A59E7" w:rsidRDefault="00927F7D" w:rsidP="00927F7D">
      <w:pPr>
        <w:numPr>
          <w:ilvl w:val="0"/>
          <w:numId w:val="6"/>
        </w:numPr>
        <w:rPr>
          <w:rFonts w:ascii="Times New Roman" w:hAnsi="Times New Roman"/>
          <w:noProof/>
          <w:sz w:val="18"/>
        </w:rPr>
      </w:pPr>
      <w:r w:rsidRPr="009A59E7">
        <w:rPr>
          <w:rFonts w:ascii="Times New Roman" w:hAnsi="Times New Roman"/>
          <w:sz w:val="18"/>
        </w:rPr>
        <w:t xml:space="preserve">Increase = </w:t>
      </w:r>
      <w:r w:rsidRPr="009A59E7">
        <w:rPr>
          <w:rFonts w:ascii="Times New Roman" w:hAnsi="Times New Roman"/>
          <w:noProof/>
          <w:sz w:val="18"/>
        </w:rPr>
        <w:sym w:font="Symbol" w:char="00AD"/>
      </w:r>
      <w:r w:rsidRPr="009A59E7">
        <w:rPr>
          <w:rFonts w:ascii="Times New Roman" w:hAnsi="Times New Roman"/>
          <w:sz w:val="18"/>
        </w:rPr>
        <w:t xml:space="preserve">; Decrease = </w:t>
      </w:r>
      <w:r w:rsidRPr="009A59E7">
        <w:rPr>
          <w:rFonts w:ascii="Times New Roman" w:hAnsi="Times New Roman"/>
          <w:sz w:val="18"/>
        </w:rPr>
        <w:sym w:font="Symbol" w:char="00AF"/>
      </w:r>
      <w:r w:rsidRPr="009A59E7">
        <w:rPr>
          <w:rFonts w:ascii="Times New Roman" w:hAnsi="Times New Roman"/>
          <w:sz w:val="18"/>
        </w:rPr>
        <w:t xml:space="preserve">; No Difference = </w:t>
      </w:r>
      <w:r w:rsidRPr="009A59E7">
        <w:rPr>
          <w:rFonts w:ascii="Times New Roman" w:hAnsi="Times New Roman"/>
          <w:noProof/>
          <w:sz w:val="18"/>
        </w:rPr>
        <w:sym w:font="Wingdings" w:char="00F3"/>
      </w:r>
      <w:r w:rsidRPr="009A59E7">
        <w:rPr>
          <w:rFonts w:ascii="Times New Roman" w:hAnsi="Times New Roman"/>
          <w:noProof/>
          <w:sz w:val="18"/>
        </w:rPr>
        <w:t xml:space="preserve"> </w:t>
      </w:r>
    </w:p>
    <w:p w:rsidR="00927F7D" w:rsidRPr="009A59E7" w:rsidRDefault="00927F7D" w:rsidP="00927F7D">
      <w:pPr>
        <w:numPr>
          <w:ilvl w:val="0"/>
          <w:numId w:val="6"/>
        </w:numPr>
        <w:spacing w:after="120"/>
        <w:rPr>
          <w:rFonts w:ascii="Times New Roman" w:hAnsi="Times New Roman"/>
          <w:noProof/>
          <w:sz w:val="18"/>
        </w:rPr>
      </w:pPr>
      <w:r w:rsidRPr="009A59E7">
        <w:rPr>
          <w:rFonts w:ascii="Times New Roman" w:hAnsi="Times New Roman"/>
          <w:noProof/>
          <w:sz w:val="18"/>
        </w:rPr>
        <w:t>Includes 4 subjects weighing &lt;60 kg receiving ddI 250 mg.</w:t>
      </w:r>
    </w:p>
    <w:p w:rsidR="007F553A" w:rsidRPr="00015C34" w:rsidRDefault="007F553A" w:rsidP="009718F7">
      <w:pPr>
        <w:rPr>
          <w:rFonts w:ascii="Times New Roman" w:hAnsi="Times New Roman"/>
          <w:color w:val="000000"/>
          <w:sz w:val="24"/>
          <w:szCs w:val="24"/>
        </w:rPr>
      </w:pPr>
    </w:p>
    <w:p w:rsidR="007F553A" w:rsidRPr="00015C34" w:rsidRDefault="007F553A" w:rsidP="009D74A6">
      <w:pPr>
        <w:jc w:val="both"/>
        <w:rPr>
          <w:rFonts w:ascii="Times New Roman" w:hAnsi="Times New Roman"/>
          <w:snapToGrid w:val="0"/>
          <w:color w:val="000000"/>
          <w:sz w:val="24"/>
          <w:szCs w:val="24"/>
        </w:rPr>
      </w:pPr>
      <w:r w:rsidRPr="00015C34">
        <w:rPr>
          <w:rFonts w:ascii="Times New Roman" w:hAnsi="Times New Roman"/>
          <w:b/>
          <w:i/>
          <w:color w:val="000000"/>
          <w:sz w:val="24"/>
          <w:szCs w:val="24"/>
        </w:rPr>
        <w:lastRenderedPageBreak/>
        <w:t>Intracellular pharmacokinetics</w:t>
      </w:r>
      <w:r w:rsidR="00975D4A" w:rsidRPr="00015C34">
        <w:rPr>
          <w:rFonts w:ascii="Times New Roman" w:hAnsi="Times New Roman"/>
          <w:b/>
          <w:i/>
          <w:color w:val="000000"/>
          <w:sz w:val="24"/>
          <w:szCs w:val="24"/>
        </w:rPr>
        <w:t>:</w:t>
      </w:r>
      <w:r w:rsidRPr="00015C34">
        <w:rPr>
          <w:rFonts w:ascii="Times New Roman" w:hAnsi="Times New Roman"/>
          <w:b/>
          <w:i/>
          <w:color w:val="000000"/>
          <w:sz w:val="24"/>
          <w:szCs w:val="24"/>
        </w:rPr>
        <w:t xml:space="preserve">  </w:t>
      </w:r>
      <w:r w:rsidRPr="00015C34">
        <w:rPr>
          <w:rFonts w:ascii="Times New Roman" w:hAnsi="Times New Roman"/>
          <w:snapToGrid w:val="0"/>
          <w:color w:val="000000"/>
          <w:sz w:val="24"/>
          <w:szCs w:val="24"/>
        </w:rPr>
        <w:t xml:space="preserve">In non-proliferating human peripheral blood mononuclear cells (PBMCs) </w:t>
      </w:r>
      <w:r w:rsidRPr="00015C34">
        <w:rPr>
          <w:rFonts w:ascii="Times New Roman" w:hAnsi="Times New Roman"/>
          <w:i/>
          <w:snapToGrid w:val="0"/>
          <w:color w:val="000000"/>
          <w:sz w:val="24"/>
          <w:szCs w:val="24"/>
        </w:rPr>
        <w:t>in vitro</w:t>
      </w:r>
      <w:r w:rsidRPr="00015C34">
        <w:rPr>
          <w:rFonts w:ascii="Times New Roman" w:hAnsi="Times New Roman"/>
          <w:snapToGrid w:val="0"/>
          <w:color w:val="000000"/>
          <w:sz w:val="24"/>
          <w:szCs w:val="24"/>
        </w:rPr>
        <w:t>, the half-life of tenofovir diphosphate was found to be approximately 50 hours, whereas the half-life in phytohaemagglutinin-stimulated PBMCs was found to be approximately 10 hours.</w:t>
      </w:r>
    </w:p>
    <w:p w:rsidR="007F553A" w:rsidRPr="00015C34" w:rsidRDefault="007F553A" w:rsidP="009D74A6">
      <w:pPr>
        <w:jc w:val="both"/>
        <w:rPr>
          <w:rFonts w:ascii="Times New Roman" w:hAnsi="Times New Roman"/>
          <w:snapToGrid w:val="0"/>
          <w:color w:val="000000"/>
          <w:sz w:val="24"/>
          <w:szCs w:val="24"/>
        </w:rPr>
      </w:pPr>
    </w:p>
    <w:p w:rsidR="007F553A" w:rsidRPr="00015C34" w:rsidRDefault="007F553A" w:rsidP="009D74A6">
      <w:pPr>
        <w:jc w:val="both"/>
        <w:rPr>
          <w:rFonts w:ascii="Times New Roman" w:hAnsi="Times New Roman"/>
          <w:sz w:val="24"/>
          <w:szCs w:val="24"/>
        </w:rPr>
      </w:pPr>
      <w:r w:rsidRPr="00015C34">
        <w:rPr>
          <w:rFonts w:ascii="Times New Roman" w:hAnsi="Times New Roman"/>
          <w:b/>
          <w:i/>
          <w:color w:val="000000"/>
          <w:sz w:val="24"/>
          <w:szCs w:val="24"/>
        </w:rPr>
        <w:t>Mechanism of action</w:t>
      </w:r>
      <w:r w:rsidR="00975D4A" w:rsidRPr="00015C34">
        <w:rPr>
          <w:rFonts w:ascii="Times New Roman" w:hAnsi="Times New Roman"/>
          <w:b/>
          <w:i/>
          <w:color w:val="000000"/>
          <w:sz w:val="24"/>
          <w:szCs w:val="24"/>
        </w:rPr>
        <w:t>:</w:t>
      </w:r>
      <w:r w:rsidRPr="00015C34">
        <w:rPr>
          <w:rFonts w:ascii="Times New Roman" w:hAnsi="Times New Roman"/>
          <w:b/>
          <w:i/>
          <w:color w:val="000000"/>
          <w:sz w:val="24"/>
          <w:szCs w:val="24"/>
        </w:rPr>
        <w:t xml:space="preserve"> </w:t>
      </w:r>
      <w:r w:rsidRPr="00015C34">
        <w:rPr>
          <w:rFonts w:ascii="Times New Roman" w:hAnsi="Times New Roman"/>
          <w:i/>
          <w:color w:val="000000"/>
          <w:sz w:val="24"/>
          <w:szCs w:val="24"/>
        </w:rPr>
        <w:t xml:space="preserve"> </w:t>
      </w:r>
      <w:r w:rsidRPr="00015C34">
        <w:rPr>
          <w:rFonts w:ascii="Times New Roman" w:hAnsi="Times New Roman"/>
          <w:color w:val="000000"/>
          <w:sz w:val="24"/>
          <w:szCs w:val="24"/>
        </w:rPr>
        <w:t>Tenofovir disoproxil fumarate is a salt of an oral prodrug of tenofovir, a nucleoside monophosphate (nucleotide)</w:t>
      </w:r>
      <w:r w:rsidRPr="00015C34">
        <w:rPr>
          <w:rFonts w:ascii="Times New Roman" w:hAnsi="Times New Roman"/>
          <w:sz w:val="24"/>
          <w:szCs w:val="24"/>
        </w:rPr>
        <w:t xml:space="preserve"> </w:t>
      </w:r>
      <w:r w:rsidR="00E44700" w:rsidRPr="00015C34">
        <w:rPr>
          <w:rFonts w:ascii="Times New Roman" w:hAnsi="Times New Roman"/>
          <w:sz w:val="24"/>
          <w:szCs w:val="24"/>
        </w:rPr>
        <w:t>analogue</w:t>
      </w:r>
      <w:r w:rsidRPr="00015C34">
        <w:rPr>
          <w:rFonts w:ascii="Times New Roman" w:hAnsi="Times New Roman"/>
          <w:sz w:val="24"/>
          <w:szCs w:val="24"/>
        </w:rPr>
        <w:t xml:space="preserve"> </w:t>
      </w:r>
      <w:r w:rsidR="00C65C59" w:rsidRPr="00015C34">
        <w:rPr>
          <w:rFonts w:ascii="Times New Roman" w:hAnsi="Times New Roman"/>
          <w:color w:val="000000"/>
          <w:sz w:val="24"/>
          <w:szCs w:val="24"/>
        </w:rPr>
        <w:t>and obligate chain terminator</w:t>
      </w:r>
      <w:r w:rsidR="00C65C59" w:rsidRPr="00015C34">
        <w:rPr>
          <w:rFonts w:ascii="Times New Roman" w:hAnsi="Times New Roman"/>
          <w:sz w:val="24"/>
          <w:szCs w:val="24"/>
        </w:rPr>
        <w:t xml:space="preserve"> </w:t>
      </w:r>
      <w:r w:rsidRPr="00015C34">
        <w:rPr>
          <w:rFonts w:ascii="Times New Roman" w:hAnsi="Times New Roman"/>
          <w:sz w:val="24"/>
          <w:szCs w:val="24"/>
        </w:rPr>
        <w:t>with activity against HIV reverse transcriptase</w:t>
      </w:r>
      <w:r w:rsidR="00C65C59" w:rsidRPr="00015C34">
        <w:rPr>
          <w:rFonts w:ascii="Times New Roman" w:hAnsi="Times New Roman"/>
          <w:color w:val="000000"/>
          <w:sz w:val="24"/>
          <w:szCs w:val="24"/>
        </w:rPr>
        <w:t xml:space="preserve"> and HBV polymerase</w:t>
      </w:r>
      <w:r w:rsidRPr="00015C34">
        <w:rPr>
          <w:rFonts w:ascii="Times New Roman" w:hAnsi="Times New Roman"/>
          <w:sz w:val="24"/>
          <w:szCs w:val="24"/>
        </w:rPr>
        <w:t>.</w:t>
      </w:r>
    </w:p>
    <w:p w:rsidR="009718F7" w:rsidRPr="00015C34" w:rsidRDefault="009718F7" w:rsidP="009D74A6">
      <w:pPr>
        <w:jc w:val="both"/>
        <w:rPr>
          <w:rFonts w:ascii="Times New Roman" w:hAnsi="Times New Roman"/>
          <w:sz w:val="24"/>
          <w:szCs w:val="24"/>
        </w:rPr>
      </w:pP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color w:val="000000"/>
          <w:sz w:val="24"/>
          <w:szCs w:val="24"/>
        </w:rPr>
        <w:t xml:space="preserve">Tenofovir is converted to the active metabolite, tenofovir diphosphate, by constitutively expressed cellular enzymes through two phosphorylation reactions.  This conversion occurs in both resting and activated T cells.  Tenofovir diphosphate has an intracellular half-life of 10 hours in activated and 50 hours in resting peripheral blood mononuclear cells (PBMCs).  Tenofovir diphosphate inhibits viral polymerases by direct binding competition with the natural deoxyribonucleotide substrate and, after incorporation into DNA, by DNA chain termination. Tenofovir diphosphate is a weak inhibitor of mammalian DNA polymerases </w:t>
      </w:r>
      <w:r w:rsidRPr="00015C34">
        <w:rPr>
          <w:rFonts w:ascii="Times New Roman" w:hAnsi="Times New Roman"/>
          <w:color w:val="000000"/>
          <w:sz w:val="24"/>
          <w:szCs w:val="24"/>
        </w:rPr>
        <w:sym w:font="Symbol" w:char="F061"/>
      </w:r>
      <w:r w:rsidRPr="00015C34">
        <w:rPr>
          <w:rFonts w:ascii="Times New Roman" w:hAnsi="Times New Roman"/>
          <w:color w:val="000000"/>
          <w:sz w:val="24"/>
          <w:szCs w:val="24"/>
        </w:rPr>
        <w:t xml:space="preserve">, </w:t>
      </w:r>
      <w:r w:rsidRPr="00015C34">
        <w:rPr>
          <w:rFonts w:ascii="Times New Roman" w:hAnsi="Times New Roman"/>
          <w:color w:val="000000"/>
          <w:sz w:val="24"/>
          <w:szCs w:val="24"/>
        </w:rPr>
        <w:sym w:font="Symbol" w:char="F062"/>
      </w:r>
      <w:r w:rsidRPr="00015C34">
        <w:rPr>
          <w:rFonts w:ascii="Times New Roman" w:hAnsi="Times New Roman"/>
          <w:color w:val="000000"/>
          <w:sz w:val="24"/>
          <w:szCs w:val="24"/>
        </w:rPr>
        <w:t xml:space="preserve">, and mitochondrial DNA polymerase </w:t>
      </w:r>
      <w:r w:rsidRPr="00015C34">
        <w:rPr>
          <w:rFonts w:ascii="Times New Roman" w:hAnsi="Times New Roman"/>
          <w:color w:val="000000"/>
          <w:sz w:val="24"/>
          <w:szCs w:val="24"/>
        </w:rPr>
        <w:sym w:font="Symbol" w:char="F067"/>
      </w:r>
      <w:r w:rsidRPr="00015C34">
        <w:rPr>
          <w:rFonts w:ascii="Times New Roman" w:hAnsi="Times New Roman"/>
          <w:color w:val="000000"/>
          <w:sz w:val="24"/>
          <w:szCs w:val="24"/>
        </w:rPr>
        <w:t xml:space="preserve">.  At concentrations of up to 300 </w:t>
      </w:r>
      <w:r w:rsidRPr="00015C34">
        <w:rPr>
          <w:rFonts w:ascii="Times New Roman" w:hAnsi="Times New Roman"/>
          <w:color w:val="000000"/>
          <w:sz w:val="24"/>
          <w:szCs w:val="24"/>
        </w:rPr>
        <w:sym w:font="Symbol" w:char="F06D"/>
      </w:r>
      <w:r w:rsidRPr="00015C34">
        <w:rPr>
          <w:rFonts w:ascii="Times New Roman" w:hAnsi="Times New Roman"/>
          <w:color w:val="000000"/>
          <w:sz w:val="24"/>
          <w:szCs w:val="24"/>
        </w:rPr>
        <w:t>M, tenofovir shows no effect on the synthesis of mitochondrial DNA (human liver, skeletal muscle and renal proximal tubular epithelial cells) or lactic acid production (human liver and skeletal muscle cells</w:t>
      </w:r>
      <w:r w:rsidRPr="00015C34">
        <w:rPr>
          <w:rFonts w:ascii="Times New Roman" w:hAnsi="Times New Roman"/>
          <w:i/>
          <w:color w:val="000000"/>
          <w:sz w:val="24"/>
          <w:szCs w:val="24"/>
        </w:rPr>
        <w:t>) in vitro</w:t>
      </w:r>
      <w:r w:rsidRPr="00015C34">
        <w:rPr>
          <w:rFonts w:ascii="Times New Roman" w:hAnsi="Times New Roman"/>
          <w:color w:val="000000"/>
          <w:sz w:val="24"/>
          <w:szCs w:val="24"/>
        </w:rPr>
        <w:t xml:space="preserve">. </w:t>
      </w:r>
      <w:r w:rsidRPr="00015C34">
        <w:rPr>
          <w:rFonts w:ascii="Times New Roman" w:hAnsi="Times New Roman"/>
          <w:strike/>
          <w:color w:val="000000"/>
          <w:sz w:val="24"/>
          <w:szCs w:val="24"/>
        </w:rPr>
        <w:t xml:space="preserve"> </w:t>
      </w:r>
    </w:p>
    <w:p w:rsidR="007F553A" w:rsidRPr="00015C34" w:rsidRDefault="007F553A" w:rsidP="009D74A6">
      <w:pPr>
        <w:jc w:val="both"/>
        <w:rPr>
          <w:rFonts w:ascii="Times New Roman" w:hAnsi="Times New Roman"/>
          <w:color w:val="000000"/>
          <w:sz w:val="24"/>
          <w:szCs w:val="24"/>
        </w:rPr>
      </w:pP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b/>
          <w:i/>
          <w:color w:val="000000"/>
          <w:sz w:val="24"/>
          <w:szCs w:val="24"/>
        </w:rPr>
        <w:t>Pharmacodynamic effects</w:t>
      </w:r>
      <w:r w:rsidR="009718F7" w:rsidRPr="00015C34">
        <w:rPr>
          <w:rFonts w:ascii="Times New Roman" w:hAnsi="Times New Roman"/>
          <w:b/>
          <w:i/>
          <w:color w:val="000000"/>
          <w:sz w:val="24"/>
          <w:szCs w:val="24"/>
        </w:rPr>
        <w:t>:</w:t>
      </w:r>
      <w:r w:rsidRPr="00015C34">
        <w:rPr>
          <w:rFonts w:ascii="Times New Roman" w:hAnsi="Times New Roman"/>
          <w:b/>
          <w:i/>
          <w:color w:val="000000"/>
          <w:sz w:val="24"/>
          <w:szCs w:val="24"/>
        </w:rPr>
        <w:t xml:space="preserve"> </w:t>
      </w:r>
      <w:r w:rsidRPr="00015C34">
        <w:rPr>
          <w:rFonts w:ascii="Times New Roman" w:hAnsi="Times New Roman"/>
          <w:i/>
          <w:color w:val="000000"/>
          <w:sz w:val="24"/>
          <w:szCs w:val="24"/>
        </w:rPr>
        <w:t xml:space="preserve"> </w:t>
      </w:r>
      <w:r w:rsidRPr="00015C34">
        <w:rPr>
          <w:rFonts w:ascii="Times New Roman" w:hAnsi="Times New Roman"/>
          <w:color w:val="000000"/>
          <w:sz w:val="24"/>
          <w:szCs w:val="24"/>
        </w:rPr>
        <w:t xml:space="preserve">Tenofovir has </w:t>
      </w:r>
      <w:r w:rsidRPr="00015C34">
        <w:rPr>
          <w:rFonts w:ascii="Times New Roman" w:hAnsi="Times New Roman"/>
          <w:i/>
          <w:color w:val="000000"/>
          <w:sz w:val="24"/>
          <w:szCs w:val="24"/>
        </w:rPr>
        <w:t>in vitro</w:t>
      </w:r>
      <w:r w:rsidRPr="00015C34">
        <w:rPr>
          <w:rFonts w:ascii="Times New Roman" w:hAnsi="Times New Roman"/>
          <w:color w:val="000000"/>
          <w:sz w:val="24"/>
          <w:szCs w:val="24"/>
        </w:rPr>
        <w:t xml:space="preserve"> antiviral activity against retroviruses and hepadnaviruses.  </w:t>
      </w:r>
    </w:p>
    <w:p w:rsidR="007F553A" w:rsidRPr="00015C34" w:rsidRDefault="007F553A" w:rsidP="009D74A6">
      <w:pPr>
        <w:jc w:val="both"/>
        <w:rPr>
          <w:rFonts w:ascii="Times New Roman" w:hAnsi="Times New Roman"/>
          <w:color w:val="000000"/>
          <w:sz w:val="24"/>
          <w:szCs w:val="24"/>
        </w:rPr>
      </w:pP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b/>
          <w:i/>
          <w:color w:val="000000"/>
          <w:sz w:val="24"/>
          <w:szCs w:val="24"/>
        </w:rPr>
        <w:t>Anti</w:t>
      </w:r>
      <w:r w:rsidR="00C65C59" w:rsidRPr="00015C34">
        <w:rPr>
          <w:rFonts w:ascii="Times New Roman" w:hAnsi="Times New Roman"/>
          <w:b/>
          <w:i/>
          <w:color w:val="000000"/>
          <w:sz w:val="24"/>
          <w:szCs w:val="24"/>
        </w:rPr>
        <w:t>-HIV-1</w:t>
      </w:r>
      <w:r w:rsidRPr="00015C34">
        <w:rPr>
          <w:rFonts w:ascii="Times New Roman" w:hAnsi="Times New Roman"/>
          <w:b/>
          <w:i/>
          <w:color w:val="000000"/>
          <w:sz w:val="24"/>
          <w:szCs w:val="24"/>
        </w:rPr>
        <w:t xml:space="preserve"> activity in vitro</w:t>
      </w:r>
      <w:r w:rsidR="009718F7" w:rsidRPr="00015C34">
        <w:rPr>
          <w:rFonts w:ascii="Times New Roman" w:hAnsi="Times New Roman"/>
          <w:b/>
          <w:i/>
          <w:color w:val="000000"/>
          <w:sz w:val="24"/>
          <w:szCs w:val="24"/>
        </w:rPr>
        <w:t>:</w:t>
      </w:r>
      <w:r w:rsidRPr="00015C34">
        <w:rPr>
          <w:rFonts w:ascii="Times New Roman" w:hAnsi="Times New Roman"/>
          <w:b/>
          <w:i/>
          <w:color w:val="000000"/>
          <w:sz w:val="24"/>
          <w:szCs w:val="24"/>
        </w:rPr>
        <w:t xml:space="preserve"> </w:t>
      </w:r>
      <w:r w:rsidRPr="00015C34">
        <w:rPr>
          <w:rFonts w:ascii="Times New Roman" w:hAnsi="Times New Roman"/>
          <w:color w:val="000000"/>
          <w:sz w:val="24"/>
          <w:szCs w:val="24"/>
        </w:rPr>
        <w:t xml:space="preserve"> The </w:t>
      </w:r>
      <w:r w:rsidRPr="00015C34">
        <w:rPr>
          <w:rFonts w:ascii="Times New Roman" w:hAnsi="Times New Roman"/>
          <w:i/>
          <w:color w:val="000000"/>
          <w:sz w:val="24"/>
          <w:szCs w:val="24"/>
        </w:rPr>
        <w:t>in vitro</w:t>
      </w:r>
      <w:r w:rsidRPr="00015C34">
        <w:rPr>
          <w:rFonts w:ascii="Times New Roman" w:hAnsi="Times New Roman"/>
          <w:color w:val="000000"/>
          <w:sz w:val="24"/>
          <w:szCs w:val="24"/>
        </w:rPr>
        <w:t xml:space="preserve"> antiviral activity of tenofovir against laboratory and clinical isolates of HIV was assessed in lymphoblastoid cell lines, primary monocyte/ macrophage cells and peripheral blood lymphocytes.  The IC</w:t>
      </w:r>
      <w:r w:rsidRPr="00176069">
        <w:rPr>
          <w:rFonts w:ascii="Times New Roman" w:hAnsi="Times New Roman"/>
          <w:color w:val="000000"/>
          <w:sz w:val="24"/>
          <w:szCs w:val="24"/>
          <w:vertAlign w:val="subscript"/>
        </w:rPr>
        <w:t>50</w:t>
      </w:r>
      <w:r w:rsidRPr="00015C34">
        <w:rPr>
          <w:rFonts w:ascii="Times New Roman" w:hAnsi="Times New Roman"/>
          <w:color w:val="000000"/>
          <w:sz w:val="24"/>
          <w:szCs w:val="24"/>
        </w:rPr>
        <w:t xml:space="preserve"> (50% inhibitory concentration) for tenofovir was in the range of 0.04 µM to 8.5 µM.  In drug combination studies of tenofovir with nucleoside and non-nucleoside </w:t>
      </w:r>
      <w:r w:rsidR="00E44700" w:rsidRPr="00015C34">
        <w:rPr>
          <w:rFonts w:ascii="Times New Roman" w:hAnsi="Times New Roman"/>
          <w:color w:val="000000"/>
          <w:sz w:val="24"/>
          <w:szCs w:val="24"/>
        </w:rPr>
        <w:t>analogue</w:t>
      </w:r>
      <w:r w:rsidRPr="00015C34">
        <w:rPr>
          <w:rFonts w:ascii="Times New Roman" w:hAnsi="Times New Roman"/>
          <w:color w:val="000000"/>
          <w:sz w:val="24"/>
          <w:szCs w:val="24"/>
        </w:rPr>
        <w:t xml:space="preserve"> inhibitors of HIV reverse transcriptase, and protease inhibitors, additive to synergistic effects were observed.   </w:t>
      </w:r>
      <w:r w:rsidR="00562EB8" w:rsidRPr="00015C34">
        <w:rPr>
          <w:rFonts w:ascii="Times New Roman" w:hAnsi="Times New Roman"/>
          <w:color w:val="000000"/>
          <w:sz w:val="24"/>
          <w:szCs w:val="24"/>
        </w:rPr>
        <w:t xml:space="preserve"> </w:t>
      </w:r>
      <w:r w:rsidR="00562EB8" w:rsidRPr="00015C34">
        <w:rPr>
          <w:rFonts w:ascii="Times New Roman" w:hAnsi="Times New Roman"/>
          <w:sz w:val="24"/>
          <w:szCs w:val="24"/>
        </w:rPr>
        <w:t xml:space="preserve">In addition, tenofovir has also been shown to be active </w:t>
      </w:r>
      <w:r w:rsidR="00562EB8" w:rsidRPr="00965998">
        <w:rPr>
          <w:rFonts w:ascii="Times New Roman" w:hAnsi="Times New Roman"/>
          <w:i/>
          <w:sz w:val="24"/>
          <w:szCs w:val="24"/>
        </w:rPr>
        <w:t>in vitro</w:t>
      </w:r>
      <w:r w:rsidR="00562EB8" w:rsidRPr="00015C34">
        <w:rPr>
          <w:rFonts w:ascii="Times New Roman" w:hAnsi="Times New Roman"/>
          <w:i/>
          <w:iCs/>
          <w:sz w:val="24"/>
          <w:szCs w:val="24"/>
        </w:rPr>
        <w:t xml:space="preserve"> </w:t>
      </w:r>
      <w:r w:rsidR="00562EB8" w:rsidRPr="00015C34">
        <w:rPr>
          <w:rFonts w:ascii="Times New Roman" w:hAnsi="Times New Roman"/>
          <w:sz w:val="24"/>
          <w:szCs w:val="24"/>
        </w:rPr>
        <w:t>against HIV</w:t>
      </w:r>
      <w:r w:rsidR="00562EB8" w:rsidRPr="00015C34">
        <w:rPr>
          <w:rFonts w:ascii="Times New Roman" w:hAnsi="Times New Roman"/>
          <w:sz w:val="24"/>
          <w:szCs w:val="24"/>
        </w:rPr>
        <w:noBreakHyphen/>
        <w:t>2, with similar potency as observed against HIV</w:t>
      </w:r>
      <w:r w:rsidR="00562EB8" w:rsidRPr="00015C34">
        <w:rPr>
          <w:rFonts w:ascii="Times New Roman" w:hAnsi="Times New Roman"/>
          <w:sz w:val="24"/>
          <w:szCs w:val="24"/>
        </w:rPr>
        <w:noBreakHyphen/>
        <w:t>1.</w:t>
      </w:r>
    </w:p>
    <w:p w:rsidR="007F553A" w:rsidRPr="00015C34" w:rsidRDefault="007F553A" w:rsidP="009D74A6">
      <w:pPr>
        <w:jc w:val="both"/>
        <w:rPr>
          <w:rFonts w:ascii="Times New Roman" w:hAnsi="Times New Roman"/>
          <w:color w:val="000000"/>
          <w:sz w:val="24"/>
          <w:szCs w:val="24"/>
        </w:rPr>
      </w:pP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color w:val="000000"/>
          <w:sz w:val="24"/>
          <w:szCs w:val="24"/>
        </w:rPr>
        <w:t>Tenofovir shows activity within three fold of wild-type IC</w:t>
      </w:r>
      <w:r w:rsidRPr="00015C34">
        <w:rPr>
          <w:rFonts w:ascii="Times New Roman" w:hAnsi="Times New Roman"/>
          <w:color w:val="000000"/>
          <w:sz w:val="24"/>
          <w:szCs w:val="24"/>
          <w:vertAlign w:val="subscript"/>
        </w:rPr>
        <w:t>50</w:t>
      </w:r>
      <w:r w:rsidRPr="00015C34">
        <w:rPr>
          <w:rFonts w:ascii="Times New Roman" w:hAnsi="Times New Roman"/>
          <w:color w:val="000000"/>
          <w:sz w:val="24"/>
          <w:szCs w:val="24"/>
        </w:rPr>
        <w:t xml:space="preserve"> against recombinant HIV-1 expressing didanosine resistance (L74V), zalcitabine resistance (T69D), or multinucleoside drug resistance (Q151M complex) mutations in reverse transcriptase. Tenofovir shows slightly increased activity against HIV-1 expressing the abacavir/lamivudine resistance mutation M184V.  The activity of tenofovir against HIV-1 strains with thymidine analog-associated mutations (thymidine-associated mutations) appears to depend on the type and number of these resistance mutations.  In the presence of mutation T215Y, a twofold increase of the IC</w:t>
      </w:r>
      <w:r w:rsidRPr="00015C34">
        <w:rPr>
          <w:rFonts w:ascii="Times New Roman" w:hAnsi="Times New Roman"/>
          <w:color w:val="000000"/>
          <w:sz w:val="24"/>
          <w:szCs w:val="24"/>
          <w:vertAlign w:val="subscript"/>
        </w:rPr>
        <w:t xml:space="preserve">50 </w:t>
      </w:r>
      <w:r w:rsidRPr="00015C34">
        <w:rPr>
          <w:rFonts w:ascii="Times New Roman" w:hAnsi="Times New Roman"/>
          <w:color w:val="000000"/>
          <w:sz w:val="24"/>
          <w:szCs w:val="24"/>
        </w:rPr>
        <w:t>was observed.  In 10 samples which had multiple thymidine-associated mutations (mean 3.4), a mean 3.7-fold increase of the IC</w:t>
      </w:r>
      <w:r w:rsidRPr="00015C34">
        <w:rPr>
          <w:rFonts w:ascii="Times New Roman" w:hAnsi="Times New Roman"/>
          <w:color w:val="000000"/>
          <w:sz w:val="24"/>
          <w:szCs w:val="24"/>
          <w:vertAlign w:val="subscript"/>
        </w:rPr>
        <w:t xml:space="preserve">50 </w:t>
      </w:r>
      <w:r w:rsidRPr="00015C34">
        <w:rPr>
          <w:rFonts w:ascii="Times New Roman" w:hAnsi="Times New Roman"/>
          <w:color w:val="000000"/>
          <w:sz w:val="24"/>
          <w:szCs w:val="24"/>
        </w:rPr>
        <w:t xml:space="preserve">was observed (range 0.8 to 8.4). There are insufficient data at this time to correlate specific thymidine-associated mutation patterns with reduced susceptibility to tenofovir. </w:t>
      </w:r>
    </w:p>
    <w:p w:rsidR="007F553A" w:rsidRPr="00015C34" w:rsidRDefault="007F553A" w:rsidP="009D74A6">
      <w:pPr>
        <w:jc w:val="both"/>
        <w:rPr>
          <w:rFonts w:ascii="Times New Roman" w:hAnsi="Times New Roman"/>
          <w:color w:val="000000"/>
          <w:sz w:val="24"/>
          <w:szCs w:val="24"/>
        </w:rPr>
      </w:pP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color w:val="000000"/>
          <w:sz w:val="24"/>
          <w:szCs w:val="24"/>
        </w:rPr>
        <w:t>Multinucleoside resistant HIV-1 with T69S double insertions have reduced susceptibility to tenofovir (IC</w:t>
      </w:r>
      <w:r w:rsidRPr="00015C34">
        <w:rPr>
          <w:rFonts w:ascii="Times New Roman" w:hAnsi="Times New Roman"/>
          <w:color w:val="000000"/>
          <w:sz w:val="24"/>
          <w:szCs w:val="24"/>
          <w:vertAlign w:val="subscript"/>
        </w:rPr>
        <w:t xml:space="preserve">50 </w:t>
      </w:r>
      <w:r w:rsidRPr="00015C34">
        <w:rPr>
          <w:rFonts w:ascii="Times New Roman" w:hAnsi="Times New Roman"/>
          <w:color w:val="000000"/>
          <w:sz w:val="24"/>
          <w:szCs w:val="24"/>
        </w:rPr>
        <w:t xml:space="preserve">&gt;10-fold compared with wild type).  Tenofovir shows activity against non-nucleoside reverse transcriptase inhibitor resistant HIV-1 with K103N or Y181C mutations.  </w:t>
      </w:r>
      <w:r w:rsidRPr="00015C34">
        <w:rPr>
          <w:rFonts w:ascii="Times New Roman" w:hAnsi="Times New Roman"/>
          <w:color w:val="000000"/>
          <w:sz w:val="24"/>
          <w:szCs w:val="24"/>
        </w:rPr>
        <w:lastRenderedPageBreak/>
        <w:t>Cross-resistance to protease inhibitor resistance mutations is not expected due to the different viral enzymes targeted.</w:t>
      </w:r>
    </w:p>
    <w:p w:rsidR="007F553A" w:rsidRPr="00015C34" w:rsidRDefault="007F553A" w:rsidP="009D74A6">
      <w:pPr>
        <w:jc w:val="both"/>
        <w:rPr>
          <w:rFonts w:ascii="Times New Roman" w:hAnsi="Times New Roman"/>
          <w:color w:val="000000"/>
          <w:sz w:val="24"/>
          <w:szCs w:val="24"/>
        </w:rPr>
      </w:pP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color w:val="000000"/>
          <w:sz w:val="24"/>
          <w:szCs w:val="24"/>
        </w:rPr>
        <w:t xml:space="preserve">Strains of HIV-1 with reduced susceptibility to tenofovir have been selected </w:t>
      </w:r>
      <w:r w:rsidRPr="00015C34">
        <w:rPr>
          <w:rFonts w:ascii="Times New Roman" w:hAnsi="Times New Roman"/>
          <w:i/>
          <w:color w:val="000000"/>
          <w:sz w:val="24"/>
          <w:szCs w:val="24"/>
        </w:rPr>
        <w:t>in vitro</w:t>
      </w:r>
      <w:r w:rsidRPr="00015C34">
        <w:rPr>
          <w:rFonts w:ascii="Times New Roman" w:hAnsi="Times New Roman"/>
          <w:color w:val="000000"/>
          <w:sz w:val="24"/>
          <w:szCs w:val="24"/>
        </w:rPr>
        <w:t>.  The selected viruses express a K65R mutation in RT and showed 3 to 4-fold reduced susceptibility to tenofovir.  The K65R mutation in RT can also be selected</w:t>
      </w:r>
      <w:r w:rsidRPr="00015C34">
        <w:rPr>
          <w:rFonts w:ascii="Times New Roman" w:hAnsi="Times New Roman"/>
          <w:i/>
          <w:color w:val="000000"/>
          <w:sz w:val="24"/>
          <w:szCs w:val="24"/>
        </w:rPr>
        <w:t xml:space="preserve"> </w:t>
      </w:r>
      <w:r w:rsidRPr="00015C34">
        <w:rPr>
          <w:rFonts w:ascii="Times New Roman" w:hAnsi="Times New Roman"/>
          <w:color w:val="000000"/>
          <w:sz w:val="24"/>
          <w:szCs w:val="24"/>
        </w:rPr>
        <w:t>by zalcitabine, didanosine, and abacavir, and causes reduced susceptibility to zalcitabine, didanosine, stavudine</w:t>
      </w:r>
      <w:r w:rsidR="00EA1E80" w:rsidRPr="00015C34">
        <w:rPr>
          <w:rFonts w:ascii="Times New Roman" w:hAnsi="Times New Roman"/>
          <w:color w:val="000000"/>
          <w:sz w:val="24"/>
          <w:szCs w:val="24"/>
        </w:rPr>
        <w:t xml:space="preserve"> (</w:t>
      </w:r>
      <w:r w:rsidR="00084420" w:rsidRPr="00015C34">
        <w:rPr>
          <w:rFonts w:ascii="Times New Roman" w:hAnsi="Times New Roman"/>
          <w:color w:val="000000"/>
          <w:sz w:val="24"/>
          <w:szCs w:val="24"/>
        </w:rPr>
        <w:t>d4T</w:t>
      </w:r>
      <w:r w:rsidR="00EA1E80" w:rsidRPr="00015C34">
        <w:rPr>
          <w:rFonts w:ascii="Times New Roman" w:hAnsi="Times New Roman"/>
          <w:color w:val="000000"/>
          <w:sz w:val="24"/>
          <w:szCs w:val="24"/>
        </w:rPr>
        <w:t>)</w:t>
      </w:r>
      <w:r w:rsidRPr="00015C34">
        <w:rPr>
          <w:rFonts w:ascii="Times New Roman" w:hAnsi="Times New Roman"/>
          <w:color w:val="000000"/>
          <w:sz w:val="24"/>
          <w:szCs w:val="24"/>
        </w:rPr>
        <w:t xml:space="preserve">, abacavir, and lamivudine (14-, 4-, 2-, 3-, and 25-fold, respectively).  </w:t>
      </w:r>
    </w:p>
    <w:p w:rsidR="00E564A0" w:rsidRPr="00015C34" w:rsidRDefault="00E564A0" w:rsidP="009D74A6">
      <w:pPr>
        <w:jc w:val="both"/>
        <w:rPr>
          <w:rFonts w:ascii="Times New Roman" w:hAnsi="Times New Roman"/>
          <w:color w:val="000000"/>
          <w:sz w:val="24"/>
          <w:szCs w:val="24"/>
        </w:rPr>
      </w:pPr>
    </w:p>
    <w:p w:rsidR="00BF2485" w:rsidRPr="00015C34" w:rsidRDefault="00BB6C5F" w:rsidP="00BF2485">
      <w:pPr>
        <w:pStyle w:val="text"/>
        <w:spacing w:before="0" w:after="0" w:line="240" w:lineRule="auto"/>
        <w:jc w:val="both"/>
        <w:rPr>
          <w:rFonts w:ascii="Times New Roman" w:hAnsi="Times New Roman"/>
          <w:szCs w:val="24"/>
        </w:rPr>
      </w:pPr>
      <w:r w:rsidRPr="00015C34">
        <w:rPr>
          <w:rFonts w:ascii="Times New Roman" w:hAnsi="Times New Roman"/>
          <w:b/>
          <w:i/>
          <w:szCs w:val="24"/>
          <w:lang w:val="en-AU"/>
        </w:rPr>
        <w:t>Anti-Hepatitis B Virus Activity In Vitro</w:t>
      </w:r>
      <w:r w:rsidR="00975D4A" w:rsidRPr="00015C34">
        <w:rPr>
          <w:rFonts w:ascii="Times New Roman" w:hAnsi="Times New Roman"/>
          <w:b/>
          <w:i/>
          <w:szCs w:val="24"/>
          <w:lang w:val="en-AU"/>
        </w:rPr>
        <w:t>:</w:t>
      </w:r>
      <w:r w:rsidRPr="00015C34">
        <w:rPr>
          <w:rFonts w:ascii="Times New Roman" w:hAnsi="Times New Roman"/>
          <w:szCs w:val="24"/>
          <w:lang w:val="en-AU"/>
        </w:rPr>
        <w:t xml:space="preserve"> </w:t>
      </w:r>
      <w:r w:rsidR="00BF2485" w:rsidRPr="00015C34">
        <w:rPr>
          <w:rFonts w:ascii="Times New Roman" w:hAnsi="Times New Roman"/>
          <w:szCs w:val="24"/>
        </w:rPr>
        <w:t xml:space="preserve">The </w:t>
      </w:r>
      <w:r w:rsidR="00BF2485" w:rsidRPr="00015C34">
        <w:rPr>
          <w:rFonts w:ascii="Times New Roman" w:hAnsi="Times New Roman"/>
          <w:i/>
          <w:szCs w:val="24"/>
        </w:rPr>
        <w:t>in vitro</w:t>
      </w:r>
      <w:r w:rsidR="00BF2485" w:rsidRPr="00015C34">
        <w:rPr>
          <w:rFonts w:ascii="Times New Roman" w:hAnsi="Times New Roman"/>
          <w:szCs w:val="24"/>
        </w:rPr>
        <w:t xml:space="preserve"> antiviral activity of tenofovir against laboratory strains and clinical isolates of HBV was assessed in HepG2 cells.  The EC</w:t>
      </w:r>
      <w:r w:rsidR="00BF2485" w:rsidRPr="00015C34">
        <w:rPr>
          <w:rFonts w:ascii="Times New Roman" w:hAnsi="Times New Roman"/>
          <w:szCs w:val="24"/>
          <w:vertAlign w:val="subscript"/>
        </w:rPr>
        <w:t>50</w:t>
      </w:r>
      <w:r w:rsidR="00BF2485" w:rsidRPr="00015C34">
        <w:rPr>
          <w:rFonts w:ascii="Times New Roman" w:hAnsi="Times New Roman"/>
          <w:szCs w:val="24"/>
        </w:rPr>
        <w:t xml:space="preserve"> values for tenofovir were in the range 0.06 to 1.5 µM.  Tenofovir diphosphate inhibits recombinant HBV polymerase with a K</w:t>
      </w:r>
      <w:r w:rsidR="00BF2485" w:rsidRPr="00015C34">
        <w:rPr>
          <w:rFonts w:ascii="Times New Roman" w:hAnsi="Times New Roman"/>
          <w:szCs w:val="24"/>
          <w:vertAlign w:val="subscript"/>
        </w:rPr>
        <w:t>i</w:t>
      </w:r>
      <w:r w:rsidR="00BF2485" w:rsidRPr="00015C34">
        <w:rPr>
          <w:rFonts w:ascii="Times New Roman" w:hAnsi="Times New Roman"/>
          <w:szCs w:val="24"/>
        </w:rPr>
        <w:t xml:space="preserve"> (inhibition constant) of 0.18 </w:t>
      </w:r>
      <w:r w:rsidR="00BF2485" w:rsidRPr="00015C34">
        <w:rPr>
          <w:szCs w:val="24"/>
        </w:rPr>
        <w:t>µ</w:t>
      </w:r>
      <w:r w:rsidR="00BF2485" w:rsidRPr="00015C34">
        <w:rPr>
          <w:rFonts w:ascii="Times New Roman" w:hAnsi="Times New Roman"/>
          <w:szCs w:val="24"/>
        </w:rPr>
        <w:t>M.</w:t>
      </w:r>
      <w:r w:rsidR="00BF2485" w:rsidRPr="00015C34">
        <w:rPr>
          <w:szCs w:val="24"/>
        </w:rPr>
        <w:t xml:space="preserve"> </w:t>
      </w:r>
      <w:r w:rsidR="00BF2485" w:rsidRPr="00015C34">
        <w:rPr>
          <w:rFonts w:ascii="Times New Roman" w:hAnsi="Times New Roman"/>
          <w:szCs w:val="24"/>
        </w:rPr>
        <w:t xml:space="preserve"> In </w:t>
      </w:r>
      <w:r w:rsidR="00BF2485" w:rsidRPr="00015C34">
        <w:rPr>
          <w:rFonts w:ascii="Times New Roman" w:hAnsi="Times New Roman"/>
          <w:i/>
          <w:iCs/>
          <w:szCs w:val="24"/>
        </w:rPr>
        <w:t xml:space="preserve">in vitro </w:t>
      </w:r>
      <w:r w:rsidR="00BF2485" w:rsidRPr="00015C34">
        <w:rPr>
          <w:rFonts w:ascii="Times New Roman" w:hAnsi="Times New Roman"/>
          <w:szCs w:val="24"/>
        </w:rPr>
        <w:t>drug combination studies of tenofovir with nucleoside anti-HBV reverse transcriptase inhibitors lamivudine, telbivudine and entecavir, additive anti-HBV activity was observed.</w:t>
      </w:r>
      <w:r w:rsidR="00BF2485" w:rsidRPr="00015C34">
        <w:rPr>
          <w:szCs w:val="24"/>
        </w:rPr>
        <w:t xml:space="preserve"> </w:t>
      </w:r>
      <w:r w:rsidR="00BF2485" w:rsidRPr="00015C34">
        <w:rPr>
          <w:rFonts w:ascii="Times New Roman" w:hAnsi="Times New Roman"/>
          <w:szCs w:val="24"/>
        </w:rPr>
        <w:t xml:space="preserve"> Additive to slight synergistic effects were observed with the combination of tenofovir and emtricitabine. </w:t>
      </w:r>
    </w:p>
    <w:p w:rsidR="008C7B70" w:rsidRPr="00015C34" w:rsidRDefault="008C7B70" w:rsidP="009D74A6">
      <w:pPr>
        <w:pStyle w:val="text"/>
        <w:spacing w:before="0" w:after="0" w:line="240" w:lineRule="auto"/>
        <w:jc w:val="both"/>
        <w:rPr>
          <w:rFonts w:ascii="Times New Roman" w:hAnsi="Times New Roman"/>
          <w:szCs w:val="24"/>
          <w:lang w:val="en-AU"/>
        </w:rPr>
      </w:pPr>
    </w:p>
    <w:p w:rsidR="007F553A" w:rsidRPr="00015C34" w:rsidRDefault="007F553A" w:rsidP="009D74A6">
      <w:pPr>
        <w:jc w:val="both"/>
        <w:rPr>
          <w:rFonts w:ascii="Times New Roman" w:hAnsi="Times New Roman"/>
          <w:color w:val="000000"/>
          <w:sz w:val="24"/>
          <w:szCs w:val="24"/>
        </w:rPr>
      </w:pPr>
    </w:p>
    <w:p w:rsidR="008729F3" w:rsidRPr="00015C34" w:rsidRDefault="008729F3" w:rsidP="009D74A6">
      <w:pPr>
        <w:jc w:val="both"/>
        <w:rPr>
          <w:rFonts w:ascii="Times New Roman" w:hAnsi="Times New Roman"/>
          <w:b/>
          <w:color w:val="000000"/>
          <w:sz w:val="24"/>
          <w:szCs w:val="24"/>
        </w:rPr>
      </w:pPr>
      <w:r w:rsidRPr="00015C34">
        <w:rPr>
          <w:rFonts w:ascii="Times New Roman" w:hAnsi="Times New Roman"/>
          <w:b/>
          <w:color w:val="000000"/>
          <w:sz w:val="24"/>
          <w:szCs w:val="24"/>
        </w:rPr>
        <w:t>CLINICAL TRIALS</w:t>
      </w:r>
    </w:p>
    <w:p w:rsidR="00C65C59" w:rsidRPr="00015C34" w:rsidRDefault="00C65C59" w:rsidP="009D74A6">
      <w:pPr>
        <w:jc w:val="both"/>
        <w:rPr>
          <w:rFonts w:ascii="Times New Roman" w:hAnsi="Times New Roman"/>
          <w:b/>
          <w:color w:val="000000"/>
          <w:sz w:val="24"/>
          <w:szCs w:val="24"/>
        </w:rPr>
      </w:pPr>
    </w:p>
    <w:p w:rsidR="00C65C59" w:rsidRPr="00015C34" w:rsidRDefault="00C65C59" w:rsidP="00C65C59">
      <w:pPr>
        <w:jc w:val="both"/>
        <w:rPr>
          <w:rFonts w:ascii="Times New Roman" w:hAnsi="Times New Roman"/>
          <w:b/>
          <w:i/>
          <w:color w:val="000000"/>
          <w:sz w:val="24"/>
          <w:szCs w:val="24"/>
        </w:rPr>
      </w:pPr>
      <w:r w:rsidRPr="00015C34">
        <w:rPr>
          <w:rFonts w:ascii="Times New Roman" w:hAnsi="Times New Roman"/>
          <w:b/>
          <w:i/>
          <w:color w:val="000000"/>
          <w:sz w:val="24"/>
          <w:szCs w:val="24"/>
        </w:rPr>
        <w:t xml:space="preserve">Clinical efficacy in HIV Infection: </w:t>
      </w:r>
    </w:p>
    <w:p w:rsidR="007F553A" w:rsidRPr="00015C34" w:rsidRDefault="007F553A" w:rsidP="009D74A6">
      <w:pPr>
        <w:jc w:val="both"/>
        <w:rPr>
          <w:rFonts w:ascii="Times New Roman" w:hAnsi="Times New Roman"/>
          <w:color w:val="000000"/>
          <w:sz w:val="24"/>
          <w:szCs w:val="24"/>
        </w:rPr>
      </w:pPr>
      <w:r w:rsidRPr="00015C34">
        <w:rPr>
          <w:rFonts w:ascii="Times New Roman" w:hAnsi="Times New Roman"/>
          <w:color w:val="000000"/>
          <w:sz w:val="24"/>
          <w:szCs w:val="24"/>
        </w:rPr>
        <w:t xml:space="preserve">The demonstration of benefit of VIREAD is based on </w:t>
      </w:r>
      <w:r w:rsidR="0054428C" w:rsidRPr="00015C34">
        <w:rPr>
          <w:rFonts w:ascii="Times New Roman" w:hAnsi="Times New Roman"/>
          <w:snapToGrid w:val="0"/>
          <w:sz w:val="24"/>
          <w:szCs w:val="24"/>
        </w:rPr>
        <w:t>analyses of plasma HIV-1 RNA levels and CD4 cell counts in controlled studies of VIREAD in treatment-naïve adults and in treatment-experienced adults.</w:t>
      </w:r>
      <w:r w:rsidR="00BC221F" w:rsidRPr="00015C34">
        <w:rPr>
          <w:rFonts w:ascii="Times New Roman" w:hAnsi="Times New Roman"/>
          <w:color w:val="000000"/>
          <w:sz w:val="24"/>
          <w:szCs w:val="24"/>
        </w:rPr>
        <w:t xml:space="preserve"> </w:t>
      </w:r>
    </w:p>
    <w:p w:rsidR="007F553A" w:rsidRPr="00015C34" w:rsidRDefault="007F553A" w:rsidP="009D74A6">
      <w:pPr>
        <w:jc w:val="both"/>
        <w:rPr>
          <w:rFonts w:ascii="Times New Roman" w:hAnsi="Times New Roman"/>
          <w:color w:val="000000"/>
          <w:sz w:val="24"/>
          <w:szCs w:val="24"/>
        </w:rPr>
      </w:pPr>
    </w:p>
    <w:p w:rsidR="00B15625" w:rsidRPr="00015C34" w:rsidRDefault="00B15625" w:rsidP="009D74A6">
      <w:pPr>
        <w:pStyle w:val="Footer"/>
        <w:widowControl/>
        <w:tabs>
          <w:tab w:val="left" w:pos="720"/>
        </w:tabs>
        <w:jc w:val="both"/>
        <w:rPr>
          <w:rFonts w:ascii="Times New Roman" w:hAnsi="Times New Roman"/>
          <w:b/>
          <w:i/>
          <w:sz w:val="24"/>
          <w:szCs w:val="24"/>
          <w:lang w:val="en-AU"/>
        </w:rPr>
      </w:pPr>
      <w:r w:rsidRPr="00015C34">
        <w:rPr>
          <w:rFonts w:ascii="Times New Roman" w:hAnsi="Times New Roman"/>
          <w:b/>
          <w:i/>
          <w:sz w:val="24"/>
          <w:szCs w:val="24"/>
          <w:lang w:val="en-AU"/>
        </w:rPr>
        <w:t xml:space="preserve">Treatment-Experienced </w:t>
      </w:r>
      <w:r w:rsidR="004841F0">
        <w:rPr>
          <w:rFonts w:ascii="Times New Roman" w:hAnsi="Times New Roman"/>
          <w:b/>
          <w:i/>
          <w:sz w:val="24"/>
          <w:szCs w:val="24"/>
          <w:lang w:val="en-AU"/>
        </w:rPr>
        <w:t xml:space="preserve">Adult </w:t>
      </w:r>
      <w:r w:rsidRPr="00015C34">
        <w:rPr>
          <w:rFonts w:ascii="Times New Roman" w:hAnsi="Times New Roman"/>
          <w:b/>
          <w:i/>
          <w:sz w:val="24"/>
          <w:szCs w:val="24"/>
          <w:lang w:val="en-AU"/>
        </w:rPr>
        <w:t>Patients</w:t>
      </w:r>
    </w:p>
    <w:p w:rsidR="00B15625" w:rsidRPr="00015C34" w:rsidRDefault="00B15625" w:rsidP="009D74A6">
      <w:pPr>
        <w:pStyle w:val="BodyTextIndent"/>
        <w:tabs>
          <w:tab w:val="left" w:pos="8730"/>
        </w:tabs>
        <w:spacing w:line="240" w:lineRule="auto"/>
        <w:ind w:left="0"/>
        <w:jc w:val="both"/>
        <w:rPr>
          <w:rFonts w:ascii="Times New Roman" w:hAnsi="Times New Roman"/>
          <w:b/>
          <w:color w:val="auto"/>
          <w:sz w:val="24"/>
          <w:szCs w:val="24"/>
          <w:lang w:val="en-AU"/>
        </w:rPr>
      </w:pPr>
      <w:r w:rsidRPr="00015C34">
        <w:rPr>
          <w:rFonts w:ascii="Times New Roman" w:hAnsi="Times New Roman"/>
          <w:b/>
          <w:color w:val="auto"/>
          <w:sz w:val="24"/>
          <w:szCs w:val="24"/>
          <w:lang w:val="en-AU"/>
        </w:rPr>
        <w:t>Study 907:  VIREAD + Standard Background Therapy (SBT) Compared to Placebo + SBT</w:t>
      </w:r>
    </w:p>
    <w:p w:rsidR="009718F7" w:rsidRPr="00015C34" w:rsidRDefault="009718F7" w:rsidP="009D74A6">
      <w:pPr>
        <w:pStyle w:val="BodyTextIndent"/>
        <w:tabs>
          <w:tab w:val="left" w:pos="8730"/>
        </w:tabs>
        <w:spacing w:line="240" w:lineRule="auto"/>
        <w:ind w:left="0"/>
        <w:jc w:val="both"/>
        <w:rPr>
          <w:rFonts w:ascii="Times New Roman" w:hAnsi="Times New Roman"/>
          <w:b/>
          <w:color w:val="auto"/>
          <w:sz w:val="24"/>
          <w:szCs w:val="24"/>
          <w:lang w:val="en-AU"/>
        </w:rPr>
      </w:pPr>
    </w:p>
    <w:p w:rsidR="00B15625" w:rsidRPr="00015C34" w:rsidRDefault="00B15625" w:rsidP="009D74A6">
      <w:pPr>
        <w:widowControl w:val="0"/>
        <w:jc w:val="both"/>
        <w:rPr>
          <w:rFonts w:ascii="Times New Roman" w:hAnsi="Times New Roman"/>
          <w:sz w:val="24"/>
          <w:szCs w:val="24"/>
        </w:rPr>
      </w:pPr>
      <w:r w:rsidRPr="00015C34">
        <w:rPr>
          <w:rFonts w:ascii="Times New Roman" w:hAnsi="Times New Roman"/>
          <w:sz w:val="24"/>
          <w:szCs w:val="24"/>
        </w:rPr>
        <w:t xml:space="preserve">Study 907 was a 24 week, double-blind placebo-controlled </w:t>
      </w:r>
      <w:r w:rsidR="00E44700" w:rsidRPr="00015C34">
        <w:rPr>
          <w:rFonts w:ascii="Times New Roman" w:hAnsi="Times New Roman"/>
          <w:sz w:val="24"/>
          <w:szCs w:val="24"/>
        </w:rPr>
        <w:t>multicentre</w:t>
      </w:r>
      <w:r w:rsidRPr="00015C34">
        <w:rPr>
          <w:rFonts w:ascii="Times New Roman" w:hAnsi="Times New Roman"/>
          <w:sz w:val="24"/>
          <w:szCs w:val="24"/>
        </w:rPr>
        <w:t xml:space="preserve"> study of VIREAD added to a stable background regimen of antiretroviral agents in 550 treatment-experienced patients.  After 24 weeks of blinded study treatment, all patients continuing on study were offered open-label VIREAD for an additional 24 weeks.  Patients had a mean baseline CD4 cell count of 427 cells/mm</w:t>
      </w:r>
      <w:r w:rsidRPr="00015C34">
        <w:rPr>
          <w:rFonts w:ascii="Times New Roman" w:hAnsi="Times New Roman"/>
          <w:sz w:val="24"/>
          <w:szCs w:val="24"/>
          <w:vertAlign w:val="superscript"/>
        </w:rPr>
        <w:t xml:space="preserve">3 </w:t>
      </w:r>
      <w:r w:rsidRPr="00015C34">
        <w:rPr>
          <w:rFonts w:ascii="Times New Roman" w:hAnsi="Times New Roman"/>
          <w:sz w:val="24"/>
          <w:szCs w:val="24"/>
        </w:rPr>
        <w:t>(range 23–1385), median baseline plasma HIV-1 RNA of 2340 (range 50–75,000) copies/mL, and mean duration of prior HIV-1 treatment was 5.4 years.  Mean age of the patients was 42 years, 85% were male and 69% were Caucasian, 17% Black and 12% Hispanic.</w:t>
      </w:r>
    </w:p>
    <w:p w:rsidR="009718F7" w:rsidRPr="00015C34" w:rsidRDefault="009718F7" w:rsidP="009D74A6">
      <w:pPr>
        <w:widowControl w:val="0"/>
        <w:jc w:val="both"/>
        <w:rPr>
          <w:rFonts w:ascii="Times New Roman" w:hAnsi="Times New Roman"/>
          <w:sz w:val="24"/>
          <w:szCs w:val="24"/>
        </w:rPr>
      </w:pPr>
    </w:p>
    <w:p w:rsidR="00B15625" w:rsidRDefault="00B15625" w:rsidP="009D74A6">
      <w:pPr>
        <w:pStyle w:val="BodyTextIndent"/>
        <w:tabs>
          <w:tab w:val="left" w:pos="8730"/>
        </w:tabs>
        <w:spacing w:line="240" w:lineRule="auto"/>
        <w:ind w:left="0"/>
        <w:jc w:val="both"/>
        <w:rPr>
          <w:rFonts w:ascii="Times New Roman" w:hAnsi="Times New Roman"/>
          <w:color w:val="auto"/>
          <w:sz w:val="24"/>
          <w:szCs w:val="24"/>
          <w:lang w:val="en-AU"/>
        </w:rPr>
      </w:pPr>
      <w:r w:rsidRPr="00015C34">
        <w:rPr>
          <w:rFonts w:ascii="Times New Roman" w:hAnsi="Times New Roman"/>
          <w:color w:val="auto"/>
          <w:sz w:val="24"/>
          <w:szCs w:val="24"/>
          <w:lang w:val="en-AU"/>
        </w:rPr>
        <w:t>Changes from baseline in log</w:t>
      </w:r>
      <w:r w:rsidRPr="00015C34">
        <w:rPr>
          <w:rFonts w:ascii="Times New Roman" w:hAnsi="Times New Roman"/>
          <w:color w:val="auto"/>
          <w:sz w:val="24"/>
          <w:szCs w:val="24"/>
          <w:vertAlign w:val="subscript"/>
          <w:lang w:val="en-AU"/>
        </w:rPr>
        <w:t>10</w:t>
      </w:r>
      <w:r w:rsidRPr="00015C34">
        <w:rPr>
          <w:rFonts w:ascii="Times New Roman" w:hAnsi="Times New Roman"/>
          <w:color w:val="auto"/>
          <w:sz w:val="24"/>
          <w:szCs w:val="24"/>
          <w:lang w:val="en-AU"/>
        </w:rPr>
        <w:t xml:space="preserve"> copies/mL plasma HIV-1 RNA levels over time up to week 48 are presented below in Figure 1.</w:t>
      </w:r>
    </w:p>
    <w:p w:rsidR="00B15625" w:rsidRPr="009A59E7" w:rsidRDefault="00B15625" w:rsidP="00B15625">
      <w:pPr>
        <w:spacing w:after="120"/>
        <w:rPr>
          <w:rFonts w:ascii="Times New Roman" w:hAnsi="Times New Roman"/>
        </w:rPr>
      </w:pPr>
      <w:r w:rsidRPr="009A59E7">
        <w:rPr>
          <w:rFonts w:ascii="Times New Roman" w:hAnsi="Times New Roman"/>
        </w:rPr>
        <w:object w:dxaOrig="8611" w:dyaOrig="6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3pt;height:299.25pt" o:ole="" fillcolor="window">
            <v:imagedata r:id="rId8" o:title=""/>
          </v:shape>
          <o:OLEObject Type="Embed" ProgID="Word.Picture.8" ShapeID="_x0000_i1026" DrawAspect="Content" ObjectID="_1444653589" r:id="rId9"/>
        </w:object>
      </w:r>
    </w:p>
    <w:p w:rsidR="009718F7" w:rsidRDefault="009718F7" w:rsidP="009718F7">
      <w:pPr>
        <w:pStyle w:val="BodyTextIndent"/>
        <w:tabs>
          <w:tab w:val="left" w:pos="8730"/>
        </w:tabs>
        <w:spacing w:line="240" w:lineRule="auto"/>
        <w:ind w:left="0"/>
        <w:jc w:val="both"/>
        <w:rPr>
          <w:rFonts w:ascii="Times New Roman" w:hAnsi="Times New Roman"/>
          <w:color w:val="auto"/>
          <w:sz w:val="22"/>
          <w:szCs w:val="22"/>
          <w:lang w:val="en-AU"/>
        </w:rPr>
      </w:pPr>
    </w:p>
    <w:p w:rsidR="00B15625" w:rsidRPr="00015C34" w:rsidRDefault="00B15625" w:rsidP="009718F7">
      <w:pPr>
        <w:pStyle w:val="BodyTextIndent"/>
        <w:tabs>
          <w:tab w:val="left" w:pos="8730"/>
        </w:tabs>
        <w:spacing w:line="240" w:lineRule="auto"/>
        <w:ind w:left="0"/>
        <w:jc w:val="both"/>
        <w:rPr>
          <w:rFonts w:ascii="Times New Roman" w:hAnsi="Times New Roman"/>
          <w:color w:val="auto"/>
          <w:sz w:val="24"/>
          <w:szCs w:val="24"/>
          <w:lang w:val="en-AU"/>
        </w:rPr>
      </w:pPr>
      <w:r w:rsidRPr="00015C34">
        <w:rPr>
          <w:rFonts w:ascii="Times New Roman" w:hAnsi="Times New Roman"/>
          <w:color w:val="auto"/>
          <w:sz w:val="24"/>
          <w:szCs w:val="24"/>
          <w:lang w:val="en-AU"/>
        </w:rPr>
        <w:t>The percent of patients with HIV-1 RNA &lt;400 copies/mL and outcomes of patients through 48 weeks are summari</w:t>
      </w:r>
      <w:r w:rsidR="008C7B70" w:rsidRPr="00015C34">
        <w:rPr>
          <w:rFonts w:ascii="Times New Roman" w:hAnsi="Times New Roman"/>
          <w:color w:val="auto"/>
          <w:sz w:val="24"/>
          <w:szCs w:val="24"/>
          <w:lang w:val="en-AU"/>
        </w:rPr>
        <w:t>s</w:t>
      </w:r>
      <w:r w:rsidRPr="00015C34">
        <w:rPr>
          <w:rFonts w:ascii="Times New Roman" w:hAnsi="Times New Roman"/>
          <w:color w:val="auto"/>
          <w:sz w:val="24"/>
          <w:szCs w:val="24"/>
          <w:lang w:val="en-AU"/>
        </w:rPr>
        <w:t>ed in Table 5.</w:t>
      </w:r>
    </w:p>
    <w:p w:rsidR="009718F7" w:rsidRPr="009718F7" w:rsidRDefault="009718F7" w:rsidP="009718F7">
      <w:pPr>
        <w:pStyle w:val="BodyTextIndent"/>
        <w:tabs>
          <w:tab w:val="left" w:pos="8730"/>
        </w:tabs>
        <w:spacing w:line="240" w:lineRule="auto"/>
        <w:ind w:left="0"/>
        <w:jc w:val="both"/>
        <w:rPr>
          <w:rFonts w:ascii="Times New Roman" w:hAnsi="Times New Roman"/>
          <w:color w:val="auto"/>
          <w:sz w:val="22"/>
          <w:szCs w:val="22"/>
          <w:lang w:val="en-AU"/>
        </w:rPr>
      </w:pPr>
    </w:p>
    <w:p w:rsidR="00B15625" w:rsidRPr="009718F7" w:rsidRDefault="00B15625" w:rsidP="009718F7">
      <w:pPr>
        <w:pStyle w:val="BodyText"/>
        <w:tabs>
          <w:tab w:val="left" w:pos="720"/>
        </w:tabs>
        <w:ind w:right="0"/>
        <w:jc w:val="both"/>
        <w:rPr>
          <w:b/>
          <w:color w:val="auto"/>
          <w:sz w:val="22"/>
          <w:szCs w:val="22"/>
        </w:rPr>
      </w:pPr>
      <w:r w:rsidRPr="009718F7">
        <w:rPr>
          <w:b/>
          <w:color w:val="auto"/>
          <w:sz w:val="22"/>
          <w:szCs w:val="22"/>
        </w:rPr>
        <w:t xml:space="preserve">Table 5. </w:t>
      </w:r>
      <w:r w:rsidRPr="009718F7">
        <w:rPr>
          <w:b/>
          <w:color w:val="auto"/>
          <w:sz w:val="22"/>
          <w:szCs w:val="22"/>
        </w:rPr>
        <w:tab/>
        <w:t>Outcomes of Randomi</w:t>
      </w:r>
      <w:r w:rsidR="00EA1E80">
        <w:rPr>
          <w:b/>
          <w:color w:val="auto"/>
          <w:sz w:val="22"/>
          <w:szCs w:val="22"/>
        </w:rPr>
        <w:t>s</w:t>
      </w:r>
      <w:r w:rsidRPr="009718F7">
        <w:rPr>
          <w:b/>
          <w:color w:val="auto"/>
          <w:sz w:val="22"/>
          <w:szCs w:val="22"/>
        </w:rPr>
        <w:t>ed Treatment (Study 907)</w:t>
      </w:r>
    </w:p>
    <w:p w:rsidR="009718F7" w:rsidRPr="009A59E7" w:rsidRDefault="009718F7" w:rsidP="009718F7">
      <w:pPr>
        <w:pStyle w:val="BodyText"/>
        <w:tabs>
          <w:tab w:val="left" w:pos="720"/>
        </w:tabs>
        <w:ind w:right="0"/>
        <w:jc w:val="both"/>
        <w:rPr>
          <w:b/>
          <w:color w:val="auto"/>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777"/>
        <w:gridCol w:w="1823"/>
        <w:gridCol w:w="1755"/>
        <w:gridCol w:w="1755"/>
      </w:tblGrid>
      <w:tr w:rsidR="00B15625" w:rsidRPr="009A59E7">
        <w:trPr>
          <w:cantSplit/>
        </w:trPr>
        <w:tc>
          <w:tcPr>
            <w:tcW w:w="26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5625" w:rsidRPr="00571B28" w:rsidRDefault="00B15625">
            <w:pPr>
              <w:pStyle w:val="Heading1"/>
              <w:rPr>
                <w:b/>
                <w:i w:val="0"/>
                <w:lang w:val="en-AU"/>
              </w:rPr>
            </w:pPr>
            <w:r w:rsidRPr="00571B28">
              <w:rPr>
                <w:b/>
                <w:i w:val="0"/>
                <w:lang w:val="en-AU"/>
              </w:rPr>
              <w:t>Outcomes</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B15625" w:rsidRPr="009A59E7" w:rsidRDefault="00B15625">
            <w:pPr>
              <w:spacing w:before="60" w:after="60"/>
              <w:jc w:val="center"/>
              <w:rPr>
                <w:rFonts w:ascii="Times New Roman" w:hAnsi="Times New Roman"/>
                <w:b/>
              </w:rPr>
            </w:pPr>
            <w:r w:rsidRPr="009A59E7">
              <w:rPr>
                <w:rFonts w:ascii="Times New Roman" w:hAnsi="Times New Roman"/>
                <w:b/>
              </w:rPr>
              <w:t>0-24 weeks</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B15625" w:rsidRPr="009A59E7" w:rsidRDefault="00B15625">
            <w:pPr>
              <w:spacing w:before="60" w:after="60"/>
              <w:jc w:val="center"/>
              <w:rPr>
                <w:rFonts w:ascii="Times New Roman" w:hAnsi="Times New Roman"/>
                <w:b/>
              </w:rPr>
            </w:pPr>
            <w:r w:rsidRPr="009A59E7">
              <w:rPr>
                <w:rFonts w:ascii="Times New Roman" w:hAnsi="Times New Roman"/>
                <w:b/>
              </w:rPr>
              <w:t>0-48 weeks</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B15625" w:rsidRPr="009A59E7" w:rsidRDefault="00B15625">
            <w:pPr>
              <w:spacing w:before="60" w:after="60"/>
              <w:jc w:val="center"/>
              <w:rPr>
                <w:rFonts w:ascii="Times New Roman" w:hAnsi="Times New Roman"/>
                <w:b/>
              </w:rPr>
            </w:pPr>
            <w:r w:rsidRPr="009A59E7">
              <w:rPr>
                <w:rFonts w:ascii="Times New Roman" w:hAnsi="Times New Roman"/>
                <w:b/>
              </w:rPr>
              <w:t>24-48 weeks</w:t>
            </w:r>
          </w:p>
        </w:tc>
      </w:tr>
      <w:tr w:rsidR="00B15625" w:rsidRPr="009A59E7">
        <w:trPr>
          <w:cantSplit/>
        </w:trPr>
        <w:tc>
          <w:tcPr>
            <w:tcW w:w="26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rPr>
                <w:rFonts w:ascii="Times New Roman" w:hAnsi="Times New Roman"/>
                <w:b/>
              </w:rPr>
            </w:pPr>
          </w:p>
        </w:tc>
        <w:tc>
          <w:tcPr>
            <w:tcW w:w="1777" w:type="dxa"/>
            <w:tcBorders>
              <w:top w:val="nil"/>
              <w:left w:val="single" w:sz="4" w:space="0" w:color="auto"/>
              <w:bottom w:val="single" w:sz="4" w:space="0" w:color="auto"/>
              <w:right w:val="single" w:sz="4" w:space="0" w:color="auto"/>
            </w:tcBorders>
            <w:shd w:val="clear" w:color="auto" w:fill="auto"/>
            <w:vAlign w:val="center"/>
          </w:tcPr>
          <w:p w:rsidR="00B15625" w:rsidRPr="00DA32F0" w:rsidRDefault="00B15625" w:rsidP="00EA1E80">
            <w:pPr>
              <w:pStyle w:val="Heading1"/>
              <w:spacing w:before="60"/>
              <w:jc w:val="center"/>
              <w:rPr>
                <w:b/>
                <w:i w:val="0"/>
                <w:strike/>
                <w:lang w:val="en-AU"/>
              </w:rPr>
            </w:pPr>
            <w:r w:rsidRPr="00DA32F0">
              <w:rPr>
                <w:b/>
                <w:i w:val="0"/>
                <w:lang w:val="en-AU"/>
              </w:rPr>
              <w:t>VIREAD</w:t>
            </w:r>
          </w:p>
          <w:p w:rsidR="00B15625" w:rsidRPr="00DA32F0" w:rsidRDefault="00B15625" w:rsidP="00EA1E80">
            <w:pPr>
              <w:jc w:val="center"/>
              <w:rPr>
                <w:rFonts w:ascii="Times New Roman" w:hAnsi="Times New Roman"/>
                <w:b/>
              </w:rPr>
            </w:pPr>
            <w:r w:rsidRPr="00DA32F0">
              <w:rPr>
                <w:rFonts w:ascii="Times New Roman" w:hAnsi="Times New Roman"/>
                <w:b/>
              </w:rPr>
              <w:t>(N=368)</w:t>
            </w:r>
          </w:p>
          <w:p w:rsidR="00A80F6C" w:rsidRPr="00DA32F0" w:rsidRDefault="00B15625" w:rsidP="00EA1E80">
            <w:pPr>
              <w:jc w:val="center"/>
              <w:rPr>
                <w:rFonts w:ascii="Times New Roman" w:hAnsi="Times New Roman"/>
                <w:b/>
              </w:rPr>
            </w:pPr>
            <w:r w:rsidRPr="00DA32F0">
              <w:rPr>
                <w:rFonts w:ascii="Times New Roman" w:hAnsi="Times New Roman"/>
                <w:b/>
              </w:rPr>
              <w:t>%</w:t>
            </w:r>
          </w:p>
          <w:p w:rsidR="00B15625" w:rsidRPr="00DA32F0" w:rsidRDefault="00A80F6C" w:rsidP="00EA1E80">
            <w:pPr>
              <w:jc w:val="center"/>
              <w:rPr>
                <w:rFonts w:ascii="Times New Roman" w:hAnsi="Times New Roman"/>
                <w:b/>
              </w:rPr>
            </w:pPr>
            <w:r w:rsidRPr="00DA32F0">
              <w:rPr>
                <w:rFonts w:ascii="Times New Roman" w:hAnsi="Times New Roman"/>
                <w:b/>
              </w:rPr>
              <w:t>(95% CI)</w:t>
            </w:r>
          </w:p>
        </w:tc>
        <w:tc>
          <w:tcPr>
            <w:tcW w:w="1823" w:type="dxa"/>
            <w:tcBorders>
              <w:top w:val="nil"/>
              <w:left w:val="single" w:sz="4" w:space="0" w:color="auto"/>
              <w:bottom w:val="single" w:sz="4" w:space="0" w:color="auto"/>
              <w:right w:val="single" w:sz="4" w:space="0" w:color="auto"/>
            </w:tcBorders>
            <w:shd w:val="clear" w:color="auto" w:fill="auto"/>
            <w:vAlign w:val="center"/>
          </w:tcPr>
          <w:p w:rsidR="00B15625" w:rsidRPr="00DA32F0" w:rsidRDefault="00B15625" w:rsidP="00EA1E80">
            <w:pPr>
              <w:pStyle w:val="Heading1"/>
              <w:spacing w:before="60"/>
              <w:jc w:val="center"/>
              <w:rPr>
                <w:b/>
                <w:i w:val="0"/>
                <w:lang w:val="en-AU"/>
              </w:rPr>
            </w:pPr>
            <w:r w:rsidRPr="00DA32F0">
              <w:rPr>
                <w:b/>
                <w:i w:val="0"/>
                <w:lang w:val="en-AU"/>
              </w:rPr>
              <w:t>Placebo</w:t>
            </w:r>
          </w:p>
          <w:p w:rsidR="00B15625" w:rsidRPr="00DA32F0" w:rsidRDefault="00B15625" w:rsidP="00EA1E80">
            <w:pPr>
              <w:jc w:val="center"/>
              <w:rPr>
                <w:rFonts w:ascii="Times New Roman" w:hAnsi="Times New Roman"/>
                <w:b/>
              </w:rPr>
            </w:pPr>
            <w:r w:rsidRPr="00DA32F0">
              <w:rPr>
                <w:rFonts w:ascii="Times New Roman" w:hAnsi="Times New Roman"/>
                <w:b/>
              </w:rPr>
              <w:t>(N=182)</w:t>
            </w:r>
          </w:p>
          <w:p w:rsidR="00A80F6C" w:rsidRPr="00DA32F0" w:rsidRDefault="00B15625" w:rsidP="00EA1E80">
            <w:pPr>
              <w:jc w:val="center"/>
              <w:rPr>
                <w:rFonts w:ascii="Times New Roman" w:hAnsi="Times New Roman"/>
                <w:b/>
              </w:rPr>
            </w:pPr>
            <w:r w:rsidRPr="00DA32F0">
              <w:rPr>
                <w:rFonts w:ascii="Times New Roman" w:hAnsi="Times New Roman"/>
                <w:b/>
              </w:rPr>
              <w:t>%</w:t>
            </w:r>
          </w:p>
          <w:p w:rsidR="00B15625" w:rsidRPr="00DA32F0" w:rsidRDefault="00A80F6C" w:rsidP="00EA1E80">
            <w:pPr>
              <w:jc w:val="center"/>
              <w:rPr>
                <w:rFonts w:ascii="Times New Roman" w:hAnsi="Times New Roman"/>
                <w:b/>
              </w:rPr>
            </w:pPr>
            <w:r w:rsidRPr="00DA32F0">
              <w:rPr>
                <w:rFonts w:ascii="Times New Roman" w:hAnsi="Times New Roman"/>
                <w:b/>
              </w:rPr>
              <w:t>(95% CI)</w:t>
            </w:r>
          </w:p>
        </w:tc>
        <w:tc>
          <w:tcPr>
            <w:tcW w:w="1755" w:type="dxa"/>
            <w:tcBorders>
              <w:top w:val="nil"/>
              <w:left w:val="single" w:sz="4" w:space="0" w:color="auto"/>
              <w:bottom w:val="single" w:sz="4" w:space="0" w:color="auto"/>
              <w:right w:val="single" w:sz="4" w:space="0" w:color="auto"/>
            </w:tcBorders>
            <w:shd w:val="clear" w:color="auto" w:fill="auto"/>
            <w:vAlign w:val="center"/>
          </w:tcPr>
          <w:p w:rsidR="00B15625" w:rsidRPr="00DA32F0" w:rsidRDefault="00B15625" w:rsidP="00EA1E80">
            <w:pPr>
              <w:pStyle w:val="Heading1"/>
              <w:spacing w:before="60"/>
              <w:jc w:val="center"/>
              <w:rPr>
                <w:b/>
                <w:i w:val="0"/>
                <w:lang w:val="en-AU"/>
              </w:rPr>
            </w:pPr>
            <w:r w:rsidRPr="00DA32F0">
              <w:rPr>
                <w:b/>
                <w:i w:val="0"/>
                <w:lang w:val="en-AU"/>
              </w:rPr>
              <w:t>VIREAD</w:t>
            </w:r>
          </w:p>
          <w:p w:rsidR="00B15625" w:rsidRPr="00DA32F0" w:rsidRDefault="00B15625" w:rsidP="00EA1E80">
            <w:pPr>
              <w:jc w:val="center"/>
              <w:rPr>
                <w:rFonts w:ascii="Times New Roman" w:hAnsi="Times New Roman"/>
                <w:b/>
              </w:rPr>
            </w:pPr>
            <w:r w:rsidRPr="00DA32F0">
              <w:rPr>
                <w:rFonts w:ascii="Times New Roman" w:hAnsi="Times New Roman"/>
                <w:b/>
              </w:rPr>
              <w:t>(N=368)</w:t>
            </w:r>
          </w:p>
          <w:p w:rsidR="00B15625" w:rsidRPr="00DA32F0" w:rsidRDefault="00B15625" w:rsidP="00EA1E80">
            <w:pPr>
              <w:jc w:val="center"/>
              <w:rPr>
                <w:rFonts w:ascii="Times New Roman" w:hAnsi="Times New Roman"/>
                <w:b/>
              </w:rPr>
            </w:pPr>
            <w:r w:rsidRPr="00DA32F0">
              <w:rPr>
                <w:rFonts w:ascii="Times New Roman" w:hAnsi="Times New Roman"/>
                <w:b/>
              </w:rPr>
              <w:t>%</w:t>
            </w:r>
          </w:p>
        </w:tc>
        <w:tc>
          <w:tcPr>
            <w:tcW w:w="1755" w:type="dxa"/>
            <w:tcBorders>
              <w:top w:val="nil"/>
              <w:left w:val="single" w:sz="4" w:space="0" w:color="auto"/>
              <w:bottom w:val="single" w:sz="4" w:space="0" w:color="auto"/>
              <w:right w:val="single" w:sz="4" w:space="0" w:color="auto"/>
            </w:tcBorders>
            <w:shd w:val="clear" w:color="auto" w:fill="auto"/>
            <w:vAlign w:val="center"/>
          </w:tcPr>
          <w:p w:rsidR="00B15625" w:rsidRPr="00DA32F0" w:rsidRDefault="00B15625">
            <w:pPr>
              <w:spacing w:before="60"/>
              <w:jc w:val="center"/>
              <w:rPr>
                <w:rFonts w:ascii="Times New Roman" w:hAnsi="Times New Roman"/>
                <w:b/>
              </w:rPr>
            </w:pPr>
            <w:r w:rsidRPr="00DA32F0">
              <w:rPr>
                <w:rFonts w:ascii="Times New Roman" w:hAnsi="Times New Roman"/>
                <w:b/>
              </w:rPr>
              <w:t>Placebo Crossover to VIREAD</w:t>
            </w:r>
          </w:p>
          <w:p w:rsidR="00B15625" w:rsidRPr="00DA32F0" w:rsidRDefault="00B15625">
            <w:pPr>
              <w:jc w:val="center"/>
              <w:rPr>
                <w:rFonts w:ascii="Times New Roman" w:hAnsi="Times New Roman"/>
                <w:b/>
              </w:rPr>
            </w:pPr>
            <w:r w:rsidRPr="00DA32F0">
              <w:rPr>
                <w:rFonts w:ascii="Times New Roman" w:hAnsi="Times New Roman"/>
                <w:b/>
              </w:rPr>
              <w:t>(N=170)</w:t>
            </w:r>
          </w:p>
          <w:p w:rsidR="00B15625" w:rsidRPr="00DA32F0" w:rsidRDefault="00B15625">
            <w:pPr>
              <w:spacing w:after="60"/>
              <w:jc w:val="center"/>
              <w:rPr>
                <w:rFonts w:ascii="Times New Roman" w:hAnsi="Times New Roman"/>
                <w:b/>
              </w:rPr>
            </w:pPr>
            <w:r w:rsidRPr="00DA32F0">
              <w:rPr>
                <w:rFonts w:ascii="Times New Roman" w:hAnsi="Times New Roman"/>
                <w:b/>
              </w:rPr>
              <w:t>%</w:t>
            </w:r>
          </w:p>
        </w:tc>
      </w:tr>
      <w:tr w:rsidR="00B15625" w:rsidRPr="009A59E7">
        <w:trPr>
          <w:cantSplit/>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B9645B" w:rsidRDefault="00B15625" w:rsidP="00B9645B">
            <w:pPr>
              <w:pStyle w:val="CommentText"/>
              <w:spacing w:before="60" w:after="60"/>
              <w:jc w:val="left"/>
              <w:rPr>
                <w:sz w:val="20"/>
                <w:lang w:val="en-AU"/>
              </w:rPr>
            </w:pPr>
            <w:r w:rsidRPr="00B9645B">
              <w:rPr>
                <w:sz w:val="20"/>
                <w:lang w:val="en-AU"/>
              </w:rPr>
              <w:t>HIV-1 RNA &lt;400 copies/mL</w:t>
            </w:r>
            <w:r w:rsidRPr="00B9645B">
              <w:rPr>
                <w:sz w:val="20"/>
                <w:vertAlign w:val="superscript"/>
                <w:lang w:val="en-AU"/>
              </w:rPr>
              <w:t>1</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Default="00B15625" w:rsidP="00A80F6C">
            <w:pPr>
              <w:jc w:val="center"/>
              <w:rPr>
                <w:rFonts w:ascii="Times New Roman" w:hAnsi="Times New Roman"/>
              </w:rPr>
            </w:pPr>
            <w:r w:rsidRPr="009A59E7">
              <w:rPr>
                <w:rFonts w:ascii="Times New Roman" w:hAnsi="Times New Roman"/>
              </w:rPr>
              <w:t>40%</w:t>
            </w:r>
            <w:r w:rsidR="00A80F6C" w:rsidRPr="00A80F6C">
              <w:rPr>
                <w:rFonts w:ascii="Times New Roman" w:hAnsi="Times New Roman"/>
                <w:vertAlign w:val="superscript"/>
              </w:rPr>
              <w:t>4</w:t>
            </w:r>
          </w:p>
          <w:p w:rsidR="00A80F6C" w:rsidRPr="009A59E7" w:rsidRDefault="00A80F6C" w:rsidP="00A80F6C">
            <w:pPr>
              <w:jc w:val="center"/>
              <w:rPr>
                <w:rFonts w:ascii="Times New Roman" w:hAnsi="Times New Roman"/>
              </w:rPr>
            </w:pPr>
            <w:r>
              <w:rPr>
                <w:rFonts w:ascii="Times New Roman" w:hAnsi="Times New Roman"/>
              </w:rPr>
              <w:t>(35% to 45%)</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Default="00B15625" w:rsidP="00A80F6C">
            <w:pPr>
              <w:jc w:val="center"/>
              <w:rPr>
                <w:rFonts w:ascii="Times New Roman" w:hAnsi="Times New Roman"/>
              </w:rPr>
            </w:pPr>
            <w:r w:rsidRPr="009A59E7">
              <w:rPr>
                <w:rFonts w:ascii="Times New Roman" w:hAnsi="Times New Roman"/>
              </w:rPr>
              <w:t>11%</w:t>
            </w:r>
            <w:r w:rsidR="00A80F6C" w:rsidRPr="00A80F6C">
              <w:rPr>
                <w:rFonts w:ascii="Times New Roman" w:hAnsi="Times New Roman"/>
                <w:vertAlign w:val="superscript"/>
              </w:rPr>
              <w:t>4</w:t>
            </w:r>
          </w:p>
          <w:p w:rsidR="00A80F6C" w:rsidRPr="009A59E7" w:rsidRDefault="00A80F6C" w:rsidP="00A80F6C">
            <w:pPr>
              <w:jc w:val="center"/>
              <w:rPr>
                <w:rFonts w:ascii="Times New Roman" w:hAnsi="Times New Roman"/>
              </w:rPr>
            </w:pPr>
            <w:r>
              <w:rPr>
                <w:rFonts w:ascii="Times New Roman" w:hAnsi="Times New Roman"/>
              </w:rPr>
              <w:t>(6% to 16%)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28%</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30%</w:t>
            </w:r>
          </w:p>
        </w:tc>
      </w:tr>
      <w:tr w:rsidR="00B15625" w:rsidRPr="009A59E7">
        <w:trPr>
          <w:cantSplit/>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rPr>
                <w:rFonts w:ascii="Times New Roman" w:hAnsi="Times New Roman"/>
              </w:rPr>
            </w:pPr>
            <w:r w:rsidRPr="009A59E7">
              <w:rPr>
                <w:rFonts w:ascii="Times New Roman" w:hAnsi="Times New Roman"/>
              </w:rPr>
              <w:t>Virologic failure</w:t>
            </w:r>
            <w:r w:rsidRPr="009A59E7">
              <w:rPr>
                <w:rFonts w:ascii="Times New Roman" w:hAnsi="Times New Roman"/>
                <w:vertAlign w:val="superscript"/>
              </w:rPr>
              <w:t>2</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53%</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84%</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61%</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64%</w:t>
            </w:r>
          </w:p>
        </w:tc>
      </w:tr>
      <w:tr w:rsidR="00B15625" w:rsidRPr="009A59E7">
        <w:trPr>
          <w:cantSplit/>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B9645B" w:rsidRDefault="00B15625" w:rsidP="00B9645B">
            <w:pPr>
              <w:pStyle w:val="CommentText"/>
              <w:spacing w:before="60" w:after="60"/>
              <w:jc w:val="left"/>
              <w:rPr>
                <w:sz w:val="20"/>
                <w:lang w:val="en-AU"/>
              </w:rPr>
            </w:pPr>
            <w:r w:rsidRPr="00B9645B">
              <w:rPr>
                <w:sz w:val="20"/>
                <w:lang w:val="en-AU"/>
              </w:rPr>
              <w:t>Discontinued due to adverse event</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3%</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3%</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5%</w:t>
            </w:r>
          </w:p>
        </w:tc>
      </w:tr>
      <w:tr w:rsidR="00B15625" w:rsidRPr="009A59E7">
        <w:trPr>
          <w:cantSplit/>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B9645B" w:rsidRDefault="00B15625" w:rsidP="00B9645B">
            <w:pPr>
              <w:pStyle w:val="CommentText"/>
              <w:spacing w:before="60" w:after="60"/>
              <w:jc w:val="left"/>
              <w:rPr>
                <w:sz w:val="20"/>
                <w:lang w:val="en-AU"/>
              </w:rPr>
            </w:pPr>
            <w:r w:rsidRPr="00B9645B">
              <w:rPr>
                <w:sz w:val="20"/>
                <w:lang w:val="en-AU"/>
              </w:rPr>
              <w:t>Discontinued for other reasons</w:t>
            </w:r>
            <w:r w:rsidRPr="00B9645B">
              <w:rPr>
                <w:sz w:val="20"/>
                <w:vertAlign w:val="superscript"/>
                <w:lang w:val="en-AU"/>
              </w:rPr>
              <w:t>3</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3%</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3%</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B15625" w:rsidRPr="009A59E7" w:rsidRDefault="00B15625">
            <w:pPr>
              <w:spacing w:before="60" w:after="60"/>
              <w:jc w:val="center"/>
              <w:rPr>
                <w:rFonts w:ascii="Times New Roman" w:hAnsi="Times New Roman"/>
              </w:rPr>
            </w:pPr>
            <w:r w:rsidRPr="009A59E7">
              <w:rPr>
                <w:rFonts w:ascii="Times New Roman" w:hAnsi="Times New Roman"/>
              </w:rPr>
              <w:t>1%</w:t>
            </w:r>
          </w:p>
        </w:tc>
      </w:tr>
    </w:tbl>
    <w:p w:rsidR="00B15625" w:rsidRPr="009A59E7" w:rsidRDefault="00B15625" w:rsidP="00FA25FA">
      <w:pPr>
        <w:numPr>
          <w:ilvl w:val="0"/>
          <w:numId w:val="7"/>
        </w:numPr>
        <w:tabs>
          <w:tab w:val="num" w:pos="360"/>
        </w:tabs>
        <w:spacing w:before="60"/>
        <w:ind w:left="360" w:hanging="360"/>
        <w:rPr>
          <w:rFonts w:ascii="Times New Roman" w:hAnsi="Times New Roman"/>
          <w:sz w:val="18"/>
          <w:vertAlign w:val="superscript"/>
        </w:rPr>
      </w:pPr>
      <w:r w:rsidRPr="009A59E7">
        <w:rPr>
          <w:rFonts w:ascii="Times New Roman" w:hAnsi="Times New Roman"/>
          <w:sz w:val="18"/>
        </w:rPr>
        <w:t>Patients with HIV-1 RNA &lt;400 copies/mL and no prior study drug discontinuation</w:t>
      </w:r>
      <w:r w:rsidRPr="009A59E7">
        <w:rPr>
          <w:rFonts w:ascii="Times New Roman" w:hAnsi="Times New Roman"/>
          <w:sz w:val="18"/>
          <w:vertAlign w:val="superscript"/>
        </w:rPr>
        <w:t xml:space="preserve"> </w:t>
      </w:r>
      <w:r w:rsidRPr="009A59E7">
        <w:rPr>
          <w:rFonts w:ascii="Times New Roman" w:hAnsi="Times New Roman"/>
          <w:sz w:val="18"/>
        </w:rPr>
        <w:t>at Week 24 and 48 respectively.</w:t>
      </w:r>
    </w:p>
    <w:p w:rsidR="00B15625" w:rsidRPr="009A59E7" w:rsidRDefault="00B15625" w:rsidP="00FA25FA">
      <w:pPr>
        <w:numPr>
          <w:ilvl w:val="0"/>
          <w:numId w:val="7"/>
        </w:numPr>
        <w:tabs>
          <w:tab w:val="left" w:pos="360"/>
        </w:tabs>
        <w:ind w:left="360" w:hanging="360"/>
        <w:rPr>
          <w:rFonts w:ascii="Times New Roman" w:hAnsi="Times New Roman"/>
          <w:sz w:val="18"/>
        </w:rPr>
      </w:pPr>
      <w:r w:rsidRPr="009A59E7">
        <w:rPr>
          <w:rFonts w:ascii="Times New Roman" w:hAnsi="Times New Roman"/>
          <w:sz w:val="18"/>
        </w:rPr>
        <w:t>Patients with HIV-1 RNA ≥400 copies/mL efficacy failure or missing HIV –1 RNA at Week 24 and 48 respectively.</w:t>
      </w:r>
    </w:p>
    <w:p w:rsidR="00B15625" w:rsidRDefault="00B15625" w:rsidP="00FA25FA">
      <w:pPr>
        <w:numPr>
          <w:ilvl w:val="0"/>
          <w:numId w:val="7"/>
        </w:numPr>
        <w:tabs>
          <w:tab w:val="left" w:pos="360"/>
        </w:tabs>
        <w:ind w:left="357" w:hanging="357"/>
        <w:rPr>
          <w:rFonts w:ascii="Times New Roman" w:hAnsi="Times New Roman"/>
          <w:sz w:val="18"/>
        </w:rPr>
      </w:pPr>
      <w:r w:rsidRPr="009A59E7">
        <w:rPr>
          <w:rFonts w:ascii="Times New Roman" w:hAnsi="Times New Roman"/>
          <w:sz w:val="18"/>
        </w:rPr>
        <w:t xml:space="preserve">Includes lost to follow up, patient withdrawal, </w:t>
      </w:r>
      <w:r w:rsidR="00E44700" w:rsidRPr="009A59E7">
        <w:rPr>
          <w:rFonts w:ascii="Times New Roman" w:hAnsi="Times New Roman"/>
          <w:sz w:val="18"/>
        </w:rPr>
        <w:t>non-compliance</w:t>
      </w:r>
      <w:r w:rsidRPr="009A59E7">
        <w:rPr>
          <w:rFonts w:ascii="Times New Roman" w:hAnsi="Times New Roman"/>
          <w:sz w:val="18"/>
        </w:rPr>
        <w:t>, protocol violation and other reasons.</w:t>
      </w:r>
    </w:p>
    <w:p w:rsidR="00A80F6C" w:rsidRPr="00571B28" w:rsidRDefault="00A80F6C" w:rsidP="00FA25FA">
      <w:pPr>
        <w:numPr>
          <w:ilvl w:val="0"/>
          <w:numId w:val="7"/>
        </w:numPr>
        <w:tabs>
          <w:tab w:val="left" w:pos="360"/>
        </w:tabs>
        <w:ind w:right="-68"/>
        <w:rPr>
          <w:rFonts w:ascii="Times New Roman" w:hAnsi="Times New Roman"/>
          <w:sz w:val="18"/>
          <w:szCs w:val="18"/>
        </w:rPr>
      </w:pPr>
      <w:r w:rsidRPr="00571B28">
        <w:rPr>
          <w:rFonts w:ascii="Times New Roman" w:hAnsi="Times New Roman"/>
          <w:snapToGrid w:val="0"/>
          <w:sz w:val="18"/>
          <w:szCs w:val="18"/>
        </w:rPr>
        <w:t>Difference 29% p &lt; 0.001</w:t>
      </w:r>
    </w:p>
    <w:p w:rsidR="00B15625" w:rsidRPr="00015C34" w:rsidRDefault="00B15625" w:rsidP="009718F7">
      <w:pPr>
        <w:tabs>
          <w:tab w:val="left" w:pos="9000"/>
        </w:tabs>
        <w:jc w:val="both"/>
        <w:rPr>
          <w:rFonts w:ascii="Times New Roman" w:hAnsi="Times New Roman"/>
          <w:snapToGrid w:val="0"/>
          <w:sz w:val="24"/>
          <w:szCs w:val="24"/>
        </w:rPr>
      </w:pPr>
      <w:r w:rsidRPr="00015C34">
        <w:rPr>
          <w:rFonts w:ascii="Times New Roman" w:hAnsi="Times New Roman"/>
          <w:sz w:val="24"/>
          <w:szCs w:val="24"/>
        </w:rPr>
        <w:lastRenderedPageBreak/>
        <w:br/>
        <w:t xml:space="preserve">At 24 weeks of therapy, there was a higher proportion of patients in the VIREAD arm compared to the placebo arm with HIV-1 RNA &lt;50 copies/mL (19% and 1%, respectively).  </w:t>
      </w:r>
      <w:r w:rsidRPr="00015C34">
        <w:rPr>
          <w:rFonts w:ascii="Times New Roman" w:hAnsi="Times New Roman"/>
          <w:snapToGrid w:val="0"/>
          <w:sz w:val="24"/>
          <w:szCs w:val="24"/>
        </w:rPr>
        <w:t>Mean change in absolute CD4 counts by week 24 was +11 cells/mm</w:t>
      </w:r>
      <w:r w:rsidRPr="00015C34">
        <w:rPr>
          <w:rFonts w:ascii="Times New Roman" w:hAnsi="Times New Roman"/>
          <w:snapToGrid w:val="0"/>
          <w:sz w:val="24"/>
          <w:szCs w:val="24"/>
          <w:vertAlign w:val="superscript"/>
        </w:rPr>
        <w:t>3</w:t>
      </w:r>
      <w:r w:rsidRPr="00015C34">
        <w:rPr>
          <w:rFonts w:ascii="Times New Roman" w:hAnsi="Times New Roman"/>
          <w:snapToGrid w:val="0"/>
          <w:sz w:val="24"/>
          <w:szCs w:val="24"/>
        </w:rPr>
        <w:t xml:space="preserve"> for the VIREAD group and -5 cells/mm</w:t>
      </w:r>
      <w:r w:rsidRPr="00015C34">
        <w:rPr>
          <w:rFonts w:ascii="Times New Roman" w:hAnsi="Times New Roman"/>
          <w:snapToGrid w:val="0"/>
          <w:sz w:val="24"/>
          <w:szCs w:val="24"/>
          <w:vertAlign w:val="superscript"/>
        </w:rPr>
        <w:t>3</w:t>
      </w:r>
      <w:r w:rsidRPr="00015C34">
        <w:rPr>
          <w:rFonts w:ascii="Times New Roman" w:hAnsi="Times New Roman"/>
          <w:snapToGrid w:val="0"/>
          <w:sz w:val="24"/>
          <w:szCs w:val="24"/>
        </w:rPr>
        <w:t xml:space="preserve"> for the placebo group.  Mean change in absolute CD4 counts by week 48 was +4 cells/mm</w:t>
      </w:r>
      <w:r w:rsidRPr="00015C34">
        <w:rPr>
          <w:rFonts w:ascii="Times New Roman" w:hAnsi="Times New Roman"/>
          <w:snapToGrid w:val="0"/>
          <w:sz w:val="24"/>
          <w:szCs w:val="24"/>
          <w:vertAlign w:val="superscript"/>
        </w:rPr>
        <w:t>3</w:t>
      </w:r>
      <w:r w:rsidRPr="00015C34">
        <w:rPr>
          <w:rFonts w:ascii="Times New Roman" w:hAnsi="Times New Roman"/>
          <w:snapToGrid w:val="0"/>
          <w:sz w:val="24"/>
          <w:szCs w:val="24"/>
        </w:rPr>
        <w:t xml:space="preserve"> for the VIREAD group.</w:t>
      </w:r>
    </w:p>
    <w:p w:rsidR="004841F0" w:rsidRDefault="004841F0" w:rsidP="004841F0">
      <w:pPr>
        <w:jc w:val="both"/>
        <w:rPr>
          <w:rFonts w:ascii="Times New Roman" w:hAnsi="Times New Roman"/>
          <w:b/>
          <w:i/>
          <w:snapToGrid w:val="0"/>
          <w:sz w:val="24"/>
          <w:szCs w:val="24"/>
        </w:rPr>
      </w:pPr>
    </w:p>
    <w:p w:rsidR="004841F0" w:rsidRDefault="004841F0" w:rsidP="004841F0">
      <w:pPr>
        <w:jc w:val="both"/>
        <w:rPr>
          <w:rFonts w:ascii="Times New Roman" w:hAnsi="Times New Roman"/>
          <w:b/>
          <w:i/>
          <w:snapToGrid w:val="0"/>
          <w:sz w:val="24"/>
          <w:szCs w:val="24"/>
        </w:rPr>
      </w:pPr>
      <w:r>
        <w:rPr>
          <w:rFonts w:ascii="Times New Roman" w:hAnsi="Times New Roman"/>
          <w:b/>
          <w:i/>
          <w:snapToGrid w:val="0"/>
          <w:sz w:val="24"/>
          <w:szCs w:val="24"/>
        </w:rPr>
        <w:t>Treatment-Experienced Paediatric Patients 12 Years of Age and Older</w:t>
      </w:r>
    </w:p>
    <w:p w:rsidR="004841F0" w:rsidRDefault="004841F0" w:rsidP="004841F0">
      <w:pPr>
        <w:jc w:val="both"/>
        <w:rPr>
          <w:rFonts w:ascii="Times New Roman" w:hAnsi="Times New Roman"/>
          <w:snapToGrid w:val="0"/>
          <w:sz w:val="24"/>
          <w:szCs w:val="24"/>
        </w:rPr>
      </w:pPr>
      <w:r>
        <w:rPr>
          <w:rFonts w:ascii="Times New Roman" w:hAnsi="Times New Roman"/>
          <w:snapToGrid w:val="0"/>
          <w:sz w:val="24"/>
          <w:szCs w:val="24"/>
        </w:rPr>
        <w:t>In study GS-US-104-0321 (study 321), 87 treatment-experienced patients 12 to &lt;18 years of age were treated with VIREAD (n=45) or placebo (n=42) in combination with an optimized background regimen (OBR) for 48 weeks.  The mean baseline CD4 cell count was 374 cells/mm</w:t>
      </w:r>
      <w:r w:rsidRPr="00923DBD">
        <w:rPr>
          <w:rFonts w:ascii="Times New Roman" w:hAnsi="Times New Roman"/>
          <w:snapToGrid w:val="0"/>
          <w:sz w:val="24"/>
          <w:szCs w:val="24"/>
          <w:vertAlign w:val="superscript"/>
        </w:rPr>
        <w:t>3</w:t>
      </w:r>
      <w:r>
        <w:rPr>
          <w:rFonts w:ascii="Times New Roman" w:hAnsi="Times New Roman"/>
          <w:snapToGrid w:val="0"/>
          <w:sz w:val="24"/>
          <w:szCs w:val="24"/>
        </w:rPr>
        <w:t xml:space="preserve"> and the mean baseline plasma HIV-1 RNA was 4.6 log</w:t>
      </w:r>
      <w:r w:rsidRPr="00923DBD">
        <w:rPr>
          <w:rFonts w:ascii="Times New Roman" w:hAnsi="Times New Roman"/>
          <w:snapToGrid w:val="0"/>
          <w:sz w:val="24"/>
          <w:szCs w:val="24"/>
          <w:vertAlign w:val="subscript"/>
        </w:rPr>
        <w:t>10</w:t>
      </w:r>
      <w:r>
        <w:rPr>
          <w:rFonts w:ascii="Times New Roman" w:hAnsi="Times New Roman"/>
          <w:snapToGrid w:val="0"/>
          <w:sz w:val="24"/>
          <w:szCs w:val="24"/>
        </w:rPr>
        <w:t xml:space="preserve"> copies/mL.  The median DAVG</w:t>
      </w:r>
      <w:r w:rsidRPr="00923DBD">
        <w:rPr>
          <w:rFonts w:ascii="Times New Roman" w:hAnsi="Times New Roman"/>
          <w:snapToGrid w:val="0"/>
          <w:sz w:val="24"/>
          <w:szCs w:val="24"/>
          <w:vertAlign w:val="subscript"/>
        </w:rPr>
        <w:t>24</w:t>
      </w:r>
      <w:r>
        <w:rPr>
          <w:rFonts w:ascii="Times New Roman" w:hAnsi="Times New Roman"/>
          <w:snapToGrid w:val="0"/>
          <w:sz w:val="24"/>
          <w:szCs w:val="24"/>
        </w:rPr>
        <w:t xml:space="preserve"> and DAVG</w:t>
      </w:r>
      <w:r w:rsidRPr="00923DBD">
        <w:rPr>
          <w:rFonts w:ascii="Times New Roman" w:hAnsi="Times New Roman"/>
          <w:snapToGrid w:val="0"/>
          <w:sz w:val="24"/>
          <w:szCs w:val="24"/>
          <w:vertAlign w:val="subscript"/>
        </w:rPr>
        <w:t>4</w:t>
      </w:r>
      <w:r>
        <w:rPr>
          <w:rFonts w:ascii="Times New Roman" w:hAnsi="Times New Roman"/>
          <w:snapToGrid w:val="0"/>
          <w:sz w:val="24"/>
          <w:szCs w:val="24"/>
          <w:vertAlign w:val="subscript"/>
        </w:rPr>
        <w:t>8</w:t>
      </w:r>
      <w:r>
        <w:rPr>
          <w:rFonts w:ascii="Times New Roman" w:hAnsi="Times New Roman"/>
          <w:snapToGrid w:val="0"/>
          <w:sz w:val="24"/>
          <w:szCs w:val="24"/>
        </w:rPr>
        <w:t xml:space="preserve"> in plasma HIV-1 RNA were -1.58 and -1.42 log</w:t>
      </w:r>
      <w:r w:rsidRPr="00923DBD">
        <w:rPr>
          <w:rFonts w:ascii="Times New Roman" w:hAnsi="Times New Roman"/>
          <w:snapToGrid w:val="0"/>
          <w:sz w:val="24"/>
          <w:szCs w:val="24"/>
          <w:vertAlign w:val="subscript"/>
        </w:rPr>
        <w:t>10</w:t>
      </w:r>
      <w:r>
        <w:rPr>
          <w:rFonts w:ascii="Times New Roman" w:hAnsi="Times New Roman"/>
          <w:snapToGrid w:val="0"/>
          <w:sz w:val="24"/>
          <w:szCs w:val="24"/>
        </w:rPr>
        <w:t xml:space="preserve"> copies/mL for the VIREAD treatment group compared to -1.55 and -1.35 log</w:t>
      </w:r>
      <w:r w:rsidRPr="00923DBD">
        <w:rPr>
          <w:rFonts w:ascii="Times New Roman" w:hAnsi="Times New Roman"/>
          <w:snapToGrid w:val="0"/>
          <w:sz w:val="24"/>
          <w:szCs w:val="24"/>
          <w:vertAlign w:val="subscript"/>
        </w:rPr>
        <w:t>10</w:t>
      </w:r>
      <w:r>
        <w:rPr>
          <w:rFonts w:ascii="Times New Roman" w:hAnsi="Times New Roman"/>
          <w:snapToGrid w:val="0"/>
          <w:sz w:val="24"/>
          <w:szCs w:val="24"/>
        </w:rPr>
        <w:t xml:space="preserve"> copies/mL for the placebo group at weeks 24 and 48, respectively.  </w:t>
      </w:r>
      <w:r w:rsidR="00806979">
        <w:rPr>
          <w:rFonts w:ascii="Times New Roman" w:hAnsi="Times New Roman"/>
          <w:snapToGrid w:val="0"/>
          <w:sz w:val="24"/>
          <w:szCs w:val="24"/>
        </w:rPr>
        <w:t>Overall, the trial failed to show a difference in virologic response between the two treatment groups.  Subgroup analyses suggest t</w:t>
      </w:r>
      <w:r>
        <w:rPr>
          <w:rFonts w:ascii="Times New Roman" w:hAnsi="Times New Roman"/>
          <w:snapToGrid w:val="0"/>
          <w:sz w:val="24"/>
          <w:szCs w:val="24"/>
        </w:rPr>
        <w:t xml:space="preserve">he lack of difference in virological response </w:t>
      </w:r>
      <w:r w:rsidR="00806979">
        <w:rPr>
          <w:rFonts w:ascii="Times New Roman" w:hAnsi="Times New Roman"/>
          <w:snapToGrid w:val="0"/>
          <w:sz w:val="24"/>
          <w:szCs w:val="24"/>
        </w:rPr>
        <w:t xml:space="preserve">may be </w:t>
      </w:r>
      <w:r>
        <w:rPr>
          <w:rFonts w:ascii="Times New Roman" w:hAnsi="Times New Roman"/>
          <w:snapToGrid w:val="0"/>
          <w:sz w:val="24"/>
          <w:szCs w:val="24"/>
        </w:rPr>
        <w:t xml:space="preserve">attributable to </w:t>
      </w:r>
      <w:r w:rsidR="00806979">
        <w:rPr>
          <w:rFonts w:ascii="Times New Roman" w:hAnsi="Times New Roman"/>
          <w:snapToGrid w:val="0"/>
          <w:sz w:val="24"/>
          <w:szCs w:val="24"/>
        </w:rPr>
        <w:t xml:space="preserve">imbalances between treatment arms in baseline viral susceptibility to VIREAD and </w:t>
      </w:r>
      <w:r>
        <w:rPr>
          <w:rFonts w:ascii="Times New Roman" w:hAnsi="Times New Roman"/>
          <w:snapToGrid w:val="0"/>
          <w:sz w:val="24"/>
          <w:szCs w:val="24"/>
        </w:rPr>
        <w:t>OBR</w:t>
      </w:r>
      <w:r w:rsidR="00806979">
        <w:rPr>
          <w:rFonts w:ascii="Times New Roman" w:hAnsi="Times New Roman"/>
          <w:snapToGrid w:val="0"/>
          <w:sz w:val="24"/>
          <w:szCs w:val="24"/>
        </w:rPr>
        <w:t>.</w:t>
      </w:r>
      <w:r>
        <w:rPr>
          <w:rFonts w:ascii="Times New Roman" w:hAnsi="Times New Roman"/>
          <w:snapToGrid w:val="0"/>
          <w:sz w:val="24"/>
          <w:szCs w:val="24"/>
        </w:rPr>
        <w:t xml:space="preserve"> In patients with partially active or non-active OBR (genotypic sensitivity score ≤ 1), the addition of VIREAD or placebo resulted in a median DAVG</w:t>
      </w:r>
      <w:r w:rsidRPr="00923DBD">
        <w:rPr>
          <w:rFonts w:ascii="Times New Roman" w:hAnsi="Times New Roman"/>
          <w:snapToGrid w:val="0"/>
          <w:sz w:val="24"/>
          <w:szCs w:val="24"/>
          <w:vertAlign w:val="subscript"/>
        </w:rPr>
        <w:t>24</w:t>
      </w:r>
      <w:r>
        <w:rPr>
          <w:rFonts w:ascii="Times New Roman" w:hAnsi="Times New Roman"/>
          <w:snapToGrid w:val="0"/>
          <w:sz w:val="24"/>
          <w:szCs w:val="24"/>
        </w:rPr>
        <w:t xml:space="preserve"> in plasma HIV RNA of -1.66 and -1.14 log</w:t>
      </w:r>
      <w:r w:rsidRPr="00923DBD">
        <w:rPr>
          <w:rFonts w:ascii="Times New Roman" w:hAnsi="Times New Roman"/>
          <w:snapToGrid w:val="0"/>
          <w:sz w:val="24"/>
          <w:szCs w:val="24"/>
          <w:vertAlign w:val="subscript"/>
        </w:rPr>
        <w:t>10</w:t>
      </w:r>
      <w:r>
        <w:rPr>
          <w:rFonts w:ascii="Times New Roman" w:hAnsi="Times New Roman"/>
          <w:snapToGrid w:val="0"/>
          <w:sz w:val="24"/>
          <w:szCs w:val="24"/>
        </w:rPr>
        <w:t xml:space="preserve"> copies/mL, respectively.</w:t>
      </w:r>
      <w:r w:rsidR="00806979">
        <w:rPr>
          <w:rFonts w:ascii="Times New Roman" w:hAnsi="Times New Roman"/>
          <w:snapToGrid w:val="0"/>
          <w:sz w:val="24"/>
          <w:szCs w:val="24"/>
        </w:rPr>
        <w:t xml:space="preserve">  Although changes in HIV-1 RNA in these highly treatment experienced patients were less than anticipated, the comparability of the pharmacokinetic and safety data to that observed in adults supports the use of VIREAD in paediatric patients ≥ 12 years of age who weigh ≥ 35 kg whose HIV-1 isolate is expected to be sensitive to VIREAD.</w:t>
      </w:r>
    </w:p>
    <w:p w:rsidR="004841F0" w:rsidRDefault="004841F0" w:rsidP="004841F0">
      <w:pPr>
        <w:jc w:val="both"/>
        <w:rPr>
          <w:rFonts w:ascii="Times New Roman" w:hAnsi="Times New Roman"/>
          <w:snapToGrid w:val="0"/>
          <w:sz w:val="24"/>
          <w:szCs w:val="24"/>
        </w:rPr>
      </w:pPr>
    </w:p>
    <w:p w:rsidR="004841F0" w:rsidRDefault="004841F0" w:rsidP="004841F0">
      <w:pPr>
        <w:jc w:val="both"/>
        <w:rPr>
          <w:rFonts w:ascii="Times New Roman" w:hAnsi="Times New Roman"/>
          <w:snapToGrid w:val="0"/>
          <w:sz w:val="24"/>
          <w:szCs w:val="24"/>
        </w:rPr>
      </w:pPr>
      <w:r>
        <w:rPr>
          <w:rFonts w:ascii="Times New Roman" w:hAnsi="Times New Roman"/>
          <w:snapToGrid w:val="0"/>
          <w:sz w:val="24"/>
          <w:szCs w:val="24"/>
        </w:rPr>
        <w:t>HIV-1 isolates from 43 patients who had plasma HIV-1 RNA ≥ 400 copies/mL were evaluated for tenofovir resistance-associated substitutions.  One patient developed the K65R substitution by week 48.</w:t>
      </w:r>
    </w:p>
    <w:p w:rsidR="00F364DB" w:rsidRPr="00015C34" w:rsidRDefault="00F364DB" w:rsidP="009718F7">
      <w:pPr>
        <w:jc w:val="both"/>
        <w:rPr>
          <w:rFonts w:ascii="Times New Roman" w:hAnsi="Times New Roman"/>
          <w:snapToGrid w:val="0"/>
          <w:sz w:val="24"/>
          <w:szCs w:val="24"/>
        </w:rPr>
      </w:pPr>
    </w:p>
    <w:p w:rsidR="00B15625" w:rsidRPr="00015C34" w:rsidRDefault="00B15625" w:rsidP="009718F7">
      <w:pPr>
        <w:pStyle w:val="BodyText3"/>
        <w:tabs>
          <w:tab w:val="left" w:pos="9000"/>
        </w:tabs>
        <w:rPr>
          <w:snapToGrid w:val="0"/>
          <w:sz w:val="24"/>
          <w:szCs w:val="24"/>
          <w:lang w:val="en-AU"/>
        </w:rPr>
      </w:pPr>
      <w:r w:rsidRPr="00015C34">
        <w:rPr>
          <w:snapToGrid w:val="0"/>
          <w:sz w:val="24"/>
          <w:szCs w:val="24"/>
          <w:lang w:val="en-AU"/>
        </w:rPr>
        <w:t xml:space="preserve">Treatment-Naïve </w:t>
      </w:r>
      <w:r w:rsidR="004841F0">
        <w:rPr>
          <w:snapToGrid w:val="0"/>
          <w:sz w:val="24"/>
          <w:szCs w:val="24"/>
          <w:lang w:val="en-AU"/>
        </w:rPr>
        <w:t xml:space="preserve">Adult </w:t>
      </w:r>
      <w:r w:rsidRPr="00015C34">
        <w:rPr>
          <w:snapToGrid w:val="0"/>
          <w:sz w:val="24"/>
          <w:szCs w:val="24"/>
          <w:lang w:val="en-AU"/>
        </w:rPr>
        <w:t>Patients</w:t>
      </w:r>
    </w:p>
    <w:p w:rsidR="009718F7" w:rsidRPr="00015C34" w:rsidRDefault="009718F7" w:rsidP="009718F7">
      <w:pPr>
        <w:pStyle w:val="BodyText3"/>
        <w:tabs>
          <w:tab w:val="left" w:pos="9000"/>
        </w:tabs>
        <w:rPr>
          <w:strike/>
          <w:snapToGrid w:val="0"/>
          <w:sz w:val="24"/>
          <w:szCs w:val="24"/>
          <w:lang w:val="en-AU"/>
        </w:rPr>
      </w:pPr>
    </w:p>
    <w:p w:rsidR="00B15625" w:rsidRPr="00015C34" w:rsidRDefault="00B15625" w:rsidP="009718F7">
      <w:pPr>
        <w:jc w:val="both"/>
        <w:rPr>
          <w:rFonts w:ascii="Times New Roman" w:hAnsi="Times New Roman"/>
          <w:b/>
          <w:sz w:val="24"/>
          <w:szCs w:val="24"/>
        </w:rPr>
      </w:pPr>
      <w:r w:rsidRPr="00015C34">
        <w:rPr>
          <w:rFonts w:ascii="Times New Roman" w:hAnsi="Times New Roman"/>
          <w:b/>
          <w:sz w:val="24"/>
          <w:szCs w:val="24"/>
        </w:rPr>
        <w:t xml:space="preserve">Study 903:  VIREAD + Lamivudine +Efavirenz Compared to </w:t>
      </w:r>
      <w:r w:rsidR="00975D4A" w:rsidRPr="00015C34">
        <w:rPr>
          <w:rFonts w:ascii="Times New Roman" w:hAnsi="Times New Roman"/>
          <w:b/>
          <w:sz w:val="24"/>
          <w:szCs w:val="24"/>
        </w:rPr>
        <w:t>Stavudine +</w:t>
      </w:r>
      <w:r w:rsidRPr="00015C34">
        <w:rPr>
          <w:rFonts w:ascii="Times New Roman" w:hAnsi="Times New Roman"/>
          <w:b/>
          <w:sz w:val="24"/>
          <w:szCs w:val="24"/>
        </w:rPr>
        <w:t xml:space="preserve"> Lamivudine + Efavirenz</w:t>
      </w:r>
    </w:p>
    <w:p w:rsidR="009718F7" w:rsidRPr="00015C34" w:rsidRDefault="009718F7" w:rsidP="009718F7">
      <w:pPr>
        <w:pStyle w:val="text1Char"/>
        <w:spacing w:after="0"/>
        <w:jc w:val="both"/>
        <w:rPr>
          <w:szCs w:val="24"/>
          <w:lang w:val="en-AU"/>
        </w:rPr>
      </w:pPr>
    </w:p>
    <w:p w:rsidR="00B15625" w:rsidRPr="00015C34" w:rsidRDefault="00B15625" w:rsidP="009718F7">
      <w:pPr>
        <w:pStyle w:val="text1Char"/>
        <w:spacing w:after="0"/>
        <w:jc w:val="both"/>
        <w:rPr>
          <w:szCs w:val="24"/>
          <w:lang w:val="en-AU"/>
        </w:rPr>
      </w:pPr>
      <w:r w:rsidRPr="00015C34">
        <w:rPr>
          <w:szCs w:val="24"/>
          <w:lang w:val="en-AU"/>
        </w:rPr>
        <w:t xml:space="preserve">Data through 144 weeks are reported for Study 903, a double-blind, active-controlled </w:t>
      </w:r>
      <w:r w:rsidR="00E44700" w:rsidRPr="00015C34">
        <w:rPr>
          <w:szCs w:val="24"/>
          <w:lang w:val="en-AU"/>
        </w:rPr>
        <w:t>multicentre</w:t>
      </w:r>
      <w:r w:rsidRPr="00015C34">
        <w:rPr>
          <w:szCs w:val="24"/>
          <w:lang w:val="en-AU"/>
        </w:rPr>
        <w:t xml:space="preserve"> study comparing VIREAD (300 mg </w:t>
      </w:r>
      <w:r w:rsidR="008C7B70" w:rsidRPr="00015C34">
        <w:rPr>
          <w:szCs w:val="24"/>
          <w:lang w:val="en-AU"/>
        </w:rPr>
        <w:t>once daily</w:t>
      </w:r>
      <w:r w:rsidRPr="00015C34">
        <w:rPr>
          <w:szCs w:val="24"/>
          <w:lang w:val="en-AU"/>
        </w:rPr>
        <w:t xml:space="preserve">) administered in combination with lamivudine and efavirenz versus </w:t>
      </w:r>
      <w:r w:rsidR="00084420" w:rsidRPr="00015C34">
        <w:rPr>
          <w:szCs w:val="24"/>
          <w:lang w:val="en-AU"/>
        </w:rPr>
        <w:t>d4T</w:t>
      </w:r>
      <w:r w:rsidRPr="00015C34">
        <w:rPr>
          <w:szCs w:val="24"/>
          <w:lang w:val="en-AU"/>
        </w:rPr>
        <w:t>, lamivudine, and efavirenz in 600 antiretroviral-naïve patients.  Patients had a mean age of 36 years (range 18–64), 74% were male, 64% were Caucasian and 20% were Black.  The mean baseline CD4 cell count was 279 cells/mm</w:t>
      </w:r>
      <w:r w:rsidRPr="00015C34">
        <w:rPr>
          <w:szCs w:val="24"/>
          <w:vertAlign w:val="superscript"/>
          <w:lang w:val="en-AU"/>
        </w:rPr>
        <w:t>3</w:t>
      </w:r>
      <w:r w:rsidRPr="00015C34">
        <w:rPr>
          <w:szCs w:val="24"/>
          <w:lang w:val="en-AU"/>
        </w:rPr>
        <w:t xml:space="preserve"> (range 3–956) and median baseline plasma HIV-1 RNA was 77,600 copies/mL (range 417–5,130,000).  Patients were stratified by baseline HIV-1 RNA and CD4 count.  Forty-three percent of patients had baseline viral loads &gt;100,000 copies/mL and 39% had CD4 cell counts &lt;200 cells/</w:t>
      </w:r>
      <w:r w:rsidR="00331F62" w:rsidRPr="00015C34">
        <w:rPr>
          <w:szCs w:val="24"/>
          <w:lang w:val="en-AU"/>
        </w:rPr>
        <w:t>mm</w:t>
      </w:r>
      <w:r w:rsidR="00331F62" w:rsidRPr="00015C34">
        <w:rPr>
          <w:szCs w:val="24"/>
          <w:vertAlign w:val="superscript"/>
          <w:lang w:val="en-AU"/>
        </w:rPr>
        <w:t>3</w:t>
      </w:r>
      <w:r w:rsidRPr="00015C34">
        <w:rPr>
          <w:szCs w:val="24"/>
          <w:lang w:val="en-AU"/>
        </w:rPr>
        <w:t>.  Treatment outcomes through 144 weeks are presented in Table 6 below.</w:t>
      </w:r>
    </w:p>
    <w:p w:rsidR="009718F7" w:rsidRPr="009718F7" w:rsidRDefault="009718F7" w:rsidP="009718F7">
      <w:pPr>
        <w:pStyle w:val="text1Char"/>
        <w:spacing w:after="0"/>
        <w:jc w:val="both"/>
        <w:rPr>
          <w:sz w:val="22"/>
          <w:szCs w:val="22"/>
          <w:lang w:val="en-AU"/>
        </w:rPr>
      </w:pPr>
    </w:p>
    <w:p w:rsidR="00B15625" w:rsidRDefault="00FE1EFE" w:rsidP="009718F7">
      <w:pPr>
        <w:pStyle w:val="Caption"/>
        <w:spacing w:before="0" w:after="0"/>
        <w:ind w:left="0" w:firstLine="0"/>
        <w:jc w:val="both"/>
        <w:rPr>
          <w:rFonts w:ascii="Times New Roman" w:hAnsi="Times New Roman"/>
          <w:lang w:val="en-AU"/>
        </w:rPr>
      </w:pPr>
      <w:r>
        <w:rPr>
          <w:rFonts w:ascii="Times New Roman" w:hAnsi="Times New Roman"/>
          <w:lang w:val="en-AU"/>
        </w:rPr>
        <w:br w:type="page"/>
      </w:r>
      <w:r w:rsidR="00B15625" w:rsidRPr="009A59E7">
        <w:rPr>
          <w:rFonts w:ascii="Times New Roman" w:hAnsi="Times New Roman"/>
          <w:lang w:val="en-AU"/>
        </w:rPr>
        <w:lastRenderedPageBreak/>
        <w:t>Table 6.</w:t>
      </w:r>
      <w:r w:rsidR="00B15625" w:rsidRPr="009A59E7">
        <w:rPr>
          <w:rFonts w:ascii="Times New Roman" w:hAnsi="Times New Roman"/>
          <w:lang w:val="en-AU"/>
        </w:rPr>
        <w:tab/>
        <w:t>Outcomes of Randomi</w:t>
      </w:r>
      <w:r w:rsidR="00EA1E80">
        <w:rPr>
          <w:rFonts w:ascii="Times New Roman" w:hAnsi="Times New Roman"/>
          <w:lang w:val="en-AU"/>
        </w:rPr>
        <w:t>s</w:t>
      </w:r>
      <w:r w:rsidR="00B15625" w:rsidRPr="009A59E7">
        <w:rPr>
          <w:rFonts w:ascii="Times New Roman" w:hAnsi="Times New Roman"/>
          <w:lang w:val="en-AU"/>
        </w:rPr>
        <w:t>ed Treatment (Study 903)</w:t>
      </w:r>
    </w:p>
    <w:p w:rsidR="009718F7" w:rsidRPr="009718F7" w:rsidRDefault="009718F7" w:rsidP="009718F7">
      <w:pPr>
        <w:pStyle w:val="TextTi11"/>
        <w:spacing w:after="0"/>
        <w:rPr>
          <w:lang w:val="en-AU"/>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4"/>
        <w:gridCol w:w="1350"/>
        <w:gridCol w:w="1350"/>
        <w:gridCol w:w="1350"/>
        <w:gridCol w:w="1350"/>
      </w:tblGrid>
      <w:tr w:rsidR="00571B28" w:rsidRPr="009A59E7" w:rsidTr="00571B28">
        <w:trPr>
          <w:cantSplit/>
        </w:trPr>
        <w:tc>
          <w:tcPr>
            <w:tcW w:w="3294" w:type="dxa"/>
            <w:vMerge w:val="restart"/>
            <w:tcBorders>
              <w:top w:val="single" w:sz="4" w:space="0" w:color="auto"/>
              <w:left w:val="single" w:sz="4" w:space="0" w:color="auto"/>
              <w:right w:val="single" w:sz="4" w:space="0" w:color="auto"/>
            </w:tcBorders>
            <w:shd w:val="clear" w:color="auto" w:fill="auto"/>
            <w:vAlign w:val="center"/>
          </w:tcPr>
          <w:p w:rsidR="00571B28" w:rsidRPr="009A59E7" w:rsidRDefault="00571B28" w:rsidP="00D22E3D">
            <w:pPr>
              <w:pStyle w:val="Table-Heading"/>
              <w:jc w:val="center"/>
              <w:rPr>
                <w:lang w:val="en-AU"/>
              </w:rPr>
            </w:pPr>
            <w:r w:rsidRPr="009A59E7">
              <w:rPr>
                <w:lang w:val="en-AU"/>
              </w:rPr>
              <w:t>Outcomes</w:t>
            </w:r>
          </w:p>
        </w:tc>
        <w:tc>
          <w:tcPr>
            <w:tcW w:w="2700" w:type="dxa"/>
            <w:gridSpan w:val="2"/>
            <w:tcBorders>
              <w:top w:val="single" w:sz="4" w:space="0" w:color="auto"/>
              <w:left w:val="nil"/>
              <w:bottom w:val="single" w:sz="4" w:space="0" w:color="auto"/>
              <w:right w:val="single" w:sz="4" w:space="0" w:color="auto"/>
            </w:tcBorders>
            <w:shd w:val="clear" w:color="auto" w:fill="auto"/>
            <w:vAlign w:val="bottom"/>
          </w:tcPr>
          <w:p w:rsidR="00571B28" w:rsidRPr="009A59E7" w:rsidRDefault="00571B28">
            <w:pPr>
              <w:pStyle w:val="Table-Heading"/>
              <w:spacing w:before="60"/>
              <w:jc w:val="center"/>
              <w:rPr>
                <w:lang w:val="en-AU"/>
              </w:rPr>
            </w:pPr>
            <w:r w:rsidRPr="009A59E7">
              <w:rPr>
                <w:lang w:val="en-AU"/>
              </w:rPr>
              <w:t>At Week 48</w:t>
            </w:r>
          </w:p>
        </w:tc>
        <w:tc>
          <w:tcPr>
            <w:tcW w:w="2700" w:type="dxa"/>
            <w:gridSpan w:val="2"/>
            <w:tcBorders>
              <w:top w:val="single" w:sz="4" w:space="0" w:color="auto"/>
              <w:left w:val="single" w:sz="4" w:space="0" w:color="auto"/>
              <w:bottom w:val="single" w:sz="6" w:space="0" w:color="auto"/>
              <w:right w:val="single" w:sz="4" w:space="0" w:color="auto"/>
            </w:tcBorders>
            <w:shd w:val="clear" w:color="auto" w:fill="auto"/>
          </w:tcPr>
          <w:p w:rsidR="00571B28" w:rsidRPr="009A59E7" w:rsidRDefault="00571B28">
            <w:pPr>
              <w:pStyle w:val="Table-Heading"/>
              <w:spacing w:before="60"/>
              <w:jc w:val="center"/>
              <w:rPr>
                <w:lang w:val="en-AU"/>
              </w:rPr>
            </w:pPr>
            <w:r w:rsidRPr="009A59E7">
              <w:rPr>
                <w:lang w:val="en-AU"/>
              </w:rPr>
              <w:t>At Week 144</w:t>
            </w:r>
          </w:p>
        </w:tc>
      </w:tr>
      <w:tr w:rsidR="00571B28" w:rsidRPr="009A59E7" w:rsidTr="00571B28">
        <w:trPr>
          <w:cantSplit/>
        </w:trPr>
        <w:tc>
          <w:tcPr>
            <w:tcW w:w="3294" w:type="dxa"/>
            <w:vMerge/>
            <w:tcBorders>
              <w:left w:val="single" w:sz="4" w:space="0" w:color="auto"/>
              <w:right w:val="single" w:sz="4" w:space="0" w:color="auto"/>
            </w:tcBorders>
            <w:shd w:val="clear" w:color="auto" w:fill="auto"/>
            <w:vAlign w:val="center"/>
          </w:tcPr>
          <w:p w:rsidR="00571B28" w:rsidRPr="009A59E7" w:rsidRDefault="00571B28">
            <w:pPr>
              <w:pStyle w:val="Table-Heading"/>
              <w:jc w:val="center"/>
              <w:rPr>
                <w:lang w:val="en-AU"/>
              </w:rPr>
            </w:pPr>
          </w:p>
        </w:tc>
        <w:tc>
          <w:tcPr>
            <w:tcW w:w="1350" w:type="dxa"/>
            <w:tcBorders>
              <w:top w:val="single" w:sz="4" w:space="0" w:color="auto"/>
              <w:left w:val="nil"/>
              <w:bottom w:val="single" w:sz="6" w:space="0" w:color="auto"/>
              <w:right w:val="nil"/>
            </w:tcBorders>
            <w:shd w:val="clear" w:color="auto" w:fill="auto"/>
            <w:vAlign w:val="bottom"/>
          </w:tcPr>
          <w:p w:rsidR="00571B28" w:rsidRPr="009A59E7" w:rsidRDefault="00571B28">
            <w:pPr>
              <w:pStyle w:val="Table-Heading"/>
              <w:spacing w:before="60" w:after="60"/>
              <w:jc w:val="center"/>
              <w:rPr>
                <w:lang w:val="en-AU"/>
              </w:rPr>
            </w:pPr>
            <w:r w:rsidRPr="009A59E7">
              <w:rPr>
                <w:lang w:val="en-AU"/>
              </w:rPr>
              <w:t>VIREAD+</w:t>
            </w:r>
            <w:r w:rsidRPr="009A59E7">
              <w:rPr>
                <w:lang w:val="en-AU"/>
              </w:rPr>
              <w:br/>
              <w:t>3TC+EFV</w:t>
            </w:r>
            <w:r w:rsidRPr="009A59E7">
              <w:rPr>
                <w:lang w:val="en-AU"/>
              </w:rPr>
              <w:br/>
              <w:t>(N=299)</w:t>
            </w:r>
          </w:p>
        </w:tc>
        <w:tc>
          <w:tcPr>
            <w:tcW w:w="1350" w:type="dxa"/>
            <w:tcBorders>
              <w:top w:val="single" w:sz="4" w:space="0" w:color="auto"/>
              <w:left w:val="single" w:sz="4" w:space="0" w:color="auto"/>
              <w:bottom w:val="single" w:sz="6" w:space="0" w:color="auto"/>
              <w:right w:val="single" w:sz="4" w:space="0" w:color="auto"/>
            </w:tcBorders>
            <w:shd w:val="clear" w:color="auto" w:fill="auto"/>
          </w:tcPr>
          <w:p w:rsidR="00571B28" w:rsidRPr="009A59E7" w:rsidRDefault="00571B28">
            <w:pPr>
              <w:pStyle w:val="Table-Heading"/>
              <w:spacing w:before="60"/>
              <w:jc w:val="center"/>
              <w:rPr>
                <w:lang w:val="en-AU"/>
              </w:rPr>
            </w:pPr>
            <w:r>
              <w:rPr>
                <w:lang w:val="en-AU"/>
              </w:rPr>
              <w:t xml:space="preserve">d4T </w:t>
            </w:r>
            <w:r w:rsidRPr="009A59E7">
              <w:rPr>
                <w:lang w:val="en-AU"/>
              </w:rPr>
              <w:t>+3TC+EFV</w:t>
            </w:r>
            <w:r w:rsidRPr="009A59E7">
              <w:rPr>
                <w:lang w:val="en-AU"/>
              </w:rPr>
              <w:br/>
              <w:t>(N=301)</w:t>
            </w:r>
          </w:p>
        </w:tc>
        <w:tc>
          <w:tcPr>
            <w:tcW w:w="1350" w:type="dxa"/>
            <w:tcBorders>
              <w:top w:val="single" w:sz="4" w:space="0" w:color="auto"/>
              <w:left w:val="single" w:sz="4" w:space="0" w:color="auto"/>
              <w:bottom w:val="single" w:sz="6" w:space="0" w:color="auto"/>
              <w:right w:val="single" w:sz="4" w:space="0" w:color="auto"/>
            </w:tcBorders>
            <w:shd w:val="clear" w:color="auto" w:fill="auto"/>
            <w:vAlign w:val="bottom"/>
          </w:tcPr>
          <w:p w:rsidR="00571B28" w:rsidRPr="009A59E7" w:rsidRDefault="00571B28">
            <w:pPr>
              <w:pStyle w:val="Table-Heading"/>
              <w:spacing w:before="60"/>
              <w:jc w:val="center"/>
              <w:rPr>
                <w:lang w:val="en-AU"/>
              </w:rPr>
            </w:pPr>
            <w:r w:rsidRPr="009A59E7">
              <w:rPr>
                <w:lang w:val="en-AU"/>
              </w:rPr>
              <w:t>VIREAD+</w:t>
            </w:r>
            <w:r w:rsidRPr="009A59E7">
              <w:rPr>
                <w:lang w:val="en-AU"/>
              </w:rPr>
              <w:br/>
              <w:t>3TC+EFV</w:t>
            </w:r>
            <w:r w:rsidRPr="009A59E7">
              <w:rPr>
                <w:lang w:val="en-AU"/>
              </w:rPr>
              <w:br/>
              <w:t>(N=299)</w:t>
            </w:r>
          </w:p>
        </w:tc>
        <w:tc>
          <w:tcPr>
            <w:tcW w:w="1350" w:type="dxa"/>
            <w:tcBorders>
              <w:top w:val="single" w:sz="4" w:space="0" w:color="auto"/>
              <w:left w:val="single" w:sz="4" w:space="0" w:color="auto"/>
              <w:bottom w:val="single" w:sz="6" w:space="0" w:color="auto"/>
              <w:right w:val="single" w:sz="4" w:space="0" w:color="auto"/>
            </w:tcBorders>
            <w:shd w:val="clear" w:color="auto" w:fill="auto"/>
          </w:tcPr>
          <w:p w:rsidR="00571B28" w:rsidRPr="009A59E7" w:rsidRDefault="00571B28">
            <w:pPr>
              <w:pStyle w:val="Table-Heading"/>
              <w:spacing w:before="60"/>
              <w:jc w:val="center"/>
              <w:rPr>
                <w:lang w:val="en-AU"/>
              </w:rPr>
            </w:pPr>
            <w:r>
              <w:rPr>
                <w:lang w:val="en-AU"/>
              </w:rPr>
              <w:t xml:space="preserve">d4T </w:t>
            </w:r>
            <w:r w:rsidRPr="009A59E7">
              <w:rPr>
                <w:lang w:val="en-AU"/>
              </w:rPr>
              <w:t>+3TC+EFV</w:t>
            </w:r>
            <w:r w:rsidRPr="009A59E7">
              <w:rPr>
                <w:lang w:val="en-AU"/>
              </w:rPr>
              <w:br/>
              <w:t>(N=301)</w:t>
            </w:r>
          </w:p>
        </w:tc>
      </w:tr>
      <w:tr w:rsidR="00571B28" w:rsidRPr="009A59E7" w:rsidTr="00571B28">
        <w:trPr>
          <w:cantSplit/>
        </w:trPr>
        <w:tc>
          <w:tcPr>
            <w:tcW w:w="3294" w:type="dxa"/>
            <w:vMerge/>
            <w:tcBorders>
              <w:left w:val="single" w:sz="4" w:space="0" w:color="auto"/>
              <w:bottom w:val="single" w:sz="4" w:space="0" w:color="auto"/>
              <w:right w:val="single" w:sz="4" w:space="0" w:color="auto"/>
            </w:tcBorders>
            <w:shd w:val="clear" w:color="auto" w:fill="auto"/>
            <w:vAlign w:val="center"/>
          </w:tcPr>
          <w:p w:rsidR="00571B28" w:rsidRPr="009A59E7" w:rsidRDefault="00571B28">
            <w:pPr>
              <w:rPr>
                <w:rFonts w:ascii="Times New Roman" w:hAnsi="Times New Roman"/>
                <w:b/>
              </w:rPr>
            </w:pPr>
          </w:p>
        </w:tc>
        <w:tc>
          <w:tcPr>
            <w:tcW w:w="1350" w:type="dxa"/>
            <w:tcBorders>
              <w:top w:val="single" w:sz="6" w:space="0" w:color="auto"/>
              <w:left w:val="nil"/>
              <w:bottom w:val="single" w:sz="4" w:space="0" w:color="auto"/>
              <w:right w:val="nil"/>
            </w:tcBorders>
            <w:shd w:val="clear" w:color="auto" w:fill="auto"/>
          </w:tcPr>
          <w:p w:rsidR="00571B28" w:rsidRPr="009A59E7" w:rsidRDefault="00571B28">
            <w:pPr>
              <w:pStyle w:val="Table-Heading"/>
              <w:spacing w:before="60" w:after="60"/>
              <w:jc w:val="center"/>
              <w:rPr>
                <w:lang w:val="en-AU"/>
              </w:rPr>
            </w:pPr>
            <w:r w:rsidRPr="009A59E7">
              <w:rPr>
                <w:lang w:val="en-AU"/>
              </w:rPr>
              <w:t>%</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571B28" w:rsidRPr="009A59E7" w:rsidRDefault="00571B28">
            <w:pPr>
              <w:pStyle w:val="Table-Heading"/>
              <w:spacing w:before="60" w:after="60"/>
              <w:jc w:val="center"/>
              <w:rPr>
                <w:lang w:val="en-AU"/>
              </w:rPr>
            </w:pPr>
            <w:r w:rsidRPr="009A59E7">
              <w:rPr>
                <w:lang w:val="en-AU"/>
              </w:rPr>
              <w:t>%</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571B28" w:rsidRPr="009A59E7" w:rsidRDefault="00571B28">
            <w:pPr>
              <w:pStyle w:val="Table-Heading"/>
              <w:spacing w:before="60" w:after="60"/>
              <w:jc w:val="center"/>
              <w:rPr>
                <w:lang w:val="en-AU"/>
              </w:rPr>
            </w:pPr>
            <w:r w:rsidRPr="009A59E7">
              <w:rPr>
                <w:lang w:val="en-AU"/>
              </w:rPr>
              <w:t>%</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571B28" w:rsidRPr="009A59E7" w:rsidRDefault="00571B28">
            <w:pPr>
              <w:pStyle w:val="Table-Heading"/>
              <w:spacing w:before="60" w:after="60"/>
              <w:jc w:val="center"/>
              <w:rPr>
                <w:lang w:val="en-AU"/>
              </w:rPr>
            </w:pPr>
            <w:r w:rsidRPr="009A59E7">
              <w:rPr>
                <w:lang w:val="en-AU"/>
              </w:rPr>
              <w:t>%</w:t>
            </w:r>
          </w:p>
        </w:tc>
      </w:tr>
      <w:tr w:rsidR="00B15625" w:rsidRPr="009A59E7" w:rsidTr="00571B28">
        <w:trPr>
          <w:cantSplit/>
        </w:trPr>
        <w:tc>
          <w:tcPr>
            <w:tcW w:w="3294" w:type="dxa"/>
            <w:tcBorders>
              <w:top w:val="single" w:sz="4"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spacing w:before="60" w:after="60"/>
              <w:rPr>
                <w:sz w:val="20"/>
                <w:lang w:val="en-AU"/>
              </w:rPr>
            </w:pPr>
            <w:r w:rsidRPr="009A59E7">
              <w:rPr>
                <w:sz w:val="20"/>
                <w:lang w:val="en-AU"/>
              </w:rPr>
              <w:t>Responder</w:t>
            </w:r>
            <w:r w:rsidRPr="009A59E7">
              <w:rPr>
                <w:sz w:val="20"/>
                <w:vertAlign w:val="superscript"/>
                <w:lang w:val="en-AU"/>
              </w:rPr>
              <w:t>1</w:t>
            </w:r>
          </w:p>
        </w:tc>
        <w:tc>
          <w:tcPr>
            <w:tcW w:w="1350" w:type="dxa"/>
            <w:tcBorders>
              <w:top w:val="single" w:sz="4"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79%</w:t>
            </w:r>
            <w:r w:rsidR="00AA59B6" w:rsidRPr="00AA59B6">
              <w:rPr>
                <w:sz w:val="20"/>
                <w:vertAlign w:val="superscript"/>
                <w:lang w:val="en-AU"/>
              </w:rPr>
              <w:t>4</w:t>
            </w:r>
          </w:p>
        </w:tc>
        <w:tc>
          <w:tcPr>
            <w:tcW w:w="1350" w:type="dxa"/>
            <w:tcBorders>
              <w:top w:val="single" w:sz="4"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82%</w:t>
            </w:r>
            <w:r w:rsidR="00AA59B6" w:rsidRPr="00AA59B6">
              <w:rPr>
                <w:sz w:val="20"/>
                <w:vertAlign w:val="superscript"/>
                <w:lang w:val="en-AU"/>
              </w:rPr>
              <w:t>4</w:t>
            </w:r>
          </w:p>
        </w:tc>
        <w:tc>
          <w:tcPr>
            <w:tcW w:w="1350" w:type="dxa"/>
            <w:tcBorders>
              <w:top w:val="single" w:sz="4"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68%</w:t>
            </w:r>
            <w:r w:rsidR="00AA59B6">
              <w:rPr>
                <w:sz w:val="20"/>
                <w:vertAlign w:val="superscript"/>
                <w:lang w:val="en-AU"/>
              </w:rPr>
              <w:t>5</w:t>
            </w:r>
          </w:p>
        </w:tc>
        <w:tc>
          <w:tcPr>
            <w:tcW w:w="1350" w:type="dxa"/>
            <w:tcBorders>
              <w:top w:val="single" w:sz="4"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62%</w:t>
            </w:r>
            <w:r w:rsidR="00AA59B6">
              <w:rPr>
                <w:sz w:val="20"/>
                <w:vertAlign w:val="superscript"/>
                <w:lang w:val="en-AU"/>
              </w:rPr>
              <w:t>5</w:t>
            </w:r>
          </w:p>
        </w:tc>
      </w:tr>
      <w:tr w:rsidR="00B15625" w:rsidRPr="009A59E7">
        <w:trPr>
          <w:cantSplit/>
          <w:trHeight w:val="273"/>
        </w:trPr>
        <w:tc>
          <w:tcPr>
            <w:tcW w:w="3294"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spacing w:before="60" w:after="60"/>
              <w:rPr>
                <w:sz w:val="20"/>
                <w:lang w:val="en-AU"/>
              </w:rPr>
            </w:pPr>
            <w:r w:rsidRPr="009A59E7">
              <w:rPr>
                <w:sz w:val="20"/>
                <w:lang w:val="en-AU"/>
              </w:rPr>
              <w:t>Virologic failure</w:t>
            </w:r>
            <w:r w:rsidRPr="009A59E7">
              <w:rPr>
                <w:sz w:val="20"/>
                <w:vertAlign w:val="superscript"/>
                <w:lang w:val="en-AU"/>
              </w:rPr>
              <w:t>2</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6%</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4%</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10%</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8%</w:t>
            </w:r>
          </w:p>
        </w:tc>
      </w:tr>
      <w:tr w:rsidR="00B15625" w:rsidRPr="009A59E7">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rsidP="00C964C7">
            <w:pPr>
              <w:pStyle w:val="Table-Text"/>
              <w:tabs>
                <w:tab w:val="clear" w:pos="360"/>
                <w:tab w:val="left" w:pos="216"/>
              </w:tabs>
              <w:spacing w:before="60" w:after="60"/>
              <w:ind w:left="396"/>
              <w:rPr>
                <w:sz w:val="20"/>
                <w:lang w:val="en-AU"/>
              </w:rPr>
            </w:pPr>
            <w:r w:rsidRPr="009A59E7">
              <w:rPr>
                <w:sz w:val="20"/>
                <w:lang w:val="en-AU"/>
              </w:rPr>
              <w:t>Rebound</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5%</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3%</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8%</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7%</w:t>
            </w:r>
          </w:p>
        </w:tc>
      </w:tr>
      <w:tr w:rsidR="00B15625" w:rsidRPr="009A59E7">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rsidP="00DD079D">
            <w:pPr>
              <w:pStyle w:val="Table-Text"/>
              <w:tabs>
                <w:tab w:val="clear" w:pos="360"/>
                <w:tab w:val="left" w:pos="216"/>
              </w:tabs>
              <w:spacing w:before="60" w:after="60"/>
              <w:ind w:left="396"/>
              <w:rPr>
                <w:sz w:val="20"/>
                <w:lang w:val="en-AU"/>
              </w:rPr>
            </w:pPr>
            <w:r w:rsidRPr="009A59E7">
              <w:rPr>
                <w:sz w:val="20"/>
                <w:lang w:val="en-AU"/>
              </w:rPr>
              <w:t xml:space="preserve">Never suppressed </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0%</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0%</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0%</w:t>
            </w:r>
          </w:p>
        </w:tc>
      </w:tr>
      <w:tr w:rsidR="00B15625" w:rsidRPr="009A59E7">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clear" w:pos="360"/>
                <w:tab w:val="left" w:pos="216"/>
              </w:tabs>
              <w:spacing w:before="60" w:after="60"/>
              <w:rPr>
                <w:sz w:val="20"/>
                <w:lang w:val="en-AU"/>
              </w:rPr>
            </w:pPr>
            <w:r w:rsidRPr="009A59E7">
              <w:rPr>
                <w:sz w:val="20"/>
                <w:lang w:val="en-AU"/>
              </w:rPr>
              <w:tab/>
              <w:t xml:space="preserve">   Added an antiretroviral agent</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2%</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w:t>
            </w:r>
          </w:p>
        </w:tc>
      </w:tr>
      <w:tr w:rsidR="00B15625" w:rsidRPr="009A59E7">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spacing w:before="60" w:after="60"/>
              <w:rPr>
                <w:sz w:val="20"/>
                <w:lang w:val="en-AU"/>
              </w:rPr>
            </w:pPr>
            <w:r w:rsidRPr="009A59E7">
              <w:rPr>
                <w:sz w:val="20"/>
                <w:lang w:val="en-AU"/>
              </w:rPr>
              <w:t>Death</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&lt;1%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&lt;1%</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2%</w:t>
            </w:r>
          </w:p>
        </w:tc>
      </w:tr>
      <w:tr w:rsidR="00B15625" w:rsidRPr="009A59E7">
        <w:trPr>
          <w:cantSplit/>
        </w:trPr>
        <w:tc>
          <w:tcPr>
            <w:tcW w:w="3294"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spacing w:before="60" w:after="60"/>
              <w:rPr>
                <w:sz w:val="20"/>
                <w:lang w:val="en-AU"/>
              </w:rPr>
            </w:pPr>
            <w:r w:rsidRPr="009A59E7">
              <w:rPr>
                <w:sz w:val="20"/>
                <w:lang w:val="en-AU"/>
              </w:rPr>
              <w:t>Discontinued due to adverse event</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6%</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6%</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8%</w:t>
            </w:r>
          </w:p>
        </w:tc>
        <w:tc>
          <w:tcPr>
            <w:tcW w:w="1350" w:type="dxa"/>
            <w:tcBorders>
              <w:top w:val="single" w:sz="6" w:space="0" w:color="auto"/>
              <w:left w:val="single" w:sz="4" w:space="0" w:color="auto"/>
              <w:bottom w:val="single" w:sz="6"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13%</w:t>
            </w:r>
          </w:p>
        </w:tc>
      </w:tr>
      <w:tr w:rsidR="00B15625" w:rsidRPr="009A59E7">
        <w:trPr>
          <w:cantSplit/>
        </w:trPr>
        <w:tc>
          <w:tcPr>
            <w:tcW w:w="3294" w:type="dxa"/>
            <w:tcBorders>
              <w:top w:val="single" w:sz="6" w:space="0" w:color="auto"/>
              <w:left w:val="single" w:sz="4" w:space="0" w:color="auto"/>
              <w:bottom w:val="single" w:sz="4" w:space="0" w:color="auto"/>
              <w:right w:val="single" w:sz="4" w:space="0" w:color="auto"/>
            </w:tcBorders>
            <w:shd w:val="clear" w:color="auto" w:fill="auto"/>
          </w:tcPr>
          <w:p w:rsidR="00B15625" w:rsidRPr="009A59E7" w:rsidRDefault="00B15625">
            <w:pPr>
              <w:pStyle w:val="Table-Text"/>
              <w:spacing w:before="60" w:after="60"/>
              <w:rPr>
                <w:sz w:val="20"/>
                <w:lang w:val="en-AU"/>
              </w:rPr>
            </w:pPr>
            <w:r w:rsidRPr="009A59E7">
              <w:rPr>
                <w:sz w:val="20"/>
                <w:lang w:val="en-AU"/>
              </w:rPr>
              <w:t>Discontinued for other reasons</w:t>
            </w:r>
            <w:r w:rsidRPr="009A59E7">
              <w:rPr>
                <w:sz w:val="20"/>
                <w:vertAlign w:val="superscript"/>
                <w:lang w:val="en-AU"/>
              </w:rPr>
              <w:t>3</w:t>
            </w:r>
          </w:p>
        </w:tc>
        <w:tc>
          <w:tcPr>
            <w:tcW w:w="1350" w:type="dxa"/>
            <w:tcBorders>
              <w:top w:val="single" w:sz="6" w:space="0" w:color="auto"/>
              <w:left w:val="nil"/>
              <w:bottom w:val="single" w:sz="6" w:space="0" w:color="auto"/>
              <w:right w:val="nil"/>
            </w:tcBorders>
            <w:shd w:val="clear" w:color="auto" w:fill="auto"/>
          </w:tcPr>
          <w:p w:rsidR="00B15625" w:rsidRPr="009A59E7" w:rsidRDefault="00B15625">
            <w:pPr>
              <w:pStyle w:val="Table-Text"/>
              <w:tabs>
                <w:tab w:val="decimal" w:pos="0"/>
              </w:tabs>
              <w:spacing w:before="60" w:after="60"/>
              <w:jc w:val="center"/>
              <w:rPr>
                <w:sz w:val="20"/>
                <w:lang w:val="en-AU"/>
              </w:rPr>
            </w:pPr>
            <w:r w:rsidRPr="009A59E7">
              <w:rPr>
                <w:sz w:val="20"/>
                <w:lang w:val="en-AU"/>
              </w:rPr>
              <w:t>8%</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7%</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14%</w:t>
            </w:r>
          </w:p>
        </w:tc>
        <w:tc>
          <w:tcPr>
            <w:tcW w:w="1350" w:type="dxa"/>
            <w:tcBorders>
              <w:top w:val="single" w:sz="6" w:space="0" w:color="auto"/>
              <w:left w:val="single" w:sz="4" w:space="0" w:color="auto"/>
              <w:bottom w:val="single" w:sz="4" w:space="0" w:color="auto"/>
              <w:right w:val="single" w:sz="4" w:space="0" w:color="auto"/>
            </w:tcBorders>
            <w:shd w:val="clear" w:color="auto" w:fill="auto"/>
          </w:tcPr>
          <w:p w:rsidR="00B15625" w:rsidRPr="009A59E7" w:rsidRDefault="00B15625">
            <w:pPr>
              <w:pStyle w:val="Table-Text"/>
              <w:tabs>
                <w:tab w:val="decimal" w:pos="-144"/>
              </w:tabs>
              <w:spacing w:before="60" w:after="60"/>
              <w:jc w:val="center"/>
              <w:rPr>
                <w:sz w:val="20"/>
                <w:lang w:val="en-AU"/>
              </w:rPr>
            </w:pPr>
            <w:r w:rsidRPr="009A59E7">
              <w:rPr>
                <w:sz w:val="20"/>
                <w:lang w:val="en-AU"/>
              </w:rPr>
              <w:t>15%</w:t>
            </w:r>
          </w:p>
        </w:tc>
      </w:tr>
    </w:tbl>
    <w:p w:rsidR="00B15625" w:rsidRPr="00AA59B6" w:rsidRDefault="00B15625" w:rsidP="00FA25FA">
      <w:pPr>
        <w:pStyle w:val="Table-Footer"/>
        <w:numPr>
          <w:ilvl w:val="0"/>
          <w:numId w:val="8"/>
        </w:numPr>
        <w:tabs>
          <w:tab w:val="left" w:pos="360"/>
        </w:tabs>
        <w:spacing w:before="60"/>
        <w:rPr>
          <w:rFonts w:ascii="Times New Roman" w:hAnsi="Times New Roman"/>
          <w:szCs w:val="16"/>
          <w:lang w:val="en-AU"/>
        </w:rPr>
      </w:pPr>
      <w:r w:rsidRPr="00AA59B6">
        <w:rPr>
          <w:rFonts w:ascii="Times New Roman" w:hAnsi="Times New Roman"/>
          <w:szCs w:val="16"/>
          <w:lang w:val="en-AU"/>
        </w:rPr>
        <w:t>Patients achieved and maintained confirmed HIV-1 RNA &lt;400 copies/mL through Week 48 and 144.</w:t>
      </w:r>
    </w:p>
    <w:p w:rsidR="00B15625" w:rsidRPr="00AA59B6" w:rsidRDefault="00B15625" w:rsidP="00FA25FA">
      <w:pPr>
        <w:pStyle w:val="Table-Footer"/>
        <w:numPr>
          <w:ilvl w:val="0"/>
          <w:numId w:val="8"/>
        </w:numPr>
        <w:tabs>
          <w:tab w:val="clear" w:pos="720"/>
          <w:tab w:val="num" w:pos="360"/>
        </w:tabs>
        <w:rPr>
          <w:rFonts w:ascii="Times New Roman" w:hAnsi="Times New Roman"/>
          <w:szCs w:val="16"/>
          <w:lang w:val="en-AU"/>
        </w:rPr>
      </w:pPr>
      <w:r w:rsidRPr="00AA59B6">
        <w:rPr>
          <w:rFonts w:ascii="Times New Roman" w:hAnsi="Times New Roman"/>
          <w:szCs w:val="16"/>
          <w:lang w:val="en-AU"/>
        </w:rPr>
        <w:t>Includes confirmed viral rebound and failure to achieve confirmed &lt;400 copies/mL through Week 48 and 144.</w:t>
      </w:r>
    </w:p>
    <w:p w:rsidR="00B15625" w:rsidRPr="00AA59B6" w:rsidRDefault="00B15625" w:rsidP="00FA25FA">
      <w:pPr>
        <w:pStyle w:val="Table-Footer"/>
        <w:numPr>
          <w:ilvl w:val="0"/>
          <w:numId w:val="8"/>
        </w:numPr>
        <w:tabs>
          <w:tab w:val="clear" w:pos="720"/>
          <w:tab w:val="num" w:pos="360"/>
        </w:tabs>
        <w:rPr>
          <w:rFonts w:ascii="Times New Roman" w:hAnsi="Times New Roman"/>
          <w:szCs w:val="16"/>
          <w:lang w:val="en-AU"/>
        </w:rPr>
      </w:pPr>
      <w:r w:rsidRPr="00AA59B6">
        <w:rPr>
          <w:rFonts w:ascii="Times New Roman" w:hAnsi="Times New Roman"/>
          <w:szCs w:val="16"/>
          <w:lang w:val="en-AU"/>
        </w:rPr>
        <w:t xml:space="preserve">Includes lost to follow-up, patient’s withdrawal, </w:t>
      </w:r>
      <w:r w:rsidR="00E44700" w:rsidRPr="00AA59B6">
        <w:rPr>
          <w:rFonts w:ascii="Times New Roman" w:hAnsi="Times New Roman"/>
          <w:szCs w:val="16"/>
          <w:lang w:val="en-AU"/>
        </w:rPr>
        <w:t>non-compliance</w:t>
      </w:r>
      <w:r w:rsidRPr="00AA59B6">
        <w:rPr>
          <w:rFonts w:ascii="Times New Roman" w:hAnsi="Times New Roman"/>
          <w:szCs w:val="16"/>
          <w:lang w:val="en-AU"/>
        </w:rPr>
        <w:t>, protocol violation and other reasons.</w:t>
      </w:r>
    </w:p>
    <w:p w:rsidR="00AA59B6" w:rsidRPr="00AA59B6" w:rsidRDefault="00AA59B6" w:rsidP="00FA25FA">
      <w:pPr>
        <w:pStyle w:val="Table-Footer"/>
        <w:numPr>
          <w:ilvl w:val="0"/>
          <w:numId w:val="8"/>
        </w:numPr>
        <w:tabs>
          <w:tab w:val="clear" w:pos="720"/>
          <w:tab w:val="num" w:pos="360"/>
        </w:tabs>
        <w:rPr>
          <w:rFonts w:ascii="Times New Roman" w:hAnsi="Times New Roman"/>
          <w:szCs w:val="16"/>
          <w:lang w:val="en-AU"/>
        </w:rPr>
      </w:pPr>
      <w:r w:rsidRPr="00F878C8">
        <w:rPr>
          <w:rFonts w:ascii="Times New Roman" w:hAnsi="Times New Roman"/>
          <w:szCs w:val="16"/>
          <w:lang w:val="en-AU"/>
        </w:rPr>
        <w:t>Difference -</w:t>
      </w:r>
      <w:r>
        <w:rPr>
          <w:rFonts w:ascii="Times New Roman" w:hAnsi="Times New Roman"/>
          <w:szCs w:val="16"/>
          <w:lang w:val="en-AU"/>
        </w:rPr>
        <w:t>3</w:t>
      </w:r>
      <w:r w:rsidRPr="00F878C8">
        <w:rPr>
          <w:rFonts w:ascii="Times New Roman" w:hAnsi="Times New Roman"/>
          <w:szCs w:val="16"/>
          <w:lang w:val="en-AU"/>
        </w:rPr>
        <w:t>.</w:t>
      </w:r>
      <w:r>
        <w:rPr>
          <w:rFonts w:ascii="Times New Roman" w:hAnsi="Times New Roman"/>
          <w:szCs w:val="16"/>
          <w:lang w:val="en-AU"/>
        </w:rPr>
        <w:t>0</w:t>
      </w:r>
      <w:r w:rsidRPr="00F878C8">
        <w:rPr>
          <w:rFonts w:ascii="Times New Roman" w:hAnsi="Times New Roman"/>
          <w:szCs w:val="16"/>
          <w:lang w:val="en-AU"/>
        </w:rPr>
        <w:t>% (-</w:t>
      </w:r>
      <w:r>
        <w:rPr>
          <w:rFonts w:ascii="Times New Roman" w:hAnsi="Times New Roman"/>
          <w:szCs w:val="16"/>
          <w:lang w:val="en-AU"/>
        </w:rPr>
        <w:t>9</w:t>
      </w:r>
      <w:r w:rsidRPr="00F878C8">
        <w:rPr>
          <w:rFonts w:ascii="Times New Roman" w:hAnsi="Times New Roman"/>
          <w:szCs w:val="16"/>
          <w:lang w:val="en-AU"/>
        </w:rPr>
        <w:t>.</w:t>
      </w:r>
      <w:r>
        <w:rPr>
          <w:rFonts w:ascii="Times New Roman" w:hAnsi="Times New Roman"/>
          <w:szCs w:val="16"/>
          <w:lang w:val="en-AU"/>
        </w:rPr>
        <w:t>2</w:t>
      </w:r>
      <w:r w:rsidRPr="00F878C8">
        <w:rPr>
          <w:rFonts w:ascii="Times New Roman" w:hAnsi="Times New Roman"/>
          <w:szCs w:val="16"/>
          <w:lang w:val="en-AU"/>
        </w:rPr>
        <w:t>% to 3.</w:t>
      </w:r>
      <w:r>
        <w:rPr>
          <w:rFonts w:ascii="Times New Roman" w:hAnsi="Times New Roman"/>
          <w:szCs w:val="16"/>
          <w:lang w:val="en-AU"/>
        </w:rPr>
        <w:t>1</w:t>
      </w:r>
      <w:r w:rsidRPr="00F878C8">
        <w:rPr>
          <w:rFonts w:ascii="Times New Roman" w:hAnsi="Times New Roman"/>
          <w:szCs w:val="16"/>
          <w:lang w:val="en-AU"/>
        </w:rPr>
        <w:t>%) p=0.</w:t>
      </w:r>
      <w:r>
        <w:rPr>
          <w:rFonts w:ascii="Times New Roman" w:hAnsi="Times New Roman"/>
          <w:szCs w:val="16"/>
          <w:lang w:val="en-AU"/>
        </w:rPr>
        <w:t>48</w:t>
      </w:r>
      <w:r w:rsidRPr="00F878C8">
        <w:rPr>
          <w:rFonts w:ascii="Times New Roman" w:hAnsi="Times New Roman"/>
          <w:szCs w:val="16"/>
          <w:lang w:val="en-AU"/>
        </w:rPr>
        <w:t xml:space="preserve">. </w:t>
      </w:r>
      <w:r>
        <w:rPr>
          <w:rFonts w:ascii="Times New Roman" w:hAnsi="Times New Roman"/>
          <w:szCs w:val="16"/>
          <w:lang w:val="en-AU"/>
        </w:rPr>
        <w:t xml:space="preserve"> </w:t>
      </w:r>
      <w:r w:rsidRPr="00F878C8">
        <w:rPr>
          <w:rFonts w:ascii="Times New Roman" w:hAnsi="Times New Roman"/>
          <w:szCs w:val="16"/>
          <w:lang w:val="en-AU"/>
        </w:rPr>
        <w:t>The difference and confidence interval are stratum weighted on baseline HIV-1 RNA and CD4.</w:t>
      </w:r>
    </w:p>
    <w:p w:rsidR="00A80F6C" w:rsidRPr="00AA59B6" w:rsidRDefault="00A80F6C" w:rsidP="00FA25FA">
      <w:pPr>
        <w:pStyle w:val="Table-Footer"/>
        <w:numPr>
          <w:ilvl w:val="0"/>
          <w:numId w:val="8"/>
        </w:numPr>
        <w:tabs>
          <w:tab w:val="clear" w:pos="720"/>
          <w:tab w:val="num" w:pos="360"/>
        </w:tabs>
        <w:ind w:left="426" w:hanging="426"/>
        <w:rPr>
          <w:rFonts w:ascii="Times New Roman" w:hAnsi="Times New Roman"/>
          <w:szCs w:val="16"/>
          <w:lang w:val="en-AU"/>
        </w:rPr>
      </w:pPr>
      <w:r w:rsidRPr="00AA59B6">
        <w:rPr>
          <w:rFonts w:ascii="Times New Roman" w:hAnsi="Times New Roman"/>
          <w:szCs w:val="16"/>
          <w:lang w:val="en-AU"/>
        </w:rPr>
        <w:t>Difference 6.1% (-1.4% to 13.7%) p=0.11.  The difference and confidence interval are stratum weighted on baseline HIV-1 RNA and CD4.</w:t>
      </w:r>
    </w:p>
    <w:p w:rsidR="00CF14F0" w:rsidRPr="00015C34" w:rsidRDefault="00CF14F0" w:rsidP="009718F7">
      <w:pPr>
        <w:pStyle w:val="BodyText3"/>
        <w:keepNext/>
        <w:rPr>
          <w:b w:val="0"/>
          <w:i w:val="0"/>
          <w:sz w:val="24"/>
          <w:szCs w:val="24"/>
          <w:lang w:val="en-AU"/>
        </w:rPr>
      </w:pPr>
    </w:p>
    <w:p w:rsidR="00B15625" w:rsidRPr="00015C34" w:rsidRDefault="00B15625" w:rsidP="009718F7">
      <w:pPr>
        <w:jc w:val="both"/>
        <w:rPr>
          <w:rFonts w:ascii="Times New Roman" w:hAnsi="Times New Roman"/>
          <w:sz w:val="24"/>
          <w:szCs w:val="24"/>
        </w:rPr>
      </w:pPr>
      <w:r w:rsidRPr="00015C34">
        <w:rPr>
          <w:rFonts w:ascii="Times New Roman" w:hAnsi="Times New Roman"/>
          <w:sz w:val="24"/>
          <w:szCs w:val="24"/>
        </w:rPr>
        <w:t>Achievement of plasma HIV-1 RNA concentrations of less than 400 copies/mL at week 144 was similar between the two treatment groups for the population stratified at baseline on the basis of HIV-1 RNA concentration (</w:t>
      </w:r>
      <w:r w:rsidR="00BD0AAD" w:rsidRPr="00015C34">
        <w:rPr>
          <w:rFonts w:ascii="Times New Roman" w:hAnsi="Times New Roman"/>
          <w:sz w:val="24"/>
          <w:szCs w:val="24"/>
          <w:u w:val="single"/>
        </w:rPr>
        <w:t>≤</w:t>
      </w:r>
      <w:r w:rsidRPr="00015C34">
        <w:rPr>
          <w:rFonts w:ascii="Times New Roman" w:hAnsi="Times New Roman"/>
          <w:sz w:val="24"/>
          <w:szCs w:val="24"/>
        </w:rPr>
        <w:t xml:space="preserve"> or &gt;100,000 copies/mL) and CD4 cell count (&lt; or </w:t>
      </w:r>
      <w:r w:rsidRPr="00015C34">
        <w:rPr>
          <w:rFonts w:ascii="Times New Roman" w:hAnsi="Times New Roman"/>
          <w:sz w:val="24"/>
          <w:szCs w:val="24"/>
        </w:rPr>
        <w:sym w:font="Symbol" w:char="00B3"/>
      </w:r>
      <w:r w:rsidRPr="00015C34">
        <w:rPr>
          <w:rFonts w:ascii="Times New Roman" w:hAnsi="Times New Roman"/>
          <w:sz w:val="24"/>
          <w:szCs w:val="24"/>
        </w:rPr>
        <w:t>200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Through 144 weeks of therapy, 62% and 58% of patients in the VIREAD and </w:t>
      </w:r>
      <w:r w:rsidR="00084420" w:rsidRPr="00015C34">
        <w:rPr>
          <w:rFonts w:ascii="Times New Roman" w:hAnsi="Times New Roman"/>
          <w:sz w:val="24"/>
          <w:szCs w:val="24"/>
        </w:rPr>
        <w:t>d4T</w:t>
      </w:r>
      <w:r w:rsidRPr="00015C34">
        <w:rPr>
          <w:rFonts w:ascii="Times New Roman" w:hAnsi="Times New Roman"/>
          <w:sz w:val="24"/>
          <w:szCs w:val="24"/>
        </w:rPr>
        <w:t xml:space="preserve"> arms, respectively achieved </w:t>
      </w:r>
      <w:r w:rsidR="00A431D9" w:rsidRPr="00015C34">
        <w:rPr>
          <w:rFonts w:ascii="Times New Roman" w:hAnsi="Times New Roman"/>
          <w:sz w:val="24"/>
          <w:szCs w:val="24"/>
        </w:rPr>
        <w:t xml:space="preserve">and maintained confirmed </w:t>
      </w:r>
      <w:r w:rsidRPr="00015C34">
        <w:rPr>
          <w:rFonts w:ascii="Times New Roman" w:hAnsi="Times New Roman"/>
          <w:sz w:val="24"/>
          <w:szCs w:val="24"/>
        </w:rPr>
        <w:t>HIV-1 RNA &lt;50 copies/mL.  The mean increase from baseline in CD4 cell count was 263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for the VIREAD arm and 283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for the </w:t>
      </w:r>
      <w:r w:rsidR="00084420" w:rsidRPr="00015C34">
        <w:rPr>
          <w:rFonts w:ascii="Times New Roman" w:hAnsi="Times New Roman"/>
          <w:sz w:val="24"/>
          <w:szCs w:val="24"/>
        </w:rPr>
        <w:t>d4T</w:t>
      </w:r>
      <w:r w:rsidRPr="00015C34">
        <w:rPr>
          <w:rFonts w:ascii="Times New Roman" w:hAnsi="Times New Roman"/>
          <w:sz w:val="24"/>
          <w:szCs w:val="24"/>
        </w:rPr>
        <w:t xml:space="preserve"> arm.</w:t>
      </w:r>
    </w:p>
    <w:p w:rsidR="00314E2C" w:rsidRPr="00015C34" w:rsidRDefault="00314E2C" w:rsidP="009718F7">
      <w:pPr>
        <w:jc w:val="both"/>
        <w:rPr>
          <w:rFonts w:ascii="Times New Roman" w:hAnsi="Times New Roman"/>
          <w:sz w:val="24"/>
          <w:szCs w:val="24"/>
        </w:rPr>
      </w:pPr>
    </w:p>
    <w:p w:rsidR="00B15625" w:rsidRPr="00015C34" w:rsidRDefault="00B15625" w:rsidP="009718F7">
      <w:pPr>
        <w:pStyle w:val="TOCHeadings"/>
        <w:widowControl/>
        <w:tabs>
          <w:tab w:val="left" w:pos="720"/>
        </w:tabs>
        <w:spacing w:before="0" w:after="0"/>
        <w:jc w:val="both"/>
        <w:rPr>
          <w:rFonts w:ascii="Times New Roman" w:hAnsi="Times New Roman"/>
          <w:b w:val="0"/>
          <w:sz w:val="24"/>
          <w:szCs w:val="24"/>
          <w:lang w:val="en-AU"/>
        </w:rPr>
      </w:pPr>
      <w:r w:rsidRPr="00015C34">
        <w:rPr>
          <w:rFonts w:ascii="Times New Roman" w:hAnsi="Times New Roman"/>
          <w:b w:val="0"/>
          <w:sz w:val="24"/>
          <w:szCs w:val="24"/>
          <w:lang w:val="en-AU"/>
        </w:rPr>
        <w:t xml:space="preserve">The percentage of patients </w:t>
      </w:r>
      <w:r w:rsidR="008B4E6C" w:rsidRPr="00015C34">
        <w:rPr>
          <w:rFonts w:ascii="Times New Roman" w:hAnsi="Times New Roman"/>
          <w:b w:val="0"/>
          <w:sz w:val="24"/>
          <w:szCs w:val="24"/>
          <w:lang w:val="en-AU"/>
        </w:rPr>
        <w:t xml:space="preserve">who achieved </w:t>
      </w:r>
      <w:r w:rsidR="008B4E6C" w:rsidRPr="00015C34">
        <w:rPr>
          <w:rFonts w:ascii="Times New Roman" w:hAnsi="Times New Roman"/>
          <w:b w:val="0"/>
          <w:sz w:val="24"/>
          <w:szCs w:val="24"/>
        </w:rPr>
        <w:t>and maintained confirmed</w:t>
      </w:r>
      <w:r w:rsidRPr="00015C34">
        <w:rPr>
          <w:rFonts w:ascii="Times New Roman" w:hAnsi="Times New Roman"/>
          <w:b w:val="0"/>
          <w:sz w:val="24"/>
          <w:szCs w:val="24"/>
          <w:lang w:val="en-AU"/>
        </w:rPr>
        <w:t xml:space="preserve"> HIV RNA &lt;400 using intent-to-treat analysis through 144 weeks of treatment in study 903 is presented in Figure 2 below.</w:t>
      </w:r>
    </w:p>
    <w:p w:rsidR="00B15625" w:rsidRPr="00015C34" w:rsidRDefault="00B15625" w:rsidP="009718F7">
      <w:pPr>
        <w:pStyle w:val="TOCHeadings"/>
        <w:widowControl/>
        <w:tabs>
          <w:tab w:val="left" w:pos="720"/>
        </w:tabs>
        <w:spacing w:before="0" w:after="0"/>
        <w:jc w:val="both"/>
        <w:rPr>
          <w:rFonts w:ascii="Times New Roman" w:hAnsi="Times New Roman"/>
          <w:b w:val="0"/>
          <w:sz w:val="24"/>
          <w:szCs w:val="24"/>
          <w:lang w:val="en-AU"/>
        </w:rPr>
      </w:pPr>
      <w:r w:rsidRPr="00015C34">
        <w:rPr>
          <w:rFonts w:ascii="Times New Roman" w:hAnsi="Times New Roman"/>
          <w:b w:val="0"/>
          <w:sz w:val="24"/>
          <w:szCs w:val="24"/>
          <w:lang w:val="en-AU"/>
        </w:rPr>
        <w:t>Genotypic analyses of patients with virologic failure showed development of efavirenz-associated and lamivudine-associated mutations to occur most frequently and with no difference between the treatment arms.    The K65R mutation occurred in 8 patients on the V</w:t>
      </w:r>
      <w:r w:rsidR="00E44700" w:rsidRPr="00015C34">
        <w:rPr>
          <w:rFonts w:ascii="Times New Roman" w:hAnsi="Times New Roman"/>
          <w:b w:val="0"/>
          <w:sz w:val="24"/>
          <w:szCs w:val="24"/>
          <w:lang w:val="en-AU"/>
        </w:rPr>
        <w:t>IREAD</w:t>
      </w:r>
      <w:r w:rsidRPr="00015C34">
        <w:rPr>
          <w:rFonts w:ascii="Times New Roman" w:hAnsi="Times New Roman"/>
          <w:b w:val="0"/>
          <w:sz w:val="24"/>
          <w:szCs w:val="24"/>
          <w:lang w:val="en-AU"/>
        </w:rPr>
        <w:t xml:space="preserve"> arm and in 2 patients on the </w:t>
      </w:r>
      <w:r w:rsidR="00084420" w:rsidRPr="00015C34">
        <w:rPr>
          <w:rFonts w:ascii="Times New Roman" w:hAnsi="Times New Roman"/>
          <w:b w:val="0"/>
          <w:sz w:val="24"/>
          <w:szCs w:val="24"/>
          <w:lang w:val="en-AU"/>
        </w:rPr>
        <w:t>d4T</w:t>
      </w:r>
      <w:r w:rsidRPr="00015C34">
        <w:rPr>
          <w:rFonts w:ascii="Times New Roman" w:hAnsi="Times New Roman"/>
          <w:b w:val="0"/>
          <w:sz w:val="24"/>
          <w:szCs w:val="24"/>
          <w:lang w:val="en-AU"/>
        </w:rPr>
        <w:t xml:space="preserve"> arm.  Of the 8 patients who developed K65R in the VIREAD arm through 144 weeks, 7 of these occurred in the first 48 weeks of treatment and the last one at week 96.  Among these patients, 5/8 patients subsequently gained full virologic control (&lt;50 copies/mL) upon switching to new regimens that included a protease inhibitor in combination with nucleoside reverse transcriptase inhibitors through a median of 155 weeks of follow-up.  From both genotypic and phenotypic analyses there was no evidence for other pathways of resistance to VIREAD.</w:t>
      </w:r>
    </w:p>
    <w:p w:rsidR="00B15625" w:rsidRPr="009A59E7" w:rsidRDefault="00B15625" w:rsidP="009718F7">
      <w:pPr>
        <w:pStyle w:val="TOCHeadings"/>
        <w:widowControl/>
        <w:tabs>
          <w:tab w:val="left" w:pos="720"/>
        </w:tabs>
        <w:spacing w:before="0" w:after="0"/>
        <w:jc w:val="both"/>
        <w:rPr>
          <w:rFonts w:ascii="Times New Roman" w:hAnsi="Times New Roman"/>
          <w:b w:val="0"/>
          <w:sz w:val="24"/>
          <w:lang w:val="en-AU"/>
        </w:rPr>
      </w:pPr>
    </w:p>
    <w:p w:rsidR="00B15625" w:rsidRPr="009A59E7" w:rsidRDefault="00FE1EFE" w:rsidP="00B15625">
      <w:pPr>
        <w:pStyle w:val="text1Char"/>
        <w:jc w:val="center"/>
        <w:rPr>
          <w:b/>
          <w:lang w:val="en-AU"/>
        </w:rPr>
      </w:pPr>
      <w:r>
        <w:rPr>
          <w:b/>
          <w:sz w:val="20"/>
          <w:lang w:val="en-AU"/>
        </w:rPr>
        <w:br w:type="page"/>
      </w:r>
      <w:r w:rsidR="00AF0FFF" w:rsidRPr="009A59E7">
        <w:rPr>
          <w:b/>
          <w:sz w:val="20"/>
          <w:lang w:val="en-AU"/>
        </w:rPr>
        <w:lastRenderedPageBreak/>
        <w:t xml:space="preserve">Figure 2 </w:t>
      </w:r>
      <w:r w:rsidR="00AF0FFF" w:rsidRPr="009A59E7">
        <w:rPr>
          <w:b/>
          <w:sz w:val="20"/>
          <w:lang w:val="en-AU"/>
        </w:rPr>
        <w:br/>
      </w:r>
      <w:r w:rsidR="00B15625" w:rsidRPr="009A59E7">
        <w:rPr>
          <w:b/>
          <w:sz w:val="20"/>
          <w:lang w:val="en-AU"/>
        </w:rPr>
        <w:t xml:space="preserve">Percentage of patients with HIV RNA &lt; 400 using Intent-to-treat analysis </w:t>
      </w:r>
      <w:r w:rsidR="00B15625" w:rsidRPr="009A59E7">
        <w:rPr>
          <w:b/>
          <w:sz w:val="20"/>
          <w:lang w:val="en-AU"/>
        </w:rPr>
        <w:br/>
        <w:t xml:space="preserve">through Week 144:  Study 903  </w:t>
      </w:r>
      <w:r w:rsidR="00B15625" w:rsidRPr="009A59E7">
        <w:rPr>
          <w:b/>
          <w:sz w:val="20"/>
          <w:lang w:val="en-AU"/>
        </w:rPr>
        <w:br/>
        <w:t>(Missing=Failure, Switch=Failure)</w:t>
      </w:r>
    </w:p>
    <w:p w:rsidR="00B15625" w:rsidRPr="009A59E7" w:rsidRDefault="00B15625" w:rsidP="00B15625">
      <w:pPr>
        <w:pStyle w:val="text1Char"/>
        <w:jc w:val="center"/>
        <w:rPr>
          <w:b/>
          <w:lang w:val="en-AU"/>
        </w:rPr>
      </w:pPr>
    </w:p>
    <w:p w:rsidR="00B15625" w:rsidRPr="009A59E7" w:rsidRDefault="00F0712F" w:rsidP="00B15625">
      <w:pPr>
        <w:pStyle w:val="TOCHeadings"/>
        <w:widowControl/>
        <w:tabs>
          <w:tab w:val="left" w:pos="720"/>
        </w:tabs>
        <w:spacing w:before="0" w:after="120"/>
        <w:rPr>
          <w:rFonts w:ascii="Times New Roman" w:hAnsi="Times New Roman"/>
          <w:lang w:val="en-AU"/>
        </w:rPr>
      </w:pPr>
      <w:r>
        <w:rPr>
          <w:rFonts w:ascii="Times New Roman" w:hAnsi="Times New Roman"/>
          <w:noProof/>
          <w:lang w:val="en-AU" w:eastAsia="en-AU"/>
        </w:rPr>
        <w:drawing>
          <wp:inline distT="0" distB="0" distL="0" distR="0">
            <wp:extent cx="3761105" cy="2178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761105" cy="2178685"/>
                    </a:xfrm>
                    <a:prstGeom prst="rect">
                      <a:avLst/>
                    </a:prstGeom>
                    <a:noFill/>
                    <a:ln w="9525">
                      <a:noFill/>
                      <a:miter lim="800000"/>
                      <a:headEnd/>
                      <a:tailEnd/>
                    </a:ln>
                  </pic:spPr>
                </pic:pic>
              </a:graphicData>
            </a:graphic>
          </wp:inline>
        </w:drawing>
      </w:r>
    </w:p>
    <w:p w:rsidR="00636A46" w:rsidRPr="007520BC" w:rsidRDefault="00636A46" w:rsidP="009718F7">
      <w:pPr>
        <w:pStyle w:val="Text1"/>
        <w:spacing w:after="0"/>
        <w:jc w:val="both"/>
        <w:rPr>
          <w:sz w:val="22"/>
          <w:szCs w:val="22"/>
          <w:lang w:val="en-AU"/>
        </w:rPr>
      </w:pPr>
    </w:p>
    <w:p w:rsidR="00331F62" w:rsidRPr="00015C34" w:rsidRDefault="00331F62" w:rsidP="00331F62">
      <w:pPr>
        <w:autoSpaceDE w:val="0"/>
        <w:autoSpaceDN w:val="0"/>
        <w:adjustRightInd w:val="0"/>
        <w:jc w:val="both"/>
        <w:rPr>
          <w:b/>
          <w:bCs/>
          <w:sz w:val="24"/>
          <w:szCs w:val="24"/>
        </w:rPr>
      </w:pPr>
      <w:r w:rsidRPr="00015C34">
        <w:rPr>
          <w:rFonts w:ascii="Times New Roman" w:hAnsi="Times New Roman"/>
          <w:b/>
          <w:bCs/>
          <w:sz w:val="24"/>
          <w:szCs w:val="24"/>
        </w:rPr>
        <w:t>Study 934: VIREAD + EMTRIVA + Efavirenz Compared with</w:t>
      </w:r>
      <w:r w:rsidR="008323B8" w:rsidRPr="00015C34">
        <w:rPr>
          <w:rFonts w:ascii="Times New Roman" w:hAnsi="Times New Roman"/>
          <w:b/>
          <w:bCs/>
          <w:sz w:val="24"/>
          <w:szCs w:val="24"/>
        </w:rPr>
        <w:t xml:space="preserve"> C</w:t>
      </w:r>
      <w:r w:rsidR="00537553">
        <w:rPr>
          <w:rFonts w:ascii="Times New Roman" w:hAnsi="Times New Roman"/>
          <w:b/>
          <w:bCs/>
          <w:sz w:val="24"/>
          <w:szCs w:val="24"/>
        </w:rPr>
        <w:t>ombivir</w:t>
      </w:r>
      <w:r w:rsidR="008323B8" w:rsidRPr="00015C34">
        <w:rPr>
          <w:rFonts w:ascii="Times New Roman" w:hAnsi="Times New Roman"/>
          <w:b/>
          <w:bCs/>
          <w:sz w:val="24"/>
          <w:szCs w:val="24"/>
          <w:vertAlign w:val="superscript"/>
        </w:rPr>
        <w:t>®</w:t>
      </w:r>
      <w:r w:rsidRPr="00015C34">
        <w:rPr>
          <w:b/>
          <w:bCs/>
          <w:sz w:val="24"/>
          <w:szCs w:val="24"/>
        </w:rPr>
        <w:t xml:space="preserve"> </w:t>
      </w:r>
      <w:r w:rsidR="006D54EE" w:rsidRPr="00015C34">
        <w:rPr>
          <w:b/>
          <w:bCs/>
          <w:sz w:val="24"/>
          <w:szCs w:val="24"/>
        </w:rPr>
        <w:t>(l</w:t>
      </w:r>
      <w:r w:rsidRPr="00015C34">
        <w:rPr>
          <w:rFonts w:ascii="Times New Roman" w:hAnsi="Times New Roman"/>
          <w:b/>
          <w:bCs/>
          <w:sz w:val="24"/>
          <w:szCs w:val="24"/>
        </w:rPr>
        <w:t>amivudine</w:t>
      </w:r>
      <w:r w:rsidR="008323B8" w:rsidRPr="00015C34">
        <w:rPr>
          <w:rFonts w:ascii="Times New Roman" w:hAnsi="Times New Roman"/>
          <w:b/>
          <w:bCs/>
          <w:sz w:val="24"/>
          <w:szCs w:val="24"/>
        </w:rPr>
        <w:t xml:space="preserve"> </w:t>
      </w:r>
      <w:r w:rsidRPr="00015C34">
        <w:rPr>
          <w:rFonts w:ascii="Times New Roman" w:hAnsi="Times New Roman"/>
          <w:b/>
          <w:bCs/>
          <w:sz w:val="24"/>
          <w:szCs w:val="24"/>
        </w:rPr>
        <w:t>/</w:t>
      </w:r>
      <w:r w:rsidR="008323B8" w:rsidRPr="00015C34">
        <w:rPr>
          <w:rFonts w:ascii="Times New Roman" w:hAnsi="Times New Roman"/>
          <w:b/>
          <w:bCs/>
          <w:sz w:val="24"/>
          <w:szCs w:val="24"/>
        </w:rPr>
        <w:t xml:space="preserve"> </w:t>
      </w:r>
      <w:r w:rsidR="006D54EE" w:rsidRPr="00015C34">
        <w:rPr>
          <w:rFonts w:ascii="Times New Roman" w:hAnsi="Times New Roman"/>
          <w:b/>
          <w:bCs/>
          <w:sz w:val="24"/>
          <w:szCs w:val="24"/>
        </w:rPr>
        <w:t>z</w:t>
      </w:r>
      <w:r w:rsidRPr="00015C34">
        <w:rPr>
          <w:rFonts w:ascii="Times New Roman" w:hAnsi="Times New Roman"/>
          <w:b/>
          <w:bCs/>
          <w:sz w:val="24"/>
          <w:szCs w:val="24"/>
        </w:rPr>
        <w:t>idovudine</w:t>
      </w:r>
      <w:r w:rsidR="006D54EE" w:rsidRPr="00015C34">
        <w:rPr>
          <w:rFonts w:ascii="Times New Roman" w:hAnsi="Times New Roman"/>
          <w:b/>
          <w:bCs/>
          <w:sz w:val="24"/>
          <w:szCs w:val="24"/>
        </w:rPr>
        <w:t>)</w:t>
      </w:r>
      <w:r w:rsidRPr="00015C34">
        <w:rPr>
          <w:rFonts w:ascii="Times New Roman" w:hAnsi="Times New Roman"/>
          <w:b/>
          <w:bCs/>
          <w:sz w:val="24"/>
          <w:szCs w:val="24"/>
        </w:rPr>
        <w:t xml:space="preserve"> + Efavirenz</w:t>
      </w:r>
    </w:p>
    <w:p w:rsidR="00331F62" w:rsidRPr="00015C34" w:rsidRDefault="00331F62" w:rsidP="00331F62">
      <w:pPr>
        <w:autoSpaceDE w:val="0"/>
        <w:autoSpaceDN w:val="0"/>
        <w:adjustRightInd w:val="0"/>
        <w:jc w:val="both"/>
        <w:rPr>
          <w:b/>
          <w:bCs/>
          <w:sz w:val="24"/>
          <w:szCs w:val="24"/>
        </w:rPr>
      </w:pPr>
    </w:p>
    <w:p w:rsidR="00680508" w:rsidRPr="00015C34" w:rsidRDefault="00331F62" w:rsidP="00331F62">
      <w:pPr>
        <w:autoSpaceDE w:val="0"/>
        <w:autoSpaceDN w:val="0"/>
        <w:adjustRightInd w:val="0"/>
        <w:jc w:val="both"/>
        <w:rPr>
          <w:rFonts w:ascii="Times New Roman" w:hAnsi="Times New Roman"/>
          <w:sz w:val="24"/>
          <w:szCs w:val="24"/>
        </w:rPr>
      </w:pPr>
      <w:r w:rsidRPr="00015C34">
        <w:rPr>
          <w:rFonts w:ascii="Times New Roman" w:hAnsi="Times New Roman"/>
          <w:sz w:val="24"/>
          <w:szCs w:val="24"/>
        </w:rPr>
        <w:t>Study 934</w:t>
      </w:r>
      <w:r w:rsidR="00680508" w:rsidRPr="00015C34">
        <w:rPr>
          <w:rFonts w:ascii="Times New Roman" w:hAnsi="Times New Roman"/>
          <w:sz w:val="24"/>
          <w:szCs w:val="24"/>
        </w:rPr>
        <w:t xml:space="preserve"> is</w:t>
      </w:r>
      <w:r w:rsidRPr="00015C34">
        <w:rPr>
          <w:rFonts w:ascii="Times New Roman" w:hAnsi="Times New Roman"/>
          <w:sz w:val="24"/>
          <w:szCs w:val="24"/>
        </w:rPr>
        <w:t xml:space="preserve"> a randomized, open-label, active controlled</w:t>
      </w:r>
      <w:r w:rsidRPr="00015C34">
        <w:rPr>
          <w:sz w:val="24"/>
          <w:szCs w:val="24"/>
        </w:rPr>
        <w:t xml:space="preserve"> </w:t>
      </w:r>
      <w:r w:rsidRPr="00015C34">
        <w:rPr>
          <w:rFonts w:ascii="Times New Roman" w:hAnsi="Times New Roman"/>
          <w:sz w:val="24"/>
          <w:szCs w:val="24"/>
        </w:rPr>
        <w:t xml:space="preserve">multicentre study comparing </w:t>
      </w:r>
      <w:r w:rsidR="00680508" w:rsidRPr="00015C34">
        <w:rPr>
          <w:rFonts w:ascii="Times New Roman" w:hAnsi="Times New Roman"/>
          <w:sz w:val="24"/>
          <w:szCs w:val="24"/>
        </w:rPr>
        <w:t xml:space="preserve">two different dosing regimens </w:t>
      </w:r>
      <w:r w:rsidRPr="00015C34">
        <w:rPr>
          <w:rFonts w:ascii="Times New Roman" w:hAnsi="Times New Roman"/>
          <w:sz w:val="24"/>
          <w:szCs w:val="24"/>
        </w:rPr>
        <w:t xml:space="preserve">in 511 antiretroviral-naïve </w:t>
      </w:r>
      <w:r w:rsidR="00680508" w:rsidRPr="00015C34">
        <w:rPr>
          <w:rFonts w:ascii="Times New Roman" w:hAnsi="Times New Roman"/>
          <w:sz w:val="24"/>
          <w:szCs w:val="24"/>
        </w:rPr>
        <w:t xml:space="preserve">HIV-1 infected </w:t>
      </w:r>
      <w:r w:rsidRPr="00015C34">
        <w:rPr>
          <w:rFonts w:ascii="Times New Roman" w:hAnsi="Times New Roman"/>
          <w:sz w:val="24"/>
          <w:szCs w:val="24"/>
        </w:rPr>
        <w:t xml:space="preserve">patients. </w:t>
      </w:r>
      <w:r w:rsidR="00680508" w:rsidRPr="00015C34">
        <w:rPr>
          <w:rFonts w:ascii="Times New Roman" w:hAnsi="Times New Roman"/>
          <w:sz w:val="24"/>
          <w:szCs w:val="24"/>
        </w:rPr>
        <w:t>Patients were randomised to receive either EMTRIVA + VIREAD administered in combination with efavirenz or C</w:t>
      </w:r>
      <w:r w:rsidR="00537553">
        <w:rPr>
          <w:rFonts w:ascii="Times New Roman" w:hAnsi="Times New Roman"/>
          <w:sz w:val="24"/>
          <w:szCs w:val="24"/>
        </w:rPr>
        <w:t>ombivir</w:t>
      </w:r>
      <w:r w:rsidR="00680508" w:rsidRPr="00015C34">
        <w:rPr>
          <w:rFonts w:ascii="Times New Roman" w:hAnsi="Times New Roman"/>
          <w:sz w:val="24"/>
          <w:szCs w:val="24"/>
        </w:rPr>
        <w:t xml:space="preserve"> (lamivudine/zidovudine) administered in combination with efavirenz.  For patients randomised to receive EMTRIVA + VIREAD the two drugs were administered individually for the first 96 weeks and then switched to TRUVADA (fixed dose combination</w:t>
      </w:r>
      <w:r w:rsidR="00D66BCC" w:rsidRPr="00015C34">
        <w:rPr>
          <w:rFonts w:ascii="Times New Roman" w:hAnsi="Times New Roman"/>
          <w:sz w:val="24"/>
          <w:szCs w:val="24"/>
        </w:rPr>
        <w:t xml:space="preserve"> of tenofovir DF 300 mg/emtricitabine 200 mg</w:t>
      </w:r>
      <w:r w:rsidR="00680508" w:rsidRPr="00015C34">
        <w:rPr>
          <w:rFonts w:ascii="Times New Roman" w:hAnsi="Times New Roman"/>
          <w:sz w:val="24"/>
          <w:szCs w:val="24"/>
        </w:rPr>
        <w:t>) during weeks 96 to 144</w:t>
      </w:r>
      <w:r w:rsidR="00C86A29" w:rsidRPr="00015C34">
        <w:rPr>
          <w:rFonts w:ascii="Times New Roman" w:hAnsi="Times New Roman"/>
          <w:sz w:val="24"/>
          <w:szCs w:val="24"/>
        </w:rPr>
        <w:t>, without regard to food</w:t>
      </w:r>
      <w:r w:rsidR="00680508" w:rsidRPr="00015C34">
        <w:rPr>
          <w:rFonts w:ascii="Times New Roman" w:hAnsi="Times New Roman"/>
          <w:sz w:val="24"/>
          <w:szCs w:val="24"/>
        </w:rPr>
        <w:t>.</w:t>
      </w:r>
    </w:p>
    <w:p w:rsidR="00680508" w:rsidRPr="00015C34" w:rsidRDefault="00680508" w:rsidP="00331F62">
      <w:pPr>
        <w:autoSpaceDE w:val="0"/>
        <w:autoSpaceDN w:val="0"/>
        <w:adjustRightInd w:val="0"/>
        <w:jc w:val="both"/>
        <w:rPr>
          <w:rFonts w:ascii="Times New Roman" w:hAnsi="Times New Roman"/>
          <w:sz w:val="24"/>
          <w:szCs w:val="24"/>
        </w:rPr>
      </w:pPr>
    </w:p>
    <w:p w:rsidR="00680508" w:rsidRPr="00015C34" w:rsidRDefault="000F41FF" w:rsidP="00680508">
      <w:pPr>
        <w:autoSpaceDE w:val="0"/>
        <w:autoSpaceDN w:val="0"/>
        <w:adjustRightInd w:val="0"/>
        <w:jc w:val="both"/>
        <w:rPr>
          <w:rFonts w:ascii="Times New Roman" w:hAnsi="Times New Roman"/>
          <w:sz w:val="24"/>
          <w:szCs w:val="24"/>
        </w:rPr>
      </w:pPr>
      <w:r w:rsidRPr="00015C34">
        <w:rPr>
          <w:rFonts w:ascii="Times New Roman" w:hAnsi="Times New Roman"/>
          <w:sz w:val="24"/>
          <w:szCs w:val="24"/>
          <w:lang w:val="en-US"/>
        </w:rPr>
        <w:t>For inclusion in the study, antiretroviral treatment naïve adult patients (≥ 18 years) with plasma HIV RNA greater than 10,000 copies/mL</w:t>
      </w:r>
      <w:r w:rsidR="00987DC4" w:rsidRPr="00015C34">
        <w:rPr>
          <w:rFonts w:ascii="Times New Roman" w:hAnsi="Times New Roman"/>
          <w:sz w:val="24"/>
          <w:szCs w:val="24"/>
          <w:lang w:val="en-US"/>
        </w:rPr>
        <w:t>,</w:t>
      </w:r>
      <w:r w:rsidRPr="00015C34">
        <w:rPr>
          <w:rFonts w:ascii="Times New Roman" w:hAnsi="Times New Roman"/>
          <w:sz w:val="24"/>
          <w:szCs w:val="24"/>
          <w:lang w:val="en-US"/>
        </w:rPr>
        <w:t xml:space="preserve"> </w:t>
      </w:r>
      <w:r w:rsidR="00B75C63" w:rsidRPr="00015C34">
        <w:rPr>
          <w:rFonts w:ascii="Times New Roman" w:hAnsi="Times New Roman"/>
          <w:sz w:val="24"/>
          <w:szCs w:val="24"/>
        </w:rPr>
        <w:t xml:space="preserve">must have an estimated glomerular filtration rate as measured by Cockroft-Gault method of ≥ 50 mL/min, </w:t>
      </w:r>
      <w:r w:rsidR="00987DC4" w:rsidRPr="00015C34">
        <w:rPr>
          <w:rFonts w:ascii="Times New Roman" w:hAnsi="Times New Roman"/>
          <w:sz w:val="24"/>
          <w:szCs w:val="24"/>
          <w:lang w:val="en-US"/>
        </w:rPr>
        <w:t>ad</w:t>
      </w:r>
      <w:r w:rsidRPr="00015C34">
        <w:rPr>
          <w:rFonts w:ascii="Times New Roman" w:hAnsi="Times New Roman"/>
          <w:sz w:val="24"/>
          <w:szCs w:val="24"/>
          <w:lang w:val="en-US"/>
        </w:rPr>
        <w:t xml:space="preserve">equate haematologic function, hepatic transaminases and alanine aminotransferases ≤ 3 ULN, total bilirubin ≤ 1.5 mg/dL, serum amylase ≤ 1.5 ULN and serum phosphorus ≥ 2.2 mg/dL.  Exclusion criteria included: a new AIDS defining condition diagnosed within 30 days (except on the basis of CD4 criteria), ongoing therapy with nephrotoxic drugs or agents that interacted with efavirenz, pregnancy/lactation, a history of clinically significant renal / bone disease or malignant disease other than Kaposi’s sarcoma or basal-cell carcinoma, or a life expectancy of less than one year.  </w:t>
      </w:r>
      <w:r w:rsidR="00680508" w:rsidRPr="00015C34">
        <w:rPr>
          <w:rFonts w:ascii="Times New Roman" w:hAnsi="Times New Roman"/>
          <w:sz w:val="24"/>
          <w:szCs w:val="24"/>
        </w:rPr>
        <w:t>If efavirenz-associated central nervous system toxicities occurred, nevirapine could be substituted for efavirenz.  Patients who were not receiving their originally assigned treatment regimen after week 48 or 96 and during the 30-day extension study window were not eligible to continue to weeks 96 or 144 respectively.</w:t>
      </w:r>
    </w:p>
    <w:p w:rsidR="00680508" w:rsidRPr="00015C34" w:rsidRDefault="00680508" w:rsidP="00331F62">
      <w:pPr>
        <w:autoSpaceDE w:val="0"/>
        <w:autoSpaceDN w:val="0"/>
        <w:adjustRightInd w:val="0"/>
        <w:jc w:val="both"/>
        <w:rPr>
          <w:rFonts w:ascii="Times New Roman" w:hAnsi="Times New Roman"/>
          <w:sz w:val="24"/>
          <w:szCs w:val="24"/>
          <w:lang w:val="en-US"/>
        </w:rPr>
      </w:pPr>
    </w:p>
    <w:p w:rsidR="00331F62" w:rsidRPr="00015C34" w:rsidRDefault="00331F62" w:rsidP="00331F62">
      <w:pPr>
        <w:autoSpaceDE w:val="0"/>
        <w:autoSpaceDN w:val="0"/>
        <w:adjustRightInd w:val="0"/>
        <w:jc w:val="both"/>
        <w:rPr>
          <w:rFonts w:ascii="Times New Roman" w:hAnsi="Times New Roman"/>
          <w:sz w:val="24"/>
          <w:szCs w:val="24"/>
        </w:rPr>
      </w:pPr>
      <w:r w:rsidRPr="00015C34">
        <w:rPr>
          <w:rFonts w:ascii="Times New Roman" w:hAnsi="Times New Roman"/>
          <w:sz w:val="24"/>
          <w:szCs w:val="24"/>
        </w:rPr>
        <w:lastRenderedPageBreak/>
        <w:t>Patients had a mean</w:t>
      </w:r>
      <w:r w:rsidRPr="00015C34">
        <w:rPr>
          <w:sz w:val="24"/>
          <w:szCs w:val="24"/>
        </w:rPr>
        <w:t xml:space="preserve"> </w:t>
      </w:r>
      <w:r w:rsidRPr="00015C34">
        <w:rPr>
          <w:rFonts w:ascii="Times New Roman" w:hAnsi="Times New Roman"/>
          <w:sz w:val="24"/>
          <w:szCs w:val="24"/>
        </w:rPr>
        <w:t>age of 38 years (range 18</w:t>
      </w:r>
      <w:r w:rsidR="00680508" w:rsidRPr="00015C34">
        <w:rPr>
          <w:rFonts w:ascii="Times New Roman" w:hAnsi="Times New Roman"/>
          <w:sz w:val="24"/>
          <w:szCs w:val="24"/>
        </w:rPr>
        <w:t xml:space="preserve"> to </w:t>
      </w:r>
      <w:r w:rsidRPr="00015C34">
        <w:rPr>
          <w:rFonts w:ascii="Times New Roman" w:hAnsi="Times New Roman"/>
          <w:sz w:val="24"/>
          <w:szCs w:val="24"/>
        </w:rPr>
        <w:t>80), 86% were male, 59% were Caucasian and 23% were</w:t>
      </w:r>
      <w:r w:rsidRPr="00015C34">
        <w:rPr>
          <w:sz w:val="24"/>
          <w:szCs w:val="24"/>
        </w:rPr>
        <w:t xml:space="preserve"> </w:t>
      </w:r>
      <w:r w:rsidRPr="00015C34">
        <w:rPr>
          <w:rFonts w:ascii="Times New Roman" w:hAnsi="Times New Roman"/>
          <w:sz w:val="24"/>
          <w:szCs w:val="24"/>
        </w:rPr>
        <w:t>Black.</w:t>
      </w:r>
      <w:r w:rsidR="0092163C" w:rsidRPr="00015C34">
        <w:rPr>
          <w:rFonts w:ascii="Times New Roman" w:hAnsi="Times New Roman"/>
          <w:sz w:val="24"/>
          <w:szCs w:val="24"/>
        </w:rPr>
        <w:t xml:space="preserve"> </w:t>
      </w:r>
      <w:r w:rsidRPr="00015C34">
        <w:rPr>
          <w:rFonts w:ascii="Times New Roman" w:hAnsi="Times New Roman"/>
          <w:sz w:val="24"/>
          <w:szCs w:val="24"/>
        </w:rPr>
        <w:t xml:space="preserve"> The mean baseline CD4 cell count was 245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(range 2</w:t>
      </w:r>
      <w:r w:rsidR="00680508" w:rsidRPr="00015C34">
        <w:rPr>
          <w:rFonts w:ascii="Times New Roman" w:hAnsi="Times New Roman"/>
          <w:sz w:val="24"/>
          <w:szCs w:val="24"/>
        </w:rPr>
        <w:t xml:space="preserve"> to </w:t>
      </w:r>
      <w:r w:rsidRPr="00015C34">
        <w:rPr>
          <w:rFonts w:ascii="Times New Roman" w:hAnsi="Times New Roman"/>
          <w:sz w:val="24"/>
          <w:szCs w:val="24"/>
        </w:rPr>
        <w:t>1191) and</w:t>
      </w:r>
      <w:r w:rsidRPr="00015C34">
        <w:rPr>
          <w:sz w:val="24"/>
          <w:szCs w:val="24"/>
        </w:rPr>
        <w:t xml:space="preserve"> </w:t>
      </w:r>
      <w:r w:rsidRPr="00015C34">
        <w:rPr>
          <w:rFonts w:ascii="Times New Roman" w:hAnsi="Times New Roman"/>
          <w:sz w:val="24"/>
          <w:szCs w:val="24"/>
        </w:rPr>
        <w:t>median baseline plasma HIV-1 RNA was 5.01 log</w:t>
      </w:r>
      <w:r w:rsidRPr="00015C34">
        <w:rPr>
          <w:rFonts w:ascii="Times New Roman" w:hAnsi="Times New Roman"/>
          <w:sz w:val="24"/>
          <w:szCs w:val="24"/>
          <w:vertAlign w:val="subscript"/>
        </w:rPr>
        <w:t>10</w:t>
      </w:r>
      <w:r w:rsidRPr="00015C34">
        <w:rPr>
          <w:rFonts w:ascii="Times New Roman" w:hAnsi="Times New Roman"/>
          <w:sz w:val="24"/>
          <w:szCs w:val="24"/>
        </w:rPr>
        <w:t xml:space="preserve"> copies/mL (range 3.56</w:t>
      </w:r>
      <w:r w:rsidR="00680508" w:rsidRPr="00015C34">
        <w:rPr>
          <w:rFonts w:ascii="Times New Roman" w:hAnsi="Times New Roman"/>
          <w:sz w:val="24"/>
          <w:szCs w:val="24"/>
        </w:rPr>
        <w:t xml:space="preserve"> to </w:t>
      </w:r>
      <w:r w:rsidRPr="00015C34">
        <w:rPr>
          <w:rFonts w:ascii="Times New Roman" w:hAnsi="Times New Roman"/>
          <w:sz w:val="24"/>
          <w:szCs w:val="24"/>
        </w:rPr>
        <w:t>6.54).</w:t>
      </w:r>
      <w:r w:rsidRPr="00015C34">
        <w:rPr>
          <w:sz w:val="24"/>
          <w:szCs w:val="24"/>
        </w:rPr>
        <w:t xml:space="preserve"> </w:t>
      </w:r>
      <w:r w:rsidRPr="00015C34">
        <w:rPr>
          <w:rFonts w:ascii="Times New Roman" w:hAnsi="Times New Roman"/>
          <w:sz w:val="24"/>
          <w:szCs w:val="24"/>
        </w:rPr>
        <w:t>Patients were stratified by baseline CD4 count (&lt; or ≥ 200 cells/mm</w:t>
      </w:r>
      <w:r w:rsidRPr="00015C34">
        <w:rPr>
          <w:rFonts w:ascii="Times New Roman" w:hAnsi="Times New Roman"/>
          <w:sz w:val="24"/>
          <w:szCs w:val="24"/>
          <w:vertAlign w:val="superscript"/>
        </w:rPr>
        <w:t>3</w:t>
      </w:r>
      <w:r w:rsidRPr="00015C34">
        <w:rPr>
          <w:rFonts w:ascii="Times New Roman" w:hAnsi="Times New Roman"/>
          <w:sz w:val="24"/>
          <w:szCs w:val="24"/>
        </w:rPr>
        <w:t>); 41% had CD4</w:t>
      </w:r>
      <w:r w:rsidRPr="00015C34">
        <w:rPr>
          <w:sz w:val="24"/>
          <w:szCs w:val="24"/>
        </w:rPr>
        <w:t xml:space="preserve"> </w:t>
      </w:r>
      <w:r w:rsidRPr="00015C34">
        <w:rPr>
          <w:rFonts w:ascii="Times New Roman" w:hAnsi="Times New Roman"/>
          <w:sz w:val="24"/>
          <w:szCs w:val="24"/>
        </w:rPr>
        <w:t>cell counts &lt;200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and 51% of patients had baseline viral loads &gt;100,000</w:t>
      </w:r>
      <w:r w:rsidRPr="00015C34">
        <w:rPr>
          <w:sz w:val="24"/>
          <w:szCs w:val="24"/>
        </w:rPr>
        <w:t xml:space="preserve"> </w:t>
      </w:r>
      <w:r w:rsidRPr="00015C34">
        <w:rPr>
          <w:rFonts w:ascii="Times New Roman" w:hAnsi="Times New Roman"/>
          <w:sz w:val="24"/>
          <w:szCs w:val="24"/>
        </w:rPr>
        <w:t xml:space="preserve">copies/mL Treatment outcomes </w:t>
      </w:r>
      <w:r w:rsidR="00680508" w:rsidRPr="00015C34">
        <w:rPr>
          <w:rFonts w:ascii="Times New Roman" w:hAnsi="Times New Roman"/>
          <w:sz w:val="24"/>
          <w:szCs w:val="24"/>
        </w:rPr>
        <w:t xml:space="preserve">at </w:t>
      </w:r>
      <w:r w:rsidRPr="00015C34">
        <w:rPr>
          <w:rFonts w:ascii="Times New Roman" w:hAnsi="Times New Roman"/>
          <w:sz w:val="24"/>
          <w:szCs w:val="24"/>
        </w:rPr>
        <w:t xml:space="preserve">48 </w:t>
      </w:r>
      <w:r w:rsidR="00680508" w:rsidRPr="00015C34">
        <w:rPr>
          <w:rFonts w:ascii="Times New Roman" w:hAnsi="Times New Roman"/>
          <w:sz w:val="24"/>
          <w:szCs w:val="24"/>
        </w:rPr>
        <w:t xml:space="preserve">and 144 </w:t>
      </w:r>
      <w:r w:rsidRPr="00015C34">
        <w:rPr>
          <w:rFonts w:ascii="Times New Roman" w:hAnsi="Times New Roman"/>
          <w:sz w:val="24"/>
          <w:szCs w:val="24"/>
        </w:rPr>
        <w:t>weeks for those patients who did not have</w:t>
      </w:r>
      <w:r w:rsidRPr="00015C34">
        <w:rPr>
          <w:sz w:val="24"/>
          <w:szCs w:val="24"/>
        </w:rPr>
        <w:t xml:space="preserve"> </w:t>
      </w:r>
      <w:r w:rsidRPr="00015C34">
        <w:rPr>
          <w:rFonts w:ascii="Times New Roman" w:hAnsi="Times New Roman"/>
          <w:sz w:val="24"/>
          <w:szCs w:val="24"/>
        </w:rPr>
        <w:t xml:space="preserve">efavirenz resistance at baseline are presented in Table </w:t>
      </w:r>
      <w:r w:rsidR="00DE0F47" w:rsidRPr="00015C34">
        <w:rPr>
          <w:rFonts w:ascii="Times New Roman" w:hAnsi="Times New Roman"/>
          <w:sz w:val="24"/>
          <w:szCs w:val="24"/>
        </w:rPr>
        <w:t>7</w:t>
      </w:r>
      <w:r w:rsidRPr="00015C34">
        <w:rPr>
          <w:rFonts w:ascii="Times New Roman" w:hAnsi="Times New Roman"/>
          <w:sz w:val="24"/>
          <w:szCs w:val="24"/>
        </w:rPr>
        <w:t>.</w:t>
      </w:r>
    </w:p>
    <w:p w:rsidR="00331F62" w:rsidRPr="007520BC" w:rsidRDefault="00331F62" w:rsidP="009718F7">
      <w:pPr>
        <w:pStyle w:val="Text1"/>
        <w:spacing w:after="0"/>
        <w:jc w:val="both"/>
        <w:rPr>
          <w:sz w:val="22"/>
          <w:szCs w:val="22"/>
          <w:lang w:val="en-AU"/>
        </w:rPr>
      </w:pPr>
    </w:p>
    <w:p w:rsidR="00DE0F47" w:rsidRPr="007520BC" w:rsidRDefault="00DE0F47" w:rsidP="00DE0F47">
      <w:pPr>
        <w:autoSpaceDE w:val="0"/>
        <w:autoSpaceDN w:val="0"/>
        <w:adjustRightInd w:val="0"/>
        <w:spacing w:after="120"/>
        <w:rPr>
          <w:rFonts w:ascii="Times New Roman" w:hAnsi="Times New Roman"/>
          <w:b/>
          <w:bCs/>
          <w:sz w:val="22"/>
          <w:szCs w:val="22"/>
        </w:rPr>
      </w:pPr>
      <w:r w:rsidRPr="007520BC">
        <w:rPr>
          <w:rFonts w:ascii="Times New Roman" w:hAnsi="Times New Roman"/>
          <w:b/>
          <w:bCs/>
          <w:sz w:val="22"/>
          <w:szCs w:val="22"/>
        </w:rPr>
        <w:t xml:space="preserve">Table 7 </w:t>
      </w:r>
      <w:r w:rsidR="001555F7">
        <w:rPr>
          <w:rFonts w:ascii="Times New Roman" w:hAnsi="Times New Roman"/>
          <w:b/>
          <w:bCs/>
          <w:sz w:val="22"/>
          <w:szCs w:val="22"/>
        </w:rPr>
        <w:tab/>
      </w:r>
      <w:r w:rsidRPr="007520BC">
        <w:rPr>
          <w:rFonts w:ascii="Times New Roman" w:hAnsi="Times New Roman"/>
          <w:b/>
          <w:bCs/>
          <w:sz w:val="22"/>
          <w:szCs w:val="22"/>
        </w:rPr>
        <w:t>Outcomes of Randomi</w:t>
      </w:r>
      <w:r w:rsidR="006537A6" w:rsidRPr="007520BC">
        <w:rPr>
          <w:rFonts w:ascii="Times New Roman" w:hAnsi="Times New Roman"/>
          <w:b/>
          <w:bCs/>
          <w:sz w:val="22"/>
          <w:szCs w:val="22"/>
        </w:rPr>
        <w:t>s</w:t>
      </w:r>
      <w:r w:rsidRPr="007520BC">
        <w:rPr>
          <w:rFonts w:ascii="Times New Roman" w:hAnsi="Times New Roman"/>
          <w:b/>
          <w:bCs/>
          <w:sz w:val="22"/>
          <w:szCs w:val="22"/>
        </w:rPr>
        <w:t>ed Treatment at Week</w:t>
      </w:r>
      <w:r w:rsidR="00680508">
        <w:rPr>
          <w:rFonts w:ascii="Times New Roman" w:hAnsi="Times New Roman"/>
          <w:b/>
          <w:bCs/>
          <w:sz w:val="22"/>
          <w:szCs w:val="22"/>
        </w:rPr>
        <w:t>s</w:t>
      </w:r>
      <w:r w:rsidRPr="007520BC">
        <w:rPr>
          <w:rFonts w:ascii="Times New Roman" w:hAnsi="Times New Roman"/>
          <w:b/>
          <w:bCs/>
          <w:sz w:val="22"/>
          <w:szCs w:val="22"/>
        </w:rPr>
        <w:t xml:space="preserve"> 48 </w:t>
      </w:r>
      <w:r w:rsidR="00680508">
        <w:rPr>
          <w:rFonts w:ascii="Times New Roman" w:hAnsi="Times New Roman"/>
          <w:b/>
          <w:bCs/>
          <w:sz w:val="22"/>
          <w:szCs w:val="22"/>
        </w:rPr>
        <w:t xml:space="preserve">and 144 </w:t>
      </w:r>
      <w:r w:rsidRPr="007520BC">
        <w:rPr>
          <w:rFonts w:ascii="Times New Roman" w:hAnsi="Times New Roman"/>
          <w:b/>
          <w:bCs/>
          <w:sz w:val="22"/>
          <w:szCs w:val="22"/>
        </w:rPr>
        <w:t>(Study 934)</w:t>
      </w:r>
      <w:r w:rsidR="000F41FF" w:rsidRPr="000F41FF">
        <w:rPr>
          <w:rFonts w:ascii="Times New Roman" w:hAnsi="Times New Roman"/>
          <w:b/>
          <w:bCs/>
          <w:sz w:val="22"/>
          <w:szCs w:val="22"/>
          <w:lang w:val="en-US"/>
        </w:rPr>
        <w:t xml:space="preserve"> </w:t>
      </w:r>
      <w:r w:rsidR="000F41FF">
        <w:rPr>
          <w:rFonts w:ascii="Times New Roman" w:hAnsi="Times New Roman"/>
          <w:b/>
          <w:bCs/>
          <w:sz w:val="22"/>
          <w:szCs w:val="22"/>
          <w:lang w:val="en-US"/>
        </w:rPr>
        <w:t xml:space="preserve">in Treatment </w:t>
      </w:r>
      <w:r w:rsidR="001555F7">
        <w:rPr>
          <w:rFonts w:ascii="Times New Roman" w:hAnsi="Times New Roman"/>
          <w:b/>
          <w:bCs/>
          <w:sz w:val="22"/>
          <w:szCs w:val="22"/>
          <w:lang w:val="en-US"/>
        </w:rPr>
        <w:tab/>
      </w:r>
      <w:r w:rsidR="001555F7">
        <w:rPr>
          <w:rFonts w:ascii="Times New Roman" w:hAnsi="Times New Roman"/>
          <w:b/>
          <w:bCs/>
          <w:sz w:val="22"/>
          <w:szCs w:val="22"/>
          <w:lang w:val="en-US"/>
        </w:rPr>
        <w:tab/>
      </w:r>
      <w:r w:rsidR="000F41FF">
        <w:rPr>
          <w:rFonts w:ascii="Times New Roman" w:hAnsi="Times New Roman"/>
          <w:b/>
          <w:bCs/>
          <w:sz w:val="22"/>
          <w:szCs w:val="22"/>
          <w:lang w:val="en-US"/>
        </w:rPr>
        <w:t>Naïve Patients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8"/>
        <w:gridCol w:w="1920"/>
        <w:gridCol w:w="1560"/>
        <w:gridCol w:w="1440"/>
        <w:gridCol w:w="1440"/>
      </w:tblGrid>
      <w:tr w:rsidR="00680508" w:rsidRPr="007A201D" w:rsidTr="007A201D">
        <w:tc>
          <w:tcPr>
            <w:tcW w:w="3468" w:type="dxa"/>
            <w:vMerge w:val="restart"/>
            <w:shd w:val="clear" w:color="auto" w:fill="auto"/>
          </w:tcPr>
          <w:p w:rsidR="00680508" w:rsidRPr="007A201D" w:rsidRDefault="00680508" w:rsidP="007A201D">
            <w:pPr>
              <w:autoSpaceDE w:val="0"/>
              <w:autoSpaceDN w:val="0"/>
              <w:adjustRightInd w:val="0"/>
              <w:spacing w:before="120" w:after="120"/>
              <w:rPr>
                <w:b/>
                <w:bCs/>
                <w:sz w:val="22"/>
                <w:szCs w:val="22"/>
              </w:rPr>
            </w:pPr>
          </w:p>
          <w:p w:rsidR="00680508" w:rsidRPr="007A201D" w:rsidRDefault="00680508" w:rsidP="007A201D">
            <w:pPr>
              <w:autoSpaceDE w:val="0"/>
              <w:autoSpaceDN w:val="0"/>
              <w:adjustRightInd w:val="0"/>
              <w:spacing w:before="120" w:after="120"/>
              <w:rPr>
                <w:b/>
                <w:bCs/>
                <w:sz w:val="22"/>
                <w:szCs w:val="22"/>
              </w:rPr>
            </w:pPr>
            <w:r w:rsidRPr="007A201D">
              <w:rPr>
                <w:rFonts w:ascii="Times New Roman" w:hAnsi="Times New Roman"/>
                <w:b/>
                <w:bCs/>
                <w:sz w:val="22"/>
                <w:szCs w:val="22"/>
              </w:rPr>
              <w:t>Outcome at Weeks 48 and 144</w:t>
            </w:r>
          </w:p>
        </w:tc>
        <w:tc>
          <w:tcPr>
            <w:tcW w:w="3480" w:type="dxa"/>
            <w:gridSpan w:val="2"/>
            <w:shd w:val="clear" w:color="auto" w:fill="auto"/>
          </w:tcPr>
          <w:p w:rsidR="00680508" w:rsidRPr="007A201D" w:rsidRDefault="00680508"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WEEK 48</w:t>
            </w:r>
          </w:p>
        </w:tc>
        <w:tc>
          <w:tcPr>
            <w:tcW w:w="2880" w:type="dxa"/>
            <w:gridSpan w:val="2"/>
            <w:shd w:val="clear" w:color="auto" w:fill="auto"/>
          </w:tcPr>
          <w:p w:rsidR="00680508" w:rsidRPr="007A201D" w:rsidRDefault="00680508"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WEEK 144</w:t>
            </w:r>
          </w:p>
        </w:tc>
      </w:tr>
      <w:tr w:rsidR="00680508" w:rsidRPr="007A201D" w:rsidTr="007A201D">
        <w:trPr>
          <w:trHeight w:val="860"/>
        </w:trPr>
        <w:tc>
          <w:tcPr>
            <w:tcW w:w="3468" w:type="dxa"/>
            <w:vMerge/>
            <w:shd w:val="clear" w:color="auto" w:fill="auto"/>
          </w:tcPr>
          <w:p w:rsidR="00680508" w:rsidRPr="007A201D" w:rsidRDefault="00680508" w:rsidP="007A201D">
            <w:pPr>
              <w:autoSpaceDE w:val="0"/>
              <w:autoSpaceDN w:val="0"/>
              <w:adjustRightInd w:val="0"/>
              <w:spacing w:before="120" w:after="120"/>
              <w:rPr>
                <w:b/>
                <w:bCs/>
                <w:sz w:val="22"/>
                <w:szCs w:val="22"/>
              </w:rPr>
            </w:pPr>
          </w:p>
        </w:tc>
        <w:tc>
          <w:tcPr>
            <w:tcW w:w="1920" w:type="dxa"/>
            <w:shd w:val="clear" w:color="auto" w:fill="auto"/>
          </w:tcPr>
          <w:p w:rsidR="00680508" w:rsidRPr="007A201D" w:rsidRDefault="00680508"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VIREAD + EMTRIVA+EFV</w:t>
            </w:r>
          </w:p>
          <w:p w:rsidR="00680508" w:rsidRPr="007A201D" w:rsidRDefault="00680508" w:rsidP="007A201D">
            <w:pPr>
              <w:autoSpaceDE w:val="0"/>
              <w:autoSpaceDN w:val="0"/>
              <w:adjustRightInd w:val="0"/>
              <w:jc w:val="center"/>
              <w:rPr>
                <w:b/>
                <w:bCs/>
                <w:sz w:val="22"/>
                <w:szCs w:val="22"/>
              </w:rPr>
            </w:pPr>
            <w:r w:rsidRPr="007A201D">
              <w:rPr>
                <w:rFonts w:ascii="Times New Roman" w:hAnsi="Times New Roman"/>
                <w:b/>
                <w:bCs/>
                <w:sz w:val="22"/>
                <w:szCs w:val="22"/>
              </w:rPr>
              <w:t>(N=244)</w:t>
            </w:r>
          </w:p>
        </w:tc>
        <w:tc>
          <w:tcPr>
            <w:tcW w:w="1560" w:type="dxa"/>
            <w:shd w:val="clear" w:color="auto" w:fill="auto"/>
          </w:tcPr>
          <w:p w:rsidR="00680508" w:rsidRPr="007A201D" w:rsidRDefault="00537553"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Combivir</w:t>
            </w:r>
          </w:p>
          <w:p w:rsidR="00680508" w:rsidRPr="007A201D" w:rsidRDefault="00680508" w:rsidP="007A201D">
            <w:pPr>
              <w:autoSpaceDE w:val="0"/>
              <w:autoSpaceDN w:val="0"/>
              <w:adjustRightInd w:val="0"/>
              <w:jc w:val="center"/>
              <w:rPr>
                <w:b/>
                <w:bCs/>
                <w:sz w:val="22"/>
                <w:szCs w:val="22"/>
              </w:rPr>
            </w:pPr>
            <w:r w:rsidRPr="007A201D">
              <w:rPr>
                <w:rFonts w:ascii="Times New Roman" w:hAnsi="Times New Roman"/>
                <w:b/>
                <w:bCs/>
                <w:sz w:val="22"/>
                <w:szCs w:val="22"/>
              </w:rPr>
              <w:t>+ EFV</w:t>
            </w:r>
          </w:p>
          <w:p w:rsidR="00680508" w:rsidRPr="007A201D" w:rsidRDefault="00680508" w:rsidP="007A201D">
            <w:pPr>
              <w:autoSpaceDE w:val="0"/>
              <w:autoSpaceDN w:val="0"/>
              <w:adjustRightInd w:val="0"/>
              <w:jc w:val="center"/>
              <w:rPr>
                <w:b/>
                <w:bCs/>
                <w:sz w:val="22"/>
                <w:szCs w:val="22"/>
              </w:rPr>
            </w:pPr>
            <w:r w:rsidRPr="007A201D">
              <w:rPr>
                <w:rFonts w:ascii="Times New Roman" w:hAnsi="Times New Roman"/>
                <w:b/>
                <w:bCs/>
                <w:sz w:val="22"/>
                <w:szCs w:val="22"/>
              </w:rPr>
              <w:t>(N=243)</w:t>
            </w:r>
          </w:p>
        </w:tc>
        <w:tc>
          <w:tcPr>
            <w:tcW w:w="1440" w:type="dxa"/>
            <w:shd w:val="clear" w:color="auto" w:fill="auto"/>
          </w:tcPr>
          <w:p w:rsidR="00680508" w:rsidRPr="007A201D" w:rsidRDefault="00680508"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TRUVADA</w:t>
            </w:r>
            <w:r w:rsidRPr="007A201D">
              <w:rPr>
                <w:rFonts w:ascii="Times New Roman Bold" w:hAnsi="Times New Roman Bold"/>
                <w:b/>
                <w:bCs/>
                <w:sz w:val="22"/>
                <w:szCs w:val="22"/>
                <w:vertAlign w:val="superscript"/>
              </w:rPr>
              <w:t>4</w:t>
            </w:r>
            <w:r w:rsidRPr="007A201D">
              <w:rPr>
                <w:rFonts w:ascii="Times New Roman" w:hAnsi="Times New Roman"/>
                <w:b/>
                <w:bCs/>
                <w:sz w:val="22"/>
                <w:szCs w:val="22"/>
              </w:rPr>
              <w:t xml:space="preserve"> + EFV</w:t>
            </w:r>
          </w:p>
          <w:p w:rsidR="00680508" w:rsidRPr="007A201D" w:rsidRDefault="00680508"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(N</w:t>
            </w:r>
            <w:r w:rsidR="005942B6" w:rsidRPr="007A201D">
              <w:rPr>
                <w:rFonts w:ascii="Times New Roman" w:hAnsi="Times New Roman"/>
                <w:b/>
                <w:bCs/>
                <w:sz w:val="22"/>
                <w:szCs w:val="22"/>
              </w:rPr>
              <w:t>=</w:t>
            </w:r>
            <w:r w:rsidRPr="007A201D">
              <w:rPr>
                <w:rFonts w:ascii="Times New Roman" w:hAnsi="Times New Roman"/>
                <w:b/>
                <w:bCs/>
                <w:sz w:val="22"/>
                <w:szCs w:val="22"/>
              </w:rPr>
              <w:t>227)</w:t>
            </w:r>
          </w:p>
        </w:tc>
        <w:tc>
          <w:tcPr>
            <w:tcW w:w="1440" w:type="dxa"/>
            <w:shd w:val="clear" w:color="auto" w:fill="auto"/>
          </w:tcPr>
          <w:p w:rsidR="00680508" w:rsidRPr="007A201D" w:rsidRDefault="00537553"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Combivir</w:t>
            </w:r>
            <w:r w:rsidR="00680508" w:rsidRPr="007A201D">
              <w:rPr>
                <w:rFonts w:ascii="Times New Roman" w:hAnsi="Times New Roman"/>
                <w:b/>
                <w:bCs/>
                <w:sz w:val="22"/>
                <w:szCs w:val="22"/>
              </w:rPr>
              <w:t xml:space="preserve"> + EFV</w:t>
            </w:r>
          </w:p>
          <w:p w:rsidR="00680508" w:rsidRPr="007A201D" w:rsidRDefault="00680508" w:rsidP="007A201D">
            <w:pPr>
              <w:autoSpaceDE w:val="0"/>
              <w:autoSpaceDN w:val="0"/>
              <w:adjustRightInd w:val="0"/>
              <w:jc w:val="center"/>
              <w:rPr>
                <w:rFonts w:ascii="Times New Roman" w:hAnsi="Times New Roman"/>
                <w:b/>
                <w:bCs/>
                <w:sz w:val="22"/>
                <w:szCs w:val="22"/>
              </w:rPr>
            </w:pPr>
            <w:r w:rsidRPr="007A201D">
              <w:rPr>
                <w:rFonts w:ascii="Times New Roman" w:hAnsi="Times New Roman"/>
                <w:b/>
                <w:bCs/>
                <w:sz w:val="22"/>
                <w:szCs w:val="22"/>
              </w:rPr>
              <w:t>(N=229)</w:t>
            </w:r>
          </w:p>
        </w:tc>
      </w:tr>
      <w:tr w:rsidR="00680508" w:rsidRPr="007A201D" w:rsidTr="007A201D">
        <w:tc>
          <w:tcPr>
            <w:tcW w:w="3468" w:type="dxa"/>
            <w:shd w:val="clear" w:color="auto" w:fill="auto"/>
            <w:vAlign w:val="center"/>
          </w:tcPr>
          <w:p w:rsidR="00680508" w:rsidRPr="007A201D" w:rsidRDefault="00680508" w:rsidP="007A201D">
            <w:pPr>
              <w:autoSpaceDE w:val="0"/>
              <w:autoSpaceDN w:val="0"/>
              <w:adjustRightInd w:val="0"/>
              <w:spacing w:before="120" w:after="120"/>
              <w:rPr>
                <w:bCs/>
                <w:sz w:val="22"/>
                <w:szCs w:val="22"/>
              </w:rPr>
            </w:pPr>
            <w:r w:rsidRPr="007A201D">
              <w:rPr>
                <w:rFonts w:ascii="Times New Roman" w:hAnsi="Times New Roman"/>
                <w:sz w:val="22"/>
                <w:szCs w:val="22"/>
              </w:rPr>
              <w:t>Responder</w:t>
            </w:r>
            <w:r w:rsidRPr="007A201D">
              <w:rPr>
                <w:rFonts w:ascii="Times New Roman" w:hAnsi="Times New Roman"/>
                <w:sz w:val="22"/>
                <w:szCs w:val="22"/>
                <w:vertAlign w:val="superscript"/>
              </w:rPr>
              <w:t>1</w:t>
            </w:r>
          </w:p>
        </w:tc>
        <w:tc>
          <w:tcPr>
            <w:tcW w:w="192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84%</w:t>
            </w:r>
          </w:p>
        </w:tc>
        <w:tc>
          <w:tcPr>
            <w:tcW w:w="156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73%</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71%</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58%</w:t>
            </w:r>
          </w:p>
        </w:tc>
      </w:tr>
      <w:tr w:rsidR="00680508" w:rsidRPr="007A201D" w:rsidTr="007A201D">
        <w:tc>
          <w:tcPr>
            <w:tcW w:w="3468" w:type="dxa"/>
            <w:shd w:val="clear" w:color="auto" w:fill="auto"/>
            <w:vAlign w:val="center"/>
          </w:tcPr>
          <w:p w:rsidR="00680508" w:rsidRPr="007A201D" w:rsidRDefault="00680508" w:rsidP="007A201D">
            <w:pPr>
              <w:autoSpaceDE w:val="0"/>
              <w:autoSpaceDN w:val="0"/>
              <w:adjustRightInd w:val="0"/>
              <w:spacing w:before="120" w:after="120"/>
              <w:rPr>
                <w:bCs/>
                <w:sz w:val="22"/>
                <w:szCs w:val="22"/>
              </w:rPr>
            </w:pPr>
            <w:r w:rsidRPr="007A201D">
              <w:rPr>
                <w:rFonts w:ascii="Times New Roman" w:hAnsi="Times New Roman"/>
                <w:sz w:val="22"/>
                <w:szCs w:val="22"/>
              </w:rPr>
              <w:t>Virologic failure</w:t>
            </w:r>
            <w:r w:rsidRPr="007A201D">
              <w:rPr>
                <w:rFonts w:ascii="Times New Roman" w:hAnsi="Times New Roman"/>
                <w:sz w:val="22"/>
                <w:szCs w:val="22"/>
                <w:vertAlign w:val="superscript"/>
              </w:rPr>
              <w:t>2</w:t>
            </w:r>
          </w:p>
        </w:tc>
        <w:tc>
          <w:tcPr>
            <w:tcW w:w="192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2%</w:t>
            </w:r>
          </w:p>
        </w:tc>
        <w:tc>
          <w:tcPr>
            <w:tcW w:w="156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4%</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3%</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6%</w:t>
            </w:r>
          </w:p>
        </w:tc>
      </w:tr>
      <w:tr w:rsidR="00680508" w:rsidRPr="007A201D" w:rsidTr="007A201D">
        <w:tc>
          <w:tcPr>
            <w:tcW w:w="3468" w:type="dxa"/>
            <w:shd w:val="clear" w:color="auto" w:fill="auto"/>
            <w:vAlign w:val="center"/>
          </w:tcPr>
          <w:p w:rsidR="00680508" w:rsidRPr="007A201D" w:rsidRDefault="00680508" w:rsidP="007A201D">
            <w:pPr>
              <w:autoSpaceDE w:val="0"/>
              <w:autoSpaceDN w:val="0"/>
              <w:adjustRightInd w:val="0"/>
              <w:spacing w:before="120" w:after="120"/>
              <w:rPr>
                <w:bCs/>
                <w:sz w:val="22"/>
                <w:szCs w:val="22"/>
              </w:rPr>
            </w:pPr>
            <w:r w:rsidRPr="007A201D">
              <w:rPr>
                <w:sz w:val="22"/>
                <w:szCs w:val="22"/>
              </w:rPr>
              <w:t xml:space="preserve">     </w:t>
            </w:r>
            <w:r w:rsidRPr="007A201D">
              <w:rPr>
                <w:rFonts w:ascii="Times New Roman" w:hAnsi="Times New Roman"/>
                <w:sz w:val="22"/>
                <w:szCs w:val="22"/>
              </w:rPr>
              <w:t>Rebound</w:t>
            </w:r>
          </w:p>
        </w:tc>
        <w:tc>
          <w:tcPr>
            <w:tcW w:w="192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1%</w:t>
            </w:r>
          </w:p>
        </w:tc>
        <w:tc>
          <w:tcPr>
            <w:tcW w:w="1560" w:type="dxa"/>
            <w:shd w:val="clear" w:color="auto" w:fill="auto"/>
            <w:vAlign w:val="center"/>
          </w:tcPr>
          <w:p w:rsidR="00680508" w:rsidRPr="007A201D" w:rsidRDefault="00680508" w:rsidP="007A201D">
            <w:pPr>
              <w:autoSpaceDE w:val="0"/>
              <w:autoSpaceDN w:val="0"/>
              <w:adjustRightInd w:val="0"/>
              <w:spacing w:before="120" w:after="120"/>
              <w:jc w:val="center"/>
              <w:rPr>
                <w:sz w:val="22"/>
                <w:szCs w:val="22"/>
              </w:rPr>
            </w:pPr>
            <w:r w:rsidRPr="007A201D">
              <w:rPr>
                <w:rFonts w:ascii="Times New Roman" w:hAnsi="Times New Roman"/>
                <w:sz w:val="22"/>
                <w:szCs w:val="22"/>
              </w:rPr>
              <w:t>3%</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2%</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5%</w:t>
            </w:r>
          </w:p>
        </w:tc>
      </w:tr>
      <w:tr w:rsidR="00680508" w:rsidRPr="007A201D" w:rsidTr="007A201D">
        <w:tc>
          <w:tcPr>
            <w:tcW w:w="3468" w:type="dxa"/>
            <w:shd w:val="clear" w:color="auto" w:fill="auto"/>
            <w:vAlign w:val="center"/>
          </w:tcPr>
          <w:p w:rsidR="00680508" w:rsidRPr="007A201D" w:rsidRDefault="00680508" w:rsidP="007A201D">
            <w:pPr>
              <w:autoSpaceDE w:val="0"/>
              <w:autoSpaceDN w:val="0"/>
              <w:adjustRightInd w:val="0"/>
              <w:spacing w:before="120" w:after="120"/>
              <w:rPr>
                <w:bCs/>
                <w:sz w:val="22"/>
                <w:szCs w:val="22"/>
              </w:rPr>
            </w:pPr>
            <w:r w:rsidRPr="007A201D">
              <w:rPr>
                <w:sz w:val="22"/>
                <w:szCs w:val="22"/>
              </w:rPr>
              <w:t xml:space="preserve">     </w:t>
            </w:r>
            <w:r w:rsidRPr="007A201D">
              <w:rPr>
                <w:rFonts w:ascii="Times New Roman" w:hAnsi="Times New Roman"/>
                <w:sz w:val="22"/>
                <w:szCs w:val="22"/>
              </w:rPr>
              <w:t xml:space="preserve">Never suppressed </w:t>
            </w:r>
          </w:p>
        </w:tc>
        <w:tc>
          <w:tcPr>
            <w:tcW w:w="192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0%</w:t>
            </w:r>
          </w:p>
        </w:tc>
        <w:tc>
          <w:tcPr>
            <w:tcW w:w="156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0%</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0%</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0%</w:t>
            </w:r>
          </w:p>
        </w:tc>
      </w:tr>
      <w:tr w:rsidR="00680508" w:rsidRPr="007A201D" w:rsidTr="007A201D">
        <w:tc>
          <w:tcPr>
            <w:tcW w:w="3468" w:type="dxa"/>
            <w:shd w:val="clear" w:color="auto" w:fill="auto"/>
            <w:vAlign w:val="center"/>
          </w:tcPr>
          <w:p w:rsidR="00680508" w:rsidRPr="007A201D" w:rsidRDefault="00680508" w:rsidP="007A201D">
            <w:pPr>
              <w:autoSpaceDE w:val="0"/>
              <w:autoSpaceDN w:val="0"/>
              <w:adjustRightInd w:val="0"/>
              <w:spacing w:before="120" w:after="120"/>
              <w:rPr>
                <w:bCs/>
                <w:sz w:val="22"/>
                <w:szCs w:val="22"/>
              </w:rPr>
            </w:pPr>
            <w:r w:rsidRPr="007A201D">
              <w:rPr>
                <w:sz w:val="22"/>
                <w:szCs w:val="22"/>
              </w:rPr>
              <w:t xml:space="preserve">     </w:t>
            </w:r>
            <w:r w:rsidRPr="007A201D">
              <w:rPr>
                <w:rFonts w:ascii="Times New Roman" w:hAnsi="Times New Roman"/>
                <w:sz w:val="22"/>
                <w:szCs w:val="22"/>
              </w:rPr>
              <w:t>Change in antiretroviral regimen</w:t>
            </w:r>
          </w:p>
        </w:tc>
        <w:tc>
          <w:tcPr>
            <w:tcW w:w="192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1%</w:t>
            </w:r>
          </w:p>
        </w:tc>
        <w:tc>
          <w:tcPr>
            <w:tcW w:w="156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1%</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1%</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1%</w:t>
            </w:r>
          </w:p>
        </w:tc>
      </w:tr>
      <w:tr w:rsidR="00680508" w:rsidRPr="007A201D" w:rsidTr="007A201D">
        <w:tc>
          <w:tcPr>
            <w:tcW w:w="3468" w:type="dxa"/>
            <w:shd w:val="clear" w:color="auto" w:fill="auto"/>
            <w:vAlign w:val="center"/>
          </w:tcPr>
          <w:p w:rsidR="00680508" w:rsidRPr="007A201D" w:rsidRDefault="00680508" w:rsidP="007A201D">
            <w:pPr>
              <w:autoSpaceDE w:val="0"/>
              <w:autoSpaceDN w:val="0"/>
              <w:adjustRightInd w:val="0"/>
              <w:spacing w:before="120" w:after="120"/>
              <w:rPr>
                <w:bCs/>
                <w:sz w:val="22"/>
                <w:szCs w:val="22"/>
              </w:rPr>
            </w:pPr>
            <w:r w:rsidRPr="007A201D">
              <w:rPr>
                <w:rFonts w:ascii="Times New Roman" w:hAnsi="Times New Roman"/>
                <w:sz w:val="22"/>
                <w:szCs w:val="22"/>
              </w:rPr>
              <w:t>Death</w:t>
            </w:r>
            <w:r w:rsidRPr="007A201D">
              <w:rPr>
                <w:rFonts w:ascii="Times New Roman" w:hAnsi="Times New Roman"/>
                <w:sz w:val="22"/>
                <w:szCs w:val="22"/>
                <w:vertAlign w:val="superscript"/>
              </w:rPr>
              <w:t>3</w:t>
            </w:r>
          </w:p>
        </w:tc>
        <w:tc>
          <w:tcPr>
            <w:tcW w:w="192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&lt;1%</w:t>
            </w:r>
          </w:p>
        </w:tc>
        <w:tc>
          <w:tcPr>
            <w:tcW w:w="1560" w:type="dxa"/>
            <w:shd w:val="clear" w:color="auto" w:fill="auto"/>
            <w:vAlign w:val="center"/>
          </w:tcPr>
          <w:p w:rsidR="00680508" w:rsidRPr="007A201D" w:rsidRDefault="00680508" w:rsidP="007A201D">
            <w:pPr>
              <w:autoSpaceDE w:val="0"/>
              <w:autoSpaceDN w:val="0"/>
              <w:adjustRightInd w:val="0"/>
              <w:spacing w:before="120" w:after="120"/>
              <w:jc w:val="center"/>
              <w:rPr>
                <w:bCs/>
                <w:sz w:val="22"/>
                <w:szCs w:val="22"/>
              </w:rPr>
            </w:pPr>
            <w:r w:rsidRPr="007A201D">
              <w:rPr>
                <w:rFonts w:ascii="Times New Roman" w:hAnsi="Times New Roman"/>
                <w:sz w:val="22"/>
                <w:szCs w:val="22"/>
              </w:rPr>
              <w:t>1%</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1%</w:t>
            </w:r>
          </w:p>
        </w:tc>
        <w:tc>
          <w:tcPr>
            <w:tcW w:w="1440" w:type="dxa"/>
            <w:shd w:val="clear" w:color="auto" w:fill="auto"/>
          </w:tcPr>
          <w:p w:rsidR="00680508" w:rsidRPr="007A201D" w:rsidRDefault="00680508" w:rsidP="007A201D">
            <w:pPr>
              <w:autoSpaceDE w:val="0"/>
              <w:autoSpaceDN w:val="0"/>
              <w:adjustRightInd w:val="0"/>
              <w:spacing w:before="120" w:after="120"/>
              <w:jc w:val="center"/>
              <w:rPr>
                <w:rFonts w:ascii="Times New Roman" w:hAnsi="Times New Roman"/>
                <w:sz w:val="22"/>
                <w:szCs w:val="22"/>
              </w:rPr>
            </w:pPr>
            <w:r w:rsidRPr="007A201D">
              <w:rPr>
                <w:rFonts w:ascii="Times New Roman" w:hAnsi="Times New Roman"/>
                <w:sz w:val="22"/>
                <w:szCs w:val="22"/>
              </w:rPr>
              <w:t>1%</w:t>
            </w:r>
          </w:p>
        </w:tc>
      </w:tr>
    </w:tbl>
    <w:p w:rsidR="00DE0F47" w:rsidRPr="007520BC" w:rsidRDefault="00DE0F47" w:rsidP="00DE0F47">
      <w:pPr>
        <w:autoSpaceDE w:val="0"/>
        <w:autoSpaceDN w:val="0"/>
        <w:adjustRightInd w:val="0"/>
        <w:rPr>
          <w:rFonts w:ascii="Times New Roman" w:hAnsi="Times New Roman"/>
        </w:rPr>
      </w:pPr>
      <w:r w:rsidRPr="007520BC">
        <w:rPr>
          <w:rFonts w:ascii="Times New Roman" w:hAnsi="Times New Roman"/>
        </w:rPr>
        <w:t>1. Patients achieved and maintained confirmed HIV-1 RNA &lt;400 copies/mL.</w:t>
      </w:r>
    </w:p>
    <w:p w:rsidR="00DE0F47" w:rsidRPr="007520BC" w:rsidRDefault="00DE0F47" w:rsidP="00DE0F47">
      <w:pPr>
        <w:autoSpaceDE w:val="0"/>
        <w:autoSpaceDN w:val="0"/>
        <w:adjustRightInd w:val="0"/>
        <w:rPr>
          <w:rFonts w:ascii="Times New Roman" w:hAnsi="Times New Roman"/>
        </w:rPr>
      </w:pPr>
      <w:r w:rsidRPr="007520BC">
        <w:rPr>
          <w:rFonts w:ascii="Times New Roman" w:hAnsi="Times New Roman"/>
        </w:rPr>
        <w:t>2. Includes confirmed viral rebound and failure to achieve confirmed &lt;400 copies/mL.</w:t>
      </w:r>
    </w:p>
    <w:p w:rsidR="00DE0F47" w:rsidRDefault="00DE0F47" w:rsidP="00DE0F47">
      <w:pPr>
        <w:autoSpaceDE w:val="0"/>
        <w:autoSpaceDN w:val="0"/>
        <w:adjustRightInd w:val="0"/>
        <w:rPr>
          <w:rFonts w:ascii="Times New Roman" w:hAnsi="Times New Roman"/>
          <w:lang w:val="en-US"/>
        </w:rPr>
      </w:pPr>
      <w:r w:rsidRPr="007520BC">
        <w:rPr>
          <w:rFonts w:ascii="Times New Roman" w:hAnsi="Times New Roman"/>
        </w:rPr>
        <w:t xml:space="preserve">3. </w:t>
      </w:r>
      <w:r w:rsidR="000F41FF">
        <w:rPr>
          <w:rFonts w:ascii="Times New Roman" w:hAnsi="Times New Roman"/>
          <w:lang w:val="en-US"/>
        </w:rPr>
        <w:t>All deaths were unrelated to study drugs.</w:t>
      </w:r>
    </w:p>
    <w:p w:rsidR="00680508" w:rsidRPr="007520BC" w:rsidRDefault="00680508" w:rsidP="00DE0F47">
      <w:pPr>
        <w:autoSpaceDE w:val="0"/>
        <w:autoSpaceDN w:val="0"/>
        <w:adjustRightInd w:val="0"/>
        <w:rPr>
          <w:rFonts w:ascii="Times New Roman" w:hAnsi="Times New Roman"/>
        </w:rPr>
      </w:pPr>
      <w:r>
        <w:rPr>
          <w:rFonts w:ascii="Times New Roman" w:hAnsi="Times New Roman"/>
          <w:lang w:val="en-US"/>
        </w:rPr>
        <w:t xml:space="preserve">4. Patients received </w:t>
      </w:r>
      <w:r w:rsidR="00D66BCC">
        <w:rPr>
          <w:rFonts w:ascii="Times New Roman" w:hAnsi="Times New Roman"/>
          <w:lang w:val="en-US"/>
        </w:rPr>
        <w:t xml:space="preserve">VIREAD + </w:t>
      </w:r>
      <w:r>
        <w:rPr>
          <w:rFonts w:ascii="Times New Roman" w:hAnsi="Times New Roman"/>
          <w:lang w:val="en-US"/>
        </w:rPr>
        <w:t>EMTRIVA up to week 96 and switched to TRUVADA from week 96 to 144.</w:t>
      </w:r>
    </w:p>
    <w:p w:rsidR="00DE0F47" w:rsidRPr="007520BC" w:rsidRDefault="00DE0F47" w:rsidP="00DE0F47">
      <w:pPr>
        <w:autoSpaceDE w:val="0"/>
        <w:autoSpaceDN w:val="0"/>
        <w:adjustRightInd w:val="0"/>
        <w:rPr>
          <w:rFonts w:ascii="Times New Roman" w:hAnsi="Times New Roman"/>
          <w:sz w:val="22"/>
          <w:szCs w:val="22"/>
        </w:rPr>
      </w:pPr>
    </w:p>
    <w:p w:rsidR="00DE0F47" w:rsidRPr="00015C34" w:rsidRDefault="00DE0F47" w:rsidP="00DE0F47">
      <w:pPr>
        <w:autoSpaceDE w:val="0"/>
        <w:autoSpaceDN w:val="0"/>
        <w:adjustRightInd w:val="0"/>
        <w:jc w:val="both"/>
        <w:rPr>
          <w:rFonts w:ascii="Times New Roman" w:hAnsi="Times New Roman"/>
          <w:sz w:val="24"/>
          <w:szCs w:val="24"/>
        </w:rPr>
      </w:pPr>
      <w:r w:rsidRPr="00015C34">
        <w:rPr>
          <w:rFonts w:ascii="Times New Roman" w:hAnsi="Times New Roman"/>
          <w:sz w:val="24"/>
          <w:szCs w:val="24"/>
        </w:rPr>
        <w:t xml:space="preserve">In this study, </w:t>
      </w:r>
      <w:r w:rsidR="007520BC" w:rsidRPr="00015C34">
        <w:rPr>
          <w:rFonts w:ascii="Times New Roman" w:hAnsi="Times New Roman"/>
          <w:sz w:val="24"/>
          <w:szCs w:val="24"/>
        </w:rPr>
        <w:t xml:space="preserve">VIREAD + </w:t>
      </w:r>
      <w:r w:rsidRPr="00015C34">
        <w:rPr>
          <w:rFonts w:ascii="Times New Roman" w:hAnsi="Times New Roman"/>
          <w:sz w:val="24"/>
          <w:szCs w:val="24"/>
        </w:rPr>
        <w:t>EMTRIVA in combination with efavirenz was statistically significantly superior to</w:t>
      </w:r>
      <w:r w:rsidR="008323B8" w:rsidRPr="00015C34">
        <w:rPr>
          <w:rFonts w:ascii="Times New Roman" w:hAnsi="Times New Roman"/>
          <w:sz w:val="24"/>
          <w:szCs w:val="24"/>
        </w:rPr>
        <w:t xml:space="preserve"> </w:t>
      </w:r>
      <w:r w:rsidR="00537553">
        <w:rPr>
          <w:rFonts w:ascii="Times New Roman" w:hAnsi="Times New Roman"/>
          <w:sz w:val="24"/>
          <w:szCs w:val="24"/>
        </w:rPr>
        <w:t>Combivir</w:t>
      </w:r>
      <w:r w:rsidRPr="00015C34">
        <w:rPr>
          <w:rFonts w:ascii="Times New Roman" w:hAnsi="Times New Roman"/>
          <w:sz w:val="24"/>
          <w:szCs w:val="24"/>
        </w:rPr>
        <w:t xml:space="preserve"> in combination with efavirenz </w:t>
      </w:r>
      <w:r w:rsidR="00F82E67" w:rsidRPr="00015C34">
        <w:rPr>
          <w:rFonts w:ascii="Times New Roman" w:hAnsi="Times New Roman"/>
          <w:sz w:val="24"/>
          <w:szCs w:val="24"/>
        </w:rPr>
        <w:t xml:space="preserve">with regards to the primary and secondary endpoints: </w:t>
      </w:r>
      <w:r w:rsidRPr="00015C34">
        <w:rPr>
          <w:rFonts w:ascii="Times New Roman" w:hAnsi="Times New Roman"/>
          <w:sz w:val="24"/>
          <w:szCs w:val="24"/>
        </w:rPr>
        <w:t xml:space="preserve"> achieving and maintaining HIV-1 RNA &lt; 400 copies/mL through 48 </w:t>
      </w:r>
      <w:r w:rsidR="00F82E67" w:rsidRPr="00015C34">
        <w:rPr>
          <w:rFonts w:ascii="Times New Roman" w:hAnsi="Times New Roman"/>
          <w:sz w:val="24"/>
          <w:szCs w:val="24"/>
        </w:rPr>
        <w:t xml:space="preserve">and 144 </w:t>
      </w:r>
      <w:r w:rsidRPr="00015C34">
        <w:rPr>
          <w:rFonts w:ascii="Times New Roman" w:hAnsi="Times New Roman"/>
          <w:sz w:val="24"/>
          <w:szCs w:val="24"/>
        </w:rPr>
        <w:t xml:space="preserve">weeks (Table </w:t>
      </w:r>
      <w:r w:rsidR="006125D5" w:rsidRPr="00015C34">
        <w:rPr>
          <w:rFonts w:ascii="Times New Roman" w:hAnsi="Times New Roman"/>
          <w:sz w:val="24"/>
          <w:szCs w:val="24"/>
        </w:rPr>
        <w:t>7</w:t>
      </w:r>
      <w:r w:rsidRPr="00015C34">
        <w:rPr>
          <w:rFonts w:ascii="Times New Roman" w:hAnsi="Times New Roman"/>
          <w:sz w:val="24"/>
          <w:szCs w:val="24"/>
        </w:rPr>
        <w:t>). The difference in the proportions of responders between the</w:t>
      </w:r>
      <w:r w:rsidR="007520BC" w:rsidRPr="00015C34">
        <w:rPr>
          <w:rFonts w:ascii="Times New Roman" w:hAnsi="Times New Roman"/>
          <w:sz w:val="24"/>
          <w:szCs w:val="24"/>
        </w:rPr>
        <w:t xml:space="preserve"> VIREAD +</w:t>
      </w:r>
      <w:r w:rsidRPr="00015C34">
        <w:rPr>
          <w:rFonts w:ascii="Times New Roman" w:hAnsi="Times New Roman"/>
          <w:sz w:val="24"/>
          <w:szCs w:val="24"/>
        </w:rPr>
        <w:t xml:space="preserve"> EMTRIVA group and the </w:t>
      </w:r>
      <w:r w:rsidR="00537553">
        <w:rPr>
          <w:rFonts w:ascii="Times New Roman" w:hAnsi="Times New Roman"/>
          <w:sz w:val="24"/>
          <w:szCs w:val="24"/>
        </w:rPr>
        <w:t>Combivir</w:t>
      </w:r>
      <w:r w:rsidR="008323B8" w:rsidRPr="00015C34">
        <w:rPr>
          <w:rFonts w:ascii="Times New Roman" w:hAnsi="Times New Roman"/>
          <w:sz w:val="24"/>
          <w:szCs w:val="24"/>
        </w:rPr>
        <w:t xml:space="preserve"> </w:t>
      </w:r>
      <w:r w:rsidRPr="00015C34">
        <w:rPr>
          <w:rFonts w:ascii="Times New Roman" w:hAnsi="Times New Roman"/>
          <w:sz w:val="24"/>
          <w:szCs w:val="24"/>
        </w:rPr>
        <w:t>group was 11.4%, and the 95% CI was 4.3% to 18.6% (p=0.002</w:t>
      </w:r>
      <w:r w:rsidR="00F82E67" w:rsidRPr="00015C34">
        <w:rPr>
          <w:rFonts w:ascii="Times New Roman" w:hAnsi="Times New Roman"/>
          <w:sz w:val="24"/>
          <w:szCs w:val="24"/>
        </w:rPr>
        <w:t>) at week 48 and a difference of 1</w:t>
      </w:r>
      <w:r w:rsidR="002C5443" w:rsidRPr="00015C34">
        <w:rPr>
          <w:rFonts w:ascii="Times New Roman" w:hAnsi="Times New Roman"/>
          <w:sz w:val="24"/>
          <w:szCs w:val="24"/>
        </w:rPr>
        <w:t>2.9</w:t>
      </w:r>
      <w:r w:rsidR="00F82E67" w:rsidRPr="00015C34">
        <w:rPr>
          <w:rFonts w:ascii="Times New Roman" w:hAnsi="Times New Roman"/>
          <w:sz w:val="24"/>
          <w:szCs w:val="24"/>
        </w:rPr>
        <w:t>% (95% CI was 4</w:t>
      </w:r>
      <w:r w:rsidR="002C5443" w:rsidRPr="00015C34">
        <w:rPr>
          <w:rFonts w:ascii="Times New Roman" w:hAnsi="Times New Roman"/>
          <w:sz w:val="24"/>
          <w:szCs w:val="24"/>
        </w:rPr>
        <w:t>.2</w:t>
      </w:r>
      <w:r w:rsidR="00F82E67" w:rsidRPr="00015C34">
        <w:rPr>
          <w:rFonts w:ascii="Times New Roman" w:hAnsi="Times New Roman"/>
          <w:sz w:val="24"/>
          <w:szCs w:val="24"/>
        </w:rPr>
        <w:t>% to 2</w:t>
      </w:r>
      <w:r w:rsidR="002C5443" w:rsidRPr="00015C34">
        <w:rPr>
          <w:rFonts w:ascii="Times New Roman" w:hAnsi="Times New Roman"/>
          <w:sz w:val="24"/>
          <w:szCs w:val="24"/>
        </w:rPr>
        <w:t>1.6</w:t>
      </w:r>
      <w:r w:rsidR="00F82E67" w:rsidRPr="00015C34">
        <w:rPr>
          <w:rFonts w:ascii="Times New Roman" w:hAnsi="Times New Roman"/>
          <w:sz w:val="24"/>
          <w:szCs w:val="24"/>
        </w:rPr>
        <w:t>%, p=0.004) at week 144</w:t>
      </w:r>
      <w:r w:rsidRPr="00015C34">
        <w:rPr>
          <w:rFonts w:ascii="Times New Roman" w:hAnsi="Times New Roman"/>
          <w:sz w:val="24"/>
          <w:szCs w:val="24"/>
        </w:rPr>
        <w:t>.</w:t>
      </w:r>
    </w:p>
    <w:p w:rsidR="00DE0F47" w:rsidRPr="00015C34" w:rsidRDefault="00DE0F47" w:rsidP="00DE0F47">
      <w:pPr>
        <w:autoSpaceDE w:val="0"/>
        <w:autoSpaceDN w:val="0"/>
        <w:adjustRightInd w:val="0"/>
        <w:jc w:val="both"/>
        <w:rPr>
          <w:rFonts w:ascii="Times New Roman" w:hAnsi="Times New Roman"/>
          <w:sz w:val="24"/>
          <w:szCs w:val="24"/>
        </w:rPr>
      </w:pPr>
    </w:p>
    <w:p w:rsidR="00F82E67" w:rsidRPr="00015C34" w:rsidRDefault="00DE0F47" w:rsidP="00F82E67">
      <w:pPr>
        <w:autoSpaceDE w:val="0"/>
        <w:autoSpaceDN w:val="0"/>
        <w:adjustRightInd w:val="0"/>
        <w:jc w:val="both"/>
        <w:rPr>
          <w:rFonts w:ascii="Times New Roman" w:hAnsi="Times New Roman"/>
          <w:sz w:val="24"/>
          <w:szCs w:val="24"/>
        </w:rPr>
      </w:pPr>
      <w:r w:rsidRPr="00015C34">
        <w:rPr>
          <w:rFonts w:ascii="Times New Roman" w:hAnsi="Times New Roman"/>
          <w:sz w:val="24"/>
          <w:szCs w:val="24"/>
        </w:rPr>
        <w:t>Through 48 weeks of therapy, 80% and 70% of patients in the</w:t>
      </w:r>
      <w:r w:rsidR="007520BC" w:rsidRPr="00015C34">
        <w:rPr>
          <w:rFonts w:ascii="Times New Roman" w:hAnsi="Times New Roman"/>
          <w:sz w:val="24"/>
          <w:szCs w:val="24"/>
        </w:rPr>
        <w:t xml:space="preserve"> VIREAD</w:t>
      </w:r>
      <w:r w:rsidRPr="00015C34">
        <w:rPr>
          <w:rFonts w:ascii="Times New Roman" w:hAnsi="Times New Roman"/>
          <w:sz w:val="24"/>
          <w:szCs w:val="24"/>
        </w:rPr>
        <w:t xml:space="preserve"> </w:t>
      </w:r>
      <w:r w:rsidR="007520BC" w:rsidRPr="00015C34">
        <w:rPr>
          <w:rFonts w:ascii="Times New Roman" w:hAnsi="Times New Roman"/>
          <w:sz w:val="24"/>
          <w:szCs w:val="24"/>
        </w:rPr>
        <w:t xml:space="preserve">+ </w:t>
      </w:r>
      <w:r w:rsidRPr="00015C34">
        <w:rPr>
          <w:rFonts w:ascii="Times New Roman" w:hAnsi="Times New Roman"/>
          <w:sz w:val="24"/>
          <w:szCs w:val="24"/>
        </w:rPr>
        <w:t xml:space="preserve">EMTRIVA </w:t>
      </w:r>
      <w:r w:rsidR="007520BC" w:rsidRPr="00015C34">
        <w:rPr>
          <w:rFonts w:ascii="Times New Roman" w:hAnsi="Times New Roman"/>
          <w:sz w:val="24"/>
          <w:szCs w:val="24"/>
        </w:rPr>
        <w:t>a</w:t>
      </w:r>
      <w:r w:rsidRPr="00015C34">
        <w:rPr>
          <w:rFonts w:ascii="Times New Roman" w:hAnsi="Times New Roman"/>
          <w:sz w:val="24"/>
          <w:szCs w:val="24"/>
        </w:rPr>
        <w:t xml:space="preserve">nd the </w:t>
      </w:r>
      <w:r w:rsidR="00537553">
        <w:rPr>
          <w:rFonts w:ascii="Times New Roman" w:hAnsi="Times New Roman"/>
          <w:sz w:val="24"/>
          <w:szCs w:val="24"/>
        </w:rPr>
        <w:t>Combivir</w:t>
      </w:r>
      <w:r w:rsidR="008323B8" w:rsidRPr="00015C34">
        <w:rPr>
          <w:rFonts w:ascii="Times New Roman" w:hAnsi="Times New Roman"/>
          <w:sz w:val="24"/>
          <w:szCs w:val="24"/>
        </w:rPr>
        <w:t xml:space="preserve"> </w:t>
      </w:r>
      <w:r w:rsidRPr="00015C34">
        <w:rPr>
          <w:rFonts w:ascii="Times New Roman" w:hAnsi="Times New Roman"/>
          <w:sz w:val="24"/>
          <w:szCs w:val="24"/>
        </w:rPr>
        <w:t>arms, respectively, achieved and maintained HIV-1 RNA &lt;50 copies/mL. The difference in the proportions of responders</w:t>
      </w:r>
      <w:r w:rsidR="005F430B" w:rsidRPr="00015C34">
        <w:rPr>
          <w:rFonts w:ascii="Times New Roman" w:hAnsi="Times New Roman"/>
          <w:sz w:val="24"/>
          <w:szCs w:val="24"/>
        </w:rPr>
        <w:t xml:space="preserve"> </w:t>
      </w:r>
      <w:r w:rsidRPr="00015C34">
        <w:rPr>
          <w:rFonts w:ascii="Times New Roman" w:hAnsi="Times New Roman"/>
          <w:sz w:val="24"/>
          <w:szCs w:val="24"/>
        </w:rPr>
        <w:t xml:space="preserve">between the </w:t>
      </w:r>
      <w:r w:rsidR="007520BC" w:rsidRPr="00015C34">
        <w:rPr>
          <w:rFonts w:ascii="Times New Roman" w:hAnsi="Times New Roman"/>
          <w:sz w:val="24"/>
          <w:szCs w:val="24"/>
        </w:rPr>
        <w:t xml:space="preserve">VIREAD + </w:t>
      </w:r>
      <w:r w:rsidRPr="00015C34">
        <w:rPr>
          <w:rFonts w:ascii="Times New Roman" w:hAnsi="Times New Roman"/>
          <w:sz w:val="24"/>
          <w:szCs w:val="24"/>
        </w:rPr>
        <w:t xml:space="preserve">EMTRIVA group and the </w:t>
      </w:r>
      <w:r w:rsidR="00537553">
        <w:rPr>
          <w:rFonts w:ascii="Times New Roman" w:hAnsi="Times New Roman"/>
          <w:sz w:val="24"/>
          <w:szCs w:val="24"/>
        </w:rPr>
        <w:t>Combivir</w:t>
      </w:r>
      <w:r w:rsidR="008323B8" w:rsidRPr="00015C34">
        <w:rPr>
          <w:rFonts w:ascii="Times New Roman" w:hAnsi="Times New Roman"/>
          <w:sz w:val="24"/>
          <w:szCs w:val="24"/>
        </w:rPr>
        <w:t xml:space="preserve"> </w:t>
      </w:r>
      <w:r w:rsidRPr="00015C34">
        <w:rPr>
          <w:rFonts w:ascii="Times New Roman" w:hAnsi="Times New Roman"/>
          <w:sz w:val="24"/>
          <w:szCs w:val="24"/>
        </w:rPr>
        <w:t>group was 9.1%, and the 95% CI was 1.6% to 16.6% (p=0.021)</w:t>
      </w:r>
      <w:r w:rsidR="00F82E67" w:rsidRPr="00015C34">
        <w:rPr>
          <w:rFonts w:ascii="Times New Roman" w:hAnsi="Times New Roman"/>
          <w:sz w:val="24"/>
          <w:szCs w:val="24"/>
        </w:rPr>
        <w:t xml:space="preserve"> at week 48.</w:t>
      </w:r>
      <w:r w:rsidR="00F82E67" w:rsidRPr="00015C34">
        <w:rPr>
          <w:sz w:val="24"/>
          <w:szCs w:val="24"/>
        </w:rPr>
        <w:t xml:space="preserve"> </w:t>
      </w:r>
      <w:r w:rsidR="00F82E67" w:rsidRPr="00015C34">
        <w:rPr>
          <w:rFonts w:ascii="Times New Roman" w:hAnsi="Times New Roman"/>
          <w:sz w:val="24"/>
          <w:szCs w:val="24"/>
        </w:rPr>
        <w:t>The proportion of patients responding at 144 weeks of therapy was higher in the TRUVADA group (64%) comp</w:t>
      </w:r>
      <w:r w:rsidR="002C5443" w:rsidRPr="00015C34">
        <w:rPr>
          <w:rFonts w:ascii="Times New Roman" w:hAnsi="Times New Roman"/>
          <w:sz w:val="24"/>
          <w:szCs w:val="24"/>
        </w:rPr>
        <w:t xml:space="preserve">ared with the </w:t>
      </w:r>
      <w:r w:rsidR="00537553">
        <w:rPr>
          <w:rFonts w:ascii="Times New Roman" w:hAnsi="Times New Roman"/>
          <w:sz w:val="24"/>
          <w:szCs w:val="24"/>
        </w:rPr>
        <w:t>Combivir</w:t>
      </w:r>
      <w:r w:rsidR="002C5443" w:rsidRPr="00015C34">
        <w:rPr>
          <w:rFonts w:ascii="Times New Roman" w:hAnsi="Times New Roman"/>
          <w:sz w:val="24"/>
          <w:szCs w:val="24"/>
        </w:rPr>
        <w:t xml:space="preserve"> group (56</w:t>
      </w:r>
      <w:r w:rsidR="00F82E67" w:rsidRPr="00015C34">
        <w:rPr>
          <w:rFonts w:ascii="Times New Roman" w:hAnsi="Times New Roman"/>
          <w:sz w:val="24"/>
          <w:szCs w:val="24"/>
        </w:rPr>
        <w:t xml:space="preserve">%); p=0.082, </w:t>
      </w:r>
      <w:r w:rsidR="002C5443" w:rsidRPr="00015C34">
        <w:rPr>
          <w:rFonts w:ascii="Times New Roman" w:hAnsi="Times New Roman"/>
          <w:sz w:val="24"/>
          <w:szCs w:val="24"/>
        </w:rPr>
        <w:t xml:space="preserve">a difference of 8.1% and the </w:t>
      </w:r>
      <w:r w:rsidR="00F82E67" w:rsidRPr="00015C34">
        <w:rPr>
          <w:rFonts w:ascii="Times New Roman" w:hAnsi="Times New Roman"/>
          <w:sz w:val="24"/>
          <w:szCs w:val="24"/>
        </w:rPr>
        <w:t>95% CI was -</w:t>
      </w:r>
      <w:r w:rsidR="002C5443" w:rsidRPr="00015C34">
        <w:rPr>
          <w:rFonts w:ascii="Times New Roman" w:hAnsi="Times New Roman"/>
          <w:sz w:val="24"/>
          <w:szCs w:val="24"/>
        </w:rPr>
        <w:t>0.8</w:t>
      </w:r>
      <w:r w:rsidR="00F82E67" w:rsidRPr="00015C34">
        <w:rPr>
          <w:rFonts w:ascii="Times New Roman" w:hAnsi="Times New Roman"/>
          <w:sz w:val="24"/>
          <w:szCs w:val="24"/>
        </w:rPr>
        <w:t>% to 17</w:t>
      </w:r>
      <w:r w:rsidR="002C5443" w:rsidRPr="00015C34">
        <w:rPr>
          <w:rFonts w:ascii="Times New Roman" w:hAnsi="Times New Roman"/>
          <w:sz w:val="24"/>
          <w:szCs w:val="24"/>
        </w:rPr>
        <w:t>.0</w:t>
      </w:r>
      <w:r w:rsidR="00F82E67" w:rsidRPr="00015C34">
        <w:rPr>
          <w:rFonts w:ascii="Times New Roman" w:hAnsi="Times New Roman"/>
          <w:sz w:val="24"/>
          <w:szCs w:val="24"/>
        </w:rPr>
        <w:t>%.</w:t>
      </w:r>
    </w:p>
    <w:p w:rsidR="00DE0F47" w:rsidRPr="00015C34" w:rsidRDefault="00DE0F47" w:rsidP="00DE0F47">
      <w:pPr>
        <w:autoSpaceDE w:val="0"/>
        <w:autoSpaceDN w:val="0"/>
        <w:adjustRightInd w:val="0"/>
        <w:jc w:val="both"/>
        <w:rPr>
          <w:rFonts w:ascii="Times New Roman" w:hAnsi="Times New Roman"/>
          <w:sz w:val="24"/>
          <w:szCs w:val="24"/>
        </w:rPr>
      </w:pPr>
    </w:p>
    <w:p w:rsidR="00DE0F47" w:rsidRPr="00015C34" w:rsidRDefault="00DE0F47" w:rsidP="00DE0F47">
      <w:pPr>
        <w:autoSpaceDE w:val="0"/>
        <w:autoSpaceDN w:val="0"/>
        <w:adjustRightInd w:val="0"/>
        <w:jc w:val="both"/>
        <w:rPr>
          <w:rFonts w:ascii="Times New Roman" w:hAnsi="Times New Roman"/>
          <w:sz w:val="24"/>
          <w:szCs w:val="24"/>
        </w:rPr>
      </w:pPr>
      <w:r w:rsidRPr="00015C34">
        <w:rPr>
          <w:rFonts w:ascii="Times New Roman" w:hAnsi="Times New Roman"/>
          <w:sz w:val="24"/>
          <w:szCs w:val="24"/>
        </w:rPr>
        <w:lastRenderedPageBreak/>
        <w:t>The mean increase from baseline in CD4 cell count was 190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w:t>
      </w:r>
      <w:r w:rsidR="00F82E67" w:rsidRPr="00015C34">
        <w:rPr>
          <w:rFonts w:ascii="Times New Roman" w:hAnsi="Times New Roman"/>
          <w:sz w:val="24"/>
          <w:szCs w:val="24"/>
        </w:rPr>
        <w:t>and 312 cells/mm</w:t>
      </w:r>
      <w:r w:rsidR="00F82E67" w:rsidRPr="00015C34">
        <w:rPr>
          <w:rFonts w:ascii="Times New Roman" w:hAnsi="Times New Roman"/>
          <w:sz w:val="24"/>
          <w:szCs w:val="24"/>
          <w:vertAlign w:val="superscript"/>
        </w:rPr>
        <w:t xml:space="preserve">3 </w:t>
      </w:r>
      <w:r w:rsidRPr="00015C34">
        <w:rPr>
          <w:rFonts w:ascii="Times New Roman" w:hAnsi="Times New Roman"/>
          <w:sz w:val="24"/>
          <w:szCs w:val="24"/>
        </w:rPr>
        <w:t>for the</w:t>
      </w:r>
      <w:r w:rsidRPr="00015C34">
        <w:rPr>
          <w:sz w:val="24"/>
          <w:szCs w:val="24"/>
        </w:rPr>
        <w:t xml:space="preserve"> </w:t>
      </w:r>
      <w:r w:rsidR="007520BC" w:rsidRPr="00015C34">
        <w:rPr>
          <w:rFonts w:ascii="Times New Roman" w:hAnsi="Times New Roman"/>
          <w:sz w:val="24"/>
          <w:szCs w:val="24"/>
        </w:rPr>
        <w:t xml:space="preserve">VIREAD + </w:t>
      </w:r>
      <w:r w:rsidRPr="00015C34">
        <w:rPr>
          <w:rFonts w:ascii="Times New Roman" w:hAnsi="Times New Roman"/>
          <w:sz w:val="24"/>
          <w:szCs w:val="24"/>
        </w:rPr>
        <w:t>EMTRIVA + efavirenz arm, and 158 cells/mm</w:t>
      </w:r>
      <w:r w:rsidRPr="00015C34">
        <w:rPr>
          <w:rFonts w:ascii="Times New Roman" w:hAnsi="Times New Roman"/>
          <w:sz w:val="24"/>
          <w:szCs w:val="24"/>
          <w:vertAlign w:val="superscript"/>
        </w:rPr>
        <w:t>3</w:t>
      </w:r>
      <w:r w:rsidRPr="00015C34">
        <w:rPr>
          <w:rFonts w:ascii="Times New Roman" w:hAnsi="Times New Roman"/>
          <w:sz w:val="24"/>
          <w:szCs w:val="24"/>
        </w:rPr>
        <w:t xml:space="preserve"> </w:t>
      </w:r>
      <w:r w:rsidR="00F82E67" w:rsidRPr="00015C34">
        <w:rPr>
          <w:rFonts w:ascii="Times New Roman" w:hAnsi="Times New Roman"/>
          <w:sz w:val="24"/>
          <w:szCs w:val="24"/>
        </w:rPr>
        <w:t>and 271 cells/mm</w:t>
      </w:r>
      <w:r w:rsidR="00F82E67" w:rsidRPr="00015C34">
        <w:rPr>
          <w:rFonts w:ascii="Times New Roman" w:hAnsi="Times New Roman"/>
          <w:sz w:val="24"/>
          <w:szCs w:val="24"/>
          <w:vertAlign w:val="superscript"/>
        </w:rPr>
        <w:t>3</w:t>
      </w:r>
      <w:r w:rsidRPr="00015C34">
        <w:rPr>
          <w:rFonts w:ascii="Times New Roman" w:hAnsi="Times New Roman"/>
          <w:sz w:val="24"/>
          <w:szCs w:val="24"/>
        </w:rPr>
        <w:t>for the</w:t>
      </w:r>
      <w:r w:rsidR="008323B8" w:rsidRPr="00015C34">
        <w:rPr>
          <w:rFonts w:ascii="Times New Roman" w:hAnsi="Times New Roman"/>
          <w:sz w:val="24"/>
          <w:szCs w:val="24"/>
        </w:rPr>
        <w:t xml:space="preserve"> </w:t>
      </w:r>
      <w:r w:rsidR="00537553">
        <w:rPr>
          <w:rFonts w:ascii="Times New Roman" w:hAnsi="Times New Roman"/>
          <w:sz w:val="24"/>
          <w:szCs w:val="24"/>
        </w:rPr>
        <w:t>Combivir</w:t>
      </w:r>
      <w:r w:rsidRPr="00015C34">
        <w:rPr>
          <w:rFonts w:ascii="Times New Roman" w:hAnsi="Times New Roman"/>
          <w:sz w:val="24"/>
          <w:szCs w:val="24"/>
        </w:rPr>
        <w:t xml:space="preserve"> + efavirenz arm (p=0.002</w:t>
      </w:r>
      <w:r w:rsidR="002C5443" w:rsidRPr="00015C34">
        <w:rPr>
          <w:rFonts w:ascii="Times New Roman" w:hAnsi="Times New Roman"/>
          <w:sz w:val="24"/>
          <w:szCs w:val="24"/>
        </w:rPr>
        <w:t xml:space="preserve"> and p = 0.088</w:t>
      </w:r>
      <w:r w:rsidRPr="00015C34">
        <w:rPr>
          <w:rFonts w:ascii="Times New Roman" w:hAnsi="Times New Roman"/>
          <w:sz w:val="24"/>
          <w:szCs w:val="24"/>
        </w:rPr>
        <w:t>)</w:t>
      </w:r>
      <w:r w:rsidR="00F82E67" w:rsidRPr="00015C34">
        <w:rPr>
          <w:rFonts w:ascii="Times New Roman" w:hAnsi="Times New Roman"/>
          <w:sz w:val="24"/>
          <w:szCs w:val="24"/>
        </w:rPr>
        <w:t xml:space="preserve"> at weeks 48 and 144 respectively</w:t>
      </w:r>
      <w:r w:rsidRPr="00015C34">
        <w:rPr>
          <w:rFonts w:ascii="Times New Roman" w:hAnsi="Times New Roman"/>
          <w:sz w:val="24"/>
          <w:szCs w:val="24"/>
        </w:rPr>
        <w:t>.</w:t>
      </w:r>
    </w:p>
    <w:p w:rsidR="00DE0F47" w:rsidRPr="00015C34" w:rsidRDefault="00DE0F47" w:rsidP="00DE0F47">
      <w:pPr>
        <w:autoSpaceDE w:val="0"/>
        <w:autoSpaceDN w:val="0"/>
        <w:adjustRightInd w:val="0"/>
        <w:jc w:val="both"/>
        <w:rPr>
          <w:rFonts w:ascii="Times New Roman" w:hAnsi="Times New Roman"/>
          <w:sz w:val="24"/>
          <w:szCs w:val="24"/>
        </w:rPr>
      </w:pPr>
    </w:p>
    <w:p w:rsidR="00DE0F47" w:rsidRPr="00015C34" w:rsidRDefault="00DE0F47" w:rsidP="00DE0F47">
      <w:pPr>
        <w:autoSpaceDE w:val="0"/>
        <w:autoSpaceDN w:val="0"/>
        <w:adjustRightInd w:val="0"/>
        <w:jc w:val="both"/>
        <w:rPr>
          <w:rFonts w:ascii="Times New Roman" w:hAnsi="Times New Roman"/>
          <w:sz w:val="24"/>
          <w:szCs w:val="24"/>
        </w:rPr>
      </w:pPr>
      <w:r w:rsidRPr="00015C34">
        <w:rPr>
          <w:rFonts w:ascii="Times New Roman" w:hAnsi="Times New Roman"/>
          <w:sz w:val="24"/>
          <w:szCs w:val="24"/>
        </w:rPr>
        <w:t>Resistance analysis was performed on HIV isolates from all patients with &gt; 400</w:t>
      </w:r>
      <w:r w:rsidRPr="00015C34">
        <w:rPr>
          <w:sz w:val="24"/>
          <w:szCs w:val="24"/>
        </w:rPr>
        <w:t xml:space="preserve"> </w:t>
      </w:r>
      <w:r w:rsidRPr="00015C34">
        <w:rPr>
          <w:rFonts w:ascii="Times New Roman" w:hAnsi="Times New Roman"/>
          <w:sz w:val="24"/>
          <w:szCs w:val="24"/>
        </w:rPr>
        <w:t xml:space="preserve">copies/mL of HIV-1 RNA at week </w:t>
      </w:r>
      <w:r w:rsidR="00F82E67" w:rsidRPr="00015C34">
        <w:rPr>
          <w:rFonts w:ascii="Times New Roman" w:hAnsi="Times New Roman"/>
          <w:sz w:val="24"/>
          <w:szCs w:val="24"/>
        </w:rPr>
        <w:t>144 while on study drug or after treatment switch</w:t>
      </w:r>
      <w:r w:rsidRPr="00015C34">
        <w:rPr>
          <w:rFonts w:ascii="Times New Roman" w:hAnsi="Times New Roman"/>
          <w:sz w:val="24"/>
          <w:szCs w:val="24"/>
        </w:rPr>
        <w:t>. Genotypic resistance to efavirenz,</w:t>
      </w:r>
      <w:r w:rsidRPr="00015C34">
        <w:rPr>
          <w:sz w:val="24"/>
          <w:szCs w:val="24"/>
        </w:rPr>
        <w:t xml:space="preserve"> </w:t>
      </w:r>
      <w:r w:rsidRPr="00015C34">
        <w:rPr>
          <w:rFonts w:ascii="Times New Roman" w:hAnsi="Times New Roman"/>
          <w:sz w:val="24"/>
          <w:szCs w:val="24"/>
        </w:rPr>
        <w:t>predominantly the K103N mutation, was the most common form of resistance that developed</w:t>
      </w:r>
      <w:r w:rsidR="00F82E67" w:rsidRPr="00015C34">
        <w:rPr>
          <w:rFonts w:ascii="Times New Roman" w:hAnsi="Times New Roman"/>
          <w:sz w:val="24"/>
          <w:szCs w:val="24"/>
        </w:rPr>
        <w:t xml:space="preserve"> in both treatment groups</w:t>
      </w:r>
      <w:r w:rsidRPr="00015C34">
        <w:rPr>
          <w:rFonts w:ascii="Times New Roman" w:hAnsi="Times New Roman"/>
          <w:sz w:val="24"/>
          <w:szCs w:val="24"/>
        </w:rPr>
        <w:t xml:space="preserve">. Resistance to efavirenz occurred in </w:t>
      </w:r>
      <w:r w:rsidR="00F82E67" w:rsidRPr="00015C34">
        <w:rPr>
          <w:rFonts w:ascii="Times New Roman" w:hAnsi="Times New Roman"/>
          <w:sz w:val="24"/>
          <w:szCs w:val="24"/>
        </w:rPr>
        <w:t xml:space="preserve">68% (13/19) </w:t>
      </w:r>
      <w:r w:rsidRPr="00015C34">
        <w:rPr>
          <w:rFonts w:ascii="Times New Roman" w:hAnsi="Times New Roman"/>
          <w:sz w:val="24"/>
          <w:szCs w:val="24"/>
        </w:rPr>
        <w:t>analy</w:t>
      </w:r>
      <w:r w:rsidR="007520BC" w:rsidRPr="00015C34">
        <w:rPr>
          <w:rFonts w:ascii="Times New Roman" w:hAnsi="Times New Roman"/>
          <w:sz w:val="24"/>
          <w:szCs w:val="24"/>
        </w:rPr>
        <w:t>s</w:t>
      </w:r>
      <w:r w:rsidRPr="00015C34">
        <w:rPr>
          <w:rFonts w:ascii="Times New Roman" w:hAnsi="Times New Roman"/>
          <w:sz w:val="24"/>
          <w:szCs w:val="24"/>
        </w:rPr>
        <w:t xml:space="preserve">ed patients in the </w:t>
      </w:r>
      <w:r w:rsidR="00F82E67" w:rsidRPr="00015C34">
        <w:rPr>
          <w:rFonts w:ascii="Times New Roman" w:hAnsi="Times New Roman"/>
          <w:sz w:val="24"/>
          <w:szCs w:val="24"/>
        </w:rPr>
        <w:t>TRUVADA</w:t>
      </w:r>
      <w:r w:rsidRPr="00015C34">
        <w:rPr>
          <w:rFonts w:ascii="Times New Roman" w:hAnsi="Times New Roman"/>
          <w:sz w:val="24"/>
          <w:szCs w:val="24"/>
        </w:rPr>
        <w:t xml:space="preserve"> group and in </w:t>
      </w:r>
      <w:r w:rsidR="00F82E67" w:rsidRPr="00015C34">
        <w:rPr>
          <w:rFonts w:ascii="Times New Roman" w:hAnsi="Times New Roman"/>
          <w:sz w:val="24"/>
          <w:szCs w:val="24"/>
        </w:rPr>
        <w:t xml:space="preserve">72% (21/29) </w:t>
      </w:r>
      <w:r w:rsidRPr="00015C34">
        <w:rPr>
          <w:rFonts w:ascii="Times New Roman" w:hAnsi="Times New Roman"/>
          <w:sz w:val="24"/>
          <w:szCs w:val="24"/>
        </w:rPr>
        <w:t>analy</w:t>
      </w:r>
      <w:r w:rsidR="007520BC" w:rsidRPr="00015C34">
        <w:rPr>
          <w:rFonts w:ascii="Times New Roman" w:hAnsi="Times New Roman"/>
          <w:sz w:val="24"/>
          <w:szCs w:val="24"/>
        </w:rPr>
        <w:t>s</w:t>
      </w:r>
      <w:r w:rsidRPr="00015C34">
        <w:rPr>
          <w:rFonts w:ascii="Times New Roman" w:hAnsi="Times New Roman"/>
          <w:sz w:val="24"/>
          <w:szCs w:val="24"/>
        </w:rPr>
        <w:t xml:space="preserve">ed patients in the </w:t>
      </w:r>
      <w:r w:rsidR="00537553">
        <w:rPr>
          <w:rFonts w:ascii="Times New Roman" w:hAnsi="Times New Roman"/>
          <w:sz w:val="24"/>
          <w:szCs w:val="24"/>
        </w:rPr>
        <w:t>Combivir</w:t>
      </w:r>
      <w:r w:rsidR="008323B8" w:rsidRPr="00015C34">
        <w:rPr>
          <w:rFonts w:ascii="Times New Roman" w:hAnsi="Times New Roman"/>
          <w:sz w:val="24"/>
          <w:szCs w:val="24"/>
        </w:rPr>
        <w:t xml:space="preserve"> </w:t>
      </w:r>
      <w:r w:rsidRPr="00015C34">
        <w:rPr>
          <w:rFonts w:ascii="Times New Roman" w:hAnsi="Times New Roman"/>
          <w:sz w:val="24"/>
          <w:szCs w:val="24"/>
        </w:rPr>
        <w:t xml:space="preserve">group. The M184V mutation, associated with resistance to emtricitabine and lamivudine, </w:t>
      </w:r>
      <w:r w:rsidR="00F82E67" w:rsidRPr="00015C34">
        <w:rPr>
          <w:rFonts w:ascii="Times New Roman" w:hAnsi="Times New Roman"/>
          <w:sz w:val="24"/>
          <w:szCs w:val="24"/>
        </w:rPr>
        <w:t xml:space="preserve">developed significantly less in the analysed patients in the TRUVADA group 11% (2/19) compared with the analysed patients in the </w:t>
      </w:r>
      <w:r w:rsidR="00537553">
        <w:rPr>
          <w:rFonts w:ascii="Times New Roman" w:hAnsi="Times New Roman"/>
          <w:sz w:val="24"/>
          <w:szCs w:val="24"/>
        </w:rPr>
        <w:t>Combivir</w:t>
      </w:r>
      <w:r w:rsidR="00F82E67" w:rsidRPr="00015C34">
        <w:rPr>
          <w:rFonts w:ascii="Times New Roman" w:hAnsi="Times New Roman"/>
          <w:sz w:val="24"/>
          <w:szCs w:val="24"/>
        </w:rPr>
        <w:t xml:space="preserve"> group</w:t>
      </w:r>
      <w:r w:rsidR="00D66BCC" w:rsidRPr="00015C34">
        <w:rPr>
          <w:rFonts w:ascii="Times New Roman" w:hAnsi="Times New Roman"/>
          <w:sz w:val="24"/>
          <w:szCs w:val="24"/>
        </w:rPr>
        <w:t>,</w:t>
      </w:r>
      <w:r w:rsidR="00F82E67" w:rsidRPr="00015C34">
        <w:rPr>
          <w:rFonts w:ascii="Times New Roman" w:hAnsi="Times New Roman"/>
          <w:sz w:val="24"/>
          <w:szCs w:val="24"/>
        </w:rPr>
        <w:t xml:space="preserve"> 34% (10/29).  Two patients in the </w:t>
      </w:r>
      <w:r w:rsidR="00537553">
        <w:rPr>
          <w:rFonts w:ascii="Times New Roman" w:hAnsi="Times New Roman"/>
          <w:sz w:val="24"/>
          <w:szCs w:val="24"/>
        </w:rPr>
        <w:t>Combivir</w:t>
      </w:r>
      <w:r w:rsidR="00F82E67" w:rsidRPr="00015C34">
        <w:rPr>
          <w:rFonts w:ascii="Times New Roman" w:hAnsi="Times New Roman"/>
          <w:sz w:val="24"/>
          <w:szCs w:val="24"/>
        </w:rPr>
        <w:t xml:space="preserve"> group developed thymidine analog mutations, specifically D67N or K70R mutations in the reverse transcriptase gene.  </w:t>
      </w:r>
      <w:r w:rsidRPr="00015C34">
        <w:rPr>
          <w:rFonts w:ascii="Times New Roman" w:hAnsi="Times New Roman"/>
          <w:sz w:val="24"/>
          <w:szCs w:val="24"/>
        </w:rPr>
        <w:t>No patient in either treatment group developed the K65R mutation, which is associated with</w:t>
      </w:r>
      <w:r w:rsidRPr="00015C34">
        <w:rPr>
          <w:sz w:val="24"/>
          <w:szCs w:val="24"/>
        </w:rPr>
        <w:t xml:space="preserve"> </w:t>
      </w:r>
      <w:r w:rsidRPr="00015C34">
        <w:rPr>
          <w:rFonts w:ascii="Times New Roman" w:hAnsi="Times New Roman"/>
          <w:sz w:val="24"/>
          <w:szCs w:val="24"/>
        </w:rPr>
        <w:t>reduced susceptibility to VIREAD.</w:t>
      </w:r>
    </w:p>
    <w:p w:rsidR="00331F62" w:rsidRPr="00015C34" w:rsidRDefault="00331F62" w:rsidP="009718F7">
      <w:pPr>
        <w:pStyle w:val="Text1"/>
        <w:spacing w:after="0"/>
        <w:jc w:val="both"/>
        <w:rPr>
          <w:szCs w:val="24"/>
        </w:rPr>
      </w:pPr>
    </w:p>
    <w:p w:rsidR="007F553A" w:rsidRPr="00015C34" w:rsidRDefault="007F553A" w:rsidP="009718F7">
      <w:pPr>
        <w:jc w:val="both"/>
        <w:rPr>
          <w:rFonts w:ascii="Times New Roman" w:hAnsi="Times New Roman"/>
          <w:b/>
          <w:color w:val="000000"/>
          <w:sz w:val="24"/>
          <w:szCs w:val="24"/>
        </w:rPr>
      </w:pPr>
      <w:r w:rsidRPr="00015C34">
        <w:rPr>
          <w:rFonts w:ascii="Times New Roman" w:hAnsi="Times New Roman"/>
          <w:b/>
          <w:color w:val="000000"/>
          <w:sz w:val="24"/>
          <w:szCs w:val="24"/>
        </w:rPr>
        <w:t>Genotypic Analyses of VIREAD in Patients with Previous Antiretroviral Therapy (Study 902 and 907)</w:t>
      </w:r>
    </w:p>
    <w:p w:rsidR="009718F7" w:rsidRPr="00015C34" w:rsidRDefault="009718F7" w:rsidP="009718F7">
      <w:pPr>
        <w:jc w:val="both"/>
        <w:rPr>
          <w:rFonts w:ascii="Times New Roman" w:hAnsi="Times New Roman"/>
          <w:b/>
          <w:color w:val="000000"/>
          <w:sz w:val="24"/>
          <w:szCs w:val="24"/>
        </w:rPr>
      </w:pPr>
    </w:p>
    <w:p w:rsidR="007F553A" w:rsidRPr="00015C34" w:rsidRDefault="007F553A" w:rsidP="009718F7">
      <w:pPr>
        <w:tabs>
          <w:tab w:val="left" w:pos="1890"/>
        </w:tabs>
        <w:jc w:val="both"/>
        <w:rPr>
          <w:rFonts w:ascii="Times New Roman" w:hAnsi="Times New Roman"/>
          <w:sz w:val="24"/>
          <w:szCs w:val="24"/>
        </w:rPr>
      </w:pPr>
      <w:r w:rsidRPr="00015C34">
        <w:rPr>
          <w:rFonts w:ascii="Times New Roman" w:hAnsi="Times New Roman"/>
          <w:sz w:val="24"/>
          <w:szCs w:val="24"/>
        </w:rPr>
        <w:t>The virologic response to VIREAD therapy has been evaluated with respect to baseline viral genotype (N=222) in treatment experienced patients participating in trials 902 and 907.  In both of these studies, 94% of the participants evaluated had baseline HIV isolates expressing at least one NRTI mutation.  These included resistance mutations associated with zidovudine (M41L, D67N, K70R, L210W, T215Y/F or K219Q/E/N), the lamivudine/abacavir-associated mutation (M184V), and others.  In addition the majority of participants evaluated had mutations associated with either PI or NNRTI use.  Virologic responses for patients in the genotype substudy were similar to the overall results in studies 902 and 907.</w:t>
      </w:r>
    </w:p>
    <w:p w:rsidR="006F3A26" w:rsidRPr="00015C34" w:rsidRDefault="006F3A26" w:rsidP="009718F7">
      <w:pPr>
        <w:tabs>
          <w:tab w:val="left" w:pos="1890"/>
        </w:tabs>
        <w:jc w:val="both"/>
        <w:rPr>
          <w:rFonts w:ascii="Times New Roman" w:hAnsi="Times New Roman"/>
          <w:sz w:val="24"/>
          <w:szCs w:val="24"/>
        </w:rPr>
      </w:pPr>
    </w:p>
    <w:p w:rsidR="007F553A" w:rsidRPr="00015C34" w:rsidRDefault="007F553A" w:rsidP="009718F7">
      <w:pPr>
        <w:jc w:val="both"/>
        <w:rPr>
          <w:rFonts w:ascii="Times New Roman" w:hAnsi="Times New Roman"/>
          <w:sz w:val="24"/>
          <w:szCs w:val="24"/>
        </w:rPr>
      </w:pPr>
      <w:r w:rsidRPr="00015C34">
        <w:rPr>
          <w:rFonts w:ascii="Times New Roman" w:hAnsi="Times New Roman"/>
          <w:sz w:val="24"/>
          <w:szCs w:val="24"/>
        </w:rPr>
        <w:t xml:space="preserve">Several exploratory analyses were conducted to evaluate the effect of specific mutations and mutational patterns on virologic outcome.  Descriptions of numerical differences in HIV RNA response are displayed in Table </w:t>
      </w:r>
      <w:r w:rsidR="006125D5" w:rsidRPr="00015C34">
        <w:rPr>
          <w:rFonts w:ascii="Times New Roman" w:hAnsi="Times New Roman"/>
          <w:sz w:val="24"/>
          <w:szCs w:val="24"/>
        </w:rPr>
        <w:t>8</w:t>
      </w:r>
      <w:r w:rsidRPr="00015C34">
        <w:rPr>
          <w:rFonts w:ascii="Times New Roman" w:hAnsi="Times New Roman"/>
          <w:sz w:val="24"/>
          <w:szCs w:val="24"/>
        </w:rPr>
        <w:t xml:space="preserve">.  Because of the large number of potential comparisons, statistical testing was not conducted. </w:t>
      </w:r>
    </w:p>
    <w:p w:rsidR="006F3A26" w:rsidRPr="00015C34" w:rsidRDefault="006F3A26" w:rsidP="009718F7">
      <w:pPr>
        <w:jc w:val="both"/>
        <w:rPr>
          <w:rFonts w:ascii="Times New Roman" w:hAnsi="Times New Roman"/>
          <w:sz w:val="24"/>
          <w:szCs w:val="24"/>
        </w:rPr>
      </w:pPr>
    </w:p>
    <w:p w:rsidR="007F553A" w:rsidRPr="00015C34" w:rsidRDefault="007F553A" w:rsidP="009718F7">
      <w:pPr>
        <w:tabs>
          <w:tab w:val="left" w:pos="1890"/>
        </w:tabs>
        <w:jc w:val="both"/>
        <w:rPr>
          <w:rFonts w:ascii="Times New Roman" w:hAnsi="Times New Roman"/>
          <w:sz w:val="24"/>
          <w:szCs w:val="24"/>
        </w:rPr>
      </w:pPr>
      <w:r w:rsidRPr="00015C34">
        <w:rPr>
          <w:rFonts w:ascii="Times New Roman" w:hAnsi="Times New Roman"/>
          <w:sz w:val="24"/>
          <w:szCs w:val="24"/>
        </w:rPr>
        <w:t xml:space="preserve">Varying degrees of cross-resistance to VIREAD from pre-existing zidovudine-associated mutations were observed and appeared to depend on the number and type of mutations.  VIREAD-treated patients whose HIV expressed 3 or more zidovudine-associated mutations that included either the M41L or L210W reverse transcriptase mutation showed reduced responses to VIREAD therapy; however, these responses were still improved compared with placebo.  The presence of the D67N, K70R, T215Y/F or K219Q/E/N mutation did not appear to affect responses to VIREAD therapy.  The HIV RNA responses by number and type of baseline zidovudine-associated mutations are shown in Table </w:t>
      </w:r>
      <w:r w:rsidR="006125D5" w:rsidRPr="00015C34">
        <w:rPr>
          <w:rFonts w:ascii="Times New Roman" w:hAnsi="Times New Roman"/>
          <w:sz w:val="24"/>
          <w:szCs w:val="24"/>
        </w:rPr>
        <w:t>8</w:t>
      </w:r>
      <w:r w:rsidRPr="00015C34">
        <w:rPr>
          <w:rFonts w:ascii="Times New Roman" w:hAnsi="Times New Roman"/>
          <w:sz w:val="24"/>
          <w:szCs w:val="24"/>
        </w:rPr>
        <w:t>.</w:t>
      </w:r>
    </w:p>
    <w:p w:rsidR="007F553A" w:rsidRPr="009A59E7" w:rsidRDefault="007F553A">
      <w:pPr>
        <w:tabs>
          <w:tab w:val="left" w:pos="1890"/>
        </w:tabs>
        <w:rPr>
          <w:rFonts w:ascii="Times New Roman" w:hAnsi="Times New Roman"/>
        </w:rPr>
      </w:pPr>
    </w:p>
    <w:p w:rsidR="007F553A" w:rsidRPr="009718F7" w:rsidRDefault="007F553A">
      <w:pPr>
        <w:pStyle w:val="Header"/>
        <w:tabs>
          <w:tab w:val="clear" w:pos="4683"/>
          <w:tab w:val="left" w:pos="1440"/>
          <w:tab w:val="left" w:pos="1890"/>
          <w:tab w:val="left" w:pos="7470"/>
        </w:tabs>
        <w:ind w:left="1440" w:right="68" w:hanging="1440"/>
        <w:rPr>
          <w:rFonts w:ascii="Times New Roman" w:hAnsi="Times New Roman"/>
          <w:szCs w:val="22"/>
          <w:lang w:val="en-AU"/>
        </w:rPr>
      </w:pPr>
      <w:r w:rsidRPr="009718F7">
        <w:rPr>
          <w:rFonts w:ascii="Times New Roman" w:hAnsi="Times New Roman"/>
          <w:szCs w:val="22"/>
          <w:lang w:val="en-AU"/>
        </w:rPr>
        <w:t xml:space="preserve">Table </w:t>
      </w:r>
      <w:r w:rsidR="006125D5">
        <w:rPr>
          <w:rFonts w:ascii="Times New Roman" w:hAnsi="Times New Roman"/>
          <w:szCs w:val="22"/>
          <w:lang w:val="en-AU"/>
        </w:rPr>
        <w:t>8</w:t>
      </w:r>
      <w:r w:rsidRPr="009718F7">
        <w:rPr>
          <w:rFonts w:ascii="Times New Roman" w:hAnsi="Times New Roman"/>
          <w:szCs w:val="22"/>
          <w:lang w:val="en-AU"/>
        </w:rPr>
        <w:t xml:space="preserve">. </w:t>
      </w:r>
      <w:r w:rsidRPr="009718F7">
        <w:rPr>
          <w:rFonts w:ascii="Times New Roman" w:hAnsi="Times New Roman"/>
          <w:szCs w:val="22"/>
          <w:lang w:val="en-AU"/>
        </w:rPr>
        <w:tab/>
        <w:t>HIV RNA Response at Week 24 by Number of Baseline Zidovudine-Associated Mutations in Studies 902 and 907 (Intent-To-Treat)</w:t>
      </w:r>
      <w:r w:rsidRPr="009718F7">
        <w:rPr>
          <w:rFonts w:ascii="Times New Roman" w:hAnsi="Times New Roman"/>
          <w:b w:val="0"/>
          <w:szCs w:val="22"/>
          <w:vertAlign w:val="superscript"/>
          <w:lang w:val="en-AU"/>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2126"/>
        <w:gridCol w:w="2268"/>
      </w:tblGrid>
      <w:tr w:rsidR="007F553A" w:rsidRPr="0081675E" w:rsidTr="00667ECB">
        <w:tblPrEx>
          <w:tblCellMar>
            <w:top w:w="0" w:type="dxa"/>
            <w:bottom w:w="0" w:type="dxa"/>
          </w:tblCellMar>
        </w:tblPrEx>
        <w:trPr>
          <w:cantSplit/>
        </w:trPr>
        <w:tc>
          <w:tcPr>
            <w:tcW w:w="4962" w:type="dxa"/>
            <w:vMerge w:val="restart"/>
            <w:vAlign w:val="center"/>
          </w:tcPr>
          <w:p w:rsidR="007F553A" w:rsidRPr="009A59E7" w:rsidRDefault="007F553A">
            <w:pPr>
              <w:tabs>
                <w:tab w:val="left" w:pos="1890"/>
              </w:tabs>
              <w:rPr>
                <w:rFonts w:ascii="Times New Roman" w:hAnsi="Times New Roman"/>
                <w:b/>
              </w:rPr>
            </w:pPr>
            <w:r w:rsidRPr="009A59E7">
              <w:rPr>
                <w:rFonts w:ascii="Times New Roman" w:hAnsi="Times New Roman"/>
                <w:b/>
              </w:rPr>
              <w:t xml:space="preserve">Number of baseline </w:t>
            </w:r>
            <w:r w:rsidRPr="009A59E7">
              <w:rPr>
                <w:rFonts w:ascii="Times New Roman" w:hAnsi="Times New Roman"/>
                <w:sz w:val="22"/>
              </w:rPr>
              <w:t xml:space="preserve"> </w:t>
            </w:r>
            <w:r w:rsidRPr="009A59E7">
              <w:rPr>
                <w:rFonts w:ascii="Times New Roman" w:hAnsi="Times New Roman"/>
                <w:b/>
              </w:rPr>
              <w:t>zidovudine-associated mutations</w:t>
            </w:r>
            <w:r w:rsidRPr="009A59E7">
              <w:rPr>
                <w:rFonts w:ascii="Times New Roman" w:hAnsi="Times New Roman"/>
                <w:b/>
                <w:vertAlign w:val="superscript"/>
              </w:rPr>
              <w:t>2</w:t>
            </w:r>
          </w:p>
        </w:tc>
        <w:tc>
          <w:tcPr>
            <w:tcW w:w="4394" w:type="dxa"/>
            <w:gridSpan w:val="2"/>
          </w:tcPr>
          <w:p w:rsidR="007F553A" w:rsidRPr="0081675E" w:rsidRDefault="007F553A">
            <w:pPr>
              <w:pStyle w:val="Heading2"/>
              <w:tabs>
                <w:tab w:val="left" w:pos="1890"/>
              </w:tabs>
              <w:jc w:val="center"/>
              <w:rPr>
                <w:b/>
                <w:sz w:val="20"/>
                <w:lang w:val="de-DE"/>
              </w:rPr>
            </w:pPr>
            <w:r w:rsidRPr="0081675E">
              <w:rPr>
                <w:b/>
                <w:sz w:val="20"/>
                <w:lang w:val="de-DE"/>
              </w:rPr>
              <w:t>Change in HIV RNA</w:t>
            </w:r>
            <w:r w:rsidRPr="0081675E">
              <w:rPr>
                <w:b/>
                <w:sz w:val="20"/>
                <w:vertAlign w:val="superscript"/>
                <w:lang w:val="de-DE"/>
              </w:rPr>
              <w:t xml:space="preserve">3 </w:t>
            </w:r>
            <w:r w:rsidRPr="0081675E">
              <w:rPr>
                <w:b/>
                <w:sz w:val="20"/>
                <w:lang w:val="de-DE"/>
              </w:rPr>
              <w:t xml:space="preserve"> (N) </w:t>
            </w:r>
          </w:p>
        </w:tc>
      </w:tr>
      <w:tr w:rsidR="007F553A" w:rsidRPr="009A59E7" w:rsidTr="00667ECB">
        <w:tblPrEx>
          <w:tblCellMar>
            <w:top w:w="0" w:type="dxa"/>
            <w:bottom w:w="0" w:type="dxa"/>
          </w:tblCellMar>
        </w:tblPrEx>
        <w:trPr>
          <w:cantSplit/>
        </w:trPr>
        <w:tc>
          <w:tcPr>
            <w:tcW w:w="4962" w:type="dxa"/>
            <w:vMerge/>
          </w:tcPr>
          <w:p w:rsidR="007F553A" w:rsidRPr="0081675E" w:rsidRDefault="007F553A">
            <w:pPr>
              <w:tabs>
                <w:tab w:val="left" w:pos="1890"/>
              </w:tabs>
              <w:rPr>
                <w:rFonts w:ascii="Times New Roman" w:hAnsi="Times New Roman"/>
                <w:b/>
                <w:lang w:val="de-DE"/>
              </w:rPr>
            </w:pPr>
          </w:p>
        </w:tc>
        <w:tc>
          <w:tcPr>
            <w:tcW w:w="2126" w:type="dxa"/>
          </w:tcPr>
          <w:p w:rsidR="007F553A" w:rsidRPr="009A59E7" w:rsidRDefault="007F553A">
            <w:pPr>
              <w:tabs>
                <w:tab w:val="left" w:pos="1890"/>
              </w:tabs>
              <w:jc w:val="center"/>
              <w:rPr>
                <w:rFonts w:ascii="Times New Roman" w:hAnsi="Times New Roman"/>
                <w:b/>
              </w:rPr>
            </w:pPr>
            <w:r w:rsidRPr="009A59E7">
              <w:rPr>
                <w:rFonts w:ascii="Times New Roman" w:hAnsi="Times New Roman"/>
                <w:b/>
              </w:rPr>
              <w:t xml:space="preserve">VIREAD </w:t>
            </w:r>
          </w:p>
        </w:tc>
        <w:tc>
          <w:tcPr>
            <w:tcW w:w="2268" w:type="dxa"/>
          </w:tcPr>
          <w:p w:rsidR="007F553A" w:rsidRPr="009A59E7" w:rsidRDefault="007F553A">
            <w:pPr>
              <w:tabs>
                <w:tab w:val="left" w:pos="1890"/>
              </w:tabs>
              <w:jc w:val="center"/>
              <w:rPr>
                <w:rFonts w:ascii="Times New Roman" w:hAnsi="Times New Roman"/>
                <w:b/>
              </w:rPr>
            </w:pPr>
            <w:r w:rsidRPr="009A59E7">
              <w:rPr>
                <w:rFonts w:ascii="Times New Roman" w:hAnsi="Times New Roman"/>
                <w:b/>
              </w:rPr>
              <w:t>Placebo</w:t>
            </w:r>
          </w:p>
        </w:tc>
      </w:tr>
      <w:tr w:rsidR="007F553A" w:rsidRPr="009A59E7" w:rsidTr="00667ECB">
        <w:tblPrEx>
          <w:tblCellMar>
            <w:top w:w="0" w:type="dxa"/>
            <w:bottom w:w="0" w:type="dxa"/>
          </w:tblCellMar>
        </w:tblPrEx>
        <w:tc>
          <w:tcPr>
            <w:tcW w:w="4962" w:type="dxa"/>
            <w:vAlign w:val="center"/>
          </w:tcPr>
          <w:p w:rsidR="007F553A" w:rsidRPr="009A59E7" w:rsidRDefault="007F553A">
            <w:pPr>
              <w:tabs>
                <w:tab w:val="left" w:pos="1890"/>
              </w:tabs>
              <w:rPr>
                <w:rFonts w:ascii="Times New Roman" w:hAnsi="Times New Roman"/>
              </w:rPr>
            </w:pPr>
            <w:r w:rsidRPr="009A59E7">
              <w:rPr>
                <w:rFonts w:ascii="Times New Roman" w:hAnsi="Times New Roman"/>
              </w:rPr>
              <w:lastRenderedPageBreak/>
              <w:t>None</w:t>
            </w:r>
          </w:p>
        </w:tc>
        <w:tc>
          <w:tcPr>
            <w:tcW w:w="2126"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-0.80 (68)</w:t>
            </w:r>
          </w:p>
        </w:tc>
        <w:tc>
          <w:tcPr>
            <w:tcW w:w="2268"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-0.11 (29)</w:t>
            </w:r>
          </w:p>
        </w:tc>
      </w:tr>
      <w:tr w:rsidR="007F553A" w:rsidRPr="009A59E7" w:rsidTr="00667ECB">
        <w:tblPrEx>
          <w:tblCellMar>
            <w:top w:w="0" w:type="dxa"/>
            <w:bottom w:w="0" w:type="dxa"/>
          </w:tblCellMar>
        </w:tblPrEx>
        <w:tc>
          <w:tcPr>
            <w:tcW w:w="4962" w:type="dxa"/>
            <w:vAlign w:val="center"/>
          </w:tcPr>
          <w:p w:rsidR="007F553A" w:rsidRPr="009A59E7" w:rsidRDefault="007F553A">
            <w:pPr>
              <w:pStyle w:val="Heading4"/>
              <w:tabs>
                <w:tab w:val="left" w:pos="1890"/>
              </w:tabs>
              <w:spacing w:before="60"/>
              <w:ind w:right="1512"/>
              <w:rPr>
                <w:sz w:val="20"/>
                <w:lang w:val="en-AU"/>
              </w:rPr>
            </w:pPr>
            <w:r w:rsidRPr="009A59E7">
              <w:rPr>
                <w:sz w:val="20"/>
                <w:lang w:val="en-AU"/>
              </w:rPr>
              <w:t xml:space="preserve">Any </w:t>
            </w:r>
          </w:p>
        </w:tc>
        <w:tc>
          <w:tcPr>
            <w:tcW w:w="2126"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-0.50 (154)</w:t>
            </w:r>
          </w:p>
        </w:tc>
        <w:tc>
          <w:tcPr>
            <w:tcW w:w="2268"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 (81)</w:t>
            </w:r>
          </w:p>
        </w:tc>
      </w:tr>
      <w:tr w:rsidR="007F553A" w:rsidRPr="009A59E7" w:rsidTr="00667ECB">
        <w:tblPrEx>
          <w:tblCellMar>
            <w:top w:w="0" w:type="dxa"/>
            <w:bottom w:w="0" w:type="dxa"/>
          </w:tblCellMar>
        </w:tblPrEx>
        <w:tc>
          <w:tcPr>
            <w:tcW w:w="4962" w:type="dxa"/>
            <w:vAlign w:val="center"/>
          </w:tcPr>
          <w:p w:rsidR="007F553A" w:rsidRPr="009A59E7" w:rsidRDefault="007F553A">
            <w:pPr>
              <w:tabs>
                <w:tab w:val="left" w:pos="1890"/>
              </w:tabs>
              <w:rPr>
                <w:rFonts w:ascii="Times New Roman" w:hAnsi="Times New Roman"/>
              </w:rPr>
            </w:pPr>
            <w:r w:rsidRPr="009A59E7">
              <w:rPr>
                <w:rFonts w:ascii="Times New Roman" w:hAnsi="Times New Roman"/>
              </w:rPr>
              <w:t xml:space="preserve">1 – 2 </w:t>
            </w:r>
          </w:p>
        </w:tc>
        <w:tc>
          <w:tcPr>
            <w:tcW w:w="2126"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-0.66 (55)</w:t>
            </w:r>
          </w:p>
        </w:tc>
        <w:tc>
          <w:tcPr>
            <w:tcW w:w="2268"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-0.04 (33)</w:t>
            </w:r>
          </w:p>
        </w:tc>
      </w:tr>
      <w:tr w:rsidR="007F553A" w:rsidRPr="009A59E7" w:rsidTr="00667ECB">
        <w:tblPrEx>
          <w:tblCellMar>
            <w:top w:w="0" w:type="dxa"/>
            <w:bottom w:w="0" w:type="dxa"/>
          </w:tblCellMar>
        </w:tblPrEx>
        <w:tc>
          <w:tcPr>
            <w:tcW w:w="4962" w:type="dxa"/>
            <w:vAlign w:val="center"/>
          </w:tcPr>
          <w:p w:rsidR="007F553A" w:rsidRPr="009A59E7" w:rsidRDefault="007F553A">
            <w:pPr>
              <w:tabs>
                <w:tab w:val="left" w:pos="1890"/>
              </w:tabs>
              <w:rPr>
                <w:rFonts w:ascii="Times New Roman" w:hAnsi="Times New Roman"/>
              </w:rPr>
            </w:pPr>
            <w:r w:rsidRPr="009A59E7">
              <w:rPr>
                <w:rFonts w:ascii="Times New Roman" w:hAnsi="Times New Roman"/>
                <w:u w:val="single"/>
              </w:rPr>
              <w:t>&gt;</w:t>
            </w:r>
            <w:r w:rsidRPr="009A59E7">
              <w:rPr>
                <w:rFonts w:ascii="Times New Roman" w:hAnsi="Times New Roman"/>
              </w:rPr>
              <w:t xml:space="preserve"> 3 including M41L or L210W</w:t>
            </w:r>
          </w:p>
        </w:tc>
        <w:tc>
          <w:tcPr>
            <w:tcW w:w="2126"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-0.21 (57)</w:t>
            </w:r>
          </w:p>
        </w:tc>
        <w:tc>
          <w:tcPr>
            <w:tcW w:w="2268"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+0.01 (29)</w:t>
            </w:r>
          </w:p>
        </w:tc>
      </w:tr>
      <w:tr w:rsidR="007F553A" w:rsidRPr="009A59E7" w:rsidTr="00667ECB">
        <w:tblPrEx>
          <w:tblCellMar>
            <w:top w:w="0" w:type="dxa"/>
            <w:bottom w:w="0" w:type="dxa"/>
          </w:tblCellMar>
        </w:tblPrEx>
        <w:trPr>
          <w:trHeight w:val="197"/>
        </w:trPr>
        <w:tc>
          <w:tcPr>
            <w:tcW w:w="4962" w:type="dxa"/>
            <w:vAlign w:val="center"/>
          </w:tcPr>
          <w:p w:rsidR="007F553A" w:rsidRPr="009A59E7" w:rsidRDefault="007F553A">
            <w:pPr>
              <w:tabs>
                <w:tab w:val="left" w:pos="1890"/>
              </w:tabs>
              <w:rPr>
                <w:rFonts w:ascii="Times New Roman" w:hAnsi="Times New Roman"/>
              </w:rPr>
            </w:pPr>
            <w:r w:rsidRPr="009A59E7">
              <w:rPr>
                <w:rFonts w:ascii="Times New Roman" w:hAnsi="Times New Roman"/>
                <w:u w:val="single"/>
              </w:rPr>
              <w:t>&gt;</w:t>
            </w:r>
            <w:r w:rsidRPr="009A59E7">
              <w:rPr>
                <w:rFonts w:ascii="Times New Roman" w:hAnsi="Times New Roman"/>
              </w:rPr>
              <w:t xml:space="preserve"> 3 without M41L or L210W</w:t>
            </w:r>
          </w:p>
        </w:tc>
        <w:tc>
          <w:tcPr>
            <w:tcW w:w="2126"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-0.67 (42)</w:t>
            </w:r>
          </w:p>
        </w:tc>
        <w:tc>
          <w:tcPr>
            <w:tcW w:w="2268" w:type="dxa"/>
            <w:vAlign w:val="center"/>
          </w:tcPr>
          <w:p w:rsidR="007F553A" w:rsidRPr="009A59E7" w:rsidRDefault="007F553A">
            <w:pPr>
              <w:tabs>
                <w:tab w:val="left" w:pos="1890"/>
              </w:tabs>
              <w:jc w:val="center"/>
              <w:rPr>
                <w:rFonts w:ascii="Times New Roman" w:hAnsi="Times New Roman"/>
              </w:rPr>
            </w:pPr>
            <w:r w:rsidRPr="009A59E7">
              <w:rPr>
                <w:rFonts w:ascii="Times New Roman" w:hAnsi="Times New Roman"/>
              </w:rPr>
              <w:t>+0.07 (19)</w:t>
            </w:r>
          </w:p>
        </w:tc>
      </w:tr>
    </w:tbl>
    <w:p w:rsidR="007F553A" w:rsidRPr="009A59E7" w:rsidRDefault="007F553A">
      <w:pPr>
        <w:numPr>
          <w:ilvl w:val="0"/>
          <w:numId w:val="2"/>
        </w:numPr>
        <w:tabs>
          <w:tab w:val="left" w:pos="540"/>
          <w:tab w:val="left" w:pos="1890"/>
        </w:tabs>
        <w:rPr>
          <w:rFonts w:ascii="Times New Roman" w:hAnsi="Times New Roman"/>
          <w:sz w:val="16"/>
        </w:rPr>
      </w:pPr>
      <w:r w:rsidRPr="009A59E7">
        <w:rPr>
          <w:rFonts w:ascii="Times New Roman" w:hAnsi="Times New Roman"/>
          <w:sz w:val="16"/>
        </w:rPr>
        <w:t>Genotypic testing performed by Virco Laboratories and Visible Genetics TruGene</w:t>
      </w:r>
      <w:r w:rsidRPr="009A59E7">
        <w:rPr>
          <w:rFonts w:ascii="Times New Roman" w:hAnsi="Times New Roman"/>
          <w:sz w:val="16"/>
          <w:vertAlign w:val="superscript"/>
        </w:rPr>
        <w:t xml:space="preserve">TM  </w:t>
      </w:r>
      <w:r w:rsidRPr="009A59E7">
        <w:rPr>
          <w:rFonts w:ascii="Times New Roman" w:hAnsi="Times New Roman"/>
          <w:sz w:val="16"/>
        </w:rPr>
        <w:t>technology</w:t>
      </w:r>
    </w:p>
    <w:p w:rsidR="007F553A" w:rsidRPr="009A59E7" w:rsidRDefault="007F553A">
      <w:pPr>
        <w:numPr>
          <w:ilvl w:val="0"/>
          <w:numId w:val="2"/>
        </w:numPr>
        <w:tabs>
          <w:tab w:val="left" w:pos="540"/>
          <w:tab w:val="left" w:pos="1890"/>
        </w:tabs>
        <w:rPr>
          <w:rFonts w:ascii="Times New Roman" w:hAnsi="Times New Roman"/>
          <w:sz w:val="16"/>
        </w:rPr>
      </w:pPr>
      <w:r w:rsidRPr="009A59E7">
        <w:rPr>
          <w:rFonts w:ascii="Times New Roman" w:hAnsi="Times New Roman"/>
          <w:sz w:val="16"/>
        </w:rPr>
        <w:t>M41L, D67N, K70R, L210W, T215Y/F or K219Q/E/N in RT</w:t>
      </w:r>
    </w:p>
    <w:p w:rsidR="007F553A" w:rsidRPr="009A59E7" w:rsidRDefault="007F553A">
      <w:pPr>
        <w:numPr>
          <w:ilvl w:val="0"/>
          <w:numId w:val="2"/>
        </w:numPr>
        <w:tabs>
          <w:tab w:val="left" w:pos="540"/>
          <w:tab w:val="left" w:pos="1890"/>
        </w:tabs>
        <w:rPr>
          <w:rFonts w:ascii="Times New Roman" w:hAnsi="Times New Roman"/>
          <w:sz w:val="16"/>
        </w:rPr>
      </w:pPr>
      <w:r w:rsidRPr="009A59E7">
        <w:rPr>
          <w:rFonts w:ascii="Times New Roman" w:hAnsi="Times New Roman"/>
          <w:sz w:val="16"/>
        </w:rPr>
        <w:t>Average HIV RNA change from baseline through week 24 (DAVG</w:t>
      </w:r>
      <w:r w:rsidRPr="009A59E7">
        <w:rPr>
          <w:rFonts w:ascii="Times New Roman" w:hAnsi="Times New Roman"/>
          <w:sz w:val="16"/>
          <w:vertAlign w:val="subscript"/>
        </w:rPr>
        <w:t>24</w:t>
      </w:r>
      <w:r w:rsidRPr="009A59E7">
        <w:rPr>
          <w:rFonts w:ascii="Times New Roman" w:hAnsi="Times New Roman"/>
          <w:sz w:val="16"/>
        </w:rPr>
        <w:t>) in log</w:t>
      </w:r>
      <w:r w:rsidRPr="009A59E7">
        <w:rPr>
          <w:rFonts w:ascii="Times New Roman" w:hAnsi="Times New Roman"/>
          <w:sz w:val="16"/>
          <w:vertAlign w:val="subscript"/>
        </w:rPr>
        <w:t>10</w:t>
      </w:r>
      <w:r w:rsidRPr="009A59E7">
        <w:rPr>
          <w:rFonts w:ascii="Times New Roman" w:hAnsi="Times New Roman"/>
          <w:sz w:val="16"/>
        </w:rPr>
        <w:t xml:space="preserve"> copies/mL</w:t>
      </w:r>
    </w:p>
    <w:p w:rsidR="007F553A" w:rsidRPr="009718F7" w:rsidRDefault="007F553A" w:rsidP="009718F7">
      <w:pPr>
        <w:pStyle w:val="CommentText"/>
        <w:tabs>
          <w:tab w:val="left" w:pos="1890"/>
        </w:tabs>
        <w:jc w:val="both"/>
        <w:rPr>
          <w:sz w:val="22"/>
          <w:szCs w:val="22"/>
          <w:lang w:val="en-AU"/>
        </w:rPr>
      </w:pPr>
    </w:p>
    <w:p w:rsidR="00F376D0" w:rsidRPr="00015C34" w:rsidRDefault="007F553A" w:rsidP="009718F7">
      <w:pPr>
        <w:jc w:val="both"/>
        <w:rPr>
          <w:rFonts w:ascii="Times New Roman" w:hAnsi="Times New Roman"/>
          <w:sz w:val="24"/>
          <w:szCs w:val="24"/>
        </w:rPr>
      </w:pPr>
      <w:r w:rsidRPr="00015C34">
        <w:rPr>
          <w:rFonts w:ascii="Times New Roman" w:hAnsi="Times New Roman"/>
          <w:sz w:val="24"/>
          <w:szCs w:val="24"/>
        </w:rPr>
        <w:t>In the protocol defined analyses, virologic response to VIREAD was not reduced in patients with HIV that expressed the lamivudine/ abacavir-associated M184V mutation.  In the absence of zidovudine-associated mutations, patients with the M184V mutation receiving VIREAD showed a –0.84 log</w:t>
      </w:r>
      <w:r w:rsidRPr="00015C34">
        <w:rPr>
          <w:rFonts w:ascii="Times New Roman" w:hAnsi="Times New Roman"/>
          <w:sz w:val="24"/>
          <w:szCs w:val="24"/>
          <w:vertAlign w:val="subscript"/>
        </w:rPr>
        <w:t xml:space="preserve">10 </w:t>
      </w:r>
      <w:r w:rsidRPr="00015C34">
        <w:rPr>
          <w:rFonts w:ascii="Times New Roman" w:hAnsi="Times New Roman"/>
          <w:sz w:val="24"/>
          <w:szCs w:val="24"/>
        </w:rPr>
        <w:t xml:space="preserve">copies/mL decrease in their HIV RNA relative to placebo.  In the presence of zidovudine-associated mutations, the M184V mutation did not affect the mean HIV RNA responses to </w:t>
      </w:r>
      <w:r w:rsidRPr="00015C34">
        <w:rPr>
          <w:rFonts w:ascii="Times New Roman" w:hAnsi="Times New Roman"/>
          <w:snapToGrid w:val="0"/>
          <w:sz w:val="24"/>
          <w:szCs w:val="24"/>
        </w:rPr>
        <w:t>VIREAD</w:t>
      </w:r>
      <w:r w:rsidRPr="00015C34">
        <w:rPr>
          <w:rFonts w:ascii="Times New Roman" w:hAnsi="Times New Roman"/>
          <w:sz w:val="24"/>
          <w:szCs w:val="24"/>
        </w:rPr>
        <w:t xml:space="preserve"> treatment.</w:t>
      </w:r>
      <w:r w:rsidRPr="00015C34">
        <w:rPr>
          <w:rFonts w:ascii="Times New Roman" w:hAnsi="Times New Roman"/>
          <w:snapToGrid w:val="0"/>
          <w:sz w:val="24"/>
          <w:szCs w:val="24"/>
        </w:rPr>
        <w:t xml:space="preserve">  </w:t>
      </w:r>
      <w:r w:rsidR="00F376D0" w:rsidRPr="00015C34">
        <w:rPr>
          <w:rFonts w:ascii="Times New Roman" w:hAnsi="Times New Roman"/>
          <w:sz w:val="24"/>
          <w:szCs w:val="24"/>
        </w:rPr>
        <w:t xml:space="preserve"> HIV-1 RNA responses among these patients were durable through week 48.  </w:t>
      </w:r>
    </w:p>
    <w:p w:rsidR="007F553A" w:rsidRPr="00015C34" w:rsidRDefault="007F553A" w:rsidP="009718F7">
      <w:pPr>
        <w:tabs>
          <w:tab w:val="left" w:pos="1890"/>
        </w:tabs>
        <w:jc w:val="both"/>
        <w:rPr>
          <w:rFonts w:ascii="Times New Roman" w:hAnsi="Times New Roman"/>
          <w:snapToGrid w:val="0"/>
          <w:sz w:val="24"/>
          <w:szCs w:val="24"/>
        </w:rPr>
      </w:pPr>
    </w:p>
    <w:p w:rsidR="007F553A" w:rsidRPr="00015C34" w:rsidRDefault="007F553A" w:rsidP="009718F7">
      <w:pPr>
        <w:jc w:val="both"/>
        <w:rPr>
          <w:rFonts w:ascii="Times New Roman" w:hAnsi="Times New Roman"/>
          <w:sz w:val="24"/>
          <w:szCs w:val="24"/>
        </w:rPr>
      </w:pPr>
      <w:r w:rsidRPr="00015C34">
        <w:rPr>
          <w:rFonts w:ascii="Times New Roman" w:hAnsi="Times New Roman"/>
          <w:sz w:val="24"/>
          <w:szCs w:val="24"/>
        </w:rPr>
        <w:t>There were limited data on patients expressing some primary nucleoside reverse transcriptase inhibitor mutations and multi-drug resistant mutations at baseline.  However, patients expressing mutations at K65R (N=6), or L74V without zidovudine-associated mutations (N=6) appeared to have reduced virologic responses to VIREAD.</w:t>
      </w:r>
    </w:p>
    <w:p w:rsidR="000A52D3" w:rsidRPr="00015C34" w:rsidRDefault="000A52D3" w:rsidP="009718F7">
      <w:pPr>
        <w:jc w:val="both"/>
        <w:rPr>
          <w:rFonts w:ascii="Times New Roman" w:hAnsi="Times New Roman"/>
          <w:sz w:val="24"/>
          <w:szCs w:val="24"/>
        </w:rPr>
      </w:pPr>
    </w:p>
    <w:p w:rsidR="007F553A" w:rsidRPr="00015C34" w:rsidRDefault="007F553A" w:rsidP="009718F7">
      <w:pPr>
        <w:jc w:val="both"/>
        <w:rPr>
          <w:rFonts w:ascii="Times New Roman" w:hAnsi="Times New Roman"/>
          <w:sz w:val="24"/>
          <w:szCs w:val="24"/>
        </w:rPr>
      </w:pPr>
      <w:r w:rsidRPr="00015C34">
        <w:rPr>
          <w:rFonts w:ascii="Times New Roman" w:hAnsi="Times New Roman"/>
          <w:sz w:val="24"/>
          <w:szCs w:val="24"/>
        </w:rPr>
        <w:t>The presence of at least one HIV protease inhibitor or non</w:t>
      </w:r>
      <w:r w:rsidR="00D14AFF" w:rsidRPr="00015C34">
        <w:rPr>
          <w:rFonts w:ascii="Times New Roman" w:hAnsi="Times New Roman"/>
          <w:sz w:val="24"/>
          <w:szCs w:val="24"/>
        </w:rPr>
        <w:t>-</w:t>
      </w:r>
      <w:r w:rsidRPr="00015C34">
        <w:rPr>
          <w:rFonts w:ascii="Times New Roman" w:hAnsi="Times New Roman"/>
          <w:sz w:val="24"/>
          <w:szCs w:val="24"/>
        </w:rPr>
        <w:t>nucleoside reverse transcriptase inhibitor mutation at baseline did not appear to affect the virologic response to VIREAD. Cross-resistance between VIREAD and HIV protease inhibitors is unlikely because of the different enzyme targets involved.</w:t>
      </w:r>
    </w:p>
    <w:p w:rsidR="00E12CC9" w:rsidRPr="00015C34" w:rsidRDefault="00E12CC9" w:rsidP="009718F7">
      <w:pPr>
        <w:pStyle w:val="BodyText3"/>
        <w:tabs>
          <w:tab w:val="left" w:pos="1890"/>
        </w:tabs>
        <w:rPr>
          <w:b w:val="0"/>
          <w:i w:val="0"/>
          <w:sz w:val="24"/>
          <w:szCs w:val="24"/>
          <w:lang w:val="en-AU"/>
        </w:rPr>
      </w:pPr>
    </w:p>
    <w:p w:rsidR="007F553A" w:rsidRPr="00015C34" w:rsidRDefault="007F553A" w:rsidP="009718F7">
      <w:pPr>
        <w:tabs>
          <w:tab w:val="left" w:pos="1890"/>
        </w:tabs>
        <w:jc w:val="both"/>
        <w:rPr>
          <w:rFonts w:ascii="Times New Roman" w:hAnsi="Times New Roman"/>
          <w:b/>
          <w:color w:val="000000"/>
          <w:sz w:val="24"/>
          <w:szCs w:val="24"/>
        </w:rPr>
      </w:pPr>
      <w:r w:rsidRPr="00015C34">
        <w:rPr>
          <w:rFonts w:ascii="Times New Roman" w:hAnsi="Times New Roman"/>
          <w:b/>
          <w:color w:val="000000"/>
          <w:sz w:val="24"/>
          <w:szCs w:val="24"/>
        </w:rPr>
        <w:t>Phenotypic Analyses of VIREAD in Patients with Previous Antiretroviral Therapy (Study 902 and 907)</w:t>
      </w:r>
    </w:p>
    <w:p w:rsidR="009718F7" w:rsidRPr="00015C34" w:rsidRDefault="009718F7" w:rsidP="009718F7">
      <w:pPr>
        <w:tabs>
          <w:tab w:val="left" w:pos="1890"/>
        </w:tabs>
        <w:jc w:val="both"/>
        <w:rPr>
          <w:rFonts w:ascii="Times New Roman" w:hAnsi="Times New Roman"/>
          <w:b/>
          <w:color w:val="000000"/>
          <w:sz w:val="24"/>
          <w:szCs w:val="24"/>
        </w:rPr>
      </w:pPr>
    </w:p>
    <w:p w:rsidR="007F553A" w:rsidRPr="00015C34" w:rsidRDefault="007F553A" w:rsidP="009718F7">
      <w:pPr>
        <w:pStyle w:val="text1Char"/>
        <w:tabs>
          <w:tab w:val="left" w:pos="1890"/>
        </w:tabs>
        <w:spacing w:after="0"/>
        <w:jc w:val="both"/>
        <w:rPr>
          <w:b/>
          <w:szCs w:val="24"/>
          <w:lang w:val="en-AU"/>
        </w:rPr>
      </w:pPr>
      <w:r w:rsidRPr="00015C34">
        <w:rPr>
          <w:szCs w:val="24"/>
          <w:lang w:val="en-AU"/>
        </w:rPr>
        <w:t xml:space="preserve">The virologic response to VIREAD therapy has been evaluated with respect to baseline phenotype (N=100) in treatment experienced patients participating in trials 902 and 907.  Phenotypic analysis of baseline HIV from patients in Studies 902 and 907 demonstrated a correlation between baseline susceptibility to VIREAD and response to VIREAD therapy.  Table </w:t>
      </w:r>
      <w:r w:rsidR="006125D5" w:rsidRPr="00015C34">
        <w:rPr>
          <w:szCs w:val="24"/>
          <w:lang w:val="en-AU"/>
        </w:rPr>
        <w:t>9</w:t>
      </w:r>
      <w:r w:rsidR="001323B1" w:rsidRPr="00015C34">
        <w:rPr>
          <w:szCs w:val="24"/>
          <w:lang w:val="en-AU"/>
        </w:rPr>
        <w:t xml:space="preserve"> </w:t>
      </w:r>
      <w:r w:rsidR="00AA344A" w:rsidRPr="00015C34">
        <w:rPr>
          <w:szCs w:val="24"/>
          <w:lang w:val="en-AU"/>
        </w:rPr>
        <w:t xml:space="preserve">summarises </w:t>
      </w:r>
      <w:r w:rsidRPr="00015C34">
        <w:rPr>
          <w:szCs w:val="24"/>
          <w:lang w:val="en-AU"/>
        </w:rPr>
        <w:t>the HIV RNA response by baseline VIREAD susceptibility.</w:t>
      </w:r>
    </w:p>
    <w:p w:rsidR="007F553A" w:rsidRPr="009718F7" w:rsidRDefault="007F553A" w:rsidP="009718F7">
      <w:pPr>
        <w:pStyle w:val="BodyTextIndent"/>
        <w:tabs>
          <w:tab w:val="left" w:pos="180"/>
          <w:tab w:val="left" w:pos="1890"/>
        </w:tabs>
        <w:ind w:left="0"/>
        <w:jc w:val="both"/>
        <w:rPr>
          <w:rFonts w:ascii="Times New Roman" w:hAnsi="Times New Roman"/>
          <w:color w:val="auto"/>
          <w:sz w:val="22"/>
          <w:szCs w:val="22"/>
          <w:lang w:val="en-AU"/>
        </w:rPr>
      </w:pPr>
    </w:p>
    <w:p w:rsidR="007F553A" w:rsidRPr="009718F7" w:rsidRDefault="007F553A">
      <w:pPr>
        <w:pStyle w:val="Header"/>
        <w:tabs>
          <w:tab w:val="left" w:pos="1440"/>
          <w:tab w:val="left" w:pos="1890"/>
        </w:tabs>
        <w:ind w:left="1440" w:right="68" w:hanging="1440"/>
        <w:rPr>
          <w:rFonts w:ascii="Times New Roman" w:hAnsi="Times New Roman"/>
          <w:szCs w:val="22"/>
          <w:lang w:val="en-AU"/>
        </w:rPr>
      </w:pPr>
      <w:r w:rsidRPr="009718F7">
        <w:rPr>
          <w:rFonts w:ascii="Times New Roman" w:hAnsi="Times New Roman"/>
          <w:szCs w:val="22"/>
          <w:lang w:val="en-AU"/>
        </w:rPr>
        <w:t xml:space="preserve">Table </w:t>
      </w:r>
      <w:r w:rsidR="006125D5">
        <w:rPr>
          <w:rFonts w:ascii="Times New Roman" w:hAnsi="Times New Roman"/>
          <w:szCs w:val="22"/>
          <w:lang w:val="en-AU"/>
        </w:rPr>
        <w:t>9</w:t>
      </w:r>
      <w:r w:rsidRPr="009718F7">
        <w:rPr>
          <w:rFonts w:ascii="Times New Roman" w:hAnsi="Times New Roman"/>
          <w:szCs w:val="22"/>
          <w:lang w:val="en-AU"/>
        </w:rPr>
        <w:t xml:space="preserve">. </w:t>
      </w:r>
      <w:r w:rsidRPr="009718F7">
        <w:rPr>
          <w:rFonts w:ascii="Times New Roman" w:hAnsi="Times New Roman"/>
          <w:szCs w:val="22"/>
          <w:lang w:val="en-AU"/>
        </w:rPr>
        <w:tab/>
        <w:t>HIV RNA Response at Week 24 by Baseline VIREAD Susceptibility in Studies 902 and 907 (Intent-To-Treat)</w:t>
      </w:r>
      <w:r w:rsidRPr="009718F7">
        <w:rPr>
          <w:rFonts w:ascii="Times New Roman" w:hAnsi="Times New Roman"/>
          <w:szCs w:val="22"/>
          <w:vertAlign w:val="superscript"/>
          <w:lang w:val="en-AU"/>
        </w:rPr>
        <w:t>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330"/>
      </w:tblGrid>
      <w:tr w:rsidR="007F553A" w:rsidRPr="0079348A">
        <w:tblPrEx>
          <w:tblCellMar>
            <w:top w:w="0" w:type="dxa"/>
            <w:bottom w:w="0" w:type="dxa"/>
          </w:tblCellMar>
        </w:tblPrEx>
        <w:tc>
          <w:tcPr>
            <w:tcW w:w="3060" w:type="dxa"/>
            <w:vAlign w:val="center"/>
          </w:tcPr>
          <w:p w:rsidR="007F553A" w:rsidRPr="009A59E7" w:rsidRDefault="007F553A">
            <w:pPr>
              <w:pStyle w:val="Header"/>
              <w:tabs>
                <w:tab w:val="left" w:pos="1890"/>
              </w:tabs>
              <w:jc w:val="center"/>
              <w:rPr>
                <w:rFonts w:ascii="Times New Roman" w:hAnsi="Times New Roman"/>
                <w:sz w:val="20"/>
                <w:lang w:val="en-AU"/>
              </w:rPr>
            </w:pPr>
            <w:r w:rsidRPr="009A59E7">
              <w:rPr>
                <w:rFonts w:ascii="Times New Roman" w:hAnsi="Times New Roman"/>
                <w:sz w:val="20"/>
                <w:lang w:val="en-AU"/>
              </w:rPr>
              <w:t>Baseline VIREAD Susceptibility</w:t>
            </w:r>
            <w:r w:rsidRPr="009A59E7">
              <w:rPr>
                <w:rFonts w:ascii="Times New Roman" w:hAnsi="Times New Roman"/>
                <w:sz w:val="20"/>
                <w:vertAlign w:val="superscript"/>
                <w:lang w:val="en-AU"/>
              </w:rPr>
              <w:t>2</w:t>
            </w:r>
          </w:p>
        </w:tc>
        <w:tc>
          <w:tcPr>
            <w:tcW w:w="3330" w:type="dxa"/>
          </w:tcPr>
          <w:p w:rsidR="007F553A" w:rsidRPr="0079348A" w:rsidRDefault="00220BF5">
            <w:pPr>
              <w:pStyle w:val="Header"/>
              <w:tabs>
                <w:tab w:val="left" w:pos="1890"/>
              </w:tabs>
              <w:jc w:val="center"/>
              <w:rPr>
                <w:rFonts w:ascii="Times New Roman" w:hAnsi="Times New Roman"/>
                <w:sz w:val="20"/>
                <w:lang w:val="de-DE"/>
              </w:rPr>
            </w:pPr>
            <w:r>
              <w:rPr>
                <w:rFonts w:ascii="Times New Roman" w:hAnsi="Times New Roman"/>
                <w:sz w:val="20"/>
                <w:lang w:val="de-DE"/>
              </w:rPr>
              <w:t>Change in HIV RNA</w:t>
            </w:r>
            <w:r w:rsidRPr="00220BF5">
              <w:rPr>
                <w:rFonts w:ascii="Times New Roman Bold" w:hAnsi="Times New Roman Bold"/>
                <w:sz w:val="20"/>
                <w:vertAlign w:val="superscript"/>
                <w:lang w:val="de-DE"/>
              </w:rPr>
              <w:t>3</w:t>
            </w:r>
            <w:r>
              <w:rPr>
                <w:rFonts w:ascii="Times New Roman" w:hAnsi="Times New Roman"/>
                <w:sz w:val="20"/>
                <w:lang w:val="de-DE"/>
              </w:rPr>
              <w:t xml:space="preserve"> (N)</w:t>
            </w:r>
          </w:p>
        </w:tc>
      </w:tr>
      <w:tr w:rsidR="007F553A" w:rsidRPr="009A59E7">
        <w:tblPrEx>
          <w:tblCellMar>
            <w:top w:w="0" w:type="dxa"/>
            <w:bottom w:w="0" w:type="dxa"/>
          </w:tblCellMar>
        </w:tblPrEx>
        <w:tc>
          <w:tcPr>
            <w:tcW w:w="3060" w:type="dxa"/>
          </w:tcPr>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u w:val="single"/>
                <w:lang w:val="en-AU"/>
              </w:rPr>
              <w:t>&lt;</w:t>
            </w:r>
            <w:r w:rsidRPr="009A59E7">
              <w:rPr>
                <w:rFonts w:ascii="Times New Roman" w:hAnsi="Times New Roman"/>
                <w:b w:val="0"/>
                <w:sz w:val="20"/>
                <w:lang w:val="en-AU"/>
              </w:rPr>
              <w:t xml:space="preserve"> 1</w:t>
            </w:r>
          </w:p>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 xml:space="preserve">&gt; 1 and </w:t>
            </w:r>
            <w:r w:rsidRPr="009A59E7">
              <w:rPr>
                <w:rFonts w:ascii="Times New Roman" w:hAnsi="Times New Roman"/>
                <w:b w:val="0"/>
                <w:sz w:val="20"/>
                <w:u w:val="single"/>
                <w:lang w:val="en-AU"/>
              </w:rPr>
              <w:t>&lt;</w:t>
            </w:r>
            <w:r w:rsidRPr="009A59E7">
              <w:rPr>
                <w:rFonts w:ascii="Times New Roman" w:hAnsi="Times New Roman"/>
                <w:b w:val="0"/>
                <w:sz w:val="20"/>
                <w:lang w:val="en-AU"/>
              </w:rPr>
              <w:t xml:space="preserve"> 3</w:t>
            </w:r>
          </w:p>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 xml:space="preserve">&gt; 3 and </w:t>
            </w:r>
            <w:r w:rsidRPr="009A59E7">
              <w:rPr>
                <w:rFonts w:ascii="Times New Roman" w:hAnsi="Times New Roman"/>
                <w:b w:val="0"/>
                <w:sz w:val="20"/>
                <w:u w:val="single"/>
                <w:lang w:val="en-AU"/>
              </w:rPr>
              <w:t>&lt;</w:t>
            </w:r>
            <w:r w:rsidRPr="009A59E7">
              <w:rPr>
                <w:rFonts w:ascii="Times New Roman" w:hAnsi="Times New Roman"/>
                <w:b w:val="0"/>
                <w:sz w:val="20"/>
                <w:lang w:val="en-AU"/>
              </w:rPr>
              <w:t xml:space="preserve"> 4</w:t>
            </w:r>
          </w:p>
        </w:tc>
        <w:tc>
          <w:tcPr>
            <w:tcW w:w="3330" w:type="dxa"/>
          </w:tcPr>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-0.74 (35)</w:t>
            </w:r>
          </w:p>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-0.56 (49)</w:t>
            </w:r>
          </w:p>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-0.3 (7)</w:t>
            </w:r>
          </w:p>
        </w:tc>
      </w:tr>
      <w:tr w:rsidR="007F553A" w:rsidRPr="009A59E7">
        <w:tblPrEx>
          <w:tblCellMar>
            <w:top w:w="0" w:type="dxa"/>
            <w:bottom w:w="0" w:type="dxa"/>
          </w:tblCellMar>
        </w:tblPrEx>
        <w:tc>
          <w:tcPr>
            <w:tcW w:w="3060" w:type="dxa"/>
          </w:tcPr>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u w:val="single"/>
                <w:lang w:val="en-AU"/>
              </w:rPr>
              <w:t>&lt;</w:t>
            </w:r>
            <w:r w:rsidRPr="009A59E7">
              <w:rPr>
                <w:rFonts w:ascii="Times New Roman" w:hAnsi="Times New Roman"/>
                <w:b w:val="0"/>
                <w:sz w:val="20"/>
                <w:lang w:val="en-AU"/>
              </w:rPr>
              <w:t xml:space="preserve"> 4</w:t>
            </w:r>
          </w:p>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&gt; 4</w:t>
            </w:r>
          </w:p>
        </w:tc>
        <w:tc>
          <w:tcPr>
            <w:tcW w:w="3330" w:type="dxa"/>
          </w:tcPr>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-0.61 (91)</w:t>
            </w:r>
          </w:p>
          <w:p w:rsidR="007F553A" w:rsidRPr="009A59E7" w:rsidRDefault="007F553A">
            <w:pPr>
              <w:pStyle w:val="Header"/>
              <w:tabs>
                <w:tab w:val="left" w:pos="1890"/>
              </w:tabs>
              <w:jc w:val="center"/>
              <w:rPr>
                <w:rFonts w:ascii="Times New Roman" w:hAnsi="Times New Roman"/>
                <w:b w:val="0"/>
                <w:sz w:val="20"/>
                <w:lang w:val="en-AU"/>
              </w:rPr>
            </w:pPr>
            <w:r w:rsidRPr="009A59E7">
              <w:rPr>
                <w:rFonts w:ascii="Times New Roman" w:hAnsi="Times New Roman"/>
                <w:b w:val="0"/>
                <w:sz w:val="20"/>
                <w:lang w:val="en-AU"/>
              </w:rPr>
              <w:t>-0.12 (9)</w:t>
            </w:r>
          </w:p>
        </w:tc>
      </w:tr>
    </w:tbl>
    <w:p w:rsidR="007F553A" w:rsidRPr="009A59E7" w:rsidRDefault="007F553A">
      <w:pPr>
        <w:pStyle w:val="Table-Text"/>
        <w:keepNext w:val="0"/>
        <w:keepLines w:val="0"/>
        <w:numPr>
          <w:ilvl w:val="0"/>
          <w:numId w:val="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1890"/>
        </w:tabs>
        <w:rPr>
          <w:lang w:val="en-AU"/>
        </w:rPr>
      </w:pPr>
      <w:r w:rsidRPr="009A59E7">
        <w:rPr>
          <w:lang w:val="en-AU"/>
        </w:rPr>
        <w:t>Tenofovir susceptibility was determined by recombinant phenotypic Antivirogram</w:t>
      </w:r>
      <w:r w:rsidRPr="009A59E7">
        <w:rPr>
          <w:vertAlign w:val="superscript"/>
          <w:lang w:val="en-AU"/>
        </w:rPr>
        <w:t>TM</w:t>
      </w:r>
      <w:r w:rsidRPr="009A59E7">
        <w:rPr>
          <w:lang w:val="en-AU"/>
        </w:rPr>
        <w:t xml:space="preserve"> assay (Virco)</w:t>
      </w:r>
    </w:p>
    <w:p w:rsidR="007F553A" w:rsidRPr="009A59E7" w:rsidRDefault="007F553A">
      <w:pPr>
        <w:pStyle w:val="Table-Text"/>
        <w:keepNext w:val="0"/>
        <w:keepLines w:val="0"/>
        <w:tabs>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360"/>
          <w:tab w:val="left" w:pos="1890"/>
        </w:tabs>
        <w:rPr>
          <w:lang w:val="en-AU"/>
        </w:rPr>
      </w:pPr>
      <w:r w:rsidRPr="009A59E7">
        <w:rPr>
          <w:lang w:val="en-AU"/>
        </w:rPr>
        <w:t>2.</w:t>
      </w:r>
      <w:r w:rsidRPr="009A59E7">
        <w:rPr>
          <w:lang w:val="en-AU"/>
        </w:rPr>
        <w:tab/>
        <w:t>Fold change in susceptibility from wild-type</w:t>
      </w:r>
    </w:p>
    <w:p w:rsidR="007F553A" w:rsidRPr="009A59E7" w:rsidRDefault="007F553A">
      <w:pPr>
        <w:tabs>
          <w:tab w:val="left" w:pos="360"/>
          <w:tab w:val="left" w:pos="1890"/>
        </w:tabs>
        <w:rPr>
          <w:rFonts w:ascii="Times New Roman" w:hAnsi="Times New Roman"/>
          <w:strike/>
          <w:sz w:val="16"/>
        </w:rPr>
      </w:pPr>
      <w:r w:rsidRPr="009A59E7">
        <w:rPr>
          <w:rFonts w:ascii="Times New Roman" w:hAnsi="Times New Roman"/>
          <w:sz w:val="16"/>
        </w:rPr>
        <w:t>3.</w:t>
      </w:r>
      <w:r w:rsidRPr="009A59E7">
        <w:rPr>
          <w:rFonts w:ascii="Times New Roman" w:hAnsi="Times New Roman"/>
          <w:sz w:val="16"/>
        </w:rPr>
        <w:tab/>
        <w:t>Average HIV RNA change from baseline through week 24 (DAVG</w:t>
      </w:r>
      <w:r w:rsidRPr="009A59E7">
        <w:rPr>
          <w:rFonts w:ascii="Times New Roman" w:hAnsi="Times New Roman"/>
          <w:sz w:val="16"/>
          <w:vertAlign w:val="subscript"/>
        </w:rPr>
        <w:t>24</w:t>
      </w:r>
      <w:r w:rsidRPr="009A59E7">
        <w:rPr>
          <w:rFonts w:ascii="Times New Roman" w:hAnsi="Times New Roman"/>
          <w:sz w:val="16"/>
        </w:rPr>
        <w:t>) in log</w:t>
      </w:r>
      <w:r w:rsidRPr="009A59E7">
        <w:rPr>
          <w:rFonts w:ascii="Times New Roman" w:hAnsi="Times New Roman"/>
          <w:sz w:val="16"/>
          <w:vertAlign w:val="subscript"/>
        </w:rPr>
        <w:t>10</w:t>
      </w:r>
      <w:r w:rsidRPr="009A59E7">
        <w:rPr>
          <w:rFonts w:ascii="Times New Roman" w:hAnsi="Times New Roman"/>
          <w:sz w:val="16"/>
        </w:rPr>
        <w:t xml:space="preserve"> copies/mL</w:t>
      </w:r>
    </w:p>
    <w:p w:rsidR="007F553A" w:rsidRPr="00015C34" w:rsidRDefault="007F553A">
      <w:pPr>
        <w:tabs>
          <w:tab w:val="left" w:pos="1890"/>
        </w:tabs>
        <w:ind w:right="-180"/>
        <w:rPr>
          <w:rFonts w:ascii="Times New Roman" w:hAnsi="Times New Roman"/>
          <w:b/>
          <w:color w:val="000000"/>
          <w:sz w:val="24"/>
          <w:szCs w:val="24"/>
        </w:rPr>
      </w:pPr>
    </w:p>
    <w:p w:rsidR="00F4152A" w:rsidRPr="00015C34" w:rsidRDefault="00F4152A" w:rsidP="00F4152A">
      <w:pPr>
        <w:pStyle w:val="Text1"/>
        <w:spacing w:after="0"/>
        <w:jc w:val="both"/>
        <w:rPr>
          <w:b/>
          <w:i/>
          <w:color w:val="000000"/>
          <w:szCs w:val="24"/>
        </w:rPr>
      </w:pPr>
      <w:r w:rsidRPr="00015C34">
        <w:rPr>
          <w:b/>
          <w:i/>
          <w:color w:val="000000"/>
          <w:szCs w:val="24"/>
        </w:rPr>
        <w:t xml:space="preserve">Clinical efficacy in chronic hepatitis B: </w:t>
      </w:r>
    </w:p>
    <w:p w:rsidR="00F4152A" w:rsidRPr="00015C34" w:rsidRDefault="00F4152A" w:rsidP="00F4152A">
      <w:pPr>
        <w:pStyle w:val="Text1"/>
        <w:spacing w:after="0"/>
        <w:jc w:val="both"/>
        <w:rPr>
          <w:color w:val="000000"/>
          <w:szCs w:val="24"/>
          <w:lang w:val="en-GB"/>
        </w:rPr>
      </w:pPr>
      <w:r w:rsidRPr="00015C34">
        <w:rPr>
          <w:color w:val="000000"/>
          <w:szCs w:val="24"/>
          <w:lang w:val="en-GB"/>
        </w:rPr>
        <w:lastRenderedPageBreak/>
        <w:t xml:space="preserve">The demonstration of benefit of VIREAD is based on histological, virological, biochemical, and serological responses in adults with HBeAg positive and HBeAg negative chronic hepatitis B with compensated </w:t>
      </w:r>
      <w:r w:rsidR="005E3733">
        <w:rPr>
          <w:color w:val="000000"/>
          <w:szCs w:val="24"/>
          <w:lang w:val="en-GB"/>
        </w:rPr>
        <w:t xml:space="preserve">and decompensated </w:t>
      </w:r>
      <w:r w:rsidRPr="00015C34">
        <w:rPr>
          <w:color w:val="000000"/>
          <w:szCs w:val="24"/>
          <w:lang w:val="en-GB"/>
        </w:rPr>
        <w:t xml:space="preserve">liver </w:t>
      </w:r>
      <w:r w:rsidR="000D0B37">
        <w:rPr>
          <w:color w:val="000000"/>
          <w:szCs w:val="24"/>
          <w:lang w:val="en-GB"/>
        </w:rPr>
        <w:t>function</w:t>
      </w:r>
      <w:r w:rsidRPr="00015C34">
        <w:rPr>
          <w:color w:val="000000"/>
          <w:szCs w:val="24"/>
          <w:lang w:val="en-GB"/>
        </w:rPr>
        <w:t>; clinical evidence of prior treatment failure; and patients co-infected with HIV-1 and HBV.  In these clinical studies patients had active viral replication at baseline.  VIREAD has demonstrated anti-HBV activity in patients with HBV containing lamivudine-</w:t>
      </w:r>
      <w:r w:rsidR="007D698E">
        <w:rPr>
          <w:color w:val="000000"/>
          <w:szCs w:val="24"/>
          <w:lang w:val="en-GB"/>
        </w:rPr>
        <w:t xml:space="preserve"> or adefovir-</w:t>
      </w:r>
      <w:r w:rsidRPr="00015C34">
        <w:rPr>
          <w:color w:val="000000"/>
          <w:szCs w:val="24"/>
          <w:lang w:val="en-GB"/>
        </w:rPr>
        <w:t>resistance-associated mutations.</w:t>
      </w:r>
    </w:p>
    <w:p w:rsidR="00F4152A" w:rsidRDefault="00F4152A" w:rsidP="00F4152A">
      <w:pPr>
        <w:pStyle w:val="Text1"/>
        <w:spacing w:after="0"/>
        <w:jc w:val="both"/>
        <w:rPr>
          <w:b/>
          <w:i/>
          <w:color w:val="FF0000"/>
          <w:szCs w:val="24"/>
          <w:u w:val="single"/>
          <w:lang w:val="en-GB"/>
        </w:rPr>
      </w:pPr>
    </w:p>
    <w:p w:rsidR="002F5170" w:rsidRDefault="002F5170" w:rsidP="00F4152A">
      <w:pPr>
        <w:pStyle w:val="Text1"/>
        <w:spacing w:after="0"/>
        <w:jc w:val="both"/>
        <w:rPr>
          <w:b/>
          <w:i/>
          <w:color w:val="FF0000"/>
          <w:szCs w:val="24"/>
          <w:u w:val="single"/>
          <w:lang w:val="en-GB"/>
        </w:rPr>
      </w:pPr>
    </w:p>
    <w:p w:rsidR="002F5170" w:rsidRDefault="002F5170" w:rsidP="00F4152A">
      <w:pPr>
        <w:pStyle w:val="Text1"/>
        <w:spacing w:after="0"/>
        <w:jc w:val="both"/>
        <w:rPr>
          <w:b/>
          <w:i/>
          <w:color w:val="FF0000"/>
          <w:szCs w:val="24"/>
          <w:u w:val="single"/>
          <w:lang w:val="en-GB"/>
        </w:rPr>
      </w:pPr>
    </w:p>
    <w:p w:rsidR="002F5170" w:rsidRPr="00015C34" w:rsidRDefault="002F5170" w:rsidP="00F4152A">
      <w:pPr>
        <w:pStyle w:val="Text1"/>
        <w:spacing w:after="0"/>
        <w:jc w:val="both"/>
        <w:rPr>
          <w:b/>
          <w:i/>
          <w:color w:val="FF0000"/>
          <w:szCs w:val="24"/>
          <w:u w:val="single"/>
          <w:lang w:val="en-GB"/>
        </w:rPr>
      </w:pPr>
    </w:p>
    <w:p w:rsidR="00F4152A" w:rsidRPr="00015C34" w:rsidRDefault="00F4152A" w:rsidP="00F4152A">
      <w:pPr>
        <w:pStyle w:val="Text1"/>
        <w:spacing w:after="0"/>
        <w:jc w:val="both"/>
        <w:rPr>
          <w:color w:val="000000"/>
          <w:szCs w:val="24"/>
          <w:lang w:val="en-GB"/>
        </w:rPr>
      </w:pPr>
      <w:r w:rsidRPr="00015C34">
        <w:rPr>
          <w:b/>
          <w:color w:val="000000"/>
          <w:szCs w:val="24"/>
          <w:lang w:val="en-GB"/>
        </w:rPr>
        <w:t xml:space="preserve">Study </w:t>
      </w:r>
      <w:r w:rsidR="00571B28">
        <w:rPr>
          <w:b/>
          <w:color w:val="000000"/>
          <w:szCs w:val="24"/>
          <w:lang w:val="en-GB"/>
        </w:rPr>
        <w:t>0</w:t>
      </w:r>
      <w:r w:rsidRPr="00015C34">
        <w:rPr>
          <w:b/>
          <w:color w:val="000000"/>
          <w:szCs w:val="24"/>
          <w:lang w:val="en-GB"/>
        </w:rPr>
        <w:t xml:space="preserve">102 and </w:t>
      </w:r>
      <w:r w:rsidR="00571B28">
        <w:rPr>
          <w:b/>
          <w:color w:val="000000"/>
          <w:szCs w:val="24"/>
          <w:lang w:val="en-GB"/>
        </w:rPr>
        <w:t>0</w:t>
      </w:r>
      <w:r w:rsidRPr="00015C34">
        <w:rPr>
          <w:b/>
          <w:color w:val="000000"/>
          <w:szCs w:val="24"/>
          <w:lang w:val="en-GB"/>
        </w:rPr>
        <w:t>103: VIREAD Compared with HEPSERA (adefovir dipivoxil)</w:t>
      </w:r>
      <w:r w:rsidRPr="00015C34">
        <w:rPr>
          <w:color w:val="000000"/>
          <w:szCs w:val="24"/>
          <w:lang w:val="en-GB"/>
        </w:rPr>
        <w:t xml:space="preserve"> </w:t>
      </w:r>
    </w:p>
    <w:p w:rsidR="00F4152A" w:rsidRPr="00015C34" w:rsidRDefault="00F4152A" w:rsidP="00F4152A">
      <w:pPr>
        <w:pStyle w:val="Text1"/>
        <w:spacing w:after="0"/>
        <w:jc w:val="both"/>
        <w:rPr>
          <w:color w:val="000000"/>
          <w:szCs w:val="24"/>
          <w:lang w:val="en-GB"/>
        </w:rPr>
      </w:pPr>
    </w:p>
    <w:p w:rsidR="00F4152A" w:rsidRPr="00015C34" w:rsidRDefault="00F4152A" w:rsidP="00F4152A">
      <w:pPr>
        <w:pStyle w:val="Text1"/>
        <w:spacing w:after="0"/>
        <w:jc w:val="both"/>
        <w:rPr>
          <w:color w:val="000000"/>
          <w:szCs w:val="24"/>
          <w:lang w:val="en-GB"/>
        </w:rPr>
      </w:pPr>
      <w:r w:rsidRPr="00015C34">
        <w:rPr>
          <w:color w:val="000000"/>
          <w:szCs w:val="24"/>
          <w:lang w:val="en-GB"/>
        </w:rPr>
        <w:t>Results through 48 weeks from two randomised, phase 3 double</w:t>
      </w:r>
      <w:r w:rsidRPr="00015C34">
        <w:rPr>
          <w:color w:val="000000"/>
          <w:szCs w:val="24"/>
          <w:lang w:val="en-GB"/>
        </w:rPr>
        <w:noBreakHyphen/>
        <w:t>b</w:t>
      </w:r>
      <w:r w:rsidR="00965998">
        <w:rPr>
          <w:color w:val="000000"/>
          <w:szCs w:val="24"/>
          <w:lang w:val="en-GB"/>
        </w:rPr>
        <w:t>l</w:t>
      </w:r>
      <w:r w:rsidRPr="00015C34">
        <w:rPr>
          <w:color w:val="000000"/>
          <w:szCs w:val="24"/>
          <w:lang w:val="en-GB"/>
        </w:rPr>
        <w:t xml:space="preserve">ind studies comparing VIREAD to HEPSERA in patients with compensated liver disease are presented in Table 10 below.  Study GS-US-174-0103 </w:t>
      </w:r>
      <w:r w:rsidR="00A50F31">
        <w:rPr>
          <w:color w:val="000000"/>
          <w:szCs w:val="24"/>
          <w:lang w:val="en-GB"/>
        </w:rPr>
        <w:t xml:space="preserve">(0103) </w:t>
      </w:r>
      <w:r w:rsidRPr="00015C34">
        <w:rPr>
          <w:color w:val="000000"/>
          <w:szCs w:val="24"/>
          <w:lang w:val="en-GB"/>
        </w:rPr>
        <w:t xml:space="preserve">was conducted in 266 (randomised and treated) HBeAg positive patients while study GS-US-174-0102 </w:t>
      </w:r>
      <w:r w:rsidR="00A50F31">
        <w:rPr>
          <w:color w:val="000000"/>
          <w:szCs w:val="24"/>
          <w:lang w:val="en-GB"/>
        </w:rPr>
        <w:t xml:space="preserve">(0102) </w:t>
      </w:r>
      <w:r w:rsidRPr="00015C34">
        <w:rPr>
          <w:color w:val="000000"/>
          <w:szCs w:val="24"/>
          <w:lang w:val="en-GB"/>
        </w:rPr>
        <w:t>was conducted in 375 (randomised and treated) patients negative for HBeAg and positive for HBeAb.</w:t>
      </w:r>
    </w:p>
    <w:p w:rsidR="00F4152A" w:rsidRPr="00015C34" w:rsidRDefault="00F4152A" w:rsidP="00F4152A">
      <w:pPr>
        <w:pStyle w:val="Text1"/>
        <w:spacing w:after="0"/>
        <w:jc w:val="both"/>
        <w:rPr>
          <w:i/>
          <w:color w:val="000000"/>
          <w:szCs w:val="24"/>
          <w:lang w:val="en-GB"/>
        </w:rPr>
      </w:pPr>
    </w:p>
    <w:p w:rsidR="00F4152A" w:rsidRPr="00015C34" w:rsidRDefault="00F4152A" w:rsidP="00F4152A">
      <w:pPr>
        <w:pStyle w:val="Text1"/>
        <w:jc w:val="both"/>
        <w:rPr>
          <w:color w:val="000000"/>
          <w:szCs w:val="24"/>
        </w:rPr>
      </w:pPr>
      <w:r w:rsidRPr="00015C34">
        <w:rPr>
          <w:color w:val="000000"/>
          <w:szCs w:val="24"/>
        </w:rPr>
        <w:t>In both of these studies VIREAD was statistically significantly superior to HEPSERA for the primary efficacy endpoint of complete response, (defined as HBV DNA levels &lt;</w:t>
      </w:r>
      <w:r w:rsidRPr="00015C34">
        <w:rPr>
          <w:color w:val="000000"/>
          <w:szCs w:val="24"/>
          <w:lang w:val="en-GB"/>
        </w:rPr>
        <w:t> </w:t>
      </w:r>
      <w:r w:rsidRPr="00015C34">
        <w:rPr>
          <w:color w:val="000000"/>
          <w:szCs w:val="24"/>
        </w:rPr>
        <w:t>400</w:t>
      </w:r>
      <w:r w:rsidRPr="00015C34">
        <w:rPr>
          <w:color w:val="000000"/>
          <w:szCs w:val="24"/>
          <w:lang w:val="en-GB"/>
        </w:rPr>
        <w:t> </w:t>
      </w:r>
      <w:r w:rsidRPr="00015C34">
        <w:rPr>
          <w:color w:val="000000"/>
          <w:szCs w:val="24"/>
        </w:rPr>
        <w:t>copies/ml and Knodell necroinflammatory score improvement of at least 2 points without worsening in Knodell fibrosis score).  Treatment with VIREAD 300 mg was also associated with significantly greater proportions of patients with HBV DNA &lt;</w:t>
      </w:r>
      <w:r w:rsidRPr="00015C34">
        <w:rPr>
          <w:color w:val="000000"/>
          <w:szCs w:val="24"/>
          <w:lang w:val="en-GB"/>
        </w:rPr>
        <w:t> </w:t>
      </w:r>
      <w:r w:rsidRPr="00015C34">
        <w:rPr>
          <w:color w:val="000000"/>
          <w:szCs w:val="24"/>
        </w:rPr>
        <w:t>400</w:t>
      </w:r>
      <w:r w:rsidRPr="00015C34">
        <w:rPr>
          <w:color w:val="000000"/>
          <w:szCs w:val="24"/>
          <w:lang w:val="en-GB"/>
        </w:rPr>
        <w:t> </w:t>
      </w:r>
      <w:r w:rsidRPr="00015C34">
        <w:rPr>
          <w:color w:val="000000"/>
          <w:szCs w:val="24"/>
        </w:rPr>
        <w:t>copies/ml, when compared to HEPSERA 10 mg treatment.  Both treatments produced similar results with regard to histological response (defined as Knodell necroinflammatory score improvement of at least 2 points without worsening in Knodell fibrosis score) at Week 48 (see Table 10 below).</w:t>
      </w:r>
    </w:p>
    <w:p w:rsidR="00F4152A" w:rsidRPr="00015C34" w:rsidRDefault="00F4152A" w:rsidP="00F4152A">
      <w:pPr>
        <w:pStyle w:val="Text1"/>
        <w:jc w:val="both"/>
        <w:rPr>
          <w:color w:val="000000"/>
          <w:szCs w:val="24"/>
        </w:rPr>
      </w:pPr>
      <w:r w:rsidRPr="00015C34">
        <w:rPr>
          <w:color w:val="000000"/>
          <w:szCs w:val="24"/>
        </w:rPr>
        <w:t>In study 0103 a significantly greater proportion of patients in the VIREAD group than in the HEPSERA group had normalized ALT and achieved HBsAg loss at Week</w:t>
      </w:r>
      <w:r w:rsidRPr="00015C34">
        <w:rPr>
          <w:color w:val="000000"/>
          <w:szCs w:val="24"/>
          <w:lang w:val="en-GB"/>
        </w:rPr>
        <w:t> </w:t>
      </w:r>
      <w:r w:rsidRPr="00015C34">
        <w:rPr>
          <w:color w:val="000000"/>
          <w:szCs w:val="24"/>
        </w:rPr>
        <w:t>48 (see Table 10 below).</w:t>
      </w:r>
    </w:p>
    <w:p w:rsidR="00F4152A" w:rsidRPr="0062066B" w:rsidRDefault="00F4152A" w:rsidP="00F4152A">
      <w:pPr>
        <w:pStyle w:val="Caption"/>
        <w:ind w:left="1134" w:hanging="1134"/>
        <w:rPr>
          <w:rFonts w:ascii="Times New Roman" w:hAnsi="Times New Roman"/>
          <w:color w:val="000000"/>
          <w:szCs w:val="22"/>
        </w:rPr>
      </w:pPr>
      <w:r w:rsidRPr="0062066B">
        <w:rPr>
          <w:rFonts w:ascii="Times New Roman" w:hAnsi="Times New Roman"/>
          <w:color w:val="000000"/>
          <w:szCs w:val="22"/>
        </w:rPr>
        <w:t>Table </w:t>
      </w:r>
      <w:r w:rsidRPr="0062066B">
        <w:rPr>
          <w:rFonts w:ascii="Times New Roman" w:hAnsi="Times New Roman"/>
          <w:color w:val="000000"/>
          <w:szCs w:val="22"/>
        </w:rPr>
        <w:fldChar w:fldCharType="begin"/>
      </w:r>
      <w:r w:rsidRPr="0062066B">
        <w:rPr>
          <w:rFonts w:ascii="Times New Roman" w:hAnsi="Times New Roman"/>
          <w:color w:val="000000"/>
          <w:szCs w:val="22"/>
        </w:rPr>
        <w:instrText xml:space="preserve"> SEQ Table \* ARABIC </w:instrText>
      </w:r>
      <w:r w:rsidRPr="0062066B">
        <w:rPr>
          <w:rFonts w:ascii="Times New Roman" w:hAnsi="Times New Roman"/>
          <w:color w:val="000000"/>
          <w:szCs w:val="22"/>
        </w:rPr>
        <w:fldChar w:fldCharType="separate"/>
      </w:r>
      <w:r w:rsidR="00C37A4F">
        <w:rPr>
          <w:rFonts w:ascii="Times New Roman" w:hAnsi="Times New Roman"/>
          <w:noProof/>
          <w:color w:val="000000"/>
          <w:szCs w:val="22"/>
        </w:rPr>
        <w:t>1</w:t>
      </w:r>
      <w:r w:rsidRPr="0062066B">
        <w:rPr>
          <w:rFonts w:ascii="Times New Roman" w:hAnsi="Times New Roman"/>
          <w:color w:val="000000"/>
          <w:szCs w:val="22"/>
        </w:rPr>
        <w:fldChar w:fldCharType="end"/>
      </w:r>
      <w:r w:rsidRPr="0062066B">
        <w:rPr>
          <w:rFonts w:ascii="Times New Roman" w:hAnsi="Times New Roman"/>
          <w:color w:val="000000"/>
          <w:szCs w:val="22"/>
        </w:rPr>
        <w:t>0.</w:t>
      </w:r>
      <w:r w:rsidRPr="0062066B">
        <w:rPr>
          <w:rFonts w:ascii="Times New Roman" w:hAnsi="Times New Roman"/>
          <w:color w:val="000000"/>
          <w:szCs w:val="22"/>
        </w:rPr>
        <w:tab/>
        <w:t xml:space="preserve">Clinical Outcomes of Randomised Treatment (Study </w:t>
      </w:r>
      <w:r w:rsidR="00571B28">
        <w:rPr>
          <w:rFonts w:ascii="Times New Roman" w:hAnsi="Times New Roman"/>
          <w:color w:val="000000"/>
          <w:szCs w:val="22"/>
        </w:rPr>
        <w:t>0</w:t>
      </w:r>
      <w:r w:rsidRPr="0062066B">
        <w:rPr>
          <w:rFonts w:ascii="Times New Roman" w:hAnsi="Times New Roman"/>
          <w:color w:val="000000"/>
          <w:szCs w:val="22"/>
        </w:rPr>
        <w:t xml:space="preserve">102 and </w:t>
      </w:r>
      <w:r w:rsidR="00571B28">
        <w:rPr>
          <w:rFonts w:ascii="Times New Roman" w:hAnsi="Times New Roman"/>
          <w:color w:val="000000"/>
          <w:szCs w:val="22"/>
        </w:rPr>
        <w:t>0</w:t>
      </w:r>
      <w:r w:rsidRPr="0062066B">
        <w:rPr>
          <w:rFonts w:ascii="Times New Roman" w:hAnsi="Times New Roman"/>
          <w:color w:val="000000"/>
          <w:szCs w:val="22"/>
        </w:rPr>
        <w:t>103)</w:t>
      </w:r>
      <w:r w:rsidRPr="0062066B">
        <w:rPr>
          <w:rFonts w:ascii="Times New Roman" w:hAnsi="Times New Roman"/>
          <w:color w:val="000000"/>
          <w:szCs w:val="22"/>
          <w:lang w:val="en-GB"/>
        </w:rPr>
        <w:t xml:space="preserve"> at Week 48</w:t>
      </w:r>
    </w:p>
    <w:tbl>
      <w:tblPr>
        <w:tblW w:w="0" w:type="auto"/>
        <w:tblBorders>
          <w:top w:val="single" w:sz="12" w:space="0" w:color="auto"/>
          <w:bottom w:val="single" w:sz="12" w:space="0" w:color="auto"/>
          <w:insideH w:val="single" w:sz="6" w:space="0" w:color="auto"/>
          <w:insideV w:val="single" w:sz="6" w:space="0" w:color="auto"/>
        </w:tblBorders>
        <w:tblLayout w:type="fixed"/>
        <w:tblLook w:val="0000"/>
      </w:tblPr>
      <w:tblGrid>
        <w:gridCol w:w="3948"/>
        <w:gridCol w:w="1320"/>
        <w:gridCol w:w="1320"/>
        <w:gridCol w:w="1320"/>
        <w:gridCol w:w="1308"/>
      </w:tblGrid>
      <w:tr w:rsidR="00F4152A" w:rsidRPr="0062066B" w:rsidTr="00FA25FA">
        <w:tblPrEx>
          <w:tblCellMar>
            <w:top w:w="0" w:type="dxa"/>
            <w:bottom w:w="0" w:type="dxa"/>
          </w:tblCellMar>
        </w:tblPrEx>
        <w:tc>
          <w:tcPr>
            <w:tcW w:w="3948" w:type="dxa"/>
            <w:tcBorders>
              <w:top w:val="single" w:sz="4" w:space="0" w:color="auto"/>
              <w:left w:val="single" w:sz="4" w:space="0" w:color="auto"/>
              <w:bottom w:val="single" w:sz="4" w:space="0" w:color="auto"/>
            </w:tcBorders>
          </w:tcPr>
          <w:p w:rsidR="00F4152A" w:rsidRPr="0062066B" w:rsidRDefault="00F4152A" w:rsidP="00FA25FA">
            <w:pPr>
              <w:pStyle w:val="StyleTable-HeadingLeft"/>
              <w:rPr>
                <w:color w:val="000000"/>
              </w:rPr>
            </w:pPr>
          </w:p>
        </w:tc>
        <w:tc>
          <w:tcPr>
            <w:tcW w:w="2640" w:type="dxa"/>
            <w:gridSpan w:val="2"/>
            <w:tcBorders>
              <w:top w:val="single" w:sz="4" w:space="0" w:color="auto"/>
              <w:bottom w:val="single" w:sz="4" w:space="0" w:color="auto"/>
            </w:tcBorders>
          </w:tcPr>
          <w:p w:rsidR="00F4152A" w:rsidRPr="0062066B" w:rsidRDefault="00F4152A" w:rsidP="00FA25FA">
            <w:pPr>
              <w:pStyle w:val="Table-Heading"/>
              <w:jc w:val="center"/>
              <w:rPr>
                <w:snapToGrid w:val="0"/>
                <w:color w:val="000000"/>
                <w:sz w:val="22"/>
                <w:szCs w:val="22"/>
              </w:rPr>
            </w:pPr>
            <w:r w:rsidRPr="0062066B">
              <w:rPr>
                <w:snapToGrid w:val="0"/>
                <w:color w:val="000000"/>
                <w:sz w:val="22"/>
                <w:szCs w:val="22"/>
              </w:rPr>
              <w:t xml:space="preserve">Study 0102 </w:t>
            </w:r>
          </w:p>
          <w:p w:rsidR="00F4152A" w:rsidRPr="0062066B" w:rsidRDefault="00F4152A" w:rsidP="00FA25FA">
            <w:pPr>
              <w:pStyle w:val="Table-Heading"/>
              <w:jc w:val="center"/>
              <w:rPr>
                <w:color w:val="000000"/>
              </w:rPr>
            </w:pPr>
            <w:r w:rsidRPr="0062066B">
              <w:rPr>
                <w:snapToGrid w:val="0"/>
                <w:color w:val="000000"/>
                <w:sz w:val="22"/>
                <w:szCs w:val="22"/>
              </w:rPr>
              <w:t>(HBeAg Negative)</w:t>
            </w:r>
          </w:p>
        </w:tc>
        <w:tc>
          <w:tcPr>
            <w:tcW w:w="2628" w:type="dxa"/>
            <w:gridSpan w:val="2"/>
            <w:tcBorders>
              <w:top w:val="single" w:sz="4" w:space="0" w:color="auto"/>
              <w:bottom w:val="single" w:sz="4" w:space="0" w:color="auto"/>
              <w:right w:val="single" w:sz="4" w:space="0" w:color="auto"/>
            </w:tcBorders>
          </w:tcPr>
          <w:p w:rsidR="00F4152A" w:rsidRPr="0062066B" w:rsidRDefault="00F4152A" w:rsidP="00FA25FA">
            <w:pPr>
              <w:pStyle w:val="Table-Heading"/>
              <w:jc w:val="center"/>
              <w:rPr>
                <w:snapToGrid w:val="0"/>
                <w:color w:val="000000"/>
                <w:sz w:val="22"/>
                <w:szCs w:val="22"/>
              </w:rPr>
            </w:pPr>
            <w:r w:rsidRPr="0062066B">
              <w:rPr>
                <w:snapToGrid w:val="0"/>
                <w:color w:val="000000"/>
                <w:sz w:val="22"/>
                <w:szCs w:val="22"/>
              </w:rPr>
              <w:t xml:space="preserve">Study 0103 </w:t>
            </w:r>
          </w:p>
          <w:p w:rsidR="00F4152A" w:rsidRPr="0062066B" w:rsidRDefault="00F4152A" w:rsidP="00FA25FA">
            <w:pPr>
              <w:pStyle w:val="Table-Heading"/>
              <w:jc w:val="center"/>
              <w:rPr>
                <w:color w:val="000000"/>
              </w:rPr>
            </w:pPr>
            <w:r w:rsidRPr="0062066B">
              <w:rPr>
                <w:snapToGrid w:val="0"/>
                <w:color w:val="000000"/>
                <w:sz w:val="22"/>
                <w:szCs w:val="22"/>
              </w:rPr>
              <w:t>(HBeAg Positive)</w:t>
            </w:r>
          </w:p>
        </w:tc>
      </w:tr>
      <w:tr w:rsidR="00F4152A" w:rsidRPr="0062066B" w:rsidTr="00FA25FA">
        <w:tblPrEx>
          <w:tblCellMar>
            <w:top w:w="0" w:type="dxa"/>
            <w:bottom w:w="0" w:type="dxa"/>
          </w:tblCellMar>
        </w:tblPrEx>
        <w:tc>
          <w:tcPr>
            <w:tcW w:w="3948" w:type="dxa"/>
            <w:tcBorders>
              <w:top w:val="single" w:sz="4" w:space="0" w:color="auto"/>
              <w:left w:val="single" w:sz="4" w:space="0" w:color="auto"/>
              <w:bottom w:val="single" w:sz="4" w:space="0" w:color="auto"/>
            </w:tcBorders>
          </w:tcPr>
          <w:p w:rsidR="00F4152A" w:rsidRPr="0062066B" w:rsidRDefault="00F4152A" w:rsidP="00FA25FA">
            <w:pPr>
              <w:pStyle w:val="Table-Text"/>
              <w:rPr>
                <w:b/>
                <w:color w:val="000000"/>
                <w:sz w:val="20"/>
              </w:rPr>
            </w:pPr>
            <w:r w:rsidRPr="0062066B">
              <w:rPr>
                <w:b/>
                <w:color w:val="000000"/>
                <w:sz w:val="20"/>
              </w:rPr>
              <w:t>Parameter</w:t>
            </w:r>
          </w:p>
        </w:tc>
        <w:tc>
          <w:tcPr>
            <w:tcW w:w="1320" w:type="dxa"/>
            <w:tcBorders>
              <w:top w:val="single" w:sz="4" w:space="0" w:color="auto"/>
              <w:bottom w:val="single" w:sz="4" w:space="0" w:color="auto"/>
            </w:tcBorders>
          </w:tcPr>
          <w:p w:rsidR="00F4152A" w:rsidRPr="0062066B" w:rsidRDefault="00F4152A" w:rsidP="00FA25FA">
            <w:pPr>
              <w:pStyle w:val="Table-Text"/>
              <w:jc w:val="center"/>
              <w:rPr>
                <w:b/>
                <w:color w:val="000000"/>
                <w:sz w:val="20"/>
              </w:rPr>
            </w:pPr>
            <w:r w:rsidRPr="0062066B">
              <w:rPr>
                <w:b/>
                <w:color w:val="000000"/>
                <w:sz w:val="20"/>
              </w:rPr>
              <w:t>VIREAD</w:t>
            </w:r>
          </w:p>
          <w:p w:rsidR="00F4152A" w:rsidRPr="0062066B" w:rsidRDefault="00F4152A" w:rsidP="00FA25FA">
            <w:pPr>
              <w:pStyle w:val="Table-Text"/>
              <w:jc w:val="center"/>
              <w:rPr>
                <w:b/>
                <w:color w:val="000000"/>
                <w:sz w:val="20"/>
              </w:rPr>
            </w:pPr>
            <w:r w:rsidRPr="0062066B">
              <w:rPr>
                <w:b/>
                <w:color w:val="000000"/>
                <w:sz w:val="20"/>
                <w:lang w:val="en-GB"/>
              </w:rPr>
              <w:t>n= 250</w:t>
            </w:r>
          </w:p>
        </w:tc>
        <w:tc>
          <w:tcPr>
            <w:tcW w:w="1320" w:type="dxa"/>
            <w:tcBorders>
              <w:top w:val="single" w:sz="4" w:space="0" w:color="auto"/>
              <w:bottom w:val="single" w:sz="4" w:space="0" w:color="auto"/>
            </w:tcBorders>
          </w:tcPr>
          <w:p w:rsidR="00F4152A" w:rsidRPr="0062066B" w:rsidRDefault="00F4152A" w:rsidP="00FA25FA">
            <w:pPr>
              <w:pStyle w:val="Table-Text"/>
              <w:jc w:val="center"/>
              <w:rPr>
                <w:b/>
                <w:snapToGrid w:val="0"/>
                <w:color w:val="000000"/>
                <w:sz w:val="20"/>
                <w:lang w:val="pt-BR"/>
              </w:rPr>
            </w:pPr>
            <w:r w:rsidRPr="0062066B">
              <w:rPr>
                <w:b/>
                <w:snapToGrid w:val="0"/>
                <w:color w:val="000000"/>
                <w:sz w:val="20"/>
                <w:lang w:val="pt-BR"/>
              </w:rPr>
              <w:t>HEPSERA</w:t>
            </w:r>
          </w:p>
          <w:p w:rsidR="00F4152A" w:rsidRPr="0062066B" w:rsidRDefault="00F4152A" w:rsidP="00FA25FA">
            <w:pPr>
              <w:pStyle w:val="Table-Text"/>
              <w:jc w:val="center"/>
              <w:rPr>
                <w:b/>
                <w:snapToGrid w:val="0"/>
                <w:color w:val="000000"/>
                <w:sz w:val="20"/>
                <w:lang w:val="pt-BR"/>
              </w:rPr>
            </w:pPr>
            <w:r w:rsidRPr="0062066B">
              <w:rPr>
                <w:b/>
                <w:snapToGrid w:val="0"/>
                <w:color w:val="000000"/>
                <w:sz w:val="20"/>
                <w:lang w:val="pt-BR"/>
              </w:rPr>
              <w:t>n= 125</w:t>
            </w:r>
          </w:p>
        </w:tc>
        <w:tc>
          <w:tcPr>
            <w:tcW w:w="1320" w:type="dxa"/>
            <w:tcBorders>
              <w:top w:val="single" w:sz="4" w:space="0" w:color="auto"/>
              <w:bottom w:val="single" w:sz="4" w:space="0" w:color="auto"/>
            </w:tcBorders>
          </w:tcPr>
          <w:p w:rsidR="00F4152A" w:rsidRPr="0062066B" w:rsidRDefault="00F4152A" w:rsidP="00FA25FA">
            <w:pPr>
              <w:pStyle w:val="Table-Text"/>
              <w:jc w:val="center"/>
              <w:rPr>
                <w:b/>
                <w:color w:val="000000"/>
                <w:sz w:val="20"/>
              </w:rPr>
            </w:pPr>
            <w:r w:rsidRPr="0062066B">
              <w:rPr>
                <w:b/>
                <w:color w:val="000000"/>
                <w:sz w:val="20"/>
              </w:rPr>
              <w:t>VIREAD</w:t>
            </w:r>
          </w:p>
          <w:p w:rsidR="00F4152A" w:rsidRPr="0062066B" w:rsidRDefault="00F4152A" w:rsidP="00FA25FA">
            <w:pPr>
              <w:pStyle w:val="Table-Text"/>
              <w:jc w:val="center"/>
              <w:rPr>
                <w:b/>
                <w:color w:val="000000"/>
                <w:sz w:val="20"/>
              </w:rPr>
            </w:pPr>
            <w:r w:rsidRPr="0062066B">
              <w:rPr>
                <w:b/>
                <w:color w:val="000000"/>
                <w:sz w:val="20"/>
                <w:lang w:val="en-GB"/>
              </w:rPr>
              <w:t>n= 176</w:t>
            </w:r>
          </w:p>
        </w:tc>
        <w:tc>
          <w:tcPr>
            <w:tcW w:w="1308" w:type="dxa"/>
            <w:tcBorders>
              <w:top w:val="single" w:sz="4" w:space="0" w:color="auto"/>
              <w:bottom w:val="single" w:sz="4" w:space="0" w:color="auto"/>
              <w:right w:val="single" w:sz="4" w:space="0" w:color="auto"/>
            </w:tcBorders>
          </w:tcPr>
          <w:p w:rsidR="00F4152A" w:rsidRPr="0062066B" w:rsidRDefault="00F4152A" w:rsidP="00FA25FA">
            <w:pPr>
              <w:pStyle w:val="Table-Text"/>
              <w:jc w:val="center"/>
              <w:rPr>
                <w:b/>
                <w:snapToGrid w:val="0"/>
                <w:color w:val="000000"/>
                <w:sz w:val="20"/>
                <w:lang w:val="pt-BR"/>
              </w:rPr>
            </w:pPr>
            <w:r w:rsidRPr="0062066B">
              <w:rPr>
                <w:b/>
                <w:snapToGrid w:val="0"/>
                <w:color w:val="000000"/>
                <w:sz w:val="20"/>
                <w:lang w:val="pt-BR"/>
              </w:rPr>
              <w:t>HEPSERA</w:t>
            </w:r>
          </w:p>
          <w:p w:rsidR="00F4152A" w:rsidRPr="0062066B" w:rsidRDefault="00F4152A" w:rsidP="00FA25FA">
            <w:pPr>
              <w:pStyle w:val="Table-Text"/>
              <w:jc w:val="center"/>
              <w:rPr>
                <w:b/>
                <w:color w:val="000000"/>
                <w:sz w:val="20"/>
              </w:rPr>
            </w:pPr>
            <w:r w:rsidRPr="0062066B">
              <w:rPr>
                <w:b/>
                <w:snapToGrid w:val="0"/>
                <w:color w:val="000000"/>
                <w:sz w:val="20"/>
                <w:lang w:val="pt-BR"/>
              </w:rPr>
              <w:t>n= 90</w:t>
            </w:r>
          </w:p>
        </w:tc>
      </w:tr>
      <w:tr w:rsidR="00F4152A" w:rsidRPr="0062066B" w:rsidTr="00FA25FA">
        <w:tblPrEx>
          <w:tblCellMar>
            <w:top w:w="0" w:type="dxa"/>
            <w:bottom w:w="0" w:type="dxa"/>
          </w:tblCellMar>
        </w:tblPrEx>
        <w:tc>
          <w:tcPr>
            <w:tcW w:w="3948" w:type="dxa"/>
            <w:tcBorders>
              <w:top w:val="single" w:sz="4" w:space="0" w:color="auto"/>
              <w:left w:val="single" w:sz="4" w:space="0" w:color="auto"/>
              <w:bottom w:val="single" w:sz="4" w:space="0" w:color="auto"/>
            </w:tcBorders>
          </w:tcPr>
          <w:p w:rsidR="00F4152A" w:rsidRPr="0062066B" w:rsidRDefault="00F4152A" w:rsidP="00FA25FA">
            <w:pPr>
              <w:pStyle w:val="Table-Text"/>
              <w:rPr>
                <w:b/>
                <w:color w:val="000000"/>
                <w:sz w:val="20"/>
                <w:vertAlign w:val="superscript"/>
              </w:rPr>
            </w:pPr>
            <w:r w:rsidRPr="0062066B">
              <w:rPr>
                <w:b/>
                <w:color w:val="000000"/>
                <w:sz w:val="20"/>
              </w:rPr>
              <w:t xml:space="preserve">Complete Response </w:t>
            </w:r>
            <w:r w:rsidRPr="0062066B">
              <w:rPr>
                <w:color w:val="000000"/>
                <w:sz w:val="20"/>
              </w:rPr>
              <w:t xml:space="preserve">(%) </w:t>
            </w:r>
            <w:r w:rsidRPr="0062066B">
              <w:rPr>
                <w:color w:val="000000"/>
                <w:sz w:val="20"/>
                <w:vertAlign w:val="superscript"/>
              </w:rPr>
              <w:t>1</w:t>
            </w:r>
          </w:p>
        </w:tc>
        <w:tc>
          <w:tcPr>
            <w:tcW w:w="1320" w:type="dxa"/>
            <w:tcBorders>
              <w:top w:val="single" w:sz="4" w:space="0" w:color="auto"/>
              <w:bottom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71*</w:t>
            </w:r>
          </w:p>
        </w:tc>
        <w:tc>
          <w:tcPr>
            <w:tcW w:w="1320" w:type="dxa"/>
            <w:tcBorders>
              <w:top w:val="single" w:sz="4" w:space="0" w:color="auto"/>
              <w:bottom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49</w:t>
            </w:r>
          </w:p>
        </w:tc>
        <w:tc>
          <w:tcPr>
            <w:tcW w:w="1320" w:type="dxa"/>
            <w:tcBorders>
              <w:top w:val="single" w:sz="4" w:space="0" w:color="auto"/>
              <w:bottom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67*</w:t>
            </w:r>
          </w:p>
        </w:tc>
        <w:tc>
          <w:tcPr>
            <w:tcW w:w="1308" w:type="dxa"/>
            <w:tcBorders>
              <w:top w:val="single" w:sz="4" w:space="0" w:color="auto"/>
              <w:bottom w:val="single" w:sz="4" w:space="0" w:color="auto"/>
              <w:right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12</w:t>
            </w:r>
          </w:p>
        </w:tc>
      </w:tr>
      <w:tr w:rsidR="00F4152A" w:rsidRPr="0062066B" w:rsidTr="00FA25FA">
        <w:tblPrEx>
          <w:tblCellMar>
            <w:top w:w="0" w:type="dxa"/>
            <w:bottom w:w="0" w:type="dxa"/>
          </w:tblCellMar>
        </w:tblPrEx>
        <w:tc>
          <w:tcPr>
            <w:tcW w:w="3948" w:type="dxa"/>
            <w:tcBorders>
              <w:top w:val="single" w:sz="4" w:space="0" w:color="auto"/>
              <w:left w:val="single" w:sz="4" w:space="0" w:color="auto"/>
              <w:bottom w:val="nil"/>
            </w:tcBorders>
          </w:tcPr>
          <w:p w:rsidR="00F4152A" w:rsidRPr="0062066B" w:rsidRDefault="00F4152A" w:rsidP="00FA25FA">
            <w:pPr>
              <w:pStyle w:val="Table-Text"/>
              <w:rPr>
                <w:b/>
                <w:color w:val="000000"/>
                <w:sz w:val="20"/>
              </w:rPr>
            </w:pPr>
            <w:r w:rsidRPr="0062066B">
              <w:rPr>
                <w:b/>
                <w:color w:val="000000"/>
                <w:sz w:val="20"/>
              </w:rPr>
              <w:t>Histology</w:t>
            </w:r>
          </w:p>
        </w:tc>
        <w:tc>
          <w:tcPr>
            <w:tcW w:w="1320" w:type="dxa"/>
            <w:tcBorders>
              <w:top w:val="single" w:sz="4" w:space="0" w:color="auto"/>
              <w:bottom w:val="nil"/>
            </w:tcBorders>
            <w:vAlign w:val="center"/>
          </w:tcPr>
          <w:p w:rsidR="00F4152A" w:rsidRPr="0062066B" w:rsidRDefault="00F4152A" w:rsidP="00FA25FA">
            <w:pPr>
              <w:pStyle w:val="Table-Text"/>
              <w:jc w:val="center"/>
              <w:rPr>
                <w:color w:val="000000"/>
                <w:sz w:val="20"/>
              </w:rPr>
            </w:pPr>
          </w:p>
        </w:tc>
        <w:tc>
          <w:tcPr>
            <w:tcW w:w="1320" w:type="dxa"/>
            <w:tcBorders>
              <w:top w:val="single" w:sz="4" w:space="0" w:color="auto"/>
              <w:bottom w:val="nil"/>
            </w:tcBorders>
            <w:vAlign w:val="center"/>
          </w:tcPr>
          <w:p w:rsidR="00F4152A" w:rsidRPr="0062066B" w:rsidRDefault="00F4152A" w:rsidP="00FA25FA">
            <w:pPr>
              <w:pStyle w:val="Table-Text"/>
              <w:jc w:val="center"/>
              <w:rPr>
                <w:color w:val="000000"/>
                <w:sz w:val="20"/>
              </w:rPr>
            </w:pPr>
          </w:p>
        </w:tc>
        <w:tc>
          <w:tcPr>
            <w:tcW w:w="1320" w:type="dxa"/>
            <w:tcBorders>
              <w:top w:val="single" w:sz="4" w:space="0" w:color="auto"/>
              <w:bottom w:val="nil"/>
            </w:tcBorders>
            <w:vAlign w:val="center"/>
          </w:tcPr>
          <w:p w:rsidR="00F4152A" w:rsidRPr="0062066B" w:rsidRDefault="00F4152A" w:rsidP="00FA25FA">
            <w:pPr>
              <w:pStyle w:val="Table-Text"/>
              <w:jc w:val="center"/>
              <w:rPr>
                <w:color w:val="000000"/>
                <w:sz w:val="20"/>
              </w:rPr>
            </w:pPr>
          </w:p>
        </w:tc>
        <w:tc>
          <w:tcPr>
            <w:tcW w:w="1308" w:type="dxa"/>
            <w:tcBorders>
              <w:top w:val="single" w:sz="4" w:space="0" w:color="auto"/>
              <w:bottom w:val="nil"/>
              <w:right w:val="single" w:sz="4" w:space="0" w:color="auto"/>
            </w:tcBorders>
            <w:vAlign w:val="center"/>
          </w:tcPr>
          <w:p w:rsidR="00F4152A" w:rsidRPr="0062066B" w:rsidRDefault="00F4152A" w:rsidP="00FA25FA">
            <w:pPr>
              <w:pStyle w:val="Table-Text"/>
              <w:jc w:val="center"/>
              <w:rPr>
                <w:color w:val="000000"/>
                <w:sz w:val="20"/>
              </w:rPr>
            </w:pPr>
          </w:p>
        </w:tc>
      </w:tr>
      <w:tr w:rsidR="00F4152A" w:rsidRPr="0062066B" w:rsidTr="00FA25FA">
        <w:tblPrEx>
          <w:tblCellMar>
            <w:top w:w="0" w:type="dxa"/>
            <w:bottom w:w="0" w:type="dxa"/>
          </w:tblCellMar>
        </w:tblPrEx>
        <w:tc>
          <w:tcPr>
            <w:tcW w:w="3948" w:type="dxa"/>
            <w:tcBorders>
              <w:top w:val="nil"/>
              <w:left w:val="single" w:sz="4" w:space="0" w:color="auto"/>
              <w:bottom w:val="single" w:sz="6" w:space="0" w:color="auto"/>
            </w:tcBorders>
          </w:tcPr>
          <w:p w:rsidR="00F4152A" w:rsidRPr="0062066B" w:rsidRDefault="00F4152A" w:rsidP="00FA25FA">
            <w:pPr>
              <w:pStyle w:val="Table-Text"/>
              <w:rPr>
                <w:color w:val="000000"/>
                <w:sz w:val="20"/>
              </w:rPr>
            </w:pPr>
            <w:r w:rsidRPr="0062066B">
              <w:rPr>
                <w:color w:val="000000"/>
                <w:sz w:val="20"/>
              </w:rPr>
              <w:t xml:space="preserve">Histological Response (%) </w:t>
            </w:r>
            <w:r w:rsidRPr="0062066B">
              <w:rPr>
                <w:snapToGrid w:val="0"/>
                <w:color w:val="000000"/>
                <w:sz w:val="20"/>
                <w:vertAlign w:val="superscript"/>
              </w:rPr>
              <w:t>2</w:t>
            </w:r>
          </w:p>
        </w:tc>
        <w:tc>
          <w:tcPr>
            <w:tcW w:w="1320" w:type="dxa"/>
            <w:tcBorders>
              <w:top w:val="nil"/>
              <w:bottom w:val="single" w:sz="6" w:space="0" w:color="auto"/>
            </w:tcBorders>
            <w:vAlign w:val="center"/>
          </w:tcPr>
          <w:p w:rsidR="00F4152A" w:rsidRPr="0062066B" w:rsidRDefault="00F4152A" w:rsidP="00FA25FA">
            <w:pPr>
              <w:pStyle w:val="Table-Text"/>
              <w:jc w:val="center"/>
              <w:rPr>
                <w:color w:val="000000"/>
                <w:sz w:val="20"/>
              </w:rPr>
            </w:pPr>
            <w:r w:rsidRPr="0062066B">
              <w:rPr>
                <w:color w:val="000000"/>
                <w:sz w:val="20"/>
              </w:rPr>
              <w:t>72</w:t>
            </w:r>
          </w:p>
        </w:tc>
        <w:tc>
          <w:tcPr>
            <w:tcW w:w="1320" w:type="dxa"/>
            <w:tcBorders>
              <w:top w:val="nil"/>
              <w:bottom w:val="single" w:sz="6" w:space="0" w:color="auto"/>
            </w:tcBorders>
            <w:vAlign w:val="center"/>
          </w:tcPr>
          <w:p w:rsidR="00F4152A" w:rsidRPr="0062066B" w:rsidRDefault="00F4152A" w:rsidP="00FA25FA">
            <w:pPr>
              <w:pStyle w:val="Table-Text"/>
              <w:jc w:val="center"/>
              <w:rPr>
                <w:color w:val="000000"/>
                <w:sz w:val="20"/>
              </w:rPr>
            </w:pPr>
            <w:r w:rsidRPr="0062066B">
              <w:rPr>
                <w:color w:val="000000"/>
                <w:sz w:val="20"/>
              </w:rPr>
              <w:t>69</w:t>
            </w:r>
          </w:p>
        </w:tc>
        <w:tc>
          <w:tcPr>
            <w:tcW w:w="1320" w:type="dxa"/>
            <w:tcBorders>
              <w:top w:val="nil"/>
              <w:bottom w:val="single" w:sz="6" w:space="0" w:color="auto"/>
            </w:tcBorders>
            <w:vAlign w:val="center"/>
          </w:tcPr>
          <w:p w:rsidR="00F4152A" w:rsidRPr="0062066B" w:rsidRDefault="00F4152A" w:rsidP="00FA25FA">
            <w:pPr>
              <w:pStyle w:val="Table-Text"/>
              <w:jc w:val="center"/>
              <w:rPr>
                <w:color w:val="000000"/>
                <w:sz w:val="20"/>
              </w:rPr>
            </w:pPr>
            <w:r w:rsidRPr="0062066B">
              <w:rPr>
                <w:color w:val="000000"/>
                <w:sz w:val="20"/>
              </w:rPr>
              <w:t>74</w:t>
            </w:r>
          </w:p>
        </w:tc>
        <w:tc>
          <w:tcPr>
            <w:tcW w:w="1308" w:type="dxa"/>
            <w:tcBorders>
              <w:top w:val="nil"/>
              <w:bottom w:val="single" w:sz="6" w:space="0" w:color="auto"/>
              <w:right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68</w:t>
            </w:r>
          </w:p>
        </w:tc>
      </w:tr>
      <w:tr w:rsidR="00F4152A" w:rsidRPr="0062066B" w:rsidTr="00FA25FA">
        <w:tblPrEx>
          <w:tblCellMar>
            <w:top w:w="0" w:type="dxa"/>
            <w:bottom w:w="0" w:type="dxa"/>
          </w:tblCellMar>
        </w:tblPrEx>
        <w:trPr>
          <w:trHeight w:val="471"/>
        </w:trPr>
        <w:tc>
          <w:tcPr>
            <w:tcW w:w="3948" w:type="dxa"/>
            <w:tcBorders>
              <w:top w:val="single" w:sz="6" w:space="0" w:color="auto"/>
              <w:left w:val="single" w:sz="4" w:space="0" w:color="auto"/>
              <w:bottom w:val="nil"/>
            </w:tcBorders>
          </w:tcPr>
          <w:p w:rsidR="00F4152A" w:rsidRPr="0062066B" w:rsidRDefault="00F4152A" w:rsidP="00FA25FA">
            <w:pPr>
              <w:pStyle w:val="Table-Text"/>
              <w:rPr>
                <w:b/>
                <w:snapToGrid w:val="0"/>
                <w:color w:val="000000"/>
                <w:sz w:val="20"/>
              </w:rPr>
            </w:pPr>
            <w:r w:rsidRPr="0062066B">
              <w:rPr>
                <w:b/>
                <w:snapToGrid w:val="0"/>
                <w:color w:val="000000"/>
                <w:sz w:val="20"/>
              </w:rPr>
              <w:t xml:space="preserve">HBV DNA </w:t>
            </w:r>
            <w:r w:rsidRPr="0062066B">
              <w:rPr>
                <w:snapToGrid w:val="0"/>
                <w:color w:val="000000"/>
                <w:sz w:val="20"/>
              </w:rPr>
              <w:t>(%)</w:t>
            </w:r>
          </w:p>
          <w:p w:rsidR="00F4152A" w:rsidRPr="0062066B" w:rsidRDefault="00F4152A" w:rsidP="00FA25FA">
            <w:pPr>
              <w:pStyle w:val="Table-Text"/>
              <w:rPr>
                <w:color w:val="000000"/>
                <w:sz w:val="20"/>
              </w:rPr>
            </w:pPr>
            <w:r w:rsidRPr="0062066B">
              <w:rPr>
                <w:snapToGrid w:val="0"/>
                <w:color w:val="000000"/>
                <w:sz w:val="20"/>
              </w:rPr>
              <w:t>&lt; 400 copies/ml (&lt;69 IU/ml)</w:t>
            </w:r>
          </w:p>
        </w:tc>
        <w:tc>
          <w:tcPr>
            <w:tcW w:w="1320" w:type="dxa"/>
            <w:tcBorders>
              <w:top w:val="single" w:sz="6" w:space="0" w:color="auto"/>
              <w:bottom w:val="nil"/>
            </w:tcBorders>
            <w:vAlign w:val="center"/>
          </w:tcPr>
          <w:p w:rsidR="00F4152A" w:rsidRPr="0062066B" w:rsidRDefault="00F4152A" w:rsidP="00FA25FA">
            <w:pPr>
              <w:pStyle w:val="Table-Text"/>
              <w:jc w:val="center"/>
              <w:rPr>
                <w:color w:val="000000"/>
                <w:sz w:val="20"/>
              </w:rPr>
            </w:pPr>
            <w:r w:rsidRPr="0062066B">
              <w:rPr>
                <w:color w:val="000000"/>
                <w:sz w:val="20"/>
              </w:rPr>
              <w:t>93*</w:t>
            </w:r>
          </w:p>
        </w:tc>
        <w:tc>
          <w:tcPr>
            <w:tcW w:w="1320" w:type="dxa"/>
            <w:tcBorders>
              <w:top w:val="single" w:sz="6" w:space="0" w:color="auto"/>
              <w:bottom w:val="nil"/>
            </w:tcBorders>
            <w:vAlign w:val="center"/>
          </w:tcPr>
          <w:p w:rsidR="00F4152A" w:rsidRPr="0062066B" w:rsidRDefault="00F4152A" w:rsidP="00FA25FA">
            <w:pPr>
              <w:pStyle w:val="Table-Text"/>
              <w:jc w:val="center"/>
              <w:rPr>
                <w:color w:val="000000"/>
                <w:sz w:val="20"/>
              </w:rPr>
            </w:pPr>
            <w:r w:rsidRPr="0062066B">
              <w:rPr>
                <w:color w:val="000000"/>
                <w:sz w:val="20"/>
              </w:rPr>
              <w:t>63</w:t>
            </w:r>
          </w:p>
        </w:tc>
        <w:tc>
          <w:tcPr>
            <w:tcW w:w="1320" w:type="dxa"/>
            <w:tcBorders>
              <w:top w:val="single" w:sz="6" w:space="0" w:color="auto"/>
              <w:bottom w:val="nil"/>
            </w:tcBorders>
            <w:vAlign w:val="center"/>
          </w:tcPr>
          <w:p w:rsidR="00F4152A" w:rsidRPr="0062066B" w:rsidRDefault="00F4152A" w:rsidP="00FA25FA">
            <w:pPr>
              <w:pStyle w:val="Table-Text"/>
              <w:jc w:val="center"/>
              <w:rPr>
                <w:color w:val="000000"/>
                <w:sz w:val="20"/>
              </w:rPr>
            </w:pPr>
            <w:r w:rsidRPr="0062066B">
              <w:rPr>
                <w:color w:val="000000"/>
                <w:sz w:val="20"/>
              </w:rPr>
              <w:t>76*</w:t>
            </w:r>
          </w:p>
        </w:tc>
        <w:tc>
          <w:tcPr>
            <w:tcW w:w="1308" w:type="dxa"/>
            <w:tcBorders>
              <w:top w:val="single" w:sz="6" w:space="0" w:color="auto"/>
              <w:bottom w:val="nil"/>
              <w:right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13</w:t>
            </w:r>
          </w:p>
        </w:tc>
      </w:tr>
      <w:tr w:rsidR="00F4152A" w:rsidRPr="0062066B" w:rsidTr="00FA25FA">
        <w:tblPrEx>
          <w:tblCellMar>
            <w:top w:w="0" w:type="dxa"/>
            <w:bottom w:w="0" w:type="dxa"/>
          </w:tblCellMar>
        </w:tblPrEx>
        <w:tc>
          <w:tcPr>
            <w:tcW w:w="3948" w:type="dxa"/>
            <w:tcBorders>
              <w:top w:val="single" w:sz="6" w:space="0" w:color="auto"/>
              <w:left w:val="single" w:sz="4" w:space="0" w:color="auto"/>
              <w:bottom w:val="nil"/>
            </w:tcBorders>
          </w:tcPr>
          <w:p w:rsidR="00F4152A" w:rsidRPr="0062066B" w:rsidRDefault="00F4152A" w:rsidP="00FA25FA">
            <w:pPr>
              <w:pStyle w:val="Table-Text"/>
              <w:rPr>
                <w:color w:val="000000"/>
                <w:sz w:val="20"/>
              </w:rPr>
            </w:pPr>
            <w:r w:rsidRPr="0062066B">
              <w:rPr>
                <w:b/>
                <w:color w:val="000000"/>
                <w:sz w:val="20"/>
              </w:rPr>
              <w:t xml:space="preserve">ALT </w:t>
            </w:r>
            <w:r w:rsidRPr="0062066B">
              <w:rPr>
                <w:color w:val="000000"/>
                <w:sz w:val="20"/>
              </w:rPr>
              <w:t>(%)</w:t>
            </w:r>
          </w:p>
        </w:tc>
        <w:tc>
          <w:tcPr>
            <w:tcW w:w="1320" w:type="dxa"/>
            <w:tcBorders>
              <w:top w:val="single" w:sz="6" w:space="0" w:color="auto"/>
              <w:bottom w:val="nil"/>
            </w:tcBorders>
            <w:vAlign w:val="center"/>
          </w:tcPr>
          <w:p w:rsidR="00F4152A" w:rsidRPr="0062066B" w:rsidRDefault="00F4152A" w:rsidP="00FA25FA">
            <w:pPr>
              <w:pStyle w:val="Table-Text"/>
              <w:rPr>
                <w:color w:val="000000"/>
                <w:sz w:val="20"/>
              </w:rPr>
            </w:pPr>
          </w:p>
        </w:tc>
        <w:tc>
          <w:tcPr>
            <w:tcW w:w="1320" w:type="dxa"/>
            <w:tcBorders>
              <w:top w:val="single" w:sz="6" w:space="0" w:color="auto"/>
              <w:bottom w:val="nil"/>
            </w:tcBorders>
            <w:vAlign w:val="center"/>
          </w:tcPr>
          <w:p w:rsidR="00F4152A" w:rsidRPr="0062066B" w:rsidRDefault="00F4152A" w:rsidP="00FA25FA">
            <w:pPr>
              <w:pStyle w:val="Table-Text"/>
              <w:rPr>
                <w:color w:val="000000"/>
                <w:sz w:val="20"/>
              </w:rPr>
            </w:pPr>
          </w:p>
        </w:tc>
        <w:tc>
          <w:tcPr>
            <w:tcW w:w="1320" w:type="dxa"/>
            <w:tcBorders>
              <w:top w:val="single" w:sz="6" w:space="0" w:color="auto"/>
              <w:bottom w:val="nil"/>
            </w:tcBorders>
            <w:vAlign w:val="center"/>
          </w:tcPr>
          <w:p w:rsidR="00F4152A" w:rsidRPr="0062066B" w:rsidRDefault="00F4152A" w:rsidP="00FA25FA">
            <w:pPr>
              <w:pStyle w:val="Table-Text"/>
              <w:rPr>
                <w:color w:val="000000"/>
                <w:sz w:val="20"/>
              </w:rPr>
            </w:pPr>
          </w:p>
        </w:tc>
        <w:tc>
          <w:tcPr>
            <w:tcW w:w="1308" w:type="dxa"/>
            <w:tcBorders>
              <w:top w:val="single" w:sz="6" w:space="0" w:color="auto"/>
              <w:bottom w:val="nil"/>
              <w:right w:val="single" w:sz="4" w:space="0" w:color="auto"/>
            </w:tcBorders>
            <w:vAlign w:val="center"/>
          </w:tcPr>
          <w:p w:rsidR="00F4152A" w:rsidRPr="0062066B" w:rsidRDefault="00F4152A" w:rsidP="00FA25FA">
            <w:pPr>
              <w:pStyle w:val="Table-Text"/>
              <w:rPr>
                <w:color w:val="000000"/>
                <w:sz w:val="20"/>
              </w:rPr>
            </w:pPr>
          </w:p>
        </w:tc>
      </w:tr>
      <w:tr w:rsidR="00F4152A" w:rsidRPr="0062066B" w:rsidTr="00FA25FA">
        <w:tblPrEx>
          <w:tblCellMar>
            <w:top w:w="0" w:type="dxa"/>
            <w:bottom w:w="0" w:type="dxa"/>
          </w:tblCellMar>
        </w:tblPrEx>
        <w:tc>
          <w:tcPr>
            <w:tcW w:w="3948" w:type="dxa"/>
            <w:tcBorders>
              <w:top w:val="nil"/>
              <w:left w:val="single" w:sz="4" w:space="0" w:color="auto"/>
            </w:tcBorders>
          </w:tcPr>
          <w:p w:rsidR="00F4152A" w:rsidRPr="0062066B" w:rsidRDefault="00F4152A" w:rsidP="00FA25FA">
            <w:pPr>
              <w:pStyle w:val="Table-Text"/>
              <w:rPr>
                <w:color w:val="000000"/>
                <w:sz w:val="20"/>
              </w:rPr>
            </w:pPr>
            <w:r w:rsidRPr="0062066B">
              <w:rPr>
                <w:color w:val="000000"/>
                <w:sz w:val="20"/>
              </w:rPr>
              <w:t xml:space="preserve">Normalized ALT </w:t>
            </w:r>
            <w:r w:rsidRPr="0062066B">
              <w:rPr>
                <w:color w:val="000000"/>
                <w:sz w:val="20"/>
                <w:vertAlign w:val="superscript"/>
              </w:rPr>
              <w:t>3</w:t>
            </w:r>
          </w:p>
        </w:tc>
        <w:tc>
          <w:tcPr>
            <w:tcW w:w="1320" w:type="dxa"/>
            <w:tcBorders>
              <w:top w:val="nil"/>
            </w:tcBorders>
            <w:vAlign w:val="center"/>
          </w:tcPr>
          <w:p w:rsidR="00F4152A" w:rsidRPr="0062066B" w:rsidRDefault="00F4152A" w:rsidP="00FA25FA">
            <w:pPr>
              <w:pStyle w:val="Table-Text"/>
              <w:jc w:val="center"/>
              <w:rPr>
                <w:color w:val="000000"/>
                <w:sz w:val="20"/>
              </w:rPr>
            </w:pPr>
            <w:r w:rsidRPr="0062066B">
              <w:rPr>
                <w:color w:val="000000"/>
                <w:sz w:val="20"/>
              </w:rPr>
              <w:t>76</w:t>
            </w:r>
          </w:p>
        </w:tc>
        <w:tc>
          <w:tcPr>
            <w:tcW w:w="1320" w:type="dxa"/>
            <w:tcBorders>
              <w:top w:val="nil"/>
            </w:tcBorders>
            <w:vAlign w:val="center"/>
          </w:tcPr>
          <w:p w:rsidR="00F4152A" w:rsidRPr="0062066B" w:rsidRDefault="00F4152A" w:rsidP="00FA25FA">
            <w:pPr>
              <w:pStyle w:val="Table-Text"/>
              <w:jc w:val="center"/>
              <w:rPr>
                <w:color w:val="000000"/>
                <w:sz w:val="20"/>
              </w:rPr>
            </w:pPr>
            <w:r w:rsidRPr="0062066B">
              <w:rPr>
                <w:color w:val="000000"/>
                <w:sz w:val="20"/>
              </w:rPr>
              <w:t>77</w:t>
            </w:r>
          </w:p>
        </w:tc>
        <w:tc>
          <w:tcPr>
            <w:tcW w:w="1320" w:type="dxa"/>
            <w:tcBorders>
              <w:top w:val="nil"/>
            </w:tcBorders>
            <w:vAlign w:val="center"/>
          </w:tcPr>
          <w:p w:rsidR="00F4152A" w:rsidRPr="0062066B" w:rsidRDefault="00F4152A" w:rsidP="00FA25FA">
            <w:pPr>
              <w:pStyle w:val="Table-Text"/>
              <w:jc w:val="center"/>
              <w:rPr>
                <w:color w:val="000000"/>
                <w:sz w:val="20"/>
              </w:rPr>
            </w:pPr>
            <w:r w:rsidRPr="0062066B">
              <w:rPr>
                <w:color w:val="000000"/>
                <w:sz w:val="20"/>
              </w:rPr>
              <w:t>68*</w:t>
            </w:r>
          </w:p>
        </w:tc>
        <w:tc>
          <w:tcPr>
            <w:tcW w:w="1308" w:type="dxa"/>
            <w:tcBorders>
              <w:top w:val="nil"/>
              <w:right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54</w:t>
            </w:r>
          </w:p>
        </w:tc>
      </w:tr>
      <w:tr w:rsidR="00F4152A" w:rsidRPr="0062066B" w:rsidTr="00FA25FA">
        <w:tblPrEx>
          <w:tblCellMar>
            <w:top w:w="0" w:type="dxa"/>
            <w:bottom w:w="0" w:type="dxa"/>
          </w:tblCellMar>
        </w:tblPrEx>
        <w:tc>
          <w:tcPr>
            <w:tcW w:w="3948" w:type="dxa"/>
            <w:tcBorders>
              <w:left w:val="single" w:sz="4" w:space="0" w:color="auto"/>
            </w:tcBorders>
          </w:tcPr>
          <w:p w:rsidR="00F4152A" w:rsidRPr="0062066B" w:rsidRDefault="00F4152A" w:rsidP="00FA25FA">
            <w:pPr>
              <w:pStyle w:val="Table-Text"/>
              <w:rPr>
                <w:b/>
                <w:color w:val="000000"/>
                <w:sz w:val="20"/>
              </w:rPr>
            </w:pPr>
            <w:r w:rsidRPr="0062066B">
              <w:rPr>
                <w:b/>
                <w:color w:val="000000"/>
                <w:sz w:val="20"/>
              </w:rPr>
              <w:t xml:space="preserve">Serology </w:t>
            </w:r>
            <w:r w:rsidRPr="0062066B">
              <w:rPr>
                <w:color w:val="000000"/>
                <w:sz w:val="20"/>
              </w:rPr>
              <w:t>(%)</w:t>
            </w:r>
          </w:p>
          <w:p w:rsidR="00F4152A" w:rsidRPr="0062066B" w:rsidRDefault="00F4152A" w:rsidP="00FA25FA">
            <w:pPr>
              <w:pStyle w:val="Table-Text"/>
              <w:rPr>
                <w:color w:val="000000"/>
                <w:sz w:val="20"/>
              </w:rPr>
            </w:pPr>
            <w:r w:rsidRPr="0062066B">
              <w:rPr>
                <w:color w:val="000000"/>
                <w:sz w:val="20"/>
              </w:rPr>
              <w:t>HBeAg Loss/Seroconversion</w:t>
            </w:r>
          </w:p>
        </w:tc>
        <w:tc>
          <w:tcPr>
            <w:tcW w:w="1320" w:type="dxa"/>
            <w:vAlign w:val="center"/>
          </w:tcPr>
          <w:p w:rsidR="00F4152A" w:rsidRPr="0062066B" w:rsidRDefault="00F4152A" w:rsidP="00FA25FA">
            <w:pPr>
              <w:pStyle w:val="Table-Text"/>
              <w:jc w:val="center"/>
              <w:rPr>
                <w:color w:val="000000"/>
                <w:sz w:val="20"/>
              </w:rPr>
            </w:pPr>
          </w:p>
          <w:p w:rsidR="00F4152A" w:rsidRPr="0062066B" w:rsidRDefault="00F4152A" w:rsidP="00FA25FA">
            <w:pPr>
              <w:pStyle w:val="Table-Text"/>
              <w:jc w:val="center"/>
              <w:rPr>
                <w:color w:val="000000"/>
                <w:sz w:val="20"/>
              </w:rPr>
            </w:pPr>
            <w:r w:rsidRPr="0062066B">
              <w:rPr>
                <w:color w:val="000000"/>
                <w:sz w:val="20"/>
              </w:rPr>
              <w:t>N/A</w:t>
            </w:r>
          </w:p>
        </w:tc>
        <w:tc>
          <w:tcPr>
            <w:tcW w:w="1320" w:type="dxa"/>
            <w:vAlign w:val="center"/>
          </w:tcPr>
          <w:p w:rsidR="00F4152A" w:rsidRPr="0062066B" w:rsidRDefault="00F4152A" w:rsidP="00FA25FA">
            <w:pPr>
              <w:pStyle w:val="Table-Text"/>
              <w:jc w:val="center"/>
              <w:rPr>
                <w:color w:val="000000"/>
                <w:sz w:val="20"/>
              </w:rPr>
            </w:pPr>
          </w:p>
          <w:p w:rsidR="00F4152A" w:rsidRPr="0062066B" w:rsidRDefault="00F4152A" w:rsidP="00FA25FA">
            <w:pPr>
              <w:pStyle w:val="Table-Text"/>
              <w:jc w:val="center"/>
              <w:rPr>
                <w:color w:val="000000"/>
                <w:sz w:val="20"/>
              </w:rPr>
            </w:pPr>
            <w:r w:rsidRPr="0062066B">
              <w:rPr>
                <w:color w:val="000000"/>
                <w:sz w:val="20"/>
              </w:rPr>
              <w:t>N/A</w:t>
            </w:r>
          </w:p>
        </w:tc>
        <w:tc>
          <w:tcPr>
            <w:tcW w:w="1320" w:type="dxa"/>
            <w:vAlign w:val="center"/>
          </w:tcPr>
          <w:p w:rsidR="00F4152A" w:rsidRPr="0062066B" w:rsidRDefault="00F4152A" w:rsidP="00FA25FA">
            <w:pPr>
              <w:pStyle w:val="Table-Text"/>
              <w:jc w:val="center"/>
              <w:rPr>
                <w:color w:val="000000"/>
                <w:sz w:val="20"/>
              </w:rPr>
            </w:pPr>
          </w:p>
          <w:p w:rsidR="00F4152A" w:rsidRPr="0062066B" w:rsidRDefault="00F4152A" w:rsidP="00FA25FA">
            <w:pPr>
              <w:pStyle w:val="Table-Text"/>
              <w:jc w:val="center"/>
              <w:rPr>
                <w:color w:val="000000"/>
                <w:sz w:val="20"/>
              </w:rPr>
            </w:pPr>
            <w:r w:rsidRPr="0062066B">
              <w:rPr>
                <w:color w:val="000000"/>
                <w:sz w:val="20"/>
              </w:rPr>
              <w:t>22/21</w:t>
            </w:r>
          </w:p>
        </w:tc>
        <w:tc>
          <w:tcPr>
            <w:tcW w:w="1308" w:type="dxa"/>
            <w:tcBorders>
              <w:right w:val="single" w:sz="4" w:space="0" w:color="auto"/>
            </w:tcBorders>
            <w:vAlign w:val="center"/>
          </w:tcPr>
          <w:p w:rsidR="00F4152A" w:rsidRPr="0062066B" w:rsidRDefault="00F4152A" w:rsidP="00FA25FA">
            <w:pPr>
              <w:pStyle w:val="Table-Text"/>
              <w:jc w:val="center"/>
              <w:rPr>
                <w:color w:val="000000"/>
                <w:sz w:val="20"/>
              </w:rPr>
            </w:pPr>
          </w:p>
          <w:p w:rsidR="00F4152A" w:rsidRPr="0062066B" w:rsidRDefault="00F4152A" w:rsidP="00FA25FA">
            <w:pPr>
              <w:pStyle w:val="Table-Text"/>
              <w:jc w:val="center"/>
              <w:rPr>
                <w:color w:val="000000"/>
                <w:sz w:val="20"/>
              </w:rPr>
            </w:pPr>
            <w:r w:rsidRPr="0062066B">
              <w:rPr>
                <w:color w:val="000000"/>
                <w:sz w:val="20"/>
              </w:rPr>
              <w:t>18/18</w:t>
            </w:r>
          </w:p>
        </w:tc>
      </w:tr>
      <w:tr w:rsidR="00F4152A" w:rsidRPr="0062066B" w:rsidTr="00FA25FA">
        <w:tblPrEx>
          <w:tblCellMar>
            <w:top w:w="0" w:type="dxa"/>
            <w:bottom w:w="0" w:type="dxa"/>
          </w:tblCellMar>
        </w:tblPrEx>
        <w:tc>
          <w:tcPr>
            <w:tcW w:w="3948" w:type="dxa"/>
            <w:tcBorders>
              <w:left w:val="single" w:sz="4" w:space="0" w:color="auto"/>
              <w:bottom w:val="single" w:sz="4" w:space="0" w:color="auto"/>
            </w:tcBorders>
          </w:tcPr>
          <w:p w:rsidR="00F4152A" w:rsidRPr="0062066B" w:rsidRDefault="00F4152A" w:rsidP="00FA25FA">
            <w:pPr>
              <w:pStyle w:val="Table-Text"/>
              <w:rPr>
                <w:color w:val="000000"/>
                <w:sz w:val="20"/>
              </w:rPr>
            </w:pPr>
            <w:r w:rsidRPr="0062066B">
              <w:rPr>
                <w:color w:val="000000"/>
                <w:sz w:val="20"/>
              </w:rPr>
              <w:t xml:space="preserve">HBsAg Loss/Seroconversion </w:t>
            </w:r>
          </w:p>
        </w:tc>
        <w:tc>
          <w:tcPr>
            <w:tcW w:w="1320" w:type="dxa"/>
            <w:tcBorders>
              <w:bottom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0/0</w:t>
            </w:r>
          </w:p>
        </w:tc>
        <w:tc>
          <w:tcPr>
            <w:tcW w:w="1320" w:type="dxa"/>
            <w:tcBorders>
              <w:bottom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0/0</w:t>
            </w:r>
          </w:p>
        </w:tc>
        <w:tc>
          <w:tcPr>
            <w:tcW w:w="1320" w:type="dxa"/>
            <w:tcBorders>
              <w:bottom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3*/1</w:t>
            </w:r>
          </w:p>
        </w:tc>
        <w:tc>
          <w:tcPr>
            <w:tcW w:w="1308" w:type="dxa"/>
            <w:tcBorders>
              <w:bottom w:val="single" w:sz="4" w:space="0" w:color="auto"/>
              <w:right w:val="single" w:sz="4" w:space="0" w:color="auto"/>
            </w:tcBorders>
            <w:vAlign w:val="center"/>
          </w:tcPr>
          <w:p w:rsidR="00F4152A" w:rsidRPr="0062066B" w:rsidRDefault="00F4152A" w:rsidP="00FA25FA">
            <w:pPr>
              <w:pStyle w:val="Table-Text"/>
              <w:jc w:val="center"/>
              <w:rPr>
                <w:color w:val="000000"/>
                <w:sz w:val="20"/>
              </w:rPr>
            </w:pPr>
            <w:r w:rsidRPr="0062066B">
              <w:rPr>
                <w:color w:val="000000"/>
                <w:sz w:val="20"/>
              </w:rPr>
              <w:t>0/0</w:t>
            </w:r>
          </w:p>
        </w:tc>
      </w:tr>
    </w:tbl>
    <w:p w:rsidR="00F4152A" w:rsidRPr="0062066B" w:rsidRDefault="00F4152A" w:rsidP="00F4152A">
      <w:pPr>
        <w:pStyle w:val="Text1"/>
        <w:spacing w:after="0"/>
        <w:rPr>
          <w:snapToGrid w:val="0"/>
          <w:color w:val="000000"/>
          <w:sz w:val="18"/>
          <w:szCs w:val="18"/>
        </w:rPr>
      </w:pPr>
      <w:r w:rsidRPr="0062066B">
        <w:rPr>
          <w:snapToGrid w:val="0"/>
          <w:color w:val="000000"/>
          <w:sz w:val="18"/>
          <w:szCs w:val="18"/>
        </w:rPr>
        <w:t xml:space="preserve">*p value vs HEPSERA &lt; 0.05. </w:t>
      </w:r>
    </w:p>
    <w:p w:rsidR="00F4152A" w:rsidRPr="0062066B" w:rsidRDefault="00F4152A" w:rsidP="00F4152A">
      <w:pPr>
        <w:pStyle w:val="Text1"/>
        <w:spacing w:after="0"/>
        <w:rPr>
          <w:snapToGrid w:val="0"/>
          <w:color w:val="000000"/>
          <w:sz w:val="18"/>
          <w:szCs w:val="18"/>
        </w:rPr>
      </w:pPr>
      <w:r w:rsidRPr="0062066B">
        <w:rPr>
          <w:snapToGrid w:val="0"/>
          <w:color w:val="000000"/>
          <w:sz w:val="18"/>
          <w:szCs w:val="18"/>
          <w:vertAlign w:val="superscript"/>
        </w:rPr>
        <w:lastRenderedPageBreak/>
        <w:t xml:space="preserve">1 </w:t>
      </w:r>
      <w:r w:rsidRPr="0062066B">
        <w:rPr>
          <w:snapToGrid w:val="0"/>
          <w:color w:val="000000"/>
          <w:sz w:val="18"/>
          <w:szCs w:val="18"/>
        </w:rPr>
        <w:t xml:space="preserve">Complete response defined as HBV DNA levels &lt; 400 copies/ml and Knodell necroinflammatory score improvement of at least 2 points without worsening in Knodell fibrosis score. </w:t>
      </w:r>
    </w:p>
    <w:p w:rsidR="00F4152A" w:rsidRPr="0062066B" w:rsidRDefault="00F4152A" w:rsidP="00F4152A">
      <w:pPr>
        <w:pStyle w:val="Text1"/>
        <w:spacing w:after="0"/>
        <w:rPr>
          <w:snapToGrid w:val="0"/>
          <w:color w:val="000000"/>
          <w:sz w:val="18"/>
          <w:szCs w:val="18"/>
        </w:rPr>
      </w:pPr>
      <w:r w:rsidRPr="0062066B">
        <w:rPr>
          <w:snapToGrid w:val="0"/>
          <w:color w:val="000000"/>
          <w:sz w:val="18"/>
          <w:szCs w:val="18"/>
          <w:vertAlign w:val="superscript"/>
        </w:rPr>
        <w:t>2</w:t>
      </w:r>
      <w:r w:rsidRPr="0062066B">
        <w:rPr>
          <w:snapToGrid w:val="0"/>
          <w:color w:val="000000"/>
          <w:sz w:val="18"/>
          <w:szCs w:val="18"/>
        </w:rPr>
        <w:t xml:space="preserve"> Knodell necroinflammatory score improvement of at least 2 points without worsening in Knodell fibrosis score. </w:t>
      </w:r>
    </w:p>
    <w:p w:rsidR="00F4152A" w:rsidRPr="0062066B" w:rsidRDefault="00F4152A" w:rsidP="00F4152A">
      <w:pPr>
        <w:pStyle w:val="Text1"/>
        <w:spacing w:after="0"/>
        <w:rPr>
          <w:snapToGrid w:val="0"/>
          <w:color w:val="000000"/>
          <w:sz w:val="18"/>
          <w:szCs w:val="18"/>
        </w:rPr>
      </w:pPr>
      <w:r w:rsidRPr="0062066B">
        <w:rPr>
          <w:snapToGrid w:val="0"/>
          <w:color w:val="000000"/>
          <w:sz w:val="18"/>
          <w:szCs w:val="18"/>
          <w:vertAlign w:val="superscript"/>
        </w:rPr>
        <w:t>3</w:t>
      </w:r>
      <w:r w:rsidRPr="0062066B">
        <w:rPr>
          <w:snapToGrid w:val="0"/>
          <w:color w:val="000000"/>
          <w:sz w:val="18"/>
          <w:szCs w:val="18"/>
        </w:rPr>
        <w:t>The population used for analysis of ALT normalization included only patients with ALT above ULN at baseline.</w:t>
      </w:r>
    </w:p>
    <w:p w:rsidR="00F4152A" w:rsidRPr="0062066B" w:rsidRDefault="00F4152A" w:rsidP="00F4152A">
      <w:pPr>
        <w:pStyle w:val="Text1"/>
        <w:spacing w:after="0"/>
        <w:rPr>
          <w:snapToGrid w:val="0"/>
          <w:color w:val="000000"/>
          <w:sz w:val="18"/>
          <w:szCs w:val="18"/>
          <w:vertAlign w:val="superscript"/>
        </w:rPr>
      </w:pPr>
    </w:p>
    <w:p w:rsidR="00F4152A" w:rsidRPr="00015C34" w:rsidRDefault="00F4152A" w:rsidP="00F4152A">
      <w:pPr>
        <w:pStyle w:val="Text1"/>
        <w:jc w:val="both"/>
        <w:rPr>
          <w:color w:val="000000"/>
          <w:szCs w:val="24"/>
        </w:rPr>
      </w:pPr>
      <w:r w:rsidRPr="00015C34">
        <w:rPr>
          <w:color w:val="000000"/>
          <w:szCs w:val="24"/>
        </w:rPr>
        <w:t>VIREAD was associated with statistically significantly greater proportions of patients with undetectable HBV DNA (&lt; 169 copies/ml [&lt; 29 IU/ml]; the limit of quantification of the Roche Cobas TaqMan HBV assay), when compared to HEPSERA (study 0102; 91%, 56% and study 0103; 69%, 9%) respectively.</w:t>
      </w:r>
    </w:p>
    <w:p w:rsidR="00F4152A" w:rsidRDefault="00F4152A" w:rsidP="00F4152A">
      <w:pPr>
        <w:pStyle w:val="Text1"/>
        <w:spacing w:after="0"/>
        <w:jc w:val="both"/>
        <w:rPr>
          <w:color w:val="000000"/>
          <w:szCs w:val="24"/>
        </w:rPr>
      </w:pPr>
      <w:r w:rsidRPr="00015C34">
        <w:rPr>
          <w:color w:val="000000"/>
          <w:szCs w:val="24"/>
        </w:rPr>
        <w:t>Response to treatment with VIREAD was comparable in nucleoside-experienced (n=51) and nucleoside-naïve (n=375) patients and in patients with normal ALT (n=21) and abnormal ALT (n=405) at baseline when studies 0102 and 0103 were combined.  Forty-nine of the 51 nucleoside-experienced patients were previously treated with lamivudine.  Seventy-three percent of nucleoside-experienced and 69% of nucleoside-naïve patients achieved complete response to treatment; 90% of nucleoside-</w:t>
      </w:r>
      <w:r w:rsidR="004958E3">
        <w:rPr>
          <w:color w:val="000000"/>
          <w:szCs w:val="24"/>
        </w:rPr>
        <w:t>experienced</w:t>
      </w:r>
      <w:r w:rsidRPr="00015C34">
        <w:rPr>
          <w:color w:val="000000"/>
          <w:szCs w:val="24"/>
        </w:rPr>
        <w:t xml:space="preserve"> and 88% of nucleoside-</w:t>
      </w:r>
      <w:r w:rsidR="004958E3">
        <w:rPr>
          <w:color w:val="000000"/>
          <w:szCs w:val="24"/>
        </w:rPr>
        <w:t xml:space="preserve">naïve </w:t>
      </w:r>
      <w:r w:rsidRPr="00015C34">
        <w:rPr>
          <w:color w:val="000000"/>
          <w:szCs w:val="24"/>
        </w:rPr>
        <w:t xml:space="preserve"> patients achieved HBV DNA suppression &lt; 400 copies/ml.  All patients with normal ALT at baseline and 88% of patients with abnormal ALT at baseline achieved HBV DNA suppression &lt; 400 copies/ml.  </w:t>
      </w:r>
    </w:p>
    <w:p w:rsidR="00176069" w:rsidRPr="00015C34" w:rsidRDefault="00176069" w:rsidP="00F4152A">
      <w:pPr>
        <w:pStyle w:val="Text1"/>
        <w:spacing w:after="0"/>
        <w:jc w:val="both"/>
        <w:rPr>
          <w:color w:val="000000"/>
          <w:szCs w:val="24"/>
        </w:rPr>
      </w:pPr>
    </w:p>
    <w:p w:rsidR="00176069" w:rsidRPr="00176069" w:rsidRDefault="00571B28" w:rsidP="00176069">
      <w:pPr>
        <w:pStyle w:val="Text1"/>
        <w:spacing w:after="0"/>
        <w:jc w:val="both"/>
        <w:rPr>
          <w:szCs w:val="24"/>
          <w:lang w:val="en-GB"/>
        </w:rPr>
      </w:pPr>
      <w:r>
        <w:rPr>
          <w:b/>
          <w:szCs w:val="24"/>
          <w:lang w:val="en-GB"/>
        </w:rPr>
        <w:t>Treatment</w:t>
      </w:r>
      <w:r w:rsidR="00176069" w:rsidRPr="00176069">
        <w:rPr>
          <w:b/>
          <w:szCs w:val="24"/>
          <w:lang w:val="en-GB"/>
        </w:rPr>
        <w:t xml:space="preserve"> Beyond 48 weeks (Studies </w:t>
      </w:r>
      <w:r w:rsidR="00A50F31">
        <w:rPr>
          <w:b/>
          <w:szCs w:val="24"/>
          <w:lang w:val="en-GB"/>
        </w:rPr>
        <w:t>0</w:t>
      </w:r>
      <w:r w:rsidR="00176069" w:rsidRPr="00176069">
        <w:rPr>
          <w:b/>
          <w:szCs w:val="24"/>
          <w:lang w:val="en-GB"/>
        </w:rPr>
        <w:t xml:space="preserve">102 and </w:t>
      </w:r>
      <w:r w:rsidR="00A50F31">
        <w:rPr>
          <w:b/>
          <w:szCs w:val="24"/>
          <w:lang w:val="en-GB"/>
        </w:rPr>
        <w:t>0</w:t>
      </w:r>
      <w:r w:rsidR="00176069" w:rsidRPr="00176069">
        <w:rPr>
          <w:b/>
          <w:szCs w:val="24"/>
          <w:lang w:val="en-GB"/>
        </w:rPr>
        <w:t xml:space="preserve">103): </w:t>
      </w:r>
      <w:r w:rsidR="00176069" w:rsidRPr="00176069">
        <w:rPr>
          <w:szCs w:val="24"/>
          <w:lang w:val="en-GB"/>
        </w:rPr>
        <w:t xml:space="preserve"> </w:t>
      </w:r>
    </w:p>
    <w:p w:rsidR="00DD70EE" w:rsidRDefault="00176069" w:rsidP="00176069">
      <w:pPr>
        <w:pStyle w:val="Text1"/>
        <w:spacing w:after="0"/>
        <w:jc w:val="both"/>
        <w:rPr>
          <w:szCs w:val="24"/>
        </w:rPr>
      </w:pPr>
      <w:r w:rsidRPr="00176069">
        <w:rPr>
          <w:szCs w:val="24"/>
          <w:lang w:val="en-GB"/>
        </w:rPr>
        <w:t>In studies 0102 and 0103, after receiving double-blind treatment for 48</w:t>
      </w:r>
      <w:r w:rsidRPr="00176069">
        <w:rPr>
          <w:szCs w:val="24"/>
        </w:rPr>
        <w:t> weeks (</w:t>
      </w:r>
      <w:r w:rsidRPr="00176069">
        <w:rPr>
          <w:szCs w:val="24"/>
          <w:lang w:val="en-GB"/>
        </w:rPr>
        <w:t xml:space="preserve">either VIREAD or HEPSERA), patients rolled over with no </w:t>
      </w:r>
      <w:r w:rsidR="002E2C61">
        <w:rPr>
          <w:szCs w:val="24"/>
          <w:lang w:val="en-GB"/>
        </w:rPr>
        <w:t xml:space="preserve">treatment </w:t>
      </w:r>
      <w:r w:rsidRPr="00176069">
        <w:rPr>
          <w:szCs w:val="24"/>
          <w:lang w:val="en-GB"/>
        </w:rPr>
        <w:t>interruption</w:t>
      </w:r>
      <w:r w:rsidR="002E2C61">
        <w:rPr>
          <w:szCs w:val="24"/>
          <w:lang w:val="en-GB"/>
        </w:rPr>
        <w:t>,</w:t>
      </w:r>
      <w:r w:rsidRPr="00176069">
        <w:rPr>
          <w:szCs w:val="24"/>
          <w:lang w:val="en-GB"/>
        </w:rPr>
        <w:t xml:space="preserve"> to open-label VIREAD.</w:t>
      </w:r>
      <w:r w:rsidRPr="00176069">
        <w:rPr>
          <w:szCs w:val="24"/>
        </w:rPr>
        <w:t xml:space="preserve">  </w:t>
      </w:r>
    </w:p>
    <w:p w:rsidR="00DD70EE" w:rsidRDefault="00DD70EE" w:rsidP="00176069">
      <w:pPr>
        <w:pStyle w:val="Text1"/>
        <w:spacing w:after="0"/>
        <w:jc w:val="both"/>
        <w:rPr>
          <w:szCs w:val="24"/>
        </w:rPr>
      </w:pPr>
    </w:p>
    <w:p w:rsidR="00180C79" w:rsidRDefault="00180C79" w:rsidP="00180C79">
      <w:pPr>
        <w:pStyle w:val="Text1"/>
        <w:spacing w:after="0"/>
        <w:jc w:val="both"/>
        <w:rPr>
          <w:szCs w:val="24"/>
          <w:lang w:val="en-GB"/>
        </w:rPr>
      </w:pPr>
      <w:r>
        <w:rPr>
          <w:szCs w:val="24"/>
          <w:lang w:val="en-GB"/>
        </w:rPr>
        <w:t xml:space="preserve">In study 0102, </w:t>
      </w:r>
      <w:r w:rsidR="00A47169">
        <w:rPr>
          <w:szCs w:val="24"/>
          <w:lang w:val="en-GB"/>
        </w:rPr>
        <w:t>304</w:t>
      </w:r>
      <w:r w:rsidRPr="007D7DB6">
        <w:rPr>
          <w:szCs w:val="24"/>
          <w:lang w:val="en-GB"/>
        </w:rPr>
        <w:t xml:space="preserve"> of 375</w:t>
      </w:r>
      <w:r>
        <w:rPr>
          <w:szCs w:val="24"/>
          <w:lang w:val="en-GB"/>
        </w:rPr>
        <w:t xml:space="preserve"> patients (8</w:t>
      </w:r>
      <w:r w:rsidR="003C5E03">
        <w:rPr>
          <w:szCs w:val="24"/>
          <w:lang w:val="en-GB"/>
        </w:rPr>
        <w:t>1</w:t>
      </w:r>
      <w:r>
        <w:rPr>
          <w:szCs w:val="24"/>
          <w:lang w:val="en-GB"/>
        </w:rPr>
        <w:t xml:space="preserve">%) continued through week </w:t>
      </w:r>
      <w:r w:rsidR="00A47169">
        <w:rPr>
          <w:szCs w:val="24"/>
          <w:lang w:val="en-GB"/>
        </w:rPr>
        <w:t>240</w:t>
      </w:r>
      <w:r>
        <w:rPr>
          <w:szCs w:val="24"/>
          <w:lang w:val="en-GB"/>
        </w:rPr>
        <w:t xml:space="preserve">, while in study 0103, </w:t>
      </w:r>
      <w:r w:rsidR="00C3441A">
        <w:rPr>
          <w:szCs w:val="24"/>
          <w:lang w:val="en-GB"/>
        </w:rPr>
        <w:t>185</w:t>
      </w:r>
      <w:r w:rsidRPr="007C2E10">
        <w:rPr>
          <w:szCs w:val="24"/>
          <w:lang w:val="en-GB"/>
        </w:rPr>
        <w:t>of 266</w:t>
      </w:r>
      <w:r>
        <w:rPr>
          <w:szCs w:val="24"/>
          <w:lang w:val="en-GB"/>
        </w:rPr>
        <w:t xml:space="preserve"> (7</w:t>
      </w:r>
      <w:r w:rsidR="00F5577B">
        <w:rPr>
          <w:szCs w:val="24"/>
          <w:lang w:val="en-GB"/>
        </w:rPr>
        <w:t>0</w:t>
      </w:r>
      <w:r>
        <w:rPr>
          <w:szCs w:val="24"/>
          <w:lang w:val="en-GB"/>
        </w:rPr>
        <w:t xml:space="preserve">%) continued through week </w:t>
      </w:r>
      <w:r w:rsidR="00C3441A">
        <w:rPr>
          <w:szCs w:val="24"/>
          <w:lang w:val="en-GB"/>
        </w:rPr>
        <w:t>240</w:t>
      </w:r>
      <w:r>
        <w:rPr>
          <w:szCs w:val="24"/>
          <w:lang w:val="en-GB"/>
        </w:rPr>
        <w:t>.  At weeks 96, 144</w:t>
      </w:r>
      <w:r w:rsidR="00C3441A">
        <w:rPr>
          <w:szCs w:val="24"/>
          <w:lang w:val="en-GB"/>
        </w:rPr>
        <w:t>,</w:t>
      </w:r>
      <w:r w:rsidR="00461A09">
        <w:rPr>
          <w:szCs w:val="24"/>
          <w:lang w:val="en-GB"/>
        </w:rPr>
        <w:t xml:space="preserve"> </w:t>
      </w:r>
      <w:r>
        <w:rPr>
          <w:szCs w:val="24"/>
          <w:lang w:val="en-GB"/>
        </w:rPr>
        <w:t>192</w:t>
      </w:r>
      <w:r w:rsidR="00C3441A">
        <w:rPr>
          <w:szCs w:val="24"/>
          <w:lang w:val="en-GB"/>
        </w:rPr>
        <w:t xml:space="preserve"> and 240</w:t>
      </w:r>
      <w:r>
        <w:rPr>
          <w:szCs w:val="24"/>
          <w:lang w:val="en-GB"/>
        </w:rPr>
        <w:t xml:space="preserve"> viral suppression, biochemical and serological responses were maintained with continued VIREAD treatment (see Table 11 below).</w:t>
      </w:r>
    </w:p>
    <w:p w:rsidR="00CE4721" w:rsidRDefault="00176069" w:rsidP="00176069">
      <w:pPr>
        <w:pStyle w:val="Text1"/>
        <w:spacing w:after="0"/>
        <w:jc w:val="both"/>
        <w:rPr>
          <w:szCs w:val="24"/>
        </w:rPr>
      </w:pPr>
      <w:r w:rsidRPr="00176069">
        <w:rPr>
          <w:szCs w:val="24"/>
          <w:lang w:val="en-GB"/>
        </w:rPr>
        <w:t xml:space="preserve"> </w:t>
      </w:r>
      <w:r w:rsidRPr="00176069">
        <w:rPr>
          <w:szCs w:val="24"/>
        </w:rPr>
        <w:t xml:space="preserve"> </w:t>
      </w:r>
    </w:p>
    <w:p w:rsidR="00180C79" w:rsidRPr="00701AC5" w:rsidRDefault="00180C79" w:rsidP="00180C79">
      <w:pPr>
        <w:pStyle w:val="Text1"/>
        <w:spacing w:after="0"/>
        <w:jc w:val="both"/>
        <w:rPr>
          <w:b/>
          <w:sz w:val="22"/>
          <w:szCs w:val="22"/>
        </w:rPr>
      </w:pPr>
      <w:r>
        <w:rPr>
          <w:b/>
          <w:sz w:val="22"/>
          <w:szCs w:val="22"/>
        </w:rPr>
        <w:t>Table 11.</w:t>
      </w:r>
      <w:r>
        <w:rPr>
          <w:b/>
          <w:sz w:val="22"/>
          <w:szCs w:val="22"/>
        </w:rPr>
        <w:tab/>
        <w:t>Virological, Biochemical and Serological Response at Weeks 96, 144</w:t>
      </w:r>
      <w:r w:rsidR="00135DB4">
        <w:rPr>
          <w:b/>
          <w:sz w:val="22"/>
          <w:szCs w:val="22"/>
        </w:rPr>
        <w:t>,</w:t>
      </w:r>
      <w:r w:rsidR="00461A09">
        <w:rPr>
          <w:b/>
          <w:sz w:val="22"/>
          <w:szCs w:val="22"/>
        </w:rPr>
        <w:t xml:space="preserve"> </w:t>
      </w:r>
      <w:r>
        <w:rPr>
          <w:b/>
          <w:sz w:val="22"/>
          <w:szCs w:val="22"/>
        </w:rPr>
        <w:t xml:space="preserve">192 </w:t>
      </w:r>
      <w:r w:rsidR="00135DB4">
        <w:rPr>
          <w:b/>
          <w:sz w:val="22"/>
          <w:szCs w:val="22"/>
        </w:rPr>
        <w:t>and 240</w:t>
      </w:r>
      <w:r>
        <w:rPr>
          <w:b/>
          <w:sz w:val="22"/>
          <w:szCs w:val="22"/>
        </w:rPr>
        <w:tab/>
      </w:r>
      <w:r>
        <w:rPr>
          <w:b/>
          <w:sz w:val="22"/>
          <w:szCs w:val="22"/>
        </w:rPr>
        <w:tab/>
      </w:r>
      <w:r>
        <w:rPr>
          <w:b/>
          <w:sz w:val="22"/>
          <w:szCs w:val="22"/>
        </w:rPr>
        <w:tab/>
        <w:t>(Study 0102 and 0103)</w:t>
      </w:r>
    </w:p>
    <w:tbl>
      <w:tblPr>
        <w:tblW w:w="1152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720"/>
        <w:gridCol w:w="600"/>
        <w:gridCol w:w="600"/>
        <w:gridCol w:w="600"/>
        <w:gridCol w:w="600"/>
        <w:gridCol w:w="600"/>
        <w:gridCol w:w="600"/>
        <w:gridCol w:w="600"/>
        <w:gridCol w:w="600"/>
        <w:gridCol w:w="600"/>
        <w:gridCol w:w="600"/>
        <w:gridCol w:w="600"/>
        <w:gridCol w:w="600"/>
        <w:gridCol w:w="600"/>
        <w:gridCol w:w="600"/>
        <w:gridCol w:w="600"/>
      </w:tblGrid>
      <w:tr w:rsidR="00180C79" w:rsidRPr="007A201D" w:rsidTr="007A201D">
        <w:tc>
          <w:tcPr>
            <w:tcW w:w="1800" w:type="dxa"/>
            <w:shd w:val="clear" w:color="auto" w:fill="auto"/>
          </w:tcPr>
          <w:p w:rsidR="00180C79" w:rsidRPr="007A201D" w:rsidRDefault="00180C79" w:rsidP="007F5433">
            <w:pPr>
              <w:pStyle w:val="Table-Text"/>
              <w:rPr>
                <w:b/>
                <w:sz w:val="22"/>
                <w:szCs w:val="22"/>
              </w:rPr>
            </w:pPr>
            <w:r w:rsidRPr="007A201D">
              <w:rPr>
                <w:b/>
                <w:snapToGrid w:val="0"/>
                <w:sz w:val="22"/>
                <w:szCs w:val="22"/>
              </w:rPr>
              <w:t>Outcomes</w:t>
            </w:r>
            <w:r w:rsidRPr="007A201D">
              <w:rPr>
                <w:rFonts w:ascii="Times New Roman Bold" w:hAnsi="Times New Roman Bold"/>
                <w:b/>
                <w:snapToGrid w:val="0"/>
                <w:sz w:val="22"/>
                <w:szCs w:val="22"/>
                <w:vertAlign w:val="superscript"/>
              </w:rPr>
              <w:t>a</w:t>
            </w:r>
          </w:p>
        </w:tc>
        <w:tc>
          <w:tcPr>
            <w:tcW w:w="4920" w:type="dxa"/>
            <w:gridSpan w:val="8"/>
            <w:shd w:val="clear" w:color="auto" w:fill="auto"/>
          </w:tcPr>
          <w:p w:rsidR="00180C79" w:rsidRPr="007A201D" w:rsidRDefault="00180C79" w:rsidP="007A201D">
            <w:pPr>
              <w:pStyle w:val="Table-Heading"/>
              <w:jc w:val="center"/>
              <w:rPr>
                <w:snapToGrid w:val="0"/>
                <w:sz w:val="22"/>
                <w:szCs w:val="22"/>
              </w:rPr>
            </w:pPr>
            <w:r w:rsidRPr="007A201D">
              <w:rPr>
                <w:snapToGrid w:val="0"/>
                <w:sz w:val="22"/>
                <w:szCs w:val="22"/>
              </w:rPr>
              <w:t xml:space="preserve">Study 0102 </w:t>
            </w:r>
          </w:p>
          <w:p w:rsidR="00180C79" w:rsidRPr="007A201D" w:rsidRDefault="00180C79" w:rsidP="007A201D">
            <w:pPr>
              <w:pStyle w:val="Table-Heading"/>
              <w:jc w:val="center"/>
              <w:rPr>
                <w:snapToGrid w:val="0"/>
                <w:sz w:val="22"/>
                <w:szCs w:val="22"/>
              </w:rPr>
            </w:pPr>
            <w:r w:rsidRPr="007A201D">
              <w:rPr>
                <w:snapToGrid w:val="0"/>
                <w:sz w:val="22"/>
                <w:szCs w:val="22"/>
              </w:rPr>
              <w:t>(HBeAg Negative)</w:t>
            </w:r>
          </w:p>
        </w:tc>
        <w:tc>
          <w:tcPr>
            <w:tcW w:w="4800" w:type="dxa"/>
            <w:gridSpan w:val="8"/>
            <w:shd w:val="clear" w:color="auto" w:fill="auto"/>
          </w:tcPr>
          <w:p w:rsidR="00180C79" w:rsidRPr="007A201D" w:rsidRDefault="00180C79" w:rsidP="007A201D">
            <w:pPr>
              <w:pStyle w:val="Table-Heading"/>
              <w:jc w:val="center"/>
              <w:rPr>
                <w:snapToGrid w:val="0"/>
                <w:sz w:val="22"/>
                <w:szCs w:val="22"/>
              </w:rPr>
            </w:pPr>
            <w:r w:rsidRPr="007A201D">
              <w:rPr>
                <w:snapToGrid w:val="0"/>
                <w:sz w:val="22"/>
                <w:szCs w:val="22"/>
              </w:rPr>
              <w:t>Study 0103</w:t>
            </w:r>
          </w:p>
          <w:p w:rsidR="00180C79" w:rsidRPr="007A201D" w:rsidRDefault="00180C79" w:rsidP="007A201D">
            <w:pPr>
              <w:pStyle w:val="Text1"/>
              <w:spacing w:after="0"/>
              <w:jc w:val="center"/>
              <w:rPr>
                <w:b/>
                <w:sz w:val="22"/>
                <w:szCs w:val="22"/>
              </w:rPr>
            </w:pPr>
            <w:r w:rsidRPr="007A201D">
              <w:rPr>
                <w:b/>
                <w:snapToGrid w:val="0"/>
                <w:sz w:val="22"/>
                <w:szCs w:val="22"/>
              </w:rPr>
              <w:t>(HBeAg Positive)</w:t>
            </w:r>
          </w:p>
        </w:tc>
      </w:tr>
      <w:tr w:rsidR="00180C79" w:rsidRPr="007A201D" w:rsidTr="007A201D">
        <w:tc>
          <w:tcPr>
            <w:tcW w:w="1800" w:type="dxa"/>
            <w:shd w:val="clear" w:color="auto" w:fill="auto"/>
          </w:tcPr>
          <w:p w:rsidR="00180C79" w:rsidRPr="007A201D" w:rsidRDefault="00180C79" w:rsidP="007F5433">
            <w:pPr>
              <w:pStyle w:val="Table-Text"/>
              <w:rPr>
                <w:b/>
                <w:snapToGrid w:val="0"/>
                <w:sz w:val="22"/>
                <w:szCs w:val="22"/>
              </w:rPr>
            </w:pPr>
          </w:p>
        </w:tc>
        <w:tc>
          <w:tcPr>
            <w:tcW w:w="2520" w:type="dxa"/>
            <w:gridSpan w:val="4"/>
            <w:shd w:val="clear" w:color="auto" w:fill="auto"/>
          </w:tcPr>
          <w:p w:rsidR="00180C79" w:rsidRPr="007A201D" w:rsidRDefault="00180C79" w:rsidP="007A201D">
            <w:pPr>
              <w:pStyle w:val="Table-Text"/>
              <w:jc w:val="center"/>
              <w:rPr>
                <w:b/>
                <w:sz w:val="22"/>
                <w:szCs w:val="22"/>
              </w:rPr>
            </w:pPr>
            <w:r w:rsidRPr="007A201D">
              <w:rPr>
                <w:b/>
                <w:sz w:val="22"/>
                <w:szCs w:val="22"/>
              </w:rPr>
              <w:t xml:space="preserve">VIREAD </w:t>
            </w:r>
          </w:p>
          <w:p w:rsidR="00180C79" w:rsidRPr="007A201D" w:rsidRDefault="00180C79" w:rsidP="007A201D">
            <w:pPr>
              <w:pStyle w:val="Table-Text"/>
              <w:jc w:val="center"/>
              <w:rPr>
                <w:b/>
                <w:snapToGrid w:val="0"/>
                <w:sz w:val="22"/>
                <w:szCs w:val="22"/>
                <w:lang w:val="pt-BR"/>
              </w:rPr>
            </w:pPr>
            <w:r w:rsidRPr="007A201D" w:rsidDel="00670445">
              <w:rPr>
                <w:b/>
                <w:sz w:val="22"/>
                <w:szCs w:val="22"/>
              </w:rPr>
              <w:t xml:space="preserve"> </w:t>
            </w:r>
            <w:r w:rsidRPr="007A201D">
              <w:rPr>
                <w:b/>
                <w:sz w:val="22"/>
                <w:szCs w:val="22"/>
                <w:lang w:val="en-GB"/>
              </w:rPr>
              <w:t>(n= 250)</w:t>
            </w:r>
          </w:p>
        </w:tc>
        <w:tc>
          <w:tcPr>
            <w:tcW w:w="2400" w:type="dxa"/>
            <w:gridSpan w:val="4"/>
            <w:shd w:val="clear" w:color="auto" w:fill="auto"/>
          </w:tcPr>
          <w:p w:rsidR="00180C79" w:rsidRPr="007A201D" w:rsidRDefault="00180C79" w:rsidP="007A201D">
            <w:pPr>
              <w:pStyle w:val="Table-Text"/>
              <w:jc w:val="center"/>
              <w:rPr>
                <w:b/>
                <w:snapToGrid w:val="0"/>
                <w:sz w:val="22"/>
                <w:szCs w:val="22"/>
                <w:lang w:val="pt-BR"/>
              </w:rPr>
            </w:pPr>
            <w:r w:rsidRPr="007A201D">
              <w:rPr>
                <w:b/>
                <w:snapToGrid w:val="0"/>
                <w:sz w:val="22"/>
                <w:szCs w:val="22"/>
                <w:lang w:val="pt-BR"/>
              </w:rPr>
              <w:t>HEPSERA Rollover to VIREAD</w:t>
            </w:r>
          </w:p>
          <w:p w:rsidR="00180C79" w:rsidRPr="007A201D" w:rsidRDefault="00180C79" w:rsidP="007A201D">
            <w:pPr>
              <w:pStyle w:val="Table-Text"/>
              <w:jc w:val="center"/>
              <w:rPr>
                <w:b/>
                <w:sz w:val="22"/>
                <w:szCs w:val="22"/>
              </w:rPr>
            </w:pPr>
            <w:r w:rsidRPr="007A201D">
              <w:rPr>
                <w:b/>
                <w:snapToGrid w:val="0"/>
                <w:sz w:val="22"/>
                <w:szCs w:val="22"/>
                <w:lang w:val="pt-BR"/>
              </w:rPr>
              <w:t>(n= 125)</w:t>
            </w:r>
          </w:p>
        </w:tc>
        <w:tc>
          <w:tcPr>
            <w:tcW w:w="2400" w:type="dxa"/>
            <w:gridSpan w:val="4"/>
            <w:shd w:val="clear" w:color="auto" w:fill="auto"/>
          </w:tcPr>
          <w:p w:rsidR="00180C79" w:rsidRPr="007A201D" w:rsidRDefault="00180C79" w:rsidP="007A201D">
            <w:pPr>
              <w:pStyle w:val="Table-Text"/>
              <w:jc w:val="center"/>
              <w:rPr>
                <w:b/>
                <w:sz w:val="22"/>
                <w:szCs w:val="22"/>
              </w:rPr>
            </w:pPr>
            <w:r w:rsidRPr="007A201D">
              <w:rPr>
                <w:b/>
                <w:sz w:val="22"/>
                <w:szCs w:val="22"/>
              </w:rPr>
              <w:t xml:space="preserve">VIREAD </w:t>
            </w:r>
          </w:p>
          <w:p w:rsidR="00180C79" w:rsidRPr="007A201D" w:rsidRDefault="00180C79" w:rsidP="007A201D">
            <w:pPr>
              <w:pStyle w:val="Table-Text"/>
              <w:jc w:val="center"/>
              <w:rPr>
                <w:b/>
                <w:snapToGrid w:val="0"/>
                <w:sz w:val="22"/>
                <w:szCs w:val="22"/>
                <w:lang w:val="pt-BR"/>
              </w:rPr>
            </w:pPr>
            <w:r w:rsidRPr="007A201D" w:rsidDel="00670445">
              <w:rPr>
                <w:b/>
                <w:sz w:val="22"/>
                <w:szCs w:val="22"/>
              </w:rPr>
              <w:t xml:space="preserve"> </w:t>
            </w:r>
            <w:r w:rsidRPr="007A201D">
              <w:rPr>
                <w:b/>
                <w:sz w:val="22"/>
                <w:szCs w:val="22"/>
                <w:lang w:val="en-GB"/>
              </w:rPr>
              <w:t>(n= 176)</w:t>
            </w:r>
          </w:p>
        </w:tc>
        <w:tc>
          <w:tcPr>
            <w:tcW w:w="2400" w:type="dxa"/>
            <w:gridSpan w:val="4"/>
            <w:shd w:val="clear" w:color="auto" w:fill="auto"/>
          </w:tcPr>
          <w:p w:rsidR="00180C79" w:rsidRPr="007A201D" w:rsidRDefault="00180C79" w:rsidP="007A201D">
            <w:pPr>
              <w:pStyle w:val="Table-Text"/>
              <w:jc w:val="center"/>
              <w:rPr>
                <w:b/>
                <w:snapToGrid w:val="0"/>
                <w:sz w:val="22"/>
                <w:szCs w:val="22"/>
                <w:lang w:val="pt-BR"/>
              </w:rPr>
            </w:pPr>
            <w:r w:rsidRPr="007A201D">
              <w:rPr>
                <w:b/>
                <w:snapToGrid w:val="0"/>
                <w:sz w:val="22"/>
                <w:szCs w:val="22"/>
                <w:lang w:val="pt-BR"/>
              </w:rPr>
              <w:t>HEPSERA Rollover to VIREAD</w:t>
            </w:r>
          </w:p>
          <w:p w:rsidR="00180C79" w:rsidRPr="007A201D" w:rsidRDefault="00180C79" w:rsidP="007A201D">
            <w:pPr>
              <w:pStyle w:val="Table-Text"/>
              <w:jc w:val="center"/>
              <w:rPr>
                <w:b/>
                <w:snapToGrid w:val="0"/>
                <w:sz w:val="22"/>
                <w:szCs w:val="22"/>
                <w:lang w:val="pt-BR"/>
              </w:rPr>
            </w:pPr>
            <w:r w:rsidRPr="007A201D">
              <w:rPr>
                <w:b/>
                <w:snapToGrid w:val="0"/>
                <w:sz w:val="22"/>
                <w:szCs w:val="22"/>
                <w:lang w:val="pt-BR"/>
              </w:rPr>
              <w:t>(n= 90)</w:t>
            </w:r>
          </w:p>
        </w:tc>
      </w:tr>
      <w:tr w:rsidR="00461A09" w:rsidRPr="007A201D" w:rsidTr="007A201D">
        <w:tc>
          <w:tcPr>
            <w:tcW w:w="1800" w:type="dxa"/>
            <w:shd w:val="clear" w:color="auto" w:fill="auto"/>
          </w:tcPr>
          <w:p w:rsidR="00E16AF4" w:rsidRPr="007A201D" w:rsidRDefault="005B2688" w:rsidP="007F5433">
            <w:pPr>
              <w:pStyle w:val="Table-Text"/>
              <w:rPr>
                <w:b/>
                <w:snapToGrid w:val="0"/>
                <w:sz w:val="22"/>
                <w:szCs w:val="22"/>
              </w:rPr>
            </w:pPr>
            <w:r w:rsidRPr="007A201D">
              <w:rPr>
                <w:b/>
                <w:snapToGrid w:val="0"/>
                <w:sz w:val="22"/>
                <w:szCs w:val="22"/>
              </w:rPr>
              <w:t>Week</w:t>
            </w:r>
          </w:p>
        </w:tc>
        <w:tc>
          <w:tcPr>
            <w:tcW w:w="72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96 </w:t>
            </w:r>
            <w:r w:rsidRPr="007A201D">
              <w:rPr>
                <w:rFonts w:ascii="Times New Roman Bold" w:hAnsi="Times New Roman Bold"/>
                <w:b/>
                <w:sz w:val="18"/>
                <w:szCs w:val="18"/>
                <w:vertAlign w:val="superscript"/>
              </w:rPr>
              <w:t>b</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144</w:t>
            </w:r>
            <w:r w:rsidRPr="007A201D">
              <w:rPr>
                <w:rFonts w:ascii="Times New Roman Bold" w:hAnsi="Times New Roman Bold"/>
                <w:b/>
                <w:sz w:val="18"/>
                <w:szCs w:val="18"/>
                <w:vertAlign w:val="superscript"/>
              </w:rPr>
              <w:t>e</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192 </w:t>
            </w:r>
            <w:r w:rsidR="00FB2CF9" w:rsidRPr="007A201D">
              <w:rPr>
                <w:rFonts w:ascii="Times New Roman Bold" w:hAnsi="Times New Roman Bold"/>
                <w:b/>
                <w:sz w:val="18"/>
                <w:szCs w:val="18"/>
                <w:vertAlign w:val="superscript"/>
              </w:rPr>
              <w:t>h</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240</w:t>
            </w:r>
            <w:r w:rsidR="00C44384" w:rsidRPr="007A201D">
              <w:rPr>
                <w:rFonts w:ascii="Times New Roman Bold" w:hAnsi="Times New Roman Bold"/>
                <w:b/>
                <w:sz w:val="18"/>
                <w:szCs w:val="18"/>
                <w:vertAlign w:val="superscript"/>
              </w:rPr>
              <w:t>j</w:t>
            </w:r>
          </w:p>
        </w:tc>
        <w:tc>
          <w:tcPr>
            <w:tcW w:w="600" w:type="dxa"/>
            <w:shd w:val="clear" w:color="auto" w:fill="auto"/>
          </w:tcPr>
          <w:p w:rsidR="00E16AF4" w:rsidRPr="007A201D" w:rsidRDefault="00E16AF4" w:rsidP="007A201D">
            <w:pPr>
              <w:pStyle w:val="Table-Text"/>
              <w:jc w:val="center"/>
              <w:rPr>
                <w:b/>
                <w:snapToGrid w:val="0"/>
                <w:sz w:val="18"/>
                <w:szCs w:val="18"/>
                <w:lang w:val="pt-BR"/>
              </w:rPr>
            </w:pPr>
            <w:r w:rsidRPr="007A201D">
              <w:rPr>
                <w:b/>
                <w:sz w:val="18"/>
                <w:szCs w:val="18"/>
              </w:rPr>
              <w:t xml:space="preserve">96 </w:t>
            </w:r>
            <w:r w:rsidRPr="007A201D">
              <w:rPr>
                <w:rFonts w:ascii="Times New Roman Bold" w:hAnsi="Times New Roman Bold"/>
                <w:b/>
                <w:sz w:val="18"/>
                <w:szCs w:val="18"/>
                <w:vertAlign w:val="superscript"/>
              </w:rPr>
              <w:t>c</w:t>
            </w:r>
          </w:p>
        </w:tc>
        <w:tc>
          <w:tcPr>
            <w:tcW w:w="600" w:type="dxa"/>
            <w:shd w:val="clear" w:color="auto" w:fill="auto"/>
          </w:tcPr>
          <w:p w:rsidR="00E16AF4" w:rsidRPr="007A201D" w:rsidRDefault="00E16AF4" w:rsidP="007A201D">
            <w:pPr>
              <w:pStyle w:val="Table-Text"/>
              <w:jc w:val="center"/>
              <w:rPr>
                <w:b/>
                <w:snapToGrid w:val="0"/>
                <w:sz w:val="18"/>
                <w:szCs w:val="18"/>
                <w:lang w:val="pt-BR"/>
              </w:rPr>
            </w:pPr>
            <w:r w:rsidRPr="007A201D">
              <w:rPr>
                <w:b/>
                <w:sz w:val="18"/>
                <w:szCs w:val="18"/>
              </w:rPr>
              <w:t xml:space="preserve">144 </w:t>
            </w:r>
            <w:r w:rsidR="003C5E03" w:rsidRPr="007A201D">
              <w:rPr>
                <w:rFonts w:ascii="Times New Roman Bold" w:hAnsi="Times New Roman Bold"/>
                <w:b/>
                <w:sz w:val="18"/>
                <w:szCs w:val="18"/>
                <w:vertAlign w:val="superscript"/>
              </w:rPr>
              <w:t>f</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192 </w:t>
            </w:r>
            <w:r w:rsidR="00FB2CF9" w:rsidRPr="007A201D">
              <w:rPr>
                <w:rFonts w:ascii="Times New Roman Bold" w:hAnsi="Times New Roman Bold"/>
                <w:b/>
                <w:sz w:val="18"/>
                <w:szCs w:val="18"/>
                <w:vertAlign w:val="superscript"/>
              </w:rPr>
              <w:t>i</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240</w:t>
            </w:r>
            <w:r w:rsidR="00C44384" w:rsidRPr="007A201D">
              <w:rPr>
                <w:rFonts w:ascii="Times New Roman Bold" w:hAnsi="Times New Roman Bold"/>
                <w:b/>
                <w:sz w:val="18"/>
                <w:szCs w:val="18"/>
                <w:vertAlign w:val="superscript"/>
              </w:rPr>
              <w:t>k</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96 </w:t>
            </w:r>
            <w:r w:rsidRPr="007A201D">
              <w:rPr>
                <w:rFonts w:ascii="Times New Roman Bold" w:hAnsi="Times New Roman Bold"/>
                <w:b/>
                <w:sz w:val="18"/>
                <w:szCs w:val="18"/>
                <w:vertAlign w:val="superscript"/>
              </w:rPr>
              <w:t>b</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144 </w:t>
            </w:r>
            <w:r w:rsidRPr="007A201D">
              <w:rPr>
                <w:rFonts w:ascii="Times New Roman Bold" w:hAnsi="Times New Roman Bold"/>
                <w:b/>
                <w:sz w:val="18"/>
                <w:szCs w:val="18"/>
                <w:vertAlign w:val="superscript"/>
              </w:rPr>
              <w:t>e</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192 </w:t>
            </w:r>
            <w:r w:rsidR="00FB2CF9" w:rsidRPr="007A201D">
              <w:rPr>
                <w:rFonts w:ascii="Times New Roman Bold" w:hAnsi="Times New Roman Bold"/>
                <w:b/>
                <w:sz w:val="18"/>
                <w:szCs w:val="18"/>
                <w:vertAlign w:val="superscript"/>
              </w:rPr>
              <w:t>h</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240</w:t>
            </w:r>
            <w:r w:rsidR="00C44384" w:rsidRPr="007A201D">
              <w:rPr>
                <w:rFonts w:ascii="Times New Roman Bold" w:hAnsi="Times New Roman Bold"/>
                <w:b/>
                <w:sz w:val="18"/>
                <w:szCs w:val="18"/>
                <w:vertAlign w:val="superscript"/>
              </w:rPr>
              <w:t xml:space="preserve"> j</w:t>
            </w:r>
          </w:p>
        </w:tc>
        <w:tc>
          <w:tcPr>
            <w:tcW w:w="600" w:type="dxa"/>
            <w:shd w:val="clear" w:color="auto" w:fill="auto"/>
          </w:tcPr>
          <w:p w:rsidR="00E16AF4" w:rsidRPr="007A201D" w:rsidRDefault="00E16AF4" w:rsidP="007A201D">
            <w:pPr>
              <w:pStyle w:val="Table-Text"/>
              <w:jc w:val="center"/>
              <w:rPr>
                <w:b/>
                <w:snapToGrid w:val="0"/>
                <w:sz w:val="18"/>
                <w:szCs w:val="18"/>
                <w:lang w:val="pt-BR"/>
              </w:rPr>
            </w:pPr>
            <w:r w:rsidRPr="007A201D">
              <w:rPr>
                <w:b/>
                <w:sz w:val="18"/>
                <w:szCs w:val="18"/>
              </w:rPr>
              <w:t xml:space="preserve">96 </w:t>
            </w:r>
            <w:r w:rsidRPr="007A201D">
              <w:rPr>
                <w:rFonts w:ascii="Times New Roman Bold" w:hAnsi="Times New Roman Bold"/>
                <w:b/>
                <w:sz w:val="18"/>
                <w:szCs w:val="18"/>
                <w:vertAlign w:val="superscript"/>
              </w:rPr>
              <w:t>c</w:t>
            </w:r>
          </w:p>
        </w:tc>
        <w:tc>
          <w:tcPr>
            <w:tcW w:w="600" w:type="dxa"/>
            <w:shd w:val="clear" w:color="auto" w:fill="auto"/>
          </w:tcPr>
          <w:p w:rsidR="00E16AF4" w:rsidRPr="007A201D" w:rsidRDefault="00E16AF4" w:rsidP="007A201D">
            <w:pPr>
              <w:pStyle w:val="Table-Text"/>
              <w:jc w:val="center"/>
              <w:rPr>
                <w:b/>
                <w:snapToGrid w:val="0"/>
                <w:sz w:val="18"/>
                <w:szCs w:val="18"/>
                <w:lang w:val="pt-BR"/>
              </w:rPr>
            </w:pPr>
            <w:r w:rsidRPr="007A201D">
              <w:rPr>
                <w:b/>
                <w:sz w:val="18"/>
                <w:szCs w:val="18"/>
              </w:rPr>
              <w:t xml:space="preserve">144 </w:t>
            </w:r>
            <w:r w:rsidRPr="007A201D">
              <w:rPr>
                <w:rFonts w:ascii="Times New Roman Bold" w:hAnsi="Times New Roman Bold"/>
                <w:b/>
                <w:sz w:val="18"/>
                <w:szCs w:val="18"/>
                <w:vertAlign w:val="superscript"/>
              </w:rPr>
              <w:t>f</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 xml:space="preserve">192 </w:t>
            </w:r>
            <w:r w:rsidR="00FB2CF9" w:rsidRPr="007A201D">
              <w:rPr>
                <w:rFonts w:ascii="Times New Roman Bold" w:hAnsi="Times New Roman Bold"/>
                <w:b/>
                <w:sz w:val="18"/>
                <w:szCs w:val="18"/>
                <w:vertAlign w:val="superscript"/>
              </w:rPr>
              <w:t>i</w:t>
            </w:r>
          </w:p>
        </w:tc>
        <w:tc>
          <w:tcPr>
            <w:tcW w:w="600" w:type="dxa"/>
            <w:shd w:val="clear" w:color="auto" w:fill="auto"/>
          </w:tcPr>
          <w:p w:rsidR="00E16AF4" w:rsidRPr="007A201D" w:rsidRDefault="00E16AF4" w:rsidP="007A201D">
            <w:pPr>
              <w:pStyle w:val="Table-Text"/>
              <w:jc w:val="center"/>
              <w:rPr>
                <w:b/>
                <w:sz w:val="18"/>
                <w:szCs w:val="18"/>
              </w:rPr>
            </w:pPr>
            <w:r w:rsidRPr="007A201D">
              <w:rPr>
                <w:b/>
                <w:sz w:val="18"/>
                <w:szCs w:val="18"/>
              </w:rPr>
              <w:t>240</w:t>
            </w:r>
            <w:r w:rsidR="00C44384" w:rsidRPr="007A201D">
              <w:rPr>
                <w:rFonts w:ascii="Times New Roman Bold" w:hAnsi="Times New Roman Bold"/>
                <w:b/>
                <w:sz w:val="18"/>
                <w:szCs w:val="18"/>
                <w:vertAlign w:val="superscript"/>
              </w:rPr>
              <w:t xml:space="preserve"> k</w:t>
            </w:r>
          </w:p>
        </w:tc>
      </w:tr>
      <w:tr w:rsidR="00461A09" w:rsidRPr="007A201D" w:rsidTr="007A201D">
        <w:tc>
          <w:tcPr>
            <w:tcW w:w="1800" w:type="dxa"/>
            <w:shd w:val="clear" w:color="auto" w:fill="auto"/>
          </w:tcPr>
          <w:p w:rsidR="00E16AF4" w:rsidRPr="007A201D" w:rsidRDefault="00E16AF4" w:rsidP="007F5433">
            <w:pPr>
              <w:pStyle w:val="Table-Text"/>
              <w:rPr>
                <w:snapToGrid w:val="0"/>
                <w:sz w:val="20"/>
              </w:rPr>
            </w:pPr>
            <w:r w:rsidRPr="007A201D">
              <w:rPr>
                <w:b/>
                <w:snapToGrid w:val="0"/>
                <w:sz w:val="20"/>
              </w:rPr>
              <w:t xml:space="preserve">HBV DNA </w:t>
            </w:r>
            <w:r w:rsidRPr="007A201D">
              <w:rPr>
                <w:snapToGrid w:val="0"/>
                <w:sz w:val="20"/>
              </w:rPr>
              <w:t xml:space="preserve">(%) </w:t>
            </w:r>
          </w:p>
          <w:p w:rsidR="00E16AF4" w:rsidRPr="007A201D" w:rsidRDefault="00E16AF4" w:rsidP="007F5433">
            <w:pPr>
              <w:pStyle w:val="Table-Text"/>
              <w:rPr>
                <w:snapToGrid w:val="0"/>
                <w:sz w:val="20"/>
              </w:rPr>
            </w:pPr>
            <w:r w:rsidRPr="007A201D">
              <w:rPr>
                <w:snapToGrid w:val="0"/>
                <w:sz w:val="20"/>
              </w:rPr>
              <w:t>&lt; 400 copies/mL (&lt;69 IU/mL)</w:t>
            </w:r>
          </w:p>
        </w:tc>
        <w:tc>
          <w:tcPr>
            <w:tcW w:w="72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90</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87</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84</w:t>
            </w:r>
          </w:p>
        </w:tc>
        <w:tc>
          <w:tcPr>
            <w:tcW w:w="600" w:type="dxa"/>
            <w:shd w:val="clear" w:color="auto" w:fill="auto"/>
            <w:vAlign w:val="center"/>
          </w:tcPr>
          <w:p w:rsidR="00E16AF4" w:rsidRPr="007A201D" w:rsidRDefault="00E236A7" w:rsidP="007A201D">
            <w:pPr>
              <w:pStyle w:val="Text1"/>
              <w:spacing w:after="0"/>
              <w:jc w:val="center"/>
              <w:rPr>
                <w:sz w:val="22"/>
                <w:szCs w:val="22"/>
              </w:rPr>
            </w:pPr>
            <w:r w:rsidRPr="007A201D">
              <w:rPr>
                <w:sz w:val="22"/>
                <w:szCs w:val="22"/>
              </w:rPr>
              <w:t>83</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89</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88</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87</w:t>
            </w:r>
          </w:p>
        </w:tc>
        <w:tc>
          <w:tcPr>
            <w:tcW w:w="600" w:type="dxa"/>
            <w:shd w:val="clear" w:color="auto" w:fill="auto"/>
            <w:vAlign w:val="center"/>
          </w:tcPr>
          <w:p w:rsidR="00E16AF4" w:rsidRPr="007A201D" w:rsidRDefault="00A1227E" w:rsidP="007A201D">
            <w:pPr>
              <w:pStyle w:val="Text1"/>
              <w:spacing w:after="0"/>
              <w:jc w:val="center"/>
              <w:rPr>
                <w:sz w:val="22"/>
                <w:szCs w:val="22"/>
              </w:rPr>
            </w:pPr>
            <w:r w:rsidRPr="007A201D">
              <w:rPr>
                <w:sz w:val="22"/>
                <w:szCs w:val="22"/>
              </w:rPr>
              <w:t>84</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76</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72</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68</w:t>
            </w:r>
          </w:p>
        </w:tc>
        <w:tc>
          <w:tcPr>
            <w:tcW w:w="600" w:type="dxa"/>
            <w:shd w:val="clear" w:color="auto" w:fill="auto"/>
            <w:vAlign w:val="center"/>
          </w:tcPr>
          <w:p w:rsidR="00E16AF4" w:rsidRPr="007A201D" w:rsidRDefault="00170A2A" w:rsidP="007A201D">
            <w:pPr>
              <w:pStyle w:val="Text1"/>
              <w:spacing w:after="0"/>
              <w:jc w:val="center"/>
              <w:rPr>
                <w:sz w:val="22"/>
                <w:szCs w:val="22"/>
              </w:rPr>
            </w:pPr>
            <w:r w:rsidRPr="007A201D">
              <w:rPr>
                <w:sz w:val="22"/>
                <w:szCs w:val="22"/>
              </w:rPr>
              <w:t>64</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74</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71</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72</w:t>
            </w:r>
          </w:p>
        </w:tc>
        <w:tc>
          <w:tcPr>
            <w:tcW w:w="600" w:type="dxa"/>
            <w:shd w:val="clear" w:color="auto" w:fill="auto"/>
            <w:vAlign w:val="center"/>
          </w:tcPr>
          <w:p w:rsidR="00E16AF4" w:rsidRPr="007A201D" w:rsidRDefault="00E12294" w:rsidP="007A201D">
            <w:pPr>
              <w:pStyle w:val="Text1"/>
              <w:spacing w:after="0"/>
              <w:jc w:val="center"/>
              <w:rPr>
                <w:sz w:val="22"/>
                <w:szCs w:val="22"/>
              </w:rPr>
            </w:pPr>
            <w:r w:rsidRPr="007A201D">
              <w:rPr>
                <w:sz w:val="22"/>
                <w:szCs w:val="22"/>
              </w:rPr>
              <w:t>66</w:t>
            </w:r>
          </w:p>
        </w:tc>
      </w:tr>
      <w:tr w:rsidR="00461A09" w:rsidRPr="007A201D" w:rsidTr="007A201D">
        <w:tc>
          <w:tcPr>
            <w:tcW w:w="1800" w:type="dxa"/>
            <w:shd w:val="clear" w:color="auto" w:fill="auto"/>
          </w:tcPr>
          <w:p w:rsidR="00E16AF4" w:rsidRPr="007A201D" w:rsidRDefault="00E16AF4" w:rsidP="007F5433">
            <w:pPr>
              <w:pStyle w:val="Table-Text"/>
              <w:rPr>
                <w:b/>
                <w:snapToGrid w:val="0"/>
                <w:sz w:val="20"/>
              </w:rPr>
            </w:pPr>
            <w:r w:rsidRPr="007A201D">
              <w:rPr>
                <w:b/>
                <w:snapToGrid w:val="0"/>
                <w:sz w:val="20"/>
              </w:rPr>
              <w:t xml:space="preserve">HBV DNA </w:t>
            </w:r>
            <w:r w:rsidRPr="007A201D">
              <w:rPr>
                <w:snapToGrid w:val="0"/>
                <w:sz w:val="20"/>
              </w:rPr>
              <w:t>(%)</w:t>
            </w:r>
          </w:p>
          <w:p w:rsidR="00E16AF4" w:rsidRPr="007A201D" w:rsidRDefault="00E16AF4" w:rsidP="007F5433">
            <w:pPr>
              <w:pStyle w:val="Table-Text"/>
              <w:rPr>
                <w:snapToGrid w:val="0"/>
                <w:sz w:val="20"/>
              </w:rPr>
            </w:pPr>
            <w:r w:rsidRPr="007A201D">
              <w:rPr>
                <w:snapToGrid w:val="0"/>
                <w:sz w:val="20"/>
              </w:rPr>
              <w:t>&lt; 169 copies/ml (&lt;29 IU/mL)</w:t>
            </w:r>
          </w:p>
        </w:tc>
        <w:tc>
          <w:tcPr>
            <w:tcW w:w="720" w:type="dxa"/>
            <w:shd w:val="clear" w:color="auto" w:fill="auto"/>
            <w:vAlign w:val="center"/>
          </w:tcPr>
          <w:p w:rsidR="00E16AF4" w:rsidRPr="007A201D" w:rsidRDefault="00E16AF4" w:rsidP="007A201D">
            <w:pPr>
              <w:pStyle w:val="Text1"/>
              <w:jc w:val="center"/>
              <w:rPr>
                <w:sz w:val="22"/>
                <w:szCs w:val="22"/>
              </w:rPr>
            </w:pPr>
            <w:r w:rsidRPr="007A201D">
              <w:rPr>
                <w:sz w:val="22"/>
                <w:szCs w:val="22"/>
              </w:rPr>
              <w:t>89</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86</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83</w:t>
            </w:r>
          </w:p>
        </w:tc>
        <w:tc>
          <w:tcPr>
            <w:tcW w:w="600" w:type="dxa"/>
            <w:shd w:val="clear" w:color="auto" w:fill="auto"/>
            <w:vAlign w:val="center"/>
          </w:tcPr>
          <w:p w:rsidR="00E16AF4" w:rsidRPr="007A201D" w:rsidRDefault="00E236A7" w:rsidP="007A201D">
            <w:pPr>
              <w:pStyle w:val="Text1"/>
              <w:jc w:val="center"/>
              <w:rPr>
                <w:sz w:val="22"/>
                <w:szCs w:val="22"/>
              </w:rPr>
            </w:pPr>
            <w:r w:rsidRPr="007A201D">
              <w:rPr>
                <w:sz w:val="22"/>
                <w:szCs w:val="22"/>
              </w:rPr>
              <w:t>82</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89</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88</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87</w:t>
            </w:r>
          </w:p>
        </w:tc>
        <w:tc>
          <w:tcPr>
            <w:tcW w:w="600" w:type="dxa"/>
            <w:shd w:val="clear" w:color="auto" w:fill="auto"/>
            <w:vAlign w:val="center"/>
          </w:tcPr>
          <w:p w:rsidR="00E16AF4" w:rsidRPr="007A201D" w:rsidRDefault="00A1227E" w:rsidP="007A201D">
            <w:pPr>
              <w:pStyle w:val="Text1"/>
              <w:jc w:val="center"/>
              <w:rPr>
                <w:sz w:val="22"/>
                <w:szCs w:val="22"/>
              </w:rPr>
            </w:pPr>
            <w:r w:rsidRPr="007A201D">
              <w:rPr>
                <w:sz w:val="22"/>
                <w:szCs w:val="22"/>
              </w:rPr>
              <w:t>84</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73</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70</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68</w:t>
            </w:r>
          </w:p>
        </w:tc>
        <w:tc>
          <w:tcPr>
            <w:tcW w:w="600" w:type="dxa"/>
            <w:shd w:val="clear" w:color="auto" w:fill="auto"/>
            <w:vAlign w:val="center"/>
          </w:tcPr>
          <w:p w:rsidR="00E16AF4" w:rsidRPr="007A201D" w:rsidRDefault="00170A2A" w:rsidP="007A201D">
            <w:pPr>
              <w:pStyle w:val="Text1"/>
              <w:jc w:val="center"/>
              <w:rPr>
                <w:sz w:val="22"/>
                <w:szCs w:val="22"/>
              </w:rPr>
            </w:pPr>
            <w:r w:rsidRPr="007A201D">
              <w:rPr>
                <w:sz w:val="22"/>
                <w:szCs w:val="22"/>
              </w:rPr>
              <w:t>63</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74</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70</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70</w:t>
            </w:r>
          </w:p>
        </w:tc>
        <w:tc>
          <w:tcPr>
            <w:tcW w:w="600" w:type="dxa"/>
            <w:shd w:val="clear" w:color="auto" w:fill="auto"/>
            <w:vAlign w:val="center"/>
          </w:tcPr>
          <w:p w:rsidR="00E16AF4" w:rsidRPr="007A201D" w:rsidRDefault="00E12294" w:rsidP="007A201D">
            <w:pPr>
              <w:pStyle w:val="Text1"/>
              <w:jc w:val="center"/>
              <w:rPr>
                <w:sz w:val="22"/>
                <w:szCs w:val="22"/>
              </w:rPr>
            </w:pPr>
            <w:r w:rsidRPr="007A201D">
              <w:rPr>
                <w:sz w:val="22"/>
                <w:szCs w:val="22"/>
              </w:rPr>
              <w:t>66</w:t>
            </w:r>
          </w:p>
        </w:tc>
      </w:tr>
      <w:tr w:rsidR="00461A09" w:rsidRPr="007A201D" w:rsidTr="007A201D">
        <w:tc>
          <w:tcPr>
            <w:tcW w:w="1800" w:type="dxa"/>
            <w:shd w:val="clear" w:color="auto" w:fill="auto"/>
          </w:tcPr>
          <w:p w:rsidR="00E16AF4" w:rsidRPr="007A201D" w:rsidRDefault="00E16AF4" w:rsidP="007F5433">
            <w:pPr>
              <w:pStyle w:val="Table-Text"/>
              <w:rPr>
                <w:sz w:val="20"/>
              </w:rPr>
            </w:pPr>
            <w:r w:rsidRPr="007A201D">
              <w:rPr>
                <w:b/>
                <w:sz w:val="20"/>
              </w:rPr>
              <w:t xml:space="preserve">ALT </w:t>
            </w:r>
            <w:r w:rsidRPr="007A201D">
              <w:rPr>
                <w:sz w:val="20"/>
              </w:rPr>
              <w:t>(%)</w:t>
            </w:r>
          </w:p>
          <w:p w:rsidR="00E16AF4" w:rsidRPr="007A201D" w:rsidRDefault="00E16AF4" w:rsidP="007F5433">
            <w:pPr>
              <w:pStyle w:val="Table-Text"/>
              <w:rPr>
                <w:sz w:val="20"/>
                <w:vertAlign w:val="superscript"/>
              </w:rPr>
            </w:pPr>
            <w:r w:rsidRPr="007A201D">
              <w:rPr>
                <w:sz w:val="20"/>
              </w:rPr>
              <w:t xml:space="preserve">Normalised ALT </w:t>
            </w:r>
            <w:r w:rsidRPr="007A201D">
              <w:rPr>
                <w:sz w:val="20"/>
                <w:vertAlign w:val="superscript"/>
              </w:rPr>
              <w:t>d</w:t>
            </w:r>
          </w:p>
        </w:tc>
        <w:tc>
          <w:tcPr>
            <w:tcW w:w="720" w:type="dxa"/>
            <w:shd w:val="clear" w:color="auto" w:fill="auto"/>
            <w:vAlign w:val="center"/>
          </w:tcPr>
          <w:p w:rsidR="00E16AF4" w:rsidRPr="007A201D" w:rsidRDefault="00E16AF4" w:rsidP="007A201D">
            <w:pPr>
              <w:pStyle w:val="Text1"/>
              <w:jc w:val="center"/>
              <w:rPr>
                <w:sz w:val="22"/>
                <w:szCs w:val="22"/>
              </w:rPr>
            </w:pPr>
            <w:r w:rsidRPr="007A201D">
              <w:rPr>
                <w:sz w:val="22"/>
                <w:szCs w:val="22"/>
              </w:rPr>
              <w:t>72</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73</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67</w:t>
            </w:r>
          </w:p>
        </w:tc>
        <w:tc>
          <w:tcPr>
            <w:tcW w:w="600" w:type="dxa"/>
            <w:shd w:val="clear" w:color="auto" w:fill="auto"/>
            <w:vAlign w:val="center"/>
          </w:tcPr>
          <w:p w:rsidR="00E16AF4" w:rsidRPr="007A201D" w:rsidRDefault="00E236A7" w:rsidP="007A201D">
            <w:pPr>
              <w:pStyle w:val="Text1"/>
              <w:jc w:val="center"/>
              <w:rPr>
                <w:sz w:val="22"/>
                <w:szCs w:val="22"/>
              </w:rPr>
            </w:pPr>
            <w:r w:rsidRPr="007A201D">
              <w:rPr>
                <w:sz w:val="22"/>
                <w:szCs w:val="22"/>
              </w:rPr>
              <w:t>70</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68</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70</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77</w:t>
            </w:r>
          </w:p>
        </w:tc>
        <w:tc>
          <w:tcPr>
            <w:tcW w:w="600" w:type="dxa"/>
            <w:shd w:val="clear" w:color="auto" w:fill="auto"/>
            <w:vAlign w:val="center"/>
          </w:tcPr>
          <w:p w:rsidR="00E16AF4" w:rsidRPr="007A201D" w:rsidRDefault="00A1227E" w:rsidP="007A201D">
            <w:pPr>
              <w:pStyle w:val="Text1"/>
              <w:jc w:val="center"/>
              <w:rPr>
                <w:sz w:val="22"/>
                <w:szCs w:val="22"/>
              </w:rPr>
            </w:pPr>
            <w:r w:rsidRPr="007A201D">
              <w:rPr>
                <w:sz w:val="22"/>
                <w:szCs w:val="22"/>
              </w:rPr>
              <w:t>76</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60</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55</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56</w:t>
            </w:r>
          </w:p>
        </w:tc>
        <w:tc>
          <w:tcPr>
            <w:tcW w:w="600" w:type="dxa"/>
            <w:shd w:val="clear" w:color="auto" w:fill="auto"/>
            <w:vAlign w:val="center"/>
          </w:tcPr>
          <w:p w:rsidR="00E16AF4" w:rsidRPr="007A201D" w:rsidRDefault="00170A2A" w:rsidP="007A201D">
            <w:pPr>
              <w:pStyle w:val="Text1"/>
              <w:jc w:val="center"/>
              <w:rPr>
                <w:sz w:val="22"/>
                <w:szCs w:val="22"/>
              </w:rPr>
            </w:pPr>
            <w:r w:rsidRPr="007A201D">
              <w:rPr>
                <w:sz w:val="22"/>
                <w:szCs w:val="22"/>
              </w:rPr>
              <w:t>4</w:t>
            </w:r>
            <w:r w:rsidR="00061239" w:rsidRPr="007A201D">
              <w:rPr>
                <w:sz w:val="22"/>
                <w:szCs w:val="22"/>
              </w:rPr>
              <w:t>6</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65</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61</w:t>
            </w:r>
          </w:p>
        </w:tc>
        <w:tc>
          <w:tcPr>
            <w:tcW w:w="600" w:type="dxa"/>
            <w:shd w:val="clear" w:color="auto" w:fill="auto"/>
            <w:vAlign w:val="center"/>
          </w:tcPr>
          <w:p w:rsidR="00E16AF4" w:rsidRPr="007A201D" w:rsidRDefault="00E16AF4" w:rsidP="007A201D">
            <w:pPr>
              <w:pStyle w:val="Text1"/>
              <w:jc w:val="center"/>
              <w:rPr>
                <w:sz w:val="22"/>
                <w:szCs w:val="22"/>
              </w:rPr>
            </w:pPr>
            <w:r w:rsidRPr="007A201D">
              <w:rPr>
                <w:sz w:val="22"/>
                <w:szCs w:val="22"/>
              </w:rPr>
              <w:t>59</w:t>
            </w:r>
          </w:p>
        </w:tc>
        <w:tc>
          <w:tcPr>
            <w:tcW w:w="600" w:type="dxa"/>
            <w:shd w:val="clear" w:color="auto" w:fill="auto"/>
            <w:vAlign w:val="center"/>
          </w:tcPr>
          <w:p w:rsidR="00E16AF4" w:rsidRPr="007A201D" w:rsidRDefault="00E12294" w:rsidP="007A201D">
            <w:pPr>
              <w:pStyle w:val="Text1"/>
              <w:jc w:val="center"/>
              <w:rPr>
                <w:sz w:val="22"/>
                <w:szCs w:val="22"/>
              </w:rPr>
            </w:pPr>
            <w:r w:rsidRPr="007A201D">
              <w:rPr>
                <w:sz w:val="22"/>
                <w:szCs w:val="22"/>
              </w:rPr>
              <w:t>56</w:t>
            </w:r>
          </w:p>
        </w:tc>
      </w:tr>
      <w:tr w:rsidR="00461A09" w:rsidRPr="007A201D" w:rsidTr="007A201D">
        <w:tc>
          <w:tcPr>
            <w:tcW w:w="1800" w:type="dxa"/>
            <w:shd w:val="clear" w:color="auto" w:fill="auto"/>
          </w:tcPr>
          <w:p w:rsidR="00E16AF4" w:rsidRPr="007A201D" w:rsidRDefault="00E16AF4" w:rsidP="007F5433">
            <w:pPr>
              <w:pStyle w:val="Table-Text"/>
              <w:rPr>
                <w:b/>
                <w:sz w:val="20"/>
              </w:rPr>
            </w:pPr>
            <w:r w:rsidRPr="007A201D">
              <w:rPr>
                <w:b/>
                <w:sz w:val="20"/>
              </w:rPr>
              <w:t xml:space="preserve">Serology </w:t>
            </w:r>
            <w:r w:rsidRPr="007A201D">
              <w:rPr>
                <w:sz w:val="20"/>
              </w:rPr>
              <w:t>(%)</w:t>
            </w:r>
          </w:p>
          <w:p w:rsidR="00E16AF4" w:rsidRPr="007A201D" w:rsidRDefault="00E16AF4" w:rsidP="007F5433">
            <w:pPr>
              <w:pStyle w:val="Table-Text"/>
              <w:rPr>
                <w:sz w:val="20"/>
              </w:rPr>
            </w:pPr>
            <w:r w:rsidRPr="007A201D">
              <w:rPr>
                <w:sz w:val="20"/>
              </w:rPr>
              <w:t>HBeAg Loss/ Seroconversion</w:t>
            </w:r>
          </w:p>
        </w:tc>
        <w:tc>
          <w:tcPr>
            <w:tcW w:w="720" w:type="dxa"/>
            <w:shd w:val="clear" w:color="auto" w:fill="auto"/>
          </w:tcPr>
          <w:p w:rsidR="00E16AF4" w:rsidRPr="007A201D" w:rsidRDefault="00DA4776" w:rsidP="007A201D">
            <w:pPr>
              <w:pStyle w:val="Text1"/>
              <w:spacing w:after="0"/>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spacing w:after="0"/>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spacing w:after="0"/>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spacing w:after="0"/>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spacing w:after="0"/>
              <w:jc w:val="center"/>
              <w:rPr>
                <w:sz w:val="22"/>
                <w:szCs w:val="22"/>
              </w:rPr>
            </w:pPr>
            <w:r w:rsidRPr="007A201D">
              <w:rPr>
                <w:sz w:val="22"/>
                <w:szCs w:val="22"/>
              </w:rPr>
              <w:t>n/a</w:t>
            </w:r>
          </w:p>
        </w:tc>
        <w:tc>
          <w:tcPr>
            <w:tcW w:w="600" w:type="dxa"/>
            <w:shd w:val="clear" w:color="auto" w:fill="auto"/>
          </w:tcPr>
          <w:p w:rsidR="00E16AF4" w:rsidRPr="007A201D" w:rsidRDefault="00DA4776" w:rsidP="007A201D">
            <w:pPr>
              <w:pStyle w:val="Text1"/>
              <w:spacing w:after="0"/>
              <w:jc w:val="center"/>
              <w:rPr>
                <w:sz w:val="22"/>
                <w:szCs w:val="22"/>
              </w:rPr>
            </w:pPr>
            <w:r w:rsidRPr="007A201D">
              <w:rPr>
                <w:sz w:val="22"/>
                <w:szCs w:val="22"/>
              </w:rPr>
              <w:t>n/a</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26/23</w:t>
            </w:r>
          </w:p>
        </w:tc>
        <w:tc>
          <w:tcPr>
            <w:tcW w:w="600" w:type="dxa"/>
            <w:shd w:val="clear" w:color="auto" w:fill="auto"/>
          </w:tcPr>
          <w:p w:rsidR="00E16AF4" w:rsidRPr="007A201D" w:rsidRDefault="00E16AF4" w:rsidP="007A201D">
            <w:pPr>
              <w:pStyle w:val="Text1"/>
              <w:jc w:val="center"/>
              <w:rPr>
                <w:sz w:val="22"/>
                <w:szCs w:val="22"/>
              </w:rPr>
            </w:pPr>
            <w:r w:rsidRPr="007A201D">
              <w:rPr>
                <w:sz w:val="22"/>
                <w:szCs w:val="22"/>
              </w:rPr>
              <w:t>29/23</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34/25</w:t>
            </w:r>
          </w:p>
        </w:tc>
        <w:tc>
          <w:tcPr>
            <w:tcW w:w="600" w:type="dxa"/>
            <w:shd w:val="clear" w:color="auto" w:fill="auto"/>
          </w:tcPr>
          <w:p w:rsidR="00E16AF4" w:rsidRPr="007A201D" w:rsidRDefault="00865816" w:rsidP="007A201D">
            <w:pPr>
              <w:pStyle w:val="Text1"/>
              <w:spacing w:after="0"/>
              <w:jc w:val="center"/>
              <w:rPr>
                <w:sz w:val="22"/>
                <w:szCs w:val="22"/>
              </w:rPr>
            </w:pPr>
            <w:r w:rsidRPr="007A201D">
              <w:rPr>
                <w:sz w:val="22"/>
                <w:szCs w:val="22"/>
              </w:rPr>
              <w:t>38/30</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24/20</w:t>
            </w:r>
          </w:p>
        </w:tc>
        <w:tc>
          <w:tcPr>
            <w:tcW w:w="600" w:type="dxa"/>
            <w:shd w:val="clear" w:color="auto" w:fill="auto"/>
          </w:tcPr>
          <w:p w:rsidR="00E16AF4" w:rsidRPr="007A201D" w:rsidRDefault="00E16AF4" w:rsidP="007A201D">
            <w:pPr>
              <w:pStyle w:val="Text1"/>
              <w:jc w:val="center"/>
              <w:rPr>
                <w:sz w:val="22"/>
                <w:szCs w:val="22"/>
              </w:rPr>
            </w:pPr>
            <w:r w:rsidRPr="007A201D">
              <w:rPr>
                <w:sz w:val="22"/>
                <w:szCs w:val="22"/>
              </w:rPr>
              <w:t>33/26</w:t>
            </w:r>
          </w:p>
        </w:tc>
        <w:tc>
          <w:tcPr>
            <w:tcW w:w="600" w:type="dxa"/>
            <w:shd w:val="clear" w:color="auto" w:fill="auto"/>
          </w:tcPr>
          <w:p w:rsidR="00E16AF4" w:rsidRPr="007A201D" w:rsidRDefault="00E16AF4" w:rsidP="007A201D">
            <w:pPr>
              <w:pStyle w:val="Text1"/>
              <w:jc w:val="center"/>
              <w:rPr>
                <w:sz w:val="22"/>
                <w:szCs w:val="22"/>
              </w:rPr>
            </w:pPr>
            <w:r w:rsidRPr="007A201D">
              <w:rPr>
                <w:sz w:val="22"/>
                <w:szCs w:val="22"/>
              </w:rPr>
              <w:t>36/30</w:t>
            </w:r>
          </w:p>
        </w:tc>
        <w:tc>
          <w:tcPr>
            <w:tcW w:w="600" w:type="dxa"/>
            <w:shd w:val="clear" w:color="auto" w:fill="auto"/>
          </w:tcPr>
          <w:p w:rsidR="00E16AF4" w:rsidRPr="007A201D" w:rsidRDefault="00DF6750" w:rsidP="007A201D">
            <w:pPr>
              <w:pStyle w:val="Text1"/>
              <w:jc w:val="center"/>
              <w:rPr>
                <w:sz w:val="22"/>
                <w:szCs w:val="22"/>
              </w:rPr>
            </w:pPr>
            <w:r w:rsidRPr="007A201D">
              <w:rPr>
                <w:sz w:val="22"/>
                <w:szCs w:val="22"/>
              </w:rPr>
              <w:t>38/31</w:t>
            </w:r>
          </w:p>
        </w:tc>
      </w:tr>
      <w:tr w:rsidR="00461A09" w:rsidRPr="007A201D" w:rsidTr="007A201D">
        <w:tc>
          <w:tcPr>
            <w:tcW w:w="1800" w:type="dxa"/>
            <w:shd w:val="clear" w:color="auto" w:fill="auto"/>
          </w:tcPr>
          <w:p w:rsidR="00E16AF4" w:rsidRPr="007A201D" w:rsidRDefault="00E16AF4" w:rsidP="007A201D">
            <w:pPr>
              <w:pStyle w:val="Text1"/>
              <w:spacing w:after="0"/>
              <w:rPr>
                <w:sz w:val="20"/>
              </w:rPr>
            </w:pPr>
            <w:r w:rsidRPr="007A201D">
              <w:rPr>
                <w:sz w:val="20"/>
              </w:rPr>
              <w:t>HBsAg Loss/ Seroconversion</w:t>
            </w:r>
          </w:p>
        </w:tc>
        <w:tc>
          <w:tcPr>
            <w:tcW w:w="72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E236A7"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E16AF4" w:rsidP="007A201D">
            <w:pPr>
              <w:pStyle w:val="Text1"/>
              <w:spacing w:after="0"/>
              <w:jc w:val="center"/>
              <w:rPr>
                <w:sz w:val="22"/>
                <w:szCs w:val="22"/>
              </w:rPr>
            </w:pPr>
            <w:r w:rsidRPr="007A201D">
              <w:rPr>
                <w:sz w:val="22"/>
                <w:szCs w:val="22"/>
              </w:rPr>
              <w:t>0/0</w:t>
            </w:r>
          </w:p>
        </w:tc>
        <w:tc>
          <w:tcPr>
            <w:tcW w:w="600" w:type="dxa"/>
            <w:shd w:val="clear" w:color="auto" w:fill="auto"/>
            <w:vAlign w:val="center"/>
          </w:tcPr>
          <w:p w:rsidR="00E16AF4" w:rsidRPr="007A201D" w:rsidRDefault="00A37E56" w:rsidP="007A201D">
            <w:pPr>
              <w:pStyle w:val="Text1"/>
              <w:spacing w:after="0"/>
              <w:jc w:val="center"/>
              <w:rPr>
                <w:sz w:val="22"/>
                <w:szCs w:val="22"/>
              </w:rPr>
            </w:pPr>
            <w:r w:rsidRPr="007A201D">
              <w:rPr>
                <w:sz w:val="22"/>
                <w:szCs w:val="22"/>
              </w:rPr>
              <w:t>0/0</w:t>
            </w:r>
            <w:r w:rsidR="00FB2CF9" w:rsidRPr="007A201D">
              <w:rPr>
                <w:sz w:val="22"/>
                <w:szCs w:val="22"/>
                <w:vertAlign w:val="superscript"/>
              </w:rPr>
              <w:t>l</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5/4</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8/6</w:t>
            </w:r>
            <w:r w:rsidRPr="007A201D">
              <w:rPr>
                <w:sz w:val="22"/>
                <w:szCs w:val="22"/>
                <w:vertAlign w:val="superscript"/>
              </w:rPr>
              <w:t>g</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11/8</w:t>
            </w:r>
            <w:r w:rsidRPr="007A201D">
              <w:rPr>
                <w:sz w:val="22"/>
                <w:szCs w:val="22"/>
                <w:vertAlign w:val="superscript"/>
              </w:rPr>
              <w:t>g</w:t>
            </w:r>
          </w:p>
        </w:tc>
        <w:tc>
          <w:tcPr>
            <w:tcW w:w="600" w:type="dxa"/>
            <w:shd w:val="clear" w:color="auto" w:fill="auto"/>
          </w:tcPr>
          <w:p w:rsidR="00E16AF4" w:rsidRPr="007A201D" w:rsidRDefault="00E7213A" w:rsidP="007A201D">
            <w:pPr>
              <w:pStyle w:val="Text1"/>
              <w:spacing w:after="0"/>
              <w:jc w:val="center"/>
              <w:rPr>
                <w:sz w:val="22"/>
                <w:szCs w:val="22"/>
              </w:rPr>
            </w:pPr>
            <w:r w:rsidRPr="007A201D">
              <w:rPr>
                <w:sz w:val="22"/>
                <w:szCs w:val="22"/>
              </w:rPr>
              <w:t>11/8</w:t>
            </w:r>
            <w:r w:rsidR="002D2514" w:rsidRPr="007A201D">
              <w:rPr>
                <w:sz w:val="22"/>
                <w:szCs w:val="22"/>
                <w:vertAlign w:val="superscript"/>
              </w:rPr>
              <w:t>m</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6/5</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8/7</w:t>
            </w:r>
            <w:r w:rsidRPr="007A201D">
              <w:rPr>
                <w:sz w:val="22"/>
                <w:szCs w:val="22"/>
                <w:vertAlign w:val="superscript"/>
              </w:rPr>
              <w:t>g</w:t>
            </w:r>
          </w:p>
        </w:tc>
        <w:tc>
          <w:tcPr>
            <w:tcW w:w="600" w:type="dxa"/>
            <w:shd w:val="clear" w:color="auto" w:fill="auto"/>
          </w:tcPr>
          <w:p w:rsidR="00E16AF4" w:rsidRPr="007A201D" w:rsidRDefault="00E16AF4" w:rsidP="007A201D">
            <w:pPr>
              <w:pStyle w:val="Text1"/>
              <w:spacing w:after="0"/>
              <w:jc w:val="center"/>
              <w:rPr>
                <w:sz w:val="22"/>
                <w:szCs w:val="22"/>
              </w:rPr>
            </w:pPr>
            <w:r w:rsidRPr="007A201D">
              <w:rPr>
                <w:sz w:val="22"/>
                <w:szCs w:val="22"/>
              </w:rPr>
              <w:t>8/7</w:t>
            </w:r>
            <w:r w:rsidRPr="007A201D">
              <w:rPr>
                <w:sz w:val="22"/>
                <w:szCs w:val="22"/>
                <w:vertAlign w:val="superscript"/>
              </w:rPr>
              <w:t>g</w:t>
            </w:r>
          </w:p>
        </w:tc>
        <w:tc>
          <w:tcPr>
            <w:tcW w:w="600" w:type="dxa"/>
            <w:shd w:val="clear" w:color="auto" w:fill="auto"/>
          </w:tcPr>
          <w:p w:rsidR="00E16AF4" w:rsidRPr="007A201D" w:rsidRDefault="00DF6750" w:rsidP="007A201D">
            <w:pPr>
              <w:pStyle w:val="Text1"/>
              <w:spacing w:after="0"/>
              <w:jc w:val="center"/>
              <w:rPr>
                <w:sz w:val="22"/>
                <w:szCs w:val="22"/>
              </w:rPr>
            </w:pPr>
            <w:r w:rsidRPr="007A201D">
              <w:rPr>
                <w:sz w:val="22"/>
                <w:szCs w:val="22"/>
              </w:rPr>
              <w:t>10/10</w:t>
            </w:r>
            <w:r w:rsidR="002D2514" w:rsidRPr="007A201D">
              <w:rPr>
                <w:sz w:val="22"/>
                <w:szCs w:val="22"/>
                <w:vertAlign w:val="superscript"/>
              </w:rPr>
              <w:t>m</w:t>
            </w:r>
          </w:p>
        </w:tc>
      </w:tr>
    </w:tbl>
    <w:p w:rsidR="00180C79" w:rsidRDefault="00180C79" w:rsidP="00180C79">
      <w:pPr>
        <w:pStyle w:val="Text1"/>
        <w:spacing w:after="0"/>
        <w:jc w:val="both"/>
        <w:rPr>
          <w:sz w:val="18"/>
          <w:szCs w:val="18"/>
        </w:rPr>
      </w:pPr>
      <w:r>
        <w:rPr>
          <w:sz w:val="18"/>
          <w:szCs w:val="18"/>
          <w:vertAlign w:val="superscript"/>
        </w:rPr>
        <w:lastRenderedPageBreak/>
        <w:t>a</w:t>
      </w:r>
      <w:r w:rsidR="009B302A">
        <w:rPr>
          <w:sz w:val="18"/>
          <w:szCs w:val="18"/>
        </w:rPr>
        <w:t xml:space="preserve"> </w:t>
      </w:r>
      <w:r w:rsidRPr="00701AC5">
        <w:rPr>
          <w:sz w:val="18"/>
          <w:szCs w:val="18"/>
        </w:rPr>
        <w:t xml:space="preserve">Based upon Long-Term Evaluation Algorithm (LTE Analysis) – Patients who discontinued the study at any time prior to week </w:t>
      </w:r>
      <w:r w:rsidR="00931C72">
        <w:rPr>
          <w:sz w:val="18"/>
          <w:szCs w:val="18"/>
        </w:rPr>
        <w:t>240</w:t>
      </w:r>
      <w:r w:rsidRPr="00701AC5">
        <w:rPr>
          <w:sz w:val="18"/>
          <w:szCs w:val="18"/>
        </w:rPr>
        <w:t xml:space="preserve"> due to a protocol defined endpoint, as well as those completing week </w:t>
      </w:r>
      <w:r w:rsidR="00931C72">
        <w:rPr>
          <w:sz w:val="18"/>
          <w:szCs w:val="18"/>
        </w:rPr>
        <w:t>240</w:t>
      </w:r>
      <w:r w:rsidRPr="00701AC5">
        <w:rPr>
          <w:sz w:val="18"/>
          <w:szCs w:val="18"/>
        </w:rPr>
        <w:t>, are included in th</w:t>
      </w:r>
      <w:r>
        <w:rPr>
          <w:sz w:val="18"/>
          <w:szCs w:val="18"/>
        </w:rPr>
        <w:t xml:space="preserve">e </w:t>
      </w:r>
      <w:r w:rsidRPr="00701AC5">
        <w:rPr>
          <w:sz w:val="18"/>
          <w:szCs w:val="18"/>
        </w:rPr>
        <w:t>denominator</w:t>
      </w:r>
      <w:r>
        <w:rPr>
          <w:sz w:val="18"/>
          <w:szCs w:val="18"/>
        </w:rPr>
        <w:t xml:space="preserve">,   </w:t>
      </w:r>
    </w:p>
    <w:p w:rsidR="00180C79" w:rsidRDefault="00180C79" w:rsidP="00180C79">
      <w:pPr>
        <w:pStyle w:val="Text1"/>
        <w:spacing w:after="0"/>
        <w:jc w:val="both"/>
        <w:rPr>
          <w:sz w:val="18"/>
          <w:szCs w:val="18"/>
        </w:rPr>
      </w:pPr>
      <w:r>
        <w:rPr>
          <w:sz w:val="18"/>
          <w:szCs w:val="18"/>
          <w:vertAlign w:val="superscript"/>
        </w:rPr>
        <w:t>b</w:t>
      </w:r>
      <w:r w:rsidR="009B302A">
        <w:rPr>
          <w:sz w:val="18"/>
          <w:szCs w:val="18"/>
        </w:rPr>
        <w:t xml:space="preserve"> </w:t>
      </w:r>
      <w:r>
        <w:rPr>
          <w:sz w:val="18"/>
          <w:szCs w:val="18"/>
        </w:rPr>
        <w:t xml:space="preserve"> </w:t>
      </w:r>
      <w:r w:rsidRPr="00701AC5">
        <w:rPr>
          <w:sz w:val="18"/>
          <w:szCs w:val="18"/>
        </w:rPr>
        <w:t>48 weeks double-blind VIREAD followed by up to 48 weeks open-label</w:t>
      </w:r>
      <w:r>
        <w:rPr>
          <w:sz w:val="18"/>
          <w:szCs w:val="18"/>
        </w:rPr>
        <w:t xml:space="preserve">,   </w:t>
      </w:r>
    </w:p>
    <w:p w:rsidR="00180C79" w:rsidRDefault="00180C79" w:rsidP="00180C79">
      <w:pPr>
        <w:pStyle w:val="Text1"/>
        <w:spacing w:after="0"/>
        <w:jc w:val="both"/>
        <w:rPr>
          <w:sz w:val="18"/>
          <w:szCs w:val="18"/>
        </w:rPr>
      </w:pPr>
      <w:r>
        <w:rPr>
          <w:sz w:val="18"/>
          <w:szCs w:val="18"/>
          <w:vertAlign w:val="superscript"/>
        </w:rPr>
        <w:t>c</w:t>
      </w:r>
      <w:r w:rsidR="009B302A">
        <w:rPr>
          <w:sz w:val="18"/>
          <w:szCs w:val="18"/>
        </w:rPr>
        <w:t xml:space="preserve"> </w:t>
      </w:r>
      <w:r>
        <w:rPr>
          <w:sz w:val="18"/>
          <w:szCs w:val="18"/>
        </w:rPr>
        <w:t xml:space="preserve"> </w:t>
      </w:r>
      <w:r w:rsidRPr="00701AC5">
        <w:rPr>
          <w:sz w:val="18"/>
          <w:szCs w:val="18"/>
        </w:rPr>
        <w:t>48 weeks double-blind HEPSERA followed by up to 48 weeks open-label VIREAD</w:t>
      </w:r>
      <w:r>
        <w:rPr>
          <w:sz w:val="18"/>
          <w:szCs w:val="18"/>
        </w:rPr>
        <w:t xml:space="preserve">,  </w:t>
      </w:r>
    </w:p>
    <w:p w:rsidR="00180C79" w:rsidRDefault="00180C79" w:rsidP="00180C79">
      <w:pPr>
        <w:pStyle w:val="Text1"/>
        <w:spacing w:after="0"/>
        <w:jc w:val="both"/>
        <w:rPr>
          <w:sz w:val="18"/>
          <w:szCs w:val="18"/>
        </w:rPr>
      </w:pPr>
      <w:r>
        <w:rPr>
          <w:sz w:val="18"/>
          <w:szCs w:val="18"/>
          <w:vertAlign w:val="superscript"/>
        </w:rPr>
        <w:t>d</w:t>
      </w:r>
      <w:r w:rsidR="009B302A">
        <w:rPr>
          <w:sz w:val="18"/>
          <w:szCs w:val="18"/>
        </w:rPr>
        <w:t xml:space="preserve"> </w:t>
      </w:r>
      <w:r w:rsidRPr="00701AC5">
        <w:rPr>
          <w:sz w:val="18"/>
          <w:szCs w:val="18"/>
        </w:rPr>
        <w:t>The population used for analysis of ALT normalisation included only patients with ALT above ULN at baseline</w:t>
      </w:r>
      <w:r>
        <w:rPr>
          <w:sz w:val="18"/>
          <w:szCs w:val="18"/>
        </w:rPr>
        <w:t xml:space="preserve">, </w:t>
      </w:r>
    </w:p>
    <w:p w:rsidR="00180C79" w:rsidRDefault="00180C79" w:rsidP="00180C79">
      <w:pPr>
        <w:pStyle w:val="Text1"/>
        <w:spacing w:after="0"/>
        <w:jc w:val="both"/>
        <w:rPr>
          <w:sz w:val="18"/>
          <w:szCs w:val="18"/>
        </w:rPr>
      </w:pPr>
      <w:r>
        <w:rPr>
          <w:sz w:val="18"/>
          <w:szCs w:val="18"/>
          <w:vertAlign w:val="superscript"/>
        </w:rPr>
        <w:t>e</w:t>
      </w:r>
      <w:r w:rsidR="009B302A">
        <w:rPr>
          <w:sz w:val="18"/>
          <w:szCs w:val="18"/>
        </w:rPr>
        <w:t xml:space="preserve"> </w:t>
      </w:r>
      <w:r>
        <w:rPr>
          <w:sz w:val="18"/>
          <w:szCs w:val="18"/>
        </w:rPr>
        <w:t xml:space="preserve"> 48 weeks double-blind VIREAD followed by 96 weeks open-label, </w:t>
      </w:r>
    </w:p>
    <w:p w:rsidR="00180C79" w:rsidRDefault="00180C79" w:rsidP="00180C79">
      <w:pPr>
        <w:pStyle w:val="Text1"/>
        <w:spacing w:after="0"/>
        <w:jc w:val="both"/>
        <w:rPr>
          <w:sz w:val="18"/>
          <w:szCs w:val="18"/>
          <w:vertAlign w:val="superscript"/>
        </w:rPr>
      </w:pPr>
      <w:r>
        <w:rPr>
          <w:sz w:val="18"/>
          <w:szCs w:val="18"/>
          <w:vertAlign w:val="superscript"/>
        </w:rPr>
        <w:t>f</w:t>
      </w:r>
      <w:r w:rsidR="009B302A">
        <w:rPr>
          <w:sz w:val="18"/>
          <w:szCs w:val="18"/>
        </w:rPr>
        <w:t xml:space="preserve"> </w:t>
      </w:r>
      <w:r>
        <w:rPr>
          <w:sz w:val="18"/>
          <w:szCs w:val="18"/>
        </w:rPr>
        <w:t>48 weeks double-blind HEPSERA followed by 96 weeks open-label VIREAD,</w:t>
      </w:r>
      <w:r w:rsidRPr="00D46E7F">
        <w:rPr>
          <w:sz w:val="18"/>
          <w:szCs w:val="18"/>
          <w:vertAlign w:val="superscript"/>
        </w:rPr>
        <w:t xml:space="preserve"> </w:t>
      </w:r>
    </w:p>
    <w:p w:rsidR="00180C79" w:rsidRDefault="00180C79" w:rsidP="00180C79">
      <w:pPr>
        <w:pStyle w:val="Text1"/>
        <w:spacing w:after="0"/>
        <w:jc w:val="both"/>
        <w:rPr>
          <w:sz w:val="18"/>
          <w:szCs w:val="18"/>
        </w:rPr>
      </w:pPr>
      <w:r>
        <w:rPr>
          <w:sz w:val="18"/>
          <w:szCs w:val="18"/>
          <w:vertAlign w:val="superscript"/>
        </w:rPr>
        <w:t>g</w:t>
      </w:r>
      <w:r w:rsidR="009B302A">
        <w:rPr>
          <w:sz w:val="18"/>
          <w:szCs w:val="18"/>
        </w:rPr>
        <w:t xml:space="preserve"> </w:t>
      </w:r>
      <w:r>
        <w:rPr>
          <w:sz w:val="18"/>
          <w:szCs w:val="18"/>
        </w:rPr>
        <w:t xml:space="preserve">Figures presented are cumulative percentages based upon a Kaplan Meier analysis (KM-ITT), </w:t>
      </w:r>
    </w:p>
    <w:p w:rsidR="00180C79" w:rsidRDefault="00180C79" w:rsidP="00180C79">
      <w:pPr>
        <w:pStyle w:val="Text1"/>
        <w:spacing w:after="0"/>
        <w:jc w:val="both"/>
        <w:rPr>
          <w:sz w:val="18"/>
          <w:szCs w:val="18"/>
        </w:rPr>
      </w:pPr>
      <w:r>
        <w:rPr>
          <w:sz w:val="18"/>
          <w:szCs w:val="18"/>
          <w:vertAlign w:val="superscript"/>
        </w:rPr>
        <w:t>h</w:t>
      </w:r>
      <w:r w:rsidR="009B302A">
        <w:rPr>
          <w:sz w:val="18"/>
          <w:szCs w:val="18"/>
        </w:rPr>
        <w:t xml:space="preserve"> </w:t>
      </w:r>
      <w:r>
        <w:rPr>
          <w:sz w:val="18"/>
          <w:szCs w:val="18"/>
        </w:rPr>
        <w:t xml:space="preserve">48 weeks double-blind VIREAD followed by 144 weeks open-label, </w:t>
      </w:r>
    </w:p>
    <w:p w:rsidR="00FB2CF9" w:rsidRDefault="00180C79" w:rsidP="00180C79">
      <w:pPr>
        <w:pStyle w:val="Text1"/>
        <w:spacing w:after="0"/>
        <w:jc w:val="both"/>
        <w:rPr>
          <w:sz w:val="18"/>
          <w:szCs w:val="18"/>
        </w:rPr>
      </w:pPr>
      <w:r>
        <w:rPr>
          <w:sz w:val="18"/>
          <w:szCs w:val="18"/>
          <w:vertAlign w:val="superscript"/>
        </w:rPr>
        <w:t>i</w:t>
      </w:r>
      <w:r w:rsidR="009B302A">
        <w:rPr>
          <w:sz w:val="18"/>
          <w:szCs w:val="18"/>
        </w:rPr>
        <w:t xml:space="preserve"> </w:t>
      </w:r>
      <w:r>
        <w:rPr>
          <w:sz w:val="18"/>
          <w:szCs w:val="18"/>
        </w:rPr>
        <w:t>48 weeks double-blind HEPSERA followed by 144 weeks open-label VIREAD,</w:t>
      </w:r>
    </w:p>
    <w:p w:rsidR="00FB2CF9" w:rsidRPr="004265B4" w:rsidRDefault="00FB2CF9" w:rsidP="00FB2CF9">
      <w:pPr>
        <w:pStyle w:val="Text1"/>
        <w:keepNext/>
        <w:keepLines/>
        <w:spacing w:after="0"/>
        <w:rPr>
          <w:snapToGrid w:val="0"/>
          <w:sz w:val="18"/>
          <w:szCs w:val="18"/>
          <w:lang w:val="en-GB"/>
        </w:rPr>
      </w:pPr>
      <w:r w:rsidRPr="004265B4">
        <w:rPr>
          <w:snapToGrid w:val="0"/>
          <w:sz w:val="18"/>
          <w:szCs w:val="18"/>
          <w:vertAlign w:val="superscript"/>
          <w:lang w:val="en-GB"/>
        </w:rPr>
        <w:t>j</w:t>
      </w:r>
      <w:r w:rsidRPr="004265B4">
        <w:rPr>
          <w:snapToGrid w:val="0"/>
          <w:sz w:val="18"/>
          <w:szCs w:val="18"/>
          <w:lang w:val="en-GB"/>
        </w:rPr>
        <w:t> 48 weeks double</w:t>
      </w:r>
      <w:r w:rsidRPr="004265B4">
        <w:rPr>
          <w:snapToGrid w:val="0"/>
          <w:sz w:val="18"/>
          <w:szCs w:val="18"/>
          <w:lang w:val="en-GB"/>
        </w:rPr>
        <w:noBreakHyphen/>
        <w:t xml:space="preserve">blind </w:t>
      </w:r>
      <w:r w:rsidR="005C1B82">
        <w:rPr>
          <w:snapToGrid w:val="0"/>
          <w:sz w:val="18"/>
          <w:szCs w:val="18"/>
          <w:lang w:val="en-GB"/>
        </w:rPr>
        <w:t>VIREAD</w:t>
      </w:r>
      <w:r w:rsidRPr="004265B4">
        <w:rPr>
          <w:snapToGrid w:val="0"/>
          <w:sz w:val="18"/>
          <w:szCs w:val="18"/>
          <w:lang w:val="en-GB"/>
        </w:rPr>
        <w:t xml:space="preserve"> followed by 192 weeks open</w:t>
      </w:r>
      <w:r w:rsidRPr="004265B4">
        <w:rPr>
          <w:snapToGrid w:val="0"/>
          <w:sz w:val="18"/>
          <w:szCs w:val="18"/>
          <w:lang w:val="en-GB"/>
        </w:rPr>
        <w:noBreakHyphen/>
        <w:t>label.</w:t>
      </w:r>
    </w:p>
    <w:p w:rsidR="00FB2CF9" w:rsidRDefault="00FB2CF9" w:rsidP="00FB2CF9">
      <w:pPr>
        <w:pStyle w:val="Text1"/>
        <w:spacing w:after="0"/>
        <w:jc w:val="both"/>
        <w:rPr>
          <w:sz w:val="18"/>
          <w:szCs w:val="18"/>
          <w:vertAlign w:val="superscript"/>
        </w:rPr>
      </w:pPr>
      <w:r w:rsidRPr="004265B4">
        <w:rPr>
          <w:snapToGrid w:val="0"/>
          <w:sz w:val="18"/>
          <w:szCs w:val="18"/>
          <w:vertAlign w:val="superscript"/>
          <w:lang w:val="en-GB"/>
        </w:rPr>
        <w:t>k </w:t>
      </w:r>
      <w:r w:rsidRPr="004265B4">
        <w:rPr>
          <w:snapToGrid w:val="0"/>
          <w:sz w:val="18"/>
          <w:szCs w:val="18"/>
          <w:lang w:val="en-GB"/>
        </w:rPr>
        <w:t>48 weeks double</w:t>
      </w:r>
      <w:r w:rsidRPr="004265B4">
        <w:rPr>
          <w:snapToGrid w:val="0"/>
          <w:sz w:val="18"/>
          <w:szCs w:val="18"/>
          <w:lang w:val="en-GB"/>
        </w:rPr>
        <w:noBreakHyphen/>
        <w:t xml:space="preserve">blind </w:t>
      </w:r>
      <w:r w:rsidR="005C1B82">
        <w:rPr>
          <w:snapToGrid w:val="0"/>
          <w:sz w:val="18"/>
          <w:szCs w:val="18"/>
          <w:lang w:val="en-GB"/>
        </w:rPr>
        <w:t>HEPSERA</w:t>
      </w:r>
      <w:r w:rsidRPr="004265B4">
        <w:rPr>
          <w:snapToGrid w:val="0"/>
          <w:sz w:val="18"/>
          <w:szCs w:val="18"/>
          <w:lang w:val="en-GB"/>
        </w:rPr>
        <w:t xml:space="preserve"> followed by 192 weeks open</w:t>
      </w:r>
      <w:r w:rsidRPr="004265B4">
        <w:rPr>
          <w:snapToGrid w:val="0"/>
          <w:sz w:val="18"/>
          <w:szCs w:val="18"/>
          <w:lang w:val="en-GB"/>
        </w:rPr>
        <w:noBreakHyphen/>
        <w:t xml:space="preserve">label </w:t>
      </w:r>
      <w:r w:rsidR="005C1B82">
        <w:rPr>
          <w:snapToGrid w:val="0"/>
          <w:sz w:val="18"/>
          <w:szCs w:val="18"/>
          <w:lang w:val="en-GB"/>
        </w:rPr>
        <w:t>VIREAD</w:t>
      </w:r>
      <w:r w:rsidRPr="004265B4">
        <w:rPr>
          <w:snapToGrid w:val="0"/>
          <w:sz w:val="18"/>
          <w:szCs w:val="18"/>
          <w:lang w:val="en-GB"/>
        </w:rPr>
        <w:t>.</w:t>
      </w:r>
      <w:r w:rsidR="00180C79" w:rsidRPr="00D46E7F">
        <w:rPr>
          <w:sz w:val="18"/>
          <w:szCs w:val="18"/>
          <w:vertAlign w:val="superscript"/>
        </w:rPr>
        <w:t xml:space="preserve"> </w:t>
      </w:r>
    </w:p>
    <w:p w:rsidR="00FB2CF9" w:rsidRDefault="00FB2CF9" w:rsidP="00FB2CF9">
      <w:pPr>
        <w:pStyle w:val="Text1"/>
        <w:keepNext/>
        <w:keepLines/>
        <w:spacing w:after="0"/>
        <w:rPr>
          <w:snapToGrid w:val="0"/>
          <w:sz w:val="18"/>
          <w:szCs w:val="18"/>
          <w:lang w:val="en-GB"/>
        </w:rPr>
      </w:pPr>
      <w:r w:rsidRPr="004265B4">
        <w:rPr>
          <w:snapToGrid w:val="0"/>
          <w:sz w:val="18"/>
          <w:szCs w:val="18"/>
          <w:vertAlign w:val="superscript"/>
          <w:lang w:val="en-GB"/>
        </w:rPr>
        <w:t>l</w:t>
      </w:r>
      <w:r w:rsidRPr="004265B4">
        <w:rPr>
          <w:snapToGrid w:val="0"/>
          <w:sz w:val="18"/>
          <w:szCs w:val="18"/>
          <w:lang w:val="en-GB"/>
        </w:rPr>
        <w:t xml:space="preserve"> One patient in this group became HBsAg negative for the first time at the 240 week visit and was ongoing in the study at the time of the data cut-off.  However, the subject’s HBsAg loss was ultimately confirmed at the subsequent visit.</w:t>
      </w:r>
    </w:p>
    <w:p w:rsidR="002D2514" w:rsidRPr="004265B4" w:rsidRDefault="002D2514" w:rsidP="002D2514">
      <w:pPr>
        <w:pStyle w:val="Text1"/>
        <w:keepNext/>
        <w:keepLines/>
        <w:spacing w:after="0"/>
        <w:rPr>
          <w:snapToGrid w:val="0"/>
          <w:sz w:val="18"/>
          <w:szCs w:val="18"/>
          <w:lang w:val="en-GB"/>
        </w:rPr>
      </w:pPr>
      <w:r w:rsidRPr="004265B4">
        <w:rPr>
          <w:snapToGrid w:val="0"/>
          <w:sz w:val="18"/>
          <w:szCs w:val="18"/>
          <w:vertAlign w:val="superscript"/>
          <w:lang w:val="en-GB"/>
        </w:rPr>
        <w:t>m</w:t>
      </w:r>
      <w:r w:rsidRPr="004265B4">
        <w:rPr>
          <w:snapToGrid w:val="0"/>
          <w:sz w:val="18"/>
          <w:szCs w:val="18"/>
          <w:lang w:val="en-GB"/>
        </w:rPr>
        <w:t> Figures presented are cumulative percentages based upon a Kaplan Meier analysis excluding data collected after the addition of emtricitabine to open</w:t>
      </w:r>
      <w:r w:rsidRPr="004265B4">
        <w:rPr>
          <w:snapToGrid w:val="0"/>
          <w:sz w:val="18"/>
          <w:szCs w:val="18"/>
          <w:lang w:val="en-GB"/>
        </w:rPr>
        <w:noBreakHyphen/>
        <w:t xml:space="preserve">label </w:t>
      </w:r>
      <w:r w:rsidR="005C1B82">
        <w:rPr>
          <w:snapToGrid w:val="0"/>
          <w:sz w:val="18"/>
          <w:szCs w:val="18"/>
          <w:lang w:val="en-GB"/>
        </w:rPr>
        <w:t>VIREAD</w:t>
      </w:r>
      <w:r w:rsidRPr="004265B4">
        <w:rPr>
          <w:snapToGrid w:val="0"/>
          <w:sz w:val="18"/>
          <w:szCs w:val="18"/>
          <w:lang w:val="en-GB"/>
        </w:rPr>
        <w:t xml:space="preserve"> (KM</w:t>
      </w:r>
      <w:r w:rsidRPr="004265B4">
        <w:rPr>
          <w:snapToGrid w:val="0"/>
          <w:sz w:val="18"/>
          <w:szCs w:val="18"/>
          <w:lang w:val="en-GB"/>
        </w:rPr>
        <w:noBreakHyphen/>
        <w:t>TDF).</w:t>
      </w:r>
    </w:p>
    <w:p w:rsidR="002D2514" w:rsidRPr="004265B4" w:rsidRDefault="002D2514" w:rsidP="00FB2CF9">
      <w:pPr>
        <w:pStyle w:val="Text1"/>
        <w:keepNext/>
        <w:keepLines/>
        <w:spacing w:after="0"/>
        <w:rPr>
          <w:snapToGrid w:val="0"/>
          <w:sz w:val="18"/>
          <w:szCs w:val="18"/>
          <w:lang w:val="en-GB"/>
        </w:rPr>
      </w:pPr>
    </w:p>
    <w:p w:rsidR="00180C79" w:rsidRPr="00701AC5" w:rsidRDefault="00DA4776" w:rsidP="00FB2CF9">
      <w:pPr>
        <w:pStyle w:val="Text1"/>
        <w:spacing w:after="0"/>
        <w:jc w:val="both"/>
        <w:rPr>
          <w:sz w:val="18"/>
          <w:szCs w:val="18"/>
        </w:rPr>
      </w:pPr>
      <w:r>
        <w:rPr>
          <w:sz w:val="18"/>
          <w:szCs w:val="18"/>
        </w:rPr>
        <w:t>n/a</w:t>
      </w:r>
      <w:r w:rsidR="00180C79" w:rsidRPr="00701AC5">
        <w:rPr>
          <w:sz w:val="18"/>
          <w:szCs w:val="18"/>
        </w:rPr>
        <w:t xml:space="preserve"> = Not Applicable</w:t>
      </w:r>
    </w:p>
    <w:p w:rsidR="00180C79" w:rsidRDefault="00180C79" w:rsidP="00180C79">
      <w:pPr>
        <w:pStyle w:val="Text1"/>
        <w:spacing w:after="0"/>
        <w:jc w:val="both"/>
        <w:rPr>
          <w:sz w:val="18"/>
          <w:szCs w:val="18"/>
        </w:rPr>
      </w:pPr>
      <w:r w:rsidRPr="00F96163">
        <w:rPr>
          <w:sz w:val="18"/>
          <w:szCs w:val="18"/>
        </w:rPr>
        <w:t xml:space="preserve">Patients with HBV DNA≥400 copies/mL at week 72 or later were eligible to receive intensification therapy with open-label TRUVADA (tenofovir DF/emtricitabine) and results from these patients are not included as responders in this table (intensification therapy = failure).  Results from the VIREAD </w:t>
      </w:r>
      <w:r w:rsidR="002D2514">
        <w:rPr>
          <w:sz w:val="18"/>
          <w:szCs w:val="18"/>
        </w:rPr>
        <w:t>240</w:t>
      </w:r>
      <w:r w:rsidR="002D2514" w:rsidRPr="00F96163">
        <w:rPr>
          <w:sz w:val="18"/>
          <w:szCs w:val="18"/>
        </w:rPr>
        <w:t xml:space="preserve"> </w:t>
      </w:r>
      <w:r w:rsidRPr="00F96163">
        <w:rPr>
          <w:sz w:val="18"/>
          <w:szCs w:val="18"/>
        </w:rPr>
        <w:t xml:space="preserve">week treatment groups including these patients were </w:t>
      </w:r>
      <w:r w:rsidR="007D11B7">
        <w:rPr>
          <w:sz w:val="18"/>
          <w:szCs w:val="18"/>
        </w:rPr>
        <w:t>83</w:t>
      </w:r>
      <w:r w:rsidRPr="00F96163">
        <w:rPr>
          <w:sz w:val="18"/>
          <w:szCs w:val="18"/>
        </w:rPr>
        <w:t xml:space="preserve">% and </w:t>
      </w:r>
      <w:r w:rsidR="007D11B7">
        <w:rPr>
          <w:sz w:val="18"/>
          <w:szCs w:val="18"/>
        </w:rPr>
        <w:t>70</w:t>
      </w:r>
      <w:r w:rsidRPr="00F96163">
        <w:rPr>
          <w:sz w:val="18"/>
          <w:szCs w:val="18"/>
        </w:rPr>
        <w:t xml:space="preserve">% for HBV DNA &lt; 400 copies/mL and </w:t>
      </w:r>
      <w:r w:rsidR="007D11B7">
        <w:rPr>
          <w:sz w:val="18"/>
          <w:szCs w:val="18"/>
        </w:rPr>
        <w:t>71</w:t>
      </w:r>
      <w:r w:rsidRPr="007D11B7">
        <w:rPr>
          <w:sz w:val="18"/>
          <w:szCs w:val="18"/>
        </w:rPr>
        <w:t xml:space="preserve">% and </w:t>
      </w:r>
      <w:r w:rsidR="007D11B7">
        <w:rPr>
          <w:sz w:val="18"/>
          <w:szCs w:val="18"/>
        </w:rPr>
        <w:t>51</w:t>
      </w:r>
      <w:r w:rsidRPr="00F96163">
        <w:rPr>
          <w:sz w:val="18"/>
          <w:szCs w:val="18"/>
        </w:rPr>
        <w:t xml:space="preserve">% for normalised ALT, for study 0102 and 0103 respectively; and </w:t>
      </w:r>
      <w:r w:rsidR="007D11B7">
        <w:rPr>
          <w:sz w:val="18"/>
          <w:szCs w:val="18"/>
        </w:rPr>
        <w:t>39</w:t>
      </w:r>
      <w:r w:rsidRPr="00F96163">
        <w:rPr>
          <w:sz w:val="18"/>
          <w:szCs w:val="18"/>
        </w:rPr>
        <w:t>%/</w:t>
      </w:r>
      <w:r w:rsidR="007D11B7">
        <w:rPr>
          <w:sz w:val="18"/>
          <w:szCs w:val="18"/>
        </w:rPr>
        <w:t>31</w:t>
      </w:r>
      <w:r w:rsidRPr="00F96163">
        <w:rPr>
          <w:sz w:val="18"/>
          <w:szCs w:val="18"/>
        </w:rPr>
        <w:t xml:space="preserve">% for HBeAg loss/seroconversion (study 0103 only). </w:t>
      </w:r>
    </w:p>
    <w:p w:rsidR="00CE4721" w:rsidRDefault="00CE4721" w:rsidP="00180C79">
      <w:pPr>
        <w:pStyle w:val="Text1"/>
        <w:spacing w:after="0"/>
        <w:jc w:val="both"/>
        <w:rPr>
          <w:sz w:val="18"/>
          <w:szCs w:val="18"/>
        </w:rPr>
      </w:pPr>
    </w:p>
    <w:p w:rsidR="002D4919" w:rsidRPr="00DC46AA" w:rsidRDefault="002D4919" w:rsidP="002D4919">
      <w:pPr>
        <w:pStyle w:val="Text1"/>
        <w:spacing w:after="0"/>
        <w:rPr>
          <w:szCs w:val="24"/>
          <w:lang w:val="en-GB"/>
        </w:rPr>
      </w:pPr>
      <w:r w:rsidRPr="00DC46AA">
        <w:rPr>
          <w:szCs w:val="24"/>
          <w:lang w:val="en-GB"/>
        </w:rPr>
        <w:t>Paired baseline and week 240 liver biopsy data were available for 331/489 patients who remained in studies 0102 and 0103 (see Table </w:t>
      </w:r>
      <w:r w:rsidR="00852A40" w:rsidRPr="00DC46AA">
        <w:rPr>
          <w:szCs w:val="24"/>
          <w:lang w:val="en-GB"/>
        </w:rPr>
        <w:t xml:space="preserve">12 </w:t>
      </w:r>
      <w:r w:rsidRPr="00DC46AA">
        <w:rPr>
          <w:szCs w:val="24"/>
          <w:lang w:val="en-GB"/>
        </w:rPr>
        <w:t>below).  Ninety-five percent (225/237) of patients without cirrhosis at baseline and 99% (93/94) of patients with cirrhosis at baseline had either no change or an improvement in fibrosis (Ishak fibrosis score).  Of the 94 patients with cirrhosis at baseline (Ishak fibrosis score 5</w:t>
      </w:r>
      <w:r w:rsidRPr="00DC46AA">
        <w:rPr>
          <w:szCs w:val="24"/>
          <w:lang w:val="en-GB"/>
        </w:rPr>
        <w:noBreakHyphen/>
        <w:t>6), 26% (24) experienced no change in Ishak fibrosis score and 72% (68) experienced regression of cirrhosis by week 240 with a reduction in Ishak fibrosis score of at least 2 points.</w:t>
      </w:r>
    </w:p>
    <w:p w:rsidR="002D4919" w:rsidRPr="004265B4" w:rsidRDefault="002D4919" w:rsidP="002D4919">
      <w:pPr>
        <w:pStyle w:val="Text1"/>
        <w:spacing w:after="0"/>
        <w:rPr>
          <w:sz w:val="22"/>
          <w:szCs w:val="22"/>
          <w:lang w:val="en-GB"/>
        </w:rPr>
      </w:pPr>
    </w:p>
    <w:p w:rsidR="002D4919" w:rsidRPr="006B3C9B" w:rsidRDefault="002D4919" w:rsidP="002D4919">
      <w:pPr>
        <w:pStyle w:val="Caption"/>
        <w:spacing w:after="0"/>
        <w:ind w:left="0" w:firstLine="0"/>
        <w:rPr>
          <w:rFonts w:ascii="Times New Roman" w:hAnsi="Times New Roman"/>
          <w:szCs w:val="22"/>
          <w:lang w:val="en-GB"/>
        </w:rPr>
      </w:pPr>
      <w:bookmarkStart w:id="0" w:name="_Ref235515689"/>
      <w:bookmarkStart w:id="1" w:name="_Toc298418381"/>
      <w:r w:rsidRPr="004971D3">
        <w:rPr>
          <w:rFonts w:ascii="Times New Roman" w:hAnsi="Times New Roman"/>
          <w:szCs w:val="22"/>
          <w:lang w:val="en-GB"/>
        </w:rPr>
        <w:t>Table </w:t>
      </w:r>
      <w:bookmarkEnd w:id="0"/>
      <w:r w:rsidR="0044536D" w:rsidRPr="004971D3">
        <w:rPr>
          <w:rFonts w:ascii="Times New Roman" w:hAnsi="Times New Roman"/>
          <w:szCs w:val="22"/>
          <w:lang w:val="en-GB"/>
        </w:rPr>
        <w:t>12</w:t>
      </w:r>
      <w:r w:rsidRPr="004971D3">
        <w:rPr>
          <w:rFonts w:ascii="Times New Roman" w:hAnsi="Times New Roman"/>
          <w:szCs w:val="22"/>
          <w:lang w:val="en-GB"/>
        </w:rPr>
        <w:t>: Histological response (%) in compensated HBeAg negative and HBeAg positive subjects at week 240</w:t>
      </w:r>
      <w:bookmarkEnd w:id="1"/>
      <w:r w:rsidRPr="004971D3">
        <w:rPr>
          <w:rFonts w:ascii="Times New Roman" w:hAnsi="Times New Roman"/>
          <w:szCs w:val="22"/>
          <w:lang w:val="en-GB"/>
        </w:rPr>
        <w:t xml:space="preserve"> compared to baseli</w:t>
      </w:r>
      <w:r w:rsidRPr="006B3C9B">
        <w:rPr>
          <w:rFonts w:ascii="Times New Roman" w:hAnsi="Times New Roman"/>
          <w:szCs w:val="22"/>
          <w:lang w:val="en-GB"/>
        </w:rPr>
        <w:t>ne</w:t>
      </w:r>
    </w:p>
    <w:p w:rsidR="002D4919" w:rsidRPr="004265B4" w:rsidRDefault="002D4919" w:rsidP="002D4919">
      <w:pPr>
        <w:pStyle w:val="Text1"/>
        <w:spacing w:after="0"/>
        <w:rPr>
          <w:lang w:val="en-GB"/>
        </w:rPr>
      </w:pP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886"/>
        <w:gridCol w:w="1932"/>
        <w:gridCol w:w="1934"/>
        <w:gridCol w:w="1934"/>
        <w:gridCol w:w="1934"/>
      </w:tblGrid>
      <w:tr w:rsidR="002D4919" w:rsidRPr="004265B4" w:rsidTr="006B3C9B">
        <w:tblPrEx>
          <w:tblCellMar>
            <w:top w:w="0" w:type="dxa"/>
            <w:bottom w:w="0" w:type="dxa"/>
          </w:tblCellMar>
        </w:tblPrEx>
        <w:tc>
          <w:tcPr>
            <w:tcW w:w="981" w:type="pct"/>
            <w:vMerge w:val="restart"/>
            <w:tcBorders>
              <w:top w:val="single" w:sz="4" w:space="0" w:color="auto"/>
              <w:left w:val="single" w:sz="4" w:space="0" w:color="auto"/>
              <w:right w:val="single" w:sz="4" w:space="0" w:color="auto"/>
            </w:tcBorders>
          </w:tcPr>
          <w:p w:rsidR="002D4919" w:rsidRPr="004265B4" w:rsidRDefault="002D4919" w:rsidP="00BE19E7">
            <w:pPr>
              <w:pStyle w:val="StyleTable-HeadingLeft"/>
              <w:spacing w:before="40"/>
              <w:rPr>
                <w:b w:val="0"/>
                <w:sz w:val="18"/>
                <w:szCs w:val="18"/>
                <w:lang w:val="en-GB"/>
              </w:rPr>
            </w:pPr>
          </w:p>
        </w:tc>
        <w:tc>
          <w:tcPr>
            <w:tcW w:w="2009" w:type="pct"/>
            <w:gridSpan w:val="2"/>
            <w:tcBorders>
              <w:top w:val="single" w:sz="4" w:space="0" w:color="auto"/>
              <w:left w:val="single" w:sz="4" w:space="0" w:color="auto"/>
              <w:bottom w:val="single" w:sz="4" w:space="0" w:color="auto"/>
              <w:right w:val="single" w:sz="4" w:space="0" w:color="auto"/>
            </w:tcBorders>
          </w:tcPr>
          <w:p w:rsidR="002D4919" w:rsidRPr="004265B4" w:rsidRDefault="002D4919" w:rsidP="0044536D">
            <w:pPr>
              <w:pStyle w:val="Table-Heading"/>
              <w:spacing w:before="40"/>
              <w:jc w:val="center"/>
              <w:rPr>
                <w:sz w:val="18"/>
                <w:szCs w:val="18"/>
              </w:rPr>
            </w:pPr>
            <w:r w:rsidRPr="004265B4">
              <w:rPr>
                <w:sz w:val="18"/>
                <w:szCs w:val="18"/>
              </w:rPr>
              <w:t>Study 0102</w:t>
            </w:r>
          </w:p>
          <w:p w:rsidR="002D4919" w:rsidRPr="004265B4" w:rsidRDefault="002D4919" w:rsidP="0044536D">
            <w:pPr>
              <w:pStyle w:val="Table-Heading"/>
              <w:spacing w:before="40"/>
              <w:jc w:val="center"/>
              <w:rPr>
                <w:sz w:val="18"/>
                <w:szCs w:val="18"/>
              </w:rPr>
            </w:pPr>
            <w:r w:rsidRPr="004265B4">
              <w:rPr>
                <w:sz w:val="18"/>
                <w:szCs w:val="18"/>
              </w:rPr>
              <w:t>(HBeAg negative)</w:t>
            </w:r>
          </w:p>
        </w:tc>
        <w:tc>
          <w:tcPr>
            <w:tcW w:w="2010" w:type="pct"/>
            <w:gridSpan w:val="2"/>
            <w:tcBorders>
              <w:top w:val="single" w:sz="4" w:space="0" w:color="auto"/>
              <w:left w:val="single" w:sz="4" w:space="0" w:color="auto"/>
              <w:bottom w:val="single" w:sz="4" w:space="0" w:color="auto"/>
              <w:right w:val="single" w:sz="4" w:space="0" w:color="auto"/>
            </w:tcBorders>
          </w:tcPr>
          <w:p w:rsidR="002D4919" w:rsidRPr="004265B4" w:rsidRDefault="002D4919" w:rsidP="0044536D">
            <w:pPr>
              <w:pStyle w:val="Table-Heading"/>
              <w:spacing w:before="40"/>
              <w:jc w:val="center"/>
              <w:rPr>
                <w:sz w:val="18"/>
                <w:szCs w:val="18"/>
              </w:rPr>
            </w:pPr>
            <w:r w:rsidRPr="004265B4">
              <w:rPr>
                <w:sz w:val="18"/>
                <w:szCs w:val="18"/>
              </w:rPr>
              <w:t>Study</w:t>
            </w:r>
            <w:r w:rsidR="001A7C38">
              <w:rPr>
                <w:sz w:val="18"/>
                <w:szCs w:val="18"/>
              </w:rPr>
              <w:t xml:space="preserve"> </w:t>
            </w:r>
            <w:r w:rsidRPr="004265B4">
              <w:rPr>
                <w:sz w:val="18"/>
                <w:szCs w:val="18"/>
              </w:rPr>
              <w:t>0103</w:t>
            </w:r>
          </w:p>
          <w:p w:rsidR="002D4919" w:rsidRPr="004265B4" w:rsidRDefault="002D4919" w:rsidP="0044536D">
            <w:pPr>
              <w:pStyle w:val="Table-Heading"/>
              <w:spacing w:before="40"/>
              <w:jc w:val="center"/>
              <w:rPr>
                <w:sz w:val="18"/>
                <w:szCs w:val="18"/>
              </w:rPr>
            </w:pPr>
            <w:r w:rsidRPr="004265B4">
              <w:rPr>
                <w:sz w:val="18"/>
                <w:szCs w:val="18"/>
              </w:rPr>
              <w:t>(HBeAg positive)</w:t>
            </w:r>
          </w:p>
        </w:tc>
      </w:tr>
      <w:tr w:rsidR="002D4919" w:rsidRPr="004265B4" w:rsidTr="00676326">
        <w:tblPrEx>
          <w:tblCellMar>
            <w:top w:w="0" w:type="dxa"/>
            <w:bottom w:w="0" w:type="dxa"/>
          </w:tblCellMar>
        </w:tblPrEx>
        <w:tc>
          <w:tcPr>
            <w:tcW w:w="981" w:type="pct"/>
            <w:vMerge/>
            <w:tcBorders>
              <w:left w:val="single" w:sz="4" w:space="0" w:color="auto"/>
              <w:bottom w:val="single" w:sz="12" w:space="0" w:color="auto"/>
              <w:right w:val="single" w:sz="4" w:space="0" w:color="auto"/>
            </w:tcBorders>
            <w:vAlign w:val="bottom"/>
          </w:tcPr>
          <w:p w:rsidR="002D4919" w:rsidRPr="004265B4" w:rsidRDefault="002D4919" w:rsidP="00BE19E7">
            <w:pPr>
              <w:pStyle w:val="Table-Heading"/>
              <w:spacing w:before="40"/>
              <w:rPr>
                <w:b w:val="0"/>
                <w:sz w:val="18"/>
                <w:szCs w:val="18"/>
                <w:lang w:val="en-GB"/>
              </w:rPr>
            </w:pPr>
          </w:p>
        </w:tc>
        <w:tc>
          <w:tcPr>
            <w:tcW w:w="1004" w:type="pct"/>
            <w:tcBorders>
              <w:top w:val="single" w:sz="4" w:space="0" w:color="auto"/>
              <w:left w:val="single" w:sz="4" w:space="0" w:color="auto"/>
              <w:bottom w:val="single" w:sz="12" w:space="0" w:color="auto"/>
              <w:right w:val="single" w:sz="4" w:space="0" w:color="auto"/>
            </w:tcBorders>
            <w:vAlign w:val="center"/>
          </w:tcPr>
          <w:p w:rsidR="002D4919"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z w:val="18"/>
                <w:szCs w:val="18"/>
                <w:lang w:val="en-GB"/>
              </w:rPr>
            </w:pPr>
            <w:r w:rsidRPr="00676326">
              <w:rPr>
                <w:b/>
                <w:sz w:val="18"/>
                <w:szCs w:val="18"/>
                <w:lang w:val="en-GB"/>
              </w:rPr>
              <w:t>VIREAD</w:t>
            </w:r>
          </w:p>
          <w:p w:rsidR="002D4919" w:rsidRPr="00676326" w:rsidRDefault="002D4919" w:rsidP="00676326">
            <w:pPr>
              <w:pStyle w:val="Table-Heading"/>
              <w:spacing w:before="40"/>
              <w:jc w:val="center"/>
              <w:rPr>
                <w:sz w:val="18"/>
                <w:szCs w:val="18"/>
                <w:vertAlign w:val="superscript"/>
                <w:lang w:val="en-GB"/>
              </w:rPr>
            </w:pPr>
            <w:r w:rsidRPr="00676326">
              <w:rPr>
                <w:sz w:val="18"/>
                <w:szCs w:val="18"/>
                <w:lang w:val="en-GB"/>
              </w:rPr>
              <w:t>n = 250</w:t>
            </w:r>
            <w:r w:rsidRPr="00676326">
              <w:rPr>
                <w:sz w:val="18"/>
                <w:szCs w:val="18"/>
                <w:vertAlign w:val="superscript"/>
                <w:lang w:val="en-GB"/>
              </w:rPr>
              <w:t>c</w:t>
            </w:r>
          </w:p>
        </w:tc>
        <w:tc>
          <w:tcPr>
            <w:tcW w:w="1005" w:type="pct"/>
            <w:tcBorders>
              <w:top w:val="single" w:sz="4" w:space="0" w:color="auto"/>
              <w:left w:val="single" w:sz="4" w:space="0" w:color="auto"/>
              <w:bottom w:val="single" w:sz="12" w:space="0" w:color="auto"/>
              <w:right w:val="single" w:sz="4" w:space="0" w:color="auto"/>
            </w:tcBorders>
            <w:vAlign w:val="center"/>
          </w:tcPr>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napToGrid w:val="0"/>
                <w:sz w:val="18"/>
                <w:szCs w:val="18"/>
                <w:lang w:val="en-GB"/>
              </w:rPr>
            </w:pPr>
          </w:p>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napToGrid w:val="0"/>
                <w:sz w:val="18"/>
                <w:szCs w:val="18"/>
                <w:lang w:val="en-GB"/>
              </w:rPr>
            </w:pPr>
          </w:p>
          <w:p w:rsidR="002D4919"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napToGrid w:val="0"/>
                <w:sz w:val="18"/>
                <w:szCs w:val="18"/>
                <w:lang w:val="en-GB"/>
              </w:rPr>
            </w:pPr>
            <w:r w:rsidRPr="00676326">
              <w:rPr>
                <w:b/>
                <w:snapToGrid w:val="0"/>
                <w:sz w:val="18"/>
                <w:szCs w:val="18"/>
                <w:lang w:val="en-GB"/>
              </w:rPr>
              <w:t>HEPSERA Rollover to VIREAD</w:t>
            </w:r>
          </w:p>
          <w:p w:rsidR="002D4919" w:rsidRPr="00676326" w:rsidRDefault="002D4919" w:rsidP="00676326">
            <w:pPr>
              <w:pStyle w:val="Table-Heading"/>
              <w:spacing w:before="40"/>
              <w:jc w:val="center"/>
              <w:rPr>
                <w:sz w:val="18"/>
                <w:szCs w:val="18"/>
                <w:lang w:val="en-GB"/>
              </w:rPr>
            </w:pPr>
            <w:r w:rsidRPr="00676326">
              <w:rPr>
                <w:snapToGrid w:val="0"/>
                <w:sz w:val="18"/>
                <w:szCs w:val="18"/>
                <w:lang w:val="en-GB"/>
              </w:rPr>
              <w:t>n = 125</w:t>
            </w:r>
            <w:r w:rsidRPr="00676326">
              <w:rPr>
                <w:sz w:val="18"/>
                <w:szCs w:val="18"/>
                <w:vertAlign w:val="superscript"/>
                <w:lang w:val="en-GB"/>
              </w:rPr>
              <w:t>d</w:t>
            </w:r>
          </w:p>
        </w:tc>
        <w:tc>
          <w:tcPr>
            <w:tcW w:w="1005" w:type="pct"/>
            <w:tcBorders>
              <w:top w:val="single" w:sz="4" w:space="0" w:color="auto"/>
              <w:left w:val="single" w:sz="4" w:space="0" w:color="auto"/>
              <w:bottom w:val="single" w:sz="12" w:space="0" w:color="auto"/>
              <w:right w:val="single" w:sz="4" w:space="0" w:color="auto"/>
            </w:tcBorders>
            <w:vAlign w:val="center"/>
          </w:tcPr>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z w:val="18"/>
                <w:szCs w:val="18"/>
                <w:lang w:val="en-GB"/>
              </w:rPr>
            </w:pPr>
          </w:p>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z w:val="18"/>
                <w:szCs w:val="18"/>
                <w:lang w:val="en-GB"/>
              </w:rPr>
            </w:pPr>
          </w:p>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z w:val="18"/>
                <w:szCs w:val="18"/>
                <w:lang w:val="en-GB"/>
              </w:rPr>
            </w:pPr>
            <w:r w:rsidRPr="00676326">
              <w:rPr>
                <w:b/>
                <w:sz w:val="18"/>
                <w:szCs w:val="18"/>
                <w:lang w:val="en-GB"/>
              </w:rPr>
              <w:t>VIREAD</w:t>
            </w:r>
          </w:p>
          <w:p w:rsidR="002D4919" w:rsidRPr="00676326" w:rsidRDefault="002D4919" w:rsidP="00676326">
            <w:pPr>
              <w:pStyle w:val="Table-Heading"/>
              <w:spacing w:before="40"/>
              <w:jc w:val="center"/>
              <w:rPr>
                <w:sz w:val="18"/>
                <w:szCs w:val="18"/>
                <w:lang w:val="en-GB"/>
              </w:rPr>
            </w:pPr>
            <w:r w:rsidRPr="00676326">
              <w:rPr>
                <w:sz w:val="18"/>
                <w:szCs w:val="18"/>
                <w:lang w:val="en-GB"/>
              </w:rPr>
              <w:t>n = 176</w:t>
            </w:r>
            <w:r w:rsidRPr="00676326">
              <w:rPr>
                <w:sz w:val="18"/>
                <w:szCs w:val="18"/>
                <w:vertAlign w:val="superscript"/>
                <w:lang w:val="en-GB"/>
              </w:rPr>
              <w:t>c</w:t>
            </w:r>
          </w:p>
        </w:tc>
        <w:tc>
          <w:tcPr>
            <w:tcW w:w="1005" w:type="pct"/>
            <w:tcBorders>
              <w:top w:val="single" w:sz="4" w:space="0" w:color="auto"/>
              <w:left w:val="single" w:sz="4" w:space="0" w:color="auto"/>
              <w:bottom w:val="single" w:sz="12" w:space="0" w:color="auto"/>
              <w:right w:val="single" w:sz="4" w:space="0" w:color="auto"/>
            </w:tcBorders>
            <w:vAlign w:val="center"/>
          </w:tcPr>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napToGrid w:val="0"/>
                <w:sz w:val="18"/>
                <w:szCs w:val="18"/>
                <w:lang w:val="en-GB"/>
              </w:rPr>
            </w:pPr>
          </w:p>
          <w:p w:rsidR="006B3C9B" w:rsidRPr="00676326" w:rsidRDefault="006B3C9B" w:rsidP="00676326">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jc w:val="center"/>
              <w:rPr>
                <w:b/>
                <w:snapToGrid w:val="0"/>
                <w:sz w:val="18"/>
                <w:szCs w:val="18"/>
                <w:lang w:val="en-GB"/>
              </w:rPr>
            </w:pPr>
            <w:r w:rsidRPr="00676326">
              <w:rPr>
                <w:b/>
                <w:snapToGrid w:val="0"/>
                <w:sz w:val="18"/>
                <w:szCs w:val="18"/>
                <w:lang w:val="en-GB"/>
              </w:rPr>
              <w:t>HEPSERA Rollover to VIREAD</w:t>
            </w:r>
          </w:p>
          <w:p w:rsidR="002D4919" w:rsidRPr="00676326" w:rsidRDefault="002D4919" w:rsidP="00676326">
            <w:pPr>
              <w:pStyle w:val="Table-Heading"/>
              <w:spacing w:before="40"/>
              <w:jc w:val="center"/>
              <w:rPr>
                <w:sz w:val="18"/>
                <w:szCs w:val="18"/>
                <w:lang w:val="en-GB"/>
              </w:rPr>
            </w:pPr>
            <w:r w:rsidRPr="00676326">
              <w:rPr>
                <w:snapToGrid w:val="0"/>
                <w:sz w:val="18"/>
                <w:szCs w:val="18"/>
                <w:lang w:val="en-GB"/>
              </w:rPr>
              <w:t>n = 90</w:t>
            </w:r>
            <w:r w:rsidRPr="00676326">
              <w:rPr>
                <w:sz w:val="18"/>
                <w:szCs w:val="18"/>
                <w:vertAlign w:val="superscript"/>
                <w:lang w:val="en-GB"/>
              </w:rPr>
              <w:t>d</w:t>
            </w:r>
          </w:p>
        </w:tc>
      </w:tr>
      <w:tr w:rsidR="002D4919" w:rsidRPr="004265B4" w:rsidTr="006B3C9B">
        <w:tblPrEx>
          <w:tblCellMar>
            <w:top w:w="0" w:type="dxa"/>
            <w:bottom w:w="0" w:type="dxa"/>
          </w:tblCellMar>
        </w:tblPrEx>
        <w:tc>
          <w:tcPr>
            <w:tcW w:w="981" w:type="pct"/>
            <w:tcBorders>
              <w:top w:val="nil"/>
              <w:left w:val="single" w:sz="4" w:space="0" w:color="auto"/>
              <w:bottom w:val="single" w:sz="4" w:space="0" w:color="auto"/>
              <w:right w:val="single" w:sz="4" w:space="0" w:color="auto"/>
            </w:tcBorders>
          </w:tcPr>
          <w:p w:rsidR="002D4919" w:rsidRPr="004265B4" w:rsidRDefault="002D4919" w:rsidP="00BE19E7">
            <w:pPr>
              <w:pStyle w:val="Table-Text"/>
              <w:spacing w:before="40"/>
              <w:rPr>
                <w:sz w:val="18"/>
                <w:szCs w:val="18"/>
                <w:lang w:val="en-GB"/>
              </w:rPr>
            </w:pPr>
            <w:r w:rsidRPr="004265B4">
              <w:rPr>
                <w:sz w:val="18"/>
                <w:szCs w:val="18"/>
                <w:lang w:val="en-GB"/>
              </w:rPr>
              <w:t>Histological response</w:t>
            </w:r>
            <w:r w:rsidRPr="004265B4">
              <w:rPr>
                <w:sz w:val="18"/>
                <w:szCs w:val="18"/>
                <w:vertAlign w:val="superscript"/>
                <w:lang w:val="en-GB"/>
              </w:rPr>
              <w:t>a,b</w:t>
            </w:r>
            <w:r w:rsidRPr="004265B4">
              <w:rPr>
                <w:sz w:val="18"/>
                <w:szCs w:val="18"/>
                <w:lang w:val="en-GB"/>
              </w:rPr>
              <w:t xml:space="preserve"> (%) </w:t>
            </w:r>
          </w:p>
        </w:tc>
        <w:tc>
          <w:tcPr>
            <w:tcW w:w="1004" w:type="pct"/>
            <w:tcBorders>
              <w:top w:val="nil"/>
              <w:left w:val="single" w:sz="4" w:space="0" w:color="auto"/>
              <w:bottom w:val="single" w:sz="4" w:space="0" w:color="auto"/>
              <w:right w:val="single" w:sz="4" w:space="0" w:color="auto"/>
            </w:tcBorders>
          </w:tcPr>
          <w:p w:rsidR="002D4919" w:rsidRPr="004265B4" w:rsidRDefault="002D4919" w:rsidP="00BE19E7">
            <w:pPr>
              <w:pStyle w:val="TableCenter"/>
              <w:keepNext/>
              <w:keepLines/>
              <w:spacing w:before="40"/>
              <w:rPr>
                <w:sz w:val="18"/>
                <w:szCs w:val="18"/>
                <w:lang w:val="en-GB"/>
              </w:rPr>
            </w:pPr>
            <w:r w:rsidRPr="004265B4">
              <w:rPr>
                <w:sz w:val="18"/>
                <w:szCs w:val="18"/>
                <w:lang w:val="en-GB"/>
              </w:rPr>
              <w:t>88</w:t>
            </w:r>
          </w:p>
          <w:p w:rsidR="002D4919" w:rsidRPr="004265B4" w:rsidRDefault="002D4919" w:rsidP="00BE19E7">
            <w:pPr>
              <w:pStyle w:val="TableCenter"/>
              <w:keepNext/>
              <w:keepLines/>
              <w:spacing w:before="40"/>
              <w:rPr>
                <w:sz w:val="18"/>
                <w:szCs w:val="18"/>
                <w:lang w:val="en-GB"/>
              </w:rPr>
            </w:pPr>
            <w:r w:rsidRPr="004265B4">
              <w:rPr>
                <w:sz w:val="18"/>
                <w:szCs w:val="18"/>
                <w:lang w:val="en-GB"/>
              </w:rPr>
              <w:t>[130/148]</w:t>
            </w:r>
          </w:p>
        </w:tc>
        <w:tc>
          <w:tcPr>
            <w:tcW w:w="1005" w:type="pct"/>
            <w:tcBorders>
              <w:top w:val="nil"/>
              <w:left w:val="single" w:sz="4" w:space="0" w:color="auto"/>
              <w:bottom w:val="single" w:sz="4" w:space="0" w:color="auto"/>
              <w:right w:val="single" w:sz="4" w:space="0" w:color="auto"/>
            </w:tcBorders>
          </w:tcPr>
          <w:p w:rsidR="002D4919" w:rsidRPr="004265B4" w:rsidRDefault="002D4919" w:rsidP="00BE19E7">
            <w:pPr>
              <w:pStyle w:val="TableCenter"/>
              <w:keepNext/>
              <w:keepLines/>
              <w:spacing w:before="40"/>
              <w:rPr>
                <w:sz w:val="18"/>
                <w:szCs w:val="18"/>
                <w:lang w:val="en-GB"/>
              </w:rPr>
            </w:pPr>
            <w:r w:rsidRPr="004265B4">
              <w:rPr>
                <w:sz w:val="18"/>
                <w:szCs w:val="18"/>
                <w:lang w:val="en-GB"/>
              </w:rPr>
              <w:t>85</w:t>
            </w:r>
          </w:p>
          <w:p w:rsidR="002D4919" w:rsidRPr="004265B4" w:rsidRDefault="002D4919" w:rsidP="00BE19E7">
            <w:pPr>
              <w:pStyle w:val="TableCenter"/>
              <w:keepNext/>
              <w:keepLines/>
              <w:spacing w:before="40"/>
              <w:rPr>
                <w:sz w:val="18"/>
                <w:szCs w:val="18"/>
                <w:lang w:val="en-GB"/>
              </w:rPr>
            </w:pPr>
            <w:r w:rsidRPr="004265B4">
              <w:rPr>
                <w:sz w:val="18"/>
                <w:szCs w:val="18"/>
                <w:lang w:val="en-GB"/>
              </w:rPr>
              <w:t>[63/74]</w:t>
            </w:r>
          </w:p>
        </w:tc>
        <w:tc>
          <w:tcPr>
            <w:tcW w:w="1005" w:type="pct"/>
            <w:tcBorders>
              <w:top w:val="nil"/>
              <w:left w:val="single" w:sz="4" w:space="0" w:color="auto"/>
              <w:bottom w:val="single" w:sz="4" w:space="0" w:color="auto"/>
              <w:right w:val="single" w:sz="4" w:space="0" w:color="auto"/>
            </w:tcBorders>
          </w:tcPr>
          <w:p w:rsidR="002D4919" w:rsidRPr="004265B4" w:rsidRDefault="002D4919" w:rsidP="00BE19E7">
            <w:pPr>
              <w:pStyle w:val="TableCenter"/>
              <w:keepNext/>
              <w:keepLines/>
              <w:spacing w:before="40"/>
              <w:rPr>
                <w:sz w:val="18"/>
                <w:szCs w:val="18"/>
                <w:lang w:val="en-GB"/>
              </w:rPr>
            </w:pPr>
            <w:r w:rsidRPr="004265B4">
              <w:rPr>
                <w:sz w:val="18"/>
                <w:szCs w:val="18"/>
                <w:lang w:val="en-GB"/>
              </w:rPr>
              <w:t>90</w:t>
            </w:r>
          </w:p>
          <w:p w:rsidR="002D4919" w:rsidRPr="004265B4" w:rsidRDefault="002D4919" w:rsidP="00BE19E7">
            <w:pPr>
              <w:pStyle w:val="TableCenter"/>
              <w:keepNext/>
              <w:keepLines/>
              <w:spacing w:before="40"/>
              <w:rPr>
                <w:sz w:val="18"/>
                <w:szCs w:val="18"/>
                <w:lang w:val="en-GB"/>
              </w:rPr>
            </w:pPr>
            <w:r w:rsidRPr="004265B4">
              <w:rPr>
                <w:sz w:val="18"/>
                <w:szCs w:val="18"/>
                <w:lang w:val="en-GB"/>
              </w:rPr>
              <w:t>[63/70]</w:t>
            </w:r>
          </w:p>
        </w:tc>
        <w:tc>
          <w:tcPr>
            <w:tcW w:w="1005" w:type="pct"/>
            <w:tcBorders>
              <w:top w:val="nil"/>
              <w:left w:val="single" w:sz="4" w:space="0" w:color="auto"/>
              <w:bottom w:val="single" w:sz="4" w:space="0" w:color="auto"/>
              <w:right w:val="single" w:sz="4" w:space="0" w:color="auto"/>
            </w:tcBorders>
          </w:tcPr>
          <w:p w:rsidR="002D4919" w:rsidRPr="004265B4" w:rsidRDefault="002D4919" w:rsidP="00BE19E7">
            <w:pPr>
              <w:pStyle w:val="TableCenter"/>
              <w:keepNext/>
              <w:keepLines/>
              <w:spacing w:before="40"/>
              <w:rPr>
                <w:sz w:val="18"/>
                <w:szCs w:val="18"/>
                <w:lang w:val="en-GB"/>
              </w:rPr>
            </w:pPr>
            <w:r w:rsidRPr="004265B4">
              <w:rPr>
                <w:sz w:val="18"/>
                <w:szCs w:val="18"/>
                <w:lang w:val="en-GB"/>
              </w:rPr>
              <w:t>92</w:t>
            </w:r>
          </w:p>
          <w:p w:rsidR="002D4919" w:rsidRPr="004265B4" w:rsidRDefault="002D4919" w:rsidP="00BE19E7">
            <w:pPr>
              <w:pStyle w:val="TableCenter"/>
              <w:keepNext/>
              <w:keepLines/>
              <w:spacing w:before="40"/>
              <w:rPr>
                <w:sz w:val="18"/>
                <w:szCs w:val="18"/>
                <w:lang w:val="en-GB"/>
              </w:rPr>
            </w:pPr>
            <w:r w:rsidRPr="004265B4">
              <w:rPr>
                <w:sz w:val="18"/>
                <w:szCs w:val="18"/>
                <w:lang w:val="en-GB"/>
              </w:rPr>
              <w:t>[36/39]</w:t>
            </w:r>
          </w:p>
        </w:tc>
      </w:tr>
    </w:tbl>
    <w:p w:rsidR="002D4919" w:rsidRPr="006B3C9B" w:rsidRDefault="002D4919" w:rsidP="002D4919">
      <w:pPr>
        <w:pStyle w:val="Table-Footer"/>
        <w:ind w:left="0" w:firstLine="0"/>
        <w:rPr>
          <w:rFonts w:ascii="Times New Roman" w:hAnsi="Times New Roman"/>
          <w:sz w:val="18"/>
          <w:szCs w:val="18"/>
          <w:lang w:val="en-GB"/>
        </w:rPr>
      </w:pPr>
      <w:r w:rsidRPr="004265B4">
        <w:rPr>
          <w:sz w:val="18"/>
          <w:szCs w:val="18"/>
          <w:vertAlign w:val="superscript"/>
          <w:lang w:val="en-GB"/>
        </w:rPr>
        <w:t>a</w:t>
      </w:r>
      <w:r w:rsidRPr="004265B4">
        <w:rPr>
          <w:sz w:val="18"/>
          <w:szCs w:val="18"/>
          <w:lang w:val="en-GB"/>
        </w:rPr>
        <w:t xml:space="preserve"> </w:t>
      </w:r>
      <w:r w:rsidRPr="006B3C9B">
        <w:rPr>
          <w:rFonts w:ascii="Times New Roman" w:hAnsi="Times New Roman"/>
          <w:sz w:val="18"/>
          <w:szCs w:val="18"/>
          <w:lang w:val="en-GB"/>
        </w:rPr>
        <w:t xml:space="preserve">The population used for analysis of histology included only patients with available liver biopsy data (Missing = Excluded) by week 240.  Response after addition of emtricitabine is excluded (total of 17 subjects across both studies). </w:t>
      </w:r>
    </w:p>
    <w:p w:rsidR="002D4919" w:rsidRPr="006B3C9B" w:rsidRDefault="002D4919" w:rsidP="002D4919">
      <w:pPr>
        <w:pStyle w:val="Table-Footer"/>
        <w:ind w:left="357" w:hanging="357"/>
        <w:rPr>
          <w:rFonts w:ascii="Times New Roman" w:hAnsi="Times New Roman"/>
          <w:sz w:val="18"/>
          <w:szCs w:val="18"/>
          <w:lang w:val="en-GB"/>
        </w:rPr>
      </w:pPr>
      <w:r w:rsidRPr="006B3C9B">
        <w:rPr>
          <w:rFonts w:ascii="Times New Roman" w:hAnsi="Times New Roman"/>
          <w:sz w:val="18"/>
          <w:szCs w:val="18"/>
          <w:vertAlign w:val="superscript"/>
          <w:lang w:val="en-GB"/>
        </w:rPr>
        <w:t>b</w:t>
      </w:r>
      <w:r w:rsidRPr="006B3C9B">
        <w:rPr>
          <w:rFonts w:ascii="Times New Roman" w:hAnsi="Times New Roman"/>
          <w:sz w:val="18"/>
          <w:szCs w:val="18"/>
          <w:lang w:val="en-GB"/>
        </w:rPr>
        <w:t xml:space="preserve"> Knodell necroinflammatory score improvement of at least 2 points without worsening in Knodell fibrosis score.</w:t>
      </w:r>
    </w:p>
    <w:p w:rsidR="002D4919" w:rsidRPr="006B3C9B" w:rsidRDefault="002D4919" w:rsidP="002D4919">
      <w:pPr>
        <w:pStyle w:val="Table-Footer"/>
        <w:ind w:left="357" w:hanging="357"/>
        <w:rPr>
          <w:rFonts w:ascii="Times New Roman" w:hAnsi="Times New Roman"/>
          <w:sz w:val="18"/>
          <w:szCs w:val="18"/>
          <w:lang w:val="en-GB"/>
        </w:rPr>
      </w:pPr>
      <w:r w:rsidRPr="006B3C9B">
        <w:rPr>
          <w:rFonts w:ascii="Times New Roman" w:hAnsi="Times New Roman"/>
          <w:sz w:val="18"/>
          <w:szCs w:val="18"/>
          <w:vertAlign w:val="superscript"/>
          <w:lang w:val="en-GB"/>
        </w:rPr>
        <w:t>c</w:t>
      </w:r>
      <w:r w:rsidRPr="006B3C9B">
        <w:rPr>
          <w:rFonts w:ascii="Times New Roman" w:hAnsi="Times New Roman"/>
          <w:sz w:val="18"/>
          <w:szCs w:val="18"/>
          <w:lang w:val="en-GB"/>
        </w:rPr>
        <w:t xml:space="preserve"> 48 weeks double-blind </w:t>
      </w:r>
      <w:r w:rsidR="00CC1391">
        <w:rPr>
          <w:rFonts w:ascii="Times New Roman" w:hAnsi="Times New Roman"/>
          <w:snapToGrid w:val="0"/>
          <w:sz w:val="18"/>
          <w:szCs w:val="18"/>
          <w:lang w:val="en-GB"/>
        </w:rPr>
        <w:t>VIREAD</w:t>
      </w:r>
      <w:r w:rsidRPr="006B3C9B">
        <w:rPr>
          <w:rFonts w:ascii="Times New Roman" w:hAnsi="Times New Roman"/>
          <w:snapToGrid w:val="0"/>
          <w:sz w:val="18"/>
          <w:szCs w:val="18"/>
          <w:lang w:val="en-GB"/>
        </w:rPr>
        <w:t xml:space="preserve"> </w:t>
      </w:r>
      <w:r w:rsidRPr="006B3C9B">
        <w:rPr>
          <w:rFonts w:ascii="Times New Roman" w:hAnsi="Times New Roman"/>
          <w:sz w:val="18"/>
          <w:szCs w:val="18"/>
          <w:lang w:val="en-GB"/>
        </w:rPr>
        <w:t>followed by up to 192 weeks open-label.</w:t>
      </w:r>
    </w:p>
    <w:p w:rsidR="002D4919" w:rsidRPr="004265B4" w:rsidRDefault="002D4919" w:rsidP="002D4919">
      <w:pPr>
        <w:pStyle w:val="Table-Footer"/>
        <w:ind w:left="357" w:hanging="357"/>
        <w:rPr>
          <w:sz w:val="18"/>
          <w:szCs w:val="18"/>
          <w:lang w:val="en-GB"/>
        </w:rPr>
      </w:pPr>
      <w:r w:rsidRPr="006B3C9B">
        <w:rPr>
          <w:rFonts w:ascii="Times New Roman" w:hAnsi="Times New Roman"/>
          <w:sz w:val="18"/>
          <w:szCs w:val="18"/>
          <w:vertAlign w:val="superscript"/>
          <w:lang w:val="en-GB"/>
        </w:rPr>
        <w:t>d</w:t>
      </w:r>
      <w:r w:rsidRPr="006B3C9B">
        <w:rPr>
          <w:rFonts w:ascii="Times New Roman" w:hAnsi="Times New Roman"/>
          <w:sz w:val="18"/>
          <w:szCs w:val="18"/>
          <w:lang w:val="en-GB"/>
        </w:rPr>
        <w:t xml:space="preserve"> 48 weeks double-blind </w:t>
      </w:r>
      <w:r w:rsidR="00CC1391">
        <w:rPr>
          <w:rFonts w:ascii="Times New Roman" w:hAnsi="Times New Roman"/>
          <w:snapToGrid w:val="0"/>
          <w:sz w:val="18"/>
          <w:szCs w:val="18"/>
          <w:lang w:val="en-GB"/>
        </w:rPr>
        <w:t>HEPSERA</w:t>
      </w:r>
      <w:r w:rsidRPr="006B3C9B">
        <w:rPr>
          <w:rFonts w:ascii="Times New Roman" w:hAnsi="Times New Roman"/>
          <w:snapToGrid w:val="0"/>
          <w:sz w:val="18"/>
          <w:szCs w:val="18"/>
          <w:lang w:val="en-GB"/>
        </w:rPr>
        <w:t xml:space="preserve"> </w:t>
      </w:r>
      <w:r w:rsidRPr="006B3C9B">
        <w:rPr>
          <w:rFonts w:ascii="Times New Roman" w:hAnsi="Times New Roman"/>
          <w:sz w:val="18"/>
          <w:szCs w:val="18"/>
          <w:lang w:val="en-GB"/>
        </w:rPr>
        <w:t xml:space="preserve">followed by up to 192 weeks open-label </w:t>
      </w:r>
      <w:r w:rsidR="00CC1391">
        <w:rPr>
          <w:rFonts w:ascii="Times New Roman" w:hAnsi="Times New Roman"/>
          <w:snapToGrid w:val="0"/>
          <w:sz w:val="18"/>
          <w:szCs w:val="18"/>
          <w:lang w:val="en-GB"/>
        </w:rPr>
        <w:t>VIREAD</w:t>
      </w:r>
    </w:p>
    <w:p w:rsidR="00CE4721" w:rsidRDefault="00CE4721" w:rsidP="00180C79">
      <w:pPr>
        <w:pStyle w:val="Text1"/>
        <w:spacing w:after="0"/>
        <w:jc w:val="both"/>
        <w:rPr>
          <w:sz w:val="18"/>
          <w:szCs w:val="18"/>
        </w:rPr>
      </w:pPr>
    </w:p>
    <w:p w:rsidR="00CE4721" w:rsidRDefault="00CE4721" w:rsidP="00180C79">
      <w:pPr>
        <w:pStyle w:val="Text1"/>
        <w:spacing w:after="0"/>
        <w:jc w:val="both"/>
        <w:rPr>
          <w:sz w:val="18"/>
          <w:szCs w:val="18"/>
        </w:rPr>
      </w:pPr>
    </w:p>
    <w:p w:rsidR="00180C79" w:rsidRPr="00863E90" w:rsidRDefault="00180C79" w:rsidP="00180C79">
      <w:pPr>
        <w:pStyle w:val="Text1"/>
        <w:spacing w:after="0"/>
        <w:jc w:val="both"/>
        <w:rPr>
          <w:sz w:val="18"/>
          <w:szCs w:val="18"/>
        </w:rPr>
      </w:pPr>
      <w:r w:rsidRPr="00863E90">
        <w:rPr>
          <w:szCs w:val="24"/>
        </w:rPr>
        <w:t xml:space="preserve">When the data were evaluated including only patients that completed </w:t>
      </w:r>
      <w:r w:rsidR="002D2514">
        <w:rPr>
          <w:szCs w:val="24"/>
        </w:rPr>
        <w:t>240</w:t>
      </w:r>
      <w:r w:rsidR="002D2514" w:rsidRPr="00863E90">
        <w:rPr>
          <w:szCs w:val="24"/>
        </w:rPr>
        <w:t xml:space="preserve"> </w:t>
      </w:r>
      <w:r w:rsidRPr="00863E90">
        <w:rPr>
          <w:szCs w:val="24"/>
        </w:rPr>
        <w:t>weeks of therapy (</w:t>
      </w:r>
      <w:r>
        <w:rPr>
          <w:szCs w:val="24"/>
        </w:rPr>
        <w:t>observed (missing data is excluded) and data after the addition of emtricitabine included</w:t>
      </w:r>
      <w:r w:rsidRPr="00863E90">
        <w:rPr>
          <w:szCs w:val="24"/>
        </w:rPr>
        <w:t xml:space="preserve">; on-therapy analysis), in the group of patients who received 48 weeks of double-blind treatment with </w:t>
      </w:r>
      <w:r w:rsidRPr="00863E90">
        <w:rPr>
          <w:szCs w:val="24"/>
        </w:rPr>
        <w:lastRenderedPageBreak/>
        <w:t xml:space="preserve">VIREAD followed by open-label treatment with VIREAD; </w:t>
      </w:r>
      <w:r>
        <w:rPr>
          <w:szCs w:val="24"/>
        </w:rPr>
        <w:t>99</w:t>
      </w:r>
      <w:r w:rsidRPr="00863E90">
        <w:rPr>
          <w:szCs w:val="24"/>
        </w:rPr>
        <w:t xml:space="preserve">% and </w:t>
      </w:r>
      <w:r>
        <w:rPr>
          <w:szCs w:val="24"/>
        </w:rPr>
        <w:t>96</w:t>
      </w:r>
      <w:r w:rsidRPr="00863E90">
        <w:rPr>
          <w:szCs w:val="24"/>
        </w:rPr>
        <w:t xml:space="preserve">% of patients had HBV DNA &lt; 400 copies/mL and </w:t>
      </w:r>
      <w:r w:rsidR="00865DD9">
        <w:rPr>
          <w:szCs w:val="24"/>
        </w:rPr>
        <w:t>85</w:t>
      </w:r>
      <w:r w:rsidR="001B3A3F">
        <w:rPr>
          <w:szCs w:val="24"/>
        </w:rPr>
        <w:t xml:space="preserve"> (155/183)</w:t>
      </w:r>
      <w:r w:rsidRPr="00863E90">
        <w:rPr>
          <w:szCs w:val="24"/>
        </w:rPr>
        <w:t xml:space="preserve">% and </w:t>
      </w:r>
      <w:r w:rsidR="00F31C9A">
        <w:rPr>
          <w:szCs w:val="24"/>
        </w:rPr>
        <w:t>69</w:t>
      </w:r>
      <w:r w:rsidR="001B3A3F">
        <w:rPr>
          <w:szCs w:val="24"/>
        </w:rPr>
        <w:t xml:space="preserve"> (71/103)</w:t>
      </w:r>
      <w:r w:rsidRPr="00863E90">
        <w:rPr>
          <w:szCs w:val="24"/>
        </w:rPr>
        <w:t xml:space="preserve">% of patients had ALT normalisation at week </w:t>
      </w:r>
      <w:r w:rsidR="002F29FE">
        <w:rPr>
          <w:szCs w:val="24"/>
        </w:rPr>
        <w:t>240</w:t>
      </w:r>
      <w:r w:rsidRPr="00863E90">
        <w:rPr>
          <w:szCs w:val="24"/>
        </w:rPr>
        <w:t xml:space="preserve">, in studies 0102 and 0103 respectively.  In study 0103, </w:t>
      </w:r>
      <w:r w:rsidR="00F31C9A">
        <w:rPr>
          <w:szCs w:val="24"/>
        </w:rPr>
        <w:t>50</w:t>
      </w:r>
      <w:r w:rsidR="001B3A3F">
        <w:rPr>
          <w:szCs w:val="24"/>
        </w:rPr>
        <w:t xml:space="preserve"> (52/104)</w:t>
      </w:r>
      <w:r w:rsidRPr="00863E90">
        <w:rPr>
          <w:szCs w:val="24"/>
        </w:rPr>
        <w:t>%/</w:t>
      </w:r>
      <w:r w:rsidR="00F31C9A">
        <w:rPr>
          <w:szCs w:val="24"/>
        </w:rPr>
        <w:t>40</w:t>
      </w:r>
      <w:r w:rsidR="001B3A3F">
        <w:rPr>
          <w:szCs w:val="24"/>
        </w:rPr>
        <w:t xml:space="preserve"> (41/103)</w:t>
      </w:r>
      <w:r w:rsidRPr="00863E90">
        <w:rPr>
          <w:szCs w:val="24"/>
        </w:rPr>
        <w:t xml:space="preserve">% of patients experienced HBeAg loss/seroconversion, </w:t>
      </w:r>
      <w:r>
        <w:rPr>
          <w:szCs w:val="24"/>
        </w:rPr>
        <w:t>1</w:t>
      </w:r>
      <w:r w:rsidR="002D09A9">
        <w:rPr>
          <w:szCs w:val="24"/>
        </w:rPr>
        <w:t>1</w:t>
      </w:r>
      <w:r w:rsidRPr="00863E90">
        <w:rPr>
          <w:szCs w:val="24"/>
        </w:rPr>
        <w:t xml:space="preserve">% of patients experienced HBsAg loss and </w:t>
      </w:r>
      <w:r>
        <w:rPr>
          <w:szCs w:val="24"/>
        </w:rPr>
        <w:t>8</w:t>
      </w:r>
      <w:r w:rsidRPr="00863E90">
        <w:rPr>
          <w:szCs w:val="24"/>
        </w:rPr>
        <w:t xml:space="preserve">% of patients experienced HBsAg seroconversion </w:t>
      </w:r>
      <w:r w:rsidR="002F29FE">
        <w:rPr>
          <w:szCs w:val="24"/>
        </w:rPr>
        <w:t>by</w:t>
      </w:r>
      <w:r w:rsidRPr="00863E90">
        <w:rPr>
          <w:szCs w:val="24"/>
        </w:rPr>
        <w:t xml:space="preserve"> week </w:t>
      </w:r>
      <w:r w:rsidR="00F31C9A">
        <w:rPr>
          <w:szCs w:val="24"/>
        </w:rPr>
        <w:t>240</w:t>
      </w:r>
      <w:r w:rsidR="00CC1391">
        <w:rPr>
          <w:szCs w:val="24"/>
        </w:rPr>
        <w:t>.</w:t>
      </w:r>
    </w:p>
    <w:p w:rsidR="00882CDB" w:rsidRPr="00D54529" w:rsidRDefault="00882CDB" w:rsidP="00F4152A">
      <w:pPr>
        <w:pStyle w:val="Text1"/>
        <w:spacing w:after="0"/>
        <w:jc w:val="both"/>
        <w:rPr>
          <w:szCs w:val="24"/>
        </w:rPr>
      </w:pPr>
    </w:p>
    <w:p w:rsidR="00180C79" w:rsidRDefault="00180C79" w:rsidP="00180C79">
      <w:pPr>
        <w:pStyle w:val="Text1"/>
        <w:spacing w:after="0"/>
        <w:jc w:val="both"/>
        <w:rPr>
          <w:szCs w:val="24"/>
        </w:rPr>
      </w:pPr>
      <w:r w:rsidRPr="00451692">
        <w:rPr>
          <w:szCs w:val="24"/>
        </w:rPr>
        <w:t xml:space="preserve">Similarly (using the on-therapy analysis), in the group of patients who received 48 weeks of double-blind treatment with HEPSERA followed by open-label treatment with VIREAD; </w:t>
      </w:r>
      <w:r w:rsidR="005C0ACA">
        <w:rPr>
          <w:szCs w:val="24"/>
        </w:rPr>
        <w:t>99</w:t>
      </w:r>
      <w:r w:rsidR="00C96017">
        <w:rPr>
          <w:szCs w:val="24"/>
        </w:rPr>
        <w:t xml:space="preserve"> (99/100)</w:t>
      </w:r>
      <w:r w:rsidRPr="00451692">
        <w:rPr>
          <w:szCs w:val="24"/>
        </w:rPr>
        <w:t xml:space="preserve">% and </w:t>
      </w:r>
      <w:r w:rsidR="005C0ACA">
        <w:rPr>
          <w:szCs w:val="24"/>
        </w:rPr>
        <w:t>100</w:t>
      </w:r>
      <w:r w:rsidR="00C96017">
        <w:rPr>
          <w:szCs w:val="24"/>
        </w:rPr>
        <w:t xml:space="preserve"> (64/64)</w:t>
      </w:r>
      <w:r w:rsidRPr="00451692">
        <w:rPr>
          <w:szCs w:val="24"/>
        </w:rPr>
        <w:t xml:space="preserve">% of patients had HBV DNA &lt; 400 copies/mL and </w:t>
      </w:r>
      <w:r>
        <w:rPr>
          <w:szCs w:val="24"/>
        </w:rPr>
        <w:t>86</w:t>
      </w:r>
      <w:r w:rsidRPr="00451692">
        <w:rPr>
          <w:szCs w:val="24"/>
        </w:rPr>
        <w:t xml:space="preserve">% and </w:t>
      </w:r>
      <w:r>
        <w:rPr>
          <w:szCs w:val="24"/>
        </w:rPr>
        <w:t>80</w:t>
      </w:r>
      <w:r w:rsidRPr="00451692">
        <w:rPr>
          <w:szCs w:val="24"/>
        </w:rPr>
        <w:t xml:space="preserve">% of patients had ALT normalisation, at week </w:t>
      </w:r>
      <w:r w:rsidR="005C0ACA">
        <w:rPr>
          <w:szCs w:val="24"/>
        </w:rPr>
        <w:t>240</w:t>
      </w:r>
      <w:r w:rsidRPr="00451692">
        <w:rPr>
          <w:szCs w:val="24"/>
        </w:rPr>
        <w:t xml:space="preserve">, in studies 0102 and 0103 respectively.  In study 0103, </w:t>
      </w:r>
      <w:r>
        <w:rPr>
          <w:szCs w:val="24"/>
        </w:rPr>
        <w:t>4</w:t>
      </w:r>
      <w:r w:rsidR="005C0ACA">
        <w:rPr>
          <w:szCs w:val="24"/>
        </w:rPr>
        <w:t>8</w:t>
      </w:r>
      <w:r w:rsidRPr="00451692">
        <w:rPr>
          <w:szCs w:val="24"/>
        </w:rPr>
        <w:t>%/</w:t>
      </w:r>
      <w:r w:rsidR="005C0ACA">
        <w:rPr>
          <w:szCs w:val="24"/>
        </w:rPr>
        <w:t>41</w:t>
      </w:r>
      <w:r w:rsidRPr="00451692">
        <w:rPr>
          <w:szCs w:val="24"/>
        </w:rPr>
        <w:t xml:space="preserve">% of patients experienced HBeAg loss/seroconversion, </w:t>
      </w:r>
      <w:r w:rsidR="005C0ACA">
        <w:rPr>
          <w:szCs w:val="24"/>
        </w:rPr>
        <w:t>10</w:t>
      </w:r>
      <w:r w:rsidRPr="00451692">
        <w:rPr>
          <w:szCs w:val="24"/>
        </w:rPr>
        <w:t xml:space="preserve">% of patients experienced HBsAg loss and </w:t>
      </w:r>
      <w:r w:rsidR="005C0ACA">
        <w:rPr>
          <w:szCs w:val="24"/>
        </w:rPr>
        <w:t>10</w:t>
      </w:r>
      <w:r w:rsidRPr="00451692">
        <w:rPr>
          <w:szCs w:val="24"/>
        </w:rPr>
        <w:t>% of patients experienced HBsAg seroconversion, while on VIREAD.</w:t>
      </w:r>
    </w:p>
    <w:p w:rsidR="00701AC5" w:rsidRPr="00701AC5" w:rsidRDefault="00701AC5" w:rsidP="00F4152A">
      <w:pPr>
        <w:pStyle w:val="Text1"/>
        <w:spacing w:after="0"/>
        <w:jc w:val="both"/>
        <w:rPr>
          <w:szCs w:val="24"/>
        </w:rPr>
      </w:pPr>
    </w:p>
    <w:p w:rsidR="006064BD" w:rsidRPr="00701AC5" w:rsidRDefault="006064BD" w:rsidP="006A52F8">
      <w:pPr>
        <w:pStyle w:val="Text1"/>
        <w:spacing w:after="0"/>
        <w:jc w:val="both"/>
        <w:rPr>
          <w:szCs w:val="24"/>
          <w:lang w:val="en-GB"/>
        </w:rPr>
      </w:pPr>
      <w:r w:rsidRPr="00936B54">
        <w:rPr>
          <w:szCs w:val="24"/>
          <w:lang w:val="en-GB"/>
        </w:rPr>
        <w:t>The proportion of patients in studies 0102 and 0103 with HBV DNA &lt; 400 copies/mL are shown in Figure</w:t>
      </w:r>
      <w:r w:rsidR="002E2C61" w:rsidRPr="00936B54">
        <w:rPr>
          <w:szCs w:val="24"/>
          <w:lang w:val="en-GB"/>
        </w:rPr>
        <w:t>s</w:t>
      </w:r>
      <w:r w:rsidRPr="00936B54">
        <w:rPr>
          <w:szCs w:val="24"/>
          <w:lang w:val="en-GB"/>
        </w:rPr>
        <w:t xml:space="preserve"> 3</w:t>
      </w:r>
      <w:r w:rsidR="002E2C61" w:rsidRPr="00936B54">
        <w:rPr>
          <w:szCs w:val="24"/>
          <w:lang w:val="en-GB"/>
        </w:rPr>
        <w:t xml:space="preserve"> and 4</w:t>
      </w:r>
      <w:r w:rsidRPr="00936B54">
        <w:rPr>
          <w:szCs w:val="24"/>
          <w:lang w:val="en-GB"/>
        </w:rPr>
        <w:t>.</w:t>
      </w:r>
    </w:p>
    <w:p w:rsidR="006064BD" w:rsidRDefault="006064BD" w:rsidP="006A52F8">
      <w:pPr>
        <w:pStyle w:val="Text1"/>
        <w:spacing w:after="0"/>
        <w:jc w:val="both"/>
        <w:rPr>
          <w:szCs w:val="24"/>
          <w:lang w:val="en-GB"/>
        </w:rPr>
      </w:pPr>
    </w:p>
    <w:p w:rsidR="00DC46AA" w:rsidRPr="00701AC5" w:rsidRDefault="00DC46AA" w:rsidP="006A52F8">
      <w:pPr>
        <w:pStyle w:val="Text1"/>
        <w:spacing w:after="0"/>
        <w:jc w:val="both"/>
        <w:rPr>
          <w:szCs w:val="24"/>
          <w:lang w:val="en-GB"/>
        </w:rPr>
      </w:pPr>
    </w:p>
    <w:p w:rsidR="00DC5517" w:rsidRDefault="006064BD" w:rsidP="00F4152A">
      <w:pPr>
        <w:pStyle w:val="Text1"/>
        <w:spacing w:after="0"/>
        <w:jc w:val="both"/>
        <w:rPr>
          <w:b/>
          <w:szCs w:val="24"/>
          <w:lang w:val="en-GB"/>
        </w:rPr>
      </w:pPr>
      <w:r w:rsidRPr="00DC5517">
        <w:rPr>
          <w:b/>
          <w:szCs w:val="24"/>
          <w:lang w:val="en-GB"/>
        </w:rPr>
        <w:t>Figure 3</w:t>
      </w:r>
      <w:r w:rsidRPr="00DC5517">
        <w:rPr>
          <w:b/>
          <w:szCs w:val="24"/>
          <w:lang w:val="en-GB"/>
        </w:rPr>
        <w:tab/>
        <w:t>Proportion of Patients with HBV DNA &lt;400 copies/mL by Visit (Stud</w:t>
      </w:r>
      <w:r w:rsidR="002E2C61" w:rsidRPr="00DC5517">
        <w:rPr>
          <w:b/>
          <w:szCs w:val="24"/>
          <w:lang w:val="en-GB"/>
        </w:rPr>
        <w:t>y</w:t>
      </w:r>
      <w:r w:rsidR="003721DB" w:rsidRPr="00DC5517">
        <w:rPr>
          <w:b/>
          <w:szCs w:val="24"/>
          <w:lang w:val="en-GB"/>
        </w:rPr>
        <w:t xml:space="preserve"> </w:t>
      </w:r>
      <w:r w:rsidR="00A50F31" w:rsidRPr="00DC5517">
        <w:rPr>
          <w:b/>
          <w:szCs w:val="24"/>
          <w:lang w:val="en-GB"/>
        </w:rPr>
        <w:t>0</w:t>
      </w:r>
      <w:r w:rsidR="003721DB" w:rsidRPr="00DC5517">
        <w:rPr>
          <w:b/>
          <w:szCs w:val="24"/>
          <w:lang w:val="en-GB"/>
        </w:rPr>
        <w:t>10</w:t>
      </w:r>
      <w:r w:rsidR="002E2C61" w:rsidRPr="00DC5517">
        <w:rPr>
          <w:b/>
          <w:szCs w:val="24"/>
          <w:lang w:val="en-GB"/>
        </w:rPr>
        <w:t>2</w:t>
      </w:r>
      <w:r w:rsidR="003721DB" w:rsidRPr="00DC5517">
        <w:rPr>
          <w:b/>
          <w:szCs w:val="24"/>
          <w:lang w:val="en-GB"/>
        </w:rPr>
        <w:t>)</w:t>
      </w:r>
    </w:p>
    <w:p w:rsidR="00DC5517" w:rsidRDefault="00F0712F" w:rsidP="00F4152A">
      <w:pPr>
        <w:pStyle w:val="Text1"/>
        <w:spacing w:after="0"/>
        <w:jc w:val="both"/>
        <w:rPr>
          <w:b/>
          <w:szCs w:val="24"/>
          <w:lang w:val="en-GB"/>
        </w:rPr>
      </w:pPr>
      <w:r>
        <w:rPr>
          <w:noProof/>
          <w:lang w:val="en-AU" w:eastAsia="en-AU"/>
        </w:rPr>
        <w:drawing>
          <wp:inline distT="0" distB="0" distL="0" distR="0">
            <wp:extent cx="5478145" cy="2950210"/>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478145" cy="2950210"/>
                    </a:xfrm>
                    <a:prstGeom prst="rect">
                      <a:avLst/>
                    </a:prstGeom>
                    <a:noFill/>
                    <a:ln w="9525">
                      <a:noFill/>
                      <a:miter lim="800000"/>
                      <a:headEnd/>
                      <a:tailEnd/>
                    </a:ln>
                  </pic:spPr>
                </pic:pic>
              </a:graphicData>
            </a:graphic>
          </wp:inline>
        </w:drawing>
      </w:r>
    </w:p>
    <w:p w:rsidR="00497FCB" w:rsidRDefault="00497FCB" w:rsidP="00F4152A">
      <w:pPr>
        <w:pStyle w:val="Text1"/>
        <w:spacing w:after="0"/>
        <w:jc w:val="both"/>
        <w:rPr>
          <w:szCs w:val="24"/>
          <w:lang w:val="en-GB"/>
        </w:rPr>
      </w:pPr>
    </w:p>
    <w:p w:rsidR="00180C79" w:rsidRDefault="00180C79" w:rsidP="00180C79">
      <w:pPr>
        <w:pStyle w:val="Text1"/>
        <w:spacing w:after="0"/>
        <w:jc w:val="both"/>
        <w:rPr>
          <w:sz w:val="20"/>
          <w:lang w:val="en-GB"/>
        </w:rPr>
      </w:pPr>
      <w:r w:rsidRPr="002E2C61">
        <w:rPr>
          <w:sz w:val="20"/>
          <w:lang w:val="en-GB"/>
        </w:rPr>
        <w:t>Randomised and treated patients, LTE Algorithm</w:t>
      </w:r>
      <w:r>
        <w:rPr>
          <w:sz w:val="20"/>
          <w:lang w:val="en-GB"/>
        </w:rPr>
        <w:t xml:space="preserve">; </w:t>
      </w:r>
      <w:r w:rsidR="00DC5517">
        <w:rPr>
          <w:sz w:val="20"/>
          <w:lang w:val="en-GB"/>
        </w:rPr>
        <w:t>240</w:t>
      </w:r>
      <w:r w:rsidR="00767737">
        <w:rPr>
          <w:sz w:val="20"/>
          <w:lang w:val="en-GB"/>
        </w:rPr>
        <w:t xml:space="preserve"> </w:t>
      </w:r>
      <w:r>
        <w:rPr>
          <w:sz w:val="20"/>
          <w:lang w:val="en-GB"/>
        </w:rPr>
        <w:t>week data is also reported in Table 11.</w:t>
      </w:r>
    </w:p>
    <w:p w:rsidR="00180C79" w:rsidRDefault="00180C79" w:rsidP="00180C79">
      <w:pPr>
        <w:pStyle w:val="Text1"/>
        <w:spacing w:after="0"/>
        <w:jc w:val="both"/>
        <w:rPr>
          <w:sz w:val="20"/>
          <w:lang w:val="en-GB"/>
        </w:rPr>
      </w:pPr>
      <w:r>
        <w:rPr>
          <w:sz w:val="20"/>
          <w:lang w:val="en-GB"/>
        </w:rPr>
        <w:t xml:space="preserve">TDF: 48 weeks double-blind VIREAD followed by up to </w:t>
      </w:r>
      <w:r w:rsidR="00DC5517">
        <w:rPr>
          <w:sz w:val="20"/>
          <w:lang w:val="en-GB"/>
        </w:rPr>
        <w:t xml:space="preserve">192 </w:t>
      </w:r>
      <w:r>
        <w:rPr>
          <w:sz w:val="20"/>
          <w:lang w:val="en-GB"/>
        </w:rPr>
        <w:t>weeks open-label</w:t>
      </w:r>
    </w:p>
    <w:p w:rsidR="00180C79" w:rsidRDefault="00180C79" w:rsidP="00180C79">
      <w:pPr>
        <w:pStyle w:val="Text1"/>
        <w:spacing w:after="0"/>
        <w:jc w:val="both"/>
        <w:rPr>
          <w:sz w:val="20"/>
          <w:lang w:val="en-GB"/>
        </w:rPr>
      </w:pPr>
      <w:r>
        <w:rPr>
          <w:sz w:val="20"/>
          <w:lang w:val="en-GB"/>
        </w:rPr>
        <w:t xml:space="preserve">ADV: 48 weeks double-blind HEPSERA followed by up to </w:t>
      </w:r>
      <w:r w:rsidR="00DC5517">
        <w:rPr>
          <w:sz w:val="20"/>
          <w:lang w:val="en-GB"/>
        </w:rPr>
        <w:t xml:space="preserve">192 </w:t>
      </w:r>
      <w:r>
        <w:rPr>
          <w:sz w:val="20"/>
          <w:lang w:val="en-GB"/>
        </w:rPr>
        <w:t>weeks open-label VIREAD.</w:t>
      </w:r>
    </w:p>
    <w:p w:rsidR="001B11D4" w:rsidRDefault="001B11D4" w:rsidP="00180C79">
      <w:pPr>
        <w:pStyle w:val="Text1"/>
        <w:spacing w:after="0"/>
        <w:jc w:val="both"/>
        <w:rPr>
          <w:sz w:val="20"/>
          <w:lang w:val="en-GB"/>
        </w:rPr>
      </w:pPr>
    </w:p>
    <w:p w:rsidR="001B11D4" w:rsidRDefault="001B11D4" w:rsidP="00180C79">
      <w:pPr>
        <w:pStyle w:val="Text1"/>
        <w:spacing w:after="0"/>
        <w:jc w:val="both"/>
        <w:rPr>
          <w:sz w:val="20"/>
          <w:lang w:val="en-GB"/>
        </w:rPr>
      </w:pPr>
    </w:p>
    <w:p w:rsidR="001B11D4" w:rsidRPr="002E2C61" w:rsidRDefault="001B11D4" w:rsidP="00180C79">
      <w:pPr>
        <w:pStyle w:val="Text1"/>
        <w:spacing w:after="0"/>
        <w:jc w:val="both"/>
        <w:rPr>
          <w:sz w:val="20"/>
          <w:lang w:val="en-GB"/>
        </w:rPr>
      </w:pPr>
    </w:p>
    <w:p w:rsidR="002E2C61" w:rsidRDefault="002E2C61" w:rsidP="002E2C61">
      <w:pPr>
        <w:pStyle w:val="Text1"/>
        <w:spacing w:after="0"/>
        <w:jc w:val="both"/>
        <w:rPr>
          <w:b/>
          <w:szCs w:val="24"/>
          <w:lang w:val="en-GB"/>
        </w:rPr>
      </w:pPr>
      <w:r w:rsidRPr="001B11D4">
        <w:rPr>
          <w:b/>
          <w:szCs w:val="24"/>
          <w:lang w:val="en-GB"/>
        </w:rPr>
        <w:t>Figure 4</w:t>
      </w:r>
      <w:r w:rsidRPr="001B11D4">
        <w:rPr>
          <w:b/>
          <w:szCs w:val="24"/>
          <w:lang w:val="en-GB"/>
        </w:rPr>
        <w:tab/>
        <w:t>Proportion of Patients with HBV DNA &lt;400 copies/mL by Visit (Study 0103)</w:t>
      </w:r>
    </w:p>
    <w:p w:rsidR="00691EF5" w:rsidRDefault="00691EF5" w:rsidP="002E2C61">
      <w:pPr>
        <w:pStyle w:val="Text1"/>
        <w:spacing w:after="0"/>
        <w:jc w:val="both"/>
        <w:rPr>
          <w:b/>
          <w:szCs w:val="24"/>
          <w:lang w:val="en-GB"/>
        </w:rPr>
      </w:pPr>
    </w:p>
    <w:p w:rsidR="00691EF5" w:rsidRDefault="00F0712F" w:rsidP="002E2C61">
      <w:pPr>
        <w:pStyle w:val="Text1"/>
        <w:spacing w:after="0"/>
        <w:jc w:val="both"/>
        <w:rPr>
          <w:b/>
          <w:szCs w:val="24"/>
          <w:lang w:val="en-GB"/>
        </w:rPr>
      </w:pPr>
      <w:r>
        <w:rPr>
          <w:noProof/>
          <w:lang w:val="en-AU" w:eastAsia="en-AU"/>
        </w:rPr>
        <w:lastRenderedPageBreak/>
        <w:drawing>
          <wp:inline distT="0" distB="0" distL="0" distR="0">
            <wp:extent cx="5470525" cy="32442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470525" cy="3244215"/>
                    </a:xfrm>
                    <a:prstGeom prst="rect">
                      <a:avLst/>
                    </a:prstGeom>
                    <a:noFill/>
                    <a:ln w="9525">
                      <a:noFill/>
                      <a:miter lim="800000"/>
                      <a:headEnd/>
                      <a:tailEnd/>
                    </a:ln>
                  </pic:spPr>
                </pic:pic>
              </a:graphicData>
            </a:graphic>
          </wp:inline>
        </w:drawing>
      </w:r>
    </w:p>
    <w:p w:rsidR="00103536" w:rsidRDefault="00103536" w:rsidP="002E2C61">
      <w:pPr>
        <w:pStyle w:val="Text1"/>
        <w:spacing w:after="0"/>
        <w:jc w:val="both"/>
        <w:rPr>
          <w:b/>
          <w:szCs w:val="24"/>
          <w:lang w:val="en-GB"/>
        </w:rPr>
      </w:pPr>
    </w:p>
    <w:p w:rsidR="00180C79" w:rsidRDefault="00180C79" w:rsidP="00180C79">
      <w:pPr>
        <w:pStyle w:val="Text1"/>
        <w:spacing w:after="0"/>
        <w:jc w:val="both"/>
        <w:rPr>
          <w:sz w:val="20"/>
          <w:lang w:val="en-GB"/>
        </w:rPr>
      </w:pPr>
      <w:r w:rsidRPr="002E2C61">
        <w:rPr>
          <w:sz w:val="20"/>
          <w:lang w:val="en-GB"/>
        </w:rPr>
        <w:t>Randomised and treated patients, LTE Algorithm</w:t>
      </w:r>
      <w:r>
        <w:rPr>
          <w:sz w:val="20"/>
          <w:lang w:val="en-GB"/>
        </w:rPr>
        <w:t>;</w:t>
      </w:r>
      <w:r w:rsidR="00767737">
        <w:rPr>
          <w:sz w:val="20"/>
          <w:lang w:val="en-GB"/>
        </w:rPr>
        <w:t xml:space="preserve"> </w:t>
      </w:r>
      <w:r w:rsidR="00034DAF">
        <w:rPr>
          <w:sz w:val="20"/>
          <w:lang w:val="en-GB"/>
        </w:rPr>
        <w:t>240</w:t>
      </w:r>
      <w:r>
        <w:rPr>
          <w:sz w:val="20"/>
          <w:lang w:val="en-GB"/>
        </w:rPr>
        <w:t xml:space="preserve"> week data is also reported in Table 11.</w:t>
      </w:r>
    </w:p>
    <w:p w:rsidR="00180C79" w:rsidRDefault="00180C79" w:rsidP="00180C79">
      <w:pPr>
        <w:pStyle w:val="Text1"/>
        <w:spacing w:after="0"/>
        <w:jc w:val="both"/>
        <w:rPr>
          <w:sz w:val="20"/>
          <w:lang w:val="en-GB"/>
        </w:rPr>
      </w:pPr>
      <w:r>
        <w:rPr>
          <w:sz w:val="20"/>
          <w:lang w:val="en-GB"/>
        </w:rPr>
        <w:t xml:space="preserve">TDF: 48 weeks double-blind VIREAD followed by up to </w:t>
      </w:r>
      <w:r w:rsidR="00034DAF">
        <w:rPr>
          <w:sz w:val="20"/>
          <w:lang w:val="en-GB"/>
        </w:rPr>
        <w:t xml:space="preserve">192 </w:t>
      </w:r>
      <w:r>
        <w:rPr>
          <w:sz w:val="20"/>
          <w:lang w:val="en-GB"/>
        </w:rPr>
        <w:t>weeks open-label</w:t>
      </w:r>
    </w:p>
    <w:p w:rsidR="00180C79" w:rsidRPr="002E2C61" w:rsidRDefault="00180C79" w:rsidP="00180C79">
      <w:pPr>
        <w:pStyle w:val="Text1"/>
        <w:spacing w:after="0"/>
        <w:jc w:val="both"/>
        <w:rPr>
          <w:sz w:val="20"/>
          <w:lang w:val="en-GB"/>
        </w:rPr>
      </w:pPr>
      <w:r>
        <w:rPr>
          <w:sz w:val="20"/>
          <w:lang w:val="en-GB"/>
        </w:rPr>
        <w:t xml:space="preserve">ADV: 48 weeks double-blind HEPSERA followed by up to </w:t>
      </w:r>
      <w:r w:rsidR="00034DAF">
        <w:rPr>
          <w:sz w:val="20"/>
          <w:lang w:val="en-GB"/>
        </w:rPr>
        <w:t xml:space="preserve">192 </w:t>
      </w:r>
      <w:r>
        <w:rPr>
          <w:sz w:val="20"/>
          <w:lang w:val="en-GB"/>
        </w:rPr>
        <w:t>weeks open-label VIREAD.</w:t>
      </w:r>
    </w:p>
    <w:p w:rsidR="00DD70EE" w:rsidRPr="00176F23" w:rsidRDefault="00DD70EE" w:rsidP="00F4152A">
      <w:pPr>
        <w:pStyle w:val="Text1"/>
        <w:spacing w:after="0"/>
        <w:jc w:val="both"/>
        <w:rPr>
          <w:color w:val="FF0000"/>
          <w:szCs w:val="24"/>
        </w:rPr>
      </w:pPr>
    </w:p>
    <w:p w:rsidR="00F4152A" w:rsidRPr="00015C34" w:rsidRDefault="00F4152A" w:rsidP="00F4152A">
      <w:pPr>
        <w:pStyle w:val="Text1"/>
        <w:spacing w:after="0"/>
        <w:jc w:val="both"/>
        <w:rPr>
          <w:b/>
          <w:szCs w:val="24"/>
          <w:lang w:val="en-GB"/>
        </w:rPr>
      </w:pPr>
      <w:r w:rsidRPr="00015C34">
        <w:rPr>
          <w:b/>
          <w:szCs w:val="24"/>
          <w:lang w:val="en-GB"/>
        </w:rPr>
        <w:t>Experience with Patients Co-infected with HIV and HBV (Study ACTG 5127)</w:t>
      </w:r>
    </w:p>
    <w:p w:rsidR="00F4152A" w:rsidRPr="00015C34" w:rsidRDefault="00F4152A" w:rsidP="00F4152A">
      <w:pPr>
        <w:pStyle w:val="Text1"/>
        <w:spacing w:after="0"/>
        <w:jc w:val="both"/>
        <w:rPr>
          <w:szCs w:val="24"/>
          <w:lang w:val="en-GB"/>
        </w:rPr>
      </w:pPr>
    </w:p>
    <w:p w:rsidR="00F4152A" w:rsidRPr="00015C34" w:rsidRDefault="00F4152A" w:rsidP="00F4152A">
      <w:pPr>
        <w:pStyle w:val="Text1"/>
        <w:spacing w:after="0"/>
        <w:jc w:val="both"/>
        <w:rPr>
          <w:szCs w:val="24"/>
          <w:lang w:val="en-GB"/>
        </w:rPr>
      </w:pPr>
      <w:r w:rsidRPr="00015C34">
        <w:rPr>
          <w:szCs w:val="24"/>
          <w:lang w:val="en-GB"/>
        </w:rPr>
        <w:t>In a randomized, 48 week double-blind, non-inferiority trial, VIREAD (TDF) 300 mg daily  was compared with HEPSERA (ADV) 10 mg daily in the treatment of chronic hepatitis B patients who were co-infected with HIV and were stable on antiretroviral therapy.  Mean baseline serum HBV DNA were 9.45 log</w:t>
      </w:r>
      <w:r w:rsidRPr="00015C34">
        <w:rPr>
          <w:szCs w:val="24"/>
          <w:vertAlign w:val="subscript"/>
          <w:lang w:val="en-GB"/>
        </w:rPr>
        <w:t>10</w:t>
      </w:r>
      <w:r w:rsidRPr="00015C34">
        <w:rPr>
          <w:szCs w:val="24"/>
          <w:lang w:val="en-GB"/>
        </w:rPr>
        <w:t> copies/ml and 8.85 log</w:t>
      </w:r>
      <w:r w:rsidRPr="00015C34">
        <w:rPr>
          <w:szCs w:val="24"/>
          <w:vertAlign w:val="subscript"/>
          <w:lang w:val="en-GB"/>
        </w:rPr>
        <w:t>10</w:t>
      </w:r>
      <w:r w:rsidRPr="00015C34">
        <w:rPr>
          <w:szCs w:val="24"/>
          <w:lang w:val="en-GB"/>
        </w:rPr>
        <w:t> copies/ml in subjects randomised to TDF (n=27) and ADV (n=25), respectively. In subjects for whom there was week 48 data (n=35), the mean change from baseline in serum HBV DNA was -5.74 log</w:t>
      </w:r>
      <w:r w:rsidRPr="00015C34">
        <w:rPr>
          <w:szCs w:val="24"/>
          <w:vertAlign w:val="subscript"/>
          <w:lang w:val="en-GB"/>
        </w:rPr>
        <w:t>10</w:t>
      </w:r>
      <w:r w:rsidRPr="00015C34">
        <w:rPr>
          <w:szCs w:val="24"/>
          <w:lang w:val="en-GB"/>
        </w:rPr>
        <w:t> copies/ml for the TDF group (n=18) and -4.03 log</w:t>
      </w:r>
      <w:r w:rsidRPr="00015C34">
        <w:rPr>
          <w:szCs w:val="24"/>
          <w:vertAlign w:val="subscript"/>
          <w:lang w:val="en-GB"/>
        </w:rPr>
        <w:t>10</w:t>
      </w:r>
      <w:r w:rsidRPr="00015C34">
        <w:rPr>
          <w:szCs w:val="24"/>
          <w:lang w:val="en-GB"/>
        </w:rPr>
        <w:t> copies/ml for the ADV group (n=17), respectively.  A total of 61 % of subjects (36% in the TDF group and 25% in the ADV group) had normalised serum ALT at week 48, but the differences were not statistically significant.  The study showed that over 48 weeks, treatment with either ADV or TDF resulted in clinically important suppression of serum HBV DNA and TDF was not inferior to ADV in HBV viral suppression.</w:t>
      </w:r>
    </w:p>
    <w:p w:rsidR="00F4152A" w:rsidRPr="00015C34" w:rsidRDefault="00F4152A" w:rsidP="00F4152A">
      <w:pPr>
        <w:pStyle w:val="Text1"/>
        <w:spacing w:after="0"/>
        <w:jc w:val="both"/>
        <w:rPr>
          <w:b/>
          <w:i/>
          <w:color w:val="FF0000"/>
          <w:szCs w:val="24"/>
          <w:u w:val="single"/>
          <w:lang w:val="en-GB"/>
        </w:rPr>
      </w:pPr>
    </w:p>
    <w:p w:rsidR="00F4152A" w:rsidRPr="00701AC5" w:rsidRDefault="00F4152A" w:rsidP="00F4152A">
      <w:pPr>
        <w:pStyle w:val="Text1"/>
        <w:spacing w:after="0"/>
        <w:jc w:val="both"/>
        <w:rPr>
          <w:szCs w:val="24"/>
        </w:rPr>
      </w:pPr>
      <w:r w:rsidRPr="00701AC5">
        <w:rPr>
          <w:b/>
          <w:szCs w:val="24"/>
        </w:rPr>
        <w:t>Experience in Patients who had Incomplete Viral Response to H</w:t>
      </w:r>
      <w:r w:rsidR="00571B28" w:rsidRPr="00701AC5">
        <w:rPr>
          <w:b/>
          <w:szCs w:val="24"/>
        </w:rPr>
        <w:t>EPSERA</w:t>
      </w:r>
      <w:r w:rsidRPr="00701AC5">
        <w:rPr>
          <w:b/>
          <w:szCs w:val="24"/>
        </w:rPr>
        <w:t xml:space="preserve"> (Study </w:t>
      </w:r>
      <w:r w:rsidR="00571B28" w:rsidRPr="00701AC5">
        <w:rPr>
          <w:b/>
          <w:szCs w:val="24"/>
        </w:rPr>
        <w:t>0</w:t>
      </w:r>
      <w:r w:rsidRPr="00701AC5">
        <w:rPr>
          <w:b/>
          <w:szCs w:val="24"/>
        </w:rPr>
        <w:t xml:space="preserve">106) </w:t>
      </w:r>
      <w:r w:rsidRPr="00701AC5">
        <w:rPr>
          <w:szCs w:val="24"/>
        </w:rPr>
        <w:t xml:space="preserve"> </w:t>
      </w:r>
    </w:p>
    <w:p w:rsidR="00F4152A" w:rsidRPr="00701AC5" w:rsidRDefault="00F4152A" w:rsidP="00F4152A">
      <w:pPr>
        <w:pStyle w:val="Text1"/>
        <w:spacing w:after="0"/>
        <w:jc w:val="both"/>
        <w:rPr>
          <w:szCs w:val="24"/>
        </w:rPr>
      </w:pPr>
    </w:p>
    <w:p w:rsidR="00F4152A" w:rsidRPr="00701AC5" w:rsidRDefault="00F4152A" w:rsidP="00F4152A">
      <w:pPr>
        <w:pStyle w:val="Text1"/>
        <w:spacing w:after="0"/>
        <w:jc w:val="both"/>
        <w:rPr>
          <w:szCs w:val="24"/>
        </w:rPr>
      </w:pPr>
      <w:r w:rsidRPr="00701AC5">
        <w:rPr>
          <w:szCs w:val="24"/>
        </w:rPr>
        <w:t>The efficacy and safety of VIREAD 300 mg or TRUVADA (tenofovir DF/emtricitabine) is being  evaluated in a randomised, double-blind study (Study GS-US-174-0106</w:t>
      </w:r>
      <w:r w:rsidR="00571B28" w:rsidRPr="00701AC5">
        <w:rPr>
          <w:szCs w:val="24"/>
        </w:rPr>
        <w:t>, 0106</w:t>
      </w:r>
      <w:r w:rsidRPr="00701AC5">
        <w:rPr>
          <w:szCs w:val="24"/>
        </w:rPr>
        <w:t xml:space="preserve">), in HBeAg positive and HBeAg negative patients who had persistent viraemia (HBV DNA ≥ 1000 copies/ml) while receiving HEPSERA 10 mg for more than 24 weeks.  Overall at Week </w:t>
      </w:r>
      <w:r w:rsidR="003721DB" w:rsidRPr="00701AC5">
        <w:rPr>
          <w:szCs w:val="24"/>
        </w:rPr>
        <w:t>48</w:t>
      </w:r>
      <w:r w:rsidRPr="00701AC5">
        <w:rPr>
          <w:szCs w:val="24"/>
        </w:rPr>
        <w:t xml:space="preserve">, treatment with </w:t>
      </w:r>
      <w:r w:rsidR="003721DB" w:rsidRPr="00701AC5">
        <w:rPr>
          <w:szCs w:val="24"/>
        </w:rPr>
        <w:t>VIREAD</w:t>
      </w:r>
      <w:r w:rsidRPr="00701AC5">
        <w:rPr>
          <w:szCs w:val="24"/>
        </w:rPr>
        <w:t xml:space="preserve"> resulted in </w:t>
      </w:r>
      <w:r w:rsidR="003721DB" w:rsidRPr="00701AC5">
        <w:rPr>
          <w:szCs w:val="24"/>
        </w:rPr>
        <w:t>66</w:t>
      </w:r>
      <w:r w:rsidRPr="00701AC5">
        <w:rPr>
          <w:szCs w:val="24"/>
        </w:rPr>
        <w:t>% (</w:t>
      </w:r>
      <w:r w:rsidR="003721DB" w:rsidRPr="00701AC5">
        <w:rPr>
          <w:szCs w:val="24"/>
        </w:rPr>
        <w:t>35/53</w:t>
      </w:r>
      <w:r w:rsidRPr="00701AC5">
        <w:rPr>
          <w:szCs w:val="24"/>
        </w:rPr>
        <w:t xml:space="preserve">) of patients with HBV DNA &lt; 400 copies/ml and </w:t>
      </w:r>
      <w:r w:rsidR="003721DB" w:rsidRPr="00701AC5">
        <w:rPr>
          <w:szCs w:val="24"/>
        </w:rPr>
        <w:t>64</w:t>
      </w:r>
      <w:r w:rsidRPr="00701AC5">
        <w:rPr>
          <w:szCs w:val="24"/>
        </w:rPr>
        <w:t>% (</w:t>
      </w:r>
      <w:r w:rsidR="003721DB" w:rsidRPr="00701AC5">
        <w:rPr>
          <w:szCs w:val="24"/>
        </w:rPr>
        <w:t>34/53</w:t>
      </w:r>
      <w:r w:rsidRPr="00701AC5">
        <w:rPr>
          <w:szCs w:val="24"/>
        </w:rPr>
        <w:t xml:space="preserve">) of patients with undetectable HBV DNA (below 169 copies/ml </w:t>
      </w:r>
      <w:r w:rsidRPr="00701AC5">
        <w:rPr>
          <w:szCs w:val="24"/>
        </w:rPr>
        <w:lastRenderedPageBreak/>
        <w:t>the limit of quantification of the Roche Cobas TaqMan HBV assay)</w:t>
      </w:r>
      <w:r w:rsidR="00A05407" w:rsidRPr="00701AC5">
        <w:rPr>
          <w:szCs w:val="24"/>
        </w:rPr>
        <w:t>; patients that discontinued prior to 48 weeks, including those who received intensification therapy (TRUVADA (tenofovir DF/emtricitabine</w:t>
      </w:r>
      <w:r w:rsidR="00A05407" w:rsidRPr="00701AC5">
        <w:rPr>
          <w:sz w:val="18"/>
          <w:szCs w:val="18"/>
        </w:rPr>
        <w:t>)</w:t>
      </w:r>
      <w:r w:rsidR="00A05407" w:rsidRPr="00701AC5">
        <w:rPr>
          <w:szCs w:val="24"/>
        </w:rPr>
        <w:t xml:space="preserve"> were excluded</w:t>
      </w:r>
      <w:r w:rsidRPr="00701AC5">
        <w:rPr>
          <w:szCs w:val="24"/>
        </w:rPr>
        <w:t>.  In addition, at Week </w:t>
      </w:r>
      <w:r w:rsidR="003721DB" w:rsidRPr="00701AC5">
        <w:rPr>
          <w:szCs w:val="24"/>
        </w:rPr>
        <w:t>48</w:t>
      </w:r>
      <w:r w:rsidRPr="00701AC5">
        <w:rPr>
          <w:szCs w:val="24"/>
        </w:rPr>
        <w:t xml:space="preserve">, the percentage of patients who had </w:t>
      </w:r>
      <w:r w:rsidR="003721DB" w:rsidRPr="00701AC5">
        <w:rPr>
          <w:szCs w:val="24"/>
        </w:rPr>
        <w:t xml:space="preserve">ALT normalisation </w:t>
      </w:r>
      <w:r w:rsidRPr="00701AC5">
        <w:rPr>
          <w:szCs w:val="24"/>
        </w:rPr>
        <w:t xml:space="preserve">was </w:t>
      </w:r>
      <w:r w:rsidR="003721DB" w:rsidRPr="00701AC5">
        <w:rPr>
          <w:szCs w:val="24"/>
        </w:rPr>
        <w:t>33</w:t>
      </w:r>
      <w:r w:rsidRPr="00701AC5">
        <w:rPr>
          <w:szCs w:val="24"/>
        </w:rPr>
        <w:t>% (</w:t>
      </w:r>
      <w:r w:rsidR="003721DB" w:rsidRPr="00701AC5">
        <w:rPr>
          <w:szCs w:val="24"/>
        </w:rPr>
        <w:t>9/27</w:t>
      </w:r>
      <w:r w:rsidRPr="00701AC5">
        <w:rPr>
          <w:szCs w:val="24"/>
        </w:rPr>
        <w:t xml:space="preserve">). </w:t>
      </w:r>
    </w:p>
    <w:p w:rsidR="000E655F" w:rsidRPr="00467823" w:rsidRDefault="000E655F" w:rsidP="00F4152A">
      <w:pPr>
        <w:pStyle w:val="Text1"/>
        <w:spacing w:after="0"/>
        <w:jc w:val="both"/>
        <w:rPr>
          <w:color w:val="000000"/>
          <w:szCs w:val="24"/>
        </w:rPr>
      </w:pPr>
    </w:p>
    <w:p w:rsidR="000E655F" w:rsidRPr="00467823" w:rsidRDefault="000E655F" w:rsidP="00F4152A">
      <w:pPr>
        <w:pStyle w:val="Text1"/>
        <w:spacing w:after="0"/>
        <w:jc w:val="both"/>
        <w:rPr>
          <w:color w:val="000000"/>
          <w:szCs w:val="24"/>
        </w:rPr>
      </w:pPr>
      <w:r w:rsidRPr="00467823">
        <w:rPr>
          <w:color w:val="000000"/>
          <w:szCs w:val="24"/>
        </w:rPr>
        <w:t>In study 0106, patients were also analysed based upon lamivudine</w:t>
      </w:r>
      <w:r w:rsidR="000573C8" w:rsidRPr="00467823">
        <w:rPr>
          <w:color w:val="000000"/>
          <w:szCs w:val="24"/>
        </w:rPr>
        <w:t>-</w:t>
      </w:r>
      <w:r w:rsidRPr="00467823">
        <w:rPr>
          <w:color w:val="000000"/>
          <w:szCs w:val="24"/>
        </w:rPr>
        <w:t xml:space="preserve"> or adefovir-resistant HBV </w:t>
      </w:r>
      <w:r w:rsidR="000573C8" w:rsidRPr="00467823">
        <w:rPr>
          <w:color w:val="000000"/>
          <w:szCs w:val="24"/>
        </w:rPr>
        <w:t xml:space="preserve">results </w:t>
      </w:r>
      <w:r w:rsidRPr="00467823">
        <w:rPr>
          <w:color w:val="000000"/>
          <w:szCs w:val="24"/>
        </w:rPr>
        <w:t>at baseline; patients that discontinued prior to 48 weeks</w:t>
      </w:r>
      <w:r w:rsidRPr="00467823">
        <w:rPr>
          <w:color w:val="FF0000"/>
          <w:szCs w:val="24"/>
        </w:rPr>
        <w:t xml:space="preserve"> </w:t>
      </w:r>
      <w:r w:rsidRPr="00467823">
        <w:rPr>
          <w:szCs w:val="24"/>
        </w:rPr>
        <w:t>were</w:t>
      </w:r>
      <w:r w:rsidR="000573C8" w:rsidRPr="00467823">
        <w:rPr>
          <w:szCs w:val="24"/>
        </w:rPr>
        <w:t xml:space="preserve"> considered as failures</w:t>
      </w:r>
      <w:r w:rsidRPr="00467823">
        <w:rPr>
          <w:szCs w:val="24"/>
        </w:rPr>
        <w:t xml:space="preserve">.  </w:t>
      </w:r>
      <w:r w:rsidRPr="00467823">
        <w:rPr>
          <w:color w:val="000000"/>
          <w:szCs w:val="24"/>
        </w:rPr>
        <w:t>T</w:t>
      </w:r>
      <w:r w:rsidR="000573C8" w:rsidRPr="00467823">
        <w:rPr>
          <w:color w:val="000000"/>
          <w:szCs w:val="24"/>
        </w:rPr>
        <w:t>able 1</w:t>
      </w:r>
      <w:r w:rsidR="00767737">
        <w:rPr>
          <w:color w:val="000000"/>
          <w:szCs w:val="24"/>
        </w:rPr>
        <w:t>3</w:t>
      </w:r>
      <w:r w:rsidR="000573C8" w:rsidRPr="00467823">
        <w:rPr>
          <w:color w:val="000000"/>
          <w:szCs w:val="24"/>
        </w:rPr>
        <w:t xml:space="preserve"> below summarizes Week 48 </w:t>
      </w:r>
      <w:r w:rsidRPr="00467823">
        <w:rPr>
          <w:color w:val="000000"/>
          <w:szCs w:val="24"/>
        </w:rPr>
        <w:t xml:space="preserve">results </w:t>
      </w:r>
      <w:r w:rsidR="000573C8" w:rsidRPr="00467823">
        <w:rPr>
          <w:color w:val="000000"/>
          <w:szCs w:val="24"/>
        </w:rPr>
        <w:t>of patients treated with VIREAD</w:t>
      </w:r>
      <w:r w:rsidRPr="00467823">
        <w:rPr>
          <w:color w:val="000000"/>
          <w:szCs w:val="24"/>
        </w:rPr>
        <w:t xml:space="preserve">. </w:t>
      </w:r>
    </w:p>
    <w:p w:rsidR="00F003B3" w:rsidRPr="00467823" w:rsidRDefault="00F003B3" w:rsidP="00F003B3">
      <w:pPr>
        <w:pStyle w:val="Text1"/>
        <w:spacing w:after="0"/>
        <w:jc w:val="both"/>
        <w:rPr>
          <w:b/>
          <w:sz w:val="22"/>
          <w:szCs w:val="22"/>
        </w:rPr>
      </w:pPr>
    </w:p>
    <w:p w:rsidR="00F003B3" w:rsidRPr="00467823" w:rsidRDefault="00F003B3" w:rsidP="00F003B3">
      <w:pPr>
        <w:pStyle w:val="Text1"/>
        <w:spacing w:after="0"/>
        <w:jc w:val="both"/>
        <w:rPr>
          <w:b/>
          <w:sz w:val="22"/>
          <w:szCs w:val="22"/>
        </w:rPr>
      </w:pPr>
      <w:r w:rsidRPr="00467823">
        <w:rPr>
          <w:b/>
          <w:sz w:val="22"/>
          <w:szCs w:val="22"/>
        </w:rPr>
        <w:t>Table 1</w:t>
      </w:r>
      <w:r w:rsidR="0044536D">
        <w:rPr>
          <w:b/>
          <w:sz w:val="22"/>
          <w:szCs w:val="22"/>
        </w:rPr>
        <w:t>3</w:t>
      </w:r>
      <w:r w:rsidRPr="00467823">
        <w:rPr>
          <w:b/>
          <w:sz w:val="22"/>
          <w:szCs w:val="22"/>
        </w:rPr>
        <w:t>.</w:t>
      </w:r>
      <w:r w:rsidRPr="00467823">
        <w:rPr>
          <w:b/>
          <w:sz w:val="22"/>
          <w:szCs w:val="22"/>
        </w:rPr>
        <w:tab/>
      </w:r>
      <w:r w:rsidR="00AB4F01" w:rsidRPr="00467823">
        <w:rPr>
          <w:b/>
          <w:sz w:val="22"/>
          <w:szCs w:val="22"/>
        </w:rPr>
        <w:t xml:space="preserve">Summary of Clinical Efficacy </w:t>
      </w:r>
      <w:r w:rsidRPr="00467823">
        <w:rPr>
          <w:b/>
          <w:sz w:val="22"/>
          <w:szCs w:val="22"/>
        </w:rPr>
        <w:t xml:space="preserve">at Week </w:t>
      </w:r>
      <w:r w:rsidR="00DB61F5" w:rsidRPr="00467823">
        <w:rPr>
          <w:b/>
          <w:sz w:val="22"/>
          <w:szCs w:val="22"/>
        </w:rPr>
        <w:t>48</w:t>
      </w:r>
      <w:r w:rsidRPr="00467823">
        <w:rPr>
          <w:b/>
          <w:sz w:val="22"/>
          <w:szCs w:val="22"/>
        </w:rPr>
        <w:t xml:space="preserve"> (Study 010</w:t>
      </w:r>
      <w:r w:rsidR="00AB4F01" w:rsidRPr="00467823">
        <w:rPr>
          <w:b/>
          <w:sz w:val="22"/>
          <w:szCs w:val="22"/>
        </w:rPr>
        <w:t>6): RAT A</w:t>
      </w:r>
      <w:r w:rsidR="00DB61F5" w:rsidRPr="00467823">
        <w:rPr>
          <w:b/>
          <w:sz w:val="22"/>
          <w:szCs w:val="22"/>
        </w:rPr>
        <w:t>nalysis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694"/>
      </w:tblGrid>
      <w:tr w:rsidR="00AB4F01" w:rsidRPr="007A201D" w:rsidTr="007A201D">
        <w:trPr>
          <w:trHeight w:val="520"/>
        </w:trPr>
        <w:tc>
          <w:tcPr>
            <w:tcW w:w="5778" w:type="dxa"/>
            <w:shd w:val="clear" w:color="auto" w:fill="auto"/>
          </w:tcPr>
          <w:p w:rsidR="00AB4F01" w:rsidRPr="007A201D" w:rsidRDefault="00AB4F01" w:rsidP="00826729">
            <w:pPr>
              <w:pStyle w:val="Table-Text"/>
              <w:rPr>
                <w:b/>
                <w:sz w:val="22"/>
                <w:szCs w:val="22"/>
              </w:rPr>
            </w:pPr>
          </w:p>
        </w:tc>
        <w:tc>
          <w:tcPr>
            <w:tcW w:w="2694" w:type="dxa"/>
            <w:shd w:val="clear" w:color="auto" w:fill="auto"/>
          </w:tcPr>
          <w:p w:rsidR="007144C3" w:rsidRPr="007A201D" w:rsidRDefault="00AB4F01" w:rsidP="007A201D">
            <w:pPr>
              <w:pStyle w:val="Table-Text"/>
              <w:jc w:val="center"/>
              <w:rPr>
                <w:b/>
                <w:snapToGrid w:val="0"/>
                <w:color w:val="000000"/>
                <w:sz w:val="22"/>
                <w:szCs w:val="22"/>
                <w:lang w:val="pt-BR"/>
              </w:rPr>
            </w:pPr>
            <w:r w:rsidRPr="007A201D">
              <w:rPr>
                <w:b/>
                <w:snapToGrid w:val="0"/>
                <w:color w:val="000000"/>
                <w:sz w:val="22"/>
                <w:szCs w:val="22"/>
                <w:lang w:val="pt-BR"/>
              </w:rPr>
              <w:t>VIREAD</w:t>
            </w:r>
          </w:p>
          <w:p w:rsidR="00AB4F01" w:rsidRPr="007A201D" w:rsidRDefault="00AB4F01" w:rsidP="007A201D">
            <w:pPr>
              <w:pStyle w:val="Table-Text"/>
              <w:jc w:val="center"/>
              <w:rPr>
                <w:b/>
                <w:snapToGrid w:val="0"/>
                <w:color w:val="000000"/>
                <w:sz w:val="22"/>
                <w:szCs w:val="22"/>
                <w:lang w:val="pt-BR"/>
              </w:rPr>
            </w:pPr>
            <w:r w:rsidRPr="007A201D">
              <w:rPr>
                <w:b/>
                <w:snapToGrid w:val="0"/>
                <w:color w:val="000000"/>
                <w:sz w:val="22"/>
                <w:szCs w:val="22"/>
                <w:lang w:val="pt-BR"/>
              </w:rPr>
              <w:t xml:space="preserve"> (n=53)</w:t>
            </w:r>
          </w:p>
        </w:tc>
      </w:tr>
      <w:tr w:rsidR="00AB4F01" w:rsidRPr="007A201D" w:rsidTr="007A201D">
        <w:tc>
          <w:tcPr>
            <w:tcW w:w="5778" w:type="dxa"/>
            <w:shd w:val="clear" w:color="auto" w:fill="E6E6E6"/>
          </w:tcPr>
          <w:p w:rsidR="00AB4F01" w:rsidRPr="007A201D" w:rsidRDefault="00AB4F01" w:rsidP="00826729">
            <w:pPr>
              <w:pStyle w:val="Table-Text"/>
              <w:rPr>
                <w:b/>
                <w:snapToGrid w:val="0"/>
                <w:color w:val="000000"/>
                <w:sz w:val="22"/>
                <w:szCs w:val="22"/>
              </w:rPr>
            </w:pPr>
            <w:r w:rsidRPr="007A201D">
              <w:rPr>
                <w:b/>
                <w:snapToGrid w:val="0"/>
                <w:color w:val="000000"/>
                <w:sz w:val="22"/>
                <w:szCs w:val="22"/>
              </w:rPr>
              <w:t xml:space="preserve">HBV DNA </w:t>
            </w:r>
            <w:r w:rsidRPr="007A201D">
              <w:rPr>
                <w:b/>
                <w:snapToGrid w:val="0"/>
                <w:sz w:val="22"/>
                <w:szCs w:val="22"/>
              </w:rPr>
              <w:t>&lt; 400 copies/mL</w:t>
            </w:r>
            <w:r w:rsidRPr="007A201D">
              <w:rPr>
                <w:b/>
                <w:snapToGrid w:val="0"/>
                <w:sz w:val="22"/>
                <w:szCs w:val="22"/>
                <w:vertAlign w:val="superscript"/>
              </w:rPr>
              <w:t xml:space="preserve"> </w:t>
            </w:r>
            <w:r w:rsidRPr="007A201D">
              <w:rPr>
                <w:b/>
                <w:snapToGrid w:val="0"/>
                <w:sz w:val="22"/>
                <w:szCs w:val="22"/>
              </w:rPr>
              <w:t>, n(%)</w:t>
            </w:r>
            <w:r w:rsidRPr="007A201D">
              <w:rPr>
                <w:b/>
                <w:snapToGrid w:val="0"/>
                <w:sz w:val="22"/>
                <w:szCs w:val="22"/>
                <w:vertAlign w:val="superscript"/>
              </w:rPr>
              <w:t>1</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43 (81%)</w:t>
            </w:r>
          </w:p>
        </w:tc>
      </w:tr>
      <w:tr w:rsidR="00AB4F01" w:rsidRPr="007A201D" w:rsidTr="007A201D">
        <w:tc>
          <w:tcPr>
            <w:tcW w:w="5778" w:type="dxa"/>
            <w:shd w:val="clear" w:color="auto" w:fill="auto"/>
          </w:tcPr>
          <w:p w:rsidR="00AB4F01" w:rsidRPr="007A201D" w:rsidRDefault="00AB4F01" w:rsidP="007A201D">
            <w:pPr>
              <w:pStyle w:val="Table-Text"/>
              <w:jc w:val="right"/>
              <w:rPr>
                <w:snapToGrid w:val="0"/>
                <w:color w:val="000000"/>
                <w:sz w:val="22"/>
                <w:szCs w:val="22"/>
                <w:lang w:val="fr-FR"/>
              </w:rPr>
            </w:pPr>
            <w:r w:rsidRPr="007A201D">
              <w:rPr>
                <w:b/>
                <w:snapToGrid w:val="0"/>
                <w:color w:val="000000"/>
                <w:sz w:val="22"/>
                <w:szCs w:val="22"/>
                <w:lang w:val="fr-FR"/>
              </w:rPr>
              <w:t xml:space="preserve">   </w:t>
            </w:r>
            <w:r w:rsidRPr="007A201D">
              <w:rPr>
                <w:snapToGrid w:val="0"/>
                <w:color w:val="000000"/>
                <w:sz w:val="22"/>
                <w:szCs w:val="22"/>
                <w:lang w:val="fr-FR"/>
              </w:rPr>
              <w:t>Lamivudine-resistant patients, n/N (%)</w:t>
            </w:r>
            <w:r w:rsidRPr="007A201D">
              <w:rPr>
                <w:snapToGrid w:val="0"/>
                <w:sz w:val="22"/>
                <w:szCs w:val="22"/>
                <w:vertAlign w:val="superscript"/>
                <w:lang w:val="fr-FR"/>
              </w:rPr>
              <w:t>1</w:t>
            </w:r>
          </w:p>
        </w:tc>
        <w:tc>
          <w:tcPr>
            <w:tcW w:w="2694" w:type="dxa"/>
            <w:shd w:val="clear" w:color="auto" w:fill="auto"/>
            <w:vAlign w:val="center"/>
          </w:tcPr>
          <w:p w:rsidR="00AB4F01" w:rsidRPr="007A201D" w:rsidRDefault="00AB4F01" w:rsidP="007A201D">
            <w:pPr>
              <w:pStyle w:val="Text1"/>
              <w:spacing w:after="0"/>
              <w:jc w:val="center"/>
              <w:rPr>
                <w:sz w:val="22"/>
                <w:szCs w:val="22"/>
              </w:rPr>
            </w:pPr>
            <w:r w:rsidRPr="007A201D">
              <w:rPr>
                <w:sz w:val="22"/>
                <w:szCs w:val="22"/>
              </w:rPr>
              <w:t>6/7 (86%)</w:t>
            </w:r>
          </w:p>
        </w:tc>
      </w:tr>
      <w:tr w:rsidR="00AB4F01" w:rsidRPr="007A201D" w:rsidTr="007A201D">
        <w:tc>
          <w:tcPr>
            <w:tcW w:w="5778" w:type="dxa"/>
            <w:shd w:val="clear" w:color="auto" w:fill="auto"/>
          </w:tcPr>
          <w:p w:rsidR="00AB4F01" w:rsidRPr="007A201D" w:rsidRDefault="00AB4F01" w:rsidP="007A201D">
            <w:pPr>
              <w:pStyle w:val="Table-Text"/>
              <w:jc w:val="right"/>
              <w:rPr>
                <w:snapToGrid w:val="0"/>
                <w:color w:val="000000"/>
                <w:sz w:val="22"/>
                <w:szCs w:val="22"/>
              </w:rPr>
            </w:pPr>
            <w:r w:rsidRPr="007A201D">
              <w:rPr>
                <w:b/>
                <w:snapToGrid w:val="0"/>
                <w:color w:val="000000"/>
                <w:sz w:val="22"/>
                <w:szCs w:val="22"/>
              </w:rPr>
              <w:t xml:space="preserve">   </w:t>
            </w:r>
            <w:r w:rsidRPr="007A201D">
              <w:rPr>
                <w:snapToGrid w:val="0"/>
                <w:color w:val="000000"/>
                <w:sz w:val="22"/>
                <w:szCs w:val="22"/>
              </w:rPr>
              <w:t>Adefovir-resistant patients, n/N (%)</w:t>
            </w:r>
            <w:r w:rsidRPr="007A201D">
              <w:rPr>
                <w:snapToGrid w:val="0"/>
                <w:sz w:val="22"/>
                <w:szCs w:val="22"/>
                <w:vertAlign w:val="superscript"/>
              </w:rPr>
              <w:t>1</w:t>
            </w:r>
          </w:p>
        </w:tc>
        <w:tc>
          <w:tcPr>
            <w:tcW w:w="2694" w:type="dxa"/>
            <w:shd w:val="clear" w:color="auto" w:fill="auto"/>
            <w:vAlign w:val="center"/>
          </w:tcPr>
          <w:p w:rsidR="00AB4F01" w:rsidRPr="007A201D" w:rsidRDefault="00AB4F01" w:rsidP="007A201D">
            <w:pPr>
              <w:pStyle w:val="Text1"/>
              <w:spacing w:after="0"/>
              <w:jc w:val="center"/>
              <w:rPr>
                <w:sz w:val="22"/>
                <w:szCs w:val="22"/>
              </w:rPr>
            </w:pPr>
            <w:r w:rsidRPr="007A201D">
              <w:rPr>
                <w:sz w:val="22"/>
                <w:szCs w:val="22"/>
              </w:rPr>
              <w:t>7/8 (88%)</w:t>
            </w:r>
          </w:p>
        </w:tc>
      </w:tr>
      <w:tr w:rsidR="00AB4F01" w:rsidRPr="007A201D" w:rsidTr="007A201D">
        <w:tc>
          <w:tcPr>
            <w:tcW w:w="5778" w:type="dxa"/>
            <w:shd w:val="clear" w:color="auto" w:fill="E6E6E6"/>
          </w:tcPr>
          <w:p w:rsidR="00AB4F01" w:rsidRPr="007A201D" w:rsidRDefault="00AB4F01" w:rsidP="00826729">
            <w:pPr>
              <w:pStyle w:val="Table-Text"/>
              <w:rPr>
                <w:b/>
                <w:snapToGrid w:val="0"/>
                <w:color w:val="000000"/>
                <w:sz w:val="22"/>
                <w:szCs w:val="22"/>
              </w:rPr>
            </w:pPr>
            <w:r w:rsidRPr="007A201D">
              <w:rPr>
                <w:b/>
                <w:snapToGrid w:val="0"/>
                <w:color w:val="000000"/>
                <w:sz w:val="22"/>
                <w:szCs w:val="22"/>
              </w:rPr>
              <w:t xml:space="preserve">HBV DNA </w:t>
            </w:r>
            <w:r w:rsidRPr="007A201D">
              <w:rPr>
                <w:b/>
                <w:snapToGrid w:val="0"/>
                <w:sz w:val="22"/>
                <w:szCs w:val="22"/>
              </w:rPr>
              <w:t>&lt; 169 copies/mL</w:t>
            </w:r>
            <w:r w:rsidRPr="007A201D">
              <w:rPr>
                <w:b/>
                <w:snapToGrid w:val="0"/>
                <w:sz w:val="22"/>
                <w:szCs w:val="22"/>
                <w:vertAlign w:val="superscript"/>
              </w:rPr>
              <w:t>1</w:t>
            </w:r>
            <w:r w:rsidRPr="007A201D">
              <w:rPr>
                <w:b/>
                <w:snapToGrid w:val="0"/>
                <w:sz w:val="22"/>
                <w:szCs w:val="22"/>
              </w:rPr>
              <w:t xml:space="preserve"> </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40 (76%)</w:t>
            </w:r>
          </w:p>
        </w:tc>
      </w:tr>
      <w:tr w:rsidR="00AB4F01" w:rsidRPr="007A201D" w:rsidTr="007A201D">
        <w:tc>
          <w:tcPr>
            <w:tcW w:w="5778" w:type="dxa"/>
            <w:shd w:val="clear" w:color="auto" w:fill="auto"/>
          </w:tcPr>
          <w:p w:rsidR="00AB4F01" w:rsidRPr="007A201D" w:rsidRDefault="00AB4F01" w:rsidP="007A201D">
            <w:pPr>
              <w:pStyle w:val="Table-Text"/>
              <w:jc w:val="right"/>
              <w:rPr>
                <w:snapToGrid w:val="0"/>
                <w:color w:val="000000"/>
                <w:sz w:val="22"/>
                <w:szCs w:val="22"/>
                <w:lang w:val="fr-FR"/>
              </w:rPr>
            </w:pPr>
            <w:r w:rsidRPr="007A201D">
              <w:rPr>
                <w:b/>
                <w:snapToGrid w:val="0"/>
                <w:color w:val="000000"/>
                <w:sz w:val="22"/>
                <w:szCs w:val="22"/>
                <w:lang w:val="fr-FR"/>
              </w:rPr>
              <w:t xml:space="preserve">   </w:t>
            </w:r>
            <w:r w:rsidRPr="007A201D">
              <w:rPr>
                <w:snapToGrid w:val="0"/>
                <w:color w:val="000000"/>
                <w:sz w:val="22"/>
                <w:szCs w:val="22"/>
                <w:lang w:val="fr-FR"/>
              </w:rPr>
              <w:t>Lamivudine-resistant patients, n/N (%)</w:t>
            </w:r>
            <w:r w:rsidRPr="007A201D">
              <w:rPr>
                <w:snapToGrid w:val="0"/>
                <w:sz w:val="22"/>
                <w:szCs w:val="22"/>
                <w:vertAlign w:val="superscript"/>
                <w:lang w:val="fr-FR"/>
              </w:rPr>
              <w:t>1</w:t>
            </w:r>
          </w:p>
        </w:tc>
        <w:tc>
          <w:tcPr>
            <w:tcW w:w="2694" w:type="dxa"/>
            <w:shd w:val="clear" w:color="auto" w:fill="auto"/>
            <w:vAlign w:val="center"/>
          </w:tcPr>
          <w:p w:rsidR="00AB4F01" w:rsidRPr="007A201D" w:rsidRDefault="00AB4F01" w:rsidP="007A201D">
            <w:pPr>
              <w:pStyle w:val="Text1"/>
              <w:spacing w:after="0"/>
              <w:jc w:val="center"/>
              <w:rPr>
                <w:sz w:val="22"/>
                <w:szCs w:val="22"/>
              </w:rPr>
            </w:pPr>
            <w:r w:rsidRPr="007A201D">
              <w:rPr>
                <w:sz w:val="22"/>
                <w:szCs w:val="22"/>
              </w:rPr>
              <w:t>5/7 (72%)</w:t>
            </w:r>
          </w:p>
        </w:tc>
      </w:tr>
      <w:tr w:rsidR="00AB4F01" w:rsidRPr="007A201D" w:rsidTr="007A201D">
        <w:tc>
          <w:tcPr>
            <w:tcW w:w="5778" w:type="dxa"/>
            <w:shd w:val="clear" w:color="auto" w:fill="auto"/>
          </w:tcPr>
          <w:p w:rsidR="00AB4F01" w:rsidRPr="007A201D" w:rsidRDefault="00AB4F01" w:rsidP="007A201D">
            <w:pPr>
              <w:pStyle w:val="Table-Text"/>
              <w:jc w:val="right"/>
              <w:rPr>
                <w:snapToGrid w:val="0"/>
                <w:color w:val="000000"/>
                <w:sz w:val="22"/>
                <w:szCs w:val="22"/>
              </w:rPr>
            </w:pPr>
            <w:r w:rsidRPr="007A201D">
              <w:rPr>
                <w:b/>
                <w:snapToGrid w:val="0"/>
                <w:color w:val="000000"/>
                <w:sz w:val="22"/>
                <w:szCs w:val="22"/>
              </w:rPr>
              <w:t xml:space="preserve">   </w:t>
            </w:r>
            <w:r w:rsidRPr="007A201D">
              <w:rPr>
                <w:snapToGrid w:val="0"/>
                <w:color w:val="000000"/>
                <w:sz w:val="22"/>
                <w:szCs w:val="22"/>
              </w:rPr>
              <w:t>Adefovir-resistant patients, n/N (%)</w:t>
            </w:r>
            <w:r w:rsidRPr="007A201D">
              <w:rPr>
                <w:snapToGrid w:val="0"/>
                <w:sz w:val="22"/>
                <w:szCs w:val="22"/>
                <w:vertAlign w:val="superscript"/>
              </w:rPr>
              <w:t>1</w:t>
            </w:r>
          </w:p>
        </w:tc>
        <w:tc>
          <w:tcPr>
            <w:tcW w:w="2694" w:type="dxa"/>
            <w:shd w:val="clear" w:color="auto" w:fill="auto"/>
            <w:vAlign w:val="center"/>
          </w:tcPr>
          <w:p w:rsidR="00AB4F01" w:rsidRPr="007A201D" w:rsidRDefault="00AB4F01" w:rsidP="007A201D">
            <w:pPr>
              <w:pStyle w:val="Text1"/>
              <w:spacing w:after="0"/>
              <w:jc w:val="center"/>
              <w:rPr>
                <w:sz w:val="22"/>
                <w:szCs w:val="22"/>
              </w:rPr>
            </w:pPr>
            <w:r w:rsidRPr="007A201D">
              <w:rPr>
                <w:sz w:val="22"/>
                <w:szCs w:val="22"/>
              </w:rPr>
              <w:t>7/8 (88%)</w:t>
            </w:r>
          </w:p>
        </w:tc>
      </w:tr>
      <w:tr w:rsidR="00AB4F01" w:rsidRPr="007A201D" w:rsidTr="007A201D">
        <w:tc>
          <w:tcPr>
            <w:tcW w:w="5778" w:type="dxa"/>
            <w:shd w:val="clear" w:color="auto" w:fill="E6E6E6"/>
          </w:tcPr>
          <w:p w:rsidR="00AB4F01" w:rsidRPr="007A201D" w:rsidRDefault="00AB4F01" w:rsidP="00826729">
            <w:pPr>
              <w:pStyle w:val="Table-Text"/>
              <w:rPr>
                <w:b/>
                <w:color w:val="000000"/>
                <w:sz w:val="22"/>
                <w:szCs w:val="22"/>
                <w:vertAlign w:val="superscript"/>
              </w:rPr>
            </w:pPr>
            <w:r w:rsidRPr="007A201D">
              <w:rPr>
                <w:b/>
                <w:sz w:val="22"/>
                <w:szCs w:val="22"/>
              </w:rPr>
              <w:t>Normalised ALT</w:t>
            </w:r>
            <w:r w:rsidRPr="007A201D">
              <w:rPr>
                <w:b/>
                <w:snapToGrid w:val="0"/>
                <w:sz w:val="22"/>
                <w:szCs w:val="22"/>
                <w:vertAlign w:val="superscript"/>
              </w:rPr>
              <w:t>1, 2</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11/27 (41%)</w:t>
            </w:r>
          </w:p>
        </w:tc>
      </w:tr>
      <w:tr w:rsidR="00AB4F01" w:rsidRPr="007A201D" w:rsidTr="007A201D">
        <w:tc>
          <w:tcPr>
            <w:tcW w:w="5778" w:type="dxa"/>
            <w:shd w:val="clear" w:color="auto" w:fill="auto"/>
          </w:tcPr>
          <w:p w:rsidR="00AB4F01" w:rsidRPr="007A201D" w:rsidRDefault="00AB4F01" w:rsidP="007A201D">
            <w:pPr>
              <w:pStyle w:val="Table-Text"/>
              <w:jc w:val="right"/>
              <w:rPr>
                <w:snapToGrid w:val="0"/>
                <w:color w:val="000000"/>
                <w:sz w:val="22"/>
                <w:szCs w:val="22"/>
                <w:lang w:val="fr-FR"/>
              </w:rPr>
            </w:pPr>
            <w:r w:rsidRPr="007A201D">
              <w:rPr>
                <w:b/>
                <w:snapToGrid w:val="0"/>
                <w:color w:val="000000"/>
                <w:sz w:val="22"/>
                <w:szCs w:val="22"/>
                <w:lang w:val="fr-FR"/>
              </w:rPr>
              <w:t xml:space="preserve">   </w:t>
            </w:r>
            <w:r w:rsidRPr="007A201D">
              <w:rPr>
                <w:snapToGrid w:val="0"/>
                <w:color w:val="000000"/>
                <w:sz w:val="22"/>
                <w:szCs w:val="22"/>
                <w:lang w:val="fr-FR"/>
              </w:rPr>
              <w:t>Lamivudine-resistant patients, n/N (%)</w:t>
            </w:r>
            <w:r w:rsidRPr="007A201D">
              <w:rPr>
                <w:snapToGrid w:val="0"/>
                <w:sz w:val="22"/>
                <w:szCs w:val="22"/>
                <w:vertAlign w:val="superscript"/>
                <w:lang w:val="fr-FR"/>
              </w:rPr>
              <w:t>1</w:t>
            </w:r>
          </w:p>
        </w:tc>
        <w:tc>
          <w:tcPr>
            <w:tcW w:w="2694" w:type="dxa"/>
            <w:shd w:val="clear" w:color="auto" w:fill="auto"/>
            <w:vAlign w:val="center"/>
          </w:tcPr>
          <w:p w:rsidR="00AB4F01" w:rsidRPr="007A201D" w:rsidRDefault="00AB4F01" w:rsidP="007A201D">
            <w:pPr>
              <w:pStyle w:val="Text1"/>
              <w:spacing w:after="0"/>
              <w:jc w:val="center"/>
              <w:rPr>
                <w:sz w:val="22"/>
                <w:szCs w:val="22"/>
              </w:rPr>
            </w:pPr>
            <w:r w:rsidRPr="007A201D">
              <w:rPr>
                <w:sz w:val="22"/>
                <w:szCs w:val="22"/>
              </w:rPr>
              <w:t>3/4 (75%)</w:t>
            </w:r>
          </w:p>
        </w:tc>
      </w:tr>
      <w:tr w:rsidR="00AB4F01" w:rsidRPr="007A201D" w:rsidTr="007A201D">
        <w:tc>
          <w:tcPr>
            <w:tcW w:w="5778" w:type="dxa"/>
            <w:shd w:val="clear" w:color="auto" w:fill="auto"/>
          </w:tcPr>
          <w:p w:rsidR="00AB4F01" w:rsidRPr="007A201D" w:rsidRDefault="00AB4F01" w:rsidP="007A201D">
            <w:pPr>
              <w:pStyle w:val="Table-Text"/>
              <w:jc w:val="right"/>
              <w:rPr>
                <w:snapToGrid w:val="0"/>
                <w:color w:val="000000"/>
                <w:sz w:val="22"/>
                <w:szCs w:val="22"/>
              </w:rPr>
            </w:pPr>
            <w:r w:rsidRPr="007A201D">
              <w:rPr>
                <w:b/>
                <w:snapToGrid w:val="0"/>
                <w:color w:val="000000"/>
                <w:sz w:val="22"/>
                <w:szCs w:val="22"/>
              </w:rPr>
              <w:t xml:space="preserve">   </w:t>
            </w:r>
            <w:r w:rsidRPr="007A201D">
              <w:rPr>
                <w:snapToGrid w:val="0"/>
                <w:color w:val="000000"/>
                <w:sz w:val="22"/>
                <w:szCs w:val="22"/>
              </w:rPr>
              <w:t>Adefovir-resistant patients, n/N (%)</w:t>
            </w:r>
            <w:r w:rsidRPr="007A201D">
              <w:rPr>
                <w:snapToGrid w:val="0"/>
                <w:sz w:val="22"/>
                <w:szCs w:val="22"/>
                <w:vertAlign w:val="superscript"/>
              </w:rPr>
              <w:t>1</w:t>
            </w:r>
          </w:p>
        </w:tc>
        <w:tc>
          <w:tcPr>
            <w:tcW w:w="2694" w:type="dxa"/>
            <w:shd w:val="clear" w:color="auto" w:fill="auto"/>
            <w:vAlign w:val="center"/>
          </w:tcPr>
          <w:p w:rsidR="00AB4F01" w:rsidRPr="007A201D" w:rsidRDefault="00AB4F01" w:rsidP="007A201D">
            <w:pPr>
              <w:pStyle w:val="Text1"/>
              <w:spacing w:after="0"/>
              <w:jc w:val="center"/>
              <w:rPr>
                <w:sz w:val="22"/>
                <w:szCs w:val="22"/>
              </w:rPr>
            </w:pPr>
            <w:r w:rsidRPr="007A201D">
              <w:rPr>
                <w:sz w:val="22"/>
                <w:szCs w:val="22"/>
              </w:rPr>
              <w:t>3/5 (60%)</w:t>
            </w:r>
          </w:p>
        </w:tc>
      </w:tr>
      <w:tr w:rsidR="00AB4F01" w:rsidRPr="007A201D" w:rsidTr="007A201D">
        <w:tc>
          <w:tcPr>
            <w:tcW w:w="5778" w:type="dxa"/>
            <w:shd w:val="clear" w:color="auto" w:fill="E6E6E6"/>
          </w:tcPr>
          <w:p w:rsidR="00AB4F01" w:rsidRPr="007A201D" w:rsidRDefault="00AB4F01" w:rsidP="00826729">
            <w:pPr>
              <w:pStyle w:val="Table-Text"/>
              <w:rPr>
                <w:b/>
                <w:color w:val="000000"/>
                <w:sz w:val="22"/>
                <w:szCs w:val="22"/>
              </w:rPr>
            </w:pPr>
            <w:r w:rsidRPr="007A201D">
              <w:rPr>
                <w:b/>
                <w:sz w:val="22"/>
                <w:szCs w:val="22"/>
              </w:rPr>
              <w:t>HBeAg Loss</w:t>
            </w:r>
            <w:r w:rsidRPr="007A201D">
              <w:rPr>
                <w:b/>
                <w:snapToGrid w:val="0"/>
                <w:sz w:val="22"/>
                <w:szCs w:val="22"/>
                <w:vertAlign w:val="superscript"/>
              </w:rPr>
              <w:t>1, 3</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3/38 (8%)</w:t>
            </w:r>
          </w:p>
        </w:tc>
      </w:tr>
      <w:tr w:rsidR="00AB4F01" w:rsidRPr="007A201D" w:rsidTr="007A201D">
        <w:tc>
          <w:tcPr>
            <w:tcW w:w="5778" w:type="dxa"/>
            <w:shd w:val="clear" w:color="auto" w:fill="E6E6E6"/>
          </w:tcPr>
          <w:p w:rsidR="00AB4F01" w:rsidRPr="007A201D" w:rsidRDefault="00AB4F01" w:rsidP="00826729">
            <w:pPr>
              <w:pStyle w:val="Table-Text"/>
              <w:rPr>
                <w:b/>
                <w:color w:val="000000"/>
                <w:sz w:val="22"/>
                <w:szCs w:val="22"/>
              </w:rPr>
            </w:pPr>
            <w:r w:rsidRPr="007A201D">
              <w:rPr>
                <w:b/>
                <w:sz w:val="22"/>
                <w:szCs w:val="22"/>
              </w:rPr>
              <w:t>HBeAg Seroconversion</w:t>
            </w:r>
            <w:r w:rsidRPr="007A201D">
              <w:rPr>
                <w:b/>
                <w:snapToGrid w:val="0"/>
                <w:sz w:val="22"/>
                <w:szCs w:val="22"/>
                <w:vertAlign w:val="superscript"/>
              </w:rPr>
              <w:t>1, 3</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2/38 (5%)</w:t>
            </w:r>
          </w:p>
        </w:tc>
      </w:tr>
      <w:tr w:rsidR="00AB4F01" w:rsidRPr="007A201D" w:rsidTr="007A201D">
        <w:tc>
          <w:tcPr>
            <w:tcW w:w="5778" w:type="dxa"/>
            <w:shd w:val="clear" w:color="auto" w:fill="E6E6E6"/>
          </w:tcPr>
          <w:p w:rsidR="00AB4F01" w:rsidRPr="007A201D" w:rsidRDefault="00AB4F01" w:rsidP="007A201D">
            <w:pPr>
              <w:pStyle w:val="Text1"/>
              <w:spacing w:after="0"/>
              <w:jc w:val="both"/>
              <w:rPr>
                <w:b/>
                <w:color w:val="000000"/>
                <w:sz w:val="22"/>
                <w:szCs w:val="22"/>
              </w:rPr>
            </w:pPr>
            <w:r w:rsidRPr="007A201D">
              <w:rPr>
                <w:b/>
                <w:color w:val="000000"/>
                <w:sz w:val="22"/>
                <w:szCs w:val="22"/>
              </w:rPr>
              <w:t>HBsAg Loss</w:t>
            </w:r>
            <w:r w:rsidRPr="007A201D">
              <w:rPr>
                <w:b/>
                <w:snapToGrid w:val="0"/>
                <w:sz w:val="22"/>
                <w:szCs w:val="22"/>
                <w:vertAlign w:val="superscript"/>
              </w:rPr>
              <w:t>1, 3</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1/53 (2%)</w:t>
            </w:r>
          </w:p>
        </w:tc>
      </w:tr>
      <w:tr w:rsidR="00AB4F01" w:rsidRPr="007A201D" w:rsidTr="007A201D">
        <w:tc>
          <w:tcPr>
            <w:tcW w:w="5778" w:type="dxa"/>
            <w:shd w:val="clear" w:color="auto" w:fill="E6E6E6"/>
          </w:tcPr>
          <w:p w:rsidR="00AB4F01" w:rsidRPr="007A201D" w:rsidRDefault="00AB4F01" w:rsidP="007A201D">
            <w:pPr>
              <w:pStyle w:val="Text1"/>
              <w:spacing w:after="0"/>
              <w:jc w:val="both"/>
              <w:rPr>
                <w:b/>
                <w:color w:val="000000"/>
                <w:sz w:val="22"/>
                <w:szCs w:val="22"/>
              </w:rPr>
            </w:pPr>
            <w:r w:rsidRPr="007A201D">
              <w:rPr>
                <w:b/>
                <w:color w:val="000000"/>
                <w:sz w:val="22"/>
                <w:szCs w:val="22"/>
              </w:rPr>
              <w:t>HBsAg Seroconversion</w:t>
            </w:r>
            <w:r w:rsidRPr="007A201D">
              <w:rPr>
                <w:b/>
                <w:snapToGrid w:val="0"/>
                <w:sz w:val="22"/>
                <w:szCs w:val="22"/>
                <w:vertAlign w:val="superscript"/>
              </w:rPr>
              <w:t>1, 3</w:t>
            </w:r>
          </w:p>
        </w:tc>
        <w:tc>
          <w:tcPr>
            <w:tcW w:w="2694" w:type="dxa"/>
            <w:shd w:val="clear" w:color="auto" w:fill="E6E6E6"/>
            <w:vAlign w:val="center"/>
          </w:tcPr>
          <w:p w:rsidR="00AB4F01" w:rsidRPr="007A201D" w:rsidRDefault="00AB4F01" w:rsidP="007A201D">
            <w:pPr>
              <w:pStyle w:val="Text1"/>
              <w:spacing w:after="0"/>
              <w:jc w:val="center"/>
              <w:rPr>
                <w:b/>
                <w:sz w:val="22"/>
                <w:szCs w:val="22"/>
              </w:rPr>
            </w:pPr>
            <w:r w:rsidRPr="007A201D">
              <w:rPr>
                <w:b/>
                <w:sz w:val="22"/>
                <w:szCs w:val="22"/>
              </w:rPr>
              <w:t>1/53 (2%)</w:t>
            </w:r>
          </w:p>
        </w:tc>
      </w:tr>
    </w:tbl>
    <w:p w:rsidR="000D101B" w:rsidRPr="00467823" w:rsidRDefault="00AB4F01" w:rsidP="00F4152A">
      <w:pPr>
        <w:pStyle w:val="Text1"/>
        <w:spacing w:after="0"/>
        <w:jc w:val="both"/>
        <w:rPr>
          <w:sz w:val="18"/>
          <w:szCs w:val="18"/>
        </w:rPr>
      </w:pPr>
      <w:r w:rsidRPr="00467823">
        <w:rPr>
          <w:sz w:val="18"/>
          <w:szCs w:val="18"/>
        </w:rPr>
        <w:t>1</w:t>
      </w:r>
      <w:r w:rsidR="000D101B" w:rsidRPr="00467823">
        <w:rPr>
          <w:sz w:val="18"/>
          <w:szCs w:val="18"/>
        </w:rPr>
        <w:t xml:space="preserve">   Patients who prematurely discontinued the study prior to week 48 were considered failures at all time points following the time    </w:t>
      </w:r>
    </w:p>
    <w:p w:rsidR="000D101B" w:rsidRPr="00467823" w:rsidRDefault="000D101B" w:rsidP="00F4152A">
      <w:pPr>
        <w:pStyle w:val="Text1"/>
        <w:spacing w:after="0"/>
        <w:jc w:val="both"/>
        <w:rPr>
          <w:sz w:val="18"/>
          <w:szCs w:val="18"/>
        </w:rPr>
      </w:pPr>
      <w:r w:rsidRPr="00467823">
        <w:rPr>
          <w:sz w:val="18"/>
          <w:szCs w:val="18"/>
        </w:rPr>
        <w:t xml:space="preserve">     of discontinuation.</w:t>
      </w:r>
    </w:p>
    <w:p w:rsidR="000D101B" w:rsidRPr="00467823" w:rsidRDefault="00AB4F01" w:rsidP="00F4152A">
      <w:pPr>
        <w:pStyle w:val="Text1"/>
        <w:spacing w:after="0"/>
        <w:jc w:val="both"/>
        <w:rPr>
          <w:sz w:val="18"/>
          <w:szCs w:val="18"/>
        </w:rPr>
      </w:pPr>
      <w:r w:rsidRPr="00467823">
        <w:rPr>
          <w:sz w:val="18"/>
          <w:szCs w:val="18"/>
        </w:rPr>
        <w:t>2</w:t>
      </w:r>
      <w:r w:rsidR="000D101B" w:rsidRPr="00467823">
        <w:rPr>
          <w:sz w:val="18"/>
          <w:szCs w:val="18"/>
        </w:rPr>
        <w:t xml:space="preserve">   Normalised ALT defined as ALT at or below the ULN, for subjects with above the ULN at baseline.</w:t>
      </w:r>
    </w:p>
    <w:p w:rsidR="00AB4F01" w:rsidRPr="00467823" w:rsidRDefault="00AB4F01" w:rsidP="00F4152A">
      <w:pPr>
        <w:pStyle w:val="Text1"/>
        <w:spacing w:after="0"/>
        <w:jc w:val="both"/>
        <w:rPr>
          <w:sz w:val="18"/>
          <w:szCs w:val="18"/>
        </w:rPr>
      </w:pPr>
      <w:r w:rsidRPr="00467823">
        <w:rPr>
          <w:sz w:val="18"/>
          <w:szCs w:val="18"/>
        </w:rPr>
        <w:t>3</w:t>
      </w:r>
      <w:r w:rsidR="000D101B" w:rsidRPr="00467823">
        <w:rPr>
          <w:sz w:val="18"/>
          <w:szCs w:val="18"/>
        </w:rPr>
        <w:t xml:space="preserve">   HBeAg/HBsAg loss defined as HBeAg/HBsAg result for those subjects with positive HBeAg/HBsAg at baseline.  </w:t>
      </w:r>
      <w:r w:rsidRPr="00467823">
        <w:rPr>
          <w:sz w:val="18"/>
          <w:szCs w:val="18"/>
        </w:rPr>
        <w:t xml:space="preserve"> </w:t>
      </w:r>
    </w:p>
    <w:p w:rsidR="000D101B" w:rsidRPr="00467823" w:rsidRDefault="00AB4F01" w:rsidP="00F4152A">
      <w:pPr>
        <w:pStyle w:val="Text1"/>
        <w:spacing w:after="0"/>
        <w:jc w:val="both"/>
        <w:rPr>
          <w:sz w:val="18"/>
          <w:szCs w:val="18"/>
        </w:rPr>
      </w:pPr>
      <w:r w:rsidRPr="00467823">
        <w:rPr>
          <w:sz w:val="18"/>
          <w:szCs w:val="18"/>
        </w:rPr>
        <w:t xml:space="preserve">     </w:t>
      </w:r>
      <w:r w:rsidR="000D101B" w:rsidRPr="00467823">
        <w:rPr>
          <w:sz w:val="18"/>
          <w:szCs w:val="18"/>
        </w:rPr>
        <w:t>Seroconversion defined as HBeAg/HBsAg loss and positive anti-HBe/anti-HBs result.</w:t>
      </w:r>
    </w:p>
    <w:p w:rsidR="00467823" w:rsidRDefault="00467823" w:rsidP="002D4159">
      <w:pPr>
        <w:pStyle w:val="Text1"/>
        <w:spacing w:after="0"/>
        <w:jc w:val="both"/>
        <w:rPr>
          <w:szCs w:val="24"/>
        </w:rPr>
      </w:pPr>
    </w:p>
    <w:p w:rsidR="002D4159" w:rsidRDefault="002D4159" w:rsidP="002D4159">
      <w:pPr>
        <w:pStyle w:val="Text1"/>
        <w:spacing w:after="0"/>
        <w:jc w:val="both"/>
        <w:rPr>
          <w:szCs w:val="24"/>
        </w:rPr>
      </w:pPr>
      <w:r w:rsidRPr="00467823">
        <w:rPr>
          <w:szCs w:val="24"/>
        </w:rPr>
        <w:t>At week 48, no patient with lamivudine- or adefovir-resistant mutations at baseline, had HBeAg/HBsAg loss and</w:t>
      </w:r>
      <w:r w:rsidR="003F36F0">
        <w:rPr>
          <w:szCs w:val="24"/>
        </w:rPr>
        <w:t>/or</w:t>
      </w:r>
      <w:r w:rsidRPr="00467823">
        <w:rPr>
          <w:szCs w:val="24"/>
        </w:rPr>
        <w:t xml:space="preserve"> seroconversion.  </w:t>
      </w:r>
    </w:p>
    <w:p w:rsidR="00847CDD" w:rsidRDefault="00847CDD" w:rsidP="002D4159">
      <w:pPr>
        <w:pStyle w:val="Text1"/>
        <w:spacing w:after="0"/>
        <w:jc w:val="both"/>
        <w:rPr>
          <w:szCs w:val="24"/>
        </w:rPr>
      </w:pPr>
    </w:p>
    <w:p w:rsidR="00847CDD" w:rsidRDefault="00847CDD" w:rsidP="002D4159">
      <w:pPr>
        <w:pStyle w:val="Text1"/>
        <w:spacing w:after="0"/>
        <w:jc w:val="both"/>
        <w:rPr>
          <w:b/>
          <w:szCs w:val="24"/>
        </w:rPr>
      </w:pPr>
      <w:r w:rsidRPr="00847CDD">
        <w:rPr>
          <w:b/>
          <w:szCs w:val="24"/>
        </w:rPr>
        <w:t>Experience</w:t>
      </w:r>
      <w:r>
        <w:rPr>
          <w:b/>
          <w:szCs w:val="24"/>
        </w:rPr>
        <w:t xml:space="preserve"> in Patients with Decompensated Liver Disease (Study 0108)</w:t>
      </w:r>
    </w:p>
    <w:p w:rsidR="008A326F" w:rsidRDefault="008A326F" w:rsidP="002D4159">
      <w:pPr>
        <w:pStyle w:val="Text1"/>
        <w:spacing w:after="0"/>
        <w:jc w:val="both"/>
        <w:rPr>
          <w:b/>
          <w:szCs w:val="24"/>
        </w:rPr>
      </w:pPr>
    </w:p>
    <w:p w:rsidR="00847CDD" w:rsidRDefault="00847CDD" w:rsidP="002D4159">
      <w:pPr>
        <w:pStyle w:val="Text1"/>
        <w:spacing w:after="0"/>
        <w:jc w:val="both"/>
        <w:rPr>
          <w:szCs w:val="24"/>
        </w:rPr>
      </w:pPr>
      <w:r>
        <w:rPr>
          <w:szCs w:val="24"/>
        </w:rPr>
        <w:t xml:space="preserve">Study GS-US-174-0108 (0108) is a randomized, double-blind, active controlled study evaluating the safety and efficacy of VIREAD (n=45) </w:t>
      </w:r>
      <w:r w:rsidR="0012784F">
        <w:rPr>
          <w:szCs w:val="24"/>
        </w:rPr>
        <w:t xml:space="preserve">for 48 weeks </w:t>
      </w:r>
      <w:r>
        <w:rPr>
          <w:szCs w:val="24"/>
        </w:rPr>
        <w:t>in patients with decompensated liver disease.  In the VIREAD treatment arm, patients had a mean Child-Pugh-Turcotte (CPT) score of 7.2, mean HBV DNA of 5.8 log</w:t>
      </w:r>
      <w:r w:rsidRPr="00847CDD">
        <w:rPr>
          <w:szCs w:val="24"/>
          <w:vertAlign w:val="subscript"/>
        </w:rPr>
        <w:t>10</w:t>
      </w:r>
      <w:r>
        <w:rPr>
          <w:szCs w:val="24"/>
        </w:rPr>
        <w:t xml:space="preserve"> copies/mL and mean serum ALT of 61 U/L at baseline.  Forty-two percent (19/45) of patients had at least 6 months of prior lamivudine experience and 9 of 45 patients (20%) had lamivudine and/or adefovir resistance substitutions at baseline.  The coprimary safety endpoints were discontinuation due to an adverse event and confirmed increase in serum creatinine ≥ 0.5 mg/dL or confirmed decrease in serum phosphorus of &lt; 2 mg/dL.</w:t>
      </w:r>
    </w:p>
    <w:p w:rsidR="00847CDD" w:rsidRDefault="00847CDD" w:rsidP="002D4159">
      <w:pPr>
        <w:pStyle w:val="Text1"/>
        <w:spacing w:after="0"/>
        <w:jc w:val="both"/>
        <w:rPr>
          <w:szCs w:val="24"/>
        </w:rPr>
      </w:pPr>
    </w:p>
    <w:p w:rsidR="00847CDD" w:rsidRPr="00847CDD" w:rsidRDefault="00847CDD" w:rsidP="002D4159">
      <w:pPr>
        <w:pStyle w:val="Text1"/>
        <w:spacing w:after="0"/>
        <w:jc w:val="both"/>
        <w:rPr>
          <w:szCs w:val="24"/>
        </w:rPr>
      </w:pPr>
      <w:r>
        <w:rPr>
          <w:szCs w:val="24"/>
        </w:rPr>
        <w:t xml:space="preserve">In the VIREAD treatment arm, 3 of 45 patients (7%) discontinued treatment due to an adverse event; 4 of 45 (9%) experienced a confirmed increase in serum creatinine of ≥ 0.5 mg/dL or </w:t>
      </w:r>
      <w:r>
        <w:rPr>
          <w:szCs w:val="24"/>
        </w:rPr>
        <w:lastRenderedPageBreak/>
        <w:t>confirmed decrease in serum phosphorus of &lt; 2 mg/mL through week 48; these results were similar to those in the non-VIREAD containing treatment arm.  HBV DNA &lt; 400 copies/mL and normal ALT were observed in 31 of 44 patients (70%) and 25 of 44 patients (57%), respectively, in the VIREAD treatment arm.  The mean change from baseline in CPT score was -0.8; the mean absolute CPT score was 6 at week 48.</w:t>
      </w:r>
    </w:p>
    <w:p w:rsidR="009538FE" w:rsidRDefault="009538FE" w:rsidP="00F4152A">
      <w:pPr>
        <w:pStyle w:val="Text1"/>
        <w:spacing w:after="0"/>
        <w:jc w:val="both"/>
        <w:rPr>
          <w:color w:val="FF0000"/>
          <w:szCs w:val="24"/>
        </w:rPr>
      </w:pPr>
    </w:p>
    <w:p w:rsidR="0081675E" w:rsidRDefault="0081675E" w:rsidP="0081675E">
      <w:pPr>
        <w:jc w:val="both"/>
        <w:rPr>
          <w:rFonts w:ascii="Times New Roman" w:hAnsi="Times New Roman"/>
          <w:b/>
          <w:snapToGrid w:val="0"/>
          <w:sz w:val="24"/>
          <w:szCs w:val="24"/>
        </w:rPr>
      </w:pPr>
      <w:r w:rsidRPr="00D05AE7">
        <w:rPr>
          <w:rFonts w:ascii="Times New Roman" w:hAnsi="Times New Roman"/>
          <w:b/>
          <w:snapToGrid w:val="0"/>
          <w:sz w:val="24"/>
          <w:szCs w:val="24"/>
        </w:rPr>
        <w:t>Experience in Paediatric Patients 12 Years of Age and Older</w:t>
      </w:r>
      <w:r>
        <w:rPr>
          <w:rFonts w:ascii="Times New Roman" w:hAnsi="Times New Roman"/>
          <w:b/>
          <w:snapToGrid w:val="0"/>
          <w:sz w:val="24"/>
          <w:szCs w:val="24"/>
        </w:rPr>
        <w:t xml:space="preserve"> (Study 0115)</w:t>
      </w:r>
    </w:p>
    <w:p w:rsidR="0081675E" w:rsidRPr="00CB675A" w:rsidRDefault="0081675E" w:rsidP="0081675E">
      <w:pPr>
        <w:jc w:val="both"/>
        <w:rPr>
          <w:rFonts w:ascii="Times New Roman" w:hAnsi="Times New Roman"/>
          <w:snapToGrid w:val="0"/>
          <w:sz w:val="24"/>
          <w:szCs w:val="24"/>
        </w:rPr>
      </w:pPr>
      <w:r>
        <w:rPr>
          <w:rFonts w:ascii="Times New Roman" w:hAnsi="Times New Roman"/>
          <w:snapToGrid w:val="0"/>
          <w:sz w:val="24"/>
          <w:szCs w:val="24"/>
        </w:rPr>
        <w:t>In Study GS-US-174-0115 (0115), 106 HBeAg negative and positive patients aged 12 to &lt; 18 years with chronic HBV infection</w:t>
      </w:r>
      <w:r w:rsidR="003716DB">
        <w:rPr>
          <w:rFonts w:ascii="Times New Roman" w:hAnsi="Times New Roman"/>
          <w:snapToGrid w:val="0"/>
          <w:sz w:val="24"/>
          <w:szCs w:val="24"/>
        </w:rPr>
        <w:t xml:space="preserve"> [HBV DNA ≥10</w:t>
      </w:r>
      <w:r w:rsidR="003716DB" w:rsidRPr="003716DB">
        <w:rPr>
          <w:rFonts w:ascii="Times New Roman" w:hAnsi="Times New Roman"/>
          <w:snapToGrid w:val="0"/>
          <w:sz w:val="24"/>
          <w:szCs w:val="24"/>
          <w:vertAlign w:val="superscript"/>
        </w:rPr>
        <w:t>5</w:t>
      </w:r>
      <w:r w:rsidR="003716DB">
        <w:rPr>
          <w:rFonts w:ascii="Times New Roman" w:hAnsi="Times New Roman"/>
          <w:snapToGrid w:val="0"/>
          <w:sz w:val="24"/>
          <w:szCs w:val="24"/>
          <w:vertAlign w:val="superscript"/>
        </w:rPr>
        <w:t xml:space="preserve"> </w:t>
      </w:r>
      <w:r w:rsidR="003716DB">
        <w:rPr>
          <w:rFonts w:ascii="Times New Roman" w:hAnsi="Times New Roman"/>
          <w:snapToGrid w:val="0"/>
          <w:sz w:val="24"/>
          <w:szCs w:val="24"/>
        </w:rPr>
        <w:t>copies/ml, elevated serum ALT (≥2 x ULN) or a history of elevated serum ALT levels in the past 24 months]</w:t>
      </w:r>
      <w:r>
        <w:rPr>
          <w:rFonts w:ascii="Times New Roman" w:hAnsi="Times New Roman"/>
          <w:snapToGrid w:val="0"/>
          <w:sz w:val="24"/>
          <w:szCs w:val="24"/>
        </w:rPr>
        <w:t xml:space="preserve"> were treated with VIREAD (n=52) or placebo (n=54) for 72 weeks.  At Week 72, 88% (46/52) of patients in the VIREAD treatment group and 0% (0/54) of patients in the placebo group had HBV DNA &lt; 400 copies/mL.  Seventy-four percent (26/35) of patients in the VIREAD group had normalised ALT at Week 72 compared to 31% (13/42) in the placebo group.  Response to treatment with VIREAD was comparable in nucleos(t)ide-naïve patients (n=20) and nucleos(t)ide-experienced (n=32) patients. Ninety-five percent of nucleos(t)ide-naïve patients and 84% nucleos(t)ide-experienced patients achieved HBV DNA &lt; 400 copies/mL at Week 72.</w:t>
      </w:r>
      <w:r w:rsidR="00CB675A">
        <w:rPr>
          <w:rFonts w:ascii="Times New Roman" w:hAnsi="Times New Roman"/>
          <w:snapToGrid w:val="0"/>
          <w:sz w:val="24"/>
          <w:szCs w:val="24"/>
        </w:rPr>
        <w:t xml:space="preserve">  At week 72, 96% (27/28) of immune-active patients (HBV DNA ≥10</w:t>
      </w:r>
      <w:r w:rsidR="00CB675A" w:rsidRPr="00CB675A">
        <w:rPr>
          <w:rFonts w:ascii="Times New Roman" w:hAnsi="Times New Roman"/>
          <w:snapToGrid w:val="0"/>
          <w:sz w:val="24"/>
          <w:szCs w:val="24"/>
          <w:vertAlign w:val="superscript"/>
        </w:rPr>
        <w:t>5</w:t>
      </w:r>
      <w:r w:rsidR="00CB675A">
        <w:rPr>
          <w:rFonts w:ascii="Times New Roman" w:hAnsi="Times New Roman"/>
          <w:snapToGrid w:val="0"/>
          <w:sz w:val="24"/>
          <w:szCs w:val="24"/>
          <w:vertAlign w:val="superscript"/>
        </w:rPr>
        <w:t xml:space="preserve"> </w:t>
      </w:r>
      <w:r w:rsidR="00CB675A">
        <w:rPr>
          <w:rFonts w:ascii="Times New Roman" w:hAnsi="Times New Roman"/>
          <w:snapToGrid w:val="0"/>
          <w:sz w:val="24"/>
          <w:szCs w:val="24"/>
        </w:rPr>
        <w:t xml:space="preserve">copies/ml, serum ALT </w:t>
      </w:r>
      <w:r w:rsidR="00CB675A" w:rsidRPr="00CB675A">
        <w:rPr>
          <w:rFonts w:ascii="Times New Roman" w:hAnsi="Times New Roman"/>
          <w:snapToGrid w:val="0"/>
          <w:sz w:val="24"/>
          <w:szCs w:val="24"/>
        </w:rPr>
        <w:t>&gt; 1.5 x ULN) in the tenofovir disoproxil fumarate treatment group and 0% (0/32) of patients in the placebo group had HBV DNA &lt; 400 copies/ml. Seventy-five percent (21/28) of immune-active patients in the tenofovir disoproxil fumarate group had normal ALT at week 72 compared to 34% (11/32) in the placebo group.</w:t>
      </w:r>
    </w:p>
    <w:p w:rsidR="0081675E" w:rsidRPr="0081675E" w:rsidRDefault="0081675E" w:rsidP="00F4152A">
      <w:pPr>
        <w:pStyle w:val="Text1"/>
        <w:spacing w:after="0"/>
        <w:jc w:val="both"/>
        <w:rPr>
          <w:color w:val="FF0000"/>
          <w:szCs w:val="24"/>
          <w:lang w:val="en-AU"/>
        </w:rPr>
      </w:pPr>
    </w:p>
    <w:p w:rsidR="0081675E" w:rsidRPr="00467823" w:rsidRDefault="0081675E" w:rsidP="00F4152A">
      <w:pPr>
        <w:pStyle w:val="Text1"/>
        <w:spacing w:after="0"/>
        <w:jc w:val="both"/>
        <w:rPr>
          <w:color w:val="FF0000"/>
          <w:szCs w:val="24"/>
        </w:rPr>
      </w:pPr>
    </w:p>
    <w:p w:rsidR="00F4152A" w:rsidRPr="00467823" w:rsidRDefault="00F4152A" w:rsidP="00F4152A">
      <w:pPr>
        <w:jc w:val="both"/>
        <w:rPr>
          <w:rFonts w:ascii="Times New Roman" w:hAnsi="Times New Roman"/>
          <w:b/>
          <w:snapToGrid w:val="0"/>
          <w:color w:val="000000"/>
          <w:sz w:val="24"/>
          <w:szCs w:val="24"/>
        </w:rPr>
      </w:pPr>
      <w:r w:rsidRPr="003E5B9C">
        <w:rPr>
          <w:rFonts w:ascii="Times New Roman" w:hAnsi="Times New Roman"/>
          <w:b/>
          <w:snapToGrid w:val="0"/>
          <w:color w:val="000000"/>
          <w:sz w:val="24"/>
          <w:szCs w:val="24"/>
        </w:rPr>
        <w:t>Clinical Resistance</w:t>
      </w:r>
    </w:p>
    <w:p w:rsidR="00F4152A" w:rsidRPr="00015C34" w:rsidRDefault="00F4152A" w:rsidP="00F4152A">
      <w:pPr>
        <w:jc w:val="both"/>
        <w:rPr>
          <w:rFonts w:ascii="Times New Roman" w:hAnsi="Times New Roman"/>
          <w:b/>
          <w:snapToGrid w:val="0"/>
          <w:color w:val="000000"/>
          <w:sz w:val="24"/>
          <w:szCs w:val="24"/>
        </w:rPr>
      </w:pPr>
    </w:p>
    <w:p w:rsidR="00180C79" w:rsidRPr="0027034F" w:rsidRDefault="00180C79" w:rsidP="00180C79">
      <w:pPr>
        <w:pStyle w:val="Text1"/>
        <w:spacing w:after="0"/>
        <w:jc w:val="both"/>
        <w:rPr>
          <w:color w:val="000000"/>
          <w:szCs w:val="24"/>
        </w:rPr>
      </w:pPr>
      <w:r w:rsidRPr="0027034F">
        <w:rPr>
          <w:color w:val="000000"/>
          <w:szCs w:val="24"/>
        </w:rPr>
        <w:t xml:space="preserve">Of </w:t>
      </w:r>
      <w:r w:rsidR="00802958">
        <w:rPr>
          <w:color w:val="000000"/>
          <w:szCs w:val="24"/>
        </w:rPr>
        <w:t>307</w:t>
      </w:r>
      <w:r w:rsidRPr="0027034F">
        <w:rPr>
          <w:color w:val="000000"/>
          <w:szCs w:val="24"/>
        </w:rPr>
        <w:t xml:space="preserve"> HBeAg negative and HBeAg positive patients who received treatment with VIREAD for up to </w:t>
      </w:r>
      <w:r w:rsidR="00802958">
        <w:rPr>
          <w:color w:val="000000"/>
          <w:szCs w:val="24"/>
        </w:rPr>
        <w:t>240</w:t>
      </w:r>
      <w:r w:rsidR="00802958" w:rsidRPr="0027034F">
        <w:rPr>
          <w:color w:val="000000"/>
          <w:szCs w:val="24"/>
        </w:rPr>
        <w:t xml:space="preserve"> </w:t>
      </w:r>
      <w:r w:rsidRPr="0027034F">
        <w:rPr>
          <w:color w:val="000000"/>
          <w:szCs w:val="24"/>
        </w:rPr>
        <w:t>weeks in studies 0102 and 0103, genotypic analysis was performed on HBV isolates for all  patients with HBV DNA &gt; 400 copies/mL (n=</w:t>
      </w:r>
      <w:r w:rsidR="004B7F57">
        <w:rPr>
          <w:color w:val="000000"/>
          <w:szCs w:val="24"/>
        </w:rPr>
        <w:t>4</w:t>
      </w:r>
      <w:r w:rsidRPr="0027034F">
        <w:rPr>
          <w:color w:val="000000"/>
          <w:szCs w:val="24"/>
        </w:rPr>
        <w:t>).  No amino acid substitutions occurred in these subjects’ isolates which were associated with tenofovir resistance.</w:t>
      </w:r>
    </w:p>
    <w:p w:rsidR="00180C79" w:rsidRPr="0027034F" w:rsidRDefault="00180C79" w:rsidP="00180C79">
      <w:pPr>
        <w:pStyle w:val="Text1"/>
        <w:spacing w:after="0"/>
        <w:jc w:val="both"/>
        <w:rPr>
          <w:color w:val="000000"/>
          <w:szCs w:val="24"/>
        </w:rPr>
      </w:pPr>
    </w:p>
    <w:p w:rsidR="00A50F31" w:rsidRDefault="00180C79" w:rsidP="00F4152A">
      <w:pPr>
        <w:pStyle w:val="Text1"/>
        <w:spacing w:after="0"/>
        <w:jc w:val="both"/>
        <w:rPr>
          <w:color w:val="000000"/>
          <w:szCs w:val="24"/>
        </w:rPr>
      </w:pPr>
      <w:r w:rsidRPr="0027034F">
        <w:rPr>
          <w:color w:val="000000"/>
          <w:szCs w:val="24"/>
        </w:rPr>
        <w:t xml:space="preserve">In studies 0102 and 0103, </w:t>
      </w:r>
      <w:r w:rsidR="00030137">
        <w:rPr>
          <w:color w:val="000000"/>
          <w:szCs w:val="24"/>
        </w:rPr>
        <w:t>160</w:t>
      </w:r>
      <w:r w:rsidR="00030137" w:rsidRPr="0027034F">
        <w:rPr>
          <w:color w:val="000000"/>
          <w:szCs w:val="24"/>
        </w:rPr>
        <w:t xml:space="preserve"> </w:t>
      </w:r>
      <w:r w:rsidRPr="0027034F">
        <w:rPr>
          <w:color w:val="000000"/>
          <w:szCs w:val="24"/>
        </w:rPr>
        <w:t xml:space="preserve">patients treated with HEPSERA for 48 weeks, rolled over to treatment with VIREAD for up to </w:t>
      </w:r>
      <w:r w:rsidR="00030137">
        <w:rPr>
          <w:color w:val="000000"/>
          <w:szCs w:val="24"/>
        </w:rPr>
        <w:t>192</w:t>
      </w:r>
      <w:r w:rsidRPr="0027034F">
        <w:rPr>
          <w:color w:val="000000"/>
          <w:szCs w:val="24"/>
        </w:rPr>
        <w:t xml:space="preserve"> weeks; one patient with HBV DNA remaining &gt; 400 copies/mL was evaluated for resistance.  No amino acid substitutions were observed at sufficient frequency to establish an association with tenofovir resistance.</w:t>
      </w:r>
      <w:r w:rsidR="00A50F31">
        <w:rPr>
          <w:color w:val="000000"/>
          <w:szCs w:val="24"/>
        </w:rPr>
        <w:t xml:space="preserve">  </w:t>
      </w:r>
    </w:p>
    <w:p w:rsidR="00A50F31" w:rsidRDefault="00A50F31" w:rsidP="00F4152A">
      <w:pPr>
        <w:pStyle w:val="Text1"/>
        <w:spacing w:after="0"/>
        <w:jc w:val="both"/>
        <w:rPr>
          <w:color w:val="000000"/>
          <w:szCs w:val="24"/>
        </w:rPr>
      </w:pPr>
    </w:p>
    <w:p w:rsidR="00A50F31" w:rsidRDefault="00A50F31" w:rsidP="00A50F31">
      <w:pPr>
        <w:pStyle w:val="Text1"/>
        <w:spacing w:after="0"/>
        <w:jc w:val="both"/>
        <w:rPr>
          <w:color w:val="000000"/>
          <w:szCs w:val="24"/>
        </w:rPr>
      </w:pPr>
      <w:r>
        <w:rPr>
          <w:color w:val="000000"/>
          <w:szCs w:val="24"/>
        </w:rPr>
        <w:t xml:space="preserve">Among the 53 treatment-experienced patients in study 0106 treated with VIREAD, 17 had HBV DNA &gt; 400 copies/mL following up to 48 weeks of treatment with VIREAD.  Among these patients, no amino acid substitutions were observed </w:t>
      </w:r>
      <w:r w:rsidR="00CD290C">
        <w:rPr>
          <w:color w:val="000000"/>
          <w:szCs w:val="24"/>
        </w:rPr>
        <w:t>i</w:t>
      </w:r>
      <w:r>
        <w:rPr>
          <w:color w:val="000000"/>
          <w:szCs w:val="24"/>
        </w:rPr>
        <w:t xml:space="preserve">n association with tenofovir resistance.  </w:t>
      </w:r>
    </w:p>
    <w:p w:rsidR="00A50F31" w:rsidRDefault="00A50F31" w:rsidP="00F4152A">
      <w:pPr>
        <w:pStyle w:val="Text1"/>
        <w:spacing w:after="0"/>
        <w:jc w:val="both"/>
        <w:rPr>
          <w:color w:val="000000"/>
          <w:szCs w:val="24"/>
        </w:rPr>
      </w:pPr>
    </w:p>
    <w:p w:rsidR="00470543" w:rsidRDefault="00470543" w:rsidP="00F4152A">
      <w:pPr>
        <w:pStyle w:val="Text1"/>
        <w:spacing w:after="0"/>
        <w:jc w:val="both"/>
        <w:rPr>
          <w:color w:val="000000"/>
          <w:szCs w:val="24"/>
        </w:rPr>
      </w:pPr>
      <w:r>
        <w:rPr>
          <w:color w:val="000000"/>
          <w:szCs w:val="24"/>
        </w:rPr>
        <w:t xml:space="preserve">In study 0108, 45 patients (including 9 patients with lamivudine and/or adefovir resistance substitutions at baseline) received VIREAD for up to 48 weeks; 6 with HBV DNA &gt; 400 copies/mL were evaluated for resistance.  No amino acid substitutions associated with tenofovir resistance were identified in these isolates. </w:t>
      </w:r>
    </w:p>
    <w:p w:rsidR="00470543" w:rsidRDefault="00470543" w:rsidP="00F4152A">
      <w:pPr>
        <w:pStyle w:val="Text1"/>
        <w:spacing w:after="0"/>
        <w:jc w:val="both"/>
        <w:rPr>
          <w:color w:val="000000"/>
          <w:szCs w:val="24"/>
        </w:rPr>
      </w:pPr>
    </w:p>
    <w:p w:rsidR="00A50F31" w:rsidRDefault="00A50F31" w:rsidP="00A50F31">
      <w:pPr>
        <w:pStyle w:val="Text1"/>
        <w:spacing w:after="0"/>
        <w:jc w:val="both"/>
        <w:rPr>
          <w:color w:val="000000"/>
          <w:szCs w:val="24"/>
        </w:rPr>
      </w:pPr>
      <w:r>
        <w:rPr>
          <w:color w:val="000000"/>
          <w:szCs w:val="24"/>
        </w:rPr>
        <w:lastRenderedPageBreak/>
        <w:t xml:space="preserve">In studies 0102, 0103 and 0106, 12 patients </w:t>
      </w:r>
      <w:r w:rsidR="00571B28">
        <w:rPr>
          <w:color w:val="000000"/>
          <w:szCs w:val="24"/>
        </w:rPr>
        <w:t>randomis</w:t>
      </w:r>
      <w:r>
        <w:rPr>
          <w:color w:val="000000"/>
          <w:szCs w:val="24"/>
        </w:rPr>
        <w:t xml:space="preserve">ed to VIREAD had HBV containing lamivudine-resistance associated substitutions at baseline.  Following up to 48 weeks (0106; n=7) </w:t>
      </w:r>
      <w:r w:rsidRPr="003E5B9C">
        <w:rPr>
          <w:color w:val="000000"/>
          <w:szCs w:val="24"/>
        </w:rPr>
        <w:t xml:space="preserve">or </w:t>
      </w:r>
      <w:r w:rsidR="00387FFE">
        <w:rPr>
          <w:color w:val="000000"/>
          <w:szCs w:val="24"/>
        </w:rPr>
        <w:t>240</w:t>
      </w:r>
      <w:r w:rsidRPr="003E5B9C">
        <w:rPr>
          <w:color w:val="000000"/>
          <w:szCs w:val="24"/>
        </w:rPr>
        <w:t xml:space="preserve"> weeks (0102 and 0103; n </w:t>
      </w:r>
      <w:r w:rsidR="00571B28" w:rsidRPr="003E5B9C">
        <w:rPr>
          <w:color w:val="000000"/>
          <w:szCs w:val="24"/>
        </w:rPr>
        <w:t xml:space="preserve"> =</w:t>
      </w:r>
      <w:r w:rsidR="00AD36F5">
        <w:rPr>
          <w:color w:val="000000"/>
          <w:szCs w:val="24"/>
        </w:rPr>
        <w:t>4</w:t>
      </w:r>
      <w:r w:rsidR="00571B28" w:rsidRPr="003E5B9C">
        <w:rPr>
          <w:color w:val="000000"/>
          <w:szCs w:val="24"/>
        </w:rPr>
        <w:t>) of treatm</w:t>
      </w:r>
      <w:r w:rsidR="00571B28">
        <w:rPr>
          <w:color w:val="000000"/>
          <w:szCs w:val="24"/>
        </w:rPr>
        <w:t>ent with VIREAD, two</w:t>
      </w:r>
      <w:r>
        <w:rPr>
          <w:color w:val="000000"/>
          <w:szCs w:val="24"/>
        </w:rPr>
        <w:t xml:space="preserve"> patients in study 0106 had HBV DNA &gt; 400 copies/mL; no amino acid substitutions were observed in association with tenofovir resistance.  </w:t>
      </w:r>
    </w:p>
    <w:p w:rsidR="002122C7" w:rsidRDefault="002122C7" w:rsidP="00A50F31">
      <w:pPr>
        <w:pStyle w:val="Text1"/>
        <w:spacing w:after="0"/>
        <w:jc w:val="both"/>
        <w:rPr>
          <w:color w:val="000000"/>
          <w:szCs w:val="24"/>
        </w:rPr>
      </w:pPr>
    </w:p>
    <w:p w:rsidR="002122C7" w:rsidRDefault="002122C7" w:rsidP="002122C7">
      <w:pPr>
        <w:pStyle w:val="Text1"/>
        <w:spacing w:after="0"/>
        <w:jc w:val="both"/>
        <w:rPr>
          <w:color w:val="000000"/>
          <w:szCs w:val="24"/>
        </w:rPr>
      </w:pPr>
      <w:r>
        <w:rPr>
          <w:color w:val="000000"/>
          <w:szCs w:val="24"/>
        </w:rPr>
        <w:t xml:space="preserve">In studies 0102, 0103 and 0106, </w:t>
      </w:r>
      <w:r w:rsidR="0099232D">
        <w:rPr>
          <w:color w:val="000000"/>
          <w:szCs w:val="24"/>
        </w:rPr>
        <w:t>13</w:t>
      </w:r>
      <w:r>
        <w:rPr>
          <w:color w:val="000000"/>
          <w:szCs w:val="24"/>
        </w:rPr>
        <w:t xml:space="preserve"> patients </w:t>
      </w:r>
      <w:r w:rsidR="00571B28">
        <w:rPr>
          <w:color w:val="000000"/>
          <w:szCs w:val="24"/>
        </w:rPr>
        <w:t xml:space="preserve">treated with </w:t>
      </w:r>
      <w:r>
        <w:rPr>
          <w:color w:val="000000"/>
          <w:szCs w:val="24"/>
        </w:rPr>
        <w:t>VIREAD had adefovir-resistance associated substitutions at baseline.  Following up to 48 weeks</w:t>
      </w:r>
      <w:r w:rsidR="0099232D">
        <w:rPr>
          <w:color w:val="000000"/>
          <w:szCs w:val="24"/>
        </w:rPr>
        <w:t xml:space="preserve">  (0106; n=8) or 240 weeks (0102 and 0103; n=5)</w:t>
      </w:r>
      <w:r>
        <w:rPr>
          <w:color w:val="000000"/>
          <w:szCs w:val="24"/>
        </w:rPr>
        <w:t xml:space="preserve"> of treatment with VIREAD,</w:t>
      </w:r>
      <w:r w:rsidR="00801668">
        <w:rPr>
          <w:color w:val="000000"/>
          <w:szCs w:val="24"/>
        </w:rPr>
        <w:t xml:space="preserve"> one patient in study 0103 and</w:t>
      </w:r>
      <w:r>
        <w:rPr>
          <w:color w:val="000000"/>
          <w:szCs w:val="24"/>
        </w:rPr>
        <w:t xml:space="preserve"> </w:t>
      </w:r>
      <w:r w:rsidR="00571B28">
        <w:rPr>
          <w:color w:val="000000"/>
          <w:szCs w:val="24"/>
        </w:rPr>
        <w:t>two</w:t>
      </w:r>
      <w:r>
        <w:rPr>
          <w:color w:val="000000"/>
          <w:szCs w:val="24"/>
        </w:rPr>
        <w:t xml:space="preserve"> patients in study 0106 had HBV DNA &gt; 400 copies/mL; no amino acid substitutions were observed in association with tenofovir resistance.  </w:t>
      </w:r>
    </w:p>
    <w:p w:rsidR="00CC1781" w:rsidRDefault="00CC1781" w:rsidP="002122C7">
      <w:pPr>
        <w:pStyle w:val="Text1"/>
        <w:spacing w:after="0"/>
        <w:jc w:val="both"/>
        <w:rPr>
          <w:color w:val="000000"/>
          <w:szCs w:val="24"/>
        </w:rPr>
      </w:pPr>
    </w:p>
    <w:p w:rsidR="00CC1781" w:rsidRDefault="00CC1781" w:rsidP="00CC1781">
      <w:pPr>
        <w:pStyle w:val="Text1"/>
        <w:spacing w:after="0"/>
        <w:jc w:val="both"/>
        <w:rPr>
          <w:color w:val="000000"/>
          <w:szCs w:val="24"/>
        </w:rPr>
      </w:pPr>
      <w:r>
        <w:rPr>
          <w:color w:val="000000"/>
          <w:szCs w:val="24"/>
        </w:rPr>
        <w:t>In a paediatric study (GS-US-174-0115), HBV isolates from 5 patients who had plasma HBV DNA &gt; 400 copies/mL were evaluated for tenofovir resistance-associated substitutions.  No amino acid substitutions associated with resistance to VIREAD were identified in these isolates by Week 72.</w:t>
      </w:r>
    </w:p>
    <w:p w:rsidR="00CC1781" w:rsidRDefault="00CC1781" w:rsidP="002122C7">
      <w:pPr>
        <w:pStyle w:val="Text1"/>
        <w:spacing w:after="0"/>
        <w:jc w:val="both"/>
        <w:rPr>
          <w:color w:val="000000"/>
          <w:szCs w:val="24"/>
        </w:rPr>
      </w:pPr>
    </w:p>
    <w:p w:rsidR="00F4152A" w:rsidRPr="00015C34" w:rsidRDefault="00F4152A" w:rsidP="00F4152A">
      <w:pPr>
        <w:jc w:val="both"/>
        <w:rPr>
          <w:rFonts w:ascii="Times New Roman" w:hAnsi="Times New Roman"/>
          <w:i/>
          <w:snapToGrid w:val="0"/>
          <w:sz w:val="24"/>
          <w:szCs w:val="24"/>
        </w:rPr>
      </w:pPr>
    </w:p>
    <w:p w:rsidR="00F4152A" w:rsidRPr="00015C34" w:rsidRDefault="00F4152A" w:rsidP="00F4152A">
      <w:pPr>
        <w:pStyle w:val="Text1"/>
        <w:spacing w:after="0"/>
        <w:jc w:val="both"/>
        <w:rPr>
          <w:b/>
          <w:szCs w:val="24"/>
        </w:rPr>
      </w:pPr>
      <w:r w:rsidRPr="00015C34">
        <w:rPr>
          <w:b/>
          <w:szCs w:val="24"/>
        </w:rPr>
        <w:t xml:space="preserve">Cross Resistance  </w:t>
      </w:r>
    </w:p>
    <w:p w:rsidR="00F4152A" w:rsidRPr="00015C34" w:rsidRDefault="00F4152A" w:rsidP="00F4152A">
      <w:pPr>
        <w:pStyle w:val="Text1"/>
        <w:spacing w:after="0"/>
        <w:jc w:val="both"/>
        <w:rPr>
          <w:b/>
          <w:szCs w:val="24"/>
        </w:rPr>
      </w:pPr>
    </w:p>
    <w:p w:rsidR="00F4152A" w:rsidRPr="00015C34" w:rsidRDefault="00F4152A" w:rsidP="00F4152A">
      <w:pPr>
        <w:pStyle w:val="Text1"/>
        <w:spacing w:after="0"/>
        <w:jc w:val="both"/>
        <w:rPr>
          <w:snapToGrid w:val="0"/>
          <w:szCs w:val="24"/>
        </w:rPr>
      </w:pPr>
      <w:r w:rsidRPr="00015C34">
        <w:rPr>
          <w:iCs/>
          <w:szCs w:val="24"/>
          <w:lang w:val="en-GB"/>
        </w:rPr>
        <w:t>Cross-resistance has been observed among HBV reverse transcriptase inhibitors.  In cell based assays, HBV strains expressing the rtV173L, rtL180M and rtM204I/V mutations associated with resistance to lamivudine, telbivudine and reduced susceptibility to entecavir showed a susceptibility to tenofovir ranging from 0.7 to 3.4-fold that of wild type virus.  HBV strains expressing the rtL180M, rtT184G, rtS202G/I, rtM204V and rtM250V mutations associated with resistance to entecavir showed a</w:t>
      </w:r>
      <w:r w:rsidRPr="00015C34">
        <w:rPr>
          <w:szCs w:val="24"/>
          <w:lang w:val="en-GB"/>
        </w:rPr>
        <w:t xml:space="preserve"> </w:t>
      </w:r>
      <w:r w:rsidRPr="00015C34">
        <w:rPr>
          <w:iCs/>
          <w:szCs w:val="24"/>
          <w:lang w:val="en-GB"/>
        </w:rPr>
        <w:t>susceptibility to tenofovir ranging from 0.6 to 6.9-fold that of wild type virus.  HBV strains expressing the adefovir-associated resistance mutations rtA181V and rtN236T showed a susceptibility to tenofovir ranging from 2.9 to 10-fold that of wild type virus.  Viruses containing the rtA181T mutation remained susceptible to tenofovir with EC</w:t>
      </w:r>
      <w:r w:rsidRPr="00015C34">
        <w:rPr>
          <w:iCs/>
          <w:szCs w:val="24"/>
          <w:vertAlign w:val="subscript"/>
          <w:lang w:val="en-GB"/>
        </w:rPr>
        <w:t>50</w:t>
      </w:r>
      <w:r w:rsidRPr="00015C34">
        <w:rPr>
          <w:iCs/>
          <w:szCs w:val="24"/>
          <w:lang w:val="en-GB"/>
        </w:rPr>
        <w:t xml:space="preserve"> values 1.5-fold that of wild type virus.</w:t>
      </w:r>
    </w:p>
    <w:p w:rsidR="007F553A" w:rsidRPr="00015C34" w:rsidRDefault="007F553A" w:rsidP="009718F7">
      <w:pPr>
        <w:jc w:val="both"/>
        <w:rPr>
          <w:rFonts w:ascii="Times New Roman" w:hAnsi="Times New Roman"/>
          <w:snapToGrid w:val="0"/>
          <w:color w:val="000000"/>
          <w:sz w:val="24"/>
          <w:szCs w:val="24"/>
        </w:rPr>
      </w:pPr>
    </w:p>
    <w:p w:rsidR="007F553A" w:rsidRPr="00015C34" w:rsidRDefault="009718F7" w:rsidP="009718F7">
      <w:pPr>
        <w:jc w:val="both"/>
        <w:rPr>
          <w:rFonts w:ascii="Times New Roman" w:hAnsi="Times New Roman"/>
          <w:b/>
          <w:color w:val="000000"/>
          <w:sz w:val="24"/>
          <w:szCs w:val="24"/>
        </w:rPr>
      </w:pPr>
      <w:r w:rsidRPr="00015C34">
        <w:rPr>
          <w:rFonts w:ascii="Times New Roman" w:hAnsi="Times New Roman"/>
          <w:b/>
          <w:color w:val="000000"/>
          <w:sz w:val="24"/>
          <w:szCs w:val="24"/>
        </w:rPr>
        <w:t>INDICATIONS</w:t>
      </w:r>
    </w:p>
    <w:p w:rsidR="007F553A" w:rsidRPr="00015C34" w:rsidRDefault="007F553A" w:rsidP="009718F7">
      <w:pPr>
        <w:jc w:val="both"/>
        <w:rPr>
          <w:rFonts w:ascii="Times New Roman" w:hAnsi="Times New Roman"/>
          <w:color w:val="000000"/>
          <w:sz w:val="24"/>
          <w:szCs w:val="24"/>
        </w:rPr>
      </w:pPr>
    </w:p>
    <w:p w:rsidR="007F553A" w:rsidRDefault="007F553A" w:rsidP="009718F7">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 xml:space="preserve">VIREAD in combination with other antiretroviral agents is indicated for the </w:t>
      </w:r>
      <w:r w:rsidR="00C93844">
        <w:rPr>
          <w:rFonts w:ascii="Times New Roman" w:hAnsi="Times New Roman"/>
          <w:snapToGrid w:val="0"/>
          <w:color w:val="000000"/>
          <w:sz w:val="24"/>
          <w:szCs w:val="24"/>
        </w:rPr>
        <w:t>treatment of HIV-infected adult</w:t>
      </w:r>
      <w:r w:rsidR="00FE1EFE" w:rsidRPr="00FE1EFE">
        <w:rPr>
          <w:rFonts w:ascii="Times New Roman" w:hAnsi="Times New Roman"/>
          <w:snapToGrid w:val="0"/>
          <w:color w:val="000000"/>
          <w:sz w:val="24"/>
          <w:szCs w:val="24"/>
        </w:rPr>
        <w:t xml:space="preserve"> </w:t>
      </w:r>
      <w:r w:rsidR="00FE1EFE">
        <w:rPr>
          <w:rFonts w:ascii="Times New Roman" w:hAnsi="Times New Roman"/>
          <w:snapToGrid w:val="0"/>
          <w:color w:val="000000"/>
          <w:sz w:val="24"/>
          <w:szCs w:val="24"/>
        </w:rPr>
        <w:t>and paediatric patients 12 years of age and older</w:t>
      </w:r>
      <w:r w:rsidRPr="00015C34">
        <w:rPr>
          <w:rFonts w:ascii="Times New Roman" w:hAnsi="Times New Roman"/>
          <w:snapToGrid w:val="0"/>
          <w:color w:val="000000"/>
          <w:sz w:val="24"/>
          <w:szCs w:val="24"/>
        </w:rPr>
        <w:t>.</w:t>
      </w:r>
    </w:p>
    <w:p w:rsidR="003716DB" w:rsidRDefault="003716DB" w:rsidP="009718F7">
      <w:pPr>
        <w:jc w:val="both"/>
        <w:rPr>
          <w:rFonts w:ascii="Times New Roman" w:hAnsi="Times New Roman"/>
          <w:snapToGrid w:val="0"/>
          <w:color w:val="000000"/>
          <w:sz w:val="24"/>
          <w:szCs w:val="24"/>
        </w:rPr>
      </w:pPr>
    </w:p>
    <w:p w:rsidR="00215A3C" w:rsidRDefault="00215A3C" w:rsidP="00215A3C">
      <w:pPr>
        <w:shd w:val="clear" w:color="auto" w:fill="FFFFFF"/>
        <w:jc w:val="both"/>
        <w:rPr>
          <w:rFonts w:ascii="Times New Roman" w:hAnsi="Times New Roman"/>
          <w:color w:val="000000"/>
          <w:sz w:val="24"/>
          <w:szCs w:val="24"/>
        </w:rPr>
      </w:pPr>
      <w:r w:rsidRPr="00015C34">
        <w:rPr>
          <w:rFonts w:ascii="Times New Roman" w:hAnsi="Times New Roman"/>
          <w:color w:val="000000"/>
          <w:sz w:val="24"/>
          <w:szCs w:val="24"/>
        </w:rPr>
        <w:t>VIREAD is indicated for the treatment of chronic hepatitis B in adults</w:t>
      </w:r>
      <w:r w:rsidR="004C43C4">
        <w:rPr>
          <w:rFonts w:ascii="Times New Roman" w:hAnsi="Times New Roman"/>
          <w:color w:val="000000"/>
          <w:sz w:val="24"/>
          <w:szCs w:val="24"/>
        </w:rPr>
        <w:t xml:space="preserve"> (see CLINICAL TRIALS)</w:t>
      </w:r>
      <w:r w:rsidRPr="00015C34">
        <w:rPr>
          <w:rFonts w:ascii="Times New Roman" w:hAnsi="Times New Roman"/>
          <w:color w:val="000000"/>
          <w:sz w:val="24"/>
          <w:szCs w:val="24"/>
        </w:rPr>
        <w:t>.</w:t>
      </w:r>
    </w:p>
    <w:p w:rsidR="00C93844" w:rsidRDefault="00C93844" w:rsidP="00215A3C">
      <w:pPr>
        <w:shd w:val="clear" w:color="auto" w:fill="FFFFFF"/>
        <w:jc w:val="both"/>
        <w:rPr>
          <w:rFonts w:ascii="Times New Roman" w:hAnsi="Times New Roman"/>
          <w:color w:val="000000"/>
          <w:sz w:val="24"/>
          <w:szCs w:val="24"/>
        </w:rPr>
      </w:pPr>
    </w:p>
    <w:p w:rsidR="00C93844" w:rsidRPr="003716DB" w:rsidRDefault="00C93844" w:rsidP="00C93844">
      <w:pPr>
        <w:jc w:val="both"/>
        <w:rPr>
          <w:rFonts w:ascii="Times New Roman" w:hAnsi="Times New Roman"/>
          <w:snapToGrid w:val="0"/>
          <w:color w:val="000000"/>
          <w:sz w:val="24"/>
          <w:szCs w:val="24"/>
        </w:rPr>
      </w:pPr>
      <w:r w:rsidRPr="003716DB">
        <w:rPr>
          <w:rFonts w:ascii="Times New Roman" w:hAnsi="Times New Roman"/>
          <w:bCs/>
          <w:iCs/>
          <w:sz w:val="24"/>
          <w:szCs w:val="24"/>
        </w:rPr>
        <w:t>VIREAD is indicated for the treatment of chronic hepatitis B in paediatric patients 12 years of age and older with compensated liver disease and with evidence of immune active disease, i.e. active viral replication, persistently elevated serum ALT levels or evidence of active inflammation</w:t>
      </w:r>
      <w:r>
        <w:rPr>
          <w:rFonts w:ascii="Times New Roman" w:hAnsi="Times New Roman"/>
          <w:bCs/>
          <w:iCs/>
          <w:sz w:val="24"/>
          <w:szCs w:val="24"/>
        </w:rPr>
        <w:t>.</w:t>
      </w:r>
    </w:p>
    <w:p w:rsidR="00C93844" w:rsidRPr="00015C34" w:rsidRDefault="00C93844" w:rsidP="00215A3C">
      <w:pPr>
        <w:shd w:val="clear" w:color="auto" w:fill="FFFFFF"/>
        <w:jc w:val="both"/>
        <w:rPr>
          <w:rFonts w:ascii="Times New Roman" w:hAnsi="Times New Roman"/>
          <w:color w:val="000000"/>
          <w:sz w:val="24"/>
          <w:szCs w:val="24"/>
        </w:rPr>
      </w:pPr>
    </w:p>
    <w:p w:rsidR="007F553A" w:rsidRPr="00015C34" w:rsidRDefault="007F553A" w:rsidP="009718F7">
      <w:pPr>
        <w:shd w:val="clear" w:color="auto" w:fill="FFFFFF"/>
        <w:jc w:val="both"/>
        <w:rPr>
          <w:rFonts w:ascii="Times New Roman" w:hAnsi="Times New Roman"/>
          <w:color w:val="000000"/>
          <w:sz w:val="24"/>
          <w:szCs w:val="24"/>
        </w:rPr>
      </w:pPr>
    </w:p>
    <w:p w:rsidR="009718F7" w:rsidRPr="00015C34" w:rsidRDefault="009718F7" w:rsidP="009718F7">
      <w:pPr>
        <w:shd w:val="clear" w:color="auto" w:fill="FFFFFF"/>
        <w:jc w:val="both"/>
        <w:rPr>
          <w:rFonts w:ascii="Times New Roman" w:hAnsi="Times New Roman"/>
          <w:color w:val="000000"/>
          <w:sz w:val="24"/>
          <w:szCs w:val="24"/>
        </w:rPr>
      </w:pPr>
    </w:p>
    <w:p w:rsidR="007F553A" w:rsidRPr="00015C34" w:rsidRDefault="009718F7" w:rsidP="009718F7">
      <w:pPr>
        <w:jc w:val="both"/>
        <w:rPr>
          <w:rFonts w:ascii="Times New Roman" w:hAnsi="Times New Roman"/>
          <w:b/>
          <w:color w:val="000000"/>
          <w:sz w:val="24"/>
          <w:szCs w:val="24"/>
        </w:rPr>
      </w:pPr>
      <w:r w:rsidRPr="00015C34">
        <w:rPr>
          <w:rFonts w:ascii="Times New Roman" w:hAnsi="Times New Roman"/>
          <w:b/>
          <w:color w:val="000000"/>
          <w:sz w:val="24"/>
          <w:szCs w:val="24"/>
        </w:rPr>
        <w:t>CONTRAINDICATIONS</w:t>
      </w:r>
    </w:p>
    <w:p w:rsidR="007F553A" w:rsidRPr="00015C34" w:rsidRDefault="007F553A" w:rsidP="009718F7">
      <w:pPr>
        <w:jc w:val="both"/>
        <w:rPr>
          <w:rFonts w:ascii="Times New Roman" w:hAnsi="Times New Roman"/>
          <w:color w:val="000000"/>
          <w:sz w:val="24"/>
          <w:szCs w:val="24"/>
        </w:rPr>
      </w:pPr>
    </w:p>
    <w:p w:rsidR="007F553A" w:rsidRPr="00015C34" w:rsidRDefault="007F553A" w:rsidP="009718F7">
      <w:pPr>
        <w:jc w:val="both"/>
        <w:rPr>
          <w:rFonts w:ascii="Times New Roman" w:hAnsi="Times New Roman"/>
          <w:color w:val="000000"/>
          <w:sz w:val="24"/>
          <w:szCs w:val="24"/>
        </w:rPr>
      </w:pPr>
      <w:r w:rsidRPr="00015C34">
        <w:rPr>
          <w:rFonts w:ascii="Times New Roman" w:hAnsi="Times New Roman"/>
          <w:color w:val="000000"/>
          <w:sz w:val="24"/>
          <w:szCs w:val="24"/>
        </w:rPr>
        <w:t xml:space="preserve">Known hypersensitivity to tenofovir, tenofovir disoproxil fumarate, or to any of the excipients in the film-coated tablets. </w:t>
      </w:r>
    </w:p>
    <w:p w:rsidR="007F553A" w:rsidRPr="00015C34" w:rsidRDefault="007F553A" w:rsidP="009718F7">
      <w:pPr>
        <w:jc w:val="both"/>
        <w:rPr>
          <w:rFonts w:ascii="Times New Roman" w:hAnsi="Times New Roman"/>
          <w:color w:val="000000"/>
          <w:sz w:val="24"/>
          <w:szCs w:val="24"/>
        </w:rPr>
      </w:pPr>
    </w:p>
    <w:p w:rsidR="007F553A" w:rsidRPr="00015C34" w:rsidRDefault="007F553A" w:rsidP="009718F7">
      <w:pPr>
        <w:pStyle w:val="BodyText"/>
        <w:ind w:right="0"/>
        <w:jc w:val="both"/>
        <w:rPr>
          <w:szCs w:val="24"/>
        </w:rPr>
      </w:pPr>
      <w:r w:rsidRPr="00015C34">
        <w:rPr>
          <w:szCs w:val="24"/>
        </w:rPr>
        <w:t xml:space="preserve">VIREAD must not be administered to children </w:t>
      </w:r>
      <w:r w:rsidR="00FE1EFE">
        <w:rPr>
          <w:szCs w:val="24"/>
        </w:rPr>
        <w:t>less than 12 years of age</w:t>
      </w:r>
      <w:r w:rsidRPr="00015C34">
        <w:rPr>
          <w:szCs w:val="24"/>
        </w:rPr>
        <w:t xml:space="preserve"> until further data become available.</w:t>
      </w:r>
    </w:p>
    <w:p w:rsidR="007F553A" w:rsidRPr="00015C34" w:rsidRDefault="007F553A" w:rsidP="009718F7">
      <w:pPr>
        <w:jc w:val="both"/>
        <w:rPr>
          <w:rFonts w:ascii="Times New Roman" w:hAnsi="Times New Roman"/>
          <w:b/>
          <w:color w:val="000000"/>
          <w:sz w:val="24"/>
          <w:szCs w:val="24"/>
        </w:rPr>
      </w:pPr>
    </w:p>
    <w:p w:rsidR="008729F3" w:rsidRPr="00015C34" w:rsidRDefault="008729F3" w:rsidP="0031151E">
      <w:pPr>
        <w:spacing w:before="240"/>
        <w:jc w:val="both"/>
        <w:rPr>
          <w:rFonts w:ascii="Times New Roman" w:hAnsi="Times New Roman"/>
          <w:color w:val="000000"/>
          <w:sz w:val="24"/>
          <w:szCs w:val="24"/>
        </w:rPr>
      </w:pPr>
      <w:r w:rsidRPr="00015C34">
        <w:rPr>
          <w:rFonts w:ascii="Times New Roman" w:hAnsi="Times New Roman"/>
          <w:color w:val="000000"/>
          <w:sz w:val="24"/>
          <w:szCs w:val="24"/>
        </w:rPr>
        <w:t>VIREAD should not be administered concurrently with TRUVADA (emtricitabine / t</w:t>
      </w:r>
      <w:r w:rsidRPr="00015C34">
        <w:rPr>
          <w:rFonts w:ascii="Times New Roman" w:hAnsi="Times New Roman"/>
          <w:sz w:val="24"/>
          <w:szCs w:val="24"/>
        </w:rPr>
        <w:t>enofovir disoproxil fumarate combination tablet)</w:t>
      </w:r>
      <w:r w:rsidR="009F778E">
        <w:rPr>
          <w:rFonts w:ascii="Times New Roman" w:hAnsi="Times New Roman"/>
          <w:sz w:val="24"/>
          <w:szCs w:val="24"/>
        </w:rPr>
        <w:t>, ATRIPLA (tenofovir disoproxil fumarate / emtricitabine / efavirenz combination tablet</w:t>
      </w:r>
      <w:r w:rsidR="00F74016">
        <w:rPr>
          <w:rFonts w:ascii="Times New Roman" w:hAnsi="Times New Roman"/>
          <w:sz w:val="24"/>
          <w:szCs w:val="24"/>
        </w:rPr>
        <w:t>)</w:t>
      </w:r>
      <w:r w:rsidR="00F74016" w:rsidRPr="00F74016">
        <w:rPr>
          <w:rFonts w:ascii="Times New Roman" w:hAnsi="Times New Roman"/>
          <w:sz w:val="24"/>
          <w:szCs w:val="24"/>
        </w:rPr>
        <w:t>,</w:t>
      </w:r>
      <w:r w:rsidR="00F74016">
        <w:rPr>
          <w:rFonts w:ascii="Times New Roman" w:hAnsi="Times New Roman"/>
          <w:sz w:val="24"/>
          <w:szCs w:val="24"/>
        </w:rPr>
        <w:t xml:space="preserve"> EVIPLERA (</w:t>
      </w:r>
      <w:r w:rsidR="00F74016" w:rsidRPr="00D407BD">
        <w:rPr>
          <w:rFonts w:ascii="Times New Roman" w:hAnsi="Times New Roman"/>
          <w:sz w:val="24"/>
          <w:szCs w:val="24"/>
        </w:rPr>
        <w:t>tenofovir disoproxil fumarate</w:t>
      </w:r>
      <w:r w:rsidR="00F74016">
        <w:rPr>
          <w:rFonts w:ascii="Times New Roman" w:hAnsi="Times New Roman"/>
          <w:sz w:val="24"/>
          <w:szCs w:val="24"/>
        </w:rPr>
        <w:t xml:space="preserve">/ </w:t>
      </w:r>
      <w:r w:rsidR="00F74016" w:rsidRPr="00D407BD">
        <w:rPr>
          <w:rFonts w:ascii="Times New Roman" w:hAnsi="Times New Roman"/>
          <w:sz w:val="24"/>
          <w:szCs w:val="24"/>
        </w:rPr>
        <w:t>emtricitabine</w:t>
      </w:r>
      <w:r w:rsidR="00F74016">
        <w:rPr>
          <w:rFonts w:ascii="Times New Roman" w:hAnsi="Times New Roman"/>
          <w:sz w:val="24"/>
          <w:szCs w:val="24"/>
        </w:rPr>
        <w:t>/ rilpivirine combination tablet</w:t>
      </w:r>
      <w:r w:rsidR="0031151E">
        <w:rPr>
          <w:rFonts w:ascii="Times New Roman" w:hAnsi="Times New Roman"/>
          <w:sz w:val="24"/>
          <w:szCs w:val="24"/>
        </w:rPr>
        <w:t xml:space="preserve"> STRIBILD (</w:t>
      </w:r>
      <w:r w:rsidR="0031151E" w:rsidRPr="007D2219">
        <w:rPr>
          <w:rFonts w:ascii="Times New Roman" w:hAnsi="Times New Roman"/>
          <w:bCs/>
          <w:noProof/>
          <w:sz w:val="24"/>
          <w:szCs w:val="24"/>
        </w:rPr>
        <w:t>tenofovir disoproxil fumarate/</w:t>
      </w:r>
      <w:r w:rsidR="0031151E">
        <w:rPr>
          <w:rFonts w:ascii="Times New Roman" w:hAnsi="Times New Roman"/>
          <w:bCs/>
          <w:noProof/>
          <w:sz w:val="24"/>
          <w:szCs w:val="24"/>
        </w:rPr>
        <w:t xml:space="preserve"> </w:t>
      </w:r>
      <w:r w:rsidR="0031151E" w:rsidRPr="007D2219">
        <w:rPr>
          <w:rFonts w:ascii="Times New Roman" w:hAnsi="Times New Roman"/>
          <w:bCs/>
          <w:noProof/>
          <w:sz w:val="24"/>
          <w:szCs w:val="24"/>
        </w:rPr>
        <w:t>emtricitabine</w:t>
      </w:r>
      <w:r w:rsidR="0031151E">
        <w:rPr>
          <w:rFonts w:ascii="Times New Roman" w:hAnsi="Times New Roman"/>
          <w:bCs/>
          <w:noProof/>
          <w:sz w:val="24"/>
          <w:szCs w:val="24"/>
        </w:rPr>
        <w:t xml:space="preserve"> </w:t>
      </w:r>
      <w:r w:rsidR="0031151E" w:rsidRPr="007D2219">
        <w:rPr>
          <w:rFonts w:ascii="Times New Roman" w:hAnsi="Times New Roman"/>
          <w:bCs/>
          <w:noProof/>
          <w:sz w:val="24"/>
          <w:szCs w:val="24"/>
        </w:rPr>
        <w:t>/</w:t>
      </w:r>
      <w:r w:rsidR="0031151E">
        <w:rPr>
          <w:rFonts w:ascii="Times New Roman" w:hAnsi="Times New Roman"/>
          <w:bCs/>
          <w:noProof/>
          <w:sz w:val="24"/>
          <w:szCs w:val="24"/>
        </w:rPr>
        <w:t xml:space="preserve"> </w:t>
      </w:r>
      <w:r w:rsidR="0031151E" w:rsidRPr="007D2219">
        <w:rPr>
          <w:rFonts w:ascii="Times New Roman" w:hAnsi="Times New Roman"/>
          <w:bCs/>
          <w:noProof/>
          <w:sz w:val="24"/>
          <w:szCs w:val="24"/>
        </w:rPr>
        <w:t>elvitegravir</w:t>
      </w:r>
      <w:r w:rsidR="0031151E">
        <w:rPr>
          <w:rFonts w:ascii="Times New Roman" w:hAnsi="Times New Roman"/>
          <w:bCs/>
          <w:noProof/>
          <w:sz w:val="24"/>
          <w:szCs w:val="24"/>
        </w:rPr>
        <w:t xml:space="preserve"> </w:t>
      </w:r>
      <w:r w:rsidR="0031151E" w:rsidRPr="007D2219">
        <w:rPr>
          <w:rFonts w:ascii="Times New Roman" w:hAnsi="Times New Roman"/>
          <w:bCs/>
          <w:noProof/>
          <w:sz w:val="24"/>
          <w:szCs w:val="24"/>
        </w:rPr>
        <w:t>/</w:t>
      </w:r>
      <w:r w:rsidR="0031151E">
        <w:rPr>
          <w:rFonts w:ascii="Times New Roman" w:hAnsi="Times New Roman"/>
          <w:bCs/>
          <w:noProof/>
          <w:sz w:val="24"/>
          <w:szCs w:val="24"/>
        </w:rPr>
        <w:t xml:space="preserve"> </w:t>
      </w:r>
      <w:r w:rsidR="0031151E" w:rsidRPr="007D2219">
        <w:rPr>
          <w:rFonts w:ascii="Times New Roman" w:hAnsi="Times New Roman"/>
          <w:bCs/>
          <w:noProof/>
          <w:sz w:val="24"/>
          <w:szCs w:val="24"/>
        </w:rPr>
        <w:t>cobicistat</w:t>
      </w:r>
      <w:r w:rsidR="0031151E" w:rsidRPr="007D2219">
        <w:rPr>
          <w:rFonts w:ascii="Times New Roman" w:hAnsi="Times New Roman"/>
          <w:noProof/>
          <w:sz w:val="24"/>
          <w:szCs w:val="24"/>
        </w:rPr>
        <w:t>)</w:t>
      </w:r>
      <w:r w:rsidR="00215A3C" w:rsidRPr="00015C34">
        <w:rPr>
          <w:rFonts w:ascii="Times New Roman" w:hAnsi="Times New Roman"/>
          <w:sz w:val="24"/>
          <w:szCs w:val="24"/>
        </w:rPr>
        <w:t xml:space="preserve"> or HEPSERA (adefovir dipivoxil)</w:t>
      </w:r>
      <w:r w:rsidRPr="00015C34">
        <w:rPr>
          <w:rFonts w:ascii="Times New Roman" w:hAnsi="Times New Roman"/>
          <w:sz w:val="24"/>
          <w:szCs w:val="24"/>
        </w:rPr>
        <w:t>.</w:t>
      </w:r>
    </w:p>
    <w:p w:rsidR="00E12CC9" w:rsidRDefault="00E12CC9" w:rsidP="009718F7">
      <w:pPr>
        <w:jc w:val="both"/>
        <w:rPr>
          <w:rFonts w:ascii="Times New Roman" w:hAnsi="Times New Roman"/>
          <w:b/>
          <w:color w:val="000000"/>
          <w:sz w:val="24"/>
          <w:szCs w:val="24"/>
        </w:rPr>
      </w:pPr>
    </w:p>
    <w:p w:rsidR="002F5170" w:rsidRPr="00015C34" w:rsidRDefault="002F5170" w:rsidP="009718F7">
      <w:pPr>
        <w:jc w:val="both"/>
        <w:rPr>
          <w:rFonts w:ascii="Times New Roman" w:hAnsi="Times New Roman"/>
          <w:b/>
          <w:color w:val="000000"/>
          <w:sz w:val="24"/>
          <w:szCs w:val="24"/>
        </w:rPr>
      </w:pPr>
    </w:p>
    <w:p w:rsidR="007F553A" w:rsidRPr="00015C34" w:rsidRDefault="009718F7" w:rsidP="009718F7">
      <w:pPr>
        <w:jc w:val="both"/>
        <w:rPr>
          <w:rFonts w:ascii="Times New Roman" w:hAnsi="Times New Roman"/>
          <w:b/>
          <w:color w:val="000000"/>
          <w:sz w:val="24"/>
          <w:szCs w:val="24"/>
        </w:rPr>
      </w:pPr>
      <w:r w:rsidRPr="00015C34">
        <w:rPr>
          <w:rFonts w:ascii="Times New Roman" w:hAnsi="Times New Roman"/>
          <w:b/>
          <w:color w:val="000000"/>
          <w:sz w:val="24"/>
          <w:szCs w:val="24"/>
        </w:rPr>
        <w:t>PRECAUTIONS</w:t>
      </w:r>
    </w:p>
    <w:p w:rsidR="0030792B" w:rsidRPr="00015C34" w:rsidRDefault="0030792B" w:rsidP="009718F7">
      <w:pPr>
        <w:jc w:val="both"/>
        <w:rPr>
          <w:rFonts w:ascii="Times New Roman" w:hAnsi="Times New Roman"/>
          <w:b/>
          <w:color w:val="000000"/>
          <w:sz w:val="24"/>
          <w:szCs w:val="24"/>
        </w:rPr>
      </w:pPr>
    </w:p>
    <w:p w:rsidR="0030792B" w:rsidRPr="00015C34" w:rsidRDefault="0030792B" w:rsidP="0030792B">
      <w:pPr>
        <w:pStyle w:val="Heading6"/>
        <w:tabs>
          <w:tab w:val="left" w:pos="8640"/>
          <w:tab w:val="left" w:pos="8820"/>
        </w:tabs>
        <w:ind w:right="0"/>
        <w:jc w:val="both"/>
        <w:rPr>
          <w:b/>
          <w:szCs w:val="24"/>
        </w:rPr>
      </w:pPr>
      <w:r w:rsidRPr="00015C34">
        <w:rPr>
          <w:b/>
          <w:szCs w:val="24"/>
        </w:rPr>
        <w:t>General</w:t>
      </w:r>
    </w:p>
    <w:p w:rsidR="0030792B" w:rsidRPr="00015C34" w:rsidRDefault="0030792B" w:rsidP="0030792B">
      <w:pPr>
        <w:jc w:val="both"/>
        <w:rPr>
          <w:rFonts w:ascii="Times New Roman" w:hAnsi="Times New Roman"/>
          <w:sz w:val="24"/>
          <w:szCs w:val="24"/>
        </w:rPr>
      </w:pPr>
      <w:r w:rsidRPr="00015C34">
        <w:rPr>
          <w:rFonts w:ascii="Times New Roman" w:hAnsi="Times New Roman"/>
          <w:sz w:val="24"/>
          <w:szCs w:val="24"/>
        </w:rPr>
        <w:t>Patients receiving VIREAD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30792B" w:rsidRPr="00015C34" w:rsidRDefault="0030792B" w:rsidP="0030792B">
      <w:pPr>
        <w:jc w:val="both"/>
        <w:rPr>
          <w:rFonts w:ascii="Times New Roman" w:hAnsi="Times New Roman"/>
          <w:sz w:val="24"/>
          <w:szCs w:val="24"/>
        </w:rPr>
      </w:pPr>
    </w:p>
    <w:p w:rsidR="0030792B" w:rsidRPr="00015C34" w:rsidRDefault="0030792B" w:rsidP="0030792B">
      <w:pPr>
        <w:jc w:val="both"/>
        <w:rPr>
          <w:rFonts w:ascii="Times New Roman" w:hAnsi="Times New Roman"/>
          <w:sz w:val="24"/>
          <w:szCs w:val="24"/>
        </w:rPr>
      </w:pPr>
      <w:r w:rsidRPr="00015C34">
        <w:rPr>
          <w:rFonts w:ascii="Times New Roman" w:hAnsi="Times New Roman"/>
          <w:sz w:val="24"/>
          <w:szCs w:val="24"/>
        </w:rPr>
        <w:t xml:space="preserve">Patients should be advised that antiretroviral therapies, including VIREAD, have not been proven to prevent the risk of transmission of HIV </w:t>
      </w:r>
      <w:r w:rsidR="00E15C3C" w:rsidRPr="00015C34">
        <w:rPr>
          <w:rFonts w:ascii="Times New Roman" w:hAnsi="Times New Roman"/>
          <w:sz w:val="24"/>
          <w:szCs w:val="24"/>
        </w:rPr>
        <w:t xml:space="preserve">or HBV </w:t>
      </w:r>
      <w:r w:rsidRPr="00015C34">
        <w:rPr>
          <w:rFonts w:ascii="Times New Roman" w:hAnsi="Times New Roman"/>
          <w:sz w:val="24"/>
          <w:szCs w:val="24"/>
        </w:rPr>
        <w:t>to others through sexual contact or blood contamination. Appropriate precautions must continue to be used. Patients should also be informed that VIREAD is not a cure for HIV infection.</w:t>
      </w:r>
    </w:p>
    <w:p w:rsidR="007F553A" w:rsidRPr="00015C34" w:rsidRDefault="007F553A" w:rsidP="008729F3">
      <w:pPr>
        <w:ind w:left="567" w:hanging="567"/>
        <w:jc w:val="both"/>
        <w:rPr>
          <w:rFonts w:ascii="Times New Roman" w:hAnsi="Times New Roman"/>
          <w:color w:val="000000"/>
          <w:sz w:val="24"/>
          <w:szCs w:val="24"/>
        </w:rPr>
      </w:pPr>
    </w:p>
    <w:p w:rsidR="00215A3C" w:rsidRPr="00015C34" w:rsidRDefault="00215A3C" w:rsidP="00215A3C">
      <w:pPr>
        <w:pStyle w:val="text1Char"/>
        <w:spacing w:after="0"/>
        <w:jc w:val="both"/>
        <w:rPr>
          <w:color w:val="000000"/>
          <w:szCs w:val="24"/>
          <w:lang w:val="en-AU"/>
        </w:rPr>
      </w:pPr>
      <w:r w:rsidRPr="00015C34">
        <w:rPr>
          <w:color w:val="000000"/>
          <w:szCs w:val="24"/>
          <w:lang w:val="en-AU"/>
        </w:rPr>
        <w:t>HIV antibody testing should be offered to all HBV-infected patients before initiating VIREAD therapy (see PRECAUTIONS: HIV and HBV co-infection).</w:t>
      </w:r>
    </w:p>
    <w:p w:rsidR="00215A3C" w:rsidRPr="00015C34" w:rsidRDefault="00215A3C" w:rsidP="00215A3C">
      <w:pPr>
        <w:ind w:hanging="567"/>
        <w:jc w:val="both"/>
        <w:rPr>
          <w:rFonts w:ascii="Times New Roman" w:hAnsi="Times New Roman"/>
          <w:color w:val="000000"/>
          <w:sz w:val="24"/>
          <w:szCs w:val="24"/>
        </w:rPr>
      </w:pPr>
    </w:p>
    <w:p w:rsidR="00215A3C" w:rsidRDefault="00215A3C" w:rsidP="00215A3C">
      <w:pPr>
        <w:jc w:val="both"/>
        <w:rPr>
          <w:rFonts w:ascii="Times New Roman" w:hAnsi="Times New Roman"/>
          <w:sz w:val="24"/>
          <w:szCs w:val="24"/>
        </w:rPr>
      </w:pPr>
      <w:r w:rsidRPr="00015C34">
        <w:rPr>
          <w:rFonts w:ascii="Times New Roman" w:hAnsi="Times New Roman"/>
          <w:sz w:val="24"/>
          <w:szCs w:val="24"/>
        </w:rPr>
        <w:t>In the treatment of chronic hepatitis B, limited data are currently available in immuno-suppressed patients or those receiving immuno-suppressive regimens, orthotrophic liver transplant patients and patients coinfected with the hepatitis C or D virus.  As clinical studies have not included sufficient numbers of subjects to determine whether these patients respond differently to VIREAD chronic hepatitis B therapy, such patients should be closely monitored.</w:t>
      </w:r>
    </w:p>
    <w:p w:rsidR="001555F7" w:rsidRPr="00015C34" w:rsidRDefault="001555F7" w:rsidP="00215A3C">
      <w:pPr>
        <w:jc w:val="both"/>
        <w:rPr>
          <w:rFonts w:ascii="Times New Roman" w:hAnsi="Times New Roman"/>
          <w:sz w:val="24"/>
          <w:szCs w:val="24"/>
        </w:rPr>
      </w:pPr>
    </w:p>
    <w:p w:rsidR="009718F7" w:rsidRPr="00015C34" w:rsidRDefault="007F553A" w:rsidP="009718F7">
      <w:pPr>
        <w:tabs>
          <w:tab w:val="left" w:pos="8640"/>
          <w:tab w:val="left" w:pos="8820"/>
        </w:tabs>
        <w:jc w:val="both"/>
        <w:rPr>
          <w:rFonts w:ascii="Times New Roman" w:hAnsi="Times New Roman"/>
          <w:color w:val="000000"/>
          <w:sz w:val="24"/>
          <w:szCs w:val="24"/>
        </w:rPr>
      </w:pPr>
      <w:r w:rsidRPr="00015C34">
        <w:rPr>
          <w:rFonts w:ascii="Times New Roman" w:hAnsi="Times New Roman"/>
          <w:b/>
          <w:i/>
          <w:color w:val="000000"/>
          <w:sz w:val="24"/>
          <w:szCs w:val="24"/>
        </w:rPr>
        <w:t xml:space="preserve">Use in </w:t>
      </w:r>
      <w:r w:rsidR="00AA344A" w:rsidRPr="00015C34">
        <w:rPr>
          <w:rFonts w:ascii="Times New Roman" w:hAnsi="Times New Roman"/>
          <w:b/>
          <w:i/>
          <w:color w:val="000000"/>
          <w:sz w:val="24"/>
          <w:szCs w:val="24"/>
        </w:rPr>
        <w:t>children</w:t>
      </w:r>
      <w:r w:rsidR="002A3997" w:rsidRPr="00015C34">
        <w:rPr>
          <w:rFonts w:ascii="Times New Roman" w:hAnsi="Times New Roman"/>
          <w:b/>
          <w:i/>
          <w:color w:val="000000"/>
          <w:sz w:val="24"/>
          <w:szCs w:val="24"/>
        </w:rPr>
        <w:t>:</w:t>
      </w:r>
      <w:r w:rsidRPr="00015C34">
        <w:rPr>
          <w:rFonts w:ascii="Times New Roman" w:hAnsi="Times New Roman"/>
          <w:color w:val="000000"/>
          <w:sz w:val="24"/>
          <w:szCs w:val="24"/>
        </w:rPr>
        <w:t xml:space="preserve">  </w:t>
      </w:r>
    </w:p>
    <w:p w:rsidR="00FE1EFE" w:rsidRDefault="00283261" w:rsidP="00283261">
      <w:pPr>
        <w:widowControl w:val="0"/>
        <w:jc w:val="both"/>
        <w:rPr>
          <w:rFonts w:ascii="Times New Roman" w:hAnsi="Times New Roman"/>
          <w:color w:val="000000"/>
          <w:sz w:val="24"/>
          <w:szCs w:val="24"/>
        </w:rPr>
      </w:pPr>
      <w:r w:rsidRPr="00015C34">
        <w:rPr>
          <w:rFonts w:ascii="Times New Roman" w:hAnsi="Times New Roman"/>
          <w:color w:val="000000"/>
          <w:sz w:val="24"/>
          <w:szCs w:val="24"/>
        </w:rPr>
        <w:t xml:space="preserve">The safety and efficacy of VIREAD </w:t>
      </w:r>
      <w:r w:rsidR="00FE1EFE">
        <w:rPr>
          <w:rFonts w:ascii="Times New Roman" w:hAnsi="Times New Roman"/>
          <w:color w:val="000000"/>
          <w:sz w:val="24"/>
          <w:szCs w:val="24"/>
        </w:rPr>
        <w:t xml:space="preserve">in paediatric patients aged 12 to &lt;18 years is supported by data from </w:t>
      </w:r>
      <w:r w:rsidR="00FF6222">
        <w:rPr>
          <w:rFonts w:ascii="Times New Roman" w:hAnsi="Times New Roman"/>
          <w:color w:val="000000"/>
          <w:sz w:val="24"/>
          <w:szCs w:val="24"/>
        </w:rPr>
        <w:t xml:space="preserve">two </w:t>
      </w:r>
      <w:r w:rsidR="00FE1EFE">
        <w:rPr>
          <w:rFonts w:ascii="Times New Roman" w:hAnsi="Times New Roman"/>
          <w:color w:val="000000"/>
          <w:sz w:val="24"/>
          <w:szCs w:val="24"/>
        </w:rPr>
        <w:t>randomised stud</w:t>
      </w:r>
      <w:r w:rsidR="00FF6222">
        <w:rPr>
          <w:rFonts w:ascii="Times New Roman" w:hAnsi="Times New Roman"/>
          <w:color w:val="000000"/>
          <w:sz w:val="24"/>
          <w:szCs w:val="24"/>
        </w:rPr>
        <w:t>ies</w:t>
      </w:r>
      <w:r w:rsidR="00FE1EFE">
        <w:rPr>
          <w:rFonts w:ascii="Times New Roman" w:hAnsi="Times New Roman"/>
          <w:color w:val="000000"/>
          <w:sz w:val="24"/>
          <w:szCs w:val="24"/>
        </w:rPr>
        <w:t xml:space="preserve"> in which VIREAD was administered to HIV-infected treatment experienced patients</w:t>
      </w:r>
      <w:r w:rsidR="00511FF0">
        <w:rPr>
          <w:rFonts w:ascii="Times New Roman" w:hAnsi="Times New Roman"/>
          <w:color w:val="000000"/>
          <w:sz w:val="24"/>
          <w:szCs w:val="24"/>
        </w:rPr>
        <w:t xml:space="preserve"> </w:t>
      </w:r>
      <w:r w:rsidR="00FF6222">
        <w:rPr>
          <w:rFonts w:ascii="Times New Roman" w:hAnsi="Times New Roman"/>
          <w:color w:val="000000"/>
          <w:sz w:val="24"/>
          <w:szCs w:val="24"/>
        </w:rPr>
        <w:t>and patients with chronic hepatitis B</w:t>
      </w:r>
      <w:r w:rsidR="00FE1EFE">
        <w:rPr>
          <w:rFonts w:ascii="Times New Roman" w:hAnsi="Times New Roman"/>
          <w:color w:val="000000"/>
          <w:sz w:val="24"/>
          <w:szCs w:val="24"/>
        </w:rPr>
        <w:t xml:space="preserve"> (see CLINICAL TRIALS and ADVERSE EFFECTS).  The safety and efficacy of VIREAD </w:t>
      </w:r>
      <w:r w:rsidRPr="00015C34">
        <w:rPr>
          <w:rFonts w:ascii="Times New Roman" w:hAnsi="Times New Roman"/>
          <w:color w:val="000000"/>
          <w:sz w:val="24"/>
          <w:szCs w:val="24"/>
        </w:rPr>
        <w:t xml:space="preserve">has not been established in </w:t>
      </w:r>
      <w:r w:rsidR="00FE1EFE">
        <w:rPr>
          <w:rFonts w:ascii="Times New Roman" w:hAnsi="Times New Roman"/>
          <w:color w:val="000000"/>
          <w:sz w:val="24"/>
          <w:szCs w:val="24"/>
        </w:rPr>
        <w:t>children less than 12 years of age</w:t>
      </w:r>
      <w:r w:rsidRPr="00015C34">
        <w:rPr>
          <w:rFonts w:ascii="Times New Roman" w:hAnsi="Times New Roman"/>
          <w:color w:val="000000"/>
          <w:sz w:val="24"/>
          <w:szCs w:val="24"/>
        </w:rPr>
        <w:t xml:space="preserve">.  </w:t>
      </w:r>
    </w:p>
    <w:p w:rsidR="00C54973" w:rsidRDefault="00C54973" w:rsidP="00283261">
      <w:pPr>
        <w:widowControl w:val="0"/>
        <w:jc w:val="both"/>
        <w:rPr>
          <w:rFonts w:ascii="Times New Roman" w:hAnsi="Times New Roman"/>
          <w:color w:val="000000"/>
          <w:sz w:val="24"/>
          <w:szCs w:val="24"/>
        </w:rPr>
      </w:pPr>
    </w:p>
    <w:p w:rsidR="00C54973" w:rsidRPr="00C54973" w:rsidRDefault="00C54973" w:rsidP="00283261">
      <w:pPr>
        <w:widowControl w:val="0"/>
        <w:jc w:val="both"/>
        <w:rPr>
          <w:rFonts w:ascii="Times New Roman" w:hAnsi="Times New Roman"/>
          <w:color w:val="000000"/>
          <w:sz w:val="24"/>
          <w:szCs w:val="24"/>
        </w:rPr>
      </w:pPr>
      <w:r w:rsidRPr="00C54973">
        <w:rPr>
          <w:rFonts w:ascii="Times New Roman" w:hAnsi="Times New Roman"/>
          <w:color w:val="000000"/>
          <w:sz w:val="24"/>
          <w:szCs w:val="24"/>
        </w:rPr>
        <w:t>The clinical relevance of the long term effects of tenofovir disoproxil fumarate treatment on BMD are unknown, and at present the data on the reversibility of renal toxicity</w:t>
      </w:r>
      <w:r>
        <w:rPr>
          <w:rFonts w:ascii="Times New Roman" w:hAnsi="Times New Roman"/>
          <w:color w:val="000000"/>
          <w:sz w:val="24"/>
          <w:szCs w:val="24"/>
        </w:rPr>
        <w:t xml:space="preserve"> </w:t>
      </w:r>
      <w:r w:rsidRPr="00C54973">
        <w:rPr>
          <w:rFonts w:ascii="Times New Roman" w:hAnsi="Times New Roman"/>
          <w:color w:val="000000"/>
          <w:sz w:val="24"/>
          <w:szCs w:val="24"/>
        </w:rPr>
        <w:t>effects is limited</w:t>
      </w:r>
      <w:r>
        <w:rPr>
          <w:rFonts w:ascii="Times New Roman" w:hAnsi="Times New Roman"/>
          <w:color w:val="000000"/>
          <w:sz w:val="24"/>
          <w:szCs w:val="24"/>
        </w:rPr>
        <w:t>.</w:t>
      </w:r>
      <w:r w:rsidRPr="00C54973">
        <w:rPr>
          <w:rFonts w:ascii="Times New Roman" w:hAnsi="Times New Roman"/>
          <w:color w:val="000000"/>
          <w:sz w:val="24"/>
          <w:szCs w:val="24"/>
        </w:rPr>
        <w:t xml:space="preserve">  Therefore, a multidisciplinary approach is recommended to consider the benefit/risk balance of treatment.  </w:t>
      </w:r>
    </w:p>
    <w:p w:rsidR="001375CF" w:rsidRDefault="001375CF" w:rsidP="00283261">
      <w:pPr>
        <w:widowControl w:val="0"/>
        <w:jc w:val="both"/>
        <w:rPr>
          <w:rFonts w:ascii="Times New Roman" w:hAnsi="Times New Roman"/>
          <w:b/>
          <w:i/>
          <w:color w:val="000000"/>
          <w:sz w:val="24"/>
          <w:szCs w:val="24"/>
        </w:rPr>
      </w:pPr>
    </w:p>
    <w:p w:rsidR="00FC4450" w:rsidRDefault="00FC4450" w:rsidP="00283261">
      <w:pPr>
        <w:widowControl w:val="0"/>
        <w:jc w:val="both"/>
        <w:rPr>
          <w:rFonts w:ascii="Times New Roman" w:hAnsi="Times New Roman"/>
          <w:color w:val="000000"/>
          <w:sz w:val="24"/>
          <w:szCs w:val="24"/>
        </w:rPr>
      </w:pPr>
      <w:r>
        <w:rPr>
          <w:rFonts w:ascii="Times New Roman" w:hAnsi="Times New Roman"/>
          <w:color w:val="000000"/>
          <w:sz w:val="24"/>
          <w:szCs w:val="24"/>
        </w:rPr>
        <w:t xml:space="preserve">As hepatitis B is a chronic disease of the liver, ongoing clinical monitoring is recommended. </w:t>
      </w:r>
    </w:p>
    <w:p w:rsidR="001C3668" w:rsidRDefault="001C3668" w:rsidP="00283261">
      <w:pPr>
        <w:widowControl w:val="0"/>
        <w:jc w:val="both"/>
        <w:rPr>
          <w:rFonts w:ascii="Times New Roman" w:hAnsi="Times New Roman"/>
          <w:b/>
          <w:i/>
          <w:color w:val="000000"/>
          <w:sz w:val="24"/>
          <w:szCs w:val="24"/>
        </w:rPr>
      </w:pPr>
    </w:p>
    <w:p w:rsidR="00FE1EFE" w:rsidRPr="00FE1EFE" w:rsidRDefault="00FE1EFE" w:rsidP="00283261">
      <w:pPr>
        <w:widowControl w:val="0"/>
        <w:jc w:val="both"/>
        <w:rPr>
          <w:rFonts w:ascii="Times New Roman" w:hAnsi="Times New Roman"/>
          <w:color w:val="000000"/>
          <w:sz w:val="24"/>
          <w:szCs w:val="24"/>
        </w:rPr>
      </w:pPr>
      <w:r>
        <w:rPr>
          <w:rFonts w:ascii="Times New Roman" w:hAnsi="Times New Roman"/>
          <w:b/>
          <w:i/>
          <w:color w:val="000000"/>
          <w:sz w:val="24"/>
          <w:szCs w:val="24"/>
        </w:rPr>
        <w:t>Use in the elderly:</w:t>
      </w:r>
      <w:r>
        <w:rPr>
          <w:rFonts w:ascii="Times New Roman" w:hAnsi="Times New Roman"/>
          <w:color w:val="000000"/>
          <w:sz w:val="24"/>
          <w:szCs w:val="24"/>
        </w:rPr>
        <w:t xml:space="preserve"> </w:t>
      </w:r>
    </w:p>
    <w:p w:rsidR="00283261" w:rsidRPr="00015C34" w:rsidRDefault="00283261" w:rsidP="00283261">
      <w:pPr>
        <w:widowControl w:val="0"/>
        <w:jc w:val="both"/>
        <w:rPr>
          <w:rFonts w:ascii="Times New Roman" w:hAnsi="Times New Roman"/>
          <w:color w:val="000000"/>
          <w:sz w:val="24"/>
          <w:szCs w:val="24"/>
        </w:rPr>
      </w:pPr>
      <w:r w:rsidRPr="00015C34">
        <w:rPr>
          <w:rFonts w:ascii="Times New Roman" w:hAnsi="Times New Roman"/>
          <w:color w:val="000000"/>
          <w:sz w:val="24"/>
          <w:szCs w:val="24"/>
        </w:rPr>
        <w:t>VIREAD has not been studied in patients over the age of 65.  In general, dose selection for the elderly patient should be cautious, keeping in mind the greater frequency of decreased hepatic, renal or cardiac function, and of concomitant disease or other drug therapy (see DOSAGE AND ADMINISTRATION).</w:t>
      </w:r>
    </w:p>
    <w:p w:rsidR="007F553A" w:rsidRPr="00015C34" w:rsidRDefault="007F553A" w:rsidP="009718F7">
      <w:pPr>
        <w:tabs>
          <w:tab w:val="left" w:pos="8640"/>
          <w:tab w:val="left" w:pos="8820"/>
        </w:tabs>
        <w:jc w:val="both"/>
        <w:rPr>
          <w:rFonts w:ascii="Times New Roman" w:hAnsi="Times New Roman"/>
          <w:color w:val="000000"/>
          <w:sz w:val="24"/>
          <w:szCs w:val="24"/>
        </w:rPr>
      </w:pPr>
    </w:p>
    <w:p w:rsidR="009718F7" w:rsidRPr="00015C34" w:rsidRDefault="007F553A" w:rsidP="009718F7">
      <w:pPr>
        <w:jc w:val="both"/>
        <w:rPr>
          <w:rFonts w:ascii="Times New Roman" w:hAnsi="Times New Roman"/>
          <w:i/>
          <w:sz w:val="24"/>
          <w:szCs w:val="24"/>
        </w:rPr>
      </w:pPr>
      <w:r w:rsidRPr="00015C34">
        <w:rPr>
          <w:rFonts w:ascii="Times New Roman" w:hAnsi="Times New Roman"/>
          <w:b/>
          <w:i/>
          <w:sz w:val="24"/>
          <w:szCs w:val="24"/>
        </w:rPr>
        <w:t>Impaired renal function</w:t>
      </w:r>
      <w:r w:rsidR="002A3997" w:rsidRPr="00015C34">
        <w:rPr>
          <w:rFonts w:ascii="Times New Roman" w:hAnsi="Times New Roman"/>
          <w:b/>
          <w:i/>
          <w:sz w:val="24"/>
          <w:szCs w:val="24"/>
        </w:rPr>
        <w:t>:</w:t>
      </w:r>
      <w:r w:rsidRPr="00015C34">
        <w:rPr>
          <w:rFonts w:ascii="Times New Roman" w:hAnsi="Times New Roman"/>
          <w:i/>
          <w:sz w:val="24"/>
          <w:szCs w:val="24"/>
        </w:rPr>
        <w:t xml:space="preserve">  </w:t>
      </w:r>
    </w:p>
    <w:p w:rsidR="006D678B" w:rsidRPr="00015C34" w:rsidRDefault="006D678B" w:rsidP="009718F7">
      <w:pPr>
        <w:jc w:val="both"/>
        <w:rPr>
          <w:rFonts w:ascii="Times New Roman" w:hAnsi="Times New Roman"/>
          <w:sz w:val="24"/>
          <w:szCs w:val="24"/>
        </w:rPr>
      </w:pPr>
      <w:r w:rsidRPr="00015C34">
        <w:rPr>
          <w:rFonts w:ascii="Times New Roman" w:hAnsi="Times New Roman"/>
          <w:sz w:val="24"/>
          <w:szCs w:val="24"/>
        </w:rPr>
        <w:t xml:space="preserve">Dosing interval adjustment is required in all patients with creatinine clearance &lt;50 ml/min (See </w:t>
      </w:r>
      <w:r w:rsidR="00326CF6" w:rsidRPr="00015C34">
        <w:rPr>
          <w:rFonts w:ascii="Times New Roman" w:hAnsi="Times New Roman"/>
          <w:sz w:val="24"/>
          <w:szCs w:val="24"/>
        </w:rPr>
        <w:t>D</w:t>
      </w:r>
      <w:r w:rsidR="00D66BCC" w:rsidRPr="00015C34">
        <w:rPr>
          <w:rFonts w:ascii="Times New Roman" w:hAnsi="Times New Roman"/>
          <w:sz w:val="24"/>
          <w:szCs w:val="24"/>
        </w:rPr>
        <w:t>OSAGE AND ADMINISTRATION</w:t>
      </w:r>
      <w:r w:rsidRPr="00015C34">
        <w:rPr>
          <w:rFonts w:ascii="Times New Roman" w:hAnsi="Times New Roman"/>
          <w:sz w:val="24"/>
          <w:szCs w:val="24"/>
        </w:rPr>
        <w:t xml:space="preserve">). </w:t>
      </w:r>
      <w:r w:rsidR="00060633" w:rsidRPr="00015C34">
        <w:rPr>
          <w:rFonts w:ascii="Times New Roman" w:hAnsi="Times New Roman"/>
          <w:sz w:val="24"/>
          <w:szCs w:val="24"/>
        </w:rPr>
        <w:t>The proposed dose interval modifications are based on limited data and may not be optimal. The safety and efficacy of these dosing interval adjustment guidelines have not been clinically evaluated</w:t>
      </w:r>
      <w:r w:rsidR="00096FEC" w:rsidRPr="00015C34">
        <w:rPr>
          <w:rFonts w:ascii="Times New Roman" w:hAnsi="Times New Roman"/>
          <w:sz w:val="24"/>
          <w:szCs w:val="24"/>
        </w:rPr>
        <w:t>,</w:t>
      </w:r>
      <w:r w:rsidR="00096FEC" w:rsidRPr="00015C34">
        <w:rPr>
          <w:sz w:val="24"/>
          <w:szCs w:val="24"/>
        </w:rPr>
        <w:t xml:space="preserve"> </w:t>
      </w:r>
      <w:r w:rsidR="00096FEC" w:rsidRPr="00015C34">
        <w:rPr>
          <w:rFonts w:ascii="Times New Roman" w:hAnsi="Times New Roman"/>
          <w:sz w:val="24"/>
          <w:szCs w:val="24"/>
        </w:rPr>
        <w:t xml:space="preserve">and so the potential benefit of </w:t>
      </w:r>
      <w:r w:rsidR="00377B83" w:rsidRPr="00015C34">
        <w:rPr>
          <w:rFonts w:ascii="Times New Roman" w:hAnsi="Times New Roman"/>
          <w:sz w:val="24"/>
          <w:szCs w:val="24"/>
        </w:rPr>
        <w:t>VIREAD</w:t>
      </w:r>
      <w:r w:rsidR="00096FEC" w:rsidRPr="00015C34">
        <w:rPr>
          <w:rFonts w:ascii="Times New Roman" w:hAnsi="Times New Roman"/>
          <w:sz w:val="24"/>
          <w:szCs w:val="24"/>
        </w:rPr>
        <w:t xml:space="preserve"> therapy should be assessed against the potential risk of renal toxicity</w:t>
      </w:r>
      <w:r w:rsidR="00060633" w:rsidRPr="00015C34">
        <w:rPr>
          <w:rFonts w:ascii="Times New Roman" w:hAnsi="Times New Roman"/>
          <w:sz w:val="24"/>
          <w:szCs w:val="24"/>
        </w:rPr>
        <w:t>. Therefore, clinical response to treatment and renal function should be closely monitored in these patients.</w:t>
      </w:r>
    </w:p>
    <w:p w:rsidR="006D678B" w:rsidRPr="00015C34" w:rsidRDefault="006D678B" w:rsidP="009718F7">
      <w:pPr>
        <w:tabs>
          <w:tab w:val="left" w:pos="8640"/>
          <w:tab w:val="left" w:pos="8820"/>
        </w:tabs>
        <w:jc w:val="both"/>
        <w:rPr>
          <w:rFonts w:ascii="Times New Roman" w:hAnsi="Times New Roman"/>
          <w:color w:val="000000"/>
          <w:sz w:val="24"/>
          <w:szCs w:val="24"/>
        </w:rPr>
      </w:pPr>
    </w:p>
    <w:p w:rsidR="00161EDD" w:rsidRPr="00015C34" w:rsidRDefault="00161EDD" w:rsidP="009718F7">
      <w:pPr>
        <w:pStyle w:val="Text1"/>
        <w:spacing w:after="0"/>
        <w:jc w:val="both"/>
        <w:rPr>
          <w:snapToGrid w:val="0"/>
          <w:szCs w:val="24"/>
          <w:lang w:val="en-AU"/>
        </w:rPr>
      </w:pPr>
      <w:r w:rsidRPr="00015C34">
        <w:rPr>
          <w:snapToGrid w:val="0"/>
          <w:szCs w:val="24"/>
          <w:lang w:val="en-AU"/>
        </w:rPr>
        <w:t xml:space="preserve">Renal impairment, </w:t>
      </w:r>
      <w:r w:rsidRPr="00015C34">
        <w:rPr>
          <w:szCs w:val="24"/>
          <w:lang w:val="en-AU"/>
        </w:rPr>
        <w:t>including cases of acute renal failure and Fanconi syndrome (renal tubular injury with severe hypophosphat</w:t>
      </w:r>
      <w:r w:rsidR="00C86A29" w:rsidRPr="00015C34">
        <w:rPr>
          <w:szCs w:val="24"/>
          <w:lang w:val="en-AU"/>
        </w:rPr>
        <w:t>a</w:t>
      </w:r>
      <w:r w:rsidRPr="00015C34">
        <w:rPr>
          <w:szCs w:val="24"/>
          <w:lang w:val="en-AU"/>
        </w:rPr>
        <w:t xml:space="preserve">emia), </w:t>
      </w:r>
      <w:r w:rsidRPr="00015C34">
        <w:rPr>
          <w:snapToGrid w:val="0"/>
          <w:szCs w:val="24"/>
          <w:lang w:val="en-AU"/>
        </w:rPr>
        <w:t xml:space="preserve">has been reported in association with the use of VIREAD (see </w:t>
      </w:r>
      <w:r w:rsidR="00571B28">
        <w:rPr>
          <w:snapToGrid w:val="0"/>
          <w:szCs w:val="24"/>
          <w:lang w:val="en-AU"/>
        </w:rPr>
        <w:t>ADVERSE E</w:t>
      </w:r>
      <w:r w:rsidR="00060443">
        <w:rPr>
          <w:snapToGrid w:val="0"/>
          <w:szCs w:val="24"/>
          <w:lang w:val="en-AU"/>
        </w:rPr>
        <w:t>F</w:t>
      </w:r>
      <w:r w:rsidR="00571B28">
        <w:rPr>
          <w:snapToGrid w:val="0"/>
          <w:szCs w:val="24"/>
          <w:lang w:val="en-AU"/>
        </w:rPr>
        <w:t>FECTS:</w:t>
      </w:r>
      <w:r w:rsidRPr="00015C34">
        <w:rPr>
          <w:snapToGrid w:val="0"/>
          <w:szCs w:val="24"/>
          <w:lang w:val="en-AU"/>
        </w:rPr>
        <w:t xml:space="preserve"> Post Marketing Experience).  </w:t>
      </w:r>
    </w:p>
    <w:p w:rsidR="00AA5581" w:rsidRPr="00015C34" w:rsidRDefault="00AA5581" w:rsidP="009718F7">
      <w:pPr>
        <w:pStyle w:val="Text1"/>
        <w:spacing w:after="0"/>
        <w:jc w:val="both"/>
        <w:rPr>
          <w:snapToGrid w:val="0"/>
          <w:szCs w:val="24"/>
          <w:lang w:val="en-AU"/>
        </w:rPr>
      </w:pPr>
    </w:p>
    <w:p w:rsidR="0077602D" w:rsidRPr="00015C34" w:rsidRDefault="00161EDD" w:rsidP="009718F7">
      <w:pPr>
        <w:tabs>
          <w:tab w:val="left" w:pos="8640"/>
          <w:tab w:val="left" w:pos="8820"/>
        </w:tabs>
        <w:jc w:val="both"/>
        <w:rPr>
          <w:rFonts w:ascii="Times New Roman" w:hAnsi="Times New Roman"/>
          <w:sz w:val="24"/>
          <w:szCs w:val="24"/>
        </w:rPr>
      </w:pPr>
      <w:r w:rsidRPr="00015C34">
        <w:rPr>
          <w:rFonts w:ascii="Times New Roman" w:hAnsi="Times New Roman"/>
          <w:snapToGrid w:val="0"/>
          <w:sz w:val="24"/>
          <w:szCs w:val="24"/>
        </w:rPr>
        <w:t xml:space="preserve">VIREAD </w:t>
      </w:r>
      <w:r w:rsidRPr="00015C34">
        <w:rPr>
          <w:rFonts w:ascii="Times New Roman" w:hAnsi="Times New Roman"/>
          <w:sz w:val="24"/>
          <w:szCs w:val="24"/>
        </w:rPr>
        <w:t xml:space="preserve">should be avoided with concurrent or recent use of a nephrotoxic agent. </w:t>
      </w:r>
    </w:p>
    <w:p w:rsidR="0077602D" w:rsidRPr="00015C34" w:rsidRDefault="0077602D" w:rsidP="009718F7">
      <w:pPr>
        <w:tabs>
          <w:tab w:val="left" w:pos="8640"/>
          <w:tab w:val="left" w:pos="8820"/>
        </w:tabs>
        <w:jc w:val="both"/>
        <w:rPr>
          <w:rFonts w:ascii="Times New Roman" w:hAnsi="Times New Roman"/>
          <w:sz w:val="24"/>
          <w:szCs w:val="24"/>
        </w:rPr>
      </w:pPr>
    </w:p>
    <w:p w:rsidR="00161EDD" w:rsidRPr="00015C34" w:rsidRDefault="0077602D" w:rsidP="009718F7">
      <w:pPr>
        <w:tabs>
          <w:tab w:val="left" w:pos="8640"/>
          <w:tab w:val="left" w:pos="8820"/>
        </w:tabs>
        <w:jc w:val="both"/>
        <w:rPr>
          <w:rFonts w:ascii="Times New Roman" w:hAnsi="Times New Roman"/>
          <w:sz w:val="24"/>
          <w:szCs w:val="24"/>
        </w:rPr>
      </w:pPr>
      <w:r w:rsidRPr="00015C34">
        <w:rPr>
          <w:rFonts w:ascii="Times New Roman" w:hAnsi="Times New Roman"/>
          <w:sz w:val="24"/>
          <w:szCs w:val="24"/>
        </w:rPr>
        <w:t xml:space="preserve">It is recommended that creatinine clearance is calculated in all patients prior to initiating therapy and, as clinically appropriate, during VIREAD therapy.  </w:t>
      </w:r>
      <w:r w:rsidR="00161EDD" w:rsidRPr="00D96019">
        <w:rPr>
          <w:rFonts w:ascii="Times New Roman" w:hAnsi="Times New Roman"/>
          <w:sz w:val="24"/>
          <w:szCs w:val="24"/>
        </w:rPr>
        <w:t>Patients at risk for, or with a history of, renal dysfunction</w:t>
      </w:r>
      <w:r w:rsidR="00D96019">
        <w:rPr>
          <w:rFonts w:ascii="Times New Roman" w:hAnsi="Times New Roman"/>
          <w:sz w:val="24"/>
          <w:szCs w:val="24"/>
        </w:rPr>
        <w:t>, including patients who have previously experienced renal events while receiving HEPSERA,</w:t>
      </w:r>
      <w:r w:rsidR="00161EDD" w:rsidRPr="00015C34">
        <w:rPr>
          <w:rFonts w:ascii="Times New Roman" w:hAnsi="Times New Roman"/>
          <w:sz w:val="24"/>
          <w:szCs w:val="24"/>
        </w:rPr>
        <w:t xml:space="preserve"> should be </w:t>
      </w:r>
      <w:r w:rsidR="007E507E" w:rsidRPr="00015C34">
        <w:rPr>
          <w:rFonts w:ascii="Times New Roman" w:hAnsi="Times New Roman"/>
          <w:sz w:val="24"/>
          <w:szCs w:val="24"/>
        </w:rPr>
        <w:t>routine</w:t>
      </w:r>
      <w:r w:rsidR="00161EDD" w:rsidRPr="00015C34">
        <w:rPr>
          <w:rFonts w:ascii="Times New Roman" w:hAnsi="Times New Roman"/>
          <w:sz w:val="24"/>
          <w:szCs w:val="24"/>
        </w:rPr>
        <w:t>ly monitored for changes in serum creatinine and phosphorus.</w:t>
      </w:r>
    </w:p>
    <w:p w:rsidR="007F553A" w:rsidRPr="00015C34" w:rsidRDefault="007F553A" w:rsidP="009718F7">
      <w:pPr>
        <w:tabs>
          <w:tab w:val="left" w:pos="8640"/>
          <w:tab w:val="left" w:pos="8820"/>
        </w:tabs>
        <w:jc w:val="both"/>
        <w:rPr>
          <w:rFonts w:ascii="Times New Roman" w:hAnsi="Times New Roman"/>
          <w:color w:val="000000"/>
          <w:sz w:val="24"/>
          <w:szCs w:val="24"/>
        </w:rPr>
      </w:pPr>
    </w:p>
    <w:p w:rsidR="00A82FD6" w:rsidRDefault="00A82FD6" w:rsidP="009718F7">
      <w:pPr>
        <w:pStyle w:val="text10"/>
        <w:spacing w:after="0"/>
        <w:jc w:val="both"/>
        <w:rPr>
          <w:rFonts w:ascii="Times New Roman" w:hAnsi="Times New Roman"/>
          <w:b/>
          <w:i/>
          <w:szCs w:val="24"/>
          <w:lang w:val="en-AU"/>
        </w:rPr>
      </w:pPr>
    </w:p>
    <w:p w:rsidR="00A82FD6" w:rsidRDefault="00A82FD6" w:rsidP="009718F7">
      <w:pPr>
        <w:pStyle w:val="text10"/>
        <w:spacing w:after="0"/>
        <w:jc w:val="both"/>
        <w:rPr>
          <w:rFonts w:ascii="Times New Roman" w:hAnsi="Times New Roman"/>
          <w:b/>
          <w:i/>
          <w:szCs w:val="24"/>
          <w:lang w:val="en-AU"/>
        </w:rPr>
      </w:pPr>
    </w:p>
    <w:p w:rsidR="00326DB3" w:rsidRPr="00015C34" w:rsidRDefault="00326DB3" w:rsidP="009718F7">
      <w:pPr>
        <w:pStyle w:val="text10"/>
        <w:spacing w:after="0"/>
        <w:jc w:val="both"/>
        <w:rPr>
          <w:rFonts w:ascii="Times New Roman" w:hAnsi="Times New Roman"/>
          <w:b/>
          <w:i/>
          <w:szCs w:val="24"/>
          <w:lang w:val="en-AU"/>
        </w:rPr>
      </w:pPr>
      <w:r w:rsidRPr="00015C34">
        <w:rPr>
          <w:rFonts w:ascii="Times New Roman" w:hAnsi="Times New Roman"/>
          <w:b/>
          <w:i/>
          <w:szCs w:val="24"/>
          <w:lang w:val="en-AU"/>
        </w:rPr>
        <w:t>Lactic Acidosis/Severe Hepatomegaly with Steatosis</w:t>
      </w:r>
      <w:r w:rsidR="009718F7" w:rsidRPr="00015C34">
        <w:rPr>
          <w:rFonts w:ascii="Times New Roman" w:hAnsi="Times New Roman"/>
          <w:b/>
          <w:i/>
          <w:szCs w:val="24"/>
          <w:lang w:val="en-AU"/>
        </w:rPr>
        <w:t>:</w:t>
      </w:r>
    </w:p>
    <w:p w:rsidR="00326DB3" w:rsidRPr="00015C34" w:rsidRDefault="00326DB3" w:rsidP="009718F7">
      <w:pPr>
        <w:pStyle w:val="text10"/>
        <w:spacing w:after="0"/>
        <w:jc w:val="both"/>
        <w:rPr>
          <w:rFonts w:ascii="Times New Roman" w:hAnsi="Times New Roman"/>
          <w:szCs w:val="24"/>
          <w:lang w:val="en-AU"/>
        </w:rPr>
      </w:pPr>
      <w:r w:rsidRPr="00015C34">
        <w:rPr>
          <w:rFonts w:ascii="Times New Roman" w:hAnsi="Times New Roman"/>
          <w:szCs w:val="24"/>
          <w:lang w:val="en-AU"/>
        </w:rPr>
        <w:t xml:space="preserve">Lactic acidosis and severe hepatomegaly with steatosis, including fatal cases, have been reported with the use of antiretroviral nucleoside analogues alone or in combination, including tenofovir disoproxil fumarate, in the treatment of HIV infection.  A majority of these cases have been reported in women.  The preclinical and clinical data suggest that the risk of occurrence of lactic acidosis, a class effect of nucleoside analogues is low for tenofovir disoproxil fumarate.  However, as tenofovir is structurally related to nucleoside analogues, this risk cannot be excluded.  Caution should be exercised when administering VIREAD to any patient, and particularly to those with known risk factors for liver disease.  Treatment with VIREAD should </w:t>
      </w:r>
      <w:r w:rsidRPr="00015C34">
        <w:rPr>
          <w:rFonts w:ascii="Times New Roman" w:hAnsi="Times New Roman"/>
          <w:szCs w:val="24"/>
          <w:lang w:val="en-AU"/>
        </w:rPr>
        <w:lastRenderedPageBreak/>
        <w:t>be suspended in any patient who develops clinical or laboratory findings suggestive of lactic acidosis or hepatotoxicity.</w:t>
      </w:r>
    </w:p>
    <w:p w:rsidR="009718F7" w:rsidRPr="00015C34" w:rsidRDefault="009718F7" w:rsidP="009718F7">
      <w:pPr>
        <w:tabs>
          <w:tab w:val="left" w:pos="8640"/>
          <w:tab w:val="left" w:pos="8820"/>
        </w:tabs>
        <w:jc w:val="both"/>
        <w:rPr>
          <w:rFonts w:ascii="Times New Roman" w:hAnsi="Times New Roman"/>
          <w:color w:val="000000"/>
          <w:sz w:val="24"/>
          <w:szCs w:val="24"/>
        </w:rPr>
      </w:pPr>
    </w:p>
    <w:p w:rsidR="009718F7" w:rsidRPr="00015C34" w:rsidRDefault="007F553A" w:rsidP="009718F7">
      <w:pPr>
        <w:jc w:val="both"/>
        <w:rPr>
          <w:rFonts w:ascii="Times New Roman" w:hAnsi="Times New Roman"/>
          <w:color w:val="000000"/>
          <w:sz w:val="24"/>
          <w:szCs w:val="24"/>
        </w:rPr>
      </w:pPr>
      <w:r w:rsidRPr="00015C34">
        <w:rPr>
          <w:rFonts w:ascii="Times New Roman" w:hAnsi="Times New Roman"/>
          <w:b/>
          <w:i/>
          <w:color w:val="000000"/>
          <w:sz w:val="24"/>
          <w:szCs w:val="24"/>
        </w:rPr>
        <w:t>Drug interactions</w:t>
      </w:r>
      <w:r w:rsidR="009718F7" w:rsidRPr="00015C34">
        <w:rPr>
          <w:rFonts w:ascii="Times New Roman" w:hAnsi="Times New Roman"/>
          <w:b/>
          <w:i/>
          <w:color w:val="000000"/>
          <w:sz w:val="24"/>
          <w:szCs w:val="24"/>
        </w:rPr>
        <w:t>:</w:t>
      </w:r>
      <w:r w:rsidRPr="00015C34">
        <w:rPr>
          <w:rFonts w:ascii="Times New Roman" w:hAnsi="Times New Roman"/>
          <w:color w:val="000000"/>
          <w:sz w:val="24"/>
          <w:szCs w:val="24"/>
        </w:rPr>
        <w:t xml:space="preserve"> </w:t>
      </w:r>
    </w:p>
    <w:p w:rsidR="007F553A" w:rsidRPr="00015C34" w:rsidRDefault="007F553A" w:rsidP="009718F7">
      <w:pPr>
        <w:jc w:val="both"/>
        <w:rPr>
          <w:rFonts w:ascii="Times New Roman" w:hAnsi="Times New Roman"/>
          <w:sz w:val="24"/>
          <w:szCs w:val="24"/>
        </w:rPr>
      </w:pPr>
      <w:r w:rsidRPr="00015C34">
        <w:rPr>
          <w:rFonts w:ascii="Times New Roman" w:hAnsi="Times New Roman"/>
          <w:sz w:val="24"/>
          <w:szCs w:val="24"/>
        </w:rPr>
        <w:t xml:space="preserve">Based on the results of </w:t>
      </w:r>
      <w:r w:rsidRPr="00015C34">
        <w:rPr>
          <w:rFonts w:ascii="Times New Roman" w:hAnsi="Times New Roman"/>
          <w:i/>
          <w:sz w:val="24"/>
          <w:szCs w:val="24"/>
        </w:rPr>
        <w:t>in vitro</w:t>
      </w:r>
      <w:r w:rsidRPr="00015C34">
        <w:rPr>
          <w:rFonts w:ascii="Times New Roman" w:hAnsi="Times New Roman"/>
          <w:sz w:val="24"/>
          <w:szCs w:val="24"/>
        </w:rPr>
        <w:t xml:space="preserve"> experiments and the known elimination pathway of tenofovir, the potential for CYP450 mediated interactions involving tenofovir with other medicinal products is low. </w:t>
      </w:r>
    </w:p>
    <w:p w:rsidR="007F553A" w:rsidRPr="00015C34" w:rsidRDefault="007F553A" w:rsidP="009718F7">
      <w:pPr>
        <w:pStyle w:val="Text1"/>
        <w:tabs>
          <w:tab w:val="left" w:pos="8820"/>
        </w:tabs>
        <w:spacing w:after="0"/>
        <w:jc w:val="both"/>
        <w:rPr>
          <w:color w:val="000000"/>
          <w:szCs w:val="24"/>
          <w:lang w:val="en-AU"/>
        </w:rPr>
      </w:pPr>
    </w:p>
    <w:p w:rsidR="007F553A" w:rsidRPr="00015C34" w:rsidRDefault="007F553A" w:rsidP="009718F7">
      <w:pPr>
        <w:pStyle w:val="Text1"/>
        <w:spacing w:after="0"/>
        <w:jc w:val="both"/>
        <w:rPr>
          <w:szCs w:val="24"/>
          <w:lang w:val="en-AU"/>
        </w:rPr>
      </w:pPr>
      <w:r w:rsidRPr="00015C34">
        <w:rPr>
          <w:szCs w:val="24"/>
          <w:lang w:val="en-AU"/>
        </w:rPr>
        <w:t>Tenofovir is excreted renally.  Coadministration of VIREAD with medicinal products that decrease or compete for renal clearance may increase serum concentrations of tenofovir.</w:t>
      </w:r>
    </w:p>
    <w:p w:rsidR="009718F7" w:rsidRPr="00015C34" w:rsidRDefault="009718F7" w:rsidP="009718F7">
      <w:pPr>
        <w:pStyle w:val="Text1"/>
        <w:spacing w:after="0"/>
        <w:jc w:val="both"/>
        <w:rPr>
          <w:color w:val="000000"/>
          <w:szCs w:val="24"/>
          <w:lang w:val="en-AU"/>
        </w:rPr>
      </w:pPr>
    </w:p>
    <w:p w:rsidR="007F553A" w:rsidRPr="00015C34" w:rsidRDefault="006B057A" w:rsidP="009718F7">
      <w:pPr>
        <w:pStyle w:val="Text1"/>
        <w:spacing w:after="0"/>
        <w:jc w:val="both"/>
        <w:rPr>
          <w:szCs w:val="24"/>
          <w:lang w:val="en-AU"/>
        </w:rPr>
      </w:pPr>
      <w:r w:rsidRPr="00015C34">
        <w:rPr>
          <w:snapToGrid w:val="0"/>
          <w:szCs w:val="24"/>
          <w:lang w:val="en-AU"/>
        </w:rPr>
        <w:t>VIREAD has been evaluated in healthy volunteers in combination with abacavir, , didanosine, efavirenz, emtricitabine</w:t>
      </w:r>
      <w:r w:rsidR="00B3336F" w:rsidRPr="00015C34">
        <w:rPr>
          <w:snapToGrid w:val="0"/>
          <w:szCs w:val="24"/>
          <w:lang w:val="en-AU"/>
        </w:rPr>
        <w:t xml:space="preserve"> (</w:t>
      </w:r>
      <w:r w:rsidR="008163BF">
        <w:rPr>
          <w:snapToGrid w:val="0"/>
          <w:szCs w:val="24"/>
          <w:lang w:val="en-AU"/>
        </w:rPr>
        <w:t>EMTRIVA</w:t>
      </w:r>
      <w:r w:rsidR="00B3336F" w:rsidRPr="00015C34">
        <w:rPr>
          <w:snapToGrid w:val="0"/>
          <w:szCs w:val="24"/>
          <w:lang w:val="en-AU"/>
        </w:rPr>
        <w:t>)</w:t>
      </w:r>
      <w:r w:rsidRPr="00015C34">
        <w:rPr>
          <w:snapToGrid w:val="0"/>
          <w:szCs w:val="24"/>
          <w:lang w:val="en-AU"/>
        </w:rPr>
        <w:t xml:space="preserve">, </w:t>
      </w:r>
      <w:r w:rsidR="00E15C3C" w:rsidRPr="00015C34">
        <w:rPr>
          <w:snapToGrid w:val="0"/>
          <w:szCs w:val="24"/>
          <w:lang w:val="en-AU"/>
        </w:rPr>
        <w:t xml:space="preserve">entecavir, </w:t>
      </w:r>
      <w:r w:rsidRPr="00015C34">
        <w:rPr>
          <w:snapToGrid w:val="0"/>
          <w:szCs w:val="24"/>
          <w:lang w:val="en-AU"/>
        </w:rPr>
        <w:t>indinavir, lamivudine, lopinavir/ritonavir, methadone, oral contraceptives</w:t>
      </w:r>
      <w:r w:rsidR="00E15C3C" w:rsidRPr="00015C34">
        <w:rPr>
          <w:snapToGrid w:val="0"/>
          <w:szCs w:val="24"/>
          <w:lang w:val="en-AU"/>
        </w:rPr>
        <w:t>,</w:t>
      </w:r>
      <w:r w:rsidRPr="00015C34">
        <w:rPr>
          <w:snapToGrid w:val="0"/>
          <w:szCs w:val="24"/>
          <w:lang w:val="en-AU"/>
        </w:rPr>
        <w:t xml:space="preserve"> ribavirin</w:t>
      </w:r>
      <w:r w:rsidR="00220BF5" w:rsidRPr="00015C34">
        <w:rPr>
          <w:snapToGrid w:val="0"/>
          <w:szCs w:val="24"/>
          <w:lang w:val="en-AU"/>
        </w:rPr>
        <w:t xml:space="preserve">, </w:t>
      </w:r>
      <w:r w:rsidR="000A5A49" w:rsidRPr="00015C34">
        <w:rPr>
          <w:snapToGrid w:val="0"/>
          <w:szCs w:val="24"/>
          <w:lang w:val="en-AU"/>
        </w:rPr>
        <w:t xml:space="preserve"> </w:t>
      </w:r>
      <w:r w:rsidR="00E15C3C" w:rsidRPr="001555F7">
        <w:rPr>
          <w:snapToGrid w:val="0"/>
          <w:szCs w:val="24"/>
          <w:lang w:val="en-AU"/>
        </w:rPr>
        <w:t>and tacrolimus</w:t>
      </w:r>
      <w:r w:rsidR="00E15C3C" w:rsidRPr="00015C34">
        <w:rPr>
          <w:snapToGrid w:val="0"/>
          <w:szCs w:val="24"/>
          <w:lang w:val="en-AU"/>
        </w:rPr>
        <w:t xml:space="preserve"> </w:t>
      </w:r>
      <w:r w:rsidR="000A5A49" w:rsidRPr="00015C34">
        <w:rPr>
          <w:snapToGrid w:val="0"/>
          <w:szCs w:val="24"/>
          <w:lang w:val="en-AU"/>
        </w:rPr>
        <w:t>(refer to Tables 2 and 3)</w:t>
      </w:r>
      <w:r w:rsidRPr="00015C34">
        <w:rPr>
          <w:snapToGrid w:val="0"/>
          <w:szCs w:val="24"/>
          <w:lang w:val="en-AU"/>
        </w:rPr>
        <w:t xml:space="preserve">.  </w:t>
      </w:r>
    </w:p>
    <w:p w:rsidR="007F553A" w:rsidRPr="00015C34" w:rsidRDefault="007F553A" w:rsidP="009718F7">
      <w:pPr>
        <w:tabs>
          <w:tab w:val="left" w:pos="8820"/>
        </w:tabs>
        <w:jc w:val="both"/>
        <w:rPr>
          <w:rFonts w:ascii="Times New Roman" w:hAnsi="Times New Roman"/>
          <w:color w:val="000000"/>
          <w:sz w:val="24"/>
          <w:szCs w:val="24"/>
        </w:rPr>
      </w:pPr>
    </w:p>
    <w:p w:rsidR="006A1B9A" w:rsidRPr="00015C34" w:rsidRDefault="006A1B9A" w:rsidP="009718F7">
      <w:pPr>
        <w:pStyle w:val="TOCHeadings"/>
        <w:widowControl/>
        <w:tabs>
          <w:tab w:val="left" w:pos="720"/>
        </w:tabs>
        <w:spacing w:before="0" w:after="0"/>
        <w:jc w:val="both"/>
        <w:rPr>
          <w:rFonts w:ascii="Times New Roman" w:hAnsi="Times New Roman"/>
          <w:b w:val="0"/>
          <w:sz w:val="24"/>
          <w:szCs w:val="24"/>
          <w:lang w:val="en-AU"/>
        </w:rPr>
      </w:pPr>
      <w:r w:rsidRPr="00015C34">
        <w:rPr>
          <w:rFonts w:ascii="Times New Roman" w:hAnsi="Times New Roman"/>
          <w:b w:val="0"/>
          <w:sz w:val="24"/>
          <w:szCs w:val="24"/>
          <w:lang w:val="en-AU"/>
        </w:rPr>
        <w:t>When administered with VIREAD, C</w:t>
      </w:r>
      <w:r w:rsidRPr="00015C34">
        <w:rPr>
          <w:rFonts w:ascii="Times New Roman" w:hAnsi="Times New Roman"/>
          <w:b w:val="0"/>
          <w:sz w:val="24"/>
          <w:szCs w:val="24"/>
          <w:vertAlign w:val="subscript"/>
          <w:lang w:val="en-AU"/>
        </w:rPr>
        <w:t>max</w:t>
      </w:r>
      <w:r w:rsidRPr="00015C34">
        <w:rPr>
          <w:rFonts w:ascii="Times New Roman" w:hAnsi="Times New Roman"/>
          <w:b w:val="0"/>
          <w:sz w:val="24"/>
          <w:szCs w:val="24"/>
          <w:lang w:val="en-AU"/>
        </w:rPr>
        <w:t xml:space="preserve"> and AUC of didanosine administered as either the buffered or enteric-coated formulation </w:t>
      </w:r>
      <w:r w:rsidR="00D66BCC" w:rsidRPr="00015C34">
        <w:rPr>
          <w:rFonts w:ascii="Times New Roman" w:hAnsi="Times New Roman"/>
          <w:b w:val="0"/>
          <w:sz w:val="24"/>
          <w:szCs w:val="24"/>
          <w:lang w:val="en-AU"/>
        </w:rPr>
        <w:t xml:space="preserve">at a dose of 400 mg daily </w:t>
      </w:r>
      <w:r w:rsidRPr="00015C34">
        <w:rPr>
          <w:rFonts w:ascii="Times New Roman" w:hAnsi="Times New Roman"/>
          <w:b w:val="0"/>
          <w:sz w:val="24"/>
          <w:szCs w:val="24"/>
          <w:lang w:val="en-AU"/>
        </w:rPr>
        <w:t>increased significantly (see Table 4).  The mechanism of this interaction is unknown.  Higher didanosine concentrations could potentiate didanosine-associated adverse events, including pancreatitis</w:t>
      </w:r>
      <w:r w:rsidR="0077602D" w:rsidRPr="00015C34">
        <w:rPr>
          <w:rFonts w:ascii="Times New Roman" w:hAnsi="Times New Roman"/>
          <w:b w:val="0"/>
          <w:sz w:val="24"/>
          <w:szCs w:val="24"/>
          <w:lang w:val="en-AU"/>
        </w:rPr>
        <w:t>, lactic acidosis</w:t>
      </w:r>
      <w:r w:rsidRPr="00015C34">
        <w:rPr>
          <w:rFonts w:ascii="Times New Roman" w:hAnsi="Times New Roman"/>
          <w:b w:val="0"/>
          <w:sz w:val="24"/>
          <w:szCs w:val="24"/>
          <w:lang w:val="en-AU"/>
        </w:rPr>
        <w:t xml:space="preserve"> and neuropathy. </w:t>
      </w:r>
      <w:r w:rsidR="0077602D" w:rsidRPr="00015C34">
        <w:rPr>
          <w:rFonts w:ascii="Times New Roman" w:hAnsi="Times New Roman"/>
          <w:b w:val="0"/>
          <w:sz w:val="24"/>
          <w:szCs w:val="24"/>
        </w:rPr>
        <w:t xml:space="preserve">Suppression of CD4 cell counts has been observed in patients receiving tenofovir disoproxil fumarate with didanosine at a dose of 400 mg daily.  </w:t>
      </w:r>
      <w:r w:rsidRPr="00015C34">
        <w:rPr>
          <w:rFonts w:ascii="Times New Roman" w:hAnsi="Times New Roman"/>
          <w:b w:val="0"/>
          <w:sz w:val="24"/>
          <w:szCs w:val="24"/>
          <w:lang w:val="en-AU"/>
        </w:rPr>
        <w:t xml:space="preserve">In </w:t>
      </w:r>
      <w:r w:rsidR="00FE1EFE">
        <w:rPr>
          <w:rFonts w:ascii="Times New Roman" w:hAnsi="Times New Roman"/>
          <w:b w:val="0"/>
          <w:sz w:val="24"/>
          <w:szCs w:val="24"/>
          <w:lang w:val="en-AU"/>
        </w:rPr>
        <w:t>patients</w:t>
      </w:r>
      <w:r w:rsidRPr="00015C34">
        <w:rPr>
          <w:rFonts w:ascii="Times New Roman" w:hAnsi="Times New Roman"/>
          <w:b w:val="0"/>
          <w:sz w:val="24"/>
          <w:szCs w:val="24"/>
          <w:lang w:val="en-AU"/>
        </w:rPr>
        <w:t xml:space="preserve"> weighing </w:t>
      </w:r>
      <w:r w:rsidR="002C5981" w:rsidRPr="00015C34">
        <w:rPr>
          <w:rFonts w:ascii="Times New Roman" w:hAnsi="Times New Roman"/>
          <w:b w:val="0"/>
          <w:sz w:val="24"/>
          <w:szCs w:val="24"/>
          <w:lang w:val="en-AU"/>
        </w:rPr>
        <w:t>≥</w:t>
      </w:r>
      <w:r w:rsidRPr="00015C34">
        <w:rPr>
          <w:rFonts w:ascii="Times New Roman" w:hAnsi="Times New Roman"/>
          <w:b w:val="0"/>
          <w:sz w:val="24"/>
          <w:szCs w:val="24"/>
          <w:lang w:val="en-AU"/>
        </w:rPr>
        <w:t xml:space="preserve">60kg, the didanosine dose should be reduced to 250 mg when it is co-administered with VIREAD.  Data are not available to recommend a dose adjustment of didanosine for </w:t>
      </w:r>
      <w:r w:rsidR="00FE1EFE">
        <w:rPr>
          <w:rFonts w:ascii="Times New Roman" w:hAnsi="Times New Roman"/>
          <w:b w:val="0"/>
          <w:sz w:val="24"/>
          <w:szCs w:val="24"/>
          <w:lang w:val="en-AU"/>
        </w:rPr>
        <w:t xml:space="preserve">adult or paediatric </w:t>
      </w:r>
      <w:r w:rsidRPr="00015C34">
        <w:rPr>
          <w:rFonts w:ascii="Times New Roman" w:hAnsi="Times New Roman"/>
          <w:b w:val="0"/>
          <w:sz w:val="24"/>
          <w:szCs w:val="24"/>
          <w:lang w:val="en-AU"/>
        </w:rPr>
        <w:t xml:space="preserve">patients weighing &lt;60 kg.  When co-administered, VIREAD and didanosine EC may be taken under fasted conditions or with a light meal (&lt;400 kcal, 20% fat).  Co-administration of didanosine buffered tablet formulation with VIREAD should be under fasted conditions.  </w:t>
      </w:r>
      <w:r w:rsidRPr="00015C34">
        <w:rPr>
          <w:rFonts w:ascii="Times New Roman" w:hAnsi="Times New Roman"/>
          <w:sz w:val="24"/>
          <w:szCs w:val="24"/>
          <w:lang w:val="en-AU"/>
        </w:rPr>
        <w:t xml:space="preserve">Co-administration of VIREAD and didanosine should be undertaken with caution and patients receiving this combination should be monitored closely for didanosine-associated adverse events. Didanosine should be discontinued in patients who develop didanosine-associated adverse events. </w:t>
      </w:r>
    </w:p>
    <w:p w:rsidR="003D7A65" w:rsidRPr="00015C34" w:rsidRDefault="003D7A65" w:rsidP="009718F7">
      <w:pPr>
        <w:tabs>
          <w:tab w:val="left" w:pos="8820"/>
        </w:tabs>
        <w:jc w:val="both"/>
        <w:rPr>
          <w:rFonts w:ascii="Times New Roman" w:hAnsi="Times New Roman"/>
          <w:color w:val="000000"/>
          <w:sz w:val="24"/>
          <w:szCs w:val="24"/>
        </w:rPr>
      </w:pPr>
    </w:p>
    <w:p w:rsidR="00EC5460" w:rsidRPr="00015C34" w:rsidRDefault="00D66BCC" w:rsidP="009718F7">
      <w:pPr>
        <w:jc w:val="both"/>
        <w:rPr>
          <w:rStyle w:val="msoins0"/>
          <w:rFonts w:ascii="Times New Roman" w:hAnsi="Times New Roman"/>
          <w:iCs/>
          <w:color w:val="auto"/>
          <w:sz w:val="24"/>
          <w:szCs w:val="24"/>
          <w:u w:val="none"/>
        </w:rPr>
      </w:pPr>
      <w:r w:rsidRPr="00015C34">
        <w:rPr>
          <w:rStyle w:val="msoins0"/>
          <w:rFonts w:ascii="Times New Roman" w:hAnsi="Times New Roman"/>
          <w:iCs/>
          <w:color w:val="auto"/>
          <w:sz w:val="24"/>
          <w:szCs w:val="24"/>
          <w:u w:val="none"/>
        </w:rPr>
        <w:t>Tenofovir disoproxil fumarate</w:t>
      </w:r>
      <w:r w:rsidR="00EC5460" w:rsidRPr="00015C34">
        <w:rPr>
          <w:rStyle w:val="msoins0"/>
          <w:rFonts w:ascii="Times New Roman" w:hAnsi="Times New Roman"/>
          <w:iCs/>
          <w:color w:val="auto"/>
          <w:sz w:val="24"/>
          <w:szCs w:val="24"/>
          <w:u w:val="none"/>
        </w:rPr>
        <w:t xml:space="preserve"> affects the pharmacokinetics of atazanavir. VIREAD should only be administered with boosted atazanavir (ATZ 300mg/RTV 100mg). The safety and efficacy of this regimen has been substantiated over 48 weeks in a clinical study.</w:t>
      </w:r>
    </w:p>
    <w:p w:rsidR="00EC5460" w:rsidRPr="00015C34" w:rsidRDefault="00EC5460" w:rsidP="009718F7">
      <w:pPr>
        <w:tabs>
          <w:tab w:val="left" w:pos="8820"/>
        </w:tabs>
        <w:jc w:val="both"/>
        <w:rPr>
          <w:rFonts w:ascii="Times New Roman" w:hAnsi="Times New Roman"/>
          <w:color w:val="000000"/>
          <w:sz w:val="24"/>
          <w:szCs w:val="24"/>
        </w:rPr>
      </w:pPr>
    </w:p>
    <w:p w:rsidR="00CA71B2" w:rsidRPr="00015C34" w:rsidRDefault="00CA71B2" w:rsidP="009718F7">
      <w:pPr>
        <w:pStyle w:val="TOCHeadings"/>
        <w:widowControl/>
        <w:tabs>
          <w:tab w:val="left" w:pos="270"/>
        </w:tabs>
        <w:spacing w:before="0" w:after="0"/>
        <w:jc w:val="both"/>
        <w:rPr>
          <w:rFonts w:ascii="Times New Roman" w:hAnsi="Times New Roman"/>
          <w:b w:val="0"/>
          <w:color w:val="000000"/>
          <w:sz w:val="24"/>
          <w:szCs w:val="24"/>
          <w:lang w:val="en-AU"/>
        </w:rPr>
      </w:pPr>
      <w:r w:rsidRPr="00015C34">
        <w:rPr>
          <w:rFonts w:ascii="Times New Roman" w:hAnsi="Times New Roman"/>
          <w:b w:val="0"/>
          <w:color w:val="000000"/>
          <w:sz w:val="24"/>
          <w:szCs w:val="24"/>
          <w:lang w:val="en-AU"/>
        </w:rPr>
        <w:t xml:space="preserve">Since tenofovir is primarily eliminated by the kidneys, co-administration of VIREAD with drugs that reduce renal function or compete for active tubular secretion may increase serum concentrations of tenofovir and/or increase the concentrations of other renally eliminated drugs.  </w:t>
      </w:r>
    </w:p>
    <w:p w:rsidR="007F553A" w:rsidRPr="00015C34" w:rsidRDefault="007F553A" w:rsidP="009718F7">
      <w:pPr>
        <w:tabs>
          <w:tab w:val="left" w:pos="8640"/>
          <w:tab w:val="left" w:pos="8820"/>
        </w:tabs>
        <w:jc w:val="both"/>
        <w:rPr>
          <w:rFonts w:ascii="Times New Roman" w:hAnsi="Times New Roman"/>
          <w:color w:val="000000"/>
          <w:sz w:val="24"/>
          <w:szCs w:val="24"/>
        </w:rPr>
      </w:pPr>
    </w:p>
    <w:p w:rsidR="00CB3DC6" w:rsidRPr="00015C34" w:rsidRDefault="00F44C02" w:rsidP="009718F7">
      <w:pPr>
        <w:pStyle w:val="text1Char"/>
        <w:spacing w:after="0"/>
        <w:jc w:val="both"/>
        <w:rPr>
          <w:b/>
          <w:i/>
          <w:snapToGrid w:val="0"/>
          <w:szCs w:val="24"/>
          <w:lang w:val="en-AU"/>
        </w:rPr>
      </w:pPr>
      <w:r w:rsidRPr="00015C34">
        <w:rPr>
          <w:b/>
          <w:i/>
          <w:snapToGrid w:val="0"/>
          <w:szCs w:val="24"/>
          <w:lang w:val="en-AU"/>
        </w:rPr>
        <w:t xml:space="preserve">HIV and </w:t>
      </w:r>
      <w:r w:rsidR="00CB3DC6" w:rsidRPr="00015C34">
        <w:rPr>
          <w:b/>
          <w:i/>
          <w:snapToGrid w:val="0"/>
          <w:szCs w:val="24"/>
          <w:lang w:val="en-AU"/>
        </w:rPr>
        <w:t>HBV</w:t>
      </w:r>
      <w:r w:rsidRPr="00015C34">
        <w:rPr>
          <w:b/>
          <w:i/>
          <w:snapToGrid w:val="0"/>
          <w:szCs w:val="24"/>
          <w:lang w:val="en-AU"/>
        </w:rPr>
        <w:t xml:space="preserve"> </w:t>
      </w:r>
      <w:r w:rsidR="00CB3DC6" w:rsidRPr="00015C34">
        <w:rPr>
          <w:b/>
          <w:i/>
          <w:snapToGrid w:val="0"/>
          <w:szCs w:val="24"/>
          <w:lang w:val="en-AU"/>
        </w:rPr>
        <w:t>c</w:t>
      </w:r>
      <w:r w:rsidRPr="00015C34">
        <w:rPr>
          <w:b/>
          <w:i/>
          <w:snapToGrid w:val="0"/>
          <w:szCs w:val="24"/>
          <w:lang w:val="en-AU"/>
        </w:rPr>
        <w:t>o-infection</w:t>
      </w:r>
      <w:r w:rsidR="002A3997" w:rsidRPr="00015C34">
        <w:rPr>
          <w:b/>
          <w:i/>
          <w:snapToGrid w:val="0"/>
          <w:szCs w:val="24"/>
          <w:lang w:val="en-AU"/>
        </w:rPr>
        <w:t>:</w:t>
      </w:r>
    </w:p>
    <w:p w:rsidR="00CB3DC6" w:rsidRPr="00015C34" w:rsidRDefault="00CB3DC6" w:rsidP="00CB3DC6">
      <w:pPr>
        <w:pStyle w:val="Text1"/>
        <w:spacing w:after="0"/>
        <w:jc w:val="both"/>
        <w:rPr>
          <w:color w:val="000000"/>
          <w:szCs w:val="24"/>
        </w:rPr>
      </w:pPr>
      <w:r w:rsidRPr="00015C34">
        <w:rPr>
          <w:color w:val="000000"/>
          <w:szCs w:val="24"/>
        </w:rPr>
        <w:t>Due to the risk of development of HIV resistance, VIREAD should only be used as part of an appropriate antiretroviral combination regimen in HIV/HBV co-infected patients.</w:t>
      </w:r>
    </w:p>
    <w:p w:rsidR="009718F7" w:rsidRPr="00015C34" w:rsidRDefault="00F44C02" w:rsidP="009718F7">
      <w:pPr>
        <w:pStyle w:val="text1Char"/>
        <w:spacing w:after="0"/>
        <w:jc w:val="both"/>
        <w:rPr>
          <w:b/>
          <w:i/>
          <w:snapToGrid w:val="0"/>
          <w:szCs w:val="24"/>
          <w:lang w:val="en-AU"/>
        </w:rPr>
      </w:pPr>
      <w:r w:rsidRPr="00015C34">
        <w:rPr>
          <w:b/>
          <w:i/>
          <w:snapToGrid w:val="0"/>
          <w:szCs w:val="24"/>
          <w:lang w:val="en-AU"/>
        </w:rPr>
        <w:t xml:space="preserve"> </w:t>
      </w:r>
    </w:p>
    <w:p w:rsidR="00CB3DC6" w:rsidRPr="00015C34" w:rsidRDefault="00CB3DC6" w:rsidP="00CB3DC6">
      <w:pPr>
        <w:pStyle w:val="text1Char"/>
        <w:spacing w:after="0"/>
        <w:jc w:val="both"/>
        <w:rPr>
          <w:i/>
          <w:color w:val="000000"/>
          <w:szCs w:val="24"/>
          <w:lang w:val="en-AU"/>
        </w:rPr>
      </w:pPr>
      <w:r w:rsidRPr="00015C34">
        <w:rPr>
          <w:b/>
          <w:i/>
          <w:color w:val="000000"/>
          <w:szCs w:val="24"/>
          <w:lang w:val="en-AU"/>
        </w:rPr>
        <w:t>Exacerbation of Hepatitis After Discontinuation of Treatment:</w:t>
      </w:r>
      <w:r w:rsidRPr="00015C34">
        <w:rPr>
          <w:color w:val="000000"/>
          <w:szCs w:val="24"/>
          <w:lang w:val="en-AU"/>
        </w:rPr>
        <w:t xml:space="preserve"> Discontinuation of anti-HBV therapy, including VIREAD may be associated with severe acute exacerbations of hepatitis.  </w:t>
      </w:r>
      <w:r w:rsidRPr="00015C34">
        <w:rPr>
          <w:color w:val="000000"/>
          <w:szCs w:val="24"/>
          <w:lang w:val="en-AU"/>
        </w:rPr>
        <w:lastRenderedPageBreak/>
        <w:t xml:space="preserve">Patients infected with HBV who discontinue VIREAD should be closely monitored with both clinical and laboratory follow-up for at least several months after stopping treatment. If appropriate, resumption of anti-hepatitis B therapy may be warranted.  In patients with advanced liver disease or cirrhosis, discontinuation </w:t>
      </w:r>
      <w:r w:rsidR="00D96019">
        <w:rPr>
          <w:color w:val="000000"/>
          <w:szCs w:val="24"/>
          <w:lang w:val="en-AU"/>
        </w:rPr>
        <w:t xml:space="preserve">of anti-hepatitis B therapy </w:t>
      </w:r>
      <w:r w:rsidRPr="00015C34">
        <w:rPr>
          <w:color w:val="000000"/>
          <w:szCs w:val="24"/>
          <w:lang w:val="en-AU"/>
        </w:rPr>
        <w:t>is not recommended since post-treatment exacerbation of hepatitis may lead to hepatic decompensation.</w:t>
      </w:r>
    </w:p>
    <w:p w:rsidR="001555F7" w:rsidRDefault="001555F7" w:rsidP="009718F7">
      <w:pPr>
        <w:pStyle w:val="text10"/>
        <w:spacing w:after="0"/>
        <w:jc w:val="both"/>
        <w:rPr>
          <w:rFonts w:ascii="Times New Roman" w:hAnsi="Times New Roman"/>
          <w:b/>
          <w:i/>
          <w:szCs w:val="24"/>
          <w:lang w:val="en-AU"/>
        </w:rPr>
      </w:pPr>
    </w:p>
    <w:p w:rsidR="002E1EA1" w:rsidRPr="00015C34" w:rsidRDefault="00DC00A7" w:rsidP="009718F7">
      <w:pPr>
        <w:pStyle w:val="text10"/>
        <w:spacing w:after="0"/>
        <w:jc w:val="both"/>
        <w:rPr>
          <w:rFonts w:ascii="Times New Roman" w:hAnsi="Times New Roman"/>
          <w:b/>
          <w:i/>
          <w:szCs w:val="24"/>
          <w:lang w:val="en-AU"/>
        </w:rPr>
      </w:pPr>
      <w:r w:rsidRPr="00015C34">
        <w:rPr>
          <w:rFonts w:ascii="Times New Roman" w:hAnsi="Times New Roman"/>
          <w:b/>
          <w:i/>
          <w:szCs w:val="24"/>
          <w:lang w:val="en-AU"/>
        </w:rPr>
        <w:t>Early Virologic Failure</w:t>
      </w:r>
      <w:r w:rsidR="009718F7" w:rsidRPr="00015C34">
        <w:rPr>
          <w:rFonts w:ascii="Times New Roman" w:hAnsi="Times New Roman"/>
          <w:b/>
          <w:i/>
          <w:szCs w:val="24"/>
          <w:lang w:val="en-AU"/>
        </w:rPr>
        <w:t>:</w:t>
      </w:r>
    </w:p>
    <w:p w:rsidR="002E1EA1" w:rsidRPr="00015C34" w:rsidRDefault="002E1EA1" w:rsidP="009718F7">
      <w:pPr>
        <w:jc w:val="both"/>
        <w:rPr>
          <w:rFonts w:ascii="Times New Roman" w:hAnsi="Times New Roman"/>
          <w:snapToGrid w:val="0"/>
          <w:sz w:val="24"/>
          <w:szCs w:val="24"/>
        </w:rPr>
      </w:pPr>
      <w:r w:rsidRPr="00015C34">
        <w:rPr>
          <w:rFonts w:ascii="Times New Roman" w:hAnsi="Times New Roman"/>
          <w:snapToGrid w:val="0"/>
          <w:sz w:val="24"/>
          <w:szCs w:val="24"/>
        </w:rPr>
        <w:t xml:space="preserve">Clinical studies </w:t>
      </w:r>
      <w:r w:rsidR="00CB3DC6" w:rsidRPr="00015C34">
        <w:rPr>
          <w:rFonts w:ascii="Times New Roman" w:hAnsi="Times New Roman"/>
          <w:snapToGrid w:val="0"/>
          <w:sz w:val="24"/>
          <w:szCs w:val="24"/>
        </w:rPr>
        <w:t xml:space="preserve">in HIV-infected patients </w:t>
      </w:r>
      <w:r w:rsidRPr="00015C34">
        <w:rPr>
          <w:rFonts w:ascii="Times New Roman" w:hAnsi="Times New Roman"/>
          <w:snapToGrid w:val="0"/>
          <w:sz w:val="24"/>
          <w:szCs w:val="24"/>
        </w:rPr>
        <w:t>have demonstrated that certain regimens that only contain three nucleoside reverse transcriptase inhibitors (NRTI) are generally less effective than triple drug regimens containing two NRTIs in combination with either a non-nucleoside reverse transcriptase inhibitor or a HIV-1 protease inhibitor.  In particular, early virological failure and high rates of resistance mutations have been reported</w:t>
      </w:r>
      <w:r w:rsidR="005A692C" w:rsidRPr="00015C34">
        <w:rPr>
          <w:rFonts w:ascii="Times New Roman" w:hAnsi="Times New Roman"/>
          <w:snapToGrid w:val="0"/>
          <w:sz w:val="24"/>
          <w:szCs w:val="24"/>
        </w:rPr>
        <w:t xml:space="preserve"> in clinical studies of combinations of tenofovir, lamivudine and abacavir or tenofovir, lamivudine and didanosine</w:t>
      </w:r>
      <w:r w:rsidRPr="00015C34">
        <w:rPr>
          <w:rFonts w:ascii="Times New Roman" w:hAnsi="Times New Roman"/>
          <w:snapToGrid w:val="0"/>
          <w:sz w:val="24"/>
          <w:szCs w:val="24"/>
        </w:rPr>
        <w:t>. Triple nucleoside regimens should therefore be used with caution.  Patients on a therapy utilizing a triple nucleoside-only regimen should be carefully monitored and considered for treatment modification.</w:t>
      </w:r>
    </w:p>
    <w:p w:rsidR="0077602D" w:rsidRPr="00015C34" w:rsidRDefault="0077602D" w:rsidP="009718F7">
      <w:pPr>
        <w:jc w:val="both"/>
        <w:rPr>
          <w:rFonts w:ascii="Times New Roman" w:hAnsi="Times New Roman"/>
          <w:snapToGrid w:val="0"/>
          <w:sz w:val="24"/>
          <w:szCs w:val="24"/>
        </w:rPr>
      </w:pPr>
    </w:p>
    <w:p w:rsidR="0077602D" w:rsidRPr="00015C34" w:rsidRDefault="0077602D" w:rsidP="0077602D">
      <w:pPr>
        <w:autoSpaceDE w:val="0"/>
        <w:autoSpaceDN w:val="0"/>
        <w:adjustRightInd w:val="0"/>
        <w:jc w:val="both"/>
        <w:rPr>
          <w:rFonts w:ascii="Times New Roman" w:hAnsi="Times New Roman"/>
          <w:b/>
          <w:bCs/>
          <w:i/>
          <w:sz w:val="24"/>
          <w:szCs w:val="24"/>
          <w:lang w:val="en-GB"/>
        </w:rPr>
      </w:pPr>
      <w:r w:rsidRPr="00015C34">
        <w:rPr>
          <w:rFonts w:ascii="Times New Roman" w:hAnsi="Times New Roman"/>
          <w:b/>
          <w:bCs/>
          <w:i/>
          <w:sz w:val="24"/>
          <w:szCs w:val="24"/>
          <w:lang w:val="en-GB"/>
        </w:rPr>
        <w:t>Immune Reconstitution Syndrome:</w:t>
      </w:r>
    </w:p>
    <w:p w:rsidR="00140E75" w:rsidRDefault="0077602D" w:rsidP="0077602D">
      <w:pPr>
        <w:pStyle w:val="BodyText"/>
        <w:ind w:right="0"/>
        <w:jc w:val="both"/>
        <w:rPr>
          <w:szCs w:val="24"/>
          <w:lang w:val="en-GB"/>
        </w:rPr>
      </w:pPr>
      <w:r w:rsidRPr="00015C34">
        <w:rPr>
          <w:szCs w:val="24"/>
          <w:lang w:val="en-GB"/>
        </w:rPr>
        <w:t xml:space="preserve">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are cytomegalovirus retinitis, generalised and/or focal mycobacterial infections and </w:t>
      </w:r>
      <w:r w:rsidRPr="00015C34">
        <w:rPr>
          <w:i/>
          <w:szCs w:val="24"/>
          <w:lang w:val="en-GB"/>
        </w:rPr>
        <w:t xml:space="preserve">Pneumocystis </w:t>
      </w:r>
      <w:r w:rsidR="00220BF5" w:rsidRPr="00015C34">
        <w:rPr>
          <w:i/>
          <w:szCs w:val="24"/>
          <w:lang w:val="en-GB"/>
        </w:rPr>
        <w:t>joroveci</w:t>
      </w:r>
      <w:r w:rsidRPr="00015C34">
        <w:rPr>
          <w:szCs w:val="24"/>
          <w:lang w:val="en-GB"/>
        </w:rPr>
        <w:t xml:space="preserve"> pneumonia. Any inflammatory symptoms should be evaluated and treatment instituted when necessary.</w:t>
      </w:r>
    </w:p>
    <w:p w:rsidR="0031151E" w:rsidRDefault="0031151E" w:rsidP="0077602D">
      <w:pPr>
        <w:pStyle w:val="BodyText"/>
        <w:ind w:right="0"/>
        <w:jc w:val="both"/>
        <w:rPr>
          <w:szCs w:val="24"/>
          <w:lang w:val="en-GB"/>
        </w:rPr>
      </w:pPr>
    </w:p>
    <w:p w:rsidR="0031151E" w:rsidRDefault="0031151E" w:rsidP="0031151E">
      <w:pPr>
        <w:pStyle w:val="BodyText"/>
        <w:ind w:right="0"/>
        <w:jc w:val="both"/>
        <w:rPr>
          <w:b/>
          <w:i/>
          <w:szCs w:val="24"/>
        </w:rPr>
      </w:pPr>
      <w:r>
        <w:rPr>
          <w:b/>
          <w:i/>
          <w:szCs w:val="24"/>
        </w:rPr>
        <w:t>Lipodystrophy</w:t>
      </w:r>
    </w:p>
    <w:p w:rsidR="0031151E" w:rsidRPr="00015C34" w:rsidRDefault="0031151E" w:rsidP="0031151E">
      <w:pPr>
        <w:pStyle w:val="BodyText"/>
        <w:ind w:right="0"/>
        <w:jc w:val="both"/>
        <w:rPr>
          <w:szCs w:val="24"/>
          <w:lang w:val="en-GB"/>
        </w:rPr>
      </w:pPr>
      <w:r>
        <w:t>In HIV infected patients redistribution/accumulation of body fat including central obesity, dorsocervical fat enlargement (buffalo hump), peripheral wasting, facial wasting, breast enlargement, and "cushingoid appearance" have been observed in patients receiving combination antiretroviral therapy. The mechanism and long-term consequences of these events are currently unknown. A causal relationship has not been established</w:t>
      </w:r>
    </w:p>
    <w:p w:rsidR="0077602D" w:rsidRPr="00015C34" w:rsidRDefault="0077602D" w:rsidP="0077602D">
      <w:pPr>
        <w:pStyle w:val="BodyText"/>
        <w:ind w:right="0"/>
        <w:jc w:val="both"/>
        <w:rPr>
          <w:b/>
          <w:i/>
          <w:szCs w:val="24"/>
        </w:rPr>
      </w:pPr>
    </w:p>
    <w:p w:rsidR="009718F7" w:rsidRPr="00015C34" w:rsidRDefault="007F553A" w:rsidP="009718F7">
      <w:pPr>
        <w:pStyle w:val="BodyText"/>
        <w:ind w:right="0"/>
        <w:jc w:val="both"/>
        <w:rPr>
          <w:b/>
          <w:i/>
          <w:szCs w:val="24"/>
        </w:rPr>
      </w:pPr>
      <w:r w:rsidRPr="00015C34">
        <w:rPr>
          <w:b/>
          <w:i/>
          <w:szCs w:val="24"/>
        </w:rPr>
        <w:t>Carcinogenicity</w:t>
      </w:r>
      <w:r w:rsidR="00DC00A7" w:rsidRPr="00015C34">
        <w:rPr>
          <w:b/>
          <w:i/>
          <w:szCs w:val="24"/>
        </w:rPr>
        <w:t xml:space="preserve"> and Mutagenicity</w:t>
      </w:r>
      <w:r w:rsidR="009718F7" w:rsidRPr="00015C34">
        <w:rPr>
          <w:b/>
          <w:i/>
          <w:szCs w:val="24"/>
        </w:rPr>
        <w:t>:</w:t>
      </w:r>
    </w:p>
    <w:p w:rsidR="00B374FD" w:rsidRPr="00015C34" w:rsidRDefault="00DC00A7" w:rsidP="009718F7">
      <w:pPr>
        <w:pStyle w:val="BodyText"/>
        <w:ind w:right="0"/>
        <w:jc w:val="both"/>
        <w:rPr>
          <w:szCs w:val="24"/>
        </w:rPr>
      </w:pPr>
      <w:r w:rsidRPr="00015C34">
        <w:rPr>
          <w:szCs w:val="24"/>
        </w:rPr>
        <w:t>In a long-term carcinogenicity study conducted in mice with tenofovir disoproxil fumarate there was a low incidence of duodenal tumours with the highest dose of 600 mg /kg/day.  These were associated with a high incidence of duodenal mucosal hyperplasia, which was also observed with a dose of 300 mg/kg/day.  These findings may be related to high local drug concentrations in the gastro-intestinal tract, likely to result in much higher exposure margins than that based on the AUC.  At therapeutic doses the risk of these duodenal effects occurring in humans is likely to be low.  The systemic drug exposure (AUC) with the 600 mg/kg/day dose was approximately 15 times the human exposure at the therapeutic dose of 300 mg/day.  No tumourigenic response was observed in rats treated with doses of up to 300 mg/kg/day (5 times the human systemic exposure at the therapeutic dose based on AUC).</w:t>
      </w:r>
    </w:p>
    <w:p w:rsidR="0095239D" w:rsidRPr="00015C34" w:rsidRDefault="0095239D" w:rsidP="009718F7">
      <w:pPr>
        <w:pStyle w:val="BodyText"/>
        <w:ind w:right="0"/>
        <w:jc w:val="both"/>
        <w:rPr>
          <w:szCs w:val="24"/>
        </w:rPr>
      </w:pPr>
    </w:p>
    <w:p w:rsidR="007F553A" w:rsidRPr="00015C34" w:rsidRDefault="007F553A" w:rsidP="009718F7">
      <w:pPr>
        <w:tabs>
          <w:tab w:val="left" w:pos="8640"/>
          <w:tab w:val="left" w:pos="8820"/>
        </w:tabs>
        <w:jc w:val="both"/>
        <w:rPr>
          <w:rFonts w:ascii="Times New Roman" w:hAnsi="Times New Roman"/>
          <w:sz w:val="24"/>
          <w:szCs w:val="24"/>
        </w:rPr>
      </w:pPr>
      <w:r w:rsidRPr="00015C34">
        <w:rPr>
          <w:rFonts w:ascii="Times New Roman" w:hAnsi="Times New Roman"/>
          <w:sz w:val="24"/>
          <w:szCs w:val="24"/>
        </w:rPr>
        <w:lastRenderedPageBreak/>
        <w:t xml:space="preserve">Tenofovir disoproxil fumarate was </w:t>
      </w:r>
      <w:r w:rsidR="00F548A0" w:rsidRPr="00015C34">
        <w:rPr>
          <w:rFonts w:ascii="Times New Roman" w:hAnsi="Times New Roman"/>
          <w:sz w:val="24"/>
          <w:szCs w:val="24"/>
        </w:rPr>
        <w:t xml:space="preserve">mutagenic </w:t>
      </w:r>
      <w:r w:rsidRPr="00015C34">
        <w:rPr>
          <w:rFonts w:ascii="Times New Roman" w:hAnsi="Times New Roman"/>
          <w:sz w:val="24"/>
          <w:szCs w:val="24"/>
        </w:rPr>
        <w:t xml:space="preserve">in an </w:t>
      </w:r>
      <w:r w:rsidRPr="00015C34">
        <w:rPr>
          <w:rFonts w:ascii="Times New Roman" w:hAnsi="Times New Roman"/>
          <w:i/>
          <w:sz w:val="24"/>
          <w:szCs w:val="24"/>
        </w:rPr>
        <w:t>in vitro</w:t>
      </w:r>
      <w:r w:rsidRPr="00015C34">
        <w:rPr>
          <w:rFonts w:ascii="Times New Roman" w:hAnsi="Times New Roman"/>
          <w:sz w:val="24"/>
          <w:szCs w:val="24"/>
        </w:rPr>
        <w:t xml:space="preserve"> mouse L5178Y lymphoma </w:t>
      </w:r>
      <w:r w:rsidR="00DC00A7" w:rsidRPr="00015C34">
        <w:rPr>
          <w:rFonts w:ascii="Times New Roman" w:hAnsi="Times New Roman"/>
          <w:sz w:val="24"/>
          <w:szCs w:val="24"/>
        </w:rPr>
        <w:t xml:space="preserve">cell </w:t>
      </w:r>
      <w:r w:rsidRPr="00015C34">
        <w:rPr>
          <w:rFonts w:ascii="Times New Roman" w:hAnsi="Times New Roman"/>
          <w:sz w:val="24"/>
          <w:szCs w:val="24"/>
        </w:rPr>
        <w:t>assay (</w:t>
      </w:r>
      <w:r w:rsidRPr="00015C34">
        <w:rPr>
          <w:rFonts w:ascii="Times New Roman" w:hAnsi="Times New Roman"/>
          <w:i/>
          <w:sz w:val="24"/>
          <w:szCs w:val="24"/>
        </w:rPr>
        <w:t>tk</w:t>
      </w:r>
      <w:r w:rsidRPr="00015C34">
        <w:rPr>
          <w:rFonts w:ascii="Times New Roman" w:hAnsi="Times New Roman"/>
          <w:sz w:val="24"/>
          <w:szCs w:val="24"/>
        </w:rPr>
        <w:t xml:space="preserve"> locus) </w:t>
      </w:r>
      <w:r w:rsidR="00DC00A7" w:rsidRPr="00015C34">
        <w:rPr>
          <w:rFonts w:ascii="Times New Roman" w:hAnsi="Times New Roman"/>
          <w:sz w:val="24"/>
          <w:szCs w:val="24"/>
        </w:rPr>
        <w:t xml:space="preserve">and in an </w:t>
      </w:r>
      <w:r w:rsidR="00DC00A7" w:rsidRPr="00015C34">
        <w:rPr>
          <w:rFonts w:ascii="Times New Roman" w:hAnsi="Times New Roman"/>
          <w:i/>
          <w:sz w:val="24"/>
          <w:szCs w:val="24"/>
        </w:rPr>
        <w:t>ex vivo</w:t>
      </w:r>
      <w:r w:rsidR="00DC00A7" w:rsidRPr="00015C34">
        <w:rPr>
          <w:rFonts w:ascii="Times New Roman" w:hAnsi="Times New Roman"/>
          <w:sz w:val="24"/>
          <w:szCs w:val="24"/>
        </w:rPr>
        <w:t xml:space="preserve"> assay for unscheduled DNA synthesis in rat hepatocytes, </w:t>
      </w:r>
      <w:r w:rsidRPr="00015C34">
        <w:rPr>
          <w:rFonts w:ascii="Times New Roman" w:hAnsi="Times New Roman"/>
          <w:sz w:val="24"/>
          <w:szCs w:val="24"/>
        </w:rPr>
        <w:t xml:space="preserve">but </w:t>
      </w:r>
      <w:r w:rsidR="00DC00A7" w:rsidRPr="00015C34">
        <w:rPr>
          <w:rFonts w:ascii="Times New Roman" w:hAnsi="Times New Roman"/>
          <w:sz w:val="24"/>
          <w:szCs w:val="24"/>
        </w:rPr>
        <w:t xml:space="preserve">it </w:t>
      </w:r>
      <w:r w:rsidRPr="00015C34">
        <w:rPr>
          <w:rFonts w:ascii="Times New Roman" w:hAnsi="Times New Roman"/>
          <w:sz w:val="24"/>
          <w:szCs w:val="24"/>
        </w:rPr>
        <w:t xml:space="preserve">was negative in </w:t>
      </w:r>
      <w:r w:rsidRPr="00015C34">
        <w:rPr>
          <w:rFonts w:ascii="Times New Roman" w:hAnsi="Times New Roman"/>
          <w:i/>
          <w:sz w:val="24"/>
          <w:szCs w:val="24"/>
        </w:rPr>
        <w:t>in vitro</w:t>
      </w:r>
      <w:r w:rsidRPr="00015C34">
        <w:rPr>
          <w:rFonts w:ascii="Times New Roman" w:hAnsi="Times New Roman"/>
          <w:sz w:val="24"/>
          <w:szCs w:val="24"/>
        </w:rPr>
        <w:t xml:space="preserve"> bacterial assays for gene mutation and an </w:t>
      </w:r>
      <w:r w:rsidRPr="00015C34">
        <w:rPr>
          <w:rFonts w:ascii="Times New Roman" w:hAnsi="Times New Roman"/>
          <w:i/>
          <w:sz w:val="24"/>
          <w:szCs w:val="24"/>
        </w:rPr>
        <w:t>in vivo</w:t>
      </w:r>
      <w:r w:rsidRPr="00015C34">
        <w:rPr>
          <w:rFonts w:ascii="Times New Roman" w:hAnsi="Times New Roman"/>
          <w:sz w:val="24"/>
          <w:szCs w:val="24"/>
        </w:rPr>
        <w:t xml:space="preserve"> mouse micronucleus test for chromosomal damage.  Tenofovir base was not active in </w:t>
      </w:r>
      <w:r w:rsidRPr="00015C34">
        <w:rPr>
          <w:rFonts w:ascii="Times New Roman" w:hAnsi="Times New Roman"/>
          <w:i/>
          <w:sz w:val="24"/>
          <w:szCs w:val="24"/>
        </w:rPr>
        <w:t>in vitro</w:t>
      </w:r>
      <w:r w:rsidRPr="00015C34">
        <w:rPr>
          <w:rFonts w:ascii="Times New Roman" w:hAnsi="Times New Roman"/>
          <w:sz w:val="24"/>
          <w:szCs w:val="24"/>
        </w:rPr>
        <w:t xml:space="preserve"> bacterial assays for gene mutation, and an equivocal response was seen in the </w:t>
      </w:r>
      <w:r w:rsidRPr="00015C34">
        <w:rPr>
          <w:rFonts w:ascii="Times New Roman" w:hAnsi="Times New Roman"/>
          <w:i/>
          <w:sz w:val="24"/>
          <w:szCs w:val="24"/>
        </w:rPr>
        <w:t>in vitro</w:t>
      </w:r>
      <w:r w:rsidRPr="00015C34">
        <w:rPr>
          <w:rFonts w:ascii="Times New Roman" w:hAnsi="Times New Roman"/>
          <w:sz w:val="24"/>
          <w:szCs w:val="24"/>
        </w:rPr>
        <w:t xml:space="preserve"> mouse L5178Y lymphoma assay at a high concentration. </w:t>
      </w:r>
    </w:p>
    <w:p w:rsidR="007F553A" w:rsidRPr="00015C34" w:rsidRDefault="007F553A" w:rsidP="009718F7">
      <w:pPr>
        <w:tabs>
          <w:tab w:val="left" w:pos="8640"/>
          <w:tab w:val="left" w:pos="8820"/>
        </w:tabs>
        <w:jc w:val="both"/>
        <w:rPr>
          <w:rFonts w:ascii="Times New Roman" w:hAnsi="Times New Roman"/>
          <w:b/>
          <w:i/>
          <w:sz w:val="24"/>
          <w:szCs w:val="24"/>
        </w:rPr>
      </w:pPr>
    </w:p>
    <w:p w:rsidR="009718F7" w:rsidRPr="00015C34" w:rsidRDefault="007F553A" w:rsidP="009718F7">
      <w:pPr>
        <w:pStyle w:val="Footer"/>
        <w:widowControl/>
        <w:tabs>
          <w:tab w:val="left" w:pos="720"/>
        </w:tabs>
        <w:jc w:val="both"/>
        <w:rPr>
          <w:rFonts w:ascii="Times New Roman" w:hAnsi="Times New Roman"/>
          <w:b/>
          <w:i/>
          <w:sz w:val="24"/>
          <w:szCs w:val="24"/>
          <w:lang w:val="en-AU"/>
        </w:rPr>
      </w:pPr>
      <w:r w:rsidRPr="00015C34">
        <w:rPr>
          <w:rFonts w:ascii="Times New Roman" w:hAnsi="Times New Roman"/>
          <w:b/>
          <w:i/>
          <w:sz w:val="24"/>
          <w:szCs w:val="24"/>
          <w:lang w:val="en-AU"/>
        </w:rPr>
        <w:t>Impairment of fertility</w:t>
      </w:r>
      <w:r w:rsidR="009718F7" w:rsidRPr="00015C34">
        <w:rPr>
          <w:rFonts w:ascii="Times New Roman" w:hAnsi="Times New Roman"/>
          <w:b/>
          <w:i/>
          <w:sz w:val="24"/>
          <w:szCs w:val="24"/>
          <w:lang w:val="en-AU"/>
        </w:rPr>
        <w:t>:</w:t>
      </w:r>
      <w:r w:rsidRPr="00015C34">
        <w:rPr>
          <w:rFonts w:ascii="Times New Roman" w:hAnsi="Times New Roman"/>
          <w:b/>
          <w:i/>
          <w:sz w:val="24"/>
          <w:szCs w:val="24"/>
          <w:lang w:val="en-AU"/>
        </w:rPr>
        <w:t xml:space="preserve">  </w:t>
      </w:r>
    </w:p>
    <w:p w:rsidR="007F553A" w:rsidRPr="00015C34" w:rsidRDefault="007F553A" w:rsidP="009718F7">
      <w:pPr>
        <w:pStyle w:val="Footer"/>
        <w:widowControl/>
        <w:tabs>
          <w:tab w:val="left" w:pos="720"/>
        </w:tabs>
        <w:jc w:val="both"/>
        <w:rPr>
          <w:rFonts w:ascii="Times New Roman" w:hAnsi="Times New Roman"/>
          <w:sz w:val="24"/>
          <w:szCs w:val="24"/>
          <w:lang w:val="en-AU"/>
        </w:rPr>
      </w:pPr>
      <w:r w:rsidRPr="00015C34">
        <w:rPr>
          <w:rFonts w:ascii="Times New Roman" w:hAnsi="Times New Roman"/>
          <w:sz w:val="24"/>
          <w:szCs w:val="24"/>
          <w:lang w:val="en-AU"/>
        </w:rPr>
        <w:t xml:space="preserve">Male and female rat fertility and mating performance </w:t>
      </w:r>
      <w:r w:rsidR="00546A6E" w:rsidRPr="00015C34">
        <w:rPr>
          <w:rFonts w:ascii="Times New Roman" w:hAnsi="Times New Roman"/>
          <w:sz w:val="24"/>
          <w:szCs w:val="24"/>
          <w:lang w:val="en-AU"/>
        </w:rPr>
        <w:t xml:space="preserve">or early embryonic development </w:t>
      </w:r>
      <w:r w:rsidRPr="00015C34">
        <w:rPr>
          <w:rFonts w:ascii="Times New Roman" w:hAnsi="Times New Roman"/>
          <w:sz w:val="24"/>
          <w:szCs w:val="24"/>
          <w:lang w:val="en-AU"/>
        </w:rPr>
        <w:t>were unaffected by an oral tenofovir disoproxil fumarate dose (600 mg/kg/day) that achieved systemic drug exposures that were in excess of the value in humans receiving the therapeutic dose (5-fold based on plasma AUC).  There was, however, an alteration of the oestrous cycle in female rats.</w:t>
      </w:r>
    </w:p>
    <w:p w:rsidR="005F430B" w:rsidRPr="00015C34" w:rsidRDefault="005F430B" w:rsidP="009718F7">
      <w:pPr>
        <w:tabs>
          <w:tab w:val="left" w:pos="8640"/>
          <w:tab w:val="left" w:pos="8820"/>
        </w:tabs>
        <w:jc w:val="both"/>
        <w:rPr>
          <w:rFonts w:ascii="Times New Roman" w:hAnsi="Times New Roman"/>
          <w:sz w:val="24"/>
          <w:szCs w:val="24"/>
        </w:rPr>
      </w:pPr>
    </w:p>
    <w:p w:rsidR="009718F7" w:rsidRPr="00015C34" w:rsidRDefault="007F553A" w:rsidP="009718F7">
      <w:pPr>
        <w:jc w:val="both"/>
        <w:rPr>
          <w:rFonts w:ascii="Times New Roman" w:hAnsi="Times New Roman"/>
          <w:b/>
          <w:i/>
          <w:sz w:val="24"/>
          <w:szCs w:val="24"/>
        </w:rPr>
      </w:pPr>
      <w:r w:rsidRPr="00015C34">
        <w:rPr>
          <w:rFonts w:ascii="Times New Roman" w:hAnsi="Times New Roman"/>
          <w:b/>
          <w:i/>
          <w:sz w:val="24"/>
          <w:szCs w:val="24"/>
        </w:rPr>
        <w:t>Use in pregnancy</w:t>
      </w:r>
      <w:r w:rsidR="009718F7" w:rsidRPr="00015C34">
        <w:rPr>
          <w:rFonts w:ascii="Times New Roman" w:hAnsi="Times New Roman"/>
          <w:b/>
          <w:i/>
          <w:sz w:val="24"/>
          <w:szCs w:val="24"/>
        </w:rPr>
        <w:t>:</w:t>
      </w:r>
    </w:p>
    <w:p w:rsidR="007F553A" w:rsidRPr="00015C34" w:rsidRDefault="007F553A" w:rsidP="009718F7">
      <w:pPr>
        <w:jc w:val="both"/>
        <w:rPr>
          <w:rFonts w:ascii="Times New Roman" w:hAnsi="Times New Roman"/>
          <w:strike/>
          <w:snapToGrid w:val="0"/>
          <w:color w:val="000000"/>
          <w:sz w:val="24"/>
          <w:szCs w:val="24"/>
        </w:rPr>
      </w:pPr>
      <w:r w:rsidRPr="00015C34">
        <w:rPr>
          <w:rFonts w:ascii="Times New Roman" w:hAnsi="Times New Roman"/>
          <w:color w:val="000000"/>
          <w:sz w:val="24"/>
          <w:szCs w:val="24"/>
        </w:rPr>
        <w:t xml:space="preserve">Pregnancy Category </w:t>
      </w:r>
      <w:r w:rsidRPr="00015C34">
        <w:rPr>
          <w:rFonts w:ascii="Times New Roman" w:hAnsi="Times New Roman"/>
          <w:b/>
          <w:color w:val="000000"/>
          <w:sz w:val="24"/>
          <w:szCs w:val="24"/>
        </w:rPr>
        <w:t>B3</w:t>
      </w:r>
      <w:r w:rsidRPr="00015C34">
        <w:rPr>
          <w:rFonts w:ascii="Times New Roman" w:hAnsi="Times New Roman"/>
          <w:color w:val="000000"/>
          <w:sz w:val="24"/>
          <w:szCs w:val="24"/>
        </w:rPr>
        <w:t xml:space="preserve">.  No clinical data are available for pregnant women being treated with VIREAD.  Reproductive toxicity studies performed in rats and rabbits did not reveal any evidence of harm to the </w:t>
      </w:r>
      <w:r w:rsidR="00E44700" w:rsidRPr="00015C34">
        <w:rPr>
          <w:rFonts w:ascii="Times New Roman" w:hAnsi="Times New Roman"/>
          <w:color w:val="000000"/>
          <w:sz w:val="24"/>
          <w:szCs w:val="24"/>
        </w:rPr>
        <w:t>foetus</w:t>
      </w:r>
      <w:r w:rsidRPr="00015C34">
        <w:rPr>
          <w:rFonts w:ascii="Times New Roman" w:hAnsi="Times New Roman"/>
          <w:color w:val="000000"/>
          <w:sz w:val="24"/>
          <w:szCs w:val="24"/>
        </w:rPr>
        <w:t xml:space="preserve"> due to tenofovir</w:t>
      </w:r>
      <w:r w:rsidR="00403FAC" w:rsidRPr="00015C34">
        <w:rPr>
          <w:rFonts w:ascii="Times New Roman" w:hAnsi="Times New Roman"/>
          <w:color w:val="000000"/>
          <w:sz w:val="24"/>
          <w:szCs w:val="24"/>
        </w:rPr>
        <w:t xml:space="preserve"> at respective exposures (AUC) of 4-13 and 66-fold the human exposure.  Subcutaneous treatment of pregnant rhesus monkeys with a dose of 30 mg/kg/day of the tenofovir base during the last half of pregnancy resulted in reduced foetal serum phosphorus concentrations</w:t>
      </w:r>
      <w:r w:rsidRPr="00015C34">
        <w:rPr>
          <w:rFonts w:ascii="Times New Roman" w:hAnsi="Times New Roman"/>
          <w:color w:val="000000"/>
          <w:sz w:val="24"/>
          <w:szCs w:val="24"/>
        </w:rPr>
        <w:t>.  Because animal reproduction studies are not always predictive of human response, VIREAD should be used during pregnancy only if clearly needed</w:t>
      </w:r>
      <w:r w:rsidRPr="00015C34">
        <w:rPr>
          <w:rFonts w:ascii="Times New Roman" w:hAnsi="Times New Roman"/>
          <w:b/>
          <w:i/>
          <w:color w:val="000000"/>
          <w:sz w:val="24"/>
          <w:szCs w:val="24"/>
        </w:rPr>
        <w:t xml:space="preserve">.  </w:t>
      </w:r>
    </w:p>
    <w:p w:rsidR="007F553A" w:rsidRPr="00015C34" w:rsidRDefault="007F553A" w:rsidP="009718F7">
      <w:pPr>
        <w:pStyle w:val="Heading1"/>
        <w:jc w:val="both"/>
        <w:rPr>
          <w:color w:val="000000"/>
          <w:sz w:val="24"/>
          <w:szCs w:val="24"/>
          <w:lang w:val="en-AU"/>
        </w:rPr>
      </w:pPr>
    </w:p>
    <w:p w:rsidR="009718F7" w:rsidRPr="00015C34" w:rsidRDefault="007F553A" w:rsidP="009718F7">
      <w:pPr>
        <w:jc w:val="both"/>
        <w:rPr>
          <w:rFonts w:ascii="Times New Roman" w:hAnsi="Times New Roman"/>
          <w:b/>
          <w:i/>
          <w:sz w:val="24"/>
          <w:szCs w:val="24"/>
        </w:rPr>
      </w:pPr>
      <w:r w:rsidRPr="00015C34">
        <w:rPr>
          <w:rFonts w:ascii="Times New Roman" w:hAnsi="Times New Roman"/>
          <w:b/>
          <w:i/>
          <w:sz w:val="24"/>
          <w:szCs w:val="24"/>
        </w:rPr>
        <w:t>Use in lactation</w:t>
      </w:r>
      <w:r w:rsidR="009718F7" w:rsidRPr="00015C34">
        <w:rPr>
          <w:rFonts w:ascii="Times New Roman" w:hAnsi="Times New Roman"/>
          <w:b/>
          <w:i/>
          <w:sz w:val="24"/>
          <w:szCs w:val="24"/>
        </w:rPr>
        <w:t>:</w:t>
      </w:r>
    </w:p>
    <w:p w:rsidR="007F553A" w:rsidRPr="00015C34" w:rsidRDefault="007F553A" w:rsidP="009718F7">
      <w:pPr>
        <w:jc w:val="both"/>
        <w:rPr>
          <w:rFonts w:ascii="Times New Roman" w:hAnsi="Times New Roman"/>
          <w:snapToGrid w:val="0"/>
          <w:sz w:val="24"/>
          <w:szCs w:val="24"/>
        </w:rPr>
      </w:pPr>
      <w:r w:rsidRPr="00015C34">
        <w:rPr>
          <w:rFonts w:ascii="Times New Roman" w:hAnsi="Times New Roman"/>
          <w:color w:val="000000"/>
          <w:sz w:val="24"/>
          <w:szCs w:val="24"/>
        </w:rPr>
        <w:t xml:space="preserve">In animal studies tenofovir was excreted in milk after oral administration of tenofovir disoproxil fumarate (rats) and after subcutaneous administration of tenofovir base (non-human primates).  </w:t>
      </w:r>
      <w:r w:rsidR="0015378B">
        <w:rPr>
          <w:rFonts w:ascii="Times New Roman" w:hAnsi="Times New Roman"/>
          <w:color w:val="000000"/>
          <w:sz w:val="24"/>
          <w:szCs w:val="24"/>
        </w:rPr>
        <w:t xml:space="preserve">In humans, samples of breast milk </w:t>
      </w:r>
      <w:r w:rsidR="0015378B" w:rsidRPr="00762F4A">
        <w:rPr>
          <w:rFonts w:ascii="Times New Roman" w:hAnsi="Times New Roman"/>
          <w:color w:val="000000"/>
          <w:sz w:val="24"/>
          <w:szCs w:val="24"/>
        </w:rPr>
        <w:t>obtained from five HIV</w:t>
      </w:r>
      <w:r w:rsidR="0015378B">
        <w:rPr>
          <w:rFonts w:ascii="Times New Roman" w:hAnsi="Times New Roman"/>
          <w:color w:val="000000"/>
          <w:sz w:val="24"/>
          <w:szCs w:val="24"/>
        </w:rPr>
        <w:t>-1 infected mothers show that tenofovir is secreted in human milk at low concentrations (estimated neonatal concentrations 128 to 266 times lowe</w:t>
      </w:r>
      <w:r w:rsidR="0015378B" w:rsidRPr="00B91058">
        <w:rPr>
          <w:rFonts w:ascii="Times New Roman" w:hAnsi="Times New Roman"/>
          <w:color w:val="000000"/>
          <w:sz w:val="24"/>
          <w:szCs w:val="24"/>
        </w:rPr>
        <w:t xml:space="preserve">r </w:t>
      </w:r>
      <w:r w:rsidR="0015378B" w:rsidRPr="00B91058">
        <w:rPr>
          <w:rFonts w:ascii="Times New Roman" w:hAnsi="Times New Roman"/>
          <w:iCs/>
          <w:color w:val="000000"/>
          <w:sz w:val="24"/>
          <w:szCs w:val="24"/>
          <w:lang w:val="en-GB"/>
        </w:rPr>
        <w:t>than the tenofovir IC</w:t>
      </w:r>
      <w:r w:rsidR="0015378B" w:rsidRPr="007500C5">
        <w:rPr>
          <w:rFonts w:ascii="Times New Roman" w:hAnsi="Times New Roman"/>
          <w:iCs/>
          <w:color w:val="000000"/>
          <w:sz w:val="24"/>
          <w:szCs w:val="24"/>
          <w:vertAlign w:val="subscript"/>
          <w:lang w:val="en-GB"/>
        </w:rPr>
        <w:t>50</w:t>
      </w:r>
      <w:r w:rsidR="0015378B">
        <w:rPr>
          <w:rFonts w:ascii="Times New Roman" w:hAnsi="Times New Roman"/>
          <w:iCs/>
          <w:color w:val="000000"/>
          <w:sz w:val="24"/>
          <w:szCs w:val="24"/>
          <w:lang w:val="en-GB"/>
        </w:rPr>
        <w:t xml:space="preserve"> </w:t>
      </w:r>
      <w:r w:rsidR="0015378B" w:rsidRPr="00B42EFD">
        <w:rPr>
          <w:rFonts w:ascii="Times New Roman" w:hAnsi="Times New Roman"/>
          <w:iCs/>
          <w:sz w:val="24"/>
          <w:szCs w:val="24"/>
          <w:lang w:val="en-GB"/>
        </w:rPr>
        <w:t xml:space="preserve">(50% maximal </w:t>
      </w:r>
      <w:r w:rsidR="0015378B" w:rsidRPr="00B42EFD">
        <w:rPr>
          <w:rFonts w:ascii="Times New Roman" w:hAnsi="Times New Roman"/>
          <w:iCs/>
          <w:noProof/>
          <w:sz w:val="24"/>
          <w:szCs w:val="24"/>
          <w:lang w:val="en-GB"/>
        </w:rPr>
        <w:t>inhibitory concentration).</w:t>
      </w:r>
      <w:r w:rsidR="0015378B" w:rsidRPr="00B42EFD">
        <w:rPr>
          <w:rFonts w:ascii="Times New Roman" w:hAnsi="Times New Roman"/>
          <w:iCs/>
          <w:color w:val="000000"/>
          <w:sz w:val="24"/>
          <w:szCs w:val="24"/>
          <w:lang w:val="en-GB"/>
        </w:rPr>
        <w:t xml:space="preserve">  T</w:t>
      </w:r>
      <w:r w:rsidR="0015378B">
        <w:rPr>
          <w:rFonts w:ascii="Times New Roman" w:hAnsi="Times New Roman"/>
          <w:iCs/>
          <w:color w:val="000000"/>
          <w:sz w:val="24"/>
          <w:szCs w:val="24"/>
          <w:lang w:val="en-GB"/>
        </w:rPr>
        <w:t>enofovir associated risks, including the risk of developing viral resistance to tenofovir, in infants breastfed by mothers being treated with</w:t>
      </w:r>
      <w:r w:rsidR="0015378B" w:rsidRPr="00B91058">
        <w:rPr>
          <w:rFonts w:ascii="Times New Roman" w:hAnsi="Times New Roman"/>
          <w:iCs/>
          <w:color w:val="000000"/>
          <w:sz w:val="24"/>
          <w:szCs w:val="24"/>
          <w:lang w:val="en-GB"/>
        </w:rPr>
        <w:t xml:space="preserve"> tenofovir</w:t>
      </w:r>
      <w:r w:rsidR="0015378B">
        <w:rPr>
          <w:rFonts w:ascii="Times New Roman" w:hAnsi="Times New Roman"/>
          <w:iCs/>
          <w:color w:val="000000"/>
          <w:sz w:val="24"/>
          <w:szCs w:val="24"/>
          <w:lang w:val="en-GB"/>
        </w:rPr>
        <w:t xml:space="preserve"> disoproxil fumarate are unknown.</w:t>
      </w:r>
      <w:r w:rsidR="0015378B" w:rsidRPr="00015C34">
        <w:rPr>
          <w:rFonts w:ascii="Times New Roman" w:hAnsi="Times New Roman"/>
          <w:snapToGrid w:val="0"/>
          <w:sz w:val="24"/>
          <w:szCs w:val="24"/>
        </w:rPr>
        <w:t xml:space="preserve">  It is recommended that HIV and HBV infected women do not breast-feed their infants in order to avoid transmission of HIV and HBV to the infant.</w:t>
      </w:r>
    </w:p>
    <w:p w:rsidR="007F553A" w:rsidRPr="00015C34" w:rsidRDefault="007F553A" w:rsidP="009718F7">
      <w:pPr>
        <w:jc w:val="both"/>
        <w:rPr>
          <w:rFonts w:ascii="Times New Roman" w:hAnsi="Times New Roman"/>
          <w:b/>
          <w:i/>
          <w:color w:val="000000"/>
          <w:sz w:val="24"/>
          <w:szCs w:val="24"/>
        </w:rPr>
      </w:pPr>
    </w:p>
    <w:p w:rsidR="009718F7" w:rsidRPr="00015C34" w:rsidRDefault="007F553A" w:rsidP="009718F7">
      <w:pPr>
        <w:jc w:val="both"/>
        <w:rPr>
          <w:rFonts w:ascii="Times New Roman" w:hAnsi="Times New Roman"/>
          <w:color w:val="000000"/>
          <w:sz w:val="24"/>
          <w:szCs w:val="24"/>
        </w:rPr>
      </w:pPr>
      <w:r w:rsidRPr="00015C34">
        <w:rPr>
          <w:rFonts w:ascii="Times New Roman" w:hAnsi="Times New Roman"/>
          <w:b/>
          <w:i/>
          <w:color w:val="000000"/>
          <w:sz w:val="24"/>
          <w:szCs w:val="24"/>
        </w:rPr>
        <w:t xml:space="preserve">Bone </w:t>
      </w:r>
      <w:r w:rsidR="00607FCC" w:rsidRPr="00015C34">
        <w:rPr>
          <w:rFonts w:ascii="Times New Roman" w:hAnsi="Times New Roman"/>
          <w:b/>
          <w:i/>
          <w:color w:val="000000"/>
          <w:sz w:val="24"/>
          <w:szCs w:val="24"/>
        </w:rPr>
        <w:t>Effects</w:t>
      </w:r>
      <w:r w:rsidR="002A3997" w:rsidRPr="00015C34">
        <w:rPr>
          <w:rFonts w:ascii="Times New Roman" w:hAnsi="Times New Roman"/>
          <w:b/>
          <w:i/>
          <w:color w:val="000000"/>
          <w:sz w:val="24"/>
          <w:szCs w:val="24"/>
        </w:rPr>
        <w:t>:</w:t>
      </w:r>
      <w:r w:rsidR="00E35335" w:rsidRPr="00015C34">
        <w:rPr>
          <w:rFonts w:ascii="Times New Roman" w:hAnsi="Times New Roman"/>
          <w:b/>
          <w:i/>
          <w:color w:val="000000"/>
          <w:sz w:val="24"/>
          <w:szCs w:val="24"/>
        </w:rPr>
        <w:t xml:space="preserve"> </w:t>
      </w:r>
      <w:r w:rsidRPr="00015C34">
        <w:rPr>
          <w:rFonts w:ascii="Times New Roman" w:hAnsi="Times New Roman"/>
          <w:color w:val="000000"/>
          <w:sz w:val="24"/>
          <w:szCs w:val="24"/>
        </w:rPr>
        <w:t xml:space="preserve">  </w:t>
      </w:r>
    </w:p>
    <w:p w:rsidR="00CC3862" w:rsidRDefault="007F553A" w:rsidP="009718F7">
      <w:pPr>
        <w:jc w:val="both"/>
        <w:rPr>
          <w:rFonts w:ascii="Times New Roman" w:hAnsi="Times New Roman"/>
          <w:sz w:val="24"/>
          <w:szCs w:val="24"/>
        </w:rPr>
      </w:pPr>
      <w:r w:rsidRPr="00015C34">
        <w:rPr>
          <w:rFonts w:ascii="Times New Roman" w:hAnsi="Times New Roman"/>
          <w:color w:val="000000"/>
          <w:sz w:val="24"/>
          <w:szCs w:val="24"/>
        </w:rPr>
        <w:t xml:space="preserve">Bone toxicities </w:t>
      </w:r>
      <w:r w:rsidR="0040461C" w:rsidRPr="00015C34">
        <w:rPr>
          <w:rFonts w:ascii="Times New Roman" w:hAnsi="Times New Roman"/>
          <w:snapToGrid w:val="0"/>
          <w:sz w:val="24"/>
          <w:szCs w:val="24"/>
        </w:rPr>
        <w:t>including a reduction in bone mineral density</w:t>
      </w:r>
      <w:r w:rsidR="00EA370D">
        <w:rPr>
          <w:rFonts w:ascii="Times New Roman" w:hAnsi="Times New Roman"/>
          <w:snapToGrid w:val="0"/>
          <w:sz w:val="24"/>
          <w:szCs w:val="24"/>
        </w:rPr>
        <w:t xml:space="preserve"> (BMD) </w:t>
      </w:r>
      <w:r w:rsidRPr="00015C34">
        <w:rPr>
          <w:rFonts w:ascii="Times New Roman" w:hAnsi="Times New Roman"/>
          <w:color w:val="000000"/>
          <w:sz w:val="24"/>
          <w:szCs w:val="24"/>
        </w:rPr>
        <w:t xml:space="preserve">have been observed in studies in three animal species (see Animal Toxicology, below).  </w:t>
      </w:r>
      <w:r w:rsidR="00EE3B37" w:rsidRPr="00015C34">
        <w:rPr>
          <w:rFonts w:ascii="Times New Roman" w:hAnsi="Times New Roman"/>
          <w:snapToGrid w:val="0"/>
          <w:sz w:val="24"/>
          <w:szCs w:val="24"/>
        </w:rPr>
        <w:t>C</w:t>
      </w:r>
      <w:r w:rsidR="00EE3B37" w:rsidRPr="00015C34">
        <w:rPr>
          <w:rFonts w:ascii="Times New Roman" w:hAnsi="Times New Roman"/>
          <w:sz w:val="24"/>
          <w:szCs w:val="24"/>
        </w:rPr>
        <w:t xml:space="preserve">linically relevant bone abnormalities have not been seen in long term clinical studies </w:t>
      </w:r>
      <w:r w:rsidR="00FE1EFE">
        <w:rPr>
          <w:rFonts w:ascii="Times New Roman" w:hAnsi="Times New Roman"/>
          <w:sz w:val="24"/>
          <w:szCs w:val="24"/>
        </w:rPr>
        <w:t xml:space="preserve">in adults </w:t>
      </w:r>
      <w:r w:rsidR="00EE3B37" w:rsidRPr="00015C34">
        <w:rPr>
          <w:rFonts w:ascii="Times New Roman" w:hAnsi="Times New Roman"/>
          <w:sz w:val="24"/>
          <w:szCs w:val="24"/>
        </w:rPr>
        <w:t>(&gt;3 years)</w:t>
      </w:r>
      <w:r w:rsidR="00A54081">
        <w:rPr>
          <w:rFonts w:ascii="Times New Roman" w:hAnsi="Times New Roman"/>
          <w:sz w:val="24"/>
          <w:szCs w:val="24"/>
        </w:rPr>
        <w:t>.</w:t>
      </w:r>
    </w:p>
    <w:p w:rsidR="00CC3862" w:rsidRDefault="00CC3862" w:rsidP="009718F7">
      <w:pPr>
        <w:jc w:val="both"/>
        <w:rPr>
          <w:rFonts w:ascii="Times New Roman" w:hAnsi="Times New Roman"/>
          <w:sz w:val="24"/>
          <w:szCs w:val="24"/>
        </w:rPr>
      </w:pPr>
    </w:p>
    <w:p w:rsidR="007F553A" w:rsidRDefault="00CC3862" w:rsidP="009718F7">
      <w:pPr>
        <w:jc w:val="both"/>
        <w:rPr>
          <w:rFonts w:ascii="Times New Roman" w:hAnsi="Times New Roman"/>
          <w:color w:val="000000"/>
          <w:sz w:val="24"/>
          <w:szCs w:val="24"/>
        </w:rPr>
      </w:pPr>
      <w:r>
        <w:rPr>
          <w:rFonts w:ascii="Times New Roman" w:hAnsi="Times New Roman"/>
          <w:sz w:val="24"/>
          <w:szCs w:val="24"/>
        </w:rPr>
        <w:t>B</w:t>
      </w:r>
      <w:r w:rsidR="00684243" w:rsidRPr="00015C34">
        <w:rPr>
          <w:rFonts w:ascii="Times New Roman" w:hAnsi="Times New Roman"/>
          <w:sz w:val="24"/>
          <w:szCs w:val="24"/>
        </w:rPr>
        <w:t xml:space="preserve">one abnormalities may be associated with proximal renal tubulopathy (see ADVERSE </w:t>
      </w:r>
      <w:r w:rsidR="00571B28">
        <w:rPr>
          <w:rFonts w:ascii="Times New Roman" w:hAnsi="Times New Roman"/>
          <w:sz w:val="24"/>
          <w:szCs w:val="24"/>
        </w:rPr>
        <w:t>EFFECTS</w:t>
      </w:r>
      <w:r w:rsidR="00684243" w:rsidRPr="00015C34">
        <w:rPr>
          <w:rFonts w:ascii="Times New Roman" w:hAnsi="Times New Roman"/>
          <w:sz w:val="24"/>
          <w:szCs w:val="24"/>
        </w:rPr>
        <w:t>: Post-Marketing Surveillance</w:t>
      </w:r>
      <w:r w:rsidR="00684243" w:rsidRPr="00015C34">
        <w:rPr>
          <w:rFonts w:ascii="Times New Roman" w:hAnsi="Times New Roman"/>
          <w:color w:val="000000"/>
          <w:sz w:val="24"/>
          <w:szCs w:val="24"/>
        </w:rPr>
        <w:t>).</w:t>
      </w:r>
      <w:r w:rsidR="00EE3B37" w:rsidRPr="00015C34">
        <w:rPr>
          <w:rFonts w:ascii="Times New Roman" w:hAnsi="Times New Roman"/>
          <w:b/>
          <w:i/>
          <w:color w:val="000000"/>
          <w:sz w:val="24"/>
          <w:szCs w:val="24"/>
        </w:rPr>
        <w:t xml:space="preserve"> </w:t>
      </w:r>
      <w:r w:rsidR="007F553A" w:rsidRPr="00015C34">
        <w:rPr>
          <w:rFonts w:ascii="Times New Roman" w:hAnsi="Times New Roman"/>
          <w:color w:val="000000"/>
          <w:sz w:val="24"/>
          <w:szCs w:val="24"/>
        </w:rPr>
        <w:t>If bone abnormalities are suspected during therapy then appropriate consultation should be obtained.</w:t>
      </w:r>
    </w:p>
    <w:p w:rsidR="00383C64" w:rsidRDefault="00383C64" w:rsidP="009718F7">
      <w:pPr>
        <w:jc w:val="both"/>
        <w:rPr>
          <w:rFonts w:ascii="Times New Roman" w:hAnsi="Times New Roman"/>
          <w:color w:val="000000"/>
          <w:sz w:val="24"/>
          <w:szCs w:val="24"/>
        </w:rPr>
      </w:pPr>
    </w:p>
    <w:p w:rsidR="00DD72E2" w:rsidRPr="00015C34" w:rsidRDefault="00FA17A2" w:rsidP="00DD72E2">
      <w:pPr>
        <w:jc w:val="both"/>
        <w:rPr>
          <w:rFonts w:ascii="Times New Roman" w:hAnsi="Times New Roman"/>
          <w:color w:val="000000"/>
          <w:sz w:val="24"/>
          <w:szCs w:val="24"/>
        </w:rPr>
      </w:pPr>
      <w:r>
        <w:rPr>
          <w:rFonts w:ascii="Times New Roman" w:hAnsi="Times New Roman"/>
          <w:sz w:val="24"/>
          <w:szCs w:val="24"/>
        </w:rPr>
        <w:t xml:space="preserve">There is limited clinical experience with VIREAD in paediatric patients.  </w:t>
      </w:r>
      <w:r w:rsidR="00383C64">
        <w:rPr>
          <w:rFonts w:ascii="Times New Roman" w:hAnsi="Times New Roman"/>
          <w:color w:val="000000"/>
          <w:sz w:val="24"/>
          <w:szCs w:val="24"/>
        </w:rPr>
        <w:t xml:space="preserve">In a clinical study of HIV-1 infected paediatric </w:t>
      </w:r>
      <w:r w:rsidR="00C766DE">
        <w:rPr>
          <w:rFonts w:ascii="Times New Roman" w:hAnsi="Times New Roman"/>
          <w:color w:val="000000"/>
          <w:sz w:val="24"/>
          <w:szCs w:val="24"/>
        </w:rPr>
        <w:t>patients</w:t>
      </w:r>
      <w:r w:rsidR="00383C64">
        <w:rPr>
          <w:rFonts w:ascii="Times New Roman" w:hAnsi="Times New Roman"/>
          <w:color w:val="000000"/>
          <w:sz w:val="24"/>
          <w:szCs w:val="24"/>
        </w:rPr>
        <w:t xml:space="preserve"> 12 years of age and older (Study 0321), bone effects were similar to adult </w:t>
      </w:r>
      <w:r w:rsidR="00C766DE">
        <w:rPr>
          <w:rFonts w:ascii="Times New Roman" w:hAnsi="Times New Roman"/>
          <w:color w:val="000000"/>
          <w:sz w:val="24"/>
          <w:szCs w:val="24"/>
        </w:rPr>
        <w:t>patients</w:t>
      </w:r>
      <w:r w:rsidR="00383C64">
        <w:rPr>
          <w:rFonts w:ascii="Times New Roman" w:hAnsi="Times New Roman"/>
          <w:color w:val="000000"/>
          <w:sz w:val="24"/>
          <w:szCs w:val="24"/>
        </w:rPr>
        <w:t xml:space="preserve">.  Under normal circumstances BMD increases rapidly in this age group.  </w:t>
      </w:r>
      <w:r w:rsidR="00383C64">
        <w:rPr>
          <w:rFonts w:ascii="Times New Roman" w:hAnsi="Times New Roman"/>
          <w:color w:val="000000"/>
          <w:sz w:val="24"/>
          <w:szCs w:val="24"/>
        </w:rPr>
        <w:lastRenderedPageBreak/>
        <w:t xml:space="preserve">In this study, the mean rate of bone gain was less in the VIREAD-treated group compared to the placebo group.  Six VIREAD treated </w:t>
      </w:r>
      <w:r w:rsidR="00C766DE">
        <w:rPr>
          <w:rFonts w:ascii="Times New Roman" w:hAnsi="Times New Roman"/>
          <w:color w:val="000000"/>
          <w:sz w:val="24"/>
          <w:szCs w:val="24"/>
        </w:rPr>
        <w:t>patients</w:t>
      </w:r>
      <w:r w:rsidR="00383C64">
        <w:rPr>
          <w:rFonts w:ascii="Times New Roman" w:hAnsi="Times New Roman"/>
          <w:color w:val="000000"/>
          <w:sz w:val="24"/>
          <w:szCs w:val="24"/>
        </w:rPr>
        <w:t xml:space="preserve"> and one placebo treated </w:t>
      </w:r>
      <w:r w:rsidR="00C766DE">
        <w:rPr>
          <w:rFonts w:ascii="Times New Roman" w:hAnsi="Times New Roman"/>
          <w:color w:val="000000"/>
          <w:sz w:val="24"/>
          <w:szCs w:val="24"/>
        </w:rPr>
        <w:t>patient</w:t>
      </w:r>
      <w:r w:rsidR="00383C64">
        <w:rPr>
          <w:rFonts w:ascii="Times New Roman" w:hAnsi="Times New Roman"/>
          <w:color w:val="000000"/>
          <w:sz w:val="24"/>
          <w:szCs w:val="24"/>
        </w:rPr>
        <w:t xml:space="preserve"> had significant (&gt;4%) lumbar spine BMD loss in 48 weeks.  Markers of bone turnover in VIREAD-treated paediatric patients 12 years of age and older suggest increased bone turnover, consistent with the bone effects observed in adults.  The effects of VIREAD-associated changes in BMD and biochemical markers on long-term bone health and fracture risk are unknown.</w:t>
      </w:r>
      <w:r w:rsidR="00DD72E2">
        <w:rPr>
          <w:rFonts w:ascii="Times New Roman" w:hAnsi="Times New Roman"/>
          <w:color w:val="000000"/>
          <w:sz w:val="24"/>
          <w:szCs w:val="24"/>
        </w:rPr>
        <w:t xml:space="preserve">    In a clinical study (Study 115) conducted in paediatric subjects 12 years of age and older with chronic HBV infection, both the VIREAD and placebo treatment arms experienced an overall increase in mean spine BMD, as expected for an adolescent population.  The percent increase from baseline in spine BMD in VIREAD-treated subjects was less than the increase observed in placebo-treated subjects.  During the study, three subjects in the VIREAD group and two subjects in the placebo group had a decrease of more than 4% in lumbar spine BMD.</w:t>
      </w:r>
    </w:p>
    <w:p w:rsidR="00DD72E2" w:rsidRPr="00015C34" w:rsidRDefault="00DD72E2" w:rsidP="00DD72E2">
      <w:pPr>
        <w:tabs>
          <w:tab w:val="left" w:pos="7200"/>
        </w:tabs>
        <w:jc w:val="both"/>
        <w:rPr>
          <w:rFonts w:ascii="Times New Roman" w:hAnsi="Times New Roman"/>
          <w:color w:val="000000"/>
          <w:sz w:val="24"/>
          <w:szCs w:val="24"/>
        </w:rPr>
      </w:pPr>
    </w:p>
    <w:p w:rsidR="00383C64" w:rsidRPr="00015C34" w:rsidRDefault="00383C64" w:rsidP="009718F7">
      <w:pPr>
        <w:jc w:val="both"/>
        <w:rPr>
          <w:rFonts w:ascii="Times New Roman" w:hAnsi="Times New Roman"/>
          <w:color w:val="000000"/>
          <w:sz w:val="24"/>
          <w:szCs w:val="24"/>
        </w:rPr>
      </w:pPr>
    </w:p>
    <w:p w:rsidR="007F553A" w:rsidRPr="00015C34" w:rsidRDefault="007F553A" w:rsidP="009718F7">
      <w:pPr>
        <w:tabs>
          <w:tab w:val="left" w:pos="7200"/>
        </w:tabs>
        <w:jc w:val="both"/>
        <w:rPr>
          <w:rFonts w:ascii="Times New Roman" w:hAnsi="Times New Roman"/>
          <w:color w:val="000000"/>
          <w:sz w:val="24"/>
          <w:szCs w:val="24"/>
        </w:rPr>
      </w:pPr>
    </w:p>
    <w:p w:rsidR="009718F7" w:rsidRPr="00015C34" w:rsidRDefault="007F553A" w:rsidP="009718F7">
      <w:pPr>
        <w:tabs>
          <w:tab w:val="left" w:pos="7200"/>
          <w:tab w:val="left" w:pos="8820"/>
        </w:tabs>
        <w:jc w:val="both"/>
        <w:rPr>
          <w:rFonts w:ascii="Times New Roman" w:hAnsi="Times New Roman"/>
          <w:b/>
          <w:i/>
          <w:color w:val="000000"/>
          <w:sz w:val="24"/>
          <w:szCs w:val="24"/>
        </w:rPr>
      </w:pPr>
      <w:r w:rsidRPr="00015C34">
        <w:rPr>
          <w:rFonts w:ascii="Times New Roman" w:hAnsi="Times New Roman"/>
          <w:b/>
          <w:i/>
          <w:color w:val="000000"/>
          <w:sz w:val="24"/>
          <w:szCs w:val="24"/>
        </w:rPr>
        <w:t>Animal Toxicology</w:t>
      </w:r>
      <w:r w:rsidR="009718F7" w:rsidRPr="00015C34">
        <w:rPr>
          <w:rFonts w:ascii="Times New Roman" w:hAnsi="Times New Roman"/>
          <w:b/>
          <w:i/>
          <w:color w:val="000000"/>
          <w:sz w:val="24"/>
          <w:szCs w:val="24"/>
        </w:rPr>
        <w:t>:</w:t>
      </w:r>
    </w:p>
    <w:p w:rsidR="007F553A" w:rsidRPr="00015C34" w:rsidRDefault="007F553A" w:rsidP="009718F7">
      <w:pPr>
        <w:tabs>
          <w:tab w:val="left" w:pos="7200"/>
          <w:tab w:val="left" w:pos="8820"/>
        </w:tabs>
        <w:jc w:val="both"/>
        <w:rPr>
          <w:rFonts w:ascii="Times New Roman" w:hAnsi="Times New Roman"/>
          <w:color w:val="000000"/>
          <w:sz w:val="24"/>
          <w:szCs w:val="24"/>
        </w:rPr>
      </w:pPr>
      <w:r w:rsidRPr="00015C34">
        <w:rPr>
          <w:rFonts w:ascii="Times New Roman" w:hAnsi="Times New Roman"/>
          <w:color w:val="000000"/>
          <w:sz w:val="24"/>
          <w:szCs w:val="24"/>
        </w:rPr>
        <w:t xml:space="preserve">Tenofovir and tenofovir disoproxil fumarate administered in toxicology studies to rats, dogs and monkeys at exposures (based on AUCs) </w:t>
      </w:r>
      <w:r w:rsidR="00E44700" w:rsidRPr="00015C34">
        <w:rPr>
          <w:rFonts w:ascii="Times New Roman" w:hAnsi="Times New Roman"/>
          <w:color w:val="000000"/>
          <w:sz w:val="24"/>
          <w:szCs w:val="24"/>
        </w:rPr>
        <w:t>between</w:t>
      </w:r>
      <w:r w:rsidRPr="00015C34">
        <w:rPr>
          <w:rFonts w:ascii="Times New Roman" w:hAnsi="Times New Roman"/>
          <w:color w:val="000000"/>
          <w:sz w:val="24"/>
          <w:szCs w:val="24"/>
        </w:rPr>
        <w:t xml:space="preserve"> 6 and 12 fold those observed in humans caused bone toxicity.  In monkeys the bone toxicity was diagnosed as osteomalacia.  Osteomalacia observed in monkeys appeared to be reversible upon dose reduction or discontinuation of tenofovir.  In rats and dogs, the bone toxicity manifested as reduced bone mineral density.  The mechanism(s) underlying bone toxicity in unknown.</w:t>
      </w:r>
    </w:p>
    <w:p w:rsidR="007F553A" w:rsidRPr="00015C34" w:rsidRDefault="007F553A" w:rsidP="009718F7">
      <w:pPr>
        <w:tabs>
          <w:tab w:val="left" w:pos="7200"/>
          <w:tab w:val="left" w:pos="8820"/>
        </w:tabs>
        <w:jc w:val="both"/>
        <w:rPr>
          <w:rFonts w:ascii="Times New Roman" w:hAnsi="Times New Roman"/>
          <w:color w:val="000000"/>
          <w:sz w:val="24"/>
          <w:szCs w:val="24"/>
        </w:rPr>
      </w:pPr>
    </w:p>
    <w:p w:rsidR="007F553A" w:rsidRPr="00015C34" w:rsidRDefault="007F553A" w:rsidP="009718F7">
      <w:pPr>
        <w:tabs>
          <w:tab w:val="left" w:pos="7200"/>
          <w:tab w:val="left" w:pos="8820"/>
        </w:tabs>
        <w:jc w:val="both"/>
        <w:rPr>
          <w:rFonts w:ascii="Times New Roman" w:hAnsi="Times New Roman"/>
          <w:color w:val="000000"/>
          <w:sz w:val="24"/>
          <w:szCs w:val="24"/>
        </w:rPr>
      </w:pPr>
      <w:r w:rsidRPr="00015C34">
        <w:rPr>
          <w:rFonts w:ascii="Times New Roman" w:hAnsi="Times New Roman"/>
          <w:color w:val="000000"/>
          <w:sz w:val="24"/>
          <w:szCs w:val="24"/>
        </w:rPr>
        <w:t xml:space="preserve">Evidence of renal toxicity was noted in 4 animal species.  Increases in serum creatinine, BUN, glycosuria, proteinuria, phosphaturia and /or calciuria and decreases in serum phosphate were observed to varying degrees in these animals.  These toxicities were noted at exposures (based on AUCs) 2-20 times higher than those observed in humans.  The relationship of the renal </w:t>
      </w:r>
      <w:r w:rsidR="00E44700" w:rsidRPr="00015C34">
        <w:rPr>
          <w:rFonts w:ascii="Times New Roman" w:hAnsi="Times New Roman"/>
          <w:color w:val="000000"/>
          <w:sz w:val="24"/>
          <w:szCs w:val="24"/>
        </w:rPr>
        <w:t>abnormalities</w:t>
      </w:r>
      <w:r w:rsidRPr="00015C34">
        <w:rPr>
          <w:rFonts w:ascii="Times New Roman" w:hAnsi="Times New Roman"/>
          <w:color w:val="000000"/>
          <w:sz w:val="24"/>
          <w:szCs w:val="24"/>
        </w:rPr>
        <w:t>, particularly the phosphaturia, to the bone toxicity is not known.</w:t>
      </w:r>
    </w:p>
    <w:p w:rsidR="007F553A" w:rsidRPr="00015C34" w:rsidRDefault="007F553A" w:rsidP="009718F7">
      <w:pPr>
        <w:tabs>
          <w:tab w:val="left" w:pos="7200"/>
          <w:tab w:val="left" w:pos="8820"/>
        </w:tabs>
        <w:jc w:val="both"/>
        <w:rPr>
          <w:rFonts w:ascii="Times New Roman" w:hAnsi="Times New Roman"/>
          <w:color w:val="000000"/>
          <w:sz w:val="24"/>
          <w:szCs w:val="24"/>
        </w:rPr>
      </w:pPr>
    </w:p>
    <w:p w:rsidR="009718F7" w:rsidRPr="00015C34" w:rsidRDefault="007F553A" w:rsidP="009718F7">
      <w:pPr>
        <w:tabs>
          <w:tab w:val="left" w:pos="7200"/>
          <w:tab w:val="left" w:pos="8820"/>
        </w:tabs>
        <w:jc w:val="both"/>
        <w:rPr>
          <w:rFonts w:ascii="Times New Roman" w:hAnsi="Times New Roman"/>
          <w:b/>
          <w:i/>
          <w:color w:val="000000"/>
          <w:sz w:val="24"/>
          <w:szCs w:val="24"/>
        </w:rPr>
      </w:pPr>
      <w:r w:rsidRPr="00015C34">
        <w:rPr>
          <w:rFonts w:ascii="Times New Roman" w:hAnsi="Times New Roman"/>
          <w:b/>
          <w:i/>
          <w:color w:val="000000"/>
          <w:sz w:val="24"/>
          <w:szCs w:val="24"/>
        </w:rPr>
        <w:t>Effects on ability to drive and use machines</w:t>
      </w:r>
      <w:r w:rsidR="009718F7" w:rsidRPr="00015C34">
        <w:rPr>
          <w:rFonts w:ascii="Times New Roman" w:hAnsi="Times New Roman"/>
          <w:b/>
          <w:i/>
          <w:color w:val="000000"/>
          <w:sz w:val="24"/>
          <w:szCs w:val="24"/>
        </w:rPr>
        <w:t>:</w:t>
      </w:r>
    </w:p>
    <w:p w:rsidR="007F553A" w:rsidRPr="00015C34" w:rsidRDefault="007F553A" w:rsidP="009718F7">
      <w:pPr>
        <w:tabs>
          <w:tab w:val="left" w:pos="7200"/>
          <w:tab w:val="left" w:pos="8820"/>
        </w:tabs>
        <w:jc w:val="both"/>
        <w:rPr>
          <w:rFonts w:ascii="Times New Roman" w:hAnsi="Times New Roman"/>
          <w:color w:val="000000"/>
          <w:sz w:val="24"/>
          <w:szCs w:val="24"/>
        </w:rPr>
      </w:pPr>
      <w:r w:rsidRPr="00015C34">
        <w:rPr>
          <w:rFonts w:ascii="Times New Roman" w:hAnsi="Times New Roman"/>
          <w:color w:val="000000"/>
          <w:sz w:val="24"/>
          <w:szCs w:val="24"/>
        </w:rPr>
        <w:t>No studies on the effects on ability to drive or use machines have been performed.</w:t>
      </w:r>
      <w:r w:rsidR="00713738" w:rsidRPr="00015C34">
        <w:rPr>
          <w:rFonts w:ascii="Times New Roman" w:hAnsi="Times New Roman"/>
          <w:color w:val="000000"/>
          <w:sz w:val="24"/>
          <w:szCs w:val="24"/>
        </w:rPr>
        <w:t xml:space="preserve"> However, patients should be informed that dizziness has been reported during treatment with tenofovir disoproxil fumarate.</w:t>
      </w:r>
    </w:p>
    <w:p w:rsidR="007F553A" w:rsidRPr="00015C34" w:rsidRDefault="007F553A" w:rsidP="009718F7">
      <w:pPr>
        <w:tabs>
          <w:tab w:val="left" w:pos="7200"/>
          <w:tab w:val="left" w:pos="8820"/>
        </w:tabs>
        <w:jc w:val="both"/>
        <w:rPr>
          <w:rFonts w:ascii="Times New Roman" w:hAnsi="Times New Roman"/>
          <w:b/>
          <w:color w:val="000000"/>
          <w:sz w:val="24"/>
          <w:szCs w:val="24"/>
        </w:rPr>
      </w:pPr>
    </w:p>
    <w:p w:rsidR="0077602D" w:rsidRPr="00015C34" w:rsidRDefault="0077602D" w:rsidP="009718F7">
      <w:pPr>
        <w:tabs>
          <w:tab w:val="left" w:pos="8820"/>
        </w:tabs>
        <w:jc w:val="both"/>
        <w:rPr>
          <w:rFonts w:ascii="Times New Roman" w:hAnsi="Times New Roman"/>
          <w:color w:val="000000"/>
          <w:sz w:val="24"/>
          <w:szCs w:val="24"/>
        </w:rPr>
      </w:pPr>
    </w:p>
    <w:p w:rsidR="007F553A" w:rsidRPr="00015C34" w:rsidRDefault="00EC1CCA" w:rsidP="009718F7">
      <w:pPr>
        <w:tabs>
          <w:tab w:val="left" w:pos="540"/>
          <w:tab w:val="left" w:pos="8820"/>
        </w:tabs>
        <w:jc w:val="both"/>
        <w:rPr>
          <w:rFonts w:ascii="Times New Roman" w:hAnsi="Times New Roman"/>
          <w:b/>
          <w:color w:val="000000"/>
          <w:sz w:val="24"/>
          <w:szCs w:val="24"/>
        </w:rPr>
      </w:pPr>
      <w:r w:rsidRPr="00015C34">
        <w:rPr>
          <w:rFonts w:ascii="Times New Roman" w:hAnsi="Times New Roman"/>
          <w:b/>
          <w:color w:val="000000"/>
          <w:sz w:val="24"/>
          <w:szCs w:val="24"/>
        </w:rPr>
        <w:t xml:space="preserve">ADVERSE </w:t>
      </w:r>
      <w:r w:rsidR="008729F3" w:rsidRPr="00015C34">
        <w:rPr>
          <w:rFonts w:ascii="Times New Roman" w:hAnsi="Times New Roman"/>
          <w:b/>
          <w:color w:val="000000"/>
          <w:sz w:val="24"/>
          <w:szCs w:val="24"/>
        </w:rPr>
        <w:t>EFFECTS</w:t>
      </w:r>
    </w:p>
    <w:p w:rsidR="007F553A" w:rsidRPr="00015C34" w:rsidRDefault="007F553A" w:rsidP="009718F7">
      <w:pPr>
        <w:tabs>
          <w:tab w:val="left" w:pos="8820"/>
        </w:tabs>
        <w:jc w:val="both"/>
        <w:rPr>
          <w:rFonts w:ascii="Times New Roman" w:hAnsi="Times New Roman"/>
          <w:color w:val="000000"/>
          <w:sz w:val="24"/>
          <w:szCs w:val="24"/>
        </w:rPr>
      </w:pPr>
    </w:p>
    <w:p w:rsidR="007F553A" w:rsidRPr="00015C34" w:rsidRDefault="007F553A" w:rsidP="009718F7">
      <w:pPr>
        <w:pStyle w:val="Heading7"/>
        <w:jc w:val="both"/>
        <w:rPr>
          <w:szCs w:val="24"/>
        </w:rPr>
      </w:pPr>
      <w:r w:rsidRPr="00015C34">
        <w:rPr>
          <w:szCs w:val="24"/>
        </w:rPr>
        <w:t>From Clinical Studies</w:t>
      </w:r>
    </w:p>
    <w:p w:rsidR="00684243" w:rsidRPr="00015C34" w:rsidRDefault="00684243" w:rsidP="00684243">
      <w:pPr>
        <w:rPr>
          <w:sz w:val="24"/>
          <w:szCs w:val="24"/>
        </w:rPr>
      </w:pPr>
    </w:p>
    <w:p w:rsidR="00684243" w:rsidRPr="00015C34" w:rsidRDefault="00684243" w:rsidP="00684243">
      <w:pPr>
        <w:jc w:val="both"/>
        <w:rPr>
          <w:rFonts w:ascii="Times New Roman" w:hAnsi="Times New Roman"/>
          <w:b/>
          <w:i/>
          <w:color w:val="000000"/>
          <w:sz w:val="24"/>
          <w:szCs w:val="24"/>
        </w:rPr>
      </w:pPr>
      <w:r w:rsidRPr="00015C34">
        <w:rPr>
          <w:rFonts w:ascii="Times New Roman" w:hAnsi="Times New Roman"/>
          <w:b/>
          <w:i/>
          <w:color w:val="000000"/>
          <w:sz w:val="24"/>
          <w:szCs w:val="24"/>
        </w:rPr>
        <w:t xml:space="preserve">Clinical Trials in </w:t>
      </w:r>
      <w:r w:rsidR="00FE1EFE">
        <w:rPr>
          <w:rFonts w:ascii="Times New Roman" w:hAnsi="Times New Roman"/>
          <w:b/>
          <w:i/>
          <w:color w:val="000000"/>
          <w:sz w:val="24"/>
          <w:szCs w:val="24"/>
        </w:rPr>
        <w:t xml:space="preserve">Adult </w:t>
      </w:r>
      <w:r w:rsidRPr="00015C34">
        <w:rPr>
          <w:rFonts w:ascii="Times New Roman" w:hAnsi="Times New Roman"/>
          <w:b/>
          <w:i/>
          <w:color w:val="000000"/>
          <w:sz w:val="24"/>
          <w:szCs w:val="24"/>
        </w:rPr>
        <w:t>Patients with HIV Infection:</w:t>
      </w:r>
    </w:p>
    <w:p w:rsidR="00684243" w:rsidRPr="00015C34" w:rsidRDefault="00684243" w:rsidP="00684243">
      <w:pPr>
        <w:rPr>
          <w:sz w:val="24"/>
          <w:szCs w:val="24"/>
        </w:rPr>
      </w:pPr>
    </w:p>
    <w:p w:rsidR="00756C22" w:rsidRPr="00015C34" w:rsidRDefault="00756C22" w:rsidP="009718F7">
      <w:pPr>
        <w:jc w:val="both"/>
        <w:rPr>
          <w:rFonts w:ascii="Times New Roman" w:hAnsi="Times New Roman"/>
          <w:sz w:val="24"/>
          <w:szCs w:val="24"/>
        </w:rPr>
      </w:pPr>
      <w:r w:rsidRPr="00015C34">
        <w:rPr>
          <w:rFonts w:ascii="Times New Roman" w:hAnsi="Times New Roman"/>
          <w:sz w:val="24"/>
          <w:szCs w:val="24"/>
        </w:rPr>
        <w:t xml:space="preserve">More than 12,000 patients have been treated with VIREAD alone or in combination with other antiretroviral medicinal products for periods of 28 days to 215 weeks in Phase I-III clinical trials and expanded access studies.  A total of 1,544 patients have received VIREAD 300 mg once </w:t>
      </w:r>
      <w:r w:rsidRPr="00015C34">
        <w:rPr>
          <w:rFonts w:ascii="Times New Roman" w:hAnsi="Times New Roman"/>
          <w:sz w:val="24"/>
          <w:szCs w:val="24"/>
        </w:rPr>
        <w:lastRenderedPageBreak/>
        <w:t>daily in Phase I-III clinical trials; over 11,000 patients have received VIREAD in expanded access studies.</w:t>
      </w:r>
    </w:p>
    <w:p w:rsidR="009D74A6" w:rsidRPr="00015C34" w:rsidRDefault="009D74A6" w:rsidP="009718F7">
      <w:pPr>
        <w:jc w:val="both"/>
        <w:rPr>
          <w:rFonts w:ascii="Times New Roman" w:hAnsi="Times New Roman"/>
          <w:b/>
          <w:i/>
          <w:sz w:val="24"/>
          <w:szCs w:val="24"/>
        </w:rPr>
      </w:pPr>
    </w:p>
    <w:p w:rsidR="000575C8" w:rsidRPr="00015C34" w:rsidRDefault="000575C8" w:rsidP="009718F7">
      <w:pPr>
        <w:jc w:val="both"/>
        <w:rPr>
          <w:rFonts w:ascii="Times New Roman" w:hAnsi="Times New Roman"/>
          <w:b/>
          <w:i/>
          <w:sz w:val="24"/>
          <w:szCs w:val="24"/>
        </w:rPr>
      </w:pPr>
      <w:r w:rsidRPr="00015C34">
        <w:rPr>
          <w:rFonts w:ascii="Times New Roman" w:hAnsi="Times New Roman"/>
          <w:b/>
          <w:i/>
          <w:sz w:val="24"/>
          <w:szCs w:val="24"/>
        </w:rPr>
        <w:t xml:space="preserve">Treatment-Experienced </w:t>
      </w:r>
      <w:r w:rsidR="00FE1EFE">
        <w:rPr>
          <w:rFonts w:ascii="Times New Roman" w:hAnsi="Times New Roman"/>
          <w:b/>
          <w:i/>
          <w:sz w:val="24"/>
          <w:szCs w:val="24"/>
        </w:rPr>
        <w:t xml:space="preserve">Adult </w:t>
      </w:r>
      <w:r w:rsidRPr="00015C34">
        <w:rPr>
          <w:rFonts w:ascii="Times New Roman" w:hAnsi="Times New Roman"/>
          <w:b/>
          <w:i/>
          <w:sz w:val="24"/>
          <w:szCs w:val="24"/>
        </w:rPr>
        <w:t>Patients</w:t>
      </w:r>
    </w:p>
    <w:p w:rsidR="00EB4111" w:rsidRPr="00015C34" w:rsidRDefault="00EB4111" w:rsidP="009718F7">
      <w:pPr>
        <w:jc w:val="both"/>
        <w:rPr>
          <w:rFonts w:ascii="Times New Roman" w:hAnsi="Times New Roman"/>
          <w:b/>
          <w:i/>
          <w:sz w:val="24"/>
          <w:szCs w:val="24"/>
        </w:rPr>
      </w:pPr>
    </w:p>
    <w:p w:rsidR="000575C8" w:rsidRPr="00015C34" w:rsidRDefault="000575C8" w:rsidP="009718F7">
      <w:pPr>
        <w:jc w:val="both"/>
        <w:rPr>
          <w:rFonts w:ascii="Times New Roman" w:hAnsi="Times New Roman"/>
          <w:sz w:val="24"/>
          <w:szCs w:val="24"/>
        </w:rPr>
      </w:pPr>
      <w:r w:rsidRPr="00015C34">
        <w:rPr>
          <w:rFonts w:ascii="Times New Roman" w:hAnsi="Times New Roman"/>
          <w:b/>
          <w:sz w:val="24"/>
          <w:szCs w:val="24"/>
        </w:rPr>
        <w:t>Treatment-Emergent Adverse Events:</w:t>
      </w:r>
      <w:r w:rsidRPr="00015C34">
        <w:rPr>
          <w:rFonts w:ascii="Times New Roman" w:hAnsi="Times New Roman"/>
          <w:sz w:val="24"/>
          <w:szCs w:val="24"/>
        </w:rPr>
        <w:t xml:space="preserve">  The most common adverse events that occurred in patients receiving VIREAD with other antiretroviral agents in clinical trials were mild to moderate gastrointestinal events, such as nausea, </w:t>
      </w:r>
      <w:r w:rsidR="00E44700" w:rsidRPr="00015C34">
        <w:rPr>
          <w:rFonts w:ascii="Times New Roman" w:hAnsi="Times New Roman"/>
          <w:sz w:val="24"/>
          <w:szCs w:val="24"/>
        </w:rPr>
        <w:t>diarrhoea</w:t>
      </w:r>
      <w:r w:rsidRPr="00015C34">
        <w:rPr>
          <w:rFonts w:ascii="Times New Roman" w:hAnsi="Times New Roman"/>
          <w:sz w:val="24"/>
          <w:szCs w:val="24"/>
        </w:rPr>
        <w:t>, vomiting and flatulence.  Less than 1% of patients discontinued participation in the clinical studies due to gastrointestinal adverse events (Study 907).</w:t>
      </w:r>
    </w:p>
    <w:p w:rsidR="00EB4111" w:rsidRPr="00015C34" w:rsidRDefault="00EB4111" w:rsidP="009718F7">
      <w:pPr>
        <w:jc w:val="both"/>
        <w:rPr>
          <w:rFonts w:ascii="Times New Roman" w:hAnsi="Times New Roman"/>
          <w:sz w:val="24"/>
          <w:szCs w:val="24"/>
        </w:rPr>
      </w:pPr>
    </w:p>
    <w:p w:rsidR="000575C8" w:rsidRPr="00015C34" w:rsidRDefault="000575C8" w:rsidP="009718F7">
      <w:pPr>
        <w:jc w:val="both"/>
        <w:rPr>
          <w:rFonts w:ascii="Times New Roman" w:hAnsi="Times New Roman"/>
          <w:sz w:val="24"/>
          <w:szCs w:val="24"/>
        </w:rPr>
      </w:pPr>
      <w:r w:rsidRPr="00015C34">
        <w:rPr>
          <w:rFonts w:ascii="Times New Roman" w:hAnsi="Times New Roman"/>
          <w:sz w:val="24"/>
          <w:szCs w:val="24"/>
        </w:rPr>
        <w:t xml:space="preserve">A summary of treatment-emergent adverse events that occurred during the first 48 weeks of Study 907 is provided in Table </w:t>
      </w:r>
      <w:r w:rsidR="00220BF5" w:rsidRPr="00015C34">
        <w:rPr>
          <w:rFonts w:ascii="Times New Roman" w:hAnsi="Times New Roman"/>
          <w:sz w:val="24"/>
          <w:szCs w:val="24"/>
        </w:rPr>
        <w:t>1</w:t>
      </w:r>
      <w:r w:rsidR="00AB326F">
        <w:rPr>
          <w:rFonts w:ascii="Times New Roman" w:hAnsi="Times New Roman"/>
          <w:sz w:val="24"/>
          <w:szCs w:val="24"/>
        </w:rPr>
        <w:t>4</w:t>
      </w:r>
      <w:r w:rsidRPr="00015C34">
        <w:rPr>
          <w:rFonts w:ascii="Times New Roman" w:hAnsi="Times New Roman"/>
          <w:sz w:val="24"/>
          <w:szCs w:val="24"/>
        </w:rPr>
        <w:t xml:space="preserve"> (below).</w:t>
      </w:r>
    </w:p>
    <w:p w:rsidR="00777DF2" w:rsidRDefault="00777DF2" w:rsidP="009D74A6">
      <w:pPr>
        <w:pStyle w:val="Heading1"/>
        <w:jc w:val="both"/>
        <w:rPr>
          <w:b/>
          <w:i w:val="0"/>
          <w:sz w:val="22"/>
          <w:lang w:val="en-AU"/>
        </w:rPr>
      </w:pPr>
    </w:p>
    <w:p w:rsidR="00903D8B" w:rsidRPr="009A59E7" w:rsidRDefault="000575C8" w:rsidP="009D74A6">
      <w:pPr>
        <w:pStyle w:val="Heading1"/>
        <w:jc w:val="both"/>
      </w:pPr>
      <w:r w:rsidRPr="009A59E7">
        <w:rPr>
          <w:b/>
          <w:i w:val="0"/>
          <w:sz w:val="22"/>
          <w:lang w:val="en-AU"/>
        </w:rPr>
        <w:t>Table</w:t>
      </w:r>
      <w:r w:rsidR="006125D5">
        <w:rPr>
          <w:b/>
          <w:i w:val="0"/>
          <w:sz w:val="22"/>
          <w:lang w:val="en-AU"/>
        </w:rPr>
        <w:t xml:space="preserve"> </w:t>
      </w:r>
      <w:r w:rsidR="00220BF5">
        <w:rPr>
          <w:b/>
          <w:i w:val="0"/>
          <w:sz w:val="22"/>
          <w:lang w:val="en-AU"/>
        </w:rPr>
        <w:t>1</w:t>
      </w:r>
      <w:r w:rsidR="0044536D">
        <w:rPr>
          <w:b/>
          <w:i w:val="0"/>
          <w:sz w:val="22"/>
          <w:lang w:val="en-AU"/>
        </w:rPr>
        <w:t>4</w:t>
      </w:r>
      <w:r w:rsidRPr="009A59E7">
        <w:rPr>
          <w:b/>
          <w:i w:val="0"/>
          <w:sz w:val="22"/>
          <w:lang w:val="en-AU"/>
        </w:rPr>
        <w:t>.</w:t>
      </w:r>
      <w:r w:rsidRPr="009A59E7">
        <w:rPr>
          <w:b/>
          <w:i w:val="0"/>
          <w:sz w:val="22"/>
          <w:lang w:val="en-AU"/>
        </w:rPr>
        <w:tab/>
        <w:t xml:space="preserve">Selected Treatment-Emergent Adverse Events (Grades 2–4) Reported in ≥3% in </w:t>
      </w:r>
      <w:r w:rsidR="001555F7">
        <w:rPr>
          <w:b/>
          <w:i w:val="0"/>
          <w:sz w:val="22"/>
          <w:lang w:val="en-AU"/>
        </w:rPr>
        <w:tab/>
      </w:r>
      <w:r w:rsidR="001555F7">
        <w:rPr>
          <w:b/>
          <w:i w:val="0"/>
          <w:sz w:val="22"/>
          <w:lang w:val="en-AU"/>
        </w:rPr>
        <w:tab/>
      </w:r>
      <w:r w:rsidR="001555F7">
        <w:rPr>
          <w:b/>
          <w:i w:val="0"/>
          <w:sz w:val="22"/>
          <w:lang w:val="en-AU"/>
        </w:rPr>
        <w:tab/>
      </w:r>
      <w:r w:rsidRPr="009A59E7">
        <w:rPr>
          <w:b/>
          <w:i w:val="0"/>
          <w:sz w:val="22"/>
          <w:lang w:val="en-AU"/>
        </w:rPr>
        <w:t>Any Treatment Group in Study 907 (0–48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642"/>
        <w:gridCol w:w="1643"/>
        <w:gridCol w:w="1642"/>
        <w:gridCol w:w="1643"/>
      </w:tblGrid>
      <w:tr w:rsidR="000575C8" w:rsidRPr="009A59E7">
        <w:tc>
          <w:tcPr>
            <w:tcW w:w="2340" w:type="dxa"/>
            <w:tcBorders>
              <w:top w:val="single" w:sz="4" w:space="0" w:color="auto"/>
              <w:left w:val="single" w:sz="4" w:space="0" w:color="auto"/>
              <w:bottom w:val="single" w:sz="4" w:space="0" w:color="auto"/>
              <w:right w:val="single" w:sz="4" w:space="0" w:color="auto"/>
            </w:tcBorders>
            <w:shd w:val="clear" w:color="auto" w:fill="auto"/>
          </w:tcPr>
          <w:p w:rsidR="000575C8" w:rsidRPr="009A59E7" w:rsidRDefault="000575C8">
            <w:pPr>
              <w:spacing w:before="60" w:after="60"/>
              <w:rPr>
                <w:rFonts w:ascii="Times New Roman" w:hAnsi="Times New Roman"/>
                <w:sz w:val="1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b/>
                <w:sz w:val="18"/>
              </w:rPr>
            </w:pPr>
            <w:r w:rsidRPr="009A59E7">
              <w:rPr>
                <w:rFonts w:ascii="Times New Roman" w:hAnsi="Times New Roman"/>
                <w:b/>
                <w:sz w:val="18"/>
              </w:rPr>
              <w:t>VIREAD</w:t>
            </w:r>
            <w:r w:rsidRPr="009A59E7">
              <w:rPr>
                <w:rFonts w:ascii="Times New Roman" w:hAnsi="Times New Roman"/>
                <w:b/>
                <w:sz w:val="18"/>
              </w:rPr>
              <w:br/>
              <w:t>(N=368)</w:t>
            </w:r>
            <w:r w:rsidRPr="009A59E7">
              <w:rPr>
                <w:rFonts w:ascii="Times New Roman" w:hAnsi="Times New Roman"/>
                <w:b/>
                <w:sz w:val="18"/>
              </w:rPr>
              <w:br/>
              <w:t>(Week 0–24)</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b/>
                <w:sz w:val="18"/>
              </w:rPr>
            </w:pPr>
            <w:r w:rsidRPr="009A59E7">
              <w:rPr>
                <w:rFonts w:ascii="Times New Roman" w:hAnsi="Times New Roman"/>
                <w:b/>
                <w:sz w:val="18"/>
              </w:rPr>
              <w:t>Placebo</w:t>
            </w:r>
            <w:r w:rsidRPr="009A59E7">
              <w:rPr>
                <w:rFonts w:ascii="Times New Roman" w:hAnsi="Times New Roman"/>
                <w:b/>
                <w:sz w:val="18"/>
              </w:rPr>
              <w:br/>
              <w:t>(N=182)</w:t>
            </w:r>
            <w:r w:rsidRPr="009A59E7">
              <w:rPr>
                <w:rFonts w:ascii="Times New Roman" w:hAnsi="Times New Roman"/>
                <w:b/>
                <w:sz w:val="18"/>
              </w:rPr>
              <w:br/>
              <w:t>(Week 0–24)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b/>
                <w:sz w:val="18"/>
              </w:rPr>
            </w:pPr>
            <w:r w:rsidRPr="009A59E7">
              <w:rPr>
                <w:rFonts w:ascii="Times New Roman" w:hAnsi="Times New Roman"/>
                <w:b/>
                <w:sz w:val="18"/>
              </w:rPr>
              <w:t>VIREAD</w:t>
            </w:r>
            <w:r w:rsidRPr="009A59E7">
              <w:rPr>
                <w:rFonts w:ascii="Times New Roman" w:hAnsi="Times New Roman"/>
                <w:b/>
                <w:sz w:val="18"/>
              </w:rPr>
              <w:br/>
              <w:t>(N=368)</w:t>
            </w:r>
            <w:r w:rsidRPr="009A59E7">
              <w:rPr>
                <w:rFonts w:ascii="Times New Roman" w:hAnsi="Times New Roman"/>
                <w:b/>
                <w:sz w:val="18"/>
              </w:rPr>
              <w:br/>
              <w:t>(Week 0–48)</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b/>
                <w:sz w:val="18"/>
              </w:rPr>
            </w:pPr>
            <w:r w:rsidRPr="009A59E7">
              <w:rPr>
                <w:rFonts w:ascii="Times New Roman" w:hAnsi="Times New Roman"/>
                <w:b/>
                <w:sz w:val="18"/>
              </w:rPr>
              <w:t>Placebo Crossover to VIREAD</w:t>
            </w:r>
            <w:r w:rsidRPr="009A59E7">
              <w:rPr>
                <w:rFonts w:ascii="Times New Roman" w:hAnsi="Times New Roman"/>
                <w:b/>
                <w:sz w:val="18"/>
              </w:rPr>
              <w:br/>
              <w:t>(N=170)</w:t>
            </w:r>
            <w:r w:rsidRPr="009A59E7">
              <w:rPr>
                <w:rFonts w:ascii="Times New Roman" w:hAnsi="Times New Roman"/>
                <w:b/>
                <w:sz w:val="18"/>
              </w:rPr>
              <w:br/>
              <w:t>(Week 24–48)</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B9645B" w:rsidRDefault="000575C8" w:rsidP="00B9645B">
            <w:pPr>
              <w:pStyle w:val="CommentText"/>
              <w:spacing w:before="40" w:after="40"/>
              <w:jc w:val="left"/>
              <w:rPr>
                <w:sz w:val="20"/>
                <w:lang w:val="en-AU"/>
              </w:rPr>
            </w:pPr>
            <w:r w:rsidRPr="00B9645B">
              <w:rPr>
                <w:sz w:val="20"/>
                <w:lang w:val="en-AU"/>
              </w:rPr>
              <w:t>Body as a Whole</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left" w:pos="0"/>
              </w:tabs>
              <w:spacing w:before="40" w:after="40"/>
              <w:ind w:right="-63"/>
              <w:jc w:val="center"/>
              <w:rPr>
                <w:rFonts w:ascii="Times New Roman" w:hAnsi="Times New Roman"/>
                <w:sz w:val="18"/>
              </w:rPr>
            </w:pPr>
          </w:p>
        </w:tc>
        <w:tc>
          <w:tcPr>
            <w:tcW w:w="1642" w:type="dxa"/>
            <w:tcBorders>
              <w:top w:val="single" w:sz="4" w:space="0" w:color="auto"/>
              <w:left w:val="nil"/>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Asthenia</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7%</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6%</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11%</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1%</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Pain</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7%</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7%</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12%</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4%</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Headache</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5%</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5%</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8%</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2%</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Abdominal Pain</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3%</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7%</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6%</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Back Pain</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3%</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2%</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Chest Pain</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1%</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2%</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Fever</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2%</w:t>
            </w:r>
          </w:p>
        </w:tc>
        <w:tc>
          <w:tcPr>
            <w:tcW w:w="1643" w:type="dxa"/>
            <w:tcBorders>
              <w:top w:val="nil"/>
              <w:left w:val="nil"/>
              <w:bottom w:val="nil"/>
              <w:right w:val="single" w:sz="4" w:space="0" w:color="auto"/>
            </w:tcBorders>
            <w:shd w:val="clear" w:color="auto" w:fill="auto"/>
          </w:tcPr>
          <w:p w:rsidR="000575C8" w:rsidRPr="009A59E7" w:rsidRDefault="000575C8">
            <w:pPr>
              <w:tabs>
                <w:tab w:val="left" w:pos="0"/>
              </w:tabs>
              <w:spacing w:before="40" w:after="40"/>
              <w:jc w:val="center"/>
              <w:rPr>
                <w:rFonts w:ascii="Times New Roman" w:hAnsi="Times New Roman"/>
                <w:sz w:val="18"/>
              </w:rPr>
            </w:pPr>
            <w:r w:rsidRPr="009A59E7">
              <w:rPr>
                <w:rFonts w:ascii="Times New Roman" w:hAnsi="Times New Roman"/>
                <w:sz w:val="18"/>
              </w:rPr>
              <w:t>2%</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243"/>
              </w:tabs>
              <w:spacing w:before="40" w:after="40"/>
              <w:ind w:right="49"/>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jc w:val="center"/>
              <w:rPr>
                <w:rFonts w:ascii="Times New Roman" w:hAnsi="Times New Roman"/>
                <w:sz w:val="18"/>
              </w:rPr>
            </w:pPr>
            <w:r w:rsidRPr="009A59E7">
              <w:rPr>
                <w:rFonts w:ascii="Times New Roman" w:hAnsi="Times New Roman"/>
                <w:sz w:val="18"/>
              </w:rPr>
              <w:t>2%</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9A59E7" w:rsidRDefault="000575C8">
            <w:pPr>
              <w:spacing w:before="40" w:after="40"/>
              <w:rPr>
                <w:rFonts w:ascii="Times New Roman" w:hAnsi="Times New Roman"/>
              </w:rPr>
            </w:pPr>
            <w:r w:rsidRPr="009A59E7">
              <w:rPr>
                <w:rFonts w:ascii="Times New Roman" w:hAnsi="Times New Roman"/>
              </w:rPr>
              <w:t>Digestive System</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left" w:pos="658"/>
              </w:tabs>
              <w:spacing w:before="40" w:after="40"/>
              <w:ind w:right="340"/>
              <w:jc w:val="center"/>
              <w:rPr>
                <w:rFonts w:ascii="Times New Roman" w:hAnsi="Times New Roman"/>
                <w:sz w:val="18"/>
              </w:rPr>
            </w:pPr>
          </w:p>
        </w:tc>
        <w:tc>
          <w:tcPr>
            <w:tcW w:w="1642" w:type="dxa"/>
            <w:tcBorders>
              <w:top w:val="single" w:sz="4" w:space="0" w:color="auto"/>
              <w:left w:val="nil"/>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E44700">
            <w:pPr>
              <w:spacing w:before="40" w:after="40"/>
              <w:ind w:left="360"/>
              <w:rPr>
                <w:rFonts w:ascii="Times New Roman" w:hAnsi="Times New Roman"/>
                <w:sz w:val="18"/>
              </w:rPr>
            </w:pPr>
            <w:r w:rsidRPr="009A59E7">
              <w:rPr>
                <w:rFonts w:ascii="Times New Roman" w:hAnsi="Times New Roman"/>
                <w:sz w:val="18"/>
              </w:rPr>
              <w:t>Diarrhoea</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11%</w:t>
            </w:r>
          </w:p>
        </w:tc>
        <w:tc>
          <w:tcPr>
            <w:tcW w:w="1643" w:type="dxa"/>
            <w:tcBorders>
              <w:top w:val="nil"/>
              <w:left w:val="nil"/>
              <w:bottom w:val="nil"/>
              <w:right w:val="single" w:sz="4" w:space="0" w:color="auto"/>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10%</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16%</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27"/>
              </w:tabs>
              <w:spacing w:before="40" w:after="40"/>
              <w:jc w:val="center"/>
              <w:rPr>
                <w:rFonts w:ascii="Times New Roman" w:hAnsi="Times New Roman"/>
                <w:sz w:val="18"/>
              </w:rPr>
            </w:pPr>
            <w:r w:rsidRPr="009A59E7">
              <w:rPr>
                <w:rFonts w:ascii="Times New Roman" w:hAnsi="Times New Roman"/>
                <w:sz w:val="18"/>
              </w:rPr>
              <w:t>11%</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Nausea</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8%</w:t>
            </w:r>
          </w:p>
        </w:tc>
        <w:tc>
          <w:tcPr>
            <w:tcW w:w="1643" w:type="dxa"/>
            <w:tcBorders>
              <w:top w:val="nil"/>
              <w:left w:val="nil"/>
              <w:bottom w:val="nil"/>
              <w:right w:val="single" w:sz="4" w:space="0" w:color="auto"/>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5%</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11%</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27"/>
              </w:tabs>
              <w:spacing w:before="40" w:after="40"/>
              <w:jc w:val="center"/>
              <w:rPr>
                <w:rFonts w:ascii="Times New Roman" w:hAnsi="Times New Roman"/>
                <w:sz w:val="18"/>
              </w:rPr>
            </w:pPr>
            <w:r w:rsidRPr="009A59E7">
              <w:rPr>
                <w:rFonts w:ascii="Times New Roman" w:hAnsi="Times New Roman"/>
                <w:sz w:val="18"/>
              </w:rPr>
              <w:t>7%</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Vomiting</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1%</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7%</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27"/>
              </w:tabs>
              <w:spacing w:before="40" w:after="40"/>
              <w:jc w:val="center"/>
              <w:rPr>
                <w:rFonts w:ascii="Times New Roman" w:hAnsi="Times New Roman"/>
                <w:sz w:val="18"/>
              </w:rPr>
            </w:pPr>
            <w:r w:rsidRPr="009A59E7">
              <w:rPr>
                <w:rFonts w:ascii="Times New Roman" w:hAnsi="Times New Roman"/>
                <w:sz w:val="18"/>
              </w:rPr>
              <w:t>5%</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Anorexia</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2%</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27"/>
              </w:tabs>
              <w:spacing w:before="40" w:after="40"/>
              <w:jc w:val="center"/>
              <w:rPr>
                <w:rFonts w:ascii="Times New Roman" w:hAnsi="Times New Roman"/>
                <w:sz w:val="18"/>
              </w:rPr>
            </w:pPr>
            <w:r w:rsidRPr="009A59E7">
              <w:rPr>
                <w:rFonts w:ascii="Times New Roman" w:hAnsi="Times New Roman"/>
                <w:sz w:val="18"/>
              </w:rPr>
              <w:t>1%</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Dyspepsia</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2%</w:t>
            </w:r>
          </w:p>
        </w:tc>
        <w:tc>
          <w:tcPr>
            <w:tcW w:w="1642" w:type="dxa"/>
            <w:tcBorders>
              <w:top w:val="nil"/>
              <w:left w:val="nil"/>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27"/>
              </w:tabs>
              <w:spacing w:before="40" w:after="40"/>
              <w:jc w:val="center"/>
              <w:rPr>
                <w:rFonts w:ascii="Times New Roman" w:hAnsi="Times New Roman"/>
                <w:sz w:val="18"/>
              </w:rPr>
            </w:pPr>
            <w:r w:rsidRPr="009A59E7">
              <w:rPr>
                <w:rFonts w:ascii="Times New Roman" w:hAnsi="Times New Roman"/>
                <w:sz w:val="18"/>
              </w:rPr>
              <w:t>2%</w:t>
            </w:r>
          </w:p>
        </w:tc>
      </w:tr>
      <w:tr w:rsidR="000575C8" w:rsidRPr="009A59E7">
        <w:trPr>
          <w:trHeight w:val="240"/>
        </w:trPr>
        <w:tc>
          <w:tcPr>
            <w:tcW w:w="2340" w:type="dxa"/>
            <w:tcBorders>
              <w:top w:val="nil"/>
              <w:left w:val="single" w:sz="4" w:space="0" w:color="auto"/>
              <w:bottom w:val="single" w:sz="4" w:space="0" w:color="auto"/>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Flatulence</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single" w:sz="4" w:space="0" w:color="auto"/>
              <w:right w:val="single" w:sz="4" w:space="0" w:color="auto"/>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1%</w:t>
            </w:r>
          </w:p>
        </w:tc>
        <w:tc>
          <w:tcPr>
            <w:tcW w:w="1642" w:type="dxa"/>
            <w:tcBorders>
              <w:top w:val="nil"/>
              <w:left w:val="nil"/>
              <w:bottom w:val="single" w:sz="4" w:space="0" w:color="auto"/>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single" w:sz="4" w:space="0" w:color="auto"/>
              <w:right w:val="single" w:sz="4" w:space="0" w:color="auto"/>
            </w:tcBorders>
            <w:shd w:val="clear" w:color="auto" w:fill="auto"/>
          </w:tcPr>
          <w:p w:rsidR="000575C8" w:rsidRPr="009A59E7" w:rsidRDefault="000575C8">
            <w:pPr>
              <w:tabs>
                <w:tab w:val="right" w:pos="5"/>
                <w:tab w:val="left" w:pos="1427"/>
              </w:tabs>
              <w:spacing w:before="40" w:after="40"/>
              <w:jc w:val="center"/>
              <w:rPr>
                <w:rFonts w:ascii="Times New Roman" w:hAnsi="Times New Roman"/>
                <w:sz w:val="18"/>
              </w:rPr>
            </w:pPr>
            <w:r w:rsidRPr="009A59E7">
              <w:rPr>
                <w:rFonts w:ascii="Times New Roman" w:hAnsi="Times New Roman"/>
                <w:sz w:val="18"/>
              </w:rPr>
              <w:t>1%</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9A59E7" w:rsidRDefault="000575C8">
            <w:pPr>
              <w:spacing w:before="40" w:after="40"/>
              <w:rPr>
                <w:rFonts w:ascii="Times New Roman" w:hAnsi="Times New Roman"/>
              </w:rPr>
            </w:pPr>
            <w:r w:rsidRPr="009A59E7">
              <w:rPr>
                <w:rFonts w:ascii="Times New Roman" w:hAnsi="Times New Roman"/>
              </w:rPr>
              <w:t>Respiratory</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nil"/>
            </w:tcBorders>
            <w:shd w:val="clear" w:color="auto" w:fill="auto"/>
          </w:tcPr>
          <w:p w:rsidR="000575C8" w:rsidRPr="009A59E7" w:rsidRDefault="000575C8">
            <w:pPr>
              <w:tabs>
                <w:tab w:val="left" w:pos="658"/>
              </w:tabs>
              <w:spacing w:before="40" w:after="40"/>
              <w:ind w:right="340"/>
              <w:jc w:val="center"/>
              <w:rPr>
                <w:rFonts w:ascii="Times New Roman" w:hAnsi="Times New Roman"/>
                <w:sz w:val="18"/>
              </w:rPr>
            </w:pP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single" w:sz="4" w:space="0" w:color="auto"/>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Pneumonia</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2%</w:t>
            </w:r>
          </w:p>
        </w:tc>
        <w:tc>
          <w:tcPr>
            <w:tcW w:w="1643" w:type="dxa"/>
            <w:tcBorders>
              <w:top w:val="nil"/>
              <w:left w:val="nil"/>
              <w:bottom w:val="single" w:sz="4" w:space="0" w:color="auto"/>
              <w:right w:val="nil"/>
            </w:tcBorders>
            <w:shd w:val="clear" w:color="auto" w:fill="auto"/>
          </w:tcPr>
          <w:p w:rsidR="000575C8" w:rsidRPr="009A59E7" w:rsidRDefault="000575C8">
            <w:pPr>
              <w:tabs>
                <w:tab w:val="left" w:pos="-40"/>
              </w:tabs>
              <w:spacing w:before="40" w:after="40"/>
              <w:ind w:right="-63"/>
              <w:jc w:val="center"/>
              <w:rPr>
                <w:rFonts w:ascii="Times New Roman" w:hAnsi="Times New Roman"/>
                <w:sz w:val="18"/>
              </w:rPr>
            </w:pPr>
            <w:r w:rsidRPr="009A59E7">
              <w:rPr>
                <w:rFonts w:ascii="Times New Roman" w:hAnsi="Times New Roman"/>
                <w:sz w:val="18"/>
              </w:rPr>
              <w:t>0%</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single" w:sz="4" w:space="0" w:color="auto"/>
              <w:right w:val="single" w:sz="4" w:space="0" w:color="auto"/>
            </w:tcBorders>
            <w:shd w:val="clear" w:color="auto" w:fill="auto"/>
          </w:tcPr>
          <w:p w:rsidR="000575C8" w:rsidRPr="009A59E7" w:rsidRDefault="000575C8">
            <w:pPr>
              <w:tabs>
                <w:tab w:val="right" w:pos="5"/>
              </w:tabs>
              <w:spacing w:before="40" w:after="40"/>
              <w:ind w:right="-108"/>
              <w:jc w:val="center"/>
              <w:rPr>
                <w:rFonts w:ascii="Times New Roman" w:hAnsi="Times New Roman"/>
                <w:sz w:val="18"/>
              </w:rPr>
            </w:pPr>
            <w:r w:rsidRPr="009A59E7">
              <w:rPr>
                <w:rFonts w:ascii="Times New Roman" w:hAnsi="Times New Roman"/>
                <w:sz w:val="18"/>
              </w:rPr>
              <w:t>2%</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9A59E7" w:rsidRDefault="000575C8">
            <w:pPr>
              <w:spacing w:before="40" w:after="40"/>
              <w:rPr>
                <w:rFonts w:ascii="Times New Roman" w:hAnsi="Times New Roman"/>
              </w:rPr>
            </w:pPr>
            <w:r w:rsidRPr="009A59E7">
              <w:rPr>
                <w:rFonts w:ascii="Times New Roman" w:hAnsi="Times New Roman"/>
              </w:rPr>
              <w:t>Nervous System</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nil"/>
            </w:tcBorders>
            <w:shd w:val="clear" w:color="auto" w:fill="auto"/>
          </w:tcPr>
          <w:p w:rsidR="000575C8" w:rsidRPr="009A59E7" w:rsidRDefault="000575C8">
            <w:pPr>
              <w:tabs>
                <w:tab w:val="left" w:pos="658"/>
              </w:tabs>
              <w:spacing w:before="40" w:after="40"/>
              <w:ind w:right="340"/>
              <w:jc w:val="center"/>
              <w:rPr>
                <w:rFonts w:ascii="Times New Roman" w:hAnsi="Times New Roman"/>
                <w:sz w:val="18"/>
              </w:rPr>
            </w:pP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Depression</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nil"/>
            </w:tcBorders>
            <w:shd w:val="clear" w:color="auto" w:fill="auto"/>
          </w:tcPr>
          <w:p w:rsidR="000575C8" w:rsidRPr="009A59E7" w:rsidRDefault="000575C8">
            <w:pPr>
              <w:tabs>
                <w:tab w:val="left" w:pos="0"/>
                <w:tab w:val="left" w:pos="1427"/>
              </w:tabs>
              <w:spacing w:before="40" w:after="40"/>
              <w:ind w:right="-63"/>
              <w:jc w:val="center"/>
              <w:rPr>
                <w:rFonts w:ascii="Times New Roman" w:hAnsi="Times New Roman"/>
                <w:sz w:val="18"/>
              </w:rPr>
            </w:pPr>
            <w:r w:rsidRPr="009A59E7">
              <w:rPr>
                <w:rFonts w:ascii="Times New Roman" w:hAnsi="Times New Roman"/>
                <w:sz w:val="18"/>
              </w:rPr>
              <w:t>3%</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8%</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45"/>
              </w:tabs>
              <w:spacing w:before="40" w:after="40"/>
              <w:ind w:right="-18"/>
              <w:jc w:val="center"/>
              <w:rPr>
                <w:rFonts w:ascii="Times New Roman" w:hAnsi="Times New Roman"/>
                <w:sz w:val="18"/>
              </w:rPr>
            </w:pPr>
            <w:r w:rsidRPr="009A59E7">
              <w:rPr>
                <w:rFonts w:ascii="Times New Roman" w:hAnsi="Times New Roman"/>
                <w:sz w:val="18"/>
              </w:rPr>
              <w:t>4%</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Insomnia</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nil"/>
            </w:tcBorders>
            <w:shd w:val="clear" w:color="auto" w:fill="auto"/>
          </w:tcPr>
          <w:p w:rsidR="000575C8" w:rsidRPr="009A59E7" w:rsidRDefault="000575C8">
            <w:pPr>
              <w:tabs>
                <w:tab w:val="left" w:pos="0"/>
                <w:tab w:val="left" w:pos="1427"/>
              </w:tabs>
              <w:spacing w:before="40" w:after="40"/>
              <w:ind w:right="-63"/>
              <w:jc w:val="center"/>
              <w:rPr>
                <w:rFonts w:ascii="Times New Roman" w:hAnsi="Times New Roman"/>
                <w:sz w:val="18"/>
              </w:rPr>
            </w:pPr>
            <w:r w:rsidRPr="009A59E7">
              <w:rPr>
                <w:rFonts w:ascii="Times New Roman" w:hAnsi="Times New Roman"/>
                <w:sz w:val="18"/>
              </w:rPr>
              <w:t>2%</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45"/>
              </w:tabs>
              <w:spacing w:before="40" w:after="40"/>
              <w:ind w:right="-18"/>
              <w:jc w:val="center"/>
              <w:rPr>
                <w:rFonts w:ascii="Times New Roman" w:hAnsi="Times New Roman"/>
                <w:sz w:val="18"/>
              </w:rPr>
            </w:pPr>
            <w:r w:rsidRPr="009A59E7">
              <w:rPr>
                <w:rFonts w:ascii="Times New Roman" w:hAnsi="Times New Roman"/>
                <w:sz w:val="18"/>
              </w:rPr>
              <w:t>4%</w:t>
            </w:r>
          </w:p>
        </w:tc>
      </w:tr>
      <w:tr w:rsidR="000575C8" w:rsidRPr="009A59E7">
        <w:trPr>
          <w:trHeight w:val="441"/>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Peripheral Neuropathy</w:t>
            </w:r>
            <w:r w:rsidRPr="009A59E7">
              <w:rPr>
                <w:rFonts w:ascii="Times New Roman" w:hAnsi="Times New Roman"/>
                <w:sz w:val="18"/>
                <w:vertAlign w:val="superscript"/>
              </w:rPr>
              <w:t>1</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nil"/>
            </w:tcBorders>
            <w:shd w:val="clear" w:color="auto" w:fill="auto"/>
          </w:tcPr>
          <w:p w:rsidR="000575C8" w:rsidRPr="009A59E7" w:rsidRDefault="000575C8">
            <w:pPr>
              <w:tabs>
                <w:tab w:val="left" w:pos="0"/>
                <w:tab w:val="left" w:pos="1427"/>
              </w:tabs>
              <w:spacing w:before="40" w:after="40"/>
              <w:ind w:right="-63"/>
              <w:jc w:val="center"/>
              <w:rPr>
                <w:rFonts w:ascii="Times New Roman" w:hAnsi="Times New Roman"/>
                <w:sz w:val="18"/>
              </w:rPr>
            </w:pPr>
            <w:r w:rsidRPr="009A59E7">
              <w:rPr>
                <w:rFonts w:ascii="Times New Roman" w:hAnsi="Times New Roman"/>
                <w:sz w:val="18"/>
              </w:rPr>
              <w:t>3%</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5%</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45"/>
              </w:tabs>
              <w:spacing w:before="40" w:after="40"/>
              <w:ind w:right="-18"/>
              <w:jc w:val="center"/>
              <w:rPr>
                <w:rFonts w:ascii="Times New Roman" w:hAnsi="Times New Roman"/>
                <w:sz w:val="18"/>
              </w:rPr>
            </w:pPr>
            <w:r w:rsidRPr="009A59E7">
              <w:rPr>
                <w:rFonts w:ascii="Times New Roman" w:hAnsi="Times New Roman"/>
                <w:sz w:val="18"/>
              </w:rPr>
              <w:t>2%</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Dizziness</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1%</w:t>
            </w:r>
          </w:p>
        </w:tc>
        <w:tc>
          <w:tcPr>
            <w:tcW w:w="1643" w:type="dxa"/>
            <w:tcBorders>
              <w:top w:val="nil"/>
              <w:left w:val="nil"/>
              <w:bottom w:val="nil"/>
              <w:right w:val="nil"/>
            </w:tcBorders>
            <w:shd w:val="clear" w:color="auto" w:fill="auto"/>
          </w:tcPr>
          <w:p w:rsidR="000575C8" w:rsidRPr="009A59E7" w:rsidRDefault="000575C8">
            <w:pPr>
              <w:tabs>
                <w:tab w:val="left" w:pos="0"/>
                <w:tab w:val="left" w:pos="1427"/>
              </w:tabs>
              <w:spacing w:before="40" w:after="40"/>
              <w:ind w:right="-63"/>
              <w:jc w:val="center"/>
              <w:rPr>
                <w:rFonts w:ascii="Times New Roman" w:hAnsi="Times New Roman"/>
                <w:sz w:val="18"/>
              </w:rPr>
            </w:pPr>
            <w:r w:rsidRPr="009A59E7">
              <w:rPr>
                <w:rFonts w:ascii="Times New Roman" w:hAnsi="Times New Roman"/>
                <w:sz w:val="18"/>
              </w:rPr>
              <w:t>3%</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0"/>
              </w:tabs>
              <w:spacing w:before="40" w:after="40"/>
              <w:ind w:right="-131"/>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 w:val="left" w:pos="1445"/>
              </w:tabs>
              <w:spacing w:before="40" w:after="40"/>
              <w:ind w:right="-18"/>
              <w:jc w:val="center"/>
              <w:rPr>
                <w:rFonts w:ascii="Times New Roman" w:hAnsi="Times New Roman"/>
                <w:sz w:val="18"/>
              </w:rPr>
            </w:pPr>
            <w:r w:rsidRPr="009A59E7">
              <w:rPr>
                <w:rFonts w:ascii="Times New Roman" w:hAnsi="Times New Roman"/>
                <w:sz w:val="18"/>
              </w:rPr>
              <w:t>1%</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B9645B" w:rsidRDefault="000575C8" w:rsidP="00B9645B">
            <w:pPr>
              <w:pStyle w:val="CommentText"/>
              <w:spacing w:before="40" w:after="40"/>
              <w:jc w:val="left"/>
              <w:rPr>
                <w:sz w:val="20"/>
                <w:lang w:val="en-AU"/>
              </w:rPr>
            </w:pPr>
            <w:r w:rsidRPr="00B9645B">
              <w:rPr>
                <w:sz w:val="20"/>
                <w:lang w:val="en-AU"/>
              </w:rPr>
              <w:t>Skin and Appendage</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nil"/>
            </w:tcBorders>
            <w:shd w:val="clear" w:color="auto" w:fill="auto"/>
          </w:tcPr>
          <w:p w:rsidR="000575C8" w:rsidRPr="009A59E7" w:rsidRDefault="000575C8">
            <w:pPr>
              <w:tabs>
                <w:tab w:val="left" w:pos="658"/>
              </w:tabs>
              <w:spacing w:before="40" w:after="40"/>
              <w:ind w:right="340"/>
              <w:jc w:val="center"/>
              <w:rPr>
                <w:rFonts w:ascii="Times New Roman" w:hAnsi="Times New Roman"/>
                <w:sz w:val="18"/>
              </w:rPr>
            </w:pP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Rash Event</w:t>
            </w:r>
            <w:r w:rsidRPr="009A59E7">
              <w:rPr>
                <w:rFonts w:ascii="Times New Roman" w:hAnsi="Times New Roman"/>
                <w:sz w:val="18"/>
                <w:vertAlign w:val="superscript"/>
              </w:rPr>
              <w:t>2</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5%</w:t>
            </w:r>
          </w:p>
        </w:tc>
        <w:tc>
          <w:tcPr>
            <w:tcW w:w="1643" w:type="dxa"/>
            <w:tcBorders>
              <w:top w:val="nil"/>
              <w:left w:val="nil"/>
              <w:bottom w:val="nil"/>
              <w:right w:val="nil"/>
            </w:tcBorders>
            <w:shd w:val="clear" w:color="auto" w:fill="auto"/>
          </w:tcPr>
          <w:p w:rsidR="000575C8" w:rsidRPr="009A59E7" w:rsidRDefault="000575C8">
            <w:pPr>
              <w:tabs>
                <w:tab w:val="left" w:pos="-40"/>
              </w:tabs>
              <w:spacing w:before="40" w:after="40"/>
              <w:jc w:val="center"/>
              <w:rPr>
                <w:rFonts w:ascii="Times New Roman" w:hAnsi="Times New Roman"/>
                <w:sz w:val="18"/>
              </w:rPr>
            </w:pPr>
            <w:r w:rsidRPr="009A59E7">
              <w:rPr>
                <w:rFonts w:ascii="Times New Roman" w:hAnsi="Times New Roman"/>
                <w:sz w:val="18"/>
              </w:rPr>
              <w:t>4%</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spacing w:before="40" w:after="40"/>
              <w:ind w:right="-131"/>
              <w:jc w:val="center"/>
              <w:rPr>
                <w:rFonts w:ascii="Times New Roman" w:hAnsi="Times New Roman"/>
                <w:sz w:val="18"/>
              </w:rPr>
            </w:pPr>
            <w:r w:rsidRPr="009A59E7">
              <w:rPr>
                <w:rFonts w:ascii="Times New Roman" w:hAnsi="Times New Roman"/>
                <w:sz w:val="18"/>
              </w:rPr>
              <w:t>7%</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ind w:right="-108"/>
              <w:jc w:val="center"/>
              <w:rPr>
                <w:rFonts w:ascii="Times New Roman" w:hAnsi="Times New Roman"/>
                <w:sz w:val="18"/>
              </w:rPr>
            </w:pPr>
            <w:r w:rsidRPr="009A59E7">
              <w:rPr>
                <w:rFonts w:ascii="Times New Roman" w:hAnsi="Times New Roman"/>
                <w:sz w:val="18"/>
              </w:rPr>
              <w:t>1%</w:t>
            </w:r>
          </w:p>
        </w:tc>
      </w:tr>
      <w:tr w:rsidR="000575C8" w:rsidRPr="009A59E7">
        <w:trPr>
          <w:trHeight w:val="240"/>
        </w:trPr>
        <w:tc>
          <w:tcPr>
            <w:tcW w:w="2340" w:type="dxa"/>
            <w:tcBorders>
              <w:top w:val="nil"/>
              <w:left w:val="single" w:sz="4" w:space="0" w:color="auto"/>
              <w:bottom w:val="nil"/>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lastRenderedPageBreak/>
              <w:t>Sweating</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nil"/>
            </w:tcBorders>
            <w:shd w:val="clear" w:color="auto" w:fill="auto"/>
          </w:tcPr>
          <w:p w:rsidR="000575C8" w:rsidRPr="009A59E7" w:rsidRDefault="000575C8">
            <w:pPr>
              <w:tabs>
                <w:tab w:val="left" w:pos="-40"/>
              </w:tabs>
              <w:spacing w:before="40" w:after="40"/>
              <w:jc w:val="center"/>
              <w:rPr>
                <w:rFonts w:ascii="Times New Roman" w:hAnsi="Times New Roman"/>
                <w:sz w:val="18"/>
              </w:rPr>
            </w:pPr>
            <w:r w:rsidRPr="009A59E7">
              <w:rPr>
                <w:rFonts w:ascii="Times New Roman" w:hAnsi="Times New Roman"/>
                <w:sz w:val="18"/>
              </w:rPr>
              <w:t>2%</w:t>
            </w:r>
          </w:p>
        </w:tc>
        <w:tc>
          <w:tcPr>
            <w:tcW w:w="1642" w:type="dxa"/>
            <w:tcBorders>
              <w:top w:val="nil"/>
              <w:left w:val="single" w:sz="4" w:space="0" w:color="auto"/>
              <w:bottom w:val="nil"/>
              <w:right w:val="single" w:sz="4" w:space="0" w:color="auto"/>
            </w:tcBorders>
            <w:shd w:val="clear" w:color="auto" w:fill="auto"/>
          </w:tcPr>
          <w:p w:rsidR="000575C8" w:rsidRPr="009A59E7" w:rsidRDefault="000575C8">
            <w:pPr>
              <w:spacing w:before="40" w:after="40"/>
              <w:ind w:right="-131"/>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nil"/>
              <w:right w:val="single" w:sz="4" w:space="0" w:color="auto"/>
            </w:tcBorders>
            <w:shd w:val="clear" w:color="auto" w:fill="auto"/>
          </w:tcPr>
          <w:p w:rsidR="000575C8" w:rsidRPr="009A59E7" w:rsidRDefault="000575C8">
            <w:pPr>
              <w:tabs>
                <w:tab w:val="right" w:pos="5"/>
              </w:tabs>
              <w:spacing w:before="40" w:after="40"/>
              <w:ind w:right="-108"/>
              <w:jc w:val="center"/>
              <w:rPr>
                <w:rFonts w:ascii="Times New Roman" w:hAnsi="Times New Roman"/>
                <w:sz w:val="18"/>
              </w:rPr>
            </w:pPr>
            <w:r w:rsidRPr="009A59E7">
              <w:rPr>
                <w:rFonts w:ascii="Times New Roman" w:hAnsi="Times New Roman"/>
                <w:sz w:val="18"/>
              </w:rPr>
              <w:t>1%</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9A59E7" w:rsidRDefault="000575C8">
            <w:pPr>
              <w:spacing w:before="60" w:after="40"/>
              <w:rPr>
                <w:rFonts w:ascii="Times New Roman" w:hAnsi="Times New Roman"/>
                <w:sz w:val="18"/>
              </w:rPr>
            </w:pPr>
            <w:r w:rsidRPr="009A59E7">
              <w:rPr>
                <w:rFonts w:ascii="Times New Roman" w:hAnsi="Times New Roman"/>
                <w:sz w:val="18"/>
              </w:rPr>
              <w:t>Musculoskeletal</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nil"/>
            </w:tcBorders>
            <w:shd w:val="clear" w:color="auto" w:fill="auto"/>
          </w:tcPr>
          <w:p w:rsidR="000575C8" w:rsidRPr="009A59E7" w:rsidRDefault="000575C8">
            <w:pPr>
              <w:tabs>
                <w:tab w:val="left" w:pos="658"/>
              </w:tabs>
              <w:spacing w:before="40" w:after="40"/>
              <w:ind w:right="340"/>
              <w:jc w:val="center"/>
              <w:rPr>
                <w:rFonts w:ascii="Times New Roman" w:hAnsi="Times New Roman"/>
                <w:sz w:val="18"/>
              </w:rPr>
            </w:pP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single" w:sz="4" w:space="0" w:color="auto"/>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Myalgia</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3%</w:t>
            </w:r>
          </w:p>
        </w:tc>
        <w:tc>
          <w:tcPr>
            <w:tcW w:w="1643" w:type="dxa"/>
            <w:tcBorders>
              <w:top w:val="nil"/>
              <w:left w:val="nil"/>
              <w:bottom w:val="single" w:sz="4" w:space="0" w:color="auto"/>
              <w:right w:val="nil"/>
            </w:tcBorders>
            <w:shd w:val="clear" w:color="auto" w:fill="auto"/>
          </w:tcPr>
          <w:p w:rsidR="000575C8" w:rsidRPr="009A59E7" w:rsidRDefault="000575C8">
            <w:pPr>
              <w:tabs>
                <w:tab w:val="left" w:pos="0"/>
                <w:tab w:val="left" w:pos="1427"/>
              </w:tabs>
              <w:spacing w:before="40" w:after="40"/>
              <w:ind w:right="-63"/>
              <w:jc w:val="center"/>
              <w:rPr>
                <w:rFonts w:ascii="Times New Roman" w:hAnsi="Times New Roman"/>
                <w:sz w:val="18"/>
              </w:rPr>
            </w:pPr>
            <w:r w:rsidRPr="009A59E7">
              <w:rPr>
                <w:rFonts w:ascii="Times New Roman" w:hAnsi="Times New Roman"/>
                <w:sz w:val="18"/>
              </w:rPr>
              <w:t>3%</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63"/>
              </w:tabs>
              <w:spacing w:before="40" w:after="40"/>
              <w:ind w:right="-41"/>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single" w:sz="4" w:space="0" w:color="auto"/>
              <w:right w:val="single" w:sz="4" w:space="0" w:color="auto"/>
            </w:tcBorders>
            <w:shd w:val="clear" w:color="auto" w:fill="auto"/>
          </w:tcPr>
          <w:p w:rsidR="000575C8" w:rsidRPr="009A59E7" w:rsidRDefault="000575C8">
            <w:pPr>
              <w:tabs>
                <w:tab w:val="right" w:pos="5"/>
              </w:tabs>
              <w:spacing w:before="40" w:after="40"/>
              <w:ind w:right="-108"/>
              <w:jc w:val="center"/>
              <w:rPr>
                <w:rFonts w:ascii="Times New Roman" w:hAnsi="Times New Roman"/>
                <w:sz w:val="18"/>
              </w:rPr>
            </w:pPr>
            <w:r w:rsidRPr="009A59E7">
              <w:rPr>
                <w:rFonts w:ascii="Times New Roman" w:hAnsi="Times New Roman"/>
                <w:sz w:val="18"/>
              </w:rPr>
              <w:t>1%</w:t>
            </w:r>
          </w:p>
        </w:tc>
      </w:tr>
      <w:tr w:rsidR="000575C8" w:rsidRPr="009A59E7">
        <w:tc>
          <w:tcPr>
            <w:tcW w:w="2340" w:type="dxa"/>
            <w:tcBorders>
              <w:top w:val="single" w:sz="4" w:space="0" w:color="auto"/>
              <w:left w:val="single" w:sz="4" w:space="0" w:color="auto"/>
              <w:bottom w:val="nil"/>
              <w:right w:val="nil"/>
            </w:tcBorders>
            <w:shd w:val="clear" w:color="auto" w:fill="auto"/>
            <w:vAlign w:val="center"/>
          </w:tcPr>
          <w:p w:rsidR="000575C8" w:rsidRPr="00B9645B" w:rsidRDefault="000575C8" w:rsidP="00B9645B">
            <w:pPr>
              <w:pStyle w:val="CommentText"/>
              <w:spacing w:before="40" w:after="40"/>
              <w:jc w:val="left"/>
              <w:rPr>
                <w:sz w:val="20"/>
                <w:lang w:val="en-AU"/>
              </w:rPr>
            </w:pPr>
            <w:r w:rsidRPr="00B9645B">
              <w:rPr>
                <w:sz w:val="20"/>
                <w:lang w:val="en-AU"/>
              </w:rPr>
              <w:t>Metabolic</w:t>
            </w: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p>
        </w:tc>
        <w:tc>
          <w:tcPr>
            <w:tcW w:w="1643" w:type="dxa"/>
            <w:tcBorders>
              <w:top w:val="single" w:sz="4" w:space="0" w:color="auto"/>
              <w:left w:val="nil"/>
              <w:bottom w:val="nil"/>
              <w:right w:val="nil"/>
            </w:tcBorders>
            <w:shd w:val="clear" w:color="auto" w:fill="auto"/>
          </w:tcPr>
          <w:p w:rsidR="000575C8" w:rsidRPr="009A59E7" w:rsidRDefault="000575C8">
            <w:pPr>
              <w:tabs>
                <w:tab w:val="left" w:pos="658"/>
              </w:tabs>
              <w:spacing w:before="40" w:after="40"/>
              <w:ind w:right="340"/>
              <w:jc w:val="center"/>
              <w:rPr>
                <w:rFonts w:ascii="Times New Roman" w:hAnsi="Times New Roman"/>
                <w:sz w:val="18"/>
              </w:rPr>
            </w:pPr>
          </w:p>
        </w:tc>
        <w:tc>
          <w:tcPr>
            <w:tcW w:w="1642" w:type="dxa"/>
            <w:tcBorders>
              <w:top w:val="single" w:sz="4" w:space="0" w:color="auto"/>
              <w:left w:val="single" w:sz="4" w:space="0" w:color="auto"/>
              <w:bottom w:val="nil"/>
              <w:right w:val="single" w:sz="4" w:space="0" w:color="auto"/>
            </w:tcBorders>
            <w:shd w:val="clear" w:color="auto" w:fill="auto"/>
          </w:tcPr>
          <w:p w:rsidR="000575C8" w:rsidRPr="009A59E7" w:rsidRDefault="000575C8">
            <w:pPr>
              <w:tabs>
                <w:tab w:val="right" w:pos="794"/>
              </w:tabs>
              <w:spacing w:before="40" w:after="40"/>
              <w:ind w:right="358"/>
              <w:jc w:val="center"/>
              <w:rPr>
                <w:rFonts w:ascii="Times New Roman" w:hAnsi="Times New Roman"/>
                <w:sz w:val="18"/>
              </w:rPr>
            </w:pPr>
          </w:p>
        </w:tc>
        <w:tc>
          <w:tcPr>
            <w:tcW w:w="1643" w:type="dxa"/>
            <w:tcBorders>
              <w:top w:val="single" w:sz="4" w:space="0" w:color="auto"/>
              <w:left w:val="nil"/>
              <w:bottom w:val="nil"/>
              <w:right w:val="single" w:sz="4" w:space="0" w:color="auto"/>
            </w:tcBorders>
            <w:shd w:val="clear" w:color="auto" w:fill="auto"/>
          </w:tcPr>
          <w:p w:rsidR="000575C8" w:rsidRPr="009A59E7" w:rsidRDefault="000575C8">
            <w:pPr>
              <w:tabs>
                <w:tab w:val="right" w:pos="660"/>
              </w:tabs>
              <w:spacing w:before="40" w:after="40"/>
              <w:ind w:right="339"/>
              <w:jc w:val="center"/>
              <w:rPr>
                <w:rFonts w:ascii="Times New Roman" w:hAnsi="Times New Roman"/>
                <w:sz w:val="18"/>
              </w:rPr>
            </w:pPr>
          </w:p>
        </w:tc>
      </w:tr>
      <w:tr w:rsidR="000575C8" w:rsidRPr="009A59E7">
        <w:trPr>
          <w:trHeight w:val="240"/>
        </w:trPr>
        <w:tc>
          <w:tcPr>
            <w:tcW w:w="2340" w:type="dxa"/>
            <w:tcBorders>
              <w:top w:val="nil"/>
              <w:left w:val="single" w:sz="4" w:space="0" w:color="auto"/>
              <w:bottom w:val="single" w:sz="4" w:space="0" w:color="auto"/>
              <w:right w:val="nil"/>
            </w:tcBorders>
            <w:shd w:val="clear" w:color="auto" w:fill="auto"/>
          </w:tcPr>
          <w:p w:rsidR="000575C8" w:rsidRPr="009A59E7" w:rsidRDefault="000575C8">
            <w:pPr>
              <w:spacing w:before="40" w:after="40"/>
              <w:ind w:left="360"/>
              <w:rPr>
                <w:rFonts w:ascii="Times New Roman" w:hAnsi="Times New Roman"/>
                <w:sz w:val="18"/>
              </w:rPr>
            </w:pPr>
            <w:r w:rsidRPr="009A59E7">
              <w:rPr>
                <w:rFonts w:ascii="Times New Roman" w:hAnsi="Times New Roman"/>
                <w:sz w:val="18"/>
              </w:rPr>
              <w:t>Weight Loss</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18"/>
              </w:tabs>
              <w:spacing w:before="40" w:after="40"/>
              <w:jc w:val="center"/>
              <w:rPr>
                <w:rFonts w:ascii="Times New Roman" w:hAnsi="Times New Roman"/>
                <w:sz w:val="18"/>
              </w:rPr>
            </w:pPr>
            <w:r w:rsidRPr="009A59E7">
              <w:rPr>
                <w:rFonts w:ascii="Times New Roman" w:hAnsi="Times New Roman"/>
                <w:sz w:val="18"/>
              </w:rPr>
              <w:t>2%</w:t>
            </w:r>
          </w:p>
        </w:tc>
        <w:tc>
          <w:tcPr>
            <w:tcW w:w="1643" w:type="dxa"/>
            <w:tcBorders>
              <w:top w:val="nil"/>
              <w:left w:val="nil"/>
              <w:bottom w:val="single" w:sz="4" w:space="0" w:color="auto"/>
              <w:right w:val="nil"/>
            </w:tcBorders>
            <w:shd w:val="clear" w:color="auto" w:fill="auto"/>
          </w:tcPr>
          <w:p w:rsidR="000575C8" w:rsidRPr="009A59E7" w:rsidRDefault="000575C8">
            <w:pPr>
              <w:tabs>
                <w:tab w:val="left" w:pos="0"/>
              </w:tabs>
              <w:spacing w:before="40" w:after="40"/>
              <w:ind w:right="-63"/>
              <w:jc w:val="center"/>
              <w:rPr>
                <w:rFonts w:ascii="Times New Roman" w:hAnsi="Times New Roman"/>
                <w:sz w:val="18"/>
              </w:rPr>
            </w:pPr>
            <w:r w:rsidRPr="009A59E7">
              <w:rPr>
                <w:rFonts w:ascii="Times New Roman" w:hAnsi="Times New Roman"/>
                <w:sz w:val="18"/>
              </w:rPr>
              <w:t>1%</w:t>
            </w:r>
          </w:p>
        </w:tc>
        <w:tc>
          <w:tcPr>
            <w:tcW w:w="1642" w:type="dxa"/>
            <w:tcBorders>
              <w:top w:val="nil"/>
              <w:left w:val="single" w:sz="4" w:space="0" w:color="auto"/>
              <w:bottom w:val="single" w:sz="4" w:space="0" w:color="auto"/>
              <w:right w:val="single" w:sz="4" w:space="0" w:color="auto"/>
            </w:tcBorders>
            <w:shd w:val="clear" w:color="auto" w:fill="auto"/>
          </w:tcPr>
          <w:p w:rsidR="000575C8" w:rsidRPr="009A59E7" w:rsidRDefault="000575C8">
            <w:pPr>
              <w:tabs>
                <w:tab w:val="right" w:pos="-153"/>
              </w:tabs>
              <w:spacing w:before="40" w:after="40"/>
              <w:ind w:right="-41"/>
              <w:jc w:val="center"/>
              <w:rPr>
                <w:rFonts w:ascii="Times New Roman" w:hAnsi="Times New Roman"/>
                <w:sz w:val="18"/>
              </w:rPr>
            </w:pPr>
            <w:r w:rsidRPr="009A59E7">
              <w:rPr>
                <w:rFonts w:ascii="Times New Roman" w:hAnsi="Times New Roman"/>
                <w:sz w:val="18"/>
              </w:rPr>
              <w:t>4%</w:t>
            </w:r>
          </w:p>
        </w:tc>
        <w:tc>
          <w:tcPr>
            <w:tcW w:w="1643" w:type="dxa"/>
            <w:tcBorders>
              <w:top w:val="nil"/>
              <w:left w:val="nil"/>
              <w:bottom w:val="single" w:sz="4" w:space="0" w:color="auto"/>
              <w:right w:val="single" w:sz="4" w:space="0" w:color="auto"/>
            </w:tcBorders>
            <w:shd w:val="clear" w:color="auto" w:fill="auto"/>
          </w:tcPr>
          <w:p w:rsidR="000575C8" w:rsidRPr="009A59E7" w:rsidRDefault="000575C8">
            <w:pPr>
              <w:tabs>
                <w:tab w:val="right" w:pos="5"/>
              </w:tabs>
              <w:spacing w:before="40" w:after="40"/>
              <w:ind w:right="-108"/>
              <w:jc w:val="center"/>
              <w:rPr>
                <w:rFonts w:ascii="Times New Roman" w:hAnsi="Times New Roman"/>
                <w:sz w:val="18"/>
              </w:rPr>
            </w:pPr>
            <w:r w:rsidRPr="009A59E7">
              <w:rPr>
                <w:rFonts w:ascii="Times New Roman" w:hAnsi="Times New Roman"/>
                <w:sz w:val="18"/>
              </w:rPr>
              <w:t>2%</w:t>
            </w:r>
          </w:p>
        </w:tc>
      </w:tr>
    </w:tbl>
    <w:p w:rsidR="000575C8" w:rsidRPr="009A59E7" w:rsidRDefault="000575C8" w:rsidP="000575C8">
      <w:pPr>
        <w:spacing w:before="60"/>
        <w:ind w:left="360" w:right="979" w:hanging="360"/>
        <w:rPr>
          <w:rFonts w:ascii="Times New Roman" w:hAnsi="Times New Roman"/>
          <w:sz w:val="18"/>
        </w:rPr>
      </w:pPr>
      <w:r w:rsidRPr="009A59E7">
        <w:rPr>
          <w:rFonts w:ascii="Times New Roman" w:hAnsi="Times New Roman"/>
          <w:sz w:val="18"/>
        </w:rPr>
        <w:t xml:space="preserve">1. </w:t>
      </w:r>
      <w:r w:rsidRPr="009A59E7">
        <w:rPr>
          <w:rFonts w:ascii="Times New Roman" w:hAnsi="Times New Roman"/>
          <w:sz w:val="18"/>
        </w:rPr>
        <w:tab/>
        <w:t>Peripheral neuropathy includes peripheral neuritis and neuropathy.</w:t>
      </w:r>
    </w:p>
    <w:p w:rsidR="000575C8" w:rsidRPr="009A59E7" w:rsidRDefault="000575C8" w:rsidP="000575C8">
      <w:pPr>
        <w:spacing w:after="120"/>
        <w:ind w:left="360" w:right="979" w:hanging="360"/>
        <w:rPr>
          <w:rFonts w:ascii="Times New Roman" w:hAnsi="Times New Roman"/>
          <w:sz w:val="18"/>
        </w:rPr>
      </w:pPr>
      <w:r w:rsidRPr="009A59E7">
        <w:rPr>
          <w:rFonts w:ascii="Times New Roman" w:hAnsi="Times New Roman"/>
          <w:sz w:val="18"/>
        </w:rPr>
        <w:t xml:space="preserve">2. </w:t>
      </w:r>
      <w:r w:rsidRPr="009A59E7">
        <w:rPr>
          <w:rFonts w:ascii="Times New Roman" w:hAnsi="Times New Roman"/>
          <w:sz w:val="18"/>
        </w:rPr>
        <w:tab/>
        <w:t>Rash event includes rash, pruritus, maculopapular rash, urticaria, vesiculobullous rash, and pustular rash.</w:t>
      </w:r>
    </w:p>
    <w:p w:rsidR="000575C8" w:rsidRPr="00015C34" w:rsidRDefault="000575C8" w:rsidP="00EB4111">
      <w:pPr>
        <w:jc w:val="both"/>
        <w:rPr>
          <w:rFonts w:ascii="Times New Roman" w:hAnsi="Times New Roman"/>
          <w:sz w:val="24"/>
          <w:szCs w:val="24"/>
        </w:rPr>
      </w:pPr>
      <w:r w:rsidRPr="00015C34">
        <w:rPr>
          <w:rFonts w:ascii="Times New Roman" w:hAnsi="Times New Roman"/>
          <w:b/>
          <w:sz w:val="24"/>
          <w:szCs w:val="24"/>
        </w:rPr>
        <w:t>Laboratory Abnormalities:</w:t>
      </w:r>
      <w:r w:rsidRPr="00015C34">
        <w:rPr>
          <w:rFonts w:ascii="Times New Roman" w:hAnsi="Times New Roman"/>
          <w:sz w:val="24"/>
          <w:szCs w:val="24"/>
        </w:rPr>
        <w:t xml:space="preserve">  Laboratory abnormalities observed in this study occurred with similar frequency in the VIREAD and placebo-treated groups.  A summary of Grade 3 and 4 laboratory abnormalities is provided in Table </w:t>
      </w:r>
      <w:r w:rsidR="00220BF5" w:rsidRPr="00015C34">
        <w:rPr>
          <w:rFonts w:ascii="Times New Roman" w:hAnsi="Times New Roman"/>
          <w:sz w:val="24"/>
          <w:szCs w:val="24"/>
        </w:rPr>
        <w:t>1</w:t>
      </w:r>
      <w:r w:rsidR="00AB326F">
        <w:rPr>
          <w:rFonts w:ascii="Times New Roman" w:hAnsi="Times New Roman"/>
          <w:sz w:val="24"/>
          <w:szCs w:val="24"/>
        </w:rPr>
        <w:t>5</w:t>
      </w:r>
      <w:r w:rsidRPr="00015C34">
        <w:rPr>
          <w:rFonts w:ascii="Times New Roman" w:hAnsi="Times New Roman"/>
          <w:sz w:val="24"/>
          <w:szCs w:val="24"/>
        </w:rPr>
        <w:t xml:space="preserve"> below.</w:t>
      </w:r>
    </w:p>
    <w:p w:rsidR="009D74A6" w:rsidRDefault="009D74A6" w:rsidP="00EB4111">
      <w:pPr>
        <w:pStyle w:val="Caption"/>
        <w:spacing w:before="0" w:after="0"/>
        <w:ind w:left="0" w:firstLine="0"/>
        <w:jc w:val="both"/>
        <w:rPr>
          <w:rFonts w:ascii="Times New Roman" w:hAnsi="Times New Roman"/>
          <w:b w:val="0"/>
          <w:szCs w:val="22"/>
          <w:lang w:val="en-AU"/>
        </w:rPr>
      </w:pPr>
    </w:p>
    <w:p w:rsidR="00443ABA" w:rsidRDefault="00443ABA" w:rsidP="00443ABA">
      <w:pPr>
        <w:pStyle w:val="TextTi11"/>
        <w:rPr>
          <w:lang w:val="en-AU"/>
        </w:rPr>
      </w:pPr>
    </w:p>
    <w:p w:rsidR="00443ABA" w:rsidRPr="00443ABA" w:rsidRDefault="00443ABA" w:rsidP="00443ABA">
      <w:pPr>
        <w:pStyle w:val="TextTi11"/>
        <w:rPr>
          <w:lang w:val="en-AU"/>
        </w:rPr>
      </w:pPr>
    </w:p>
    <w:p w:rsidR="000575C8" w:rsidRPr="009A59E7" w:rsidRDefault="000575C8" w:rsidP="00EB4111">
      <w:pPr>
        <w:pStyle w:val="Caption"/>
        <w:spacing w:before="0" w:after="0"/>
        <w:ind w:left="0" w:firstLine="0"/>
        <w:jc w:val="both"/>
        <w:rPr>
          <w:rFonts w:ascii="Times New Roman" w:hAnsi="Times New Roman"/>
          <w:lang w:val="en-AU"/>
        </w:rPr>
      </w:pPr>
      <w:r w:rsidRPr="009A59E7">
        <w:rPr>
          <w:rFonts w:ascii="Times New Roman" w:hAnsi="Times New Roman"/>
          <w:lang w:val="en-AU"/>
        </w:rPr>
        <w:t xml:space="preserve">Table </w:t>
      </w:r>
      <w:r w:rsidR="00220BF5">
        <w:rPr>
          <w:rFonts w:ascii="Times New Roman" w:hAnsi="Times New Roman"/>
          <w:lang w:val="en-AU"/>
        </w:rPr>
        <w:t>1</w:t>
      </w:r>
      <w:r w:rsidR="0044536D">
        <w:rPr>
          <w:rFonts w:ascii="Times New Roman" w:hAnsi="Times New Roman"/>
          <w:lang w:val="en-AU"/>
        </w:rPr>
        <w:t>5</w:t>
      </w:r>
      <w:r w:rsidRPr="009A59E7">
        <w:rPr>
          <w:rFonts w:ascii="Times New Roman" w:hAnsi="Times New Roman"/>
          <w:lang w:val="en-AU"/>
        </w:rPr>
        <w:t>.</w:t>
      </w:r>
      <w:r w:rsidRPr="009A59E7">
        <w:rPr>
          <w:rFonts w:ascii="Times New Roman" w:hAnsi="Times New Roman"/>
          <w:lang w:val="en-AU"/>
        </w:rPr>
        <w:tab/>
        <w:t>Grade 3</w:t>
      </w:r>
      <w:r w:rsidR="000E0556" w:rsidRPr="009A59E7">
        <w:rPr>
          <w:rFonts w:ascii="Times New Roman" w:hAnsi="Times New Roman"/>
          <w:lang w:val="en-AU"/>
        </w:rPr>
        <w:t xml:space="preserve"> </w:t>
      </w:r>
      <w:r w:rsidRPr="009A59E7">
        <w:rPr>
          <w:rFonts w:ascii="Times New Roman" w:hAnsi="Times New Roman"/>
          <w:lang w:val="en-AU"/>
        </w:rPr>
        <w:t>/</w:t>
      </w:r>
      <w:r w:rsidR="000E0556" w:rsidRPr="009A59E7">
        <w:rPr>
          <w:rFonts w:ascii="Times New Roman" w:hAnsi="Times New Roman"/>
          <w:lang w:val="en-AU"/>
        </w:rPr>
        <w:t xml:space="preserve"> </w:t>
      </w:r>
      <w:r w:rsidRPr="009A59E7">
        <w:rPr>
          <w:rFonts w:ascii="Times New Roman" w:hAnsi="Times New Roman"/>
          <w:lang w:val="en-AU"/>
        </w:rPr>
        <w:t xml:space="preserve">4 Laboratory Abnormalities Reported in </w:t>
      </w:r>
      <w:r w:rsidRPr="009A59E7">
        <w:rPr>
          <w:rFonts w:ascii="Times New Roman" w:hAnsi="Times New Roman"/>
          <w:lang w:val="en-AU"/>
        </w:rPr>
        <w:sym w:font="Symbol" w:char="00B3"/>
      </w:r>
      <w:r w:rsidRPr="009A59E7">
        <w:rPr>
          <w:rFonts w:ascii="Times New Roman" w:hAnsi="Times New Roman"/>
          <w:lang w:val="en-AU"/>
        </w:rPr>
        <w:t xml:space="preserve">1% of VIREAD-Treated </w:t>
      </w:r>
      <w:r w:rsidR="001555F7">
        <w:rPr>
          <w:rFonts w:ascii="Times New Roman" w:hAnsi="Times New Roman"/>
          <w:lang w:val="en-AU"/>
        </w:rPr>
        <w:tab/>
      </w:r>
      <w:r w:rsidR="001555F7">
        <w:rPr>
          <w:rFonts w:ascii="Times New Roman" w:hAnsi="Times New Roman"/>
          <w:lang w:val="en-AU"/>
        </w:rPr>
        <w:tab/>
      </w:r>
      <w:r w:rsidR="001555F7">
        <w:rPr>
          <w:rFonts w:ascii="Times New Roman" w:hAnsi="Times New Roman"/>
          <w:lang w:val="en-AU"/>
        </w:rPr>
        <w:tab/>
      </w:r>
      <w:r w:rsidRPr="009A59E7">
        <w:rPr>
          <w:rFonts w:ascii="Times New Roman" w:hAnsi="Times New Roman"/>
          <w:lang w:val="en-AU"/>
        </w:rPr>
        <w:t>Patients in Study 907 (0–48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394"/>
        <w:gridCol w:w="1394"/>
        <w:gridCol w:w="1394"/>
        <w:gridCol w:w="1395"/>
      </w:tblGrid>
      <w:tr w:rsidR="00571B28" w:rsidRPr="009A59E7" w:rsidTr="00D22E3D">
        <w:tc>
          <w:tcPr>
            <w:tcW w:w="3420" w:type="dxa"/>
            <w:vMerge w:val="restart"/>
            <w:tcBorders>
              <w:top w:val="single" w:sz="4" w:space="0" w:color="auto"/>
              <w:left w:val="single" w:sz="4" w:space="0" w:color="auto"/>
              <w:right w:val="single" w:sz="4" w:space="0" w:color="auto"/>
            </w:tcBorders>
            <w:shd w:val="clear" w:color="auto" w:fill="auto"/>
          </w:tcPr>
          <w:p w:rsidR="00571B28" w:rsidRPr="009A59E7" w:rsidRDefault="00571B28">
            <w:pPr>
              <w:spacing w:before="60" w:after="60"/>
              <w:rPr>
                <w:rFonts w:ascii="Times New Roman" w:hAnsi="Times New Roman"/>
                <w:sz w:val="18"/>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571B28" w:rsidRPr="009A59E7" w:rsidRDefault="00571B28">
            <w:pPr>
              <w:spacing w:before="60" w:after="60"/>
              <w:jc w:val="center"/>
              <w:rPr>
                <w:rFonts w:ascii="Times New Roman" w:hAnsi="Times New Roman"/>
                <w:b/>
                <w:sz w:val="18"/>
              </w:rPr>
            </w:pPr>
            <w:r w:rsidRPr="009A59E7">
              <w:rPr>
                <w:rFonts w:ascii="Times New Roman" w:hAnsi="Times New Roman"/>
                <w:b/>
                <w:sz w:val="18"/>
              </w:rPr>
              <w:t>VIREAD</w:t>
            </w:r>
            <w:r w:rsidRPr="009A59E7">
              <w:rPr>
                <w:rFonts w:ascii="Times New Roman" w:hAnsi="Times New Roman"/>
                <w:b/>
                <w:sz w:val="18"/>
              </w:rPr>
              <w:br/>
              <w:t>(N=368)</w:t>
            </w:r>
            <w:r w:rsidRPr="009A59E7">
              <w:rPr>
                <w:rFonts w:ascii="Times New Roman" w:hAnsi="Times New Roman"/>
                <w:b/>
                <w:sz w:val="18"/>
              </w:rPr>
              <w:br/>
              <w:t>(Week 0–24)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571B28" w:rsidRPr="009A59E7" w:rsidRDefault="00571B28">
            <w:pPr>
              <w:spacing w:before="60" w:after="60"/>
              <w:jc w:val="center"/>
              <w:rPr>
                <w:rFonts w:ascii="Times New Roman" w:hAnsi="Times New Roman"/>
                <w:b/>
                <w:sz w:val="18"/>
              </w:rPr>
            </w:pPr>
            <w:r w:rsidRPr="009A59E7">
              <w:rPr>
                <w:rFonts w:ascii="Times New Roman" w:hAnsi="Times New Roman"/>
                <w:b/>
                <w:sz w:val="18"/>
              </w:rPr>
              <w:t>Placebo</w:t>
            </w:r>
            <w:r w:rsidRPr="009A59E7">
              <w:rPr>
                <w:rFonts w:ascii="Times New Roman" w:hAnsi="Times New Roman"/>
                <w:b/>
                <w:sz w:val="18"/>
              </w:rPr>
              <w:br/>
              <w:t>(N=182)</w:t>
            </w:r>
            <w:r w:rsidRPr="009A59E7">
              <w:rPr>
                <w:rFonts w:ascii="Times New Roman" w:hAnsi="Times New Roman"/>
                <w:b/>
                <w:sz w:val="18"/>
              </w:rPr>
              <w:br/>
              <w:t>(Week 0–24)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571B28" w:rsidRPr="009A59E7" w:rsidRDefault="00571B28">
            <w:pPr>
              <w:spacing w:before="60" w:after="60"/>
              <w:jc w:val="center"/>
              <w:rPr>
                <w:rFonts w:ascii="Times New Roman" w:hAnsi="Times New Roman"/>
                <w:b/>
                <w:sz w:val="18"/>
              </w:rPr>
            </w:pPr>
            <w:r w:rsidRPr="009A59E7">
              <w:rPr>
                <w:rFonts w:ascii="Times New Roman" w:hAnsi="Times New Roman"/>
                <w:b/>
                <w:sz w:val="18"/>
              </w:rPr>
              <w:t>VIREAD</w:t>
            </w:r>
            <w:r w:rsidRPr="009A59E7">
              <w:rPr>
                <w:rFonts w:ascii="Times New Roman" w:hAnsi="Times New Roman"/>
                <w:b/>
                <w:sz w:val="18"/>
              </w:rPr>
              <w:br/>
              <w:t>(N=368)</w:t>
            </w:r>
            <w:r w:rsidRPr="009A59E7">
              <w:rPr>
                <w:rFonts w:ascii="Times New Roman" w:hAnsi="Times New Roman"/>
                <w:b/>
                <w:sz w:val="18"/>
              </w:rPr>
              <w:br/>
              <w:t>(Week 0–48)</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571B28" w:rsidRPr="009A59E7" w:rsidRDefault="00571B28">
            <w:pPr>
              <w:spacing w:before="60" w:after="60"/>
              <w:jc w:val="center"/>
              <w:rPr>
                <w:rFonts w:ascii="Times New Roman" w:hAnsi="Times New Roman"/>
                <w:b/>
                <w:sz w:val="18"/>
              </w:rPr>
            </w:pPr>
            <w:r w:rsidRPr="009A59E7">
              <w:rPr>
                <w:rFonts w:ascii="Times New Roman" w:hAnsi="Times New Roman"/>
                <w:b/>
                <w:sz w:val="18"/>
              </w:rPr>
              <w:t>Placebo Crossover to VIREAD</w:t>
            </w:r>
            <w:r w:rsidRPr="009A59E7">
              <w:rPr>
                <w:rFonts w:ascii="Times New Roman" w:hAnsi="Times New Roman"/>
                <w:b/>
                <w:sz w:val="18"/>
              </w:rPr>
              <w:br/>
              <w:t>(N=170)</w:t>
            </w:r>
            <w:r w:rsidRPr="009A59E7">
              <w:rPr>
                <w:rFonts w:ascii="Times New Roman" w:hAnsi="Times New Roman"/>
                <w:b/>
                <w:sz w:val="18"/>
              </w:rPr>
              <w:br/>
              <w:t>(Week 24–48)</w:t>
            </w:r>
          </w:p>
        </w:tc>
      </w:tr>
      <w:tr w:rsidR="00571B28" w:rsidRPr="009A59E7" w:rsidTr="00D22E3D">
        <w:tc>
          <w:tcPr>
            <w:tcW w:w="3420" w:type="dxa"/>
            <w:vMerge/>
            <w:tcBorders>
              <w:left w:val="single" w:sz="4" w:space="0" w:color="auto"/>
              <w:bottom w:val="single" w:sz="4" w:space="0" w:color="auto"/>
              <w:right w:val="single" w:sz="4" w:space="0" w:color="auto"/>
            </w:tcBorders>
            <w:shd w:val="clear" w:color="auto" w:fill="auto"/>
          </w:tcPr>
          <w:p w:rsidR="00571B28" w:rsidRPr="009A59E7" w:rsidRDefault="00571B28">
            <w:pPr>
              <w:spacing w:before="60" w:after="60"/>
              <w:rPr>
                <w:rFonts w:ascii="Times New Roman" w:hAnsi="Times New Roman"/>
                <w:sz w:val="18"/>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71B28" w:rsidRPr="009A59E7" w:rsidRDefault="00571B28">
            <w:pPr>
              <w:spacing w:before="60" w:after="60"/>
              <w:jc w:val="center"/>
              <w:rPr>
                <w:rFonts w:ascii="Times New Roman" w:hAnsi="Times New Roman"/>
                <w:sz w:val="18"/>
              </w:rPr>
            </w:pPr>
            <w:r w:rsidRPr="009A59E7">
              <w:rPr>
                <w:rFonts w:ascii="Times New Roman" w:hAnsi="Times New Roman"/>
                <w:b/>
                <w:sz w:val="18"/>
              </w:rPr>
              <w:t>(%)</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71B28" w:rsidRPr="009A59E7" w:rsidRDefault="00571B28">
            <w:pPr>
              <w:spacing w:before="60" w:after="60"/>
              <w:ind w:right="-110"/>
              <w:jc w:val="center"/>
              <w:rPr>
                <w:rFonts w:ascii="Times New Roman" w:hAnsi="Times New Roman"/>
                <w:sz w:val="18"/>
              </w:rPr>
            </w:pPr>
            <w:r w:rsidRPr="009A59E7">
              <w:rPr>
                <w:rFonts w:ascii="Times New Roman" w:hAnsi="Times New Roman"/>
                <w:b/>
                <w:sz w:val="18"/>
              </w:rPr>
              <w:t>(%)</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571B28" w:rsidRPr="009A59E7" w:rsidRDefault="00571B28">
            <w:pPr>
              <w:spacing w:before="60" w:after="60"/>
              <w:ind w:right="-66"/>
              <w:jc w:val="center"/>
              <w:rPr>
                <w:rFonts w:ascii="Times New Roman" w:hAnsi="Times New Roman"/>
                <w:sz w:val="18"/>
              </w:rPr>
            </w:pPr>
            <w:r w:rsidRPr="009A59E7">
              <w:rPr>
                <w:rFonts w:ascii="Times New Roman" w:hAnsi="Times New Roman"/>
                <w:b/>
                <w:sz w:val="18"/>
              </w:rPr>
              <w:t>(%)</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571B28" w:rsidRPr="009A59E7" w:rsidRDefault="00571B28">
            <w:pPr>
              <w:spacing w:before="60" w:after="60"/>
              <w:ind w:right="-156"/>
              <w:jc w:val="center"/>
              <w:rPr>
                <w:rFonts w:ascii="Times New Roman" w:hAnsi="Times New Roman"/>
                <w:sz w:val="18"/>
              </w:rPr>
            </w:pPr>
            <w:r w:rsidRPr="009A59E7">
              <w:rPr>
                <w:rFonts w:ascii="Times New Roman" w:hAnsi="Times New Roman"/>
                <w:b/>
                <w:sz w:val="18"/>
              </w:rPr>
              <w:t>(%)</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rPr>
                <w:rFonts w:ascii="Times New Roman" w:hAnsi="Times New Roman"/>
                <w:sz w:val="18"/>
              </w:rPr>
            </w:pPr>
            <w:r w:rsidRPr="009A59E7">
              <w:rPr>
                <w:rFonts w:ascii="Times New Roman" w:hAnsi="Times New Roman"/>
                <w:sz w:val="18"/>
              </w:rPr>
              <w:t xml:space="preserve">Any </w:t>
            </w:r>
            <w:r w:rsidRPr="009A59E7">
              <w:rPr>
                <w:rFonts w:ascii="Times New Roman" w:hAnsi="Times New Roman"/>
                <w:sz w:val="18"/>
              </w:rPr>
              <w:sym w:font="Symbol" w:char="00B3"/>
            </w:r>
            <w:r w:rsidRPr="009A59E7">
              <w:rPr>
                <w:rFonts w:ascii="Times New Roman" w:hAnsi="Times New Roman"/>
                <w:sz w:val="18"/>
              </w:rPr>
              <w:t xml:space="preserve"> Grade 3 Laboratory Abnormality</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25%</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38%</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34%</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rPr>
                <w:rFonts w:ascii="Times New Roman" w:hAnsi="Times New Roman"/>
                <w:sz w:val="18"/>
              </w:rPr>
            </w:pPr>
            <w:r w:rsidRPr="009A59E7">
              <w:rPr>
                <w:rFonts w:ascii="Times New Roman" w:hAnsi="Times New Roman"/>
                <w:sz w:val="18"/>
              </w:rPr>
              <w:t>Triglycerides (&gt;750 mg/dL)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8%</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13%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11%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9%</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79348A" w:rsidRDefault="000575C8">
            <w:pPr>
              <w:tabs>
                <w:tab w:val="left" w:pos="342"/>
              </w:tabs>
              <w:spacing w:before="60"/>
              <w:rPr>
                <w:rFonts w:ascii="Times New Roman" w:hAnsi="Times New Roman"/>
                <w:sz w:val="18"/>
                <w:lang w:val="es-ES"/>
              </w:rPr>
            </w:pPr>
            <w:r w:rsidRPr="0079348A">
              <w:rPr>
                <w:rFonts w:ascii="Times New Roman" w:hAnsi="Times New Roman"/>
                <w:sz w:val="18"/>
                <w:lang w:val="es-ES"/>
              </w:rPr>
              <w:t>Creatine Kinase</w:t>
            </w:r>
          </w:p>
          <w:p w:rsidR="000575C8" w:rsidRPr="0079348A" w:rsidRDefault="000575C8">
            <w:pPr>
              <w:tabs>
                <w:tab w:val="left" w:pos="342"/>
              </w:tabs>
              <w:rPr>
                <w:rFonts w:ascii="Times New Roman" w:hAnsi="Times New Roman"/>
                <w:sz w:val="18"/>
                <w:lang w:val="es-ES"/>
              </w:rPr>
            </w:pPr>
            <w:r w:rsidRPr="0079348A">
              <w:rPr>
                <w:rFonts w:ascii="Times New Roman" w:hAnsi="Times New Roman"/>
                <w:sz w:val="18"/>
                <w:lang w:val="es-ES"/>
              </w:rPr>
              <w:t>(M:</w:t>
            </w:r>
            <w:r w:rsidRPr="0079348A">
              <w:rPr>
                <w:rFonts w:ascii="Times New Roman" w:hAnsi="Times New Roman"/>
                <w:sz w:val="18"/>
                <w:lang w:val="es-ES"/>
              </w:rPr>
              <w:tab/>
              <w:t>&gt;990U/L)</w:t>
            </w:r>
          </w:p>
          <w:p w:rsidR="000575C8" w:rsidRPr="009A59E7" w:rsidRDefault="000575C8">
            <w:pPr>
              <w:tabs>
                <w:tab w:val="left" w:pos="342"/>
              </w:tabs>
              <w:spacing w:after="60"/>
              <w:rPr>
                <w:rFonts w:ascii="Times New Roman" w:hAnsi="Times New Roman"/>
                <w:sz w:val="18"/>
              </w:rPr>
            </w:pPr>
            <w:r w:rsidRPr="009A59E7">
              <w:rPr>
                <w:rFonts w:ascii="Times New Roman" w:hAnsi="Times New Roman"/>
                <w:sz w:val="18"/>
              </w:rPr>
              <w:t>(F:</w:t>
            </w:r>
            <w:r w:rsidRPr="009A59E7">
              <w:rPr>
                <w:rFonts w:ascii="Times New Roman" w:hAnsi="Times New Roman"/>
                <w:sz w:val="18"/>
              </w:rPr>
              <w:tab/>
              <w:t>&gt;845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7%</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14%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12%</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left" w:pos="342"/>
              </w:tabs>
              <w:spacing w:before="80" w:after="60"/>
              <w:rPr>
                <w:rFonts w:ascii="Times New Roman" w:hAnsi="Times New Roman"/>
                <w:sz w:val="18"/>
              </w:rPr>
            </w:pPr>
            <w:r w:rsidRPr="009A59E7">
              <w:rPr>
                <w:rFonts w:ascii="Times New Roman" w:hAnsi="Times New Roman"/>
                <w:sz w:val="18"/>
              </w:rPr>
              <w:t>Serum Amylase (&gt;175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80" w:after="60"/>
              <w:jc w:val="center"/>
              <w:rPr>
                <w:rFonts w:ascii="Times New Roman" w:hAnsi="Times New Roman"/>
                <w:sz w:val="18"/>
              </w:rPr>
            </w:pPr>
            <w:r w:rsidRPr="009A59E7">
              <w:rPr>
                <w:rFonts w:ascii="Times New Roman" w:hAnsi="Times New Roman"/>
                <w:sz w:val="18"/>
              </w:rPr>
              <w:t>6%</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80" w:after="60"/>
              <w:ind w:right="-110"/>
              <w:jc w:val="center"/>
              <w:rPr>
                <w:rFonts w:ascii="Times New Roman" w:hAnsi="Times New Roman"/>
                <w:sz w:val="18"/>
              </w:rPr>
            </w:pPr>
            <w:r w:rsidRPr="009A59E7">
              <w:rPr>
                <w:rFonts w:ascii="Times New Roman" w:hAnsi="Times New Roman"/>
                <w:sz w:val="18"/>
              </w:rPr>
              <w:t>7%</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80" w:after="60"/>
              <w:ind w:right="-156"/>
              <w:jc w:val="center"/>
              <w:rPr>
                <w:rFonts w:ascii="Times New Roman" w:hAnsi="Times New Roman"/>
                <w:sz w:val="18"/>
              </w:rPr>
            </w:pPr>
            <w:r w:rsidRPr="009A59E7">
              <w:rPr>
                <w:rFonts w:ascii="Times New Roman" w:hAnsi="Times New Roman"/>
                <w:sz w:val="18"/>
              </w:rPr>
              <w:t>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80" w:after="60"/>
              <w:ind w:right="-156"/>
              <w:jc w:val="center"/>
              <w:rPr>
                <w:rFonts w:ascii="Times New Roman" w:hAnsi="Times New Roman"/>
                <w:sz w:val="18"/>
              </w:rPr>
            </w:pPr>
            <w:r w:rsidRPr="009A59E7">
              <w:rPr>
                <w:rFonts w:ascii="Times New Roman" w:hAnsi="Times New Roman"/>
                <w:sz w:val="18"/>
              </w:rPr>
              <w:t>6%</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left" w:pos="342"/>
              </w:tabs>
              <w:spacing w:before="60" w:after="60"/>
              <w:rPr>
                <w:rFonts w:ascii="Times New Roman" w:hAnsi="Times New Roman"/>
                <w:sz w:val="18"/>
              </w:rPr>
            </w:pPr>
            <w:r w:rsidRPr="009A59E7">
              <w:rPr>
                <w:rFonts w:ascii="Times New Roman" w:hAnsi="Times New Roman"/>
                <w:sz w:val="18"/>
              </w:rPr>
              <w:t>Urine Glucose</w:t>
            </w:r>
            <w:r w:rsidR="00E0554B" w:rsidRPr="009A59E7">
              <w:rPr>
                <w:rFonts w:ascii="Times New Roman" w:hAnsi="Times New Roman"/>
                <w:sz w:val="18"/>
              </w:rPr>
              <w:t xml:space="preserve"> </w:t>
            </w:r>
            <w:r w:rsidRPr="009A59E7">
              <w:rPr>
                <w:rFonts w:ascii="Times New Roman" w:hAnsi="Times New Roman"/>
                <w:sz w:val="18"/>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2%</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tcPr>
          <w:p w:rsidR="000575C8" w:rsidRPr="009A59E7" w:rsidRDefault="000575C8">
            <w:pPr>
              <w:tabs>
                <w:tab w:val="left" w:pos="342"/>
              </w:tabs>
              <w:spacing w:before="60" w:after="60"/>
              <w:rPr>
                <w:rFonts w:ascii="Times New Roman" w:hAnsi="Times New Roman"/>
                <w:sz w:val="18"/>
              </w:rPr>
            </w:pPr>
            <w:r w:rsidRPr="009A59E7">
              <w:rPr>
                <w:rFonts w:ascii="Times New Roman" w:hAnsi="Times New Roman"/>
                <w:sz w:val="18"/>
              </w:rPr>
              <w:t>AST</w:t>
            </w:r>
            <w:r w:rsidRPr="009A59E7">
              <w:rPr>
                <w:rFonts w:ascii="Times New Roman" w:hAnsi="Times New Roman"/>
                <w:sz w:val="18"/>
              </w:rPr>
              <w:br/>
              <w:t>(M:</w:t>
            </w:r>
            <w:r w:rsidRPr="009A59E7">
              <w:rPr>
                <w:rFonts w:ascii="Times New Roman" w:hAnsi="Times New Roman"/>
                <w:sz w:val="18"/>
              </w:rPr>
              <w:tab/>
              <w:t>&gt;180 U/L)</w:t>
            </w:r>
            <w:r w:rsidRPr="009A59E7">
              <w:rPr>
                <w:rFonts w:ascii="Times New Roman" w:hAnsi="Times New Roman"/>
                <w:sz w:val="18"/>
              </w:rPr>
              <w:br/>
              <w:t>(F:</w:t>
            </w:r>
            <w:r w:rsidRPr="009A59E7">
              <w:rPr>
                <w:rFonts w:ascii="Times New Roman" w:hAnsi="Times New Roman"/>
                <w:sz w:val="18"/>
              </w:rPr>
              <w:tab/>
              <w:t>&gt;170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5%</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tcPr>
          <w:p w:rsidR="000575C8" w:rsidRPr="009A59E7" w:rsidRDefault="000575C8">
            <w:pPr>
              <w:tabs>
                <w:tab w:val="left" w:pos="342"/>
              </w:tabs>
              <w:spacing w:before="60" w:after="60"/>
              <w:rPr>
                <w:rFonts w:ascii="Times New Roman" w:hAnsi="Times New Roman"/>
                <w:sz w:val="18"/>
              </w:rPr>
            </w:pPr>
            <w:r w:rsidRPr="009A59E7">
              <w:rPr>
                <w:rFonts w:ascii="Times New Roman" w:hAnsi="Times New Roman"/>
                <w:sz w:val="18"/>
              </w:rPr>
              <w:t>ALT</w:t>
            </w:r>
            <w:r w:rsidRPr="009A59E7">
              <w:rPr>
                <w:rFonts w:ascii="Times New Roman" w:hAnsi="Times New Roman"/>
                <w:sz w:val="18"/>
              </w:rPr>
              <w:br/>
              <w:t>(M:</w:t>
            </w:r>
            <w:r w:rsidRPr="009A59E7">
              <w:rPr>
                <w:rFonts w:ascii="Times New Roman" w:hAnsi="Times New Roman"/>
                <w:sz w:val="18"/>
              </w:rPr>
              <w:tab/>
              <w:t>&gt;215 U/L)</w:t>
            </w:r>
            <w:r w:rsidRPr="009A59E7">
              <w:rPr>
                <w:rFonts w:ascii="Times New Roman" w:hAnsi="Times New Roman"/>
                <w:sz w:val="18"/>
              </w:rPr>
              <w:br/>
              <w:t>(F:</w:t>
            </w:r>
            <w:r w:rsidRPr="009A59E7">
              <w:rPr>
                <w:rFonts w:ascii="Times New Roman" w:hAnsi="Times New Roman"/>
                <w:sz w:val="18"/>
              </w:rPr>
              <w:tab/>
              <w:t>&gt;170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2%</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2%</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5%</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rPr>
                <w:rFonts w:ascii="Times New Roman" w:hAnsi="Times New Roman"/>
                <w:sz w:val="18"/>
              </w:rPr>
            </w:pPr>
            <w:r w:rsidRPr="009A59E7">
              <w:rPr>
                <w:rFonts w:ascii="Times New Roman" w:hAnsi="Times New Roman"/>
                <w:sz w:val="18"/>
              </w:rPr>
              <w:t>Serum Glucose (&gt;250 U/L)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2%</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4%</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3%</w:t>
            </w:r>
          </w:p>
        </w:tc>
      </w:tr>
      <w:tr w:rsidR="000575C8" w:rsidRPr="009A59E7">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rPr>
                <w:rFonts w:ascii="Times New Roman" w:hAnsi="Times New Roman"/>
                <w:sz w:val="18"/>
              </w:rPr>
            </w:pPr>
            <w:r w:rsidRPr="009A59E7">
              <w:rPr>
                <w:rFonts w:ascii="Times New Roman" w:hAnsi="Times New Roman"/>
                <w:sz w:val="18"/>
              </w:rPr>
              <w:t>Neutrophils (&lt;750 mg/dL)</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jc w:val="center"/>
              <w:rPr>
                <w:rFonts w:ascii="Times New Roman" w:hAnsi="Times New Roman"/>
                <w:sz w:val="18"/>
              </w:rPr>
            </w:pPr>
            <w:r w:rsidRPr="009A59E7">
              <w:rPr>
                <w:rFonts w:ascii="Times New Roman" w:hAnsi="Times New Roman"/>
                <w:sz w:val="18"/>
              </w:rPr>
              <w:t>1%</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spacing w:before="60" w:after="60"/>
              <w:ind w:right="-110"/>
              <w:jc w:val="center"/>
              <w:rPr>
                <w:rFonts w:ascii="Times New Roman" w:hAnsi="Times New Roman"/>
                <w:sz w:val="18"/>
              </w:rPr>
            </w:pPr>
            <w:r w:rsidRPr="009A59E7">
              <w:rPr>
                <w:rFonts w:ascii="Times New Roman" w:hAnsi="Times New Roman"/>
                <w:sz w:val="18"/>
              </w:rPr>
              <w:t>1%</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64"/>
              </w:tabs>
              <w:spacing w:before="60" w:after="60"/>
              <w:ind w:right="-156"/>
              <w:jc w:val="center"/>
              <w:rPr>
                <w:rFonts w:ascii="Times New Roman" w:hAnsi="Times New Roman"/>
                <w:sz w:val="18"/>
              </w:rPr>
            </w:pPr>
            <w:r w:rsidRPr="009A59E7">
              <w:rPr>
                <w:rFonts w:ascii="Times New Roman" w:hAnsi="Times New Roman"/>
                <w:sz w:val="18"/>
              </w:rPr>
              <w:t>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0575C8" w:rsidRPr="009A59E7" w:rsidRDefault="000575C8">
            <w:pPr>
              <w:tabs>
                <w:tab w:val="right" w:pos="1020"/>
              </w:tabs>
              <w:spacing w:before="60" w:after="60"/>
              <w:ind w:right="-156"/>
              <w:jc w:val="center"/>
              <w:rPr>
                <w:rFonts w:ascii="Times New Roman" w:hAnsi="Times New Roman"/>
                <w:sz w:val="18"/>
              </w:rPr>
            </w:pPr>
            <w:r w:rsidRPr="009A59E7">
              <w:rPr>
                <w:rFonts w:ascii="Times New Roman" w:hAnsi="Times New Roman"/>
                <w:sz w:val="18"/>
              </w:rPr>
              <w:t>1%</w:t>
            </w:r>
          </w:p>
        </w:tc>
      </w:tr>
    </w:tbl>
    <w:p w:rsidR="002163CD" w:rsidRDefault="002163CD" w:rsidP="00EB4111">
      <w:pPr>
        <w:jc w:val="both"/>
        <w:rPr>
          <w:rFonts w:ascii="Times New Roman" w:hAnsi="Times New Roman"/>
          <w:b/>
          <w:i/>
          <w:sz w:val="22"/>
          <w:szCs w:val="22"/>
        </w:rPr>
      </w:pPr>
    </w:p>
    <w:p w:rsidR="00EB4111" w:rsidRPr="00015C34" w:rsidRDefault="00EB4111" w:rsidP="00EB4111">
      <w:pPr>
        <w:jc w:val="both"/>
        <w:rPr>
          <w:rFonts w:ascii="Times New Roman" w:hAnsi="Times New Roman"/>
          <w:b/>
          <w:i/>
          <w:sz w:val="24"/>
          <w:szCs w:val="24"/>
        </w:rPr>
      </w:pPr>
    </w:p>
    <w:p w:rsidR="000575C8" w:rsidRPr="00015C34" w:rsidRDefault="000575C8" w:rsidP="00EB4111">
      <w:pPr>
        <w:jc w:val="both"/>
        <w:rPr>
          <w:rFonts w:ascii="Times New Roman" w:hAnsi="Times New Roman"/>
          <w:b/>
          <w:i/>
          <w:sz w:val="24"/>
          <w:szCs w:val="24"/>
        </w:rPr>
      </w:pPr>
      <w:r w:rsidRPr="00015C34">
        <w:rPr>
          <w:rFonts w:ascii="Times New Roman" w:hAnsi="Times New Roman"/>
          <w:b/>
          <w:i/>
          <w:sz w:val="24"/>
          <w:szCs w:val="24"/>
        </w:rPr>
        <w:t xml:space="preserve">Treatment-Naïve </w:t>
      </w:r>
      <w:r w:rsidR="00FE1EFE">
        <w:rPr>
          <w:rFonts w:ascii="Times New Roman" w:hAnsi="Times New Roman"/>
          <w:b/>
          <w:i/>
          <w:sz w:val="24"/>
          <w:szCs w:val="24"/>
        </w:rPr>
        <w:t xml:space="preserve">Adult </w:t>
      </w:r>
      <w:r w:rsidRPr="00015C34">
        <w:rPr>
          <w:rFonts w:ascii="Times New Roman" w:hAnsi="Times New Roman"/>
          <w:b/>
          <w:i/>
          <w:sz w:val="24"/>
          <w:szCs w:val="24"/>
        </w:rPr>
        <w:t>Patients</w:t>
      </w:r>
    </w:p>
    <w:p w:rsidR="00EB4111" w:rsidRPr="00015C34" w:rsidRDefault="00EB4111" w:rsidP="00EB4111">
      <w:pPr>
        <w:jc w:val="both"/>
        <w:rPr>
          <w:rFonts w:ascii="Times New Roman" w:hAnsi="Times New Roman"/>
          <w:b/>
          <w:i/>
          <w:sz w:val="24"/>
          <w:szCs w:val="24"/>
        </w:rPr>
      </w:pPr>
    </w:p>
    <w:p w:rsidR="000575C8" w:rsidRPr="00015C34" w:rsidRDefault="000575C8" w:rsidP="00EB4111">
      <w:pPr>
        <w:jc w:val="both"/>
        <w:rPr>
          <w:rFonts w:ascii="Times New Roman" w:hAnsi="Times New Roman"/>
          <w:sz w:val="24"/>
          <w:szCs w:val="24"/>
        </w:rPr>
      </w:pPr>
      <w:r w:rsidRPr="00015C34">
        <w:rPr>
          <w:rFonts w:ascii="Times New Roman" w:hAnsi="Times New Roman"/>
          <w:b/>
          <w:sz w:val="24"/>
          <w:szCs w:val="24"/>
        </w:rPr>
        <w:t>Treatment-Emergent Adverse Events:</w:t>
      </w:r>
      <w:r w:rsidRPr="00015C34">
        <w:rPr>
          <w:rFonts w:ascii="Times New Roman" w:hAnsi="Times New Roman"/>
          <w:sz w:val="24"/>
          <w:szCs w:val="24"/>
        </w:rPr>
        <w:t xml:space="preserve">  The adverse reactions seen in a double</w:t>
      </w:r>
      <w:r w:rsidRPr="00015C34">
        <w:rPr>
          <w:rFonts w:ascii="Times New Roman" w:hAnsi="Times New Roman"/>
          <w:sz w:val="24"/>
          <w:szCs w:val="24"/>
        </w:rPr>
        <w:noBreakHyphen/>
        <w:t xml:space="preserve">blind </w:t>
      </w:r>
      <w:r w:rsidR="006308F2" w:rsidRPr="00015C34">
        <w:rPr>
          <w:rFonts w:ascii="Times New Roman" w:hAnsi="Times New Roman"/>
          <w:sz w:val="24"/>
          <w:szCs w:val="24"/>
        </w:rPr>
        <w:t>active</w:t>
      </w:r>
      <w:r w:rsidRPr="00015C34">
        <w:rPr>
          <w:rFonts w:ascii="Times New Roman" w:hAnsi="Times New Roman"/>
          <w:sz w:val="24"/>
          <w:szCs w:val="24"/>
        </w:rPr>
        <w:t xml:space="preserve"> controlled study in which 600 treatment-naïve patients received VIREAD (N=299) or </w:t>
      </w:r>
      <w:r w:rsidR="00084420" w:rsidRPr="00015C34">
        <w:rPr>
          <w:rFonts w:ascii="Times New Roman" w:hAnsi="Times New Roman"/>
          <w:sz w:val="24"/>
          <w:szCs w:val="24"/>
        </w:rPr>
        <w:t>d4T</w:t>
      </w:r>
      <w:r w:rsidRPr="00015C34">
        <w:rPr>
          <w:rFonts w:ascii="Times New Roman" w:hAnsi="Times New Roman"/>
          <w:sz w:val="24"/>
          <w:szCs w:val="24"/>
        </w:rPr>
        <w:t xml:space="preserve"> (N=301) in combination with lamivudine and efavirenz for 144 weeks (Study 903) were </w:t>
      </w:r>
      <w:r w:rsidRPr="00015C34">
        <w:rPr>
          <w:rFonts w:ascii="Times New Roman" w:hAnsi="Times New Roman"/>
          <w:sz w:val="24"/>
          <w:szCs w:val="24"/>
        </w:rPr>
        <w:lastRenderedPageBreak/>
        <w:t xml:space="preserve">generally consistent, with the addition of dizziness, with those seen in treatment-experienced patients (Table </w:t>
      </w:r>
      <w:r w:rsidR="00220BF5" w:rsidRPr="00015C34">
        <w:rPr>
          <w:rFonts w:ascii="Times New Roman" w:hAnsi="Times New Roman"/>
          <w:sz w:val="24"/>
          <w:szCs w:val="24"/>
        </w:rPr>
        <w:t>1</w:t>
      </w:r>
      <w:r w:rsidR="00AB326F">
        <w:rPr>
          <w:rFonts w:ascii="Times New Roman" w:hAnsi="Times New Roman"/>
          <w:sz w:val="24"/>
          <w:szCs w:val="24"/>
        </w:rPr>
        <w:t>6</w:t>
      </w:r>
      <w:r w:rsidRPr="00015C34">
        <w:rPr>
          <w:rFonts w:ascii="Times New Roman" w:hAnsi="Times New Roman"/>
          <w:sz w:val="24"/>
          <w:szCs w:val="24"/>
        </w:rPr>
        <w:t>).</w:t>
      </w:r>
    </w:p>
    <w:p w:rsidR="00EB4111" w:rsidRPr="00015C34" w:rsidRDefault="00EB4111" w:rsidP="00EB4111">
      <w:pPr>
        <w:jc w:val="both"/>
        <w:rPr>
          <w:rFonts w:ascii="Times New Roman" w:hAnsi="Times New Roman"/>
          <w:sz w:val="24"/>
          <w:szCs w:val="24"/>
        </w:rPr>
      </w:pPr>
    </w:p>
    <w:p w:rsidR="000575C8" w:rsidRPr="00015C34" w:rsidRDefault="000575C8" w:rsidP="00EB4111">
      <w:pPr>
        <w:pStyle w:val="Text1"/>
        <w:spacing w:after="0"/>
        <w:jc w:val="both"/>
        <w:rPr>
          <w:szCs w:val="24"/>
          <w:lang w:val="en-AU"/>
        </w:rPr>
      </w:pPr>
      <w:r w:rsidRPr="00015C34">
        <w:rPr>
          <w:szCs w:val="24"/>
          <w:lang w:val="en-AU"/>
        </w:rPr>
        <w:t xml:space="preserve">Mild adverse events (Grade 1) were common with a similar incidence in both arms, and included dizziness, </w:t>
      </w:r>
      <w:r w:rsidR="00E44700" w:rsidRPr="00015C34">
        <w:rPr>
          <w:szCs w:val="24"/>
          <w:lang w:val="en-AU"/>
        </w:rPr>
        <w:t>diarrhoea</w:t>
      </w:r>
      <w:r w:rsidRPr="00015C34">
        <w:rPr>
          <w:szCs w:val="24"/>
          <w:lang w:val="en-AU"/>
        </w:rPr>
        <w:t xml:space="preserve"> and nausea.</w:t>
      </w:r>
    </w:p>
    <w:p w:rsidR="00C432F2" w:rsidRPr="00EB4111" w:rsidRDefault="00C432F2" w:rsidP="00EB4111">
      <w:pPr>
        <w:tabs>
          <w:tab w:val="left" w:pos="8820"/>
        </w:tabs>
        <w:jc w:val="both"/>
        <w:rPr>
          <w:rFonts w:ascii="Times New Roman" w:hAnsi="Times New Roman"/>
          <w:color w:val="000000"/>
          <w:sz w:val="22"/>
          <w:szCs w:val="22"/>
        </w:rPr>
      </w:pPr>
    </w:p>
    <w:p w:rsidR="00EF2ACA" w:rsidRPr="00EB4111" w:rsidRDefault="00976199" w:rsidP="00EF2ACA">
      <w:pPr>
        <w:pStyle w:val="BodyText"/>
        <w:tabs>
          <w:tab w:val="left" w:pos="720"/>
        </w:tabs>
        <w:spacing w:after="60"/>
        <w:ind w:left="1267" w:right="72" w:hanging="1267"/>
        <w:rPr>
          <w:b/>
          <w:color w:val="auto"/>
          <w:sz w:val="22"/>
          <w:szCs w:val="22"/>
        </w:rPr>
      </w:pPr>
      <w:r>
        <w:rPr>
          <w:b/>
          <w:color w:val="auto"/>
          <w:sz w:val="22"/>
          <w:szCs w:val="22"/>
        </w:rPr>
        <w:br w:type="page"/>
      </w:r>
      <w:r w:rsidR="00EF2ACA" w:rsidRPr="00EB4111">
        <w:rPr>
          <w:b/>
          <w:color w:val="auto"/>
          <w:sz w:val="22"/>
          <w:szCs w:val="22"/>
        </w:rPr>
        <w:lastRenderedPageBreak/>
        <w:t xml:space="preserve">Table </w:t>
      </w:r>
      <w:r w:rsidR="00220BF5">
        <w:rPr>
          <w:b/>
          <w:color w:val="auto"/>
          <w:sz w:val="22"/>
          <w:szCs w:val="22"/>
        </w:rPr>
        <w:t>1</w:t>
      </w:r>
      <w:r w:rsidR="0044536D">
        <w:rPr>
          <w:b/>
          <w:color w:val="auto"/>
          <w:sz w:val="22"/>
          <w:szCs w:val="22"/>
        </w:rPr>
        <w:t>6</w:t>
      </w:r>
      <w:r w:rsidR="00EF2ACA" w:rsidRPr="00EB4111">
        <w:rPr>
          <w:b/>
          <w:color w:val="auto"/>
          <w:sz w:val="22"/>
          <w:szCs w:val="22"/>
        </w:rPr>
        <w:t>.</w:t>
      </w:r>
      <w:r w:rsidR="00EF2ACA" w:rsidRPr="00EB4111">
        <w:rPr>
          <w:b/>
          <w:color w:val="auto"/>
          <w:sz w:val="22"/>
          <w:szCs w:val="22"/>
        </w:rPr>
        <w:tab/>
        <w:t>Selected Treatment-Emergent Adverse Events (Grades 2–4) Reported in ≥5% in Any Treatment Group in Study 903 (0–144 weeks)</w:t>
      </w:r>
    </w:p>
    <w:tbl>
      <w:tblPr>
        <w:tblW w:w="9352"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tblPr>
      <w:tblGrid>
        <w:gridCol w:w="2992"/>
        <w:gridCol w:w="3180"/>
        <w:gridCol w:w="3180"/>
      </w:tblGrid>
      <w:tr w:rsidR="00571B28" w:rsidRPr="009A59E7" w:rsidTr="00D22E3D">
        <w:trPr>
          <w:trHeight w:val="371"/>
        </w:trPr>
        <w:tc>
          <w:tcPr>
            <w:tcW w:w="2992" w:type="dxa"/>
            <w:vMerge w:val="restart"/>
            <w:tcBorders>
              <w:top w:val="single" w:sz="4" w:space="0" w:color="auto"/>
              <w:left w:val="single" w:sz="4" w:space="0" w:color="auto"/>
              <w:right w:val="single" w:sz="6" w:space="0" w:color="000000"/>
            </w:tcBorders>
            <w:shd w:val="clear" w:color="auto" w:fill="auto"/>
            <w:vAlign w:val="center"/>
          </w:tcPr>
          <w:p w:rsidR="00571B28" w:rsidRPr="009A59E7" w:rsidRDefault="00571B28">
            <w:pPr>
              <w:spacing w:before="60" w:after="60"/>
              <w:jc w:val="center"/>
              <w:rPr>
                <w:rFonts w:ascii="Times New Roman" w:hAnsi="Times New Roman"/>
                <w:b/>
              </w:rPr>
            </w:pPr>
          </w:p>
        </w:tc>
        <w:tc>
          <w:tcPr>
            <w:tcW w:w="3180" w:type="dxa"/>
            <w:tcBorders>
              <w:top w:val="single" w:sz="4" w:space="0" w:color="auto"/>
              <w:left w:val="single" w:sz="6" w:space="0" w:color="000000"/>
              <w:bottom w:val="single" w:sz="6" w:space="0" w:color="000000"/>
              <w:right w:val="single" w:sz="6" w:space="0" w:color="000000"/>
            </w:tcBorders>
            <w:shd w:val="clear" w:color="auto" w:fill="auto"/>
            <w:vAlign w:val="center"/>
          </w:tcPr>
          <w:p w:rsidR="00571B28" w:rsidRPr="009A59E7" w:rsidRDefault="00571B28">
            <w:pPr>
              <w:pStyle w:val="Table-Text"/>
              <w:spacing w:before="60" w:after="60"/>
              <w:jc w:val="center"/>
              <w:rPr>
                <w:b/>
                <w:sz w:val="20"/>
                <w:lang w:val="en-AU"/>
              </w:rPr>
            </w:pPr>
            <w:r w:rsidRPr="009A59E7">
              <w:rPr>
                <w:b/>
                <w:sz w:val="20"/>
                <w:lang w:val="en-AU"/>
              </w:rPr>
              <w:t>VIREAD+3TC+EFV</w:t>
            </w:r>
          </w:p>
        </w:tc>
        <w:tc>
          <w:tcPr>
            <w:tcW w:w="3180" w:type="dxa"/>
            <w:tcBorders>
              <w:top w:val="single" w:sz="4" w:space="0" w:color="auto"/>
              <w:left w:val="single" w:sz="6" w:space="0" w:color="000000"/>
              <w:bottom w:val="single" w:sz="6" w:space="0" w:color="000000"/>
              <w:right w:val="single" w:sz="4" w:space="0" w:color="auto"/>
            </w:tcBorders>
            <w:shd w:val="clear" w:color="auto" w:fill="auto"/>
            <w:vAlign w:val="center"/>
          </w:tcPr>
          <w:p w:rsidR="00571B28" w:rsidRPr="009A59E7" w:rsidRDefault="00571B28">
            <w:pPr>
              <w:spacing w:before="60" w:after="60"/>
              <w:jc w:val="center"/>
              <w:rPr>
                <w:rFonts w:ascii="Times New Roman" w:hAnsi="Times New Roman"/>
                <w:b/>
              </w:rPr>
            </w:pPr>
            <w:r w:rsidRPr="009A59E7">
              <w:rPr>
                <w:rFonts w:ascii="Times New Roman" w:hAnsi="Times New Roman"/>
                <w:b/>
              </w:rPr>
              <w:t>d4T+3TC+EFV</w:t>
            </w:r>
          </w:p>
        </w:tc>
      </w:tr>
      <w:tr w:rsidR="00571B28" w:rsidRPr="009A59E7" w:rsidTr="00D22E3D">
        <w:trPr>
          <w:trHeight w:val="371"/>
        </w:trPr>
        <w:tc>
          <w:tcPr>
            <w:tcW w:w="2992" w:type="dxa"/>
            <w:vMerge/>
            <w:tcBorders>
              <w:left w:val="single" w:sz="4" w:space="0" w:color="auto"/>
              <w:bottom w:val="single" w:sz="4" w:space="0" w:color="auto"/>
              <w:right w:val="single" w:sz="6" w:space="0" w:color="000000"/>
            </w:tcBorders>
            <w:shd w:val="clear" w:color="auto" w:fill="auto"/>
            <w:vAlign w:val="center"/>
          </w:tcPr>
          <w:p w:rsidR="00571B28" w:rsidRPr="009A59E7" w:rsidRDefault="00571B28">
            <w:pPr>
              <w:spacing w:before="60" w:after="60"/>
              <w:rPr>
                <w:rFonts w:ascii="Times New Roman" w:hAnsi="Times New Roman"/>
              </w:rPr>
            </w:pPr>
          </w:p>
        </w:tc>
        <w:tc>
          <w:tcPr>
            <w:tcW w:w="3180" w:type="dxa"/>
            <w:tcBorders>
              <w:top w:val="single" w:sz="6" w:space="0" w:color="000000"/>
              <w:left w:val="single" w:sz="6" w:space="0" w:color="000000"/>
              <w:bottom w:val="single" w:sz="4" w:space="0" w:color="auto"/>
              <w:right w:val="single" w:sz="6" w:space="0" w:color="000000"/>
            </w:tcBorders>
            <w:shd w:val="clear" w:color="auto" w:fill="auto"/>
            <w:vAlign w:val="center"/>
          </w:tcPr>
          <w:p w:rsidR="00571B28" w:rsidRPr="009A59E7" w:rsidRDefault="00571B28">
            <w:pPr>
              <w:spacing w:before="60" w:after="60"/>
              <w:jc w:val="center"/>
              <w:rPr>
                <w:rFonts w:ascii="Times New Roman" w:hAnsi="Times New Roman"/>
                <w:b/>
              </w:rPr>
            </w:pPr>
            <w:r w:rsidRPr="009A59E7">
              <w:rPr>
                <w:rFonts w:ascii="Times New Roman" w:hAnsi="Times New Roman"/>
                <w:b/>
              </w:rPr>
              <w:t>N=299</w:t>
            </w:r>
          </w:p>
        </w:tc>
        <w:tc>
          <w:tcPr>
            <w:tcW w:w="3180" w:type="dxa"/>
            <w:tcBorders>
              <w:top w:val="single" w:sz="6" w:space="0" w:color="000000"/>
              <w:left w:val="single" w:sz="6" w:space="0" w:color="000000"/>
              <w:bottom w:val="single" w:sz="4" w:space="0" w:color="auto"/>
              <w:right w:val="single" w:sz="4" w:space="0" w:color="auto"/>
            </w:tcBorders>
            <w:shd w:val="clear" w:color="auto" w:fill="auto"/>
            <w:vAlign w:val="center"/>
          </w:tcPr>
          <w:p w:rsidR="00571B28" w:rsidRPr="009A59E7" w:rsidRDefault="00571B28">
            <w:pPr>
              <w:spacing w:before="60" w:after="60"/>
              <w:jc w:val="center"/>
              <w:rPr>
                <w:rFonts w:ascii="Times New Roman" w:hAnsi="Times New Roman"/>
                <w:b/>
              </w:rPr>
            </w:pPr>
            <w:r w:rsidRPr="009A59E7">
              <w:rPr>
                <w:rFonts w:ascii="Times New Roman" w:hAnsi="Times New Roman"/>
                <w:b/>
              </w:rPr>
              <w:t>N=301</w:t>
            </w:r>
          </w:p>
        </w:tc>
      </w:tr>
      <w:tr w:rsidR="00EF2ACA" w:rsidRPr="009A59E7">
        <w:trPr>
          <w:trHeight w:val="322"/>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Body as a Whole</w:t>
            </w:r>
          </w:p>
        </w:tc>
        <w:tc>
          <w:tcPr>
            <w:tcW w:w="3180" w:type="dxa"/>
            <w:tcBorders>
              <w:top w:val="single" w:sz="4" w:space="0" w:color="auto"/>
              <w:left w:val="single" w:sz="4" w:space="0" w:color="auto"/>
              <w:bottom w:val="nil"/>
              <w:right w:val="single" w:sz="4" w:space="0" w:color="auto"/>
            </w:tcBorders>
            <w:shd w:val="clear" w:color="auto" w:fill="auto"/>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tcPr>
          <w:p w:rsidR="00EF2ACA" w:rsidRPr="009A59E7" w:rsidRDefault="00EF2ACA">
            <w:pPr>
              <w:jc w:val="center"/>
              <w:rPr>
                <w:rFonts w:ascii="Times New Roman" w:hAnsi="Times New Roman"/>
              </w:rPr>
            </w:pP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Headache</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14%</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17%</w:t>
            </w: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Pain</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13%</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12%</w:t>
            </w:r>
          </w:p>
        </w:tc>
      </w:tr>
      <w:tr w:rsidR="0074475E" w:rsidRPr="009A59E7">
        <w:trPr>
          <w:trHeight w:val="274"/>
        </w:trPr>
        <w:tc>
          <w:tcPr>
            <w:tcW w:w="2992" w:type="dxa"/>
            <w:tcBorders>
              <w:top w:val="nil"/>
              <w:left w:val="single" w:sz="4" w:space="0" w:color="auto"/>
              <w:bottom w:val="nil"/>
              <w:right w:val="nil"/>
            </w:tcBorders>
            <w:shd w:val="clear" w:color="auto" w:fill="auto"/>
            <w:vAlign w:val="center"/>
          </w:tcPr>
          <w:p w:rsidR="0074475E" w:rsidRPr="009A59E7" w:rsidRDefault="0074475E" w:rsidP="00354A3E">
            <w:pPr>
              <w:spacing w:before="20"/>
              <w:ind w:firstLine="180"/>
              <w:rPr>
                <w:rFonts w:ascii="Times New Roman" w:hAnsi="Times New Roman"/>
              </w:rPr>
            </w:pPr>
            <w:r w:rsidRPr="009A59E7">
              <w:rPr>
                <w:rFonts w:ascii="Times New Roman" w:hAnsi="Times New Roman"/>
              </w:rPr>
              <w:t>Back Pain</w:t>
            </w:r>
          </w:p>
        </w:tc>
        <w:tc>
          <w:tcPr>
            <w:tcW w:w="3180" w:type="dxa"/>
            <w:tcBorders>
              <w:top w:val="nil"/>
              <w:left w:val="single" w:sz="4" w:space="0" w:color="auto"/>
              <w:bottom w:val="nil"/>
              <w:right w:val="single" w:sz="4" w:space="0" w:color="auto"/>
            </w:tcBorders>
            <w:shd w:val="clear" w:color="auto" w:fill="auto"/>
            <w:vAlign w:val="center"/>
          </w:tcPr>
          <w:p w:rsidR="0074475E" w:rsidRPr="009A59E7" w:rsidRDefault="0074475E" w:rsidP="00354A3E">
            <w:pPr>
              <w:tabs>
                <w:tab w:val="left" w:pos="-18"/>
                <w:tab w:val="left" w:pos="2844"/>
              </w:tabs>
              <w:spacing w:before="20"/>
              <w:jc w:val="center"/>
              <w:rPr>
                <w:rFonts w:ascii="Times New Roman" w:hAnsi="Times New Roman"/>
              </w:rPr>
            </w:pPr>
            <w:r w:rsidRPr="009A59E7">
              <w:rPr>
                <w:rFonts w:ascii="Times New Roman" w:hAnsi="Times New Roman"/>
              </w:rPr>
              <w:t>9%</w:t>
            </w:r>
          </w:p>
        </w:tc>
        <w:tc>
          <w:tcPr>
            <w:tcW w:w="3180" w:type="dxa"/>
            <w:tcBorders>
              <w:top w:val="nil"/>
              <w:left w:val="nil"/>
              <w:bottom w:val="nil"/>
              <w:right w:val="single" w:sz="4" w:space="0" w:color="auto"/>
            </w:tcBorders>
            <w:shd w:val="clear" w:color="auto" w:fill="auto"/>
            <w:vAlign w:val="center"/>
          </w:tcPr>
          <w:p w:rsidR="0074475E" w:rsidRPr="009A59E7" w:rsidRDefault="0074475E" w:rsidP="00354A3E">
            <w:pPr>
              <w:spacing w:before="20"/>
              <w:jc w:val="center"/>
              <w:rPr>
                <w:rFonts w:ascii="Times New Roman" w:hAnsi="Times New Roman"/>
              </w:rPr>
            </w:pPr>
            <w:r w:rsidRPr="009A59E7">
              <w:rPr>
                <w:rFonts w:ascii="Times New Roman" w:hAnsi="Times New Roman"/>
              </w:rPr>
              <w:t>8%</w:t>
            </w:r>
          </w:p>
        </w:tc>
      </w:tr>
      <w:tr w:rsidR="00EF2ACA" w:rsidRPr="009A59E7">
        <w:trPr>
          <w:trHeight w:val="258"/>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Fever</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8%</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7%</w:t>
            </w: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Abdominal Pain</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7%</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12%</w:t>
            </w:r>
          </w:p>
        </w:tc>
      </w:tr>
      <w:tr w:rsidR="00EF2ACA" w:rsidRPr="009A59E7">
        <w:trPr>
          <w:trHeight w:val="258"/>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Asthenia</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6%</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7%</w:t>
            </w:r>
          </w:p>
        </w:tc>
      </w:tr>
      <w:tr w:rsidR="00EF2ACA" w:rsidRPr="009A59E7">
        <w:trPr>
          <w:trHeight w:val="338"/>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Digestive System</w:t>
            </w:r>
          </w:p>
        </w:tc>
        <w:tc>
          <w:tcPr>
            <w:tcW w:w="3180" w:type="dxa"/>
            <w:tcBorders>
              <w:top w:val="single" w:sz="4" w:space="0" w:color="auto"/>
              <w:left w:val="single" w:sz="4" w:space="0" w:color="auto"/>
              <w:bottom w:val="nil"/>
              <w:right w:val="single" w:sz="4" w:space="0" w:color="auto"/>
            </w:tcBorders>
            <w:shd w:val="clear" w:color="auto" w:fill="auto"/>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tcPr>
          <w:p w:rsidR="00EF2ACA" w:rsidRPr="009A59E7" w:rsidRDefault="00EF2ACA">
            <w:pPr>
              <w:jc w:val="center"/>
              <w:rPr>
                <w:rFonts w:ascii="Times New Roman" w:hAnsi="Times New Roman"/>
              </w:rPr>
            </w:pPr>
          </w:p>
        </w:tc>
      </w:tr>
      <w:tr w:rsidR="00EF2ACA" w:rsidRPr="009A59E7">
        <w:trPr>
          <w:trHeight w:val="258"/>
        </w:trPr>
        <w:tc>
          <w:tcPr>
            <w:tcW w:w="2992" w:type="dxa"/>
            <w:tcBorders>
              <w:top w:val="nil"/>
              <w:left w:val="single" w:sz="4" w:space="0" w:color="auto"/>
              <w:bottom w:val="nil"/>
              <w:right w:val="nil"/>
            </w:tcBorders>
            <w:shd w:val="clear" w:color="auto" w:fill="auto"/>
            <w:vAlign w:val="center"/>
          </w:tcPr>
          <w:p w:rsidR="00EF2ACA" w:rsidRPr="009A59E7" w:rsidRDefault="00E44700">
            <w:pPr>
              <w:spacing w:before="20"/>
              <w:ind w:firstLine="180"/>
              <w:rPr>
                <w:rFonts w:ascii="Times New Roman" w:hAnsi="Times New Roman"/>
              </w:rPr>
            </w:pPr>
            <w:r w:rsidRPr="009A59E7">
              <w:rPr>
                <w:rFonts w:ascii="Times New Roman" w:hAnsi="Times New Roman"/>
              </w:rPr>
              <w:t>Diarrhoea</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11%</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13%</w:t>
            </w: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Nausea</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8%</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9%</w:t>
            </w:r>
          </w:p>
        </w:tc>
      </w:tr>
      <w:tr w:rsidR="00506E3A" w:rsidRPr="009A59E7">
        <w:trPr>
          <w:trHeight w:val="258"/>
        </w:trPr>
        <w:tc>
          <w:tcPr>
            <w:tcW w:w="2992" w:type="dxa"/>
            <w:tcBorders>
              <w:top w:val="nil"/>
              <w:left w:val="single" w:sz="4" w:space="0" w:color="auto"/>
              <w:bottom w:val="nil"/>
              <w:right w:val="nil"/>
            </w:tcBorders>
            <w:shd w:val="clear" w:color="auto" w:fill="auto"/>
            <w:vAlign w:val="center"/>
          </w:tcPr>
          <w:p w:rsidR="00506E3A" w:rsidRPr="009A59E7" w:rsidRDefault="00506E3A" w:rsidP="00354A3E">
            <w:pPr>
              <w:spacing w:before="20"/>
              <w:ind w:firstLine="180"/>
              <w:rPr>
                <w:rFonts w:ascii="Times New Roman" w:hAnsi="Times New Roman"/>
              </w:rPr>
            </w:pPr>
            <w:r w:rsidRPr="009A59E7">
              <w:rPr>
                <w:rFonts w:ascii="Times New Roman" w:hAnsi="Times New Roman"/>
              </w:rPr>
              <w:t>Vomiting</w:t>
            </w:r>
          </w:p>
        </w:tc>
        <w:tc>
          <w:tcPr>
            <w:tcW w:w="3180" w:type="dxa"/>
            <w:tcBorders>
              <w:top w:val="nil"/>
              <w:left w:val="single" w:sz="4" w:space="0" w:color="auto"/>
              <w:bottom w:val="nil"/>
              <w:right w:val="single" w:sz="4" w:space="0" w:color="auto"/>
            </w:tcBorders>
            <w:shd w:val="clear" w:color="auto" w:fill="auto"/>
            <w:vAlign w:val="center"/>
          </w:tcPr>
          <w:p w:rsidR="00506E3A" w:rsidRPr="009A59E7" w:rsidRDefault="00506E3A" w:rsidP="00354A3E">
            <w:pPr>
              <w:tabs>
                <w:tab w:val="left" w:pos="-18"/>
                <w:tab w:val="left" w:pos="2844"/>
              </w:tabs>
              <w:spacing w:before="20"/>
              <w:jc w:val="center"/>
              <w:rPr>
                <w:rFonts w:ascii="Times New Roman" w:hAnsi="Times New Roman"/>
              </w:rPr>
            </w:pPr>
            <w:r w:rsidRPr="009A59E7">
              <w:rPr>
                <w:rFonts w:ascii="Times New Roman" w:hAnsi="Times New Roman"/>
              </w:rPr>
              <w:t>5%</w:t>
            </w:r>
          </w:p>
        </w:tc>
        <w:tc>
          <w:tcPr>
            <w:tcW w:w="3180" w:type="dxa"/>
            <w:tcBorders>
              <w:top w:val="nil"/>
              <w:left w:val="nil"/>
              <w:bottom w:val="nil"/>
              <w:right w:val="single" w:sz="4" w:space="0" w:color="auto"/>
            </w:tcBorders>
            <w:shd w:val="clear" w:color="auto" w:fill="auto"/>
            <w:vAlign w:val="center"/>
          </w:tcPr>
          <w:p w:rsidR="00506E3A" w:rsidRPr="009A59E7" w:rsidRDefault="00506E3A" w:rsidP="00354A3E">
            <w:pPr>
              <w:spacing w:before="20"/>
              <w:jc w:val="center"/>
              <w:rPr>
                <w:rFonts w:ascii="Times New Roman" w:hAnsi="Times New Roman"/>
              </w:rPr>
            </w:pPr>
            <w:r w:rsidRPr="009A59E7">
              <w:rPr>
                <w:rFonts w:ascii="Times New Roman" w:hAnsi="Times New Roman"/>
              </w:rPr>
              <w:t>9%</w:t>
            </w: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Dyspepsia</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4%</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5%</w:t>
            </w:r>
          </w:p>
        </w:tc>
      </w:tr>
      <w:tr w:rsidR="00EF2ACA" w:rsidRPr="009A59E7">
        <w:trPr>
          <w:trHeight w:val="338"/>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Metabolic Disorders</w:t>
            </w:r>
          </w:p>
        </w:tc>
        <w:tc>
          <w:tcPr>
            <w:tcW w:w="3180" w:type="dxa"/>
            <w:tcBorders>
              <w:top w:val="single" w:sz="4" w:space="0" w:color="auto"/>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vAlign w:val="center"/>
          </w:tcPr>
          <w:p w:rsidR="00EF2ACA" w:rsidRPr="009A59E7" w:rsidRDefault="00EF2ACA">
            <w:pPr>
              <w:jc w:val="center"/>
              <w:rPr>
                <w:rFonts w:ascii="Times New Roman" w:hAnsi="Times New Roman"/>
              </w:rPr>
            </w:pPr>
          </w:p>
        </w:tc>
      </w:tr>
      <w:tr w:rsidR="00EF2ACA" w:rsidRPr="009A59E7">
        <w:trPr>
          <w:trHeight w:val="242"/>
        </w:trPr>
        <w:tc>
          <w:tcPr>
            <w:tcW w:w="2992" w:type="dxa"/>
            <w:tcBorders>
              <w:top w:val="nil"/>
              <w:left w:val="single" w:sz="4" w:space="0" w:color="auto"/>
              <w:bottom w:val="single" w:sz="4" w:space="0" w:color="auto"/>
              <w:right w:val="nil"/>
            </w:tcBorders>
            <w:shd w:val="clear" w:color="auto" w:fill="auto"/>
            <w:vAlign w:val="center"/>
          </w:tcPr>
          <w:p w:rsidR="00EF2ACA" w:rsidRPr="009A59E7" w:rsidRDefault="00EF2ACA">
            <w:pPr>
              <w:ind w:firstLine="180"/>
              <w:rPr>
                <w:rFonts w:ascii="Times New Roman" w:hAnsi="Times New Roman"/>
              </w:rPr>
            </w:pPr>
            <w:r w:rsidRPr="009A59E7">
              <w:rPr>
                <w:rFonts w:ascii="Times New Roman" w:hAnsi="Times New Roman"/>
              </w:rPr>
              <w:t>Lipodystrophy</w:t>
            </w:r>
          </w:p>
        </w:tc>
        <w:tc>
          <w:tcPr>
            <w:tcW w:w="3180" w:type="dxa"/>
            <w:tcBorders>
              <w:top w:val="nil"/>
              <w:left w:val="single" w:sz="4" w:space="0" w:color="auto"/>
              <w:bottom w:val="single" w:sz="4" w:space="0" w:color="auto"/>
              <w:right w:val="single" w:sz="4" w:space="0" w:color="auto"/>
            </w:tcBorders>
            <w:shd w:val="clear" w:color="auto" w:fill="auto"/>
            <w:vAlign w:val="center"/>
          </w:tcPr>
          <w:p w:rsidR="00EF2ACA" w:rsidRPr="009A59E7" w:rsidRDefault="00EF2ACA">
            <w:pPr>
              <w:tabs>
                <w:tab w:val="left" w:pos="-18"/>
                <w:tab w:val="left" w:pos="2844"/>
              </w:tabs>
              <w:jc w:val="center"/>
              <w:rPr>
                <w:rFonts w:ascii="Times New Roman" w:hAnsi="Times New Roman"/>
              </w:rPr>
            </w:pPr>
            <w:r w:rsidRPr="009A59E7">
              <w:rPr>
                <w:rFonts w:ascii="Times New Roman" w:hAnsi="Times New Roman"/>
              </w:rPr>
              <w:t>1%</w:t>
            </w:r>
          </w:p>
        </w:tc>
        <w:tc>
          <w:tcPr>
            <w:tcW w:w="3180" w:type="dxa"/>
            <w:tcBorders>
              <w:top w:val="nil"/>
              <w:left w:val="nil"/>
              <w:bottom w:val="single" w:sz="4" w:space="0" w:color="auto"/>
              <w:right w:val="single" w:sz="4" w:space="0" w:color="auto"/>
            </w:tcBorders>
            <w:shd w:val="clear" w:color="auto" w:fill="auto"/>
            <w:vAlign w:val="center"/>
          </w:tcPr>
          <w:p w:rsidR="00EF2ACA" w:rsidRPr="009A59E7" w:rsidRDefault="00EF2ACA">
            <w:pPr>
              <w:jc w:val="center"/>
              <w:rPr>
                <w:rFonts w:ascii="Times New Roman" w:hAnsi="Times New Roman"/>
              </w:rPr>
            </w:pPr>
            <w:r w:rsidRPr="009A59E7">
              <w:rPr>
                <w:rFonts w:ascii="Times New Roman" w:hAnsi="Times New Roman"/>
              </w:rPr>
              <w:t>8%</w:t>
            </w:r>
          </w:p>
        </w:tc>
      </w:tr>
      <w:tr w:rsidR="00EF2ACA" w:rsidRPr="009A59E7">
        <w:trPr>
          <w:trHeight w:val="322"/>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Musculoskeletal</w:t>
            </w:r>
          </w:p>
        </w:tc>
        <w:tc>
          <w:tcPr>
            <w:tcW w:w="3180" w:type="dxa"/>
            <w:tcBorders>
              <w:top w:val="single" w:sz="4" w:space="0" w:color="auto"/>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vAlign w:val="center"/>
          </w:tcPr>
          <w:p w:rsidR="00EF2ACA" w:rsidRPr="009A59E7" w:rsidRDefault="00EF2ACA">
            <w:pPr>
              <w:jc w:val="center"/>
              <w:rPr>
                <w:rFonts w:ascii="Times New Roman" w:hAnsi="Times New Roman"/>
              </w:rPr>
            </w:pPr>
          </w:p>
        </w:tc>
      </w:tr>
      <w:tr w:rsidR="00EF2ACA" w:rsidRPr="009A59E7">
        <w:trPr>
          <w:trHeight w:val="258"/>
        </w:trPr>
        <w:tc>
          <w:tcPr>
            <w:tcW w:w="2992" w:type="dxa"/>
            <w:tcBorders>
              <w:top w:val="nil"/>
              <w:left w:val="single" w:sz="4" w:space="0" w:color="auto"/>
              <w:bottom w:val="nil"/>
              <w:right w:val="nil"/>
            </w:tcBorders>
            <w:shd w:val="clear" w:color="auto" w:fill="auto"/>
            <w:vAlign w:val="center"/>
          </w:tcPr>
          <w:p w:rsidR="00EF2ACA" w:rsidRPr="009A59E7" w:rsidRDefault="00EF2ACA">
            <w:pPr>
              <w:ind w:firstLine="180"/>
              <w:rPr>
                <w:rFonts w:ascii="Times New Roman" w:hAnsi="Times New Roman"/>
              </w:rPr>
            </w:pPr>
            <w:r w:rsidRPr="009A59E7">
              <w:rPr>
                <w:rFonts w:ascii="Times New Roman" w:hAnsi="Times New Roman"/>
              </w:rPr>
              <w:t>Arthralgia</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jc w:val="center"/>
              <w:rPr>
                <w:rFonts w:ascii="Times New Roman" w:hAnsi="Times New Roman"/>
              </w:rPr>
            </w:pPr>
            <w:r w:rsidRPr="009A59E7">
              <w:rPr>
                <w:rFonts w:ascii="Times New Roman" w:hAnsi="Times New Roman"/>
              </w:rPr>
              <w:t>5%</w:t>
            </w:r>
          </w:p>
        </w:tc>
        <w:tc>
          <w:tcPr>
            <w:tcW w:w="3180" w:type="dxa"/>
            <w:tcBorders>
              <w:top w:val="nil"/>
              <w:left w:val="nil"/>
              <w:bottom w:val="nil"/>
              <w:right w:val="single" w:sz="4" w:space="0" w:color="auto"/>
            </w:tcBorders>
            <w:shd w:val="clear" w:color="auto" w:fill="auto"/>
            <w:vAlign w:val="center"/>
          </w:tcPr>
          <w:p w:rsidR="00EF2ACA" w:rsidRPr="009A59E7" w:rsidRDefault="00EF2ACA">
            <w:pPr>
              <w:jc w:val="center"/>
              <w:rPr>
                <w:rFonts w:ascii="Times New Roman" w:hAnsi="Times New Roman"/>
              </w:rPr>
            </w:pPr>
            <w:r w:rsidRPr="009A59E7">
              <w:rPr>
                <w:rFonts w:ascii="Times New Roman" w:hAnsi="Times New Roman"/>
              </w:rPr>
              <w:t>7%</w:t>
            </w:r>
          </w:p>
        </w:tc>
      </w:tr>
      <w:tr w:rsidR="00EF2ACA" w:rsidRPr="009A59E7">
        <w:trPr>
          <w:trHeight w:val="242"/>
        </w:trPr>
        <w:tc>
          <w:tcPr>
            <w:tcW w:w="2992" w:type="dxa"/>
            <w:tcBorders>
              <w:top w:val="nil"/>
              <w:left w:val="single" w:sz="4" w:space="0" w:color="auto"/>
              <w:bottom w:val="single" w:sz="4" w:space="0" w:color="auto"/>
              <w:right w:val="nil"/>
            </w:tcBorders>
            <w:shd w:val="clear" w:color="auto" w:fill="auto"/>
            <w:vAlign w:val="center"/>
          </w:tcPr>
          <w:p w:rsidR="00EF2ACA" w:rsidRPr="009A59E7" w:rsidRDefault="00EF2ACA">
            <w:pPr>
              <w:ind w:firstLine="180"/>
              <w:rPr>
                <w:rFonts w:ascii="Times New Roman" w:hAnsi="Times New Roman"/>
              </w:rPr>
            </w:pPr>
            <w:r w:rsidRPr="009A59E7">
              <w:rPr>
                <w:rFonts w:ascii="Times New Roman" w:hAnsi="Times New Roman"/>
              </w:rPr>
              <w:t>Myalgia</w:t>
            </w:r>
          </w:p>
        </w:tc>
        <w:tc>
          <w:tcPr>
            <w:tcW w:w="3180" w:type="dxa"/>
            <w:tcBorders>
              <w:top w:val="nil"/>
              <w:left w:val="single" w:sz="4" w:space="0" w:color="auto"/>
              <w:bottom w:val="single" w:sz="4" w:space="0" w:color="auto"/>
              <w:right w:val="single" w:sz="4" w:space="0" w:color="auto"/>
            </w:tcBorders>
            <w:shd w:val="clear" w:color="auto" w:fill="auto"/>
            <w:vAlign w:val="center"/>
          </w:tcPr>
          <w:p w:rsidR="00EF2ACA" w:rsidRPr="009A59E7" w:rsidRDefault="00EF2ACA">
            <w:pPr>
              <w:tabs>
                <w:tab w:val="left" w:pos="-18"/>
                <w:tab w:val="left" w:pos="2844"/>
              </w:tabs>
              <w:jc w:val="center"/>
              <w:rPr>
                <w:rFonts w:ascii="Times New Roman" w:hAnsi="Times New Roman"/>
              </w:rPr>
            </w:pPr>
            <w:r w:rsidRPr="009A59E7">
              <w:rPr>
                <w:rFonts w:ascii="Times New Roman" w:hAnsi="Times New Roman"/>
              </w:rPr>
              <w:t>3%</w:t>
            </w:r>
          </w:p>
        </w:tc>
        <w:tc>
          <w:tcPr>
            <w:tcW w:w="3180" w:type="dxa"/>
            <w:tcBorders>
              <w:top w:val="nil"/>
              <w:left w:val="nil"/>
              <w:bottom w:val="single" w:sz="4" w:space="0" w:color="auto"/>
              <w:right w:val="single" w:sz="4" w:space="0" w:color="auto"/>
            </w:tcBorders>
            <w:shd w:val="clear" w:color="auto" w:fill="auto"/>
            <w:vAlign w:val="center"/>
          </w:tcPr>
          <w:p w:rsidR="00EF2ACA" w:rsidRPr="009A59E7" w:rsidRDefault="00EF2ACA">
            <w:pPr>
              <w:jc w:val="center"/>
              <w:rPr>
                <w:rFonts w:ascii="Times New Roman" w:hAnsi="Times New Roman"/>
              </w:rPr>
            </w:pPr>
            <w:r w:rsidRPr="009A59E7">
              <w:rPr>
                <w:rFonts w:ascii="Times New Roman" w:hAnsi="Times New Roman"/>
              </w:rPr>
              <w:t>5%</w:t>
            </w:r>
          </w:p>
        </w:tc>
      </w:tr>
      <w:tr w:rsidR="00EF2ACA" w:rsidRPr="009A59E7">
        <w:trPr>
          <w:trHeight w:val="322"/>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Nervous System</w:t>
            </w:r>
          </w:p>
        </w:tc>
        <w:tc>
          <w:tcPr>
            <w:tcW w:w="3180" w:type="dxa"/>
            <w:tcBorders>
              <w:top w:val="single" w:sz="4" w:space="0" w:color="auto"/>
              <w:left w:val="single" w:sz="4" w:space="0" w:color="auto"/>
              <w:bottom w:val="nil"/>
              <w:right w:val="single" w:sz="4" w:space="0" w:color="auto"/>
            </w:tcBorders>
            <w:shd w:val="clear" w:color="auto" w:fill="auto"/>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tcPr>
          <w:p w:rsidR="00EF2ACA" w:rsidRPr="009A59E7" w:rsidRDefault="00EF2ACA">
            <w:pPr>
              <w:jc w:val="center"/>
              <w:rPr>
                <w:rFonts w:ascii="Times New Roman" w:hAnsi="Times New Roman"/>
              </w:rPr>
            </w:pP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Depression</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11%</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10%</w:t>
            </w:r>
          </w:p>
        </w:tc>
      </w:tr>
      <w:tr w:rsidR="00922052" w:rsidRPr="009A59E7">
        <w:trPr>
          <w:trHeight w:val="260"/>
        </w:trPr>
        <w:tc>
          <w:tcPr>
            <w:tcW w:w="2992" w:type="dxa"/>
            <w:tcBorders>
              <w:top w:val="nil"/>
              <w:left w:val="single" w:sz="4" w:space="0" w:color="auto"/>
              <w:bottom w:val="nil"/>
              <w:right w:val="nil"/>
            </w:tcBorders>
            <w:shd w:val="clear" w:color="auto" w:fill="auto"/>
            <w:vAlign w:val="center"/>
          </w:tcPr>
          <w:p w:rsidR="00922052" w:rsidRPr="009A59E7" w:rsidRDefault="00922052" w:rsidP="00354A3E">
            <w:pPr>
              <w:spacing w:before="40"/>
              <w:ind w:firstLine="158"/>
              <w:rPr>
                <w:rFonts w:ascii="Times New Roman" w:hAnsi="Times New Roman"/>
              </w:rPr>
            </w:pPr>
            <w:r w:rsidRPr="009A59E7">
              <w:rPr>
                <w:rFonts w:ascii="Times New Roman" w:hAnsi="Times New Roman"/>
              </w:rPr>
              <w:t>Anxiety</w:t>
            </w:r>
          </w:p>
        </w:tc>
        <w:tc>
          <w:tcPr>
            <w:tcW w:w="3180" w:type="dxa"/>
            <w:tcBorders>
              <w:top w:val="nil"/>
              <w:left w:val="single" w:sz="4" w:space="0" w:color="auto"/>
              <w:bottom w:val="nil"/>
              <w:right w:val="single" w:sz="4" w:space="0" w:color="auto"/>
            </w:tcBorders>
            <w:shd w:val="clear" w:color="auto" w:fill="auto"/>
            <w:vAlign w:val="center"/>
          </w:tcPr>
          <w:p w:rsidR="00922052" w:rsidRPr="009A59E7" w:rsidRDefault="00922052" w:rsidP="00354A3E">
            <w:pPr>
              <w:tabs>
                <w:tab w:val="left" w:pos="-18"/>
                <w:tab w:val="left" w:pos="2844"/>
              </w:tabs>
              <w:spacing w:before="40"/>
              <w:jc w:val="center"/>
              <w:rPr>
                <w:rFonts w:ascii="Times New Roman" w:hAnsi="Times New Roman"/>
              </w:rPr>
            </w:pPr>
            <w:r w:rsidRPr="009A59E7">
              <w:rPr>
                <w:rFonts w:ascii="Times New Roman" w:hAnsi="Times New Roman"/>
              </w:rPr>
              <w:t>6%</w:t>
            </w:r>
          </w:p>
        </w:tc>
        <w:tc>
          <w:tcPr>
            <w:tcW w:w="3180" w:type="dxa"/>
            <w:tcBorders>
              <w:top w:val="nil"/>
              <w:left w:val="nil"/>
              <w:bottom w:val="nil"/>
              <w:right w:val="single" w:sz="4" w:space="0" w:color="auto"/>
            </w:tcBorders>
            <w:shd w:val="clear" w:color="auto" w:fill="auto"/>
            <w:vAlign w:val="center"/>
          </w:tcPr>
          <w:p w:rsidR="00922052" w:rsidRPr="009A59E7" w:rsidRDefault="00922052" w:rsidP="00354A3E">
            <w:pPr>
              <w:spacing w:before="40"/>
              <w:jc w:val="center"/>
              <w:rPr>
                <w:rFonts w:ascii="Times New Roman" w:hAnsi="Times New Roman"/>
              </w:rPr>
            </w:pPr>
            <w:r w:rsidRPr="009A59E7">
              <w:rPr>
                <w:rFonts w:ascii="Times New Roman" w:hAnsi="Times New Roman"/>
              </w:rPr>
              <w:t>6%</w:t>
            </w:r>
          </w:p>
        </w:tc>
      </w:tr>
      <w:tr w:rsidR="00EF2ACA" w:rsidRPr="009A59E7">
        <w:trPr>
          <w:trHeight w:val="274"/>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Insomnia</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5%</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8%</w:t>
            </w:r>
          </w:p>
        </w:tc>
      </w:tr>
      <w:tr w:rsidR="00EF2ACA" w:rsidRPr="009A59E7">
        <w:trPr>
          <w:trHeight w:val="258"/>
        </w:trPr>
        <w:tc>
          <w:tcPr>
            <w:tcW w:w="2992" w:type="dxa"/>
            <w:tcBorders>
              <w:top w:val="nil"/>
              <w:left w:val="single" w:sz="4" w:space="0" w:color="auto"/>
              <w:bottom w:val="nil"/>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Dizziness</w:t>
            </w:r>
          </w:p>
        </w:tc>
        <w:tc>
          <w:tcPr>
            <w:tcW w:w="3180" w:type="dxa"/>
            <w:tcBorders>
              <w:top w:val="nil"/>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3%</w:t>
            </w:r>
          </w:p>
        </w:tc>
        <w:tc>
          <w:tcPr>
            <w:tcW w:w="3180" w:type="dxa"/>
            <w:tcBorders>
              <w:top w:val="nil"/>
              <w:left w:val="nil"/>
              <w:bottom w:val="nil"/>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6%</w:t>
            </w:r>
          </w:p>
        </w:tc>
      </w:tr>
      <w:tr w:rsidR="00EF2ACA" w:rsidRPr="009A59E7">
        <w:trPr>
          <w:trHeight w:val="260"/>
        </w:trPr>
        <w:tc>
          <w:tcPr>
            <w:tcW w:w="2992" w:type="dxa"/>
            <w:tcBorders>
              <w:top w:val="nil"/>
              <w:left w:val="single" w:sz="4" w:space="0" w:color="auto"/>
              <w:bottom w:val="single" w:sz="4" w:space="0" w:color="auto"/>
              <w:right w:val="nil"/>
            </w:tcBorders>
            <w:shd w:val="clear" w:color="auto" w:fill="auto"/>
            <w:vAlign w:val="center"/>
          </w:tcPr>
          <w:p w:rsidR="00EF2ACA" w:rsidRPr="009A59E7" w:rsidRDefault="00EF2ACA">
            <w:pPr>
              <w:spacing w:before="40"/>
              <w:ind w:firstLine="158"/>
              <w:rPr>
                <w:rFonts w:ascii="Times New Roman" w:hAnsi="Times New Roman"/>
              </w:rPr>
            </w:pPr>
            <w:r w:rsidRPr="009A59E7">
              <w:rPr>
                <w:rFonts w:ascii="Times New Roman" w:hAnsi="Times New Roman"/>
              </w:rPr>
              <w:t>Peripheral neuropathy</w:t>
            </w:r>
            <w:r w:rsidRPr="009A59E7">
              <w:rPr>
                <w:rFonts w:ascii="Times New Roman" w:hAnsi="Times New Roman"/>
                <w:vertAlign w:val="superscript"/>
              </w:rPr>
              <w:t>1</w:t>
            </w:r>
          </w:p>
        </w:tc>
        <w:tc>
          <w:tcPr>
            <w:tcW w:w="3180" w:type="dxa"/>
            <w:tcBorders>
              <w:top w:val="nil"/>
              <w:left w:val="single" w:sz="4" w:space="0" w:color="auto"/>
              <w:bottom w:val="single" w:sz="4" w:space="0" w:color="auto"/>
              <w:right w:val="single" w:sz="4" w:space="0" w:color="auto"/>
            </w:tcBorders>
            <w:shd w:val="clear" w:color="auto" w:fill="auto"/>
            <w:vAlign w:val="center"/>
          </w:tcPr>
          <w:p w:rsidR="00EF2ACA" w:rsidRPr="009A59E7" w:rsidRDefault="00EF2ACA">
            <w:pPr>
              <w:tabs>
                <w:tab w:val="left" w:pos="-18"/>
                <w:tab w:val="left" w:pos="2844"/>
              </w:tabs>
              <w:spacing w:before="40"/>
              <w:jc w:val="center"/>
              <w:rPr>
                <w:rFonts w:ascii="Times New Roman" w:hAnsi="Times New Roman"/>
              </w:rPr>
            </w:pPr>
            <w:r w:rsidRPr="009A59E7">
              <w:rPr>
                <w:rFonts w:ascii="Times New Roman" w:hAnsi="Times New Roman"/>
              </w:rPr>
              <w:t>1%</w:t>
            </w:r>
          </w:p>
        </w:tc>
        <w:tc>
          <w:tcPr>
            <w:tcW w:w="3180" w:type="dxa"/>
            <w:tcBorders>
              <w:top w:val="nil"/>
              <w:left w:val="nil"/>
              <w:bottom w:val="single" w:sz="4" w:space="0" w:color="auto"/>
              <w:right w:val="single" w:sz="4" w:space="0" w:color="auto"/>
            </w:tcBorders>
            <w:shd w:val="clear" w:color="auto" w:fill="auto"/>
            <w:vAlign w:val="center"/>
          </w:tcPr>
          <w:p w:rsidR="00EF2ACA" w:rsidRPr="009A59E7" w:rsidRDefault="00EF2ACA">
            <w:pPr>
              <w:spacing w:before="40"/>
              <w:jc w:val="center"/>
              <w:rPr>
                <w:rFonts w:ascii="Times New Roman" w:hAnsi="Times New Roman"/>
              </w:rPr>
            </w:pPr>
            <w:r w:rsidRPr="009A59E7">
              <w:rPr>
                <w:rFonts w:ascii="Times New Roman" w:hAnsi="Times New Roman"/>
              </w:rPr>
              <w:t>5%</w:t>
            </w:r>
          </w:p>
        </w:tc>
      </w:tr>
      <w:tr w:rsidR="00EF2ACA" w:rsidRPr="009A59E7">
        <w:trPr>
          <w:trHeight w:val="338"/>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Respiratory</w:t>
            </w:r>
          </w:p>
        </w:tc>
        <w:tc>
          <w:tcPr>
            <w:tcW w:w="3180" w:type="dxa"/>
            <w:tcBorders>
              <w:top w:val="single" w:sz="4" w:space="0" w:color="auto"/>
              <w:left w:val="single" w:sz="4" w:space="0" w:color="auto"/>
              <w:bottom w:val="nil"/>
              <w:right w:val="single" w:sz="4" w:space="0" w:color="auto"/>
            </w:tcBorders>
            <w:shd w:val="clear" w:color="auto" w:fill="auto"/>
            <w:vAlign w:val="center"/>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vAlign w:val="center"/>
          </w:tcPr>
          <w:p w:rsidR="00EF2ACA" w:rsidRPr="009A59E7" w:rsidRDefault="00EF2ACA">
            <w:pPr>
              <w:jc w:val="center"/>
              <w:rPr>
                <w:rFonts w:ascii="Times New Roman" w:hAnsi="Times New Roman"/>
              </w:rPr>
            </w:pPr>
          </w:p>
        </w:tc>
      </w:tr>
      <w:tr w:rsidR="00EF2ACA" w:rsidRPr="009A59E7">
        <w:trPr>
          <w:trHeight w:val="258"/>
        </w:trPr>
        <w:tc>
          <w:tcPr>
            <w:tcW w:w="2992" w:type="dxa"/>
            <w:tcBorders>
              <w:top w:val="nil"/>
              <w:left w:val="single" w:sz="4" w:space="0" w:color="auto"/>
              <w:bottom w:val="single" w:sz="4" w:space="0" w:color="auto"/>
              <w:right w:val="nil"/>
            </w:tcBorders>
            <w:shd w:val="clear" w:color="auto" w:fill="auto"/>
            <w:vAlign w:val="center"/>
          </w:tcPr>
          <w:p w:rsidR="00EF2ACA" w:rsidRPr="009A59E7" w:rsidRDefault="00EF2ACA">
            <w:pPr>
              <w:spacing w:before="20"/>
              <w:ind w:firstLine="180"/>
              <w:rPr>
                <w:rFonts w:ascii="Times New Roman" w:hAnsi="Times New Roman"/>
              </w:rPr>
            </w:pPr>
            <w:r w:rsidRPr="009A59E7">
              <w:rPr>
                <w:rFonts w:ascii="Times New Roman" w:hAnsi="Times New Roman"/>
              </w:rPr>
              <w:t>Pneumonia</w:t>
            </w:r>
          </w:p>
        </w:tc>
        <w:tc>
          <w:tcPr>
            <w:tcW w:w="3180" w:type="dxa"/>
            <w:tcBorders>
              <w:top w:val="nil"/>
              <w:left w:val="single" w:sz="4" w:space="0" w:color="auto"/>
              <w:bottom w:val="single" w:sz="4" w:space="0" w:color="auto"/>
              <w:right w:val="single" w:sz="4" w:space="0" w:color="auto"/>
            </w:tcBorders>
            <w:shd w:val="clear" w:color="auto" w:fill="auto"/>
            <w:vAlign w:val="center"/>
          </w:tcPr>
          <w:p w:rsidR="00EF2ACA" w:rsidRPr="009A59E7" w:rsidRDefault="00EF2ACA">
            <w:pPr>
              <w:tabs>
                <w:tab w:val="left" w:pos="-18"/>
                <w:tab w:val="left" w:pos="2844"/>
              </w:tabs>
              <w:spacing w:before="20"/>
              <w:jc w:val="center"/>
              <w:rPr>
                <w:rFonts w:ascii="Times New Roman" w:hAnsi="Times New Roman"/>
              </w:rPr>
            </w:pPr>
            <w:r w:rsidRPr="009A59E7">
              <w:rPr>
                <w:rFonts w:ascii="Times New Roman" w:hAnsi="Times New Roman"/>
              </w:rPr>
              <w:t>5%</w:t>
            </w:r>
          </w:p>
        </w:tc>
        <w:tc>
          <w:tcPr>
            <w:tcW w:w="3180" w:type="dxa"/>
            <w:tcBorders>
              <w:top w:val="nil"/>
              <w:left w:val="nil"/>
              <w:bottom w:val="single" w:sz="4" w:space="0" w:color="auto"/>
              <w:right w:val="single" w:sz="4" w:space="0" w:color="auto"/>
            </w:tcBorders>
            <w:shd w:val="clear" w:color="auto" w:fill="auto"/>
            <w:vAlign w:val="center"/>
          </w:tcPr>
          <w:p w:rsidR="00EF2ACA" w:rsidRPr="009A59E7" w:rsidRDefault="00EF2ACA">
            <w:pPr>
              <w:spacing w:before="20"/>
              <w:jc w:val="center"/>
              <w:rPr>
                <w:rFonts w:ascii="Times New Roman" w:hAnsi="Times New Roman"/>
              </w:rPr>
            </w:pPr>
            <w:r w:rsidRPr="009A59E7">
              <w:rPr>
                <w:rFonts w:ascii="Times New Roman" w:hAnsi="Times New Roman"/>
              </w:rPr>
              <w:t>5%</w:t>
            </w:r>
          </w:p>
        </w:tc>
      </w:tr>
      <w:tr w:rsidR="00EF2ACA" w:rsidRPr="009A59E7">
        <w:trPr>
          <w:trHeight w:val="338"/>
        </w:trPr>
        <w:tc>
          <w:tcPr>
            <w:tcW w:w="2992" w:type="dxa"/>
            <w:tcBorders>
              <w:top w:val="single" w:sz="4" w:space="0" w:color="auto"/>
              <w:left w:val="single" w:sz="4" w:space="0" w:color="auto"/>
              <w:bottom w:val="nil"/>
              <w:right w:val="nil"/>
            </w:tcBorders>
            <w:shd w:val="clear" w:color="auto" w:fill="auto"/>
            <w:vAlign w:val="center"/>
          </w:tcPr>
          <w:p w:rsidR="00EF2ACA" w:rsidRPr="00B9645B" w:rsidRDefault="00EF2ACA" w:rsidP="00B9645B">
            <w:pPr>
              <w:pStyle w:val="CommentText"/>
              <w:spacing w:before="40" w:after="40"/>
              <w:jc w:val="left"/>
              <w:rPr>
                <w:sz w:val="20"/>
                <w:lang w:val="en-AU"/>
              </w:rPr>
            </w:pPr>
            <w:r w:rsidRPr="00B9645B">
              <w:rPr>
                <w:sz w:val="20"/>
                <w:lang w:val="en-AU"/>
              </w:rPr>
              <w:t>Skin and Appendages</w:t>
            </w:r>
          </w:p>
        </w:tc>
        <w:tc>
          <w:tcPr>
            <w:tcW w:w="3180" w:type="dxa"/>
            <w:tcBorders>
              <w:top w:val="single" w:sz="4" w:space="0" w:color="auto"/>
              <w:left w:val="single" w:sz="4" w:space="0" w:color="auto"/>
              <w:bottom w:val="nil"/>
              <w:right w:val="single" w:sz="4" w:space="0" w:color="auto"/>
            </w:tcBorders>
            <w:shd w:val="clear" w:color="auto" w:fill="auto"/>
          </w:tcPr>
          <w:p w:rsidR="00EF2ACA" w:rsidRPr="009A59E7" w:rsidRDefault="00EF2ACA">
            <w:pPr>
              <w:tabs>
                <w:tab w:val="left" w:pos="-18"/>
                <w:tab w:val="left" w:pos="2844"/>
              </w:tabs>
              <w:jc w:val="center"/>
              <w:rPr>
                <w:rFonts w:ascii="Times New Roman" w:hAnsi="Times New Roman"/>
              </w:rPr>
            </w:pPr>
          </w:p>
        </w:tc>
        <w:tc>
          <w:tcPr>
            <w:tcW w:w="3180" w:type="dxa"/>
            <w:tcBorders>
              <w:top w:val="single" w:sz="4" w:space="0" w:color="auto"/>
              <w:left w:val="nil"/>
              <w:bottom w:val="nil"/>
              <w:right w:val="single" w:sz="4" w:space="0" w:color="auto"/>
            </w:tcBorders>
            <w:shd w:val="clear" w:color="auto" w:fill="auto"/>
          </w:tcPr>
          <w:p w:rsidR="00EF2ACA" w:rsidRPr="009A59E7" w:rsidRDefault="00EF2ACA">
            <w:pPr>
              <w:jc w:val="center"/>
              <w:rPr>
                <w:rFonts w:ascii="Times New Roman" w:hAnsi="Times New Roman"/>
              </w:rPr>
            </w:pPr>
          </w:p>
        </w:tc>
      </w:tr>
      <w:tr w:rsidR="00EF2ACA" w:rsidRPr="009A59E7">
        <w:trPr>
          <w:trHeight w:val="300"/>
        </w:trPr>
        <w:tc>
          <w:tcPr>
            <w:tcW w:w="2992" w:type="dxa"/>
            <w:tcBorders>
              <w:top w:val="nil"/>
              <w:left w:val="single" w:sz="4" w:space="0" w:color="auto"/>
              <w:bottom w:val="single" w:sz="4" w:space="0" w:color="auto"/>
              <w:right w:val="nil"/>
            </w:tcBorders>
            <w:shd w:val="clear" w:color="auto" w:fill="auto"/>
            <w:vAlign w:val="center"/>
          </w:tcPr>
          <w:p w:rsidR="00EF2ACA" w:rsidRPr="009A59E7" w:rsidRDefault="00EF2ACA">
            <w:pPr>
              <w:spacing w:before="40"/>
              <w:ind w:firstLine="180"/>
              <w:rPr>
                <w:rFonts w:ascii="Times New Roman" w:hAnsi="Times New Roman"/>
              </w:rPr>
            </w:pPr>
            <w:r w:rsidRPr="009A59E7">
              <w:rPr>
                <w:rFonts w:ascii="Times New Roman" w:hAnsi="Times New Roman"/>
              </w:rPr>
              <w:t>Rash Event</w:t>
            </w:r>
            <w:r w:rsidRPr="009A59E7">
              <w:rPr>
                <w:rFonts w:ascii="Times New Roman" w:hAnsi="Times New Roman"/>
                <w:vertAlign w:val="superscript"/>
              </w:rPr>
              <w:t>2</w:t>
            </w:r>
          </w:p>
        </w:tc>
        <w:tc>
          <w:tcPr>
            <w:tcW w:w="3180" w:type="dxa"/>
            <w:tcBorders>
              <w:top w:val="nil"/>
              <w:left w:val="single" w:sz="4" w:space="0" w:color="auto"/>
              <w:bottom w:val="single" w:sz="4" w:space="0" w:color="auto"/>
              <w:right w:val="single" w:sz="4" w:space="0" w:color="auto"/>
            </w:tcBorders>
            <w:shd w:val="clear" w:color="auto" w:fill="auto"/>
            <w:vAlign w:val="center"/>
          </w:tcPr>
          <w:p w:rsidR="00EF2ACA" w:rsidRPr="009A59E7" w:rsidRDefault="00EF2ACA">
            <w:pPr>
              <w:tabs>
                <w:tab w:val="left" w:pos="-18"/>
                <w:tab w:val="left" w:pos="2844"/>
              </w:tabs>
              <w:spacing w:before="40"/>
              <w:jc w:val="center"/>
              <w:rPr>
                <w:rFonts w:ascii="Times New Roman" w:hAnsi="Times New Roman"/>
              </w:rPr>
            </w:pPr>
            <w:r w:rsidRPr="009A59E7">
              <w:rPr>
                <w:rFonts w:ascii="Times New Roman" w:hAnsi="Times New Roman"/>
              </w:rPr>
              <w:t>18%</w:t>
            </w:r>
          </w:p>
        </w:tc>
        <w:tc>
          <w:tcPr>
            <w:tcW w:w="3180" w:type="dxa"/>
            <w:tcBorders>
              <w:top w:val="nil"/>
              <w:left w:val="nil"/>
              <w:bottom w:val="single" w:sz="4" w:space="0" w:color="auto"/>
              <w:right w:val="single" w:sz="4" w:space="0" w:color="auto"/>
            </w:tcBorders>
            <w:shd w:val="clear" w:color="auto" w:fill="auto"/>
            <w:vAlign w:val="center"/>
          </w:tcPr>
          <w:p w:rsidR="00EF2ACA" w:rsidRPr="009A59E7" w:rsidRDefault="00EF2ACA">
            <w:pPr>
              <w:spacing w:before="40"/>
              <w:jc w:val="center"/>
              <w:rPr>
                <w:rFonts w:ascii="Times New Roman" w:hAnsi="Times New Roman"/>
              </w:rPr>
            </w:pPr>
            <w:r w:rsidRPr="009A59E7">
              <w:rPr>
                <w:rFonts w:ascii="Times New Roman" w:hAnsi="Times New Roman"/>
              </w:rPr>
              <w:t>12%</w:t>
            </w:r>
          </w:p>
        </w:tc>
      </w:tr>
    </w:tbl>
    <w:p w:rsidR="00EF2ACA" w:rsidRPr="009A59E7" w:rsidRDefault="00EF2ACA" w:rsidP="00FA25FA">
      <w:pPr>
        <w:numPr>
          <w:ilvl w:val="0"/>
          <w:numId w:val="9"/>
        </w:numPr>
        <w:tabs>
          <w:tab w:val="num" w:pos="270"/>
        </w:tabs>
        <w:ind w:left="360" w:right="1958"/>
        <w:rPr>
          <w:rFonts w:ascii="Times New Roman" w:hAnsi="Times New Roman"/>
        </w:rPr>
      </w:pPr>
      <w:r w:rsidRPr="009A59E7">
        <w:rPr>
          <w:rFonts w:ascii="Times New Roman" w:hAnsi="Times New Roman"/>
        </w:rPr>
        <w:t>Peripheral neuropathy includes peripheral neuritis and neuropathy</w:t>
      </w:r>
    </w:p>
    <w:p w:rsidR="00EF2ACA" w:rsidRPr="009A59E7" w:rsidRDefault="00EF2ACA" w:rsidP="00FA25FA">
      <w:pPr>
        <w:numPr>
          <w:ilvl w:val="0"/>
          <w:numId w:val="9"/>
        </w:numPr>
        <w:tabs>
          <w:tab w:val="num" w:pos="270"/>
        </w:tabs>
        <w:ind w:left="360" w:right="1958"/>
        <w:rPr>
          <w:rFonts w:ascii="Times New Roman" w:hAnsi="Times New Roman"/>
        </w:rPr>
      </w:pPr>
      <w:r w:rsidRPr="009A59E7">
        <w:rPr>
          <w:rFonts w:ascii="Times New Roman" w:hAnsi="Times New Roman"/>
        </w:rPr>
        <w:t>Rash event includes rash, pruritus, maculopapular rash, urticaria, vesiculobullous rash, and pustular rash</w:t>
      </w:r>
    </w:p>
    <w:p w:rsidR="00EF2ACA" w:rsidRPr="00EB4111" w:rsidRDefault="00EF2ACA" w:rsidP="00EB4111">
      <w:pPr>
        <w:tabs>
          <w:tab w:val="num" w:pos="270"/>
        </w:tabs>
        <w:ind w:hanging="360"/>
        <w:jc w:val="both"/>
        <w:rPr>
          <w:rFonts w:ascii="Times New Roman" w:hAnsi="Times New Roman"/>
          <w:sz w:val="22"/>
          <w:szCs w:val="22"/>
        </w:rPr>
      </w:pPr>
    </w:p>
    <w:p w:rsidR="00EF2ACA" w:rsidRPr="00015C34" w:rsidRDefault="00EF2ACA" w:rsidP="00EB4111">
      <w:pPr>
        <w:jc w:val="both"/>
        <w:rPr>
          <w:rFonts w:ascii="Times New Roman" w:hAnsi="Times New Roman"/>
          <w:sz w:val="24"/>
          <w:szCs w:val="24"/>
        </w:rPr>
      </w:pPr>
      <w:r w:rsidRPr="00015C34">
        <w:rPr>
          <w:rFonts w:ascii="Times New Roman" w:hAnsi="Times New Roman"/>
          <w:b/>
          <w:sz w:val="24"/>
          <w:szCs w:val="24"/>
        </w:rPr>
        <w:t>Laboratory Abnormalities:</w:t>
      </w:r>
      <w:r w:rsidRPr="00015C34">
        <w:rPr>
          <w:rFonts w:ascii="Times New Roman" w:hAnsi="Times New Roman"/>
          <w:sz w:val="24"/>
          <w:szCs w:val="24"/>
        </w:rPr>
        <w:t xml:space="preserve">  With the exception of triglyceride elevations that were more common in the </w:t>
      </w:r>
      <w:r w:rsidR="00084420" w:rsidRPr="00015C34">
        <w:rPr>
          <w:rFonts w:ascii="Times New Roman" w:hAnsi="Times New Roman"/>
          <w:sz w:val="24"/>
          <w:szCs w:val="24"/>
        </w:rPr>
        <w:t>d4T</w:t>
      </w:r>
      <w:r w:rsidRPr="00015C34">
        <w:rPr>
          <w:rFonts w:ascii="Times New Roman" w:hAnsi="Times New Roman"/>
          <w:sz w:val="24"/>
          <w:szCs w:val="24"/>
        </w:rPr>
        <w:t xml:space="preserve"> group (14%) compared with VIREAD (3%), laboratory abnormalities observed in this study occurred with similar frequency in the VIREAD and </w:t>
      </w:r>
      <w:r w:rsidR="00084420" w:rsidRPr="00015C34">
        <w:rPr>
          <w:rFonts w:ascii="Times New Roman" w:hAnsi="Times New Roman"/>
          <w:sz w:val="24"/>
          <w:szCs w:val="24"/>
        </w:rPr>
        <w:t>d4T</w:t>
      </w:r>
      <w:r w:rsidRPr="00015C34">
        <w:rPr>
          <w:rFonts w:ascii="Times New Roman" w:hAnsi="Times New Roman"/>
          <w:sz w:val="24"/>
          <w:szCs w:val="24"/>
        </w:rPr>
        <w:t xml:space="preserve"> treatment arms.  A summary of Grade 3 and 4 laboratory abnormalities is provided in Table </w:t>
      </w:r>
      <w:r w:rsidR="00220BF5" w:rsidRPr="00015C34">
        <w:rPr>
          <w:rFonts w:ascii="Times New Roman" w:hAnsi="Times New Roman"/>
          <w:sz w:val="24"/>
          <w:szCs w:val="24"/>
        </w:rPr>
        <w:t>1</w:t>
      </w:r>
      <w:r w:rsidR="00AB326F">
        <w:rPr>
          <w:rFonts w:ascii="Times New Roman" w:hAnsi="Times New Roman"/>
          <w:sz w:val="24"/>
          <w:szCs w:val="24"/>
        </w:rPr>
        <w:t>7</w:t>
      </w:r>
      <w:r w:rsidRPr="00015C34">
        <w:rPr>
          <w:rFonts w:ascii="Times New Roman" w:hAnsi="Times New Roman"/>
          <w:sz w:val="24"/>
          <w:szCs w:val="24"/>
        </w:rPr>
        <w:t>.</w:t>
      </w:r>
    </w:p>
    <w:p w:rsidR="00C432F2" w:rsidRPr="00EB4111" w:rsidRDefault="00C432F2" w:rsidP="00EB4111">
      <w:pPr>
        <w:tabs>
          <w:tab w:val="left" w:pos="8820"/>
        </w:tabs>
        <w:jc w:val="both"/>
        <w:rPr>
          <w:rFonts w:ascii="Times New Roman" w:hAnsi="Times New Roman"/>
          <w:color w:val="000000"/>
          <w:sz w:val="22"/>
          <w:szCs w:val="22"/>
        </w:rPr>
      </w:pPr>
    </w:p>
    <w:p w:rsidR="00C0671D" w:rsidRDefault="00FE1EFE" w:rsidP="00C0671D">
      <w:pPr>
        <w:spacing w:after="60"/>
        <w:ind w:left="1267" w:hanging="1267"/>
        <w:rPr>
          <w:rFonts w:ascii="Times New Roman" w:hAnsi="Times New Roman"/>
          <w:b/>
          <w:sz w:val="22"/>
        </w:rPr>
      </w:pPr>
      <w:r>
        <w:rPr>
          <w:rFonts w:ascii="Times New Roman" w:hAnsi="Times New Roman"/>
          <w:b/>
          <w:sz w:val="22"/>
        </w:rPr>
        <w:br w:type="page"/>
      </w:r>
      <w:r w:rsidR="00C0671D" w:rsidRPr="009A59E7">
        <w:rPr>
          <w:rFonts w:ascii="Times New Roman" w:hAnsi="Times New Roman"/>
          <w:b/>
          <w:sz w:val="22"/>
        </w:rPr>
        <w:lastRenderedPageBreak/>
        <w:t xml:space="preserve">Table </w:t>
      </w:r>
      <w:r w:rsidR="00220BF5">
        <w:rPr>
          <w:rFonts w:ascii="Times New Roman" w:hAnsi="Times New Roman"/>
          <w:b/>
          <w:sz w:val="22"/>
        </w:rPr>
        <w:t>1</w:t>
      </w:r>
      <w:r w:rsidR="0044536D">
        <w:rPr>
          <w:rFonts w:ascii="Times New Roman" w:hAnsi="Times New Roman"/>
          <w:b/>
          <w:sz w:val="22"/>
        </w:rPr>
        <w:t>7</w:t>
      </w:r>
      <w:r w:rsidR="00C0671D" w:rsidRPr="009A59E7">
        <w:rPr>
          <w:rFonts w:ascii="Times New Roman" w:hAnsi="Times New Roman"/>
          <w:b/>
          <w:sz w:val="22"/>
        </w:rPr>
        <w:t>.</w:t>
      </w:r>
      <w:r w:rsidR="00C0671D" w:rsidRPr="009A59E7">
        <w:rPr>
          <w:rFonts w:ascii="Times New Roman" w:hAnsi="Times New Roman"/>
          <w:b/>
          <w:sz w:val="22"/>
        </w:rPr>
        <w:tab/>
        <w:t xml:space="preserve">Grade 3/4 Laboratory Abnormalities Reported in </w:t>
      </w:r>
      <w:r w:rsidR="00C0671D" w:rsidRPr="009A59E7">
        <w:rPr>
          <w:rFonts w:ascii="Times New Roman" w:hAnsi="Times New Roman"/>
          <w:b/>
          <w:sz w:val="22"/>
        </w:rPr>
        <w:sym w:font="Symbol" w:char="00B3"/>
      </w:r>
      <w:r w:rsidR="00C0671D" w:rsidRPr="009A59E7">
        <w:rPr>
          <w:rFonts w:ascii="Times New Roman" w:hAnsi="Times New Roman"/>
          <w:b/>
          <w:sz w:val="22"/>
        </w:rPr>
        <w:t> 1% of VIREAD-Treated Patients in Study 903 (0–144 weeks)</w:t>
      </w:r>
    </w:p>
    <w:p w:rsidR="009D74A6" w:rsidRPr="009A59E7" w:rsidRDefault="009D74A6" w:rsidP="00C0671D">
      <w:pPr>
        <w:spacing w:after="60"/>
        <w:ind w:left="1267" w:hanging="1267"/>
        <w:rPr>
          <w:rFonts w:ascii="Times New Roman" w:hAnsi="Times New Roman"/>
          <w:b/>
          <w:sz w:val="22"/>
        </w:rPr>
      </w:pPr>
    </w:p>
    <w:tbl>
      <w:tblPr>
        <w:tblW w:w="0" w:type="auto"/>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BF"/>
      </w:tblPr>
      <w:tblGrid>
        <w:gridCol w:w="3150"/>
        <w:gridCol w:w="2925"/>
        <w:gridCol w:w="2925"/>
      </w:tblGrid>
      <w:tr w:rsidR="00571B28" w:rsidRPr="009A59E7" w:rsidTr="00D22E3D">
        <w:tc>
          <w:tcPr>
            <w:tcW w:w="3150" w:type="dxa"/>
            <w:vMerge w:val="restart"/>
            <w:tcBorders>
              <w:top w:val="single" w:sz="4" w:space="0" w:color="auto"/>
              <w:left w:val="single" w:sz="4" w:space="0" w:color="auto"/>
              <w:right w:val="single" w:sz="6" w:space="0" w:color="000000"/>
            </w:tcBorders>
            <w:shd w:val="clear" w:color="auto" w:fill="auto"/>
            <w:vAlign w:val="center"/>
          </w:tcPr>
          <w:p w:rsidR="00571B28" w:rsidRPr="009A59E7" w:rsidRDefault="00571B28">
            <w:pPr>
              <w:pStyle w:val="Table-Text"/>
              <w:spacing w:before="60"/>
              <w:jc w:val="center"/>
              <w:rPr>
                <w:b/>
                <w:sz w:val="20"/>
                <w:lang w:val="en-AU"/>
              </w:rPr>
            </w:pPr>
          </w:p>
        </w:tc>
        <w:tc>
          <w:tcPr>
            <w:tcW w:w="2925" w:type="dxa"/>
            <w:tcBorders>
              <w:top w:val="single" w:sz="4" w:space="0" w:color="auto"/>
              <w:left w:val="single" w:sz="6" w:space="0" w:color="000000"/>
              <w:bottom w:val="single" w:sz="4" w:space="0" w:color="auto"/>
              <w:right w:val="single" w:sz="6" w:space="0" w:color="000000"/>
            </w:tcBorders>
            <w:shd w:val="clear" w:color="auto" w:fill="auto"/>
            <w:vAlign w:val="center"/>
          </w:tcPr>
          <w:p w:rsidR="00571B28" w:rsidRPr="009A59E7" w:rsidRDefault="00571B28">
            <w:pPr>
              <w:pStyle w:val="Table-Text"/>
              <w:spacing w:before="60"/>
              <w:jc w:val="center"/>
              <w:rPr>
                <w:b/>
                <w:sz w:val="20"/>
                <w:lang w:val="en-AU"/>
              </w:rPr>
            </w:pPr>
            <w:r w:rsidRPr="009A59E7">
              <w:rPr>
                <w:b/>
                <w:sz w:val="20"/>
                <w:lang w:val="en-AU"/>
              </w:rPr>
              <w:t>VIREAD+3TC+EFV</w:t>
            </w:r>
          </w:p>
        </w:tc>
        <w:tc>
          <w:tcPr>
            <w:tcW w:w="2925" w:type="dxa"/>
            <w:tcBorders>
              <w:top w:val="single" w:sz="4" w:space="0" w:color="auto"/>
              <w:left w:val="single" w:sz="6" w:space="0" w:color="000000"/>
              <w:bottom w:val="single" w:sz="4" w:space="0" w:color="auto"/>
              <w:right w:val="single" w:sz="4" w:space="0" w:color="auto"/>
            </w:tcBorders>
            <w:shd w:val="clear" w:color="auto" w:fill="auto"/>
            <w:vAlign w:val="center"/>
          </w:tcPr>
          <w:p w:rsidR="00571B28" w:rsidRPr="009A59E7" w:rsidRDefault="00571B28">
            <w:pPr>
              <w:spacing w:before="60"/>
              <w:jc w:val="center"/>
              <w:rPr>
                <w:rFonts w:ascii="Times New Roman" w:hAnsi="Times New Roman"/>
                <w:b/>
              </w:rPr>
            </w:pPr>
            <w:r w:rsidRPr="009A59E7">
              <w:rPr>
                <w:rFonts w:ascii="Times New Roman" w:hAnsi="Times New Roman"/>
                <w:b/>
              </w:rPr>
              <w:t>d4T+3TC+EFV</w:t>
            </w:r>
          </w:p>
        </w:tc>
      </w:tr>
      <w:tr w:rsidR="00571B28" w:rsidRPr="009A59E7" w:rsidTr="00D22E3D">
        <w:tc>
          <w:tcPr>
            <w:tcW w:w="3150" w:type="dxa"/>
            <w:vMerge/>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571B28" w:rsidRPr="009A59E7" w:rsidRDefault="00571B28">
            <w:pPr>
              <w:pStyle w:val="Table-Text"/>
              <w:spacing w:before="60"/>
              <w:rPr>
                <w:sz w:val="20"/>
                <w:lang w:val="en-AU"/>
              </w:rPr>
            </w:pPr>
          </w:p>
        </w:tc>
        <w:tc>
          <w:tcPr>
            <w:tcW w:w="2925" w:type="dxa"/>
            <w:tcBorders>
              <w:top w:val="nil"/>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71B28" w:rsidRPr="009A59E7" w:rsidRDefault="00571B28">
            <w:pPr>
              <w:spacing w:before="60"/>
              <w:jc w:val="center"/>
              <w:rPr>
                <w:rFonts w:ascii="Times New Roman" w:hAnsi="Times New Roman"/>
                <w:b/>
              </w:rPr>
            </w:pPr>
            <w:r w:rsidRPr="009A59E7">
              <w:rPr>
                <w:rFonts w:ascii="Times New Roman" w:hAnsi="Times New Roman"/>
                <w:b/>
              </w:rPr>
              <w:t>N=299</w:t>
            </w:r>
          </w:p>
        </w:tc>
        <w:tc>
          <w:tcPr>
            <w:tcW w:w="2925" w:type="dxa"/>
            <w:tcBorders>
              <w:top w:val="nil"/>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571B28" w:rsidRPr="009A59E7" w:rsidRDefault="00571B28">
            <w:pPr>
              <w:spacing w:before="60"/>
              <w:jc w:val="center"/>
              <w:rPr>
                <w:rFonts w:ascii="Times New Roman" w:hAnsi="Times New Roman"/>
                <w:b/>
              </w:rPr>
            </w:pPr>
            <w:r w:rsidRPr="009A59E7">
              <w:rPr>
                <w:rFonts w:ascii="Times New Roman" w:hAnsi="Times New Roman"/>
                <w:b/>
              </w:rPr>
              <w:t>N=301</w:t>
            </w:r>
          </w:p>
        </w:tc>
      </w:tr>
      <w:tr w:rsidR="00C0671D" w:rsidRPr="009A59E7">
        <w:trPr>
          <w:trHeight w:val="597"/>
        </w:trPr>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C0671D" w:rsidRPr="009A59E7" w:rsidRDefault="00C0671D">
            <w:pPr>
              <w:pStyle w:val="Table-Text"/>
              <w:spacing w:before="40" w:after="40"/>
              <w:rPr>
                <w:sz w:val="20"/>
                <w:lang w:val="en-AU"/>
              </w:rPr>
            </w:pPr>
            <w:r w:rsidRPr="009A59E7">
              <w:rPr>
                <w:sz w:val="20"/>
                <w:lang w:val="en-AU"/>
              </w:rPr>
              <w:t xml:space="preserve">Any </w:t>
            </w:r>
            <w:r w:rsidRPr="009A59E7">
              <w:rPr>
                <w:sz w:val="20"/>
                <w:lang w:val="en-AU"/>
              </w:rPr>
              <w:sym w:font="Symbol" w:char="00B3"/>
            </w:r>
            <w:r w:rsidRPr="009A59E7">
              <w:rPr>
                <w:sz w:val="20"/>
                <w:lang w:val="en-AU"/>
              </w:rPr>
              <w:t xml:space="preserve"> Grade 3 Laboratory Abnormality</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0671D" w:rsidRPr="009A59E7" w:rsidRDefault="00C0671D">
            <w:pPr>
              <w:pStyle w:val="Table-Text"/>
              <w:spacing w:before="40" w:after="40"/>
              <w:jc w:val="center"/>
              <w:rPr>
                <w:sz w:val="20"/>
                <w:lang w:val="en-AU"/>
              </w:rPr>
            </w:pPr>
            <w:r w:rsidRPr="009A59E7">
              <w:rPr>
                <w:sz w:val="20"/>
                <w:lang w:val="en-AU"/>
              </w:rPr>
              <w:t>36%</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C0671D" w:rsidRPr="009A59E7" w:rsidRDefault="00C0671D">
            <w:pPr>
              <w:pStyle w:val="Table-Text"/>
              <w:spacing w:before="40" w:after="40"/>
              <w:jc w:val="center"/>
              <w:rPr>
                <w:sz w:val="20"/>
                <w:lang w:val="en-AU"/>
              </w:rPr>
            </w:pPr>
            <w:r w:rsidRPr="009A59E7">
              <w:rPr>
                <w:sz w:val="20"/>
                <w:lang w:val="en-AU"/>
              </w:rPr>
              <w:t>42%</w:t>
            </w:r>
          </w:p>
        </w:tc>
      </w:tr>
      <w:tr w:rsidR="00354A3E" w:rsidRPr="009A59E7">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354A3E" w:rsidRPr="009A59E7" w:rsidRDefault="00354A3E" w:rsidP="005F4256">
            <w:pPr>
              <w:pStyle w:val="TOC4"/>
              <w:rPr>
                <w:sz w:val="20"/>
                <w:lang w:val="es-ES"/>
              </w:rPr>
            </w:pPr>
            <w:r w:rsidRPr="009A59E7">
              <w:rPr>
                <w:lang w:val="es-ES"/>
              </w:rPr>
              <w:t>Creatine Kinase</w:t>
            </w:r>
            <w:r w:rsidRPr="009A59E7">
              <w:rPr>
                <w:lang w:val="es-ES"/>
              </w:rPr>
              <w:br/>
            </w:r>
            <w:r w:rsidRPr="009A59E7">
              <w:rPr>
                <w:sz w:val="20"/>
                <w:lang w:val="es-ES"/>
              </w:rPr>
              <w:t>(M: &gt; 990 U/L)</w:t>
            </w:r>
          </w:p>
          <w:p w:rsidR="00354A3E" w:rsidRPr="009A59E7" w:rsidRDefault="00354A3E" w:rsidP="005F4256">
            <w:pPr>
              <w:pStyle w:val="TOC4"/>
            </w:pPr>
            <w:r w:rsidRPr="009A59E7">
              <w:rPr>
                <w:sz w:val="20"/>
              </w:rPr>
              <w:t>(F: &gt; 845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9A59E7" w:rsidRDefault="00354A3E">
            <w:pPr>
              <w:pStyle w:val="Table-Text"/>
              <w:spacing w:before="40" w:after="40"/>
              <w:jc w:val="center"/>
              <w:rPr>
                <w:sz w:val="20"/>
                <w:lang w:val="en-AU"/>
              </w:rPr>
            </w:pPr>
            <w:r w:rsidRPr="009A59E7">
              <w:rPr>
                <w:sz w:val="20"/>
                <w:lang w:val="en-AU"/>
              </w:rPr>
              <w:t>12%</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354A3E" w:rsidRPr="009A59E7" w:rsidRDefault="00354A3E">
            <w:pPr>
              <w:pStyle w:val="Table-Text"/>
              <w:spacing w:before="40" w:after="40"/>
              <w:jc w:val="center"/>
              <w:rPr>
                <w:sz w:val="20"/>
                <w:lang w:val="en-AU"/>
              </w:rPr>
            </w:pPr>
            <w:r w:rsidRPr="009A59E7">
              <w:rPr>
                <w:sz w:val="20"/>
                <w:lang w:val="en-AU"/>
              </w:rPr>
              <w:t>12%</w:t>
            </w:r>
          </w:p>
        </w:tc>
      </w:tr>
      <w:tr w:rsidR="00354A3E" w:rsidRPr="009A59E7">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9A59E7" w:rsidRDefault="00354A3E">
            <w:pPr>
              <w:pStyle w:val="Table-Text"/>
              <w:tabs>
                <w:tab w:val="clear" w:pos="360"/>
              </w:tabs>
              <w:spacing w:before="40" w:after="40"/>
              <w:rPr>
                <w:sz w:val="20"/>
                <w:lang w:val="en-AU"/>
              </w:rPr>
            </w:pPr>
            <w:r w:rsidRPr="009A59E7">
              <w:rPr>
                <w:sz w:val="20"/>
                <w:lang w:val="en-AU"/>
              </w:rPr>
              <w:t>Serum Amylase (&gt;175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9A59E7" w:rsidRDefault="00354A3E">
            <w:pPr>
              <w:pStyle w:val="Table-Text"/>
              <w:spacing w:before="40" w:after="40"/>
              <w:jc w:val="center"/>
              <w:rPr>
                <w:sz w:val="20"/>
                <w:lang w:val="en-AU"/>
              </w:rPr>
            </w:pPr>
            <w:r w:rsidRPr="009A59E7">
              <w:rPr>
                <w:sz w:val="20"/>
                <w:lang w:val="en-AU"/>
              </w:rPr>
              <w:t>9%</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354A3E" w:rsidRPr="009A59E7" w:rsidRDefault="00354A3E">
            <w:pPr>
              <w:pStyle w:val="Table-Text"/>
              <w:spacing w:before="40" w:after="40"/>
              <w:jc w:val="center"/>
              <w:rPr>
                <w:sz w:val="20"/>
                <w:lang w:val="en-AU"/>
              </w:rPr>
            </w:pPr>
            <w:r w:rsidRPr="009A59E7">
              <w:rPr>
                <w:sz w:val="20"/>
                <w:lang w:val="en-AU"/>
              </w:rPr>
              <w:t>8%</w:t>
            </w:r>
          </w:p>
        </w:tc>
      </w:tr>
      <w:tr w:rsidR="00354A3E" w:rsidRPr="009A59E7">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CommentText"/>
              <w:tabs>
                <w:tab w:val="left" w:pos="342"/>
              </w:tabs>
              <w:spacing w:before="60" w:after="60"/>
              <w:rPr>
                <w:lang w:val="en-AU"/>
              </w:rPr>
            </w:pPr>
            <w:r w:rsidRPr="00265C99">
              <w:rPr>
                <w:lang w:val="en-AU"/>
              </w:rPr>
              <w:t>AST</w:t>
            </w:r>
            <w:r w:rsidRPr="00265C99">
              <w:rPr>
                <w:lang w:val="en-AU"/>
              </w:rPr>
              <w:br/>
              <w:t>(M:</w:t>
            </w:r>
            <w:r w:rsidRPr="00265C99">
              <w:rPr>
                <w:lang w:val="en-AU"/>
              </w:rPr>
              <w:tab/>
              <w:t>&gt;180 U/L)</w:t>
            </w:r>
            <w:r w:rsidRPr="00265C99">
              <w:rPr>
                <w:lang w:val="en-AU"/>
              </w:rPr>
              <w:br/>
              <w:t>(F:</w:t>
            </w:r>
            <w:r w:rsidRPr="00265C99">
              <w:rPr>
                <w:lang w:val="en-AU"/>
              </w:rPr>
              <w:tab/>
              <w:t>&gt;170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Table-Text"/>
              <w:spacing w:before="40" w:after="40"/>
              <w:jc w:val="center"/>
              <w:rPr>
                <w:sz w:val="20"/>
                <w:lang w:val="en-AU"/>
              </w:rPr>
            </w:pPr>
            <w:r w:rsidRPr="00265C99">
              <w:rPr>
                <w:sz w:val="20"/>
                <w:lang w:val="en-AU"/>
              </w:rPr>
              <w:t>5%</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354A3E" w:rsidRPr="00265C99" w:rsidRDefault="00354A3E">
            <w:pPr>
              <w:pStyle w:val="Table-Text"/>
              <w:spacing w:before="40" w:after="40"/>
              <w:jc w:val="center"/>
              <w:rPr>
                <w:sz w:val="20"/>
                <w:lang w:val="en-AU"/>
              </w:rPr>
            </w:pPr>
            <w:r w:rsidRPr="00265C99">
              <w:rPr>
                <w:sz w:val="20"/>
                <w:lang w:val="en-AU"/>
              </w:rPr>
              <w:t>7%</w:t>
            </w:r>
          </w:p>
        </w:tc>
      </w:tr>
      <w:tr w:rsidR="00354A3E" w:rsidRPr="009A59E7">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CommentText"/>
              <w:tabs>
                <w:tab w:val="left" w:pos="342"/>
              </w:tabs>
              <w:spacing w:before="60" w:after="60"/>
              <w:rPr>
                <w:lang w:val="en-AU"/>
              </w:rPr>
            </w:pPr>
            <w:r w:rsidRPr="00265C99">
              <w:rPr>
                <w:lang w:val="en-AU"/>
              </w:rPr>
              <w:t>ALT</w:t>
            </w:r>
            <w:r w:rsidRPr="00265C99">
              <w:rPr>
                <w:lang w:val="en-AU"/>
              </w:rPr>
              <w:br/>
              <w:t>(M:</w:t>
            </w:r>
            <w:r w:rsidRPr="00265C99">
              <w:rPr>
                <w:lang w:val="en-AU"/>
              </w:rPr>
              <w:tab/>
              <w:t>&gt;215 U/L)</w:t>
            </w:r>
            <w:r w:rsidRPr="00265C99">
              <w:rPr>
                <w:lang w:val="en-AU"/>
              </w:rPr>
              <w:br/>
              <w:t>(F:</w:t>
            </w:r>
            <w:r w:rsidRPr="00265C99">
              <w:rPr>
                <w:lang w:val="en-AU"/>
              </w:rPr>
              <w:tab/>
              <w:t>&gt;170 U/L)</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Table-Text"/>
              <w:spacing w:before="40" w:after="40"/>
              <w:jc w:val="center"/>
              <w:rPr>
                <w:sz w:val="20"/>
                <w:lang w:val="en-AU"/>
              </w:rPr>
            </w:pPr>
            <w:r w:rsidRPr="00265C99">
              <w:rPr>
                <w:sz w:val="20"/>
                <w:lang w:val="en-AU"/>
              </w:rPr>
              <w:t>4%</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354A3E" w:rsidRPr="00265C99" w:rsidRDefault="00354A3E">
            <w:pPr>
              <w:pStyle w:val="Table-Text"/>
              <w:spacing w:before="40" w:after="40"/>
              <w:jc w:val="center"/>
              <w:rPr>
                <w:sz w:val="20"/>
                <w:lang w:val="en-AU"/>
              </w:rPr>
            </w:pPr>
            <w:r w:rsidRPr="00265C99">
              <w:rPr>
                <w:sz w:val="20"/>
                <w:lang w:val="en-AU"/>
              </w:rPr>
              <w:t>5%</w:t>
            </w:r>
          </w:p>
        </w:tc>
      </w:tr>
      <w:tr w:rsidR="00354A3E" w:rsidRPr="009A59E7">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spacing w:before="60" w:after="60"/>
              <w:rPr>
                <w:rFonts w:ascii="Times New Roman" w:hAnsi="Times New Roman"/>
              </w:rPr>
            </w:pPr>
            <w:r w:rsidRPr="00265C99">
              <w:rPr>
                <w:rFonts w:ascii="Times New Roman" w:hAnsi="Times New Roman"/>
              </w:rPr>
              <w:t xml:space="preserve">Haematuria </w:t>
            </w:r>
            <w:r w:rsidRPr="00265C99">
              <w:rPr>
                <w:rFonts w:ascii="Times New Roman" w:hAnsi="Times New Roman"/>
                <w:snapToGrid w:val="0"/>
              </w:rPr>
              <w:t>(</w:t>
            </w:r>
            <w:r w:rsidRPr="00265C99">
              <w:rPr>
                <w:rFonts w:ascii="Times New Roman" w:hAnsi="Times New Roman"/>
              </w:rPr>
              <w:t>&gt;</w:t>
            </w:r>
            <w:r w:rsidRPr="00265C99">
              <w:rPr>
                <w:rFonts w:ascii="Times New Roman" w:hAnsi="Times New Roman"/>
                <w:snapToGrid w:val="0"/>
              </w:rPr>
              <w:t>100 RBC/HPF)</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Table-Text"/>
              <w:spacing w:before="60" w:after="60"/>
              <w:jc w:val="center"/>
              <w:rPr>
                <w:sz w:val="20"/>
                <w:lang w:val="en-AU"/>
              </w:rPr>
            </w:pPr>
            <w:r w:rsidRPr="00265C99">
              <w:rPr>
                <w:sz w:val="20"/>
                <w:lang w:val="en-AU"/>
              </w:rPr>
              <w:t>7%</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354A3E" w:rsidRPr="00265C99" w:rsidRDefault="00354A3E">
            <w:pPr>
              <w:pStyle w:val="Table-Text"/>
              <w:spacing w:before="60" w:after="60"/>
              <w:jc w:val="center"/>
              <w:rPr>
                <w:sz w:val="20"/>
                <w:lang w:val="en-AU"/>
              </w:rPr>
            </w:pPr>
            <w:r w:rsidRPr="00265C99">
              <w:rPr>
                <w:sz w:val="20"/>
                <w:lang w:val="en-AU"/>
              </w:rPr>
              <w:t>7%</w:t>
            </w:r>
          </w:p>
        </w:tc>
      </w:tr>
      <w:tr w:rsidR="00354A3E" w:rsidRPr="009A59E7">
        <w:tc>
          <w:tcPr>
            <w:tcW w:w="3150" w:type="dxa"/>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spacing w:before="60" w:after="60"/>
              <w:rPr>
                <w:rFonts w:ascii="Times New Roman" w:hAnsi="Times New Roman"/>
              </w:rPr>
            </w:pPr>
            <w:r w:rsidRPr="00265C99">
              <w:rPr>
                <w:rFonts w:ascii="Times New Roman" w:hAnsi="Times New Roman"/>
              </w:rPr>
              <w:t>Neutrophil (&lt;750/mm</w:t>
            </w:r>
            <w:r w:rsidRPr="00265C99">
              <w:rPr>
                <w:rFonts w:ascii="Times New Roman" w:hAnsi="Times New Roman"/>
                <w:vertAlign w:val="superscript"/>
              </w:rPr>
              <w:t>3</w:t>
            </w:r>
            <w:r w:rsidRPr="00265C99">
              <w:rPr>
                <w:rFonts w:ascii="Times New Roman" w:hAnsi="Times New Roman"/>
              </w:rPr>
              <w:t>)</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Table-Text"/>
              <w:spacing w:before="60" w:after="60"/>
              <w:jc w:val="center"/>
              <w:rPr>
                <w:sz w:val="20"/>
                <w:lang w:val="en-AU"/>
              </w:rPr>
            </w:pPr>
            <w:r w:rsidRPr="00265C99">
              <w:rPr>
                <w:sz w:val="20"/>
                <w:lang w:val="en-AU"/>
              </w:rPr>
              <w:t>3%</w:t>
            </w:r>
          </w:p>
        </w:tc>
        <w:tc>
          <w:tcPr>
            <w:tcW w:w="292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rsidR="00354A3E" w:rsidRPr="00265C99" w:rsidRDefault="00354A3E">
            <w:pPr>
              <w:pStyle w:val="Table-Text"/>
              <w:spacing w:before="60" w:after="60"/>
              <w:jc w:val="center"/>
              <w:rPr>
                <w:sz w:val="20"/>
                <w:lang w:val="en-AU"/>
              </w:rPr>
            </w:pPr>
            <w:r w:rsidRPr="00265C99">
              <w:rPr>
                <w:sz w:val="20"/>
                <w:lang w:val="en-AU"/>
              </w:rPr>
              <w:t>1%</w:t>
            </w:r>
          </w:p>
        </w:tc>
      </w:tr>
      <w:tr w:rsidR="00354A3E" w:rsidRPr="009A59E7">
        <w:tc>
          <w:tcPr>
            <w:tcW w:w="3150" w:type="dxa"/>
            <w:tcBorders>
              <w:top w:val="single" w:sz="6" w:space="0" w:color="000000"/>
              <w:left w:val="single" w:sz="4" w:space="0" w:color="auto"/>
              <w:bottom w:val="single" w:sz="12"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rsidP="005F4256">
            <w:pPr>
              <w:pStyle w:val="TOC4"/>
              <w:rPr>
                <w:sz w:val="20"/>
              </w:rPr>
            </w:pPr>
            <w:r w:rsidRPr="00265C99">
              <w:rPr>
                <w:sz w:val="20"/>
              </w:rPr>
              <w:t>Triglyceride (&gt;750 mg/dL)</w:t>
            </w:r>
          </w:p>
        </w:tc>
        <w:tc>
          <w:tcPr>
            <w:tcW w:w="2925"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54A3E" w:rsidRPr="00265C99" w:rsidRDefault="00354A3E">
            <w:pPr>
              <w:pStyle w:val="Table-Text"/>
              <w:spacing w:before="60" w:after="60"/>
              <w:jc w:val="center"/>
              <w:rPr>
                <w:sz w:val="20"/>
                <w:lang w:val="en-AU"/>
              </w:rPr>
            </w:pPr>
            <w:r w:rsidRPr="00265C99">
              <w:rPr>
                <w:sz w:val="20"/>
                <w:lang w:val="en-AU"/>
              </w:rPr>
              <w:t>3%</w:t>
            </w:r>
          </w:p>
        </w:tc>
        <w:tc>
          <w:tcPr>
            <w:tcW w:w="2925"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center"/>
          </w:tcPr>
          <w:p w:rsidR="00354A3E" w:rsidRPr="00265C99" w:rsidRDefault="00E2239B">
            <w:pPr>
              <w:pStyle w:val="Table-Text"/>
              <w:spacing w:before="60" w:after="60"/>
              <w:jc w:val="center"/>
              <w:rPr>
                <w:sz w:val="20"/>
                <w:lang w:val="en-AU"/>
              </w:rPr>
            </w:pPr>
            <w:r>
              <w:rPr>
                <w:sz w:val="20"/>
                <w:lang w:val="en-AU"/>
              </w:rPr>
              <w:t>13</w:t>
            </w:r>
            <w:r w:rsidR="00354A3E" w:rsidRPr="00265C99">
              <w:rPr>
                <w:sz w:val="20"/>
                <w:lang w:val="en-AU"/>
              </w:rPr>
              <w:t>%</w:t>
            </w:r>
          </w:p>
        </w:tc>
      </w:tr>
    </w:tbl>
    <w:p w:rsidR="002C5443" w:rsidRDefault="002C5443" w:rsidP="00265C99">
      <w:pPr>
        <w:autoSpaceDE w:val="0"/>
        <w:autoSpaceDN w:val="0"/>
        <w:adjustRightInd w:val="0"/>
        <w:jc w:val="both"/>
        <w:rPr>
          <w:rFonts w:ascii="Times New Roman" w:hAnsi="Times New Roman"/>
          <w:b/>
          <w:bCs/>
          <w:sz w:val="22"/>
          <w:szCs w:val="22"/>
          <w:lang w:val="en-US"/>
        </w:rPr>
      </w:pPr>
    </w:p>
    <w:p w:rsidR="002C5443" w:rsidRPr="00015C34" w:rsidRDefault="002C5443" w:rsidP="00265C99">
      <w:pPr>
        <w:autoSpaceDE w:val="0"/>
        <w:autoSpaceDN w:val="0"/>
        <w:adjustRightInd w:val="0"/>
        <w:jc w:val="both"/>
        <w:rPr>
          <w:rFonts w:ascii="Times New Roman" w:hAnsi="Times New Roman"/>
          <w:b/>
          <w:bCs/>
          <w:sz w:val="24"/>
          <w:szCs w:val="24"/>
          <w:lang w:val="en-US"/>
        </w:rPr>
      </w:pPr>
    </w:p>
    <w:p w:rsidR="00265C99" w:rsidRPr="00015C34" w:rsidRDefault="00265C99" w:rsidP="00265C99">
      <w:pPr>
        <w:autoSpaceDE w:val="0"/>
        <w:autoSpaceDN w:val="0"/>
        <w:adjustRightInd w:val="0"/>
        <w:jc w:val="both"/>
        <w:rPr>
          <w:rFonts w:ascii="Times New Roman" w:hAnsi="Times New Roman"/>
          <w:sz w:val="24"/>
          <w:szCs w:val="24"/>
          <w:lang w:val="en-US"/>
        </w:rPr>
      </w:pPr>
      <w:r w:rsidRPr="00015C34">
        <w:rPr>
          <w:rFonts w:ascii="Times New Roman" w:hAnsi="Times New Roman"/>
          <w:b/>
          <w:bCs/>
          <w:sz w:val="24"/>
          <w:szCs w:val="24"/>
          <w:lang w:val="en-US"/>
        </w:rPr>
        <w:t xml:space="preserve">Study 934 - Treatment Emergent Adverse Events: </w:t>
      </w:r>
      <w:r w:rsidRPr="00015C34">
        <w:rPr>
          <w:rFonts w:ascii="Times New Roman" w:hAnsi="Times New Roman"/>
          <w:sz w:val="24"/>
          <w:szCs w:val="24"/>
          <w:lang w:val="en-US"/>
        </w:rPr>
        <w:t>Study 934 was an open-label</w:t>
      </w:r>
      <w:r w:rsidRPr="00015C34">
        <w:rPr>
          <w:sz w:val="24"/>
          <w:szCs w:val="24"/>
          <w:lang w:val="en-US"/>
        </w:rPr>
        <w:t xml:space="preserve"> </w:t>
      </w:r>
      <w:r w:rsidRPr="00015C34">
        <w:rPr>
          <w:rFonts w:ascii="Times New Roman" w:hAnsi="Times New Roman"/>
          <w:sz w:val="24"/>
          <w:szCs w:val="24"/>
          <w:lang w:val="en-US"/>
        </w:rPr>
        <w:t>active-controlled study in which 511 antiretroviral-naïve patients received either VIREAD +</w:t>
      </w:r>
      <w:r w:rsidRPr="00015C34">
        <w:rPr>
          <w:sz w:val="24"/>
          <w:szCs w:val="24"/>
          <w:lang w:val="en-US"/>
        </w:rPr>
        <w:t xml:space="preserve"> </w:t>
      </w:r>
      <w:r w:rsidRPr="00015C34">
        <w:rPr>
          <w:rFonts w:ascii="Times New Roman" w:hAnsi="Times New Roman"/>
          <w:sz w:val="24"/>
          <w:szCs w:val="24"/>
          <w:lang w:val="en-US"/>
        </w:rPr>
        <w:t xml:space="preserve">EMTRIVA administered in combination with efavirenz (n=257) or </w:t>
      </w:r>
      <w:r w:rsidR="00537553">
        <w:rPr>
          <w:rFonts w:ascii="Times New Roman" w:hAnsi="Times New Roman"/>
          <w:sz w:val="24"/>
          <w:szCs w:val="24"/>
          <w:lang w:val="en-US"/>
        </w:rPr>
        <w:t>Combivir</w:t>
      </w:r>
      <w:r w:rsidRPr="00015C34">
        <w:rPr>
          <w:sz w:val="24"/>
          <w:szCs w:val="24"/>
          <w:lang w:val="en-US"/>
        </w:rPr>
        <w:t xml:space="preserve"> </w:t>
      </w:r>
      <w:r w:rsidRPr="00015C34">
        <w:rPr>
          <w:rFonts w:ascii="Times New Roman" w:hAnsi="Times New Roman"/>
          <w:sz w:val="24"/>
          <w:szCs w:val="24"/>
          <w:lang w:val="en-US"/>
        </w:rPr>
        <w:t>(lamivudine/zidovudine) administered in combination with efavirenz (n=254). Adverse</w:t>
      </w:r>
      <w:r w:rsidRPr="00015C34">
        <w:rPr>
          <w:sz w:val="24"/>
          <w:szCs w:val="24"/>
          <w:lang w:val="en-US"/>
        </w:rPr>
        <w:t xml:space="preserve"> </w:t>
      </w:r>
      <w:r w:rsidRPr="00015C34">
        <w:rPr>
          <w:rFonts w:ascii="Times New Roman" w:hAnsi="Times New Roman"/>
          <w:sz w:val="24"/>
          <w:szCs w:val="24"/>
          <w:lang w:val="en-US"/>
        </w:rPr>
        <w:t>events observed in this study were generally consistent with those seen in previous</w:t>
      </w:r>
      <w:r w:rsidRPr="00015C34">
        <w:rPr>
          <w:sz w:val="24"/>
          <w:szCs w:val="24"/>
          <w:lang w:val="en-US"/>
        </w:rPr>
        <w:t xml:space="preserve"> </w:t>
      </w:r>
      <w:r w:rsidRPr="00015C34">
        <w:rPr>
          <w:rFonts w:ascii="Times New Roman" w:hAnsi="Times New Roman"/>
          <w:sz w:val="24"/>
          <w:szCs w:val="24"/>
          <w:lang w:val="en-US"/>
        </w:rPr>
        <w:t xml:space="preserve">studies in treatment-experienced or treatment-naïve patients (Table </w:t>
      </w:r>
      <w:r w:rsidR="00220BF5" w:rsidRPr="00015C34">
        <w:rPr>
          <w:rFonts w:ascii="Times New Roman" w:hAnsi="Times New Roman"/>
          <w:sz w:val="24"/>
          <w:szCs w:val="24"/>
          <w:lang w:val="en-US"/>
        </w:rPr>
        <w:t>1</w:t>
      </w:r>
      <w:r w:rsidR="00AB326F">
        <w:rPr>
          <w:rFonts w:ascii="Times New Roman" w:hAnsi="Times New Roman"/>
          <w:sz w:val="24"/>
          <w:szCs w:val="24"/>
          <w:lang w:val="en-US"/>
        </w:rPr>
        <w:t>8</w:t>
      </w:r>
      <w:r w:rsidRPr="00015C34">
        <w:rPr>
          <w:rFonts w:ascii="Times New Roman" w:hAnsi="Times New Roman"/>
          <w:sz w:val="24"/>
          <w:szCs w:val="24"/>
          <w:lang w:val="en-US"/>
        </w:rPr>
        <w:t>).</w:t>
      </w:r>
      <w:r w:rsidR="00FF79E8" w:rsidRPr="00015C34">
        <w:rPr>
          <w:rFonts w:ascii="Times New Roman" w:hAnsi="Times New Roman"/>
          <w:sz w:val="24"/>
          <w:szCs w:val="24"/>
          <w:lang w:val="en-US"/>
        </w:rPr>
        <w:t xml:space="preserve">  Adverse events leading to study drug discontinuation occurred in significantly smaller number of patients in the TRUVADA </w:t>
      </w:r>
      <w:r w:rsidR="00D03901" w:rsidRPr="00015C34">
        <w:rPr>
          <w:rFonts w:ascii="Times New Roman" w:hAnsi="Times New Roman"/>
          <w:sz w:val="24"/>
          <w:szCs w:val="24"/>
          <w:lang w:val="en-US"/>
        </w:rPr>
        <w:t xml:space="preserve">(tenofovir DF/emtricitabine) </w:t>
      </w:r>
      <w:r w:rsidR="00FF79E8" w:rsidRPr="00015C34">
        <w:rPr>
          <w:rFonts w:ascii="Times New Roman" w:hAnsi="Times New Roman"/>
          <w:sz w:val="24"/>
          <w:szCs w:val="24"/>
          <w:lang w:val="en-US"/>
        </w:rPr>
        <w:t xml:space="preserve">group compared to the </w:t>
      </w:r>
      <w:r w:rsidR="00537553">
        <w:rPr>
          <w:rFonts w:ascii="Times New Roman" w:hAnsi="Times New Roman"/>
          <w:sz w:val="24"/>
          <w:szCs w:val="24"/>
          <w:lang w:val="en-US"/>
        </w:rPr>
        <w:t>Combivir</w:t>
      </w:r>
      <w:r w:rsidR="00FF79E8" w:rsidRPr="00015C34">
        <w:rPr>
          <w:rFonts w:ascii="Times New Roman" w:hAnsi="Times New Roman"/>
          <w:sz w:val="24"/>
          <w:szCs w:val="24"/>
          <w:lang w:val="en-US"/>
        </w:rPr>
        <w:t xml:space="preserve"> group (5% vs 11%, p=0.010).  The most frequently occurring adverse event leading to study drug discontinuation was anaemia (including decreased haemoglobin), no patient in the TRUVADA group and 6% of patients in the </w:t>
      </w:r>
      <w:r w:rsidR="00537553">
        <w:rPr>
          <w:rFonts w:ascii="Times New Roman" w:hAnsi="Times New Roman"/>
          <w:sz w:val="24"/>
          <w:szCs w:val="24"/>
          <w:lang w:val="en-US"/>
        </w:rPr>
        <w:t>Combivir</w:t>
      </w:r>
      <w:r w:rsidR="00FF79E8" w:rsidRPr="00015C34">
        <w:rPr>
          <w:rFonts w:ascii="Times New Roman" w:hAnsi="Times New Roman"/>
          <w:sz w:val="24"/>
          <w:szCs w:val="24"/>
          <w:lang w:val="en-US"/>
        </w:rPr>
        <w:t xml:space="preserve"> group.</w:t>
      </w:r>
    </w:p>
    <w:p w:rsidR="00265C99" w:rsidRDefault="00265C99" w:rsidP="00265C99">
      <w:pPr>
        <w:jc w:val="both"/>
        <w:rPr>
          <w:rFonts w:ascii="Times New Roman" w:hAnsi="Times New Roman"/>
          <w:b/>
          <w:color w:val="000000"/>
          <w:sz w:val="22"/>
          <w:szCs w:val="22"/>
        </w:rPr>
      </w:pPr>
    </w:p>
    <w:p w:rsidR="00265C99" w:rsidRPr="00782EAC" w:rsidRDefault="00EF3129" w:rsidP="002C5443">
      <w:pPr>
        <w:autoSpaceDE w:val="0"/>
        <w:autoSpaceDN w:val="0"/>
        <w:adjustRightInd w:val="0"/>
        <w:ind w:left="1440" w:hanging="1440"/>
        <w:rPr>
          <w:rFonts w:ascii="Times New Roman" w:hAnsi="Times New Roman"/>
          <w:b/>
          <w:bCs/>
          <w:sz w:val="22"/>
          <w:szCs w:val="22"/>
        </w:rPr>
      </w:pPr>
      <w:r>
        <w:rPr>
          <w:rFonts w:ascii="Times New Roman" w:hAnsi="Times New Roman"/>
          <w:b/>
          <w:bCs/>
          <w:sz w:val="22"/>
          <w:szCs w:val="22"/>
        </w:rPr>
        <w:br w:type="page"/>
      </w:r>
      <w:r w:rsidR="00265C99" w:rsidRPr="00782EAC">
        <w:rPr>
          <w:rFonts w:ascii="Times New Roman" w:hAnsi="Times New Roman"/>
          <w:b/>
          <w:bCs/>
          <w:sz w:val="22"/>
          <w:szCs w:val="22"/>
        </w:rPr>
        <w:lastRenderedPageBreak/>
        <w:t xml:space="preserve">Table </w:t>
      </w:r>
      <w:r w:rsidR="00220BF5">
        <w:rPr>
          <w:rFonts w:ascii="Times New Roman" w:hAnsi="Times New Roman"/>
          <w:b/>
          <w:bCs/>
          <w:sz w:val="22"/>
          <w:szCs w:val="22"/>
        </w:rPr>
        <w:t>1</w:t>
      </w:r>
      <w:r w:rsidR="0044536D">
        <w:rPr>
          <w:rFonts w:ascii="Times New Roman" w:hAnsi="Times New Roman"/>
          <w:b/>
          <w:bCs/>
          <w:sz w:val="22"/>
          <w:szCs w:val="22"/>
        </w:rPr>
        <w:t>8</w:t>
      </w:r>
      <w:r w:rsidR="002C5443">
        <w:rPr>
          <w:rFonts w:ascii="Times New Roman" w:hAnsi="Times New Roman"/>
          <w:b/>
          <w:bCs/>
          <w:sz w:val="22"/>
          <w:szCs w:val="22"/>
        </w:rPr>
        <w:t xml:space="preserve">. </w:t>
      </w:r>
      <w:r w:rsidR="002C5443">
        <w:rPr>
          <w:rFonts w:ascii="Times New Roman" w:hAnsi="Times New Roman"/>
          <w:b/>
          <w:bCs/>
          <w:sz w:val="22"/>
          <w:szCs w:val="22"/>
        </w:rPr>
        <w:tab/>
        <w:t xml:space="preserve">Frequency of Adverse Reactions to EMTRIVA and/or VIREAD (Grade 2 – 4) Occurring in </w:t>
      </w:r>
      <w:r w:rsidR="002C5443">
        <w:rPr>
          <w:rFonts w:ascii="Times New Roman" w:hAnsi="Times New Roman"/>
          <w:b/>
          <w:bCs/>
          <w:sz w:val="22"/>
          <w:szCs w:val="22"/>
        </w:rPr>
        <w:sym w:font="Symbol" w:char="F0B3"/>
      </w:r>
      <w:r w:rsidR="002C5443">
        <w:rPr>
          <w:rFonts w:ascii="Times New Roman" w:hAnsi="Times New Roman"/>
          <w:b/>
          <w:bCs/>
          <w:sz w:val="22"/>
          <w:szCs w:val="22"/>
        </w:rPr>
        <w:t>3% of Patients Receiving EMTRIVA and VIREAD (or TRUVADA) in Study 934 (0-144 Weeks)</w:t>
      </w:r>
      <w:r w:rsidR="002C5443">
        <w:rPr>
          <w:rFonts w:ascii="Times New Roman Bold" w:hAnsi="Times New Roman Bold"/>
          <w:b/>
          <w:bCs/>
          <w:sz w:val="22"/>
          <w:szCs w:val="22"/>
          <w:vertAlign w:val="superscript"/>
        </w:rPr>
        <w:t xml:space="preserve">1 </w:t>
      </w:r>
    </w:p>
    <w:p w:rsidR="00265C99" w:rsidRPr="00D14D84" w:rsidRDefault="00265C99" w:rsidP="00265C99">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2248"/>
        <w:gridCol w:w="1908"/>
      </w:tblGrid>
      <w:tr w:rsidR="00265C99" w:rsidRPr="007A201D" w:rsidTr="007A201D">
        <w:trPr>
          <w:trHeight w:val="685"/>
        </w:trPr>
        <w:tc>
          <w:tcPr>
            <w:tcW w:w="4968" w:type="dxa"/>
            <w:shd w:val="clear" w:color="auto" w:fill="auto"/>
          </w:tcPr>
          <w:p w:rsidR="00265C99" w:rsidRPr="007A201D" w:rsidRDefault="002C5443" w:rsidP="007A201D">
            <w:pPr>
              <w:autoSpaceDE w:val="0"/>
              <w:autoSpaceDN w:val="0"/>
              <w:adjustRightInd w:val="0"/>
              <w:jc w:val="both"/>
              <w:rPr>
                <w:rFonts w:ascii="Times New Roman" w:hAnsi="Times New Roman"/>
                <w:b/>
              </w:rPr>
            </w:pPr>
            <w:r w:rsidRPr="007A201D">
              <w:rPr>
                <w:rFonts w:ascii="Times New Roman" w:hAnsi="Times New Roman"/>
                <w:b/>
              </w:rPr>
              <w:t>Adverse Reaction</w:t>
            </w:r>
          </w:p>
        </w:tc>
        <w:tc>
          <w:tcPr>
            <w:tcW w:w="2248" w:type="dxa"/>
            <w:shd w:val="clear" w:color="auto" w:fill="auto"/>
          </w:tcPr>
          <w:p w:rsidR="00265C99" w:rsidRPr="007A201D" w:rsidRDefault="00CB4691" w:rsidP="007A201D">
            <w:pPr>
              <w:autoSpaceDE w:val="0"/>
              <w:autoSpaceDN w:val="0"/>
              <w:adjustRightInd w:val="0"/>
              <w:jc w:val="center"/>
              <w:rPr>
                <w:rFonts w:ascii="Times New Roman" w:hAnsi="Times New Roman"/>
              </w:rPr>
            </w:pPr>
            <w:r w:rsidRPr="007A201D">
              <w:rPr>
                <w:rFonts w:ascii="Times New Roman" w:hAnsi="Times New Roman"/>
                <w:b/>
                <w:bCs/>
              </w:rPr>
              <w:t>TRUVADA</w:t>
            </w:r>
            <w:r w:rsidR="002C5443" w:rsidRPr="007A201D">
              <w:rPr>
                <w:rFonts w:ascii="Times New Roman Bold" w:hAnsi="Times New Roman Bold"/>
                <w:b/>
                <w:bCs/>
                <w:vertAlign w:val="superscript"/>
              </w:rPr>
              <w:t>2</w:t>
            </w:r>
            <w:r w:rsidR="00265C99" w:rsidRPr="007A201D">
              <w:rPr>
                <w:rFonts w:ascii="Times New Roman" w:hAnsi="Times New Roman"/>
                <w:b/>
                <w:bCs/>
              </w:rPr>
              <w:t xml:space="preserve"> +EFV</w:t>
            </w: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b/>
                <w:bCs/>
              </w:rPr>
              <w:t>N=257</w:t>
            </w:r>
          </w:p>
        </w:tc>
        <w:tc>
          <w:tcPr>
            <w:tcW w:w="1908" w:type="dxa"/>
            <w:shd w:val="clear" w:color="auto" w:fill="auto"/>
          </w:tcPr>
          <w:p w:rsidR="00265C99" w:rsidRPr="007A201D" w:rsidRDefault="00537553" w:rsidP="007A201D">
            <w:pPr>
              <w:autoSpaceDE w:val="0"/>
              <w:autoSpaceDN w:val="0"/>
              <w:adjustRightInd w:val="0"/>
              <w:jc w:val="center"/>
              <w:rPr>
                <w:rFonts w:ascii="Times New Roman" w:hAnsi="Times New Roman"/>
              </w:rPr>
            </w:pPr>
            <w:r w:rsidRPr="007A201D">
              <w:rPr>
                <w:rFonts w:ascii="Times New Roman" w:hAnsi="Times New Roman"/>
                <w:b/>
                <w:bCs/>
              </w:rPr>
              <w:t>Combivir</w:t>
            </w:r>
            <w:r w:rsidR="000E3387" w:rsidRPr="007A201D">
              <w:rPr>
                <w:rFonts w:ascii="Times New Roman" w:hAnsi="Times New Roman"/>
                <w:b/>
                <w:bCs/>
              </w:rPr>
              <w:t xml:space="preserve"> </w:t>
            </w:r>
            <w:r w:rsidR="00265C99" w:rsidRPr="007A201D">
              <w:rPr>
                <w:rFonts w:ascii="Times New Roman" w:hAnsi="Times New Roman"/>
                <w:b/>
                <w:bCs/>
              </w:rPr>
              <w:t>+</w:t>
            </w:r>
            <w:r w:rsidR="000E3387" w:rsidRPr="007A201D">
              <w:rPr>
                <w:rFonts w:ascii="Times New Roman" w:hAnsi="Times New Roman"/>
                <w:b/>
                <w:bCs/>
              </w:rPr>
              <w:t xml:space="preserve"> </w:t>
            </w:r>
            <w:r w:rsidR="00265C99" w:rsidRPr="007A201D">
              <w:rPr>
                <w:rFonts w:ascii="Times New Roman" w:hAnsi="Times New Roman"/>
                <w:b/>
                <w:bCs/>
              </w:rPr>
              <w:t>EFV</w:t>
            </w: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b/>
                <w:bCs/>
              </w:rPr>
              <w:t>N=254</w:t>
            </w:r>
          </w:p>
        </w:tc>
      </w:tr>
      <w:tr w:rsidR="00265C99" w:rsidRPr="007A201D" w:rsidTr="007A201D">
        <w:tc>
          <w:tcPr>
            <w:tcW w:w="4968" w:type="dxa"/>
            <w:shd w:val="clear" w:color="auto" w:fill="auto"/>
          </w:tcPr>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Gastrointestinal Disorders</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Diarrhoea</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Nausea</w:t>
            </w:r>
          </w:p>
        </w:tc>
        <w:tc>
          <w:tcPr>
            <w:tcW w:w="224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DE33D0" w:rsidP="007A201D">
            <w:pPr>
              <w:autoSpaceDE w:val="0"/>
              <w:autoSpaceDN w:val="0"/>
              <w:adjustRightInd w:val="0"/>
              <w:jc w:val="center"/>
              <w:rPr>
                <w:rFonts w:ascii="Times New Roman" w:hAnsi="Times New Roman"/>
              </w:rPr>
            </w:pPr>
            <w:r w:rsidRPr="007A201D">
              <w:rPr>
                <w:rFonts w:ascii="Times New Roman" w:hAnsi="Times New Roman"/>
              </w:rPr>
              <w:t>9</w:t>
            </w:r>
            <w:r w:rsidR="00265C99" w:rsidRPr="007A201D">
              <w:rPr>
                <w:rFonts w:ascii="Times New Roman" w:hAnsi="Times New Roman"/>
              </w:rPr>
              <w:t>%</w:t>
            </w:r>
          </w:p>
          <w:p w:rsidR="00265C99" w:rsidRPr="007A201D" w:rsidRDefault="00DE33D0" w:rsidP="007A201D">
            <w:pPr>
              <w:autoSpaceDE w:val="0"/>
              <w:autoSpaceDN w:val="0"/>
              <w:adjustRightInd w:val="0"/>
              <w:jc w:val="center"/>
              <w:rPr>
                <w:rFonts w:ascii="Times New Roman" w:hAnsi="Times New Roman"/>
              </w:rPr>
            </w:pPr>
            <w:r w:rsidRPr="007A201D">
              <w:rPr>
                <w:rFonts w:ascii="Times New Roman" w:hAnsi="Times New Roman"/>
              </w:rPr>
              <w:t>9</w:t>
            </w:r>
            <w:r w:rsidR="00265C99" w:rsidRPr="007A201D">
              <w:rPr>
                <w:rFonts w:ascii="Times New Roman" w:hAnsi="Times New Roman"/>
              </w:rPr>
              <w:t>%</w:t>
            </w:r>
          </w:p>
        </w:tc>
        <w:tc>
          <w:tcPr>
            <w:tcW w:w="190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DE33D0" w:rsidP="007A201D">
            <w:pPr>
              <w:autoSpaceDE w:val="0"/>
              <w:autoSpaceDN w:val="0"/>
              <w:adjustRightInd w:val="0"/>
              <w:jc w:val="center"/>
              <w:rPr>
                <w:rFonts w:ascii="Times New Roman" w:hAnsi="Times New Roman"/>
              </w:rPr>
            </w:pPr>
            <w:r w:rsidRPr="007A201D">
              <w:rPr>
                <w:rFonts w:ascii="Times New Roman" w:hAnsi="Times New Roman"/>
              </w:rPr>
              <w:t>5</w:t>
            </w:r>
            <w:r w:rsidR="00265C99" w:rsidRPr="007A201D">
              <w:rPr>
                <w:rFonts w:ascii="Times New Roman" w:hAnsi="Times New Roman"/>
              </w:rPr>
              <w:t>%</w:t>
            </w:r>
          </w:p>
          <w:p w:rsidR="00265C99" w:rsidRPr="007A201D" w:rsidRDefault="00DE33D0" w:rsidP="007A201D">
            <w:pPr>
              <w:autoSpaceDE w:val="0"/>
              <w:autoSpaceDN w:val="0"/>
              <w:adjustRightInd w:val="0"/>
              <w:jc w:val="center"/>
              <w:rPr>
                <w:rFonts w:ascii="Times New Roman" w:hAnsi="Times New Roman"/>
              </w:rPr>
            </w:pPr>
            <w:r w:rsidRPr="007A201D">
              <w:rPr>
                <w:rFonts w:ascii="Times New Roman" w:hAnsi="Times New Roman"/>
              </w:rPr>
              <w:t>7</w:t>
            </w:r>
            <w:r w:rsidR="00265C99" w:rsidRPr="007A201D">
              <w:rPr>
                <w:rFonts w:ascii="Times New Roman" w:hAnsi="Times New Roman"/>
              </w:rPr>
              <w:t>%</w:t>
            </w:r>
          </w:p>
        </w:tc>
      </w:tr>
      <w:tr w:rsidR="00265C99" w:rsidRPr="007A201D" w:rsidTr="007A201D">
        <w:tc>
          <w:tcPr>
            <w:tcW w:w="4968" w:type="dxa"/>
            <w:shd w:val="clear" w:color="auto" w:fill="auto"/>
          </w:tcPr>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Nervous System Disorders</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Headache</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Dizziness</w:t>
            </w:r>
          </w:p>
        </w:tc>
        <w:tc>
          <w:tcPr>
            <w:tcW w:w="224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DE33D0" w:rsidP="007A201D">
            <w:pPr>
              <w:autoSpaceDE w:val="0"/>
              <w:autoSpaceDN w:val="0"/>
              <w:adjustRightInd w:val="0"/>
              <w:jc w:val="center"/>
              <w:rPr>
                <w:rFonts w:ascii="Times New Roman" w:hAnsi="Times New Roman"/>
              </w:rPr>
            </w:pPr>
            <w:r w:rsidRPr="007A201D">
              <w:rPr>
                <w:rFonts w:ascii="Times New Roman" w:hAnsi="Times New Roman"/>
              </w:rPr>
              <w:t>6</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8%</w:t>
            </w:r>
          </w:p>
        </w:tc>
        <w:tc>
          <w:tcPr>
            <w:tcW w:w="190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DE33D0" w:rsidP="007A201D">
            <w:pPr>
              <w:autoSpaceDE w:val="0"/>
              <w:autoSpaceDN w:val="0"/>
              <w:adjustRightInd w:val="0"/>
              <w:jc w:val="center"/>
              <w:rPr>
                <w:rFonts w:ascii="Times New Roman" w:hAnsi="Times New Roman"/>
              </w:rPr>
            </w:pPr>
            <w:r w:rsidRPr="007A201D">
              <w:rPr>
                <w:rFonts w:ascii="Times New Roman" w:hAnsi="Times New Roman"/>
              </w:rPr>
              <w:t>5</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7%</w:t>
            </w:r>
          </w:p>
        </w:tc>
      </w:tr>
      <w:tr w:rsidR="00265C99" w:rsidRPr="007A201D" w:rsidTr="007A201D">
        <w:tc>
          <w:tcPr>
            <w:tcW w:w="4968" w:type="dxa"/>
            <w:shd w:val="clear" w:color="auto" w:fill="auto"/>
          </w:tcPr>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Psychiatric Disorders</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Insomnia</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Abnormal Dreams</w:t>
            </w:r>
          </w:p>
        </w:tc>
        <w:tc>
          <w:tcPr>
            <w:tcW w:w="224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0318A3" w:rsidP="007A201D">
            <w:pPr>
              <w:autoSpaceDE w:val="0"/>
              <w:autoSpaceDN w:val="0"/>
              <w:adjustRightInd w:val="0"/>
              <w:jc w:val="center"/>
              <w:rPr>
                <w:rFonts w:ascii="Times New Roman" w:hAnsi="Times New Roman"/>
              </w:rPr>
            </w:pPr>
            <w:r w:rsidRPr="007A201D">
              <w:rPr>
                <w:rFonts w:ascii="Times New Roman" w:hAnsi="Times New Roman"/>
              </w:rPr>
              <w:t>5</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4%</w:t>
            </w:r>
          </w:p>
        </w:tc>
        <w:tc>
          <w:tcPr>
            <w:tcW w:w="190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0318A3" w:rsidP="007A201D">
            <w:pPr>
              <w:autoSpaceDE w:val="0"/>
              <w:autoSpaceDN w:val="0"/>
              <w:adjustRightInd w:val="0"/>
              <w:jc w:val="center"/>
              <w:rPr>
                <w:rFonts w:ascii="Times New Roman" w:hAnsi="Times New Roman"/>
              </w:rPr>
            </w:pPr>
            <w:r w:rsidRPr="007A201D">
              <w:rPr>
                <w:rFonts w:ascii="Times New Roman" w:hAnsi="Times New Roman"/>
              </w:rPr>
              <w:t>7</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3%</w:t>
            </w:r>
          </w:p>
        </w:tc>
      </w:tr>
      <w:tr w:rsidR="00265C99" w:rsidRPr="007A201D" w:rsidTr="007A201D">
        <w:tc>
          <w:tcPr>
            <w:tcW w:w="4968" w:type="dxa"/>
            <w:shd w:val="clear" w:color="auto" w:fill="auto"/>
          </w:tcPr>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Skin and Subcutaneous Tissue Disorders</w:t>
            </w:r>
          </w:p>
          <w:p w:rsidR="00265C99" w:rsidRPr="007A201D" w:rsidRDefault="00265C99" w:rsidP="007A201D">
            <w:pPr>
              <w:autoSpaceDE w:val="0"/>
              <w:autoSpaceDN w:val="0"/>
              <w:adjustRightInd w:val="0"/>
              <w:jc w:val="both"/>
              <w:rPr>
                <w:rFonts w:ascii="Times New Roman" w:hAnsi="Times New Roman"/>
              </w:rPr>
            </w:pPr>
            <w:r w:rsidRPr="007A201D">
              <w:rPr>
                <w:rFonts w:ascii="Times New Roman" w:hAnsi="Times New Roman"/>
              </w:rPr>
              <w:t xml:space="preserve">     Rash</w:t>
            </w:r>
          </w:p>
        </w:tc>
        <w:tc>
          <w:tcPr>
            <w:tcW w:w="224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5%</w:t>
            </w:r>
          </w:p>
        </w:tc>
        <w:tc>
          <w:tcPr>
            <w:tcW w:w="190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4%</w:t>
            </w:r>
          </w:p>
        </w:tc>
      </w:tr>
    </w:tbl>
    <w:p w:rsidR="000318A3" w:rsidRDefault="000318A3" w:rsidP="00265C99">
      <w:pPr>
        <w:autoSpaceDE w:val="0"/>
        <w:autoSpaceDN w:val="0"/>
        <w:adjustRightInd w:val="0"/>
        <w:rPr>
          <w:rFonts w:ascii="Times New Roman" w:hAnsi="Times New Roman"/>
        </w:rPr>
      </w:pPr>
      <w:r>
        <w:rPr>
          <w:rFonts w:ascii="Times New Roman" w:hAnsi="Times New Roman"/>
        </w:rPr>
        <w:t>1.</w:t>
      </w:r>
      <w:r w:rsidR="00D03901">
        <w:rPr>
          <w:rFonts w:ascii="Times New Roman" w:hAnsi="Times New Roman"/>
        </w:rPr>
        <w:t xml:space="preserve">   </w:t>
      </w:r>
      <w:r>
        <w:rPr>
          <w:rFonts w:ascii="Times New Roman" w:hAnsi="Times New Roman"/>
        </w:rPr>
        <w:t xml:space="preserve">Frequencies of adverse reactions are based on all treatment-emergent adverse events, regardless of relationship to </w:t>
      </w:r>
    </w:p>
    <w:p w:rsidR="00265C99" w:rsidRDefault="000318A3" w:rsidP="000318A3">
      <w:pPr>
        <w:autoSpaceDE w:val="0"/>
        <w:autoSpaceDN w:val="0"/>
        <w:adjustRightInd w:val="0"/>
        <w:rPr>
          <w:rFonts w:ascii="Times New Roman" w:hAnsi="Times New Roman"/>
        </w:rPr>
      </w:pPr>
      <w:r>
        <w:rPr>
          <w:rFonts w:ascii="Times New Roman" w:hAnsi="Times New Roman"/>
        </w:rPr>
        <w:t xml:space="preserve">      study drug</w:t>
      </w:r>
      <w:r w:rsidR="00E7223F">
        <w:rPr>
          <w:rFonts w:ascii="Times New Roman" w:hAnsi="Times New Roman"/>
        </w:rPr>
        <w:t>.</w:t>
      </w:r>
    </w:p>
    <w:p w:rsidR="008F07F8" w:rsidRDefault="000318A3" w:rsidP="00265C99">
      <w:pPr>
        <w:autoSpaceDE w:val="0"/>
        <w:autoSpaceDN w:val="0"/>
        <w:adjustRightInd w:val="0"/>
        <w:rPr>
          <w:rFonts w:ascii="Times New Roman" w:hAnsi="Times New Roman"/>
        </w:rPr>
      </w:pPr>
      <w:r>
        <w:rPr>
          <w:rFonts w:ascii="Times New Roman" w:hAnsi="Times New Roman"/>
        </w:rPr>
        <w:t>2.</w:t>
      </w:r>
      <w:r w:rsidR="00D03901">
        <w:rPr>
          <w:rFonts w:ascii="Times New Roman" w:hAnsi="Times New Roman"/>
        </w:rPr>
        <w:t xml:space="preserve">   </w:t>
      </w:r>
      <w:r w:rsidR="008F07F8">
        <w:rPr>
          <w:rFonts w:ascii="Times New Roman" w:hAnsi="Times New Roman"/>
        </w:rPr>
        <w:t xml:space="preserve">Patients received </w:t>
      </w:r>
      <w:r w:rsidR="00D03901">
        <w:rPr>
          <w:rFonts w:ascii="Times New Roman" w:hAnsi="Times New Roman"/>
        </w:rPr>
        <w:t xml:space="preserve">VIREAD + </w:t>
      </w:r>
      <w:r w:rsidR="008F07F8">
        <w:rPr>
          <w:rFonts w:ascii="Times New Roman" w:hAnsi="Times New Roman"/>
        </w:rPr>
        <w:t>EMTRIVA up to week 96 and switched to TRUVADA from week 96 to 144.</w:t>
      </w:r>
    </w:p>
    <w:p w:rsidR="00265C99" w:rsidRPr="00015C34" w:rsidRDefault="00265C99" w:rsidP="00265C99">
      <w:pPr>
        <w:autoSpaceDE w:val="0"/>
        <w:autoSpaceDN w:val="0"/>
        <w:adjustRightInd w:val="0"/>
        <w:rPr>
          <w:rFonts w:ascii="Times New Roman" w:hAnsi="Times New Roman"/>
          <w:sz w:val="24"/>
          <w:szCs w:val="24"/>
        </w:rPr>
      </w:pPr>
    </w:p>
    <w:p w:rsidR="00265C99" w:rsidRPr="00015C34" w:rsidRDefault="00265C99" w:rsidP="00265C99">
      <w:pPr>
        <w:autoSpaceDE w:val="0"/>
        <w:autoSpaceDN w:val="0"/>
        <w:adjustRightInd w:val="0"/>
        <w:rPr>
          <w:rFonts w:ascii="Times New Roman" w:hAnsi="Times New Roman"/>
          <w:sz w:val="24"/>
          <w:szCs w:val="24"/>
          <w:lang w:val="en-US"/>
        </w:rPr>
      </w:pPr>
      <w:r w:rsidRPr="00015C34">
        <w:rPr>
          <w:rFonts w:ascii="Times New Roman" w:hAnsi="Times New Roman"/>
          <w:b/>
          <w:bCs/>
          <w:sz w:val="24"/>
          <w:szCs w:val="24"/>
          <w:lang w:val="en-US"/>
        </w:rPr>
        <w:t xml:space="preserve">Laboratory Abnormalities: </w:t>
      </w:r>
      <w:r w:rsidRPr="00015C34">
        <w:rPr>
          <w:rFonts w:ascii="Times New Roman" w:hAnsi="Times New Roman"/>
          <w:sz w:val="24"/>
          <w:szCs w:val="24"/>
          <w:lang w:val="en-US"/>
        </w:rPr>
        <w:t>Laboratory abnormalities observed in this study were</w:t>
      </w:r>
      <w:r w:rsidRPr="00015C34">
        <w:rPr>
          <w:sz w:val="24"/>
          <w:szCs w:val="24"/>
          <w:lang w:val="en-US"/>
        </w:rPr>
        <w:t xml:space="preserve"> </w:t>
      </w:r>
      <w:r w:rsidRPr="00015C34">
        <w:rPr>
          <w:rFonts w:ascii="Times New Roman" w:hAnsi="Times New Roman"/>
          <w:sz w:val="24"/>
          <w:szCs w:val="24"/>
          <w:lang w:val="en-US"/>
        </w:rPr>
        <w:t xml:space="preserve">generally consistent with those seen in previous studies (Table </w:t>
      </w:r>
      <w:r w:rsidR="00220BF5" w:rsidRPr="00015C34">
        <w:rPr>
          <w:rFonts w:ascii="Times New Roman" w:hAnsi="Times New Roman"/>
          <w:sz w:val="24"/>
          <w:szCs w:val="24"/>
          <w:lang w:val="en-US"/>
        </w:rPr>
        <w:t>1</w:t>
      </w:r>
      <w:r w:rsidR="00AB326F">
        <w:rPr>
          <w:rFonts w:ascii="Times New Roman" w:hAnsi="Times New Roman"/>
          <w:sz w:val="24"/>
          <w:szCs w:val="24"/>
          <w:lang w:val="en-US"/>
        </w:rPr>
        <w:t>9</w:t>
      </w:r>
      <w:r w:rsidRPr="00015C34">
        <w:rPr>
          <w:rFonts w:ascii="Times New Roman" w:hAnsi="Times New Roman"/>
          <w:sz w:val="24"/>
          <w:szCs w:val="24"/>
          <w:lang w:val="en-US"/>
        </w:rPr>
        <w:t>)</w:t>
      </w:r>
      <w:r w:rsidR="006125D5" w:rsidRPr="00015C34">
        <w:rPr>
          <w:rFonts w:ascii="Times New Roman" w:hAnsi="Times New Roman"/>
          <w:sz w:val="24"/>
          <w:szCs w:val="24"/>
          <w:lang w:val="en-US"/>
        </w:rPr>
        <w:t>.</w:t>
      </w:r>
    </w:p>
    <w:p w:rsidR="009D74A6" w:rsidRDefault="009D74A6" w:rsidP="00265C99">
      <w:pPr>
        <w:autoSpaceDE w:val="0"/>
        <w:autoSpaceDN w:val="0"/>
        <w:adjustRightInd w:val="0"/>
        <w:rPr>
          <w:rFonts w:ascii="Times New Roman" w:hAnsi="Times New Roman"/>
          <w:b/>
          <w:bCs/>
          <w:sz w:val="22"/>
          <w:szCs w:val="22"/>
          <w:lang w:val="en-US"/>
        </w:rPr>
      </w:pPr>
    </w:p>
    <w:p w:rsidR="00265C99" w:rsidRPr="00822AE7" w:rsidRDefault="00265C99" w:rsidP="00265C99">
      <w:pPr>
        <w:autoSpaceDE w:val="0"/>
        <w:autoSpaceDN w:val="0"/>
        <w:adjustRightInd w:val="0"/>
        <w:rPr>
          <w:rFonts w:ascii="Times New Roman" w:hAnsi="Times New Roman"/>
          <w:b/>
          <w:bCs/>
          <w:sz w:val="22"/>
          <w:szCs w:val="22"/>
        </w:rPr>
      </w:pPr>
      <w:r w:rsidRPr="00822AE7">
        <w:rPr>
          <w:rFonts w:ascii="Times New Roman" w:hAnsi="Times New Roman"/>
          <w:b/>
          <w:bCs/>
          <w:sz w:val="22"/>
          <w:szCs w:val="22"/>
          <w:lang w:val="en-US"/>
        </w:rPr>
        <w:t xml:space="preserve">Table </w:t>
      </w:r>
      <w:r w:rsidR="00220BF5">
        <w:rPr>
          <w:rFonts w:ascii="Times New Roman" w:hAnsi="Times New Roman"/>
          <w:b/>
          <w:bCs/>
          <w:sz w:val="22"/>
          <w:szCs w:val="22"/>
          <w:lang w:val="en-US"/>
        </w:rPr>
        <w:t>1</w:t>
      </w:r>
      <w:r w:rsidR="0044536D">
        <w:rPr>
          <w:rFonts w:ascii="Times New Roman" w:hAnsi="Times New Roman"/>
          <w:b/>
          <w:bCs/>
          <w:sz w:val="22"/>
          <w:szCs w:val="22"/>
          <w:lang w:val="en-US"/>
        </w:rPr>
        <w:t>9</w:t>
      </w:r>
      <w:r w:rsidRPr="00822AE7">
        <w:rPr>
          <w:rFonts w:ascii="Times New Roman" w:hAnsi="Times New Roman"/>
          <w:b/>
          <w:bCs/>
          <w:sz w:val="22"/>
          <w:szCs w:val="22"/>
          <w:lang w:val="en-US"/>
        </w:rPr>
        <w:t xml:space="preserve"> </w:t>
      </w:r>
      <w:r w:rsidR="005D238D">
        <w:rPr>
          <w:rFonts w:ascii="Times New Roman" w:hAnsi="Times New Roman"/>
          <w:b/>
          <w:bCs/>
          <w:sz w:val="22"/>
          <w:szCs w:val="22"/>
          <w:lang w:val="en-US"/>
        </w:rPr>
        <w:tab/>
      </w:r>
      <w:r w:rsidRPr="00822AE7">
        <w:rPr>
          <w:rFonts w:ascii="Times New Roman" w:hAnsi="Times New Roman"/>
          <w:b/>
          <w:bCs/>
          <w:sz w:val="22"/>
          <w:szCs w:val="22"/>
          <w:lang w:val="en-US"/>
        </w:rPr>
        <w:t xml:space="preserve">Grade 3/4 Laboratory Abnormalities Reported in </w:t>
      </w:r>
      <w:r w:rsidR="00E2239B">
        <w:rPr>
          <w:rFonts w:ascii="Times New Roman" w:hAnsi="Times New Roman"/>
          <w:sz w:val="22"/>
          <w:szCs w:val="22"/>
          <w:lang w:val="en-US"/>
        </w:rPr>
        <w:t>&gt;</w:t>
      </w:r>
      <w:r w:rsidRPr="00822AE7">
        <w:rPr>
          <w:rFonts w:ascii="Times New Roman" w:hAnsi="Times New Roman"/>
          <w:b/>
          <w:bCs/>
          <w:sz w:val="22"/>
          <w:szCs w:val="22"/>
          <w:lang w:val="en-US"/>
        </w:rPr>
        <w:t>1% of</w:t>
      </w:r>
      <w:r w:rsidR="008F07F8">
        <w:rPr>
          <w:rFonts w:ascii="Times New Roman" w:hAnsi="Times New Roman"/>
          <w:b/>
          <w:bCs/>
          <w:sz w:val="22"/>
          <w:szCs w:val="22"/>
          <w:lang w:val="en-US"/>
        </w:rPr>
        <w:t xml:space="preserve"> Patients in Either </w:t>
      </w:r>
      <w:r w:rsidR="005D238D">
        <w:rPr>
          <w:rFonts w:ascii="Times New Roman" w:hAnsi="Times New Roman"/>
          <w:b/>
          <w:bCs/>
          <w:sz w:val="22"/>
          <w:szCs w:val="22"/>
          <w:lang w:val="en-US"/>
        </w:rPr>
        <w:tab/>
      </w:r>
      <w:r w:rsidR="005D238D">
        <w:rPr>
          <w:rFonts w:ascii="Times New Roman" w:hAnsi="Times New Roman"/>
          <w:b/>
          <w:bCs/>
          <w:sz w:val="22"/>
          <w:szCs w:val="22"/>
          <w:lang w:val="en-US"/>
        </w:rPr>
        <w:tab/>
      </w:r>
      <w:r w:rsidR="005D238D">
        <w:rPr>
          <w:rFonts w:ascii="Times New Roman" w:hAnsi="Times New Roman"/>
          <w:b/>
          <w:bCs/>
          <w:sz w:val="22"/>
          <w:szCs w:val="22"/>
          <w:lang w:val="en-US"/>
        </w:rPr>
        <w:tab/>
      </w:r>
      <w:r w:rsidR="005D238D">
        <w:rPr>
          <w:rFonts w:ascii="Times New Roman" w:hAnsi="Times New Roman"/>
          <w:b/>
          <w:bCs/>
          <w:sz w:val="22"/>
          <w:szCs w:val="22"/>
          <w:lang w:val="en-US"/>
        </w:rPr>
        <w:tab/>
      </w:r>
      <w:r w:rsidR="008F07F8">
        <w:rPr>
          <w:rFonts w:ascii="Times New Roman" w:hAnsi="Times New Roman"/>
          <w:b/>
          <w:bCs/>
          <w:sz w:val="22"/>
          <w:szCs w:val="22"/>
          <w:lang w:val="en-US"/>
        </w:rPr>
        <w:t>Treatment Group,</w:t>
      </w:r>
      <w:r w:rsidRPr="00822AE7">
        <w:rPr>
          <w:b/>
          <w:bCs/>
          <w:sz w:val="22"/>
          <w:szCs w:val="22"/>
          <w:lang w:val="en-US"/>
        </w:rPr>
        <w:t xml:space="preserve"> </w:t>
      </w:r>
      <w:r w:rsidRPr="00822AE7">
        <w:rPr>
          <w:rFonts w:ascii="Times New Roman" w:hAnsi="Times New Roman"/>
          <w:b/>
          <w:bCs/>
          <w:sz w:val="22"/>
          <w:szCs w:val="22"/>
        </w:rPr>
        <w:t>Study 934 (0–</w:t>
      </w:r>
      <w:r w:rsidR="008F07F8">
        <w:rPr>
          <w:rFonts w:ascii="Times New Roman" w:hAnsi="Times New Roman"/>
          <w:b/>
          <w:bCs/>
          <w:sz w:val="22"/>
          <w:szCs w:val="22"/>
        </w:rPr>
        <w:t>144</w:t>
      </w:r>
      <w:r w:rsidRPr="00822AE7">
        <w:rPr>
          <w:rFonts w:ascii="Times New Roman" w:hAnsi="Times New Roman"/>
          <w:b/>
          <w:bCs/>
          <w:sz w:val="22"/>
          <w:szCs w:val="22"/>
        </w:rPr>
        <w:t xml:space="preserve"> weeks)</w:t>
      </w:r>
    </w:p>
    <w:p w:rsidR="00265C99" w:rsidRPr="00822AE7" w:rsidRDefault="00265C99" w:rsidP="00265C99">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340"/>
        <w:gridCol w:w="2268"/>
      </w:tblGrid>
      <w:tr w:rsidR="00265C99" w:rsidRPr="007A201D" w:rsidTr="007A201D">
        <w:trPr>
          <w:trHeight w:val="451"/>
        </w:trPr>
        <w:tc>
          <w:tcPr>
            <w:tcW w:w="4248" w:type="dxa"/>
            <w:shd w:val="clear" w:color="auto" w:fill="auto"/>
          </w:tcPr>
          <w:p w:rsidR="00265C99" w:rsidRPr="007A201D" w:rsidRDefault="00265C99" w:rsidP="007A201D">
            <w:pPr>
              <w:autoSpaceDE w:val="0"/>
              <w:autoSpaceDN w:val="0"/>
              <w:adjustRightInd w:val="0"/>
              <w:rPr>
                <w:rFonts w:ascii="Times New Roman" w:hAnsi="Times New Roman"/>
                <w:b/>
                <w:bCs/>
              </w:rPr>
            </w:pPr>
          </w:p>
        </w:tc>
        <w:tc>
          <w:tcPr>
            <w:tcW w:w="2340" w:type="dxa"/>
            <w:shd w:val="clear" w:color="auto" w:fill="auto"/>
          </w:tcPr>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b/>
                <w:bCs/>
              </w:rPr>
              <w:t>TRUVADA</w:t>
            </w:r>
            <w:r w:rsidR="00271EBB" w:rsidRPr="007A201D">
              <w:rPr>
                <w:rFonts w:ascii="Times New Roman Bold" w:hAnsi="Times New Roman Bold"/>
                <w:b/>
                <w:bCs/>
                <w:vertAlign w:val="superscript"/>
              </w:rPr>
              <w:t>1</w:t>
            </w:r>
            <w:r w:rsidR="00265C99" w:rsidRPr="007A201D">
              <w:rPr>
                <w:rFonts w:ascii="Times New Roman" w:hAnsi="Times New Roman"/>
                <w:b/>
                <w:bCs/>
              </w:rPr>
              <w:t xml:space="preserve"> + EFV</w:t>
            </w:r>
          </w:p>
          <w:p w:rsidR="00265C99" w:rsidRPr="007A201D" w:rsidRDefault="00265C99" w:rsidP="007A201D">
            <w:pPr>
              <w:autoSpaceDE w:val="0"/>
              <w:autoSpaceDN w:val="0"/>
              <w:adjustRightInd w:val="0"/>
              <w:jc w:val="center"/>
              <w:rPr>
                <w:rFonts w:ascii="Times New Roman" w:hAnsi="Times New Roman"/>
                <w:b/>
                <w:bCs/>
              </w:rPr>
            </w:pPr>
            <w:r w:rsidRPr="007A201D">
              <w:rPr>
                <w:rFonts w:ascii="Times New Roman" w:hAnsi="Times New Roman"/>
                <w:b/>
                <w:bCs/>
              </w:rPr>
              <w:t>N=</w:t>
            </w:r>
            <w:r w:rsidR="008F07F8" w:rsidRPr="007A201D">
              <w:rPr>
                <w:rFonts w:ascii="Times New Roman" w:hAnsi="Times New Roman"/>
                <w:b/>
                <w:bCs/>
              </w:rPr>
              <w:t>254</w:t>
            </w:r>
          </w:p>
        </w:tc>
        <w:tc>
          <w:tcPr>
            <w:tcW w:w="2268" w:type="dxa"/>
            <w:shd w:val="clear" w:color="auto" w:fill="auto"/>
          </w:tcPr>
          <w:p w:rsidR="00265C99" w:rsidRPr="007A201D" w:rsidRDefault="00537553" w:rsidP="007A201D">
            <w:pPr>
              <w:autoSpaceDE w:val="0"/>
              <w:autoSpaceDN w:val="0"/>
              <w:adjustRightInd w:val="0"/>
              <w:jc w:val="center"/>
              <w:rPr>
                <w:rFonts w:ascii="Times New Roman" w:hAnsi="Times New Roman"/>
                <w:b/>
                <w:bCs/>
              </w:rPr>
            </w:pPr>
            <w:r w:rsidRPr="007A201D">
              <w:rPr>
                <w:rFonts w:ascii="Times New Roman" w:hAnsi="Times New Roman"/>
                <w:b/>
                <w:bCs/>
              </w:rPr>
              <w:t>Combivir</w:t>
            </w:r>
            <w:r w:rsidR="000E3387" w:rsidRPr="007A201D">
              <w:rPr>
                <w:rFonts w:ascii="Times New Roman" w:hAnsi="Times New Roman"/>
                <w:b/>
                <w:bCs/>
              </w:rPr>
              <w:t xml:space="preserve"> </w:t>
            </w:r>
            <w:r w:rsidR="00265C99" w:rsidRPr="007A201D">
              <w:rPr>
                <w:rFonts w:ascii="Times New Roman" w:hAnsi="Times New Roman"/>
                <w:b/>
                <w:bCs/>
              </w:rPr>
              <w:t>+</w:t>
            </w:r>
            <w:r w:rsidR="000E3387" w:rsidRPr="007A201D">
              <w:rPr>
                <w:rFonts w:ascii="Times New Roman" w:hAnsi="Times New Roman"/>
                <w:b/>
                <w:bCs/>
              </w:rPr>
              <w:t xml:space="preserve"> </w:t>
            </w:r>
            <w:r w:rsidR="00265C99" w:rsidRPr="007A201D">
              <w:rPr>
                <w:rFonts w:ascii="Times New Roman" w:hAnsi="Times New Roman"/>
                <w:b/>
                <w:bCs/>
              </w:rPr>
              <w:t>EFV</w:t>
            </w:r>
          </w:p>
          <w:p w:rsidR="00265C99" w:rsidRPr="007A201D" w:rsidRDefault="00265C99" w:rsidP="007A201D">
            <w:pPr>
              <w:autoSpaceDE w:val="0"/>
              <w:autoSpaceDN w:val="0"/>
              <w:adjustRightInd w:val="0"/>
              <w:jc w:val="center"/>
              <w:rPr>
                <w:rFonts w:ascii="Times New Roman" w:hAnsi="Times New Roman"/>
                <w:b/>
                <w:bCs/>
              </w:rPr>
            </w:pPr>
            <w:r w:rsidRPr="007A201D">
              <w:rPr>
                <w:rFonts w:ascii="Times New Roman" w:hAnsi="Times New Roman"/>
                <w:b/>
                <w:bCs/>
              </w:rPr>
              <w:t>N=</w:t>
            </w:r>
            <w:r w:rsidR="008F07F8" w:rsidRPr="007A201D">
              <w:rPr>
                <w:rFonts w:ascii="Times New Roman" w:hAnsi="Times New Roman"/>
                <w:b/>
                <w:bCs/>
              </w:rPr>
              <w:t>251</w:t>
            </w: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Any ≥ Grade 3 Laboratory</w:t>
            </w:r>
          </w:p>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Abnormality</w:t>
            </w:r>
          </w:p>
        </w:tc>
        <w:tc>
          <w:tcPr>
            <w:tcW w:w="2340"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30</w:t>
            </w:r>
            <w:r w:rsidR="00265C99" w:rsidRPr="007A201D">
              <w:rPr>
                <w:rFonts w:ascii="Times New Roman" w:hAnsi="Times New Roman"/>
              </w:rPr>
              <w:t>%</w:t>
            </w:r>
          </w:p>
        </w:tc>
        <w:tc>
          <w:tcPr>
            <w:tcW w:w="226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26</w:t>
            </w:r>
            <w:r w:rsidR="00265C99" w:rsidRPr="007A201D">
              <w:rPr>
                <w:rFonts w:ascii="Times New Roman" w:hAnsi="Times New Roman"/>
              </w:rPr>
              <w:t>%</w:t>
            </w: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lang w:val="es-ES_tradnl"/>
              </w:rPr>
            </w:pPr>
            <w:r w:rsidRPr="007A201D">
              <w:rPr>
                <w:rFonts w:ascii="Times New Roman" w:hAnsi="Times New Roman"/>
                <w:lang w:val="es-ES_tradnl"/>
              </w:rPr>
              <w:t>Creatine Kinase</w:t>
            </w:r>
          </w:p>
          <w:p w:rsidR="00265C99" w:rsidRPr="007A201D" w:rsidRDefault="00265C99" w:rsidP="007A201D">
            <w:pPr>
              <w:autoSpaceDE w:val="0"/>
              <w:autoSpaceDN w:val="0"/>
              <w:adjustRightInd w:val="0"/>
              <w:rPr>
                <w:rFonts w:ascii="Times New Roman" w:hAnsi="Times New Roman"/>
                <w:lang w:val="es-ES_tradnl"/>
              </w:rPr>
            </w:pPr>
            <w:r w:rsidRPr="007A201D">
              <w:rPr>
                <w:rFonts w:ascii="Times New Roman" w:hAnsi="Times New Roman"/>
                <w:lang w:val="es-ES_tradnl"/>
              </w:rPr>
              <w:t>(M: &gt;990 U/L)</w:t>
            </w:r>
          </w:p>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(F: &gt;845 U/L)</w:t>
            </w:r>
          </w:p>
        </w:tc>
        <w:tc>
          <w:tcPr>
            <w:tcW w:w="2340"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9</w:t>
            </w:r>
            <w:r w:rsidR="00265C99" w:rsidRPr="007A201D">
              <w:rPr>
                <w:rFonts w:ascii="Times New Roman" w:hAnsi="Times New Roman"/>
              </w:rPr>
              <w:t>%</w:t>
            </w:r>
          </w:p>
        </w:tc>
        <w:tc>
          <w:tcPr>
            <w:tcW w:w="226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7</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b/>
                <w:bCs/>
              </w:rPr>
            </w:pP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Serum Amylase (&gt;175 U/L)</w:t>
            </w:r>
          </w:p>
        </w:tc>
        <w:tc>
          <w:tcPr>
            <w:tcW w:w="2340" w:type="dxa"/>
            <w:shd w:val="clear" w:color="auto" w:fill="auto"/>
          </w:tcPr>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8</w:t>
            </w:r>
            <w:r w:rsidR="00265C99" w:rsidRPr="007A201D">
              <w:rPr>
                <w:rFonts w:ascii="Times New Roman" w:hAnsi="Times New Roman"/>
              </w:rPr>
              <w:t>%</w:t>
            </w:r>
          </w:p>
        </w:tc>
        <w:tc>
          <w:tcPr>
            <w:tcW w:w="2268" w:type="dxa"/>
            <w:shd w:val="clear" w:color="auto" w:fill="auto"/>
          </w:tcPr>
          <w:p w:rsidR="00265C99"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4</w:t>
            </w:r>
            <w:r w:rsidR="00265C99" w:rsidRPr="007A201D">
              <w:rPr>
                <w:rFonts w:ascii="Times New Roman" w:hAnsi="Times New Roman"/>
              </w:rPr>
              <w:t>%</w:t>
            </w: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AST</w:t>
            </w:r>
          </w:p>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(M: &gt;180 U/L)</w:t>
            </w:r>
          </w:p>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(F: &gt;170 U/L)</w:t>
            </w:r>
          </w:p>
        </w:tc>
        <w:tc>
          <w:tcPr>
            <w:tcW w:w="2340"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265C99" w:rsidP="007A201D">
            <w:pPr>
              <w:autoSpaceDE w:val="0"/>
              <w:autoSpaceDN w:val="0"/>
              <w:adjustRightInd w:val="0"/>
              <w:jc w:val="center"/>
              <w:rPr>
                <w:rFonts w:ascii="Times New Roman" w:hAnsi="Times New Roman"/>
                <w:b/>
                <w:bCs/>
              </w:rPr>
            </w:pPr>
            <w:r w:rsidRPr="007A201D">
              <w:rPr>
                <w:rFonts w:ascii="Times New Roman" w:hAnsi="Times New Roman"/>
              </w:rPr>
              <w:t>3%</w:t>
            </w:r>
          </w:p>
        </w:tc>
        <w:tc>
          <w:tcPr>
            <w:tcW w:w="226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3</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b/>
                <w:bCs/>
              </w:rPr>
            </w:pP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ALT</w:t>
            </w:r>
          </w:p>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(M: &gt;215 U/L)</w:t>
            </w:r>
          </w:p>
          <w:p w:rsidR="00265C99" w:rsidRPr="007A201D" w:rsidRDefault="00265C99" w:rsidP="007A201D">
            <w:pPr>
              <w:autoSpaceDE w:val="0"/>
              <w:autoSpaceDN w:val="0"/>
              <w:adjustRightInd w:val="0"/>
              <w:rPr>
                <w:rFonts w:ascii="Times New Roman" w:hAnsi="Times New Roman"/>
              </w:rPr>
            </w:pPr>
            <w:r w:rsidRPr="007A201D">
              <w:rPr>
                <w:rFonts w:ascii="Times New Roman" w:hAnsi="Times New Roman"/>
              </w:rPr>
              <w:t>(F: &gt;170 U/L)</w:t>
            </w:r>
          </w:p>
        </w:tc>
        <w:tc>
          <w:tcPr>
            <w:tcW w:w="2340"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265C99" w:rsidP="007A201D">
            <w:pPr>
              <w:autoSpaceDE w:val="0"/>
              <w:autoSpaceDN w:val="0"/>
              <w:adjustRightInd w:val="0"/>
              <w:jc w:val="center"/>
              <w:rPr>
                <w:rFonts w:ascii="Times New Roman" w:hAnsi="Times New Roman"/>
                <w:b/>
                <w:bCs/>
              </w:rPr>
            </w:pPr>
            <w:r w:rsidRPr="007A201D">
              <w:rPr>
                <w:rFonts w:ascii="Times New Roman" w:hAnsi="Times New Roman"/>
              </w:rPr>
              <w:t>2%</w:t>
            </w:r>
          </w:p>
        </w:tc>
        <w:tc>
          <w:tcPr>
            <w:tcW w:w="2268" w:type="dxa"/>
            <w:shd w:val="clear" w:color="auto" w:fill="auto"/>
          </w:tcPr>
          <w:p w:rsidR="00265C99" w:rsidRPr="007A201D" w:rsidRDefault="00265C99" w:rsidP="007A201D">
            <w:pPr>
              <w:autoSpaceDE w:val="0"/>
              <w:autoSpaceDN w:val="0"/>
              <w:adjustRightInd w:val="0"/>
              <w:jc w:val="center"/>
              <w:rPr>
                <w:rFonts w:ascii="Times New Roman" w:hAnsi="Times New Roman"/>
              </w:rPr>
            </w:pPr>
          </w:p>
          <w:p w:rsidR="00265C99"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3</w:t>
            </w:r>
            <w:r w:rsidR="00265C99" w:rsidRPr="007A201D">
              <w:rPr>
                <w:rFonts w:ascii="Times New Roman" w:hAnsi="Times New Roman"/>
              </w:rPr>
              <w:t>%</w:t>
            </w:r>
          </w:p>
          <w:p w:rsidR="00265C99" w:rsidRPr="007A201D" w:rsidRDefault="00265C99" w:rsidP="007A201D">
            <w:pPr>
              <w:autoSpaceDE w:val="0"/>
              <w:autoSpaceDN w:val="0"/>
              <w:adjustRightInd w:val="0"/>
              <w:jc w:val="center"/>
              <w:rPr>
                <w:rFonts w:ascii="Times New Roman" w:hAnsi="Times New Roman"/>
                <w:b/>
                <w:bCs/>
              </w:rPr>
            </w:pP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Hyperglycaemia (&gt;250 mg/dL)</w:t>
            </w:r>
          </w:p>
        </w:tc>
        <w:tc>
          <w:tcPr>
            <w:tcW w:w="2340" w:type="dxa"/>
            <w:shd w:val="clear" w:color="auto" w:fill="auto"/>
          </w:tcPr>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2</w:t>
            </w:r>
            <w:r w:rsidR="00265C99" w:rsidRPr="007A201D">
              <w:rPr>
                <w:rFonts w:ascii="Times New Roman" w:hAnsi="Times New Roman"/>
              </w:rPr>
              <w:t>%</w:t>
            </w:r>
          </w:p>
        </w:tc>
        <w:tc>
          <w:tcPr>
            <w:tcW w:w="2268" w:type="dxa"/>
            <w:shd w:val="clear" w:color="auto" w:fill="auto"/>
          </w:tcPr>
          <w:p w:rsidR="00265C99" w:rsidRPr="007A201D" w:rsidRDefault="00265C99" w:rsidP="007A201D">
            <w:pPr>
              <w:autoSpaceDE w:val="0"/>
              <w:autoSpaceDN w:val="0"/>
              <w:adjustRightInd w:val="0"/>
              <w:jc w:val="center"/>
              <w:rPr>
                <w:rFonts w:ascii="Times New Roman" w:hAnsi="Times New Roman"/>
                <w:b/>
                <w:bCs/>
              </w:rPr>
            </w:pPr>
            <w:r w:rsidRPr="007A201D">
              <w:rPr>
                <w:rFonts w:ascii="Times New Roman" w:hAnsi="Times New Roman"/>
              </w:rPr>
              <w:t>1%</w:t>
            </w: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Haematuria (&gt;75 RBC/HPF)</w:t>
            </w:r>
          </w:p>
        </w:tc>
        <w:tc>
          <w:tcPr>
            <w:tcW w:w="2340" w:type="dxa"/>
            <w:shd w:val="clear" w:color="auto" w:fill="auto"/>
          </w:tcPr>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3</w:t>
            </w:r>
            <w:r w:rsidR="00265C99" w:rsidRPr="007A201D">
              <w:rPr>
                <w:rFonts w:ascii="Times New Roman" w:hAnsi="Times New Roman"/>
              </w:rPr>
              <w:t>%</w:t>
            </w:r>
          </w:p>
        </w:tc>
        <w:tc>
          <w:tcPr>
            <w:tcW w:w="2268" w:type="dxa"/>
            <w:shd w:val="clear" w:color="auto" w:fill="auto"/>
          </w:tcPr>
          <w:p w:rsidR="00265C99"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2</w:t>
            </w:r>
            <w:r w:rsidR="00265C99" w:rsidRPr="007A201D">
              <w:rPr>
                <w:rFonts w:ascii="Times New Roman" w:hAnsi="Times New Roman"/>
              </w:rPr>
              <w:t>%</w:t>
            </w: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Neutrophil (&lt;750/mm3)</w:t>
            </w:r>
          </w:p>
        </w:tc>
        <w:tc>
          <w:tcPr>
            <w:tcW w:w="2340" w:type="dxa"/>
            <w:shd w:val="clear" w:color="auto" w:fill="auto"/>
          </w:tcPr>
          <w:p w:rsidR="00265C99" w:rsidRPr="007A201D" w:rsidRDefault="00265C99" w:rsidP="007A201D">
            <w:pPr>
              <w:autoSpaceDE w:val="0"/>
              <w:autoSpaceDN w:val="0"/>
              <w:adjustRightInd w:val="0"/>
              <w:jc w:val="center"/>
              <w:rPr>
                <w:rFonts w:ascii="Times New Roman" w:hAnsi="Times New Roman"/>
                <w:b/>
                <w:bCs/>
              </w:rPr>
            </w:pPr>
            <w:r w:rsidRPr="007A201D">
              <w:rPr>
                <w:rFonts w:ascii="Times New Roman" w:hAnsi="Times New Roman"/>
              </w:rPr>
              <w:t>3%</w:t>
            </w:r>
          </w:p>
        </w:tc>
        <w:tc>
          <w:tcPr>
            <w:tcW w:w="2268" w:type="dxa"/>
            <w:shd w:val="clear" w:color="auto" w:fill="auto"/>
          </w:tcPr>
          <w:p w:rsidR="00265C99"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5</w:t>
            </w:r>
            <w:r w:rsidR="00265C99" w:rsidRPr="007A201D">
              <w:rPr>
                <w:rFonts w:ascii="Times New Roman" w:hAnsi="Times New Roman"/>
              </w:rPr>
              <w:t>%</w:t>
            </w:r>
          </w:p>
        </w:tc>
      </w:tr>
      <w:tr w:rsidR="00265C99" w:rsidRPr="007A201D" w:rsidTr="007A201D">
        <w:tc>
          <w:tcPr>
            <w:tcW w:w="4248" w:type="dxa"/>
            <w:shd w:val="clear" w:color="auto" w:fill="auto"/>
          </w:tcPr>
          <w:p w:rsidR="00265C99" w:rsidRPr="007A201D" w:rsidRDefault="00265C99" w:rsidP="007A201D">
            <w:pPr>
              <w:autoSpaceDE w:val="0"/>
              <w:autoSpaceDN w:val="0"/>
              <w:adjustRightInd w:val="0"/>
              <w:rPr>
                <w:rFonts w:ascii="Times New Roman" w:hAnsi="Times New Roman"/>
                <w:b/>
                <w:bCs/>
              </w:rPr>
            </w:pPr>
            <w:r w:rsidRPr="007A201D">
              <w:rPr>
                <w:rFonts w:ascii="Times New Roman" w:hAnsi="Times New Roman"/>
              </w:rPr>
              <w:t>Triglyceride (&gt;750 mg/dL)</w:t>
            </w:r>
          </w:p>
        </w:tc>
        <w:tc>
          <w:tcPr>
            <w:tcW w:w="2340" w:type="dxa"/>
            <w:shd w:val="clear" w:color="auto" w:fill="auto"/>
          </w:tcPr>
          <w:p w:rsidR="00265C99" w:rsidRPr="007A201D" w:rsidRDefault="008F07F8" w:rsidP="007A201D">
            <w:pPr>
              <w:autoSpaceDE w:val="0"/>
              <w:autoSpaceDN w:val="0"/>
              <w:adjustRightInd w:val="0"/>
              <w:jc w:val="center"/>
              <w:rPr>
                <w:rFonts w:ascii="Times New Roman" w:hAnsi="Times New Roman"/>
                <w:b/>
                <w:bCs/>
              </w:rPr>
            </w:pPr>
            <w:r w:rsidRPr="007A201D">
              <w:rPr>
                <w:rFonts w:ascii="Times New Roman" w:hAnsi="Times New Roman"/>
              </w:rPr>
              <w:t>5</w:t>
            </w:r>
            <w:r w:rsidR="00265C99" w:rsidRPr="007A201D">
              <w:rPr>
                <w:rFonts w:ascii="Times New Roman" w:hAnsi="Times New Roman"/>
              </w:rPr>
              <w:t>%</w:t>
            </w:r>
          </w:p>
        </w:tc>
        <w:tc>
          <w:tcPr>
            <w:tcW w:w="2268" w:type="dxa"/>
            <w:shd w:val="clear" w:color="auto" w:fill="auto"/>
          </w:tcPr>
          <w:p w:rsidR="00265C99" w:rsidRPr="007A201D" w:rsidRDefault="00265C99" w:rsidP="007A201D">
            <w:pPr>
              <w:autoSpaceDE w:val="0"/>
              <w:autoSpaceDN w:val="0"/>
              <w:adjustRightInd w:val="0"/>
              <w:jc w:val="center"/>
              <w:rPr>
                <w:rFonts w:ascii="Times New Roman" w:hAnsi="Times New Roman"/>
              </w:rPr>
            </w:pPr>
            <w:r w:rsidRPr="007A201D">
              <w:rPr>
                <w:rFonts w:ascii="Times New Roman" w:hAnsi="Times New Roman"/>
              </w:rPr>
              <w:t>3%</w:t>
            </w:r>
          </w:p>
        </w:tc>
      </w:tr>
      <w:tr w:rsidR="008F07F8" w:rsidRPr="007A201D" w:rsidTr="007A201D">
        <w:tc>
          <w:tcPr>
            <w:tcW w:w="4248" w:type="dxa"/>
            <w:shd w:val="clear" w:color="auto" w:fill="auto"/>
          </w:tcPr>
          <w:p w:rsidR="008F07F8" w:rsidRPr="007A201D" w:rsidRDefault="008F07F8" w:rsidP="007A201D">
            <w:pPr>
              <w:autoSpaceDE w:val="0"/>
              <w:autoSpaceDN w:val="0"/>
              <w:adjustRightInd w:val="0"/>
              <w:rPr>
                <w:rFonts w:ascii="Times New Roman" w:hAnsi="Times New Roman"/>
              </w:rPr>
            </w:pPr>
            <w:r w:rsidRPr="007A201D">
              <w:rPr>
                <w:rFonts w:ascii="Times New Roman" w:hAnsi="Times New Roman"/>
              </w:rPr>
              <w:t>Haemoglobin (</w:t>
            </w:r>
            <w:r w:rsidR="00E2239B" w:rsidRPr="007A201D">
              <w:rPr>
                <w:rFonts w:ascii="Times New Roman" w:hAnsi="Times New Roman"/>
              </w:rPr>
              <w:t>&lt;7.0 g</w:t>
            </w:r>
            <w:r w:rsidRPr="007A201D">
              <w:rPr>
                <w:rFonts w:ascii="Times New Roman" w:hAnsi="Times New Roman"/>
              </w:rPr>
              <w:t>/dL)</w:t>
            </w:r>
          </w:p>
        </w:tc>
        <w:tc>
          <w:tcPr>
            <w:tcW w:w="2340" w:type="dxa"/>
            <w:shd w:val="clear" w:color="auto" w:fill="auto"/>
          </w:tcPr>
          <w:p w:rsidR="008F07F8"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0%</w:t>
            </w:r>
          </w:p>
        </w:tc>
        <w:tc>
          <w:tcPr>
            <w:tcW w:w="2268" w:type="dxa"/>
            <w:shd w:val="clear" w:color="auto" w:fill="auto"/>
          </w:tcPr>
          <w:p w:rsidR="008F07F8" w:rsidRPr="007A201D" w:rsidRDefault="008F07F8" w:rsidP="007A201D">
            <w:pPr>
              <w:autoSpaceDE w:val="0"/>
              <w:autoSpaceDN w:val="0"/>
              <w:adjustRightInd w:val="0"/>
              <w:jc w:val="center"/>
              <w:rPr>
                <w:rFonts w:ascii="Times New Roman" w:hAnsi="Times New Roman"/>
              </w:rPr>
            </w:pPr>
            <w:r w:rsidRPr="007A201D">
              <w:rPr>
                <w:rFonts w:ascii="Times New Roman" w:hAnsi="Times New Roman"/>
              </w:rPr>
              <w:t>2%</w:t>
            </w:r>
          </w:p>
        </w:tc>
      </w:tr>
    </w:tbl>
    <w:p w:rsidR="00265C99" w:rsidRPr="008F07F8" w:rsidRDefault="00271EBB">
      <w:pPr>
        <w:tabs>
          <w:tab w:val="left" w:pos="8820"/>
        </w:tabs>
        <w:rPr>
          <w:rFonts w:ascii="Times New Roman" w:hAnsi="Times New Roman"/>
          <w:color w:val="000000"/>
        </w:rPr>
      </w:pPr>
      <w:r>
        <w:rPr>
          <w:rFonts w:ascii="Times New Roman" w:hAnsi="Times New Roman"/>
          <w:color w:val="000000"/>
        </w:rPr>
        <w:t>1.</w:t>
      </w:r>
      <w:r w:rsidR="00D03901">
        <w:rPr>
          <w:rFonts w:ascii="Times New Roman" w:hAnsi="Times New Roman"/>
          <w:color w:val="000000"/>
        </w:rPr>
        <w:t xml:space="preserve"> </w:t>
      </w:r>
      <w:r w:rsidR="008F07F8">
        <w:rPr>
          <w:rFonts w:ascii="Times New Roman" w:hAnsi="Times New Roman"/>
          <w:color w:val="000000"/>
        </w:rPr>
        <w:t xml:space="preserve">  </w:t>
      </w:r>
      <w:r w:rsidR="008F07F8" w:rsidRPr="008F07F8">
        <w:rPr>
          <w:rFonts w:ascii="Times New Roman" w:hAnsi="Times New Roman"/>
          <w:color w:val="000000"/>
        </w:rPr>
        <w:t xml:space="preserve">Patients received </w:t>
      </w:r>
      <w:r w:rsidR="00D03901">
        <w:rPr>
          <w:rFonts w:ascii="Times New Roman" w:hAnsi="Times New Roman"/>
          <w:color w:val="000000"/>
        </w:rPr>
        <w:t xml:space="preserve">VIREAD + </w:t>
      </w:r>
      <w:r w:rsidR="008F07F8" w:rsidRPr="008F07F8">
        <w:rPr>
          <w:rFonts w:ascii="Times New Roman" w:hAnsi="Times New Roman"/>
          <w:color w:val="000000"/>
        </w:rPr>
        <w:t>EMTRIVA up to week 96 and switched to TRUVADA from week 96 to 144.</w:t>
      </w:r>
    </w:p>
    <w:p w:rsidR="00FE1EFE" w:rsidRDefault="00FE1EFE" w:rsidP="00FE1EFE">
      <w:pPr>
        <w:jc w:val="both"/>
        <w:rPr>
          <w:rFonts w:ascii="Times New Roman" w:hAnsi="Times New Roman"/>
          <w:b/>
          <w:i/>
          <w:color w:val="000000"/>
          <w:sz w:val="24"/>
          <w:szCs w:val="24"/>
        </w:rPr>
      </w:pPr>
    </w:p>
    <w:p w:rsidR="00FE1EFE" w:rsidRDefault="00FE1EFE" w:rsidP="00FE1EFE">
      <w:pPr>
        <w:jc w:val="both"/>
        <w:rPr>
          <w:rFonts w:ascii="Times New Roman" w:hAnsi="Times New Roman"/>
          <w:b/>
          <w:i/>
          <w:color w:val="000000"/>
          <w:sz w:val="24"/>
          <w:szCs w:val="24"/>
        </w:rPr>
      </w:pPr>
      <w:r>
        <w:rPr>
          <w:rFonts w:ascii="Times New Roman" w:hAnsi="Times New Roman"/>
          <w:b/>
          <w:i/>
          <w:color w:val="000000"/>
          <w:sz w:val="24"/>
          <w:szCs w:val="24"/>
        </w:rPr>
        <w:t>Clinical Trials in Paediatric Patients 12 Years of Age and Older with HIV Infection:</w:t>
      </w:r>
    </w:p>
    <w:p w:rsidR="00FE1EFE" w:rsidRDefault="00FE1EFE" w:rsidP="00FE1EFE">
      <w:pPr>
        <w:jc w:val="both"/>
        <w:rPr>
          <w:rFonts w:ascii="Times New Roman" w:hAnsi="Times New Roman"/>
          <w:b/>
          <w:i/>
          <w:color w:val="000000"/>
          <w:sz w:val="24"/>
          <w:szCs w:val="24"/>
        </w:rPr>
      </w:pPr>
    </w:p>
    <w:p w:rsidR="00063188" w:rsidRDefault="00FE1EFE" w:rsidP="00FE1EFE">
      <w:pPr>
        <w:jc w:val="both"/>
        <w:rPr>
          <w:rFonts w:ascii="Times New Roman" w:hAnsi="Times New Roman"/>
          <w:color w:val="000000"/>
          <w:sz w:val="24"/>
          <w:szCs w:val="24"/>
        </w:rPr>
      </w:pPr>
      <w:r>
        <w:rPr>
          <w:rFonts w:ascii="Times New Roman" w:hAnsi="Times New Roman"/>
          <w:color w:val="000000"/>
          <w:sz w:val="24"/>
          <w:szCs w:val="24"/>
        </w:rPr>
        <w:lastRenderedPageBreak/>
        <w:t>Assessment of adverse reactions is based on one randomised study (study 321) in 87 HIV-infected paediatric patients (12 to 18 years of age) who received treatment with VIREAD (n=45) or placebo (n=42) in combination with other antiretroviral agents for 48 weeks. The adverse reactions observed in paediatric patients 12 years of age and older who received treatment with VIREAD were consistent with those observed in clinical studies in adults</w:t>
      </w:r>
      <w:r w:rsidR="00063188">
        <w:rPr>
          <w:rFonts w:ascii="Times New Roman" w:hAnsi="Times New Roman"/>
          <w:color w:val="000000"/>
          <w:sz w:val="24"/>
          <w:szCs w:val="24"/>
        </w:rPr>
        <w:t>. Bone effects similar to those see</w:t>
      </w:r>
      <w:r w:rsidR="00DE5928">
        <w:rPr>
          <w:rFonts w:ascii="Times New Roman" w:hAnsi="Times New Roman"/>
          <w:color w:val="000000"/>
          <w:sz w:val="24"/>
          <w:szCs w:val="24"/>
        </w:rPr>
        <w:t>n</w:t>
      </w:r>
      <w:r w:rsidR="00063188">
        <w:rPr>
          <w:rFonts w:ascii="Times New Roman" w:hAnsi="Times New Roman"/>
          <w:color w:val="000000"/>
          <w:sz w:val="24"/>
          <w:szCs w:val="24"/>
        </w:rPr>
        <w:t xml:space="preserve"> in adults were observed in this study</w:t>
      </w:r>
      <w:r w:rsidR="00253CCF">
        <w:rPr>
          <w:rFonts w:ascii="Times New Roman" w:hAnsi="Times New Roman"/>
          <w:color w:val="000000"/>
          <w:sz w:val="24"/>
          <w:szCs w:val="24"/>
        </w:rPr>
        <w:t xml:space="preserve"> (see PRECAUTIONS).</w:t>
      </w:r>
      <w:r>
        <w:rPr>
          <w:rFonts w:ascii="Times New Roman" w:hAnsi="Times New Roman"/>
          <w:color w:val="000000"/>
          <w:sz w:val="24"/>
          <w:szCs w:val="24"/>
        </w:rPr>
        <w:t xml:space="preserve"> </w:t>
      </w:r>
    </w:p>
    <w:p w:rsidR="00063188" w:rsidRDefault="00063188" w:rsidP="00FE1EFE">
      <w:pPr>
        <w:jc w:val="both"/>
        <w:rPr>
          <w:rFonts w:ascii="Times New Roman" w:hAnsi="Times New Roman"/>
          <w:b/>
          <w:i/>
          <w:color w:val="000000"/>
          <w:sz w:val="24"/>
          <w:szCs w:val="24"/>
        </w:rPr>
      </w:pPr>
    </w:p>
    <w:p w:rsidR="00684243" w:rsidRDefault="00684243" w:rsidP="00684243">
      <w:pPr>
        <w:jc w:val="both"/>
        <w:rPr>
          <w:rFonts w:ascii="Times New Roman" w:hAnsi="Times New Roman"/>
          <w:b/>
          <w:i/>
          <w:color w:val="000000"/>
          <w:sz w:val="22"/>
          <w:szCs w:val="22"/>
        </w:rPr>
      </w:pPr>
    </w:p>
    <w:p w:rsidR="00684243" w:rsidRPr="00015C34" w:rsidRDefault="00684243" w:rsidP="00684243">
      <w:pPr>
        <w:jc w:val="both"/>
        <w:rPr>
          <w:rFonts w:ascii="Times New Roman" w:hAnsi="Times New Roman"/>
          <w:b/>
          <w:i/>
          <w:color w:val="000000"/>
          <w:sz w:val="24"/>
          <w:szCs w:val="24"/>
        </w:rPr>
      </w:pPr>
      <w:r w:rsidRPr="00015C34">
        <w:rPr>
          <w:rFonts w:ascii="Times New Roman" w:hAnsi="Times New Roman"/>
          <w:b/>
          <w:i/>
          <w:color w:val="000000"/>
          <w:sz w:val="24"/>
          <w:szCs w:val="24"/>
        </w:rPr>
        <w:t xml:space="preserve">Clinical Trials in </w:t>
      </w:r>
      <w:r w:rsidR="00FE1EFE">
        <w:rPr>
          <w:rFonts w:ascii="Times New Roman" w:hAnsi="Times New Roman"/>
          <w:b/>
          <w:i/>
          <w:color w:val="000000"/>
          <w:sz w:val="24"/>
          <w:szCs w:val="24"/>
        </w:rPr>
        <w:t xml:space="preserve">Adult </w:t>
      </w:r>
      <w:r w:rsidRPr="00015C34">
        <w:rPr>
          <w:rFonts w:ascii="Times New Roman" w:hAnsi="Times New Roman"/>
          <w:b/>
          <w:i/>
          <w:color w:val="000000"/>
          <w:sz w:val="24"/>
          <w:szCs w:val="24"/>
        </w:rPr>
        <w:t>Patients with Hepatitis B:</w:t>
      </w:r>
    </w:p>
    <w:p w:rsidR="00684243" w:rsidRPr="00015C34" w:rsidRDefault="00684243" w:rsidP="00684243">
      <w:pPr>
        <w:pStyle w:val="Text1"/>
        <w:spacing w:after="0"/>
        <w:jc w:val="both"/>
        <w:rPr>
          <w:color w:val="000000"/>
          <w:szCs w:val="24"/>
        </w:rPr>
      </w:pPr>
    </w:p>
    <w:p w:rsidR="00684243" w:rsidRPr="00015C34" w:rsidRDefault="00684243" w:rsidP="00684243">
      <w:pPr>
        <w:pStyle w:val="Text1"/>
        <w:spacing w:after="0"/>
        <w:jc w:val="both"/>
        <w:rPr>
          <w:color w:val="000000"/>
          <w:szCs w:val="24"/>
        </w:rPr>
      </w:pPr>
      <w:r w:rsidRPr="00015C34">
        <w:rPr>
          <w:color w:val="000000"/>
          <w:szCs w:val="24"/>
        </w:rPr>
        <w:t xml:space="preserve">Assessment of adverse reactions is based on experience in two double-blind comparative controlled studies </w:t>
      </w:r>
      <w:r w:rsidR="000520F4">
        <w:rPr>
          <w:color w:val="000000"/>
          <w:szCs w:val="24"/>
        </w:rPr>
        <w:t xml:space="preserve">(0102 and 0103) </w:t>
      </w:r>
      <w:r w:rsidRPr="00015C34">
        <w:rPr>
          <w:color w:val="000000"/>
          <w:szCs w:val="24"/>
        </w:rPr>
        <w:t>in which 641 patients with chronic hepatitis B and compensated liver disease received treatment with VIREAD 300 mg daily (n=426) or HEPSERA 10 mg daily (n=215) for 48 weeks</w:t>
      </w:r>
      <w:r w:rsidR="00E65D66">
        <w:rPr>
          <w:color w:val="000000"/>
          <w:szCs w:val="24"/>
        </w:rPr>
        <w:t xml:space="preserve"> (see Table </w:t>
      </w:r>
      <w:r w:rsidR="00AB326F">
        <w:rPr>
          <w:color w:val="000000"/>
          <w:szCs w:val="24"/>
        </w:rPr>
        <w:t>20</w:t>
      </w:r>
      <w:r w:rsidR="00E65D66">
        <w:rPr>
          <w:color w:val="000000"/>
          <w:szCs w:val="24"/>
        </w:rPr>
        <w:t>)</w:t>
      </w:r>
      <w:r w:rsidRPr="00015C34">
        <w:rPr>
          <w:color w:val="000000"/>
          <w:szCs w:val="24"/>
        </w:rPr>
        <w:t xml:space="preserve">.  </w:t>
      </w:r>
    </w:p>
    <w:p w:rsidR="00684243" w:rsidRPr="00015C34" w:rsidRDefault="00684243" w:rsidP="00684243">
      <w:pPr>
        <w:pStyle w:val="Text1"/>
        <w:spacing w:after="0"/>
        <w:jc w:val="both"/>
        <w:rPr>
          <w:color w:val="000000"/>
          <w:szCs w:val="24"/>
          <w:lang w:val="en-GB"/>
        </w:rPr>
      </w:pPr>
    </w:p>
    <w:p w:rsidR="00684243" w:rsidRPr="00015C34" w:rsidRDefault="00684243" w:rsidP="00684243">
      <w:pPr>
        <w:pStyle w:val="Text1"/>
        <w:spacing w:after="0"/>
        <w:jc w:val="both"/>
        <w:rPr>
          <w:color w:val="000000"/>
          <w:szCs w:val="24"/>
          <w:lang w:val="en-GB"/>
        </w:rPr>
      </w:pPr>
      <w:r w:rsidRPr="00015C34">
        <w:rPr>
          <w:color w:val="000000"/>
          <w:szCs w:val="24"/>
          <w:lang w:val="en-GB"/>
        </w:rPr>
        <w:t>The adverse reactions with suspected (at least possible) relationship to treatment are listed below by body system organ class and frequency.  Frequencies are defined as common (</w:t>
      </w:r>
      <w:r w:rsidRPr="00015C34">
        <w:rPr>
          <w:color w:val="000000"/>
          <w:szCs w:val="24"/>
          <w:lang w:val="en-GB"/>
        </w:rPr>
        <w:sym w:font="Symbol" w:char="F0B3"/>
      </w:r>
      <w:r w:rsidRPr="00015C34">
        <w:rPr>
          <w:color w:val="000000"/>
          <w:szCs w:val="24"/>
          <w:lang w:val="en-GB"/>
        </w:rPr>
        <w:t xml:space="preserve"> 1/100, &lt; 1/10). </w:t>
      </w:r>
    </w:p>
    <w:p w:rsidR="00684243" w:rsidRPr="00015C34" w:rsidRDefault="00684243" w:rsidP="00684243">
      <w:pPr>
        <w:pStyle w:val="Text1"/>
        <w:spacing w:after="0"/>
        <w:jc w:val="both"/>
        <w:rPr>
          <w:i/>
          <w:color w:val="000000"/>
          <w:szCs w:val="24"/>
          <w:lang w:val="en-GB"/>
        </w:rPr>
      </w:pPr>
    </w:p>
    <w:p w:rsidR="00684243" w:rsidRPr="00015C34" w:rsidRDefault="00684243" w:rsidP="00684243">
      <w:pPr>
        <w:pStyle w:val="Text1"/>
        <w:spacing w:after="0"/>
        <w:jc w:val="both"/>
        <w:rPr>
          <w:i/>
          <w:color w:val="000000"/>
          <w:szCs w:val="24"/>
          <w:lang w:val="en-GB"/>
        </w:rPr>
      </w:pPr>
      <w:r w:rsidRPr="00015C34">
        <w:rPr>
          <w:i/>
          <w:color w:val="000000"/>
          <w:szCs w:val="24"/>
          <w:lang w:val="en-GB"/>
        </w:rPr>
        <w:t>Gastrointestinal disorders:</w:t>
      </w:r>
    </w:p>
    <w:p w:rsidR="00684243" w:rsidRPr="00015C34" w:rsidRDefault="00684243" w:rsidP="00684243">
      <w:pPr>
        <w:pStyle w:val="Text1"/>
        <w:spacing w:after="0"/>
        <w:jc w:val="both"/>
        <w:rPr>
          <w:color w:val="000000"/>
          <w:szCs w:val="24"/>
          <w:lang w:val="en-GB"/>
        </w:rPr>
      </w:pPr>
      <w:r w:rsidRPr="00015C34">
        <w:rPr>
          <w:color w:val="000000"/>
          <w:szCs w:val="24"/>
          <w:lang w:val="en-GB"/>
        </w:rPr>
        <w:t>Common: nausea</w:t>
      </w:r>
    </w:p>
    <w:p w:rsidR="00684243" w:rsidRPr="007B7FA6" w:rsidRDefault="00684243" w:rsidP="00684243">
      <w:pPr>
        <w:rPr>
          <w:rFonts w:ascii="Times New Roman" w:hAnsi="Times New Roman"/>
          <w:color w:val="FF0000"/>
          <w:sz w:val="22"/>
          <w:szCs w:val="22"/>
        </w:rPr>
      </w:pPr>
    </w:p>
    <w:tbl>
      <w:tblPr>
        <w:tblW w:w="9088" w:type="dxa"/>
        <w:tblBorders>
          <w:top w:val="nil"/>
          <w:left w:val="nil"/>
          <w:bottom w:val="nil"/>
          <w:right w:val="nil"/>
        </w:tblBorders>
        <w:tblLook w:val="0000"/>
      </w:tblPr>
      <w:tblGrid>
        <w:gridCol w:w="4657"/>
        <w:gridCol w:w="2168"/>
        <w:gridCol w:w="2263"/>
      </w:tblGrid>
      <w:tr w:rsidR="00684243" w:rsidRPr="00064876" w:rsidTr="001555F7">
        <w:tblPrEx>
          <w:tblCellMar>
            <w:top w:w="0" w:type="dxa"/>
            <w:bottom w:w="0" w:type="dxa"/>
          </w:tblCellMar>
        </w:tblPrEx>
        <w:trPr>
          <w:trHeight w:val="203"/>
        </w:trPr>
        <w:tc>
          <w:tcPr>
            <w:tcW w:w="9088" w:type="dxa"/>
            <w:gridSpan w:val="3"/>
            <w:tcBorders>
              <w:top w:val="nil"/>
              <w:left w:val="nil"/>
              <w:bottom w:val="single" w:sz="8" w:space="0" w:color="000000"/>
              <w:right w:val="nil"/>
            </w:tcBorders>
          </w:tcPr>
          <w:p w:rsidR="001555F7" w:rsidRDefault="00684243" w:rsidP="001555F7">
            <w:pPr>
              <w:pStyle w:val="Default"/>
              <w:rPr>
                <w:b/>
                <w:bCs/>
                <w:color w:val="auto"/>
                <w:sz w:val="22"/>
                <w:szCs w:val="22"/>
              </w:rPr>
            </w:pPr>
            <w:r w:rsidRPr="00D3615E">
              <w:rPr>
                <w:b/>
                <w:bCs/>
                <w:color w:val="auto"/>
                <w:sz w:val="22"/>
                <w:szCs w:val="22"/>
              </w:rPr>
              <w:t xml:space="preserve">Table </w:t>
            </w:r>
            <w:r w:rsidR="0044536D">
              <w:rPr>
                <w:b/>
                <w:bCs/>
                <w:color w:val="auto"/>
                <w:sz w:val="22"/>
                <w:szCs w:val="22"/>
              </w:rPr>
              <w:t>20</w:t>
            </w:r>
            <w:r w:rsidRPr="00D3615E">
              <w:rPr>
                <w:b/>
                <w:bCs/>
                <w:color w:val="auto"/>
                <w:sz w:val="22"/>
                <w:szCs w:val="22"/>
              </w:rPr>
              <w:t xml:space="preserve">.        Most Frequent (&gt;5%) Treatment-Emergent Adverse Events of Any Severity </w:t>
            </w:r>
            <w:r w:rsidR="001555F7">
              <w:rPr>
                <w:b/>
                <w:bCs/>
                <w:color w:val="auto"/>
                <w:sz w:val="22"/>
                <w:szCs w:val="22"/>
              </w:rPr>
              <w:t xml:space="preserve">      </w:t>
            </w:r>
          </w:p>
          <w:p w:rsidR="00684243" w:rsidRPr="00D3615E" w:rsidRDefault="001555F7" w:rsidP="001555F7">
            <w:pPr>
              <w:pStyle w:val="Default"/>
              <w:rPr>
                <w:b/>
                <w:bCs/>
                <w:color w:val="auto"/>
                <w:sz w:val="22"/>
                <w:szCs w:val="22"/>
              </w:rPr>
            </w:pPr>
            <w:r>
              <w:rPr>
                <w:b/>
                <w:bCs/>
                <w:color w:val="auto"/>
                <w:sz w:val="22"/>
                <w:szCs w:val="22"/>
              </w:rPr>
              <w:t xml:space="preserve">                        </w:t>
            </w:r>
            <w:r w:rsidR="00684243" w:rsidRPr="00D3615E">
              <w:rPr>
                <w:b/>
                <w:bCs/>
                <w:color w:val="auto"/>
                <w:sz w:val="22"/>
                <w:szCs w:val="22"/>
              </w:rPr>
              <w:t>(Integrated RAT analysis set; 48-week Data from Studies 102 and 103)</w:t>
            </w:r>
          </w:p>
        </w:tc>
      </w:tr>
      <w:tr w:rsidR="00684243" w:rsidRPr="00064876" w:rsidTr="00FA25FA">
        <w:tblPrEx>
          <w:tblCellMar>
            <w:top w:w="0" w:type="dxa"/>
            <w:bottom w:w="0" w:type="dxa"/>
          </w:tblCellMar>
        </w:tblPrEx>
        <w:trPr>
          <w:trHeight w:val="203"/>
        </w:trPr>
        <w:tc>
          <w:tcPr>
            <w:tcW w:w="4657" w:type="dxa"/>
            <w:tcBorders>
              <w:top w:val="single" w:sz="8" w:space="0" w:color="000000"/>
              <w:left w:val="single" w:sz="4" w:space="0" w:color="auto"/>
              <w:bottom w:val="nil"/>
              <w:right w:val="single" w:sz="8" w:space="0" w:color="000000"/>
            </w:tcBorders>
          </w:tcPr>
          <w:p w:rsidR="00684243" w:rsidRPr="001C3CD4" w:rsidRDefault="00684243" w:rsidP="00FA25FA">
            <w:pPr>
              <w:pStyle w:val="Default"/>
              <w:rPr>
                <w:color w:val="auto"/>
                <w:sz w:val="20"/>
                <w:szCs w:val="20"/>
              </w:rPr>
            </w:pPr>
          </w:p>
        </w:tc>
        <w:tc>
          <w:tcPr>
            <w:tcW w:w="2168" w:type="dxa"/>
            <w:tcBorders>
              <w:top w:val="single" w:sz="8" w:space="0" w:color="000000"/>
              <w:left w:val="single" w:sz="8" w:space="0" w:color="000000"/>
              <w:bottom w:val="nil"/>
              <w:right w:val="single" w:sz="8" w:space="0" w:color="000000"/>
            </w:tcBorders>
            <w:vAlign w:val="center"/>
          </w:tcPr>
          <w:p w:rsidR="00684243" w:rsidRPr="001C3CD4" w:rsidRDefault="00684243" w:rsidP="00FA25FA">
            <w:pPr>
              <w:pStyle w:val="Default"/>
              <w:jc w:val="center"/>
              <w:rPr>
                <w:color w:val="auto"/>
                <w:sz w:val="20"/>
                <w:szCs w:val="20"/>
              </w:rPr>
            </w:pPr>
            <w:r w:rsidRPr="001C3CD4">
              <w:rPr>
                <w:b/>
                <w:bCs/>
                <w:color w:val="auto"/>
                <w:sz w:val="20"/>
                <w:szCs w:val="20"/>
              </w:rPr>
              <w:t xml:space="preserve">Overall </w:t>
            </w:r>
          </w:p>
        </w:tc>
        <w:tc>
          <w:tcPr>
            <w:tcW w:w="2263" w:type="dxa"/>
            <w:tcBorders>
              <w:top w:val="single" w:sz="8" w:space="0" w:color="000000"/>
              <w:left w:val="single" w:sz="8" w:space="0" w:color="000000"/>
              <w:bottom w:val="nil"/>
              <w:right w:val="single" w:sz="4" w:space="0" w:color="auto"/>
            </w:tcBorders>
            <w:vAlign w:val="center"/>
          </w:tcPr>
          <w:p w:rsidR="00684243" w:rsidRPr="001C3CD4" w:rsidRDefault="00684243" w:rsidP="00FA25FA">
            <w:pPr>
              <w:pStyle w:val="Default"/>
              <w:jc w:val="center"/>
              <w:rPr>
                <w:color w:val="auto"/>
                <w:sz w:val="20"/>
                <w:szCs w:val="20"/>
              </w:rPr>
            </w:pPr>
            <w:r w:rsidRPr="001C3CD4">
              <w:rPr>
                <w:b/>
                <w:bCs/>
                <w:color w:val="auto"/>
                <w:sz w:val="20"/>
                <w:szCs w:val="20"/>
              </w:rPr>
              <w:t xml:space="preserve">Overall </w:t>
            </w:r>
          </w:p>
        </w:tc>
      </w:tr>
      <w:tr w:rsidR="00684243" w:rsidRPr="00064876" w:rsidTr="00FA25FA">
        <w:tblPrEx>
          <w:tblCellMar>
            <w:top w:w="0" w:type="dxa"/>
            <w:bottom w:w="0" w:type="dxa"/>
          </w:tblCellMar>
        </w:tblPrEx>
        <w:trPr>
          <w:trHeight w:val="360"/>
        </w:trPr>
        <w:tc>
          <w:tcPr>
            <w:tcW w:w="4657" w:type="dxa"/>
            <w:tcBorders>
              <w:top w:val="nil"/>
              <w:left w:val="single" w:sz="4" w:space="0" w:color="auto"/>
              <w:bottom w:val="single" w:sz="8" w:space="0" w:color="000000"/>
              <w:right w:val="single" w:sz="8" w:space="0" w:color="000000"/>
            </w:tcBorders>
          </w:tcPr>
          <w:p w:rsidR="00684243" w:rsidRPr="001C3CD4" w:rsidRDefault="00684243" w:rsidP="00FA25FA">
            <w:pPr>
              <w:pStyle w:val="Default"/>
              <w:rPr>
                <w:color w:val="auto"/>
                <w:sz w:val="20"/>
                <w:szCs w:val="20"/>
              </w:rPr>
            </w:pPr>
            <w:r w:rsidRPr="001C3CD4">
              <w:rPr>
                <w:b/>
                <w:bCs/>
                <w:color w:val="auto"/>
                <w:sz w:val="20"/>
                <w:szCs w:val="20"/>
              </w:rPr>
              <w:t>AEs by Preferred Term</w:t>
            </w:r>
            <w:r w:rsidRPr="001C3CD4">
              <w:rPr>
                <w:rFonts w:ascii="Times New Roman Bold" w:hAnsi="Times New Roman Bold"/>
                <w:b/>
                <w:bCs/>
                <w:color w:val="auto"/>
                <w:sz w:val="20"/>
                <w:szCs w:val="20"/>
                <w:vertAlign w:val="superscript"/>
              </w:rPr>
              <w:t>a</w:t>
            </w:r>
            <w:r w:rsidRPr="001C3CD4">
              <w:rPr>
                <w:b/>
                <w:bCs/>
                <w:color w:val="auto"/>
                <w:sz w:val="20"/>
                <w:szCs w:val="20"/>
              </w:rPr>
              <w:t xml:space="preserve"> (n, %)</w:t>
            </w:r>
            <w:r w:rsidRPr="001C3CD4">
              <w:rPr>
                <w:rFonts w:ascii="Times New Roman Bold" w:hAnsi="Times New Roman Bold"/>
                <w:b/>
                <w:bCs/>
                <w:color w:val="auto"/>
                <w:sz w:val="20"/>
                <w:szCs w:val="20"/>
                <w:vertAlign w:val="superscript"/>
              </w:rPr>
              <w:t>b</w:t>
            </w:r>
          </w:p>
        </w:tc>
        <w:tc>
          <w:tcPr>
            <w:tcW w:w="2168" w:type="dxa"/>
            <w:tcBorders>
              <w:top w:val="nil"/>
              <w:left w:val="single" w:sz="8" w:space="0" w:color="000000"/>
              <w:bottom w:val="single" w:sz="8" w:space="0" w:color="000000"/>
              <w:right w:val="single" w:sz="8" w:space="0" w:color="000000"/>
            </w:tcBorders>
          </w:tcPr>
          <w:p w:rsidR="00684243" w:rsidRPr="001C3CD4" w:rsidRDefault="00684243" w:rsidP="00FA25FA">
            <w:pPr>
              <w:pStyle w:val="Default"/>
              <w:jc w:val="center"/>
              <w:rPr>
                <w:color w:val="auto"/>
                <w:sz w:val="20"/>
                <w:szCs w:val="20"/>
              </w:rPr>
            </w:pPr>
            <w:r w:rsidRPr="001C3CD4">
              <w:rPr>
                <w:b/>
                <w:bCs/>
                <w:color w:val="auto"/>
                <w:sz w:val="20"/>
                <w:szCs w:val="20"/>
              </w:rPr>
              <w:t xml:space="preserve">TDF (N=426) </w:t>
            </w:r>
          </w:p>
        </w:tc>
        <w:tc>
          <w:tcPr>
            <w:tcW w:w="2263" w:type="dxa"/>
            <w:tcBorders>
              <w:top w:val="nil"/>
              <w:left w:val="single" w:sz="8" w:space="0" w:color="000000"/>
              <w:bottom w:val="single" w:sz="8" w:space="0" w:color="000000"/>
              <w:right w:val="single" w:sz="4" w:space="0" w:color="auto"/>
            </w:tcBorders>
          </w:tcPr>
          <w:p w:rsidR="00684243" w:rsidRPr="001C3CD4" w:rsidRDefault="00684243" w:rsidP="00FA25FA">
            <w:pPr>
              <w:pStyle w:val="Default"/>
              <w:jc w:val="center"/>
              <w:rPr>
                <w:color w:val="auto"/>
                <w:sz w:val="20"/>
                <w:szCs w:val="20"/>
              </w:rPr>
            </w:pPr>
            <w:r w:rsidRPr="001C3CD4">
              <w:rPr>
                <w:b/>
                <w:bCs/>
                <w:color w:val="auto"/>
                <w:sz w:val="20"/>
                <w:szCs w:val="20"/>
              </w:rPr>
              <w:t xml:space="preserve">ADV (N=215) </w:t>
            </w:r>
          </w:p>
        </w:tc>
      </w:tr>
      <w:tr w:rsidR="00684243" w:rsidRPr="00064876" w:rsidTr="00FA25FA">
        <w:tblPrEx>
          <w:tblCellMar>
            <w:top w:w="0" w:type="dxa"/>
            <w:bottom w:w="0" w:type="dxa"/>
          </w:tblCellMar>
        </w:tblPrEx>
        <w:trPr>
          <w:trHeight w:val="223"/>
        </w:trPr>
        <w:tc>
          <w:tcPr>
            <w:tcW w:w="4657" w:type="dxa"/>
            <w:tcBorders>
              <w:top w:val="single" w:sz="8" w:space="0" w:color="000000"/>
              <w:left w:val="single" w:sz="4" w:space="0" w:color="auto"/>
              <w:bottom w:val="single" w:sz="4" w:space="0" w:color="auto"/>
              <w:right w:val="single" w:sz="8" w:space="0" w:color="000000"/>
            </w:tcBorders>
            <w:vAlign w:val="center"/>
          </w:tcPr>
          <w:p w:rsidR="00684243" w:rsidRPr="001C3CD4" w:rsidRDefault="00684243" w:rsidP="00FA25FA">
            <w:pPr>
              <w:pStyle w:val="Default"/>
              <w:rPr>
                <w:color w:val="auto"/>
                <w:sz w:val="20"/>
                <w:szCs w:val="20"/>
              </w:rPr>
            </w:pPr>
            <w:r w:rsidRPr="001C3CD4">
              <w:rPr>
                <w:color w:val="auto"/>
                <w:sz w:val="20"/>
                <w:szCs w:val="20"/>
              </w:rPr>
              <w:t xml:space="preserve">Any Adverse Event </w:t>
            </w:r>
          </w:p>
        </w:tc>
        <w:tc>
          <w:tcPr>
            <w:tcW w:w="2168" w:type="dxa"/>
            <w:tcBorders>
              <w:top w:val="single" w:sz="8" w:space="0" w:color="000000"/>
              <w:left w:val="single" w:sz="8" w:space="0" w:color="000000"/>
              <w:bottom w:val="single" w:sz="4" w:space="0" w:color="auto"/>
              <w:right w:val="single" w:sz="8" w:space="0" w:color="000000"/>
            </w:tcBorders>
            <w:vAlign w:val="center"/>
          </w:tcPr>
          <w:p w:rsidR="00684243" w:rsidRPr="001C3CD4" w:rsidRDefault="00684243" w:rsidP="00FA25FA">
            <w:pPr>
              <w:pStyle w:val="Default"/>
              <w:jc w:val="center"/>
              <w:rPr>
                <w:color w:val="auto"/>
                <w:sz w:val="20"/>
                <w:szCs w:val="20"/>
              </w:rPr>
            </w:pPr>
            <w:r w:rsidRPr="001C3CD4">
              <w:rPr>
                <w:color w:val="auto"/>
                <w:sz w:val="20"/>
                <w:szCs w:val="20"/>
              </w:rPr>
              <w:t xml:space="preserve">317 ( 74.4%) </w:t>
            </w:r>
          </w:p>
        </w:tc>
        <w:tc>
          <w:tcPr>
            <w:tcW w:w="2263" w:type="dxa"/>
            <w:tcBorders>
              <w:top w:val="single" w:sz="8" w:space="0" w:color="000000"/>
              <w:left w:val="single" w:sz="8" w:space="0" w:color="000000"/>
              <w:bottom w:val="single" w:sz="4" w:space="0" w:color="auto"/>
              <w:right w:val="single" w:sz="4" w:space="0" w:color="auto"/>
            </w:tcBorders>
            <w:vAlign w:val="center"/>
          </w:tcPr>
          <w:p w:rsidR="00684243" w:rsidRPr="001C3CD4" w:rsidRDefault="00684243" w:rsidP="00FA25FA">
            <w:pPr>
              <w:pStyle w:val="Default"/>
              <w:jc w:val="center"/>
              <w:rPr>
                <w:color w:val="auto"/>
                <w:sz w:val="20"/>
                <w:szCs w:val="20"/>
              </w:rPr>
            </w:pPr>
            <w:r w:rsidRPr="001C3CD4">
              <w:rPr>
                <w:color w:val="auto"/>
                <w:sz w:val="20"/>
                <w:szCs w:val="20"/>
              </w:rPr>
              <w:t xml:space="preserve">158 ( 73.5%) </w:t>
            </w:r>
          </w:p>
        </w:tc>
      </w:tr>
      <w:tr w:rsidR="00684243" w:rsidRPr="00064876" w:rsidTr="00FA25FA">
        <w:tblPrEx>
          <w:tblCellMar>
            <w:top w:w="0" w:type="dxa"/>
            <w:bottom w:w="0" w:type="dxa"/>
          </w:tblCellMar>
        </w:tblPrEx>
        <w:trPr>
          <w:trHeight w:val="220"/>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Headache</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55 ( 12.9%)</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30 ( 14.0%)</w:t>
            </w:r>
          </w:p>
        </w:tc>
      </w:tr>
      <w:tr w:rsidR="00684243" w:rsidRPr="00064876" w:rsidTr="00FA25FA">
        <w:tblPrEx>
          <w:tblCellMar>
            <w:top w:w="0" w:type="dxa"/>
            <w:bottom w:w="0" w:type="dxa"/>
          </w:tblCellMar>
        </w:tblPrEx>
        <w:trPr>
          <w:trHeight w:val="223"/>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Nasopharyngitis</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42 ( 9.9%)</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24 ( 11.2%)</w:t>
            </w:r>
          </w:p>
        </w:tc>
      </w:tr>
      <w:tr w:rsidR="00684243" w:rsidRPr="00064876" w:rsidTr="00FA25FA">
        <w:tblPrEx>
          <w:tblCellMar>
            <w:top w:w="0" w:type="dxa"/>
            <w:bottom w:w="0" w:type="dxa"/>
          </w:tblCellMar>
        </w:tblPrEx>
        <w:trPr>
          <w:trHeight w:val="223"/>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Nausea </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40 ( 9.4%) </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6 ( 2.8%) </w:t>
            </w:r>
          </w:p>
        </w:tc>
      </w:tr>
      <w:tr w:rsidR="00684243" w:rsidRPr="00064876" w:rsidTr="00FA25FA">
        <w:tblPrEx>
          <w:tblCellMar>
            <w:top w:w="0" w:type="dxa"/>
            <w:bottom w:w="0" w:type="dxa"/>
          </w:tblCellMar>
        </w:tblPrEx>
        <w:trPr>
          <w:trHeight w:val="220"/>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Fatigue</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36 ( 8.5%)</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16 ( 7.4%)</w:t>
            </w:r>
          </w:p>
        </w:tc>
      </w:tr>
      <w:tr w:rsidR="00684243" w:rsidRPr="00064876" w:rsidTr="00FA25FA">
        <w:tblPrEx>
          <w:tblCellMar>
            <w:top w:w="0" w:type="dxa"/>
            <w:bottom w:w="0" w:type="dxa"/>
          </w:tblCellMar>
        </w:tblPrEx>
        <w:trPr>
          <w:trHeight w:val="220"/>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Abdominal Pain Upper </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30 ( 7.0%) </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11 ( 5.1%) </w:t>
            </w:r>
          </w:p>
        </w:tc>
      </w:tr>
      <w:tr w:rsidR="00684243" w:rsidRPr="00064876" w:rsidTr="00FA25FA">
        <w:tblPrEx>
          <w:tblCellMar>
            <w:top w:w="0" w:type="dxa"/>
            <w:bottom w:w="0" w:type="dxa"/>
          </w:tblCellMar>
        </w:tblPrEx>
        <w:trPr>
          <w:trHeight w:val="223"/>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Back Pain</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30 ( 7.0%)</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10 ( 4.7%)</w:t>
            </w:r>
          </w:p>
        </w:tc>
      </w:tr>
      <w:tr w:rsidR="00684243" w:rsidRPr="00064876" w:rsidTr="00FA25FA">
        <w:tblPrEx>
          <w:tblCellMar>
            <w:top w:w="0" w:type="dxa"/>
            <w:bottom w:w="0" w:type="dxa"/>
          </w:tblCellMar>
        </w:tblPrEx>
        <w:trPr>
          <w:trHeight w:val="223"/>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Diarrhoea </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28 ( 6.6%) </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11 ( 5.1%) </w:t>
            </w:r>
          </w:p>
        </w:tc>
      </w:tr>
      <w:tr w:rsidR="00684243" w:rsidRPr="00064876" w:rsidTr="00FA25FA">
        <w:tblPrEx>
          <w:tblCellMar>
            <w:top w:w="0" w:type="dxa"/>
            <w:bottom w:w="0" w:type="dxa"/>
          </w:tblCellMar>
        </w:tblPrEx>
        <w:trPr>
          <w:trHeight w:val="220"/>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Dizziness </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24 ( 5.6%) </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7 ( 3.3%) </w:t>
            </w:r>
          </w:p>
        </w:tc>
      </w:tr>
      <w:tr w:rsidR="00684243" w:rsidRPr="00064876" w:rsidTr="00FA25FA">
        <w:tblPrEx>
          <w:tblCellMar>
            <w:top w:w="0" w:type="dxa"/>
            <w:bottom w:w="0" w:type="dxa"/>
          </w:tblCellMar>
        </w:tblPrEx>
        <w:trPr>
          <w:trHeight w:val="223"/>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Procedural Pain</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16 ( 3.8%) </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12 ( 5.6%) </w:t>
            </w:r>
          </w:p>
        </w:tc>
      </w:tr>
      <w:tr w:rsidR="00684243" w:rsidRPr="00064876" w:rsidTr="00FA25FA">
        <w:tblPrEx>
          <w:tblCellMar>
            <w:top w:w="0" w:type="dxa"/>
            <w:bottom w:w="0" w:type="dxa"/>
          </w:tblCellMar>
        </w:tblPrEx>
        <w:trPr>
          <w:trHeight w:val="220"/>
        </w:trPr>
        <w:tc>
          <w:tcPr>
            <w:tcW w:w="4657"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rPr>
                <w:color w:val="auto"/>
                <w:sz w:val="20"/>
                <w:szCs w:val="20"/>
              </w:rPr>
            </w:pPr>
            <w:r w:rsidRPr="001C3CD4">
              <w:rPr>
                <w:color w:val="auto"/>
                <w:sz w:val="20"/>
                <w:szCs w:val="20"/>
              </w:rPr>
              <w:t xml:space="preserve">   Pharyngolaryngeal Pain</w:t>
            </w:r>
          </w:p>
        </w:tc>
        <w:tc>
          <w:tcPr>
            <w:tcW w:w="2168"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15 ( 3.5%) </w:t>
            </w:r>
          </w:p>
        </w:tc>
        <w:tc>
          <w:tcPr>
            <w:tcW w:w="2263" w:type="dxa"/>
            <w:tcBorders>
              <w:top w:val="single" w:sz="4" w:space="0" w:color="auto"/>
              <w:left w:val="single" w:sz="4" w:space="0" w:color="auto"/>
              <w:bottom w:val="single" w:sz="4" w:space="0" w:color="auto"/>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 xml:space="preserve">11 ( 5.1%) </w:t>
            </w:r>
          </w:p>
        </w:tc>
      </w:tr>
      <w:tr w:rsidR="00684243" w:rsidRPr="00064876" w:rsidTr="00FA25FA">
        <w:tblPrEx>
          <w:tblCellMar>
            <w:top w:w="0" w:type="dxa"/>
            <w:bottom w:w="0" w:type="dxa"/>
          </w:tblCellMar>
        </w:tblPrEx>
        <w:trPr>
          <w:trHeight w:val="220"/>
        </w:trPr>
        <w:tc>
          <w:tcPr>
            <w:tcW w:w="4657" w:type="dxa"/>
            <w:tcBorders>
              <w:top w:val="single" w:sz="4" w:space="0" w:color="auto"/>
              <w:left w:val="single" w:sz="4" w:space="0" w:color="auto"/>
              <w:bottom w:val="single" w:sz="8" w:space="0" w:color="000000"/>
              <w:right w:val="single" w:sz="8" w:space="0" w:color="000000"/>
            </w:tcBorders>
          </w:tcPr>
          <w:p w:rsidR="00684243" w:rsidRPr="001C3CD4" w:rsidRDefault="00684243" w:rsidP="00FA25FA">
            <w:pPr>
              <w:pStyle w:val="Default"/>
              <w:rPr>
                <w:color w:val="auto"/>
                <w:sz w:val="20"/>
                <w:szCs w:val="20"/>
              </w:rPr>
            </w:pPr>
            <w:r w:rsidRPr="001C3CD4">
              <w:rPr>
                <w:color w:val="auto"/>
                <w:sz w:val="20"/>
                <w:szCs w:val="20"/>
              </w:rPr>
              <w:t xml:space="preserve">   Upper Respiratory Tract Infection</w:t>
            </w:r>
          </w:p>
        </w:tc>
        <w:tc>
          <w:tcPr>
            <w:tcW w:w="2168" w:type="dxa"/>
            <w:tcBorders>
              <w:top w:val="single" w:sz="4" w:space="0" w:color="auto"/>
              <w:left w:val="single" w:sz="8" w:space="0" w:color="000000"/>
              <w:bottom w:val="single" w:sz="8" w:space="0" w:color="000000"/>
              <w:right w:val="single" w:sz="8" w:space="0" w:color="000000"/>
            </w:tcBorders>
          </w:tcPr>
          <w:p w:rsidR="00684243" w:rsidRPr="001C3CD4" w:rsidRDefault="00684243" w:rsidP="00FA25FA">
            <w:pPr>
              <w:pStyle w:val="Default"/>
              <w:jc w:val="center"/>
              <w:rPr>
                <w:color w:val="auto"/>
                <w:sz w:val="20"/>
                <w:szCs w:val="20"/>
              </w:rPr>
            </w:pPr>
            <w:r w:rsidRPr="001C3CD4">
              <w:rPr>
                <w:color w:val="auto"/>
                <w:sz w:val="20"/>
                <w:szCs w:val="20"/>
              </w:rPr>
              <w:t>13 ( 3.1%)</w:t>
            </w:r>
          </w:p>
        </w:tc>
        <w:tc>
          <w:tcPr>
            <w:tcW w:w="2263" w:type="dxa"/>
            <w:tcBorders>
              <w:top w:val="single" w:sz="4" w:space="0" w:color="auto"/>
              <w:left w:val="single" w:sz="8" w:space="0" w:color="000000"/>
              <w:bottom w:val="single" w:sz="8" w:space="0" w:color="000000"/>
              <w:right w:val="single" w:sz="4" w:space="0" w:color="auto"/>
            </w:tcBorders>
          </w:tcPr>
          <w:p w:rsidR="00684243" w:rsidRPr="001C3CD4" w:rsidRDefault="00684243" w:rsidP="00FA25FA">
            <w:pPr>
              <w:pStyle w:val="Default"/>
              <w:jc w:val="center"/>
              <w:rPr>
                <w:color w:val="auto"/>
                <w:sz w:val="20"/>
                <w:szCs w:val="20"/>
              </w:rPr>
            </w:pPr>
            <w:r w:rsidRPr="001C3CD4">
              <w:rPr>
                <w:color w:val="auto"/>
                <w:sz w:val="20"/>
                <w:szCs w:val="20"/>
              </w:rPr>
              <w:t>11 ( 5.1%)</w:t>
            </w:r>
          </w:p>
        </w:tc>
      </w:tr>
      <w:tr w:rsidR="00684243" w:rsidRPr="00064876" w:rsidTr="00FA25FA">
        <w:tblPrEx>
          <w:tblCellMar>
            <w:top w:w="0" w:type="dxa"/>
            <w:bottom w:w="0" w:type="dxa"/>
          </w:tblCellMar>
        </w:tblPrEx>
        <w:trPr>
          <w:trHeight w:val="223"/>
        </w:trPr>
        <w:tc>
          <w:tcPr>
            <w:tcW w:w="9088" w:type="dxa"/>
            <w:gridSpan w:val="3"/>
            <w:tcBorders>
              <w:top w:val="single" w:sz="8" w:space="0" w:color="000000"/>
              <w:left w:val="nil"/>
              <w:bottom w:val="nil"/>
              <w:right w:val="nil"/>
            </w:tcBorders>
          </w:tcPr>
          <w:p w:rsidR="00684243" w:rsidRPr="00D3615E" w:rsidRDefault="00684243" w:rsidP="00FA25FA">
            <w:pPr>
              <w:autoSpaceDE w:val="0"/>
              <w:autoSpaceDN w:val="0"/>
              <w:adjustRightInd w:val="0"/>
              <w:rPr>
                <w:rFonts w:ascii="Times New Roman" w:hAnsi="Times New Roman"/>
                <w:sz w:val="18"/>
                <w:szCs w:val="18"/>
              </w:rPr>
            </w:pPr>
            <w:r w:rsidRPr="00D3615E">
              <w:rPr>
                <w:rFonts w:ascii="Times New Roman" w:hAnsi="Times New Roman"/>
                <w:sz w:val="18"/>
                <w:szCs w:val="18"/>
              </w:rPr>
              <w:t>a Events coded using MedDRA dictionary version 9.1.</w:t>
            </w:r>
          </w:p>
          <w:p w:rsidR="00684243" w:rsidRPr="00D3615E" w:rsidRDefault="00684243" w:rsidP="00FA25FA">
            <w:pPr>
              <w:pStyle w:val="Default"/>
              <w:rPr>
                <w:color w:val="auto"/>
                <w:sz w:val="18"/>
                <w:szCs w:val="18"/>
              </w:rPr>
            </w:pPr>
            <w:r w:rsidRPr="00D3615E">
              <w:rPr>
                <w:color w:val="auto"/>
                <w:sz w:val="18"/>
                <w:szCs w:val="18"/>
              </w:rPr>
              <w:t>b Subjects are counted once only for each system organ class and preferred term, counting the most severe occurrence.</w:t>
            </w:r>
          </w:p>
        </w:tc>
      </w:tr>
    </w:tbl>
    <w:p w:rsidR="009B6202" w:rsidRDefault="009B6202" w:rsidP="009B6202">
      <w:pPr>
        <w:tabs>
          <w:tab w:val="left" w:pos="8820"/>
        </w:tabs>
        <w:rPr>
          <w:rFonts w:ascii="Times New Roman" w:hAnsi="Times New Roman"/>
          <w:b/>
          <w:bCs/>
          <w:sz w:val="24"/>
          <w:szCs w:val="24"/>
          <w:lang w:val="en-US"/>
        </w:rPr>
      </w:pPr>
    </w:p>
    <w:p w:rsidR="009B6202" w:rsidRDefault="009B6202" w:rsidP="009B6202">
      <w:pPr>
        <w:tabs>
          <w:tab w:val="left" w:pos="8820"/>
        </w:tabs>
        <w:rPr>
          <w:rFonts w:ascii="Times New Roman" w:hAnsi="Times New Roman"/>
          <w:sz w:val="24"/>
          <w:szCs w:val="24"/>
          <w:lang w:val="en-US"/>
        </w:rPr>
      </w:pPr>
      <w:r w:rsidRPr="00015C34">
        <w:rPr>
          <w:rFonts w:ascii="Times New Roman" w:hAnsi="Times New Roman"/>
          <w:b/>
          <w:bCs/>
          <w:sz w:val="24"/>
          <w:szCs w:val="24"/>
          <w:lang w:val="en-US"/>
        </w:rPr>
        <w:t xml:space="preserve">Laboratory Abnormalities: </w:t>
      </w:r>
      <w:r>
        <w:rPr>
          <w:rFonts w:ascii="Times New Roman" w:hAnsi="Times New Roman"/>
          <w:sz w:val="24"/>
          <w:szCs w:val="24"/>
          <w:lang w:val="en-US"/>
        </w:rPr>
        <w:t xml:space="preserve">A summary of Grade 3 and 4 </w:t>
      </w:r>
      <w:r w:rsidR="002D4159">
        <w:rPr>
          <w:rFonts w:ascii="Times New Roman" w:hAnsi="Times New Roman"/>
          <w:sz w:val="24"/>
          <w:szCs w:val="24"/>
          <w:lang w:val="en-US"/>
        </w:rPr>
        <w:t>labor</w:t>
      </w:r>
      <w:r w:rsidRPr="00015C34">
        <w:rPr>
          <w:rFonts w:ascii="Times New Roman" w:hAnsi="Times New Roman"/>
          <w:sz w:val="24"/>
          <w:szCs w:val="24"/>
          <w:lang w:val="en-US"/>
        </w:rPr>
        <w:t xml:space="preserve">atory abnormalities </w:t>
      </w:r>
      <w:r>
        <w:rPr>
          <w:rFonts w:ascii="Times New Roman" w:hAnsi="Times New Roman"/>
          <w:sz w:val="24"/>
          <w:szCs w:val="24"/>
          <w:lang w:val="en-US"/>
        </w:rPr>
        <w:t>is provided in Table 2</w:t>
      </w:r>
      <w:r w:rsidR="00AB326F">
        <w:rPr>
          <w:rFonts w:ascii="Times New Roman" w:hAnsi="Times New Roman"/>
          <w:sz w:val="24"/>
          <w:szCs w:val="24"/>
          <w:lang w:val="en-US"/>
        </w:rPr>
        <w:t>1</w:t>
      </w:r>
      <w:r>
        <w:rPr>
          <w:rFonts w:ascii="Times New Roman" w:hAnsi="Times New Roman"/>
          <w:sz w:val="24"/>
          <w:szCs w:val="24"/>
          <w:lang w:val="en-US"/>
        </w:rPr>
        <w:t>.</w:t>
      </w:r>
    </w:p>
    <w:p w:rsidR="009B6202" w:rsidRDefault="002F5170" w:rsidP="009B6202">
      <w:pPr>
        <w:tabs>
          <w:tab w:val="left" w:pos="8820"/>
        </w:tabs>
        <w:rPr>
          <w:rFonts w:ascii="Times New Roman" w:hAnsi="Times New Roman"/>
          <w:sz w:val="24"/>
          <w:szCs w:val="24"/>
          <w:lang w:val="en-US"/>
        </w:rPr>
      </w:pPr>
      <w:r>
        <w:rPr>
          <w:rFonts w:ascii="Times New Roman" w:hAnsi="Times New Roman"/>
          <w:sz w:val="24"/>
          <w:szCs w:val="24"/>
          <w:lang w:val="en-US"/>
        </w:rPr>
        <w:br w:type="page"/>
      </w:r>
    </w:p>
    <w:p w:rsidR="009B6202" w:rsidRPr="009E43BB" w:rsidRDefault="009B6202" w:rsidP="009B6202">
      <w:pPr>
        <w:pStyle w:val="Default"/>
        <w:rPr>
          <w:b/>
        </w:rPr>
      </w:pPr>
      <w:r w:rsidRPr="009E43BB">
        <w:rPr>
          <w:b/>
        </w:rPr>
        <w:t>Table 2</w:t>
      </w:r>
      <w:r w:rsidR="0044536D">
        <w:rPr>
          <w:b/>
        </w:rPr>
        <w:t>1</w:t>
      </w:r>
      <w:r w:rsidRPr="009E43BB">
        <w:rPr>
          <w:b/>
        </w:rPr>
        <w:t xml:space="preserve">.        Grade 3/4 Laboratory Abnormalities Reported in ≥1% of VIREAD-Treated </w:t>
      </w:r>
      <w:r w:rsidRPr="009E43BB">
        <w:rPr>
          <w:b/>
        </w:rPr>
        <w:tab/>
      </w:r>
      <w:r w:rsidRPr="009E43BB">
        <w:rPr>
          <w:b/>
        </w:rPr>
        <w:tab/>
      </w:r>
      <w:r w:rsidRPr="009E43BB">
        <w:rPr>
          <w:b/>
        </w:rPr>
        <w:tab/>
        <w:t>Patients in Studies 0102 and 0103 (0-48 weeks)</w:t>
      </w:r>
    </w:p>
    <w:p w:rsidR="009B6202" w:rsidRDefault="009B6202" w:rsidP="009B620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693"/>
        <w:gridCol w:w="2708"/>
      </w:tblGrid>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p>
        </w:tc>
        <w:tc>
          <w:tcPr>
            <w:tcW w:w="2693" w:type="dxa"/>
            <w:shd w:val="clear" w:color="auto" w:fill="auto"/>
          </w:tcPr>
          <w:p w:rsidR="009B6202" w:rsidRPr="007A201D" w:rsidRDefault="009B6202" w:rsidP="007A201D">
            <w:pPr>
              <w:tabs>
                <w:tab w:val="left" w:pos="8820"/>
              </w:tabs>
              <w:jc w:val="center"/>
              <w:rPr>
                <w:rFonts w:ascii="Times New Roman" w:hAnsi="Times New Roman"/>
                <w:b/>
                <w:color w:val="000000"/>
              </w:rPr>
            </w:pPr>
            <w:r w:rsidRPr="007A201D">
              <w:rPr>
                <w:rFonts w:ascii="Times New Roman" w:hAnsi="Times New Roman"/>
                <w:b/>
                <w:color w:val="000000"/>
              </w:rPr>
              <w:t>VIREAD</w:t>
            </w:r>
          </w:p>
          <w:p w:rsidR="009B6202" w:rsidRPr="007A201D" w:rsidRDefault="009B6202" w:rsidP="007A201D">
            <w:pPr>
              <w:tabs>
                <w:tab w:val="left" w:pos="8820"/>
              </w:tabs>
              <w:jc w:val="center"/>
              <w:rPr>
                <w:rFonts w:ascii="Times New Roman" w:hAnsi="Times New Roman"/>
                <w:b/>
                <w:color w:val="000000"/>
              </w:rPr>
            </w:pPr>
            <w:r w:rsidRPr="007A201D">
              <w:rPr>
                <w:rFonts w:ascii="Times New Roman" w:hAnsi="Times New Roman"/>
                <w:b/>
                <w:color w:val="000000"/>
              </w:rPr>
              <w:t>(N=426)</w:t>
            </w:r>
          </w:p>
        </w:tc>
        <w:tc>
          <w:tcPr>
            <w:tcW w:w="2708" w:type="dxa"/>
            <w:shd w:val="clear" w:color="auto" w:fill="auto"/>
          </w:tcPr>
          <w:p w:rsidR="009B6202" w:rsidRPr="007A201D" w:rsidRDefault="009B6202" w:rsidP="007A201D">
            <w:pPr>
              <w:tabs>
                <w:tab w:val="left" w:pos="8820"/>
              </w:tabs>
              <w:jc w:val="center"/>
              <w:rPr>
                <w:rFonts w:ascii="Times New Roman" w:hAnsi="Times New Roman"/>
                <w:b/>
                <w:color w:val="000000"/>
              </w:rPr>
            </w:pPr>
            <w:r w:rsidRPr="007A201D">
              <w:rPr>
                <w:rFonts w:ascii="Times New Roman" w:hAnsi="Times New Roman"/>
                <w:b/>
                <w:color w:val="000000"/>
              </w:rPr>
              <w:t>HEPSERA</w:t>
            </w:r>
          </w:p>
          <w:p w:rsidR="009B6202" w:rsidRPr="007A201D" w:rsidRDefault="009B6202" w:rsidP="007A201D">
            <w:pPr>
              <w:tabs>
                <w:tab w:val="left" w:pos="8820"/>
              </w:tabs>
              <w:jc w:val="center"/>
              <w:rPr>
                <w:rFonts w:ascii="Times New Roman" w:hAnsi="Times New Roman"/>
                <w:b/>
                <w:color w:val="000000"/>
              </w:rPr>
            </w:pPr>
            <w:r w:rsidRPr="007A201D">
              <w:rPr>
                <w:rFonts w:ascii="Times New Roman" w:hAnsi="Times New Roman"/>
                <w:b/>
                <w:color w:val="000000"/>
              </w:rPr>
              <w:t>(N=215)</w:t>
            </w:r>
          </w:p>
        </w:tc>
      </w:tr>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r w:rsidRPr="007A201D">
              <w:rPr>
                <w:rFonts w:ascii="Times New Roman" w:hAnsi="Times New Roman"/>
                <w:color w:val="000000"/>
              </w:rPr>
              <w:t>Any ≥ Grade 3 Laboratory Abnormality</w:t>
            </w:r>
          </w:p>
        </w:tc>
        <w:tc>
          <w:tcPr>
            <w:tcW w:w="2693"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19%</w:t>
            </w:r>
          </w:p>
        </w:tc>
        <w:tc>
          <w:tcPr>
            <w:tcW w:w="2708"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13%</w:t>
            </w:r>
          </w:p>
        </w:tc>
      </w:tr>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r w:rsidRPr="007A201D">
              <w:rPr>
                <w:rFonts w:ascii="Times New Roman" w:hAnsi="Times New Roman"/>
                <w:color w:val="000000"/>
              </w:rPr>
              <w:t>Creatine Kinase (M: &gt;990 U/L; F: &gt;845 U/L)</w:t>
            </w:r>
          </w:p>
        </w:tc>
        <w:tc>
          <w:tcPr>
            <w:tcW w:w="2693"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2%</w:t>
            </w:r>
          </w:p>
        </w:tc>
        <w:tc>
          <w:tcPr>
            <w:tcW w:w="2708"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3%</w:t>
            </w:r>
          </w:p>
        </w:tc>
      </w:tr>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r w:rsidRPr="007A201D">
              <w:rPr>
                <w:rFonts w:ascii="Times New Roman" w:hAnsi="Times New Roman"/>
                <w:color w:val="000000"/>
              </w:rPr>
              <w:t>Serum Kinase (&gt;175 U/L)</w:t>
            </w:r>
          </w:p>
        </w:tc>
        <w:tc>
          <w:tcPr>
            <w:tcW w:w="2693"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4%</w:t>
            </w:r>
          </w:p>
        </w:tc>
        <w:tc>
          <w:tcPr>
            <w:tcW w:w="2708"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1%</w:t>
            </w:r>
          </w:p>
        </w:tc>
      </w:tr>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r w:rsidRPr="007A201D">
              <w:rPr>
                <w:rFonts w:ascii="Times New Roman" w:hAnsi="Times New Roman"/>
                <w:color w:val="000000"/>
              </w:rPr>
              <w:t>Glycosuria (≥ 3+)</w:t>
            </w:r>
          </w:p>
        </w:tc>
        <w:tc>
          <w:tcPr>
            <w:tcW w:w="2693"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3%</w:t>
            </w:r>
          </w:p>
        </w:tc>
        <w:tc>
          <w:tcPr>
            <w:tcW w:w="2708"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&lt; 1%</w:t>
            </w:r>
          </w:p>
        </w:tc>
      </w:tr>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r w:rsidRPr="007A201D">
              <w:rPr>
                <w:rFonts w:ascii="Times New Roman" w:hAnsi="Times New Roman"/>
                <w:color w:val="000000"/>
              </w:rPr>
              <w:t>AST (M: &gt;180 U/L; F: &gt;170 U/L)</w:t>
            </w:r>
          </w:p>
        </w:tc>
        <w:tc>
          <w:tcPr>
            <w:tcW w:w="2693"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4%</w:t>
            </w:r>
          </w:p>
        </w:tc>
        <w:tc>
          <w:tcPr>
            <w:tcW w:w="2708"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4%</w:t>
            </w:r>
          </w:p>
        </w:tc>
      </w:tr>
      <w:tr w:rsidR="009B6202" w:rsidRPr="007A201D" w:rsidTr="007A201D">
        <w:tc>
          <w:tcPr>
            <w:tcW w:w="4219" w:type="dxa"/>
            <w:shd w:val="clear" w:color="auto" w:fill="auto"/>
          </w:tcPr>
          <w:p w:rsidR="009B6202" w:rsidRPr="007A201D" w:rsidRDefault="009B6202" w:rsidP="007A201D">
            <w:pPr>
              <w:tabs>
                <w:tab w:val="left" w:pos="8820"/>
              </w:tabs>
              <w:rPr>
                <w:rFonts w:ascii="Times New Roman" w:hAnsi="Times New Roman"/>
                <w:color w:val="000000"/>
              </w:rPr>
            </w:pPr>
            <w:r w:rsidRPr="007A201D">
              <w:rPr>
                <w:rFonts w:ascii="Times New Roman" w:hAnsi="Times New Roman"/>
                <w:color w:val="000000"/>
              </w:rPr>
              <w:t>ALT (M: &gt;215 U/L; F: &gt;170 U/L)</w:t>
            </w:r>
          </w:p>
        </w:tc>
        <w:tc>
          <w:tcPr>
            <w:tcW w:w="2693"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10%</w:t>
            </w:r>
          </w:p>
        </w:tc>
        <w:tc>
          <w:tcPr>
            <w:tcW w:w="2708" w:type="dxa"/>
            <w:shd w:val="clear" w:color="auto" w:fill="auto"/>
          </w:tcPr>
          <w:p w:rsidR="009B6202" w:rsidRPr="007A201D" w:rsidRDefault="009B6202" w:rsidP="007A201D">
            <w:pPr>
              <w:tabs>
                <w:tab w:val="left" w:pos="8820"/>
              </w:tabs>
              <w:jc w:val="center"/>
              <w:rPr>
                <w:rFonts w:ascii="Times New Roman" w:hAnsi="Times New Roman"/>
                <w:color w:val="000000"/>
              </w:rPr>
            </w:pPr>
            <w:r w:rsidRPr="007A201D">
              <w:rPr>
                <w:rFonts w:ascii="Times New Roman" w:hAnsi="Times New Roman"/>
                <w:color w:val="000000"/>
              </w:rPr>
              <w:t>6%</w:t>
            </w:r>
          </w:p>
        </w:tc>
      </w:tr>
    </w:tbl>
    <w:p w:rsidR="009B6202" w:rsidRDefault="009B6202" w:rsidP="009B6202">
      <w:pPr>
        <w:tabs>
          <w:tab w:val="left" w:pos="8820"/>
        </w:tabs>
        <w:rPr>
          <w:rFonts w:ascii="Times New Roman" w:hAnsi="Times New Roman"/>
          <w:color w:val="000000"/>
          <w:sz w:val="24"/>
          <w:szCs w:val="24"/>
        </w:rPr>
      </w:pPr>
    </w:p>
    <w:p w:rsidR="008D68BA" w:rsidRDefault="008D68BA" w:rsidP="008D68BA">
      <w:pPr>
        <w:tabs>
          <w:tab w:val="left" w:pos="8820"/>
        </w:tabs>
        <w:rPr>
          <w:rFonts w:ascii="Times New Roman" w:hAnsi="Times New Roman"/>
          <w:color w:val="000000"/>
          <w:sz w:val="24"/>
          <w:szCs w:val="24"/>
        </w:rPr>
      </w:pPr>
      <w:r w:rsidRPr="00701AC5">
        <w:rPr>
          <w:rFonts w:ascii="Times New Roman" w:hAnsi="Times New Roman"/>
          <w:i/>
          <w:sz w:val="24"/>
          <w:szCs w:val="24"/>
        </w:rPr>
        <w:t xml:space="preserve">Treatment beyond 48 weeks: </w:t>
      </w:r>
      <w:r>
        <w:rPr>
          <w:rFonts w:ascii="Times New Roman" w:hAnsi="Times New Roman"/>
          <w:sz w:val="24"/>
          <w:szCs w:val="24"/>
        </w:rPr>
        <w:t xml:space="preserve">The adverse reactions observed with continued treatment for </w:t>
      </w:r>
      <w:r w:rsidR="00A678F0">
        <w:rPr>
          <w:rFonts w:ascii="Times New Roman" w:hAnsi="Times New Roman"/>
          <w:sz w:val="24"/>
          <w:szCs w:val="24"/>
        </w:rPr>
        <w:t>240</w:t>
      </w:r>
      <w:r>
        <w:rPr>
          <w:rFonts w:ascii="Times New Roman" w:hAnsi="Times New Roman"/>
          <w:sz w:val="24"/>
          <w:szCs w:val="24"/>
        </w:rPr>
        <w:t xml:space="preserve"> weeks were consistent with the safety profile of VIREAD.  </w:t>
      </w:r>
      <w:r w:rsidRPr="00701AC5">
        <w:rPr>
          <w:rFonts w:ascii="Times New Roman" w:hAnsi="Times New Roman"/>
          <w:i/>
          <w:sz w:val="24"/>
          <w:szCs w:val="24"/>
        </w:rPr>
        <w:t xml:space="preserve"> </w:t>
      </w:r>
      <w:r>
        <w:rPr>
          <w:rFonts w:ascii="Times New Roman" w:hAnsi="Times New Roman"/>
          <w:color w:val="000000"/>
          <w:sz w:val="24"/>
          <w:szCs w:val="24"/>
        </w:rPr>
        <w:t xml:space="preserve">Grade 3/4 laboratory abnormalities were similar in nature and frequency in patients continuing treatment for up to </w:t>
      </w:r>
      <w:r w:rsidR="00AB326F">
        <w:rPr>
          <w:rFonts w:ascii="Times New Roman" w:hAnsi="Times New Roman"/>
          <w:color w:val="000000"/>
          <w:sz w:val="24"/>
          <w:szCs w:val="24"/>
        </w:rPr>
        <w:t>240</w:t>
      </w:r>
      <w:r>
        <w:rPr>
          <w:rFonts w:ascii="Times New Roman" w:hAnsi="Times New Roman"/>
          <w:color w:val="000000"/>
          <w:sz w:val="24"/>
          <w:szCs w:val="24"/>
        </w:rPr>
        <w:t xml:space="preserve"> weeks in these studies.</w:t>
      </w:r>
    </w:p>
    <w:p w:rsidR="000520F4" w:rsidRDefault="000520F4" w:rsidP="000520F4">
      <w:pPr>
        <w:rPr>
          <w:rFonts w:ascii="Times New Roman" w:hAnsi="Times New Roman"/>
          <w:color w:val="FF0000"/>
          <w:sz w:val="22"/>
          <w:szCs w:val="22"/>
        </w:rPr>
      </w:pPr>
    </w:p>
    <w:p w:rsidR="000520F4" w:rsidRPr="00E73026" w:rsidRDefault="000520F4" w:rsidP="000520F4">
      <w:pPr>
        <w:tabs>
          <w:tab w:val="left" w:pos="8820"/>
        </w:tabs>
        <w:jc w:val="both"/>
        <w:rPr>
          <w:rFonts w:ascii="Times New Roman" w:hAnsi="Times New Roman"/>
          <w:color w:val="000000"/>
          <w:sz w:val="24"/>
          <w:szCs w:val="24"/>
        </w:rPr>
      </w:pPr>
      <w:r w:rsidRPr="00E73026">
        <w:rPr>
          <w:rFonts w:ascii="Times New Roman" w:hAnsi="Times New Roman"/>
          <w:i/>
          <w:color w:val="000000"/>
          <w:sz w:val="24"/>
          <w:szCs w:val="24"/>
        </w:rPr>
        <w:t xml:space="preserve">Nucleoside-Experienced Patients: </w:t>
      </w:r>
      <w:r w:rsidRPr="00E73026">
        <w:rPr>
          <w:rFonts w:ascii="Times New Roman" w:hAnsi="Times New Roman"/>
          <w:color w:val="000000"/>
          <w:sz w:val="24"/>
          <w:szCs w:val="24"/>
        </w:rPr>
        <w:t xml:space="preserve">No new adverse reactions to </w:t>
      </w:r>
      <w:r w:rsidR="00D6347A">
        <w:rPr>
          <w:rFonts w:ascii="Times New Roman" w:hAnsi="Times New Roman"/>
          <w:color w:val="000000"/>
          <w:sz w:val="24"/>
          <w:szCs w:val="24"/>
        </w:rPr>
        <w:t>VIREAD</w:t>
      </w:r>
      <w:r w:rsidRPr="00E73026">
        <w:rPr>
          <w:rFonts w:ascii="Times New Roman" w:hAnsi="Times New Roman"/>
          <w:color w:val="000000"/>
          <w:sz w:val="24"/>
          <w:szCs w:val="24"/>
        </w:rPr>
        <w:t xml:space="preserve"> were identified </w:t>
      </w:r>
      <w:r w:rsidR="00E73026" w:rsidRPr="00E73026">
        <w:rPr>
          <w:rFonts w:ascii="Times New Roman" w:hAnsi="Times New Roman"/>
          <w:color w:val="000000"/>
          <w:sz w:val="24"/>
          <w:szCs w:val="24"/>
        </w:rPr>
        <w:t xml:space="preserve">in </w:t>
      </w:r>
      <w:r w:rsidR="00D6347A">
        <w:rPr>
          <w:rFonts w:ascii="Times New Roman" w:hAnsi="Times New Roman"/>
          <w:color w:val="000000"/>
          <w:sz w:val="24"/>
          <w:szCs w:val="24"/>
        </w:rPr>
        <w:t>t</w:t>
      </w:r>
      <w:r w:rsidR="00E73026" w:rsidRPr="00E73026">
        <w:rPr>
          <w:rFonts w:ascii="Times New Roman" w:hAnsi="Times New Roman"/>
          <w:color w:val="000000"/>
          <w:sz w:val="24"/>
          <w:szCs w:val="24"/>
        </w:rPr>
        <w:t xml:space="preserve">hose patients in studies 0102, 0103 and 0106 who had been previously treated with HEPSERA, lamivudine or other nucleoside analogs (n=352). </w:t>
      </w:r>
    </w:p>
    <w:p w:rsidR="000520F4" w:rsidRDefault="000520F4" w:rsidP="00684243">
      <w:pPr>
        <w:tabs>
          <w:tab w:val="left" w:pos="8820"/>
        </w:tabs>
        <w:rPr>
          <w:rFonts w:ascii="Times New Roman" w:hAnsi="Times New Roman"/>
          <w:color w:val="000000"/>
          <w:sz w:val="24"/>
          <w:szCs w:val="24"/>
        </w:rPr>
      </w:pPr>
    </w:p>
    <w:p w:rsidR="005553C0" w:rsidRPr="005553C0" w:rsidRDefault="008B02E0" w:rsidP="005553C0">
      <w:pPr>
        <w:pStyle w:val="Default"/>
        <w:spacing w:before="120"/>
        <w:jc w:val="both"/>
        <w:rPr>
          <w:lang w:val="en-AU" w:eastAsia="en-AU"/>
        </w:rPr>
      </w:pPr>
      <w:r>
        <w:rPr>
          <w:i/>
        </w:rPr>
        <w:t xml:space="preserve">Patients with Decompensated Liver Disease:  </w:t>
      </w:r>
      <w:r w:rsidRPr="008B02E0">
        <w:t xml:space="preserve">No new </w:t>
      </w:r>
      <w:r>
        <w:t>adverse reactions to VIREAD were identified from a double-blind active-controlled study (0108) in which patients with decompensated liver disease received treatment with VIREAD (n=45)</w:t>
      </w:r>
      <w:r w:rsidR="00455C4A">
        <w:t xml:space="preserve"> for 48 weeks</w:t>
      </w:r>
      <w:r w:rsidRPr="005553C0">
        <w:t>.</w:t>
      </w:r>
      <w:r w:rsidR="005553C0" w:rsidRPr="005553C0">
        <w:t xml:space="preserve"> </w:t>
      </w:r>
      <w:r w:rsidR="005553C0" w:rsidRPr="005553C0">
        <w:rPr>
          <w:lang w:val="en-AU" w:eastAsia="en-AU"/>
        </w:rPr>
        <w:t xml:space="preserve">Among the 45 subjects receiving VIREAD, the most frequently reported treatment-emergent adverse reactions of any severity were abdominal pain (22%), nausea (20%), insomnia (18%), pruritus (16%), vomiting (13%), dizziness (13%), and pyrexia (11%). Two of 45 (4%) subjects died through Week 48 of the study due to progression of liver disease. Three of 45 (7%) subjects discontinued treatment due to an adverse event. Four of 45 (9%) subjects experienced a confirmed increase in serum creatinine of 0.5 mg/dL (1 subject also had a confirmed serum phosphorus &lt; 2mg/dL through Week 48). Three of these subjects (each of whom had a Child-Pugh score ≥ 10 and MELD score ≥ 14 at entry) developed renal failure. Because both VIREAD and decompensated liver disease may have an impact on renal function, the contribution of VIREAD to renal impairment in this population is difficult to ascertain. </w:t>
      </w:r>
    </w:p>
    <w:p w:rsidR="005553C0" w:rsidRPr="005553C0" w:rsidRDefault="005553C0" w:rsidP="005553C0">
      <w:pPr>
        <w:autoSpaceDE w:val="0"/>
        <w:autoSpaceDN w:val="0"/>
        <w:adjustRightInd w:val="0"/>
        <w:spacing w:before="120"/>
        <w:jc w:val="both"/>
        <w:rPr>
          <w:rFonts w:ascii="Times New Roman" w:hAnsi="Times New Roman"/>
          <w:color w:val="000000"/>
          <w:sz w:val="24"/>
          <w:szCs w:val="24"/>
          <w:lang w:eastAsia="en-AU"/>
        </w:rPr>
      </w:pPr>
      <w:r w:rsidRPr="005553C0">
        <w:rPr>
          <w:rFonts w:ascii="Times New Roman" w:hAnsi="Times New Roman"/>
          <w:color w:val="000000"/>
          <w:sz w:val="24"/>
          <w:szCs w:val="24"/>
          <w:lang w:eastAsia="en-AU"/>
        </w:rPr>
        <w:t xml:space="preserve">One of 45 subjects experienced an on-treatment hepatic flare during the 48 Week study. </w:t>
      </w:r>
    </w:p>
    <w:p w:rsidR="008B02E0" w:rsidRDefault="008B02E0" w:rsidP="00D92EAF">
      <w:pPr>
        <w:tabs>
          <w:tab w:val="left" w:pos="9356"/>
        </w:tabs>
        <w:jc w:val="both"/>
        <w:rPr>
          <w:rFonts w:ascii="Times New Roman" w:hAnsi="Times New Roman"/>
          <w:color w:val="000000"/>
          <w:sz w:val="24"/>
          <w:szCs w:val="24"/>
        </w:rPr>
      </w:pPr>
    </w:p>
    <w:p w:rsidR="00BF5DD6" w:rsidRDefault="00BF5DD6" w:rsidP="00BF5DD6">
      <w:pPr>
        <w:jc w:val="both"/>
        <w:rPr>
          <w:rFonts w:ascii="Times New Roman" w:hAnsi="Times New Roman"/>
          <w:b/>
          <w:i/>
          <w:color w:val="000000"/>
          <w:sz w:val="24"/>
          <w:szCs w:val="24"/>
        </w:rPr>
      </w:pPr>
      <w:r>
        <w:rPr>
          <w:rFonts w:ascii="Times New Roman" w:hAnsi="Times New Roman"/>
          <w:b/>
          <w:i/>
          <w:color w:val="000000"/>
          <w:sz w:val="24"/>
          <w:szCs w:val="24"/>
        </w:rPr>
        <w:t>Clinical Trials in Paediatric Patients 12 Years of Age and Older with HBV Infection:</w:t>
      </w:r>
    </w:p>
    <w:p w:rsidR="00BF5DD6" w:rsidRDefault="00BF5DD6" w:rsidP="00BF5DD6">
      <w:pPr>
        <w:jc w:val="both"/>
        <w:rPr>
          <w:rFonts w:ascii="Times New Roman" w:hAnsi="Times New Roman"/>
          <w:b/>
          <w:i/>
          <w:color w:val="000000"/>
          <w:sz w:val="24"/>
          <w:szCs w:val="24"/>
        </w:rPr>
      </w:pPr>
    </w:p>
    <w:p w:rsidR="00BF5DD6" w:rsidRDefault="00BF5DD6" w:rsidP="00BF5DD6">
      <w:pPr>
        <w:jc w:val="both"/>
        <w:rPr>
          <w:rFonts w:ascii="Times New Roman" w:hAnsi="Times New Roman"/>
          <w:color w:val="000000"/>
          <w:sz w:val="24"/>
          <w:szCs w:val="24"/>
        </w:rPr>
      </w:pPr>
      <w:r>
        <w:rPr>
          <w:rFonts w:ascii="Times New Roman" w:hAnsi="Times New Roman"/>
          <w:color w:val="000000"/>
          <w:sz w:val="24"/>
          <w:szCs w:val="24"/>
        </w:rPr>
        <w:t xml:space="preserve">Assessment of adverse reactions is based on one randomised study (study 0115) in 106 paediatric patients (12 to &lt; 18 years of age) infected with chronic hepatitis B receiving treatment with VIREAD (n=52) or placebo (n=54) for 72 weeks. The adverse reactions observed in paediatric patients who received treatment with VIREAD were consistent with those observed in clinical studies in adults (see ADVERSE REACTIONS). </w:t>
      </w:r>
    </w:p>
    <w:p w:rsidR="00BF5DD6" w:rsidRPr="008B02E0" w:rsidRDefault="00BF5DD6" w:rsidP="00D92EAF">
      <w:pPr>
        <w:tabs>
          <w:tab w:val="left" w:pos="9356"/>
        </w:tabs>
        <w:jc w:val="both"/>
        <w:rPr>
          <w:rFonts w:ascii="Times New Roman" w:hAnsi="Times New Roman"/>
          <w:color w:val="000000"/>
          <w:sz w:val="24"/>
          <w:szCs w:val="24"/>
        </w:rPr>
      </w:pPr>
    </w:p>
    <w:p w:rsidR="008F07F8" w:rsidRPr="00015C34" w:rsidRDefault="008F07F8" w:rsidP="008B02E0">
      <w:pPr>
        <w:pStyle w:val="BodyText3"/>
        <w:tabs>
          <w:tab w:val="left" w:pos="9356"/>
        </w:tabs>
        <w:rPr>
          <w:color w:val="000000"/>
          <w:sz w:val="24"/>
          <w:szCs w:val="24"/>
          <w:u w:val="single"/>
          <w:lang w:val="en-AU"/>
        </w:rPr>
      </w:pPr>
    </w:p>
    <w:p w:rsidR="007F553A" w:rsidRPr="00015C34" w:rsidRDefault="007F553A" w:rsidP="00EB4111">
      <w:pPr>
        <w:pStyle w:val="BodyText3"/>
        <w:rPr>
          <w:color w:val="000000"/>
          <w:sz w:val="24"/>
          <w:szCs w:val="24"/>
          <w:u w:val="single"/>
          <w:lang w:val="en-AU"/>
        </w:rPr>
      </w:pPr>
      <w:r w:rsidRPr="00015C34">
        <w:rPr>
          <w:color w:val="000000"/>
          <w:sz w:val="24"/>
          <w:szCs w:val="24"/>
          <w:u w:val="single"/>
          <w:lang w:val="en-AU"/>
        </w:rPr>
        <w:lastRenderedPageBreak/>
        <w:t xml:space="preserve">Post Marketing </w:t>
      </w:r>
      <w:r w:rsidR="00684243" w:rsidRPr="00015C34">
        <w:rPr>
          <w:color w:val="000000"/>
          <w:sz w:val="24"/>
          <w:szCs w:val="24"/>
          <w:u w:val="single"/>
          <w:lang w:val="en-AU"/>
        </w:rPr>
        <w:t>Experience</w:t>
      </w:r>
    </w:p>
    <w:p w:rsidR="00EB4111" w:rsidRPr="00015C34" w:rsidRDefault="00EB4111" w:rsidP="00EB4111">
      <w:pPr>
        <w:pStyle w:val="BodyText3"/>
        <w:rPr>
          <w:color w:val="000000"/>
          <w:sz w:val="24"/>
          <w:szCs w:val="24"/>
          <w:u w:val="single"/>
          <w:lang w:val="en-AU"/>
        </w:rPr>
      </w:pPr>
    </w:p>
    <w:p w:rsidR="00585DAE" w:rsidRPr="00015C34" w:rsidRDefault="00585DAE" w:rsidP="00EB4111">
      <w:pPr>
        <w:pStyle w:val="TOCHeadings"/>
        <w:widowControl/>
        <w:tabs>
          <w:tab w:val="left" w:pos="720"/>
        </w:tabs>
        <w:spacing w:before="0" w:after="0"/>
        <w:jc w:val="both"/>
        <w:rPr>
          <w:rFonts w:ascii="Times New Roman" w:hAnsi="Times New Roman"/>
          <w:b w:val="0"/>
          <w:color w:val="000000"/>
          <w:sz w:val="24"/>
          <w:szCs w:val="24"/>
          <w:lang w:val="en-AU"/>
        </w:rPr>
      </w:pPr>
      <w:r w:rsidRPr="00015C34">
        <w:rPr>
          <w:rFonts w:ascii="Times New Roman" w:hAnsi="Times New Roman"/>
          <w:b w:val="0"/>
          <w:sz w:val="24"/>
          <w:szCs w:val="24"/>
          <w:lang w:val="en-AU"/>
        </w:rPr>
        <w:t xml:space="preserve">In addition to adverse events reported from clinical trials, the following events have been identified during post-approval use of VIREAD.  </w:t>
      </w:r>
      <w:r w:rsidR="00684243" w:rsidRPr="00015C34">
        <w:rPr>
          <w:rFonts w:ascii="Times New Roman" w:hAnsi="Times New Roman"/>
          <w:b w:val="0"/>
          <w:color w:val="000000"/>
          <w:sz w:val="24"/>
          <w:szCs w:val="24"/>
          <w:lang w:val="en-AU"/>
        </w:rPr>
        <w:t>Because these events have been reported voluntarily from a population of unknown size, estimates of frequency cannot be made.</w:t>
      </w:r>
    </w:p>
    <w:p w:rsidR="00EB4111" w:rsidRPr="00015C34" w:rsidRDefault="00EB4111" w:rsidP="00EB4111">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IMMUNE SYSTEM DISORDERS</w:t>
      </w: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Allergic reaction</w:t>
      </w:r>
      <w:r w:rsidR="009F778E">
        <w:rPr>
          <w:rFonts w:ascii="Times New Roman" w:hAnsi="Times New Roman"/>
          <w:snapToGrid w:val="0"/>
          <w:color w:val="000000"/>
          <w:sz w:val="24"/>
          <w:szCs w:val="24"/>
        </w:rPr>
        <w:t xml:space="preserve"> (including angioedema)</w:t>
      </w:r>
    </w:p>
    <w:p w:rsidR="006E5441" w:rsidRPr="00015C34" w:rsidRDefault="006E5441" w:rsidP="00EB4111">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METABOLISM AND NUTRITION DISORDERS</w:t>
      </w:r>
    </w:p>
    <w:p w:rsidR="006E5441" w:rsidRPr="00015C34" w:rsidRDefault="00015C34" w:rsidP="00EB4111">
      <w:pPr>
        <w:jc w:val="both"/>
        <w:rPr>
          <w:rFonts w:ascii="Times New Roman" w:hAnsi="Times New Roman"/>
          <w:snapToGrid w:val="0"/>
          <w:color w:val="000000"/>
          <w:sz w:val="24"/>
          <w:szCs w:val="24"/>
        </w:rPr>
      </w:pPr>
      <w:r w:rsidRPr="00015C34">
        <w:rPr>
          <w:rFonts w:ascii="Times New Roman" w:hAnsi="Times New Roman"/>
          <w:snapToGrid w:val="0"/>
          <w:sz w:val="24"/>
          <w:szCs w:val="24"/>
        </w:rPr>
        <w:t>Hypokalaemia, h</w:t>
      </w:r>
      <w:r w:rsidR="006E5441" w:rsidRPr="00015C34">
        <w:rPr>
          <w:rFonts w:ascii="Times New Roman" w:hAnsi="Times New Roman"/>
          <w:snapToGrid w:val="0"/>
          <w:color w:val="000000"/>
          <w:sz w:val="24"/>
          <w:szCs w:val="24"/>
        </w:rPr>
        <w:t>ypophosphat</w:t>
      </w:r>
      <w:r w:rsidR="0065646C" w:rsidRPr="00015C34">
        <w:rPr>
          <w:rFonts w:ascii="Times New Roman" w:hAnsi="Times New Roman"/>
          <w:snapToGrid w:val="0"/>
          <w:color w:val="000000"/>
          <w:sz w:val="24"/>
          <w:szCs w:val="24"/>
        </w:rPr>
        <w:t>a</w:t>
      </w:r>
      <w:r w:rsidR="006E5441" w:rsidRPr="00015C34">
        <w:rPr>
          <w:rFonts w:ascii="Times New Roman" w:hAnsi="Times New Roman"/>
          <w:snapToGrid w:val="0"/>
          <w:color w:val="000000"/>
          <w:sz w:val="24"/>
          <w:szCs w:val="24"/>
        </w:rPr>
        <w:t>emia, lactic acidosis</w:t>
      </w:r>
    </w:p>
    <w:p w:rsidR="006E5441" w:rsidRPr="00015C34" w:rsidRDefault="006E5441" w:rsidP="00EB4111">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RESPIRATORY, THORACIC, AND MEDIASTINAL DISORDERS</w:t>
      </w: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Dyspn</w:t>
      </w:r>
      <w:r w:rsidR="0065646C" w:rsidRPr="00015C34">
        <w:rPr>
          <w:rFonts w:ascii="Times New Roman" w:hAnsi="Times New Roman"/>
          <w:snapToGrid w:val="0"/>
          <w:color w:val="000000"/>
          <w:sz w:val="24"/>
          <w:szCs w:val="24"/>
        </w:rPr>
        <w:t>o</w:t>
      </w:r>
      <w:r w:rsidRPr="00015C34">
        <w:rPr>
          <w:rFonts w:ascii="Times New Roman" w:hAnsi="Times New Roman"/>
          <w:snapToGrid w:val="0"/>
          <w:color w:val="000000"/>
          <w:sz w:val="24"/>
          <w:szCs w:val="24"/>
        </w:rPr>
        <w:t>ea</w:t>
      </w:r>
    </w:p>
    <w:p w:rsidR="006E5441" w:rsidRPr="00015C34" w:rsidRDefault="006E5441" w:rsidP="00EB4111">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GASTROINTESTINAL DISORDERS</w:t>
      </w:r>
    </w:p>
    <w:p w:rsidR="006E5441" w:rsidRPr="00015C34" w:rsidRDefault="006E5441" w:rsidP="00EB4111">
      <w:pPr>
        <w:jc w:val="both"/>
        <w:rPr>
          <w:rFonts w:ascii="Times New Roman" w:hAnsi="Times New Roman"/>
          <w:strike/>
          <w:snapToGrid w:val="0"/>
          <w:sz w:val="24"/>
          <w:szCs w:val="24"/>
          <w:highlight w:val="yellow"/>
        </w:rPr>
      </w:pPr>
      <w:r w:rsidRPr="00015C34">
        <w:rPr>
          <w:rFonts w:ascii="Times New Roman" w:hAnsi="Times New Roman"/>
          <w:snapToGrid w:val="0"/>
          <w:color w:val="000000"/>
          <w:sz w:val="24"/>
          <w:szCs w:val="24"/>
        </w:rPr>
        <w:t>Increased amylase, abdominal pain, pancreatitis</w:t>
      </w:r>
      <w:r w:rsidRPr="00015C34">
        <w:rPr>
          <w:rFonts w:ascii="Times New Roman" w:hAnsi="Times New Roman"/>
          <w:snapToGrid w:val="0"/>
          <w:sz w:val="24"/>
          <w:szCs w:val="24"/>
        </w:rPr>
        <w:t xml:space="preserve">, </w:t>
      </w:r>
    </w:p>
    <w:p w:rsidR="006E5441" w:rsidRPr="00015C34" w:rsidRDefault="006E5441" w:rsidP="00EB4111">
      <w:pPr>
        <w:jc w:val="both"/>
        <w:rPr>
          <w:rFonts w:ascii="Times New Roman" w:hAnsi="Times New Roman"/>
          <w:strike/>
          <w:snapToGrid w:val="0"/>
          <w:sz w:val="24"/>
          <w:szCs w:val="24"/>
          <w:highlight w:val="yellow"/>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sz w:val="24"/>
          <w:szCs w:val="24"/>
        </w:rPr>
        <w:t>HEPATOBILIARY</w:t>
      </w:r>
      <w:r w:rsidRPr="00015C34">
        <w:rPr>
          <w:rFonts w:ascii="Times New Roman" w:hAnsi="Times New Roman"/>
          <w:snapToGrid w:val="0"/>
          <w:color w:val="000000"/>
          <w:sz w:val="24"/>
          <w:szCs w:val="24"/>
        </w:rPr>
        <w:t xml:space="preserve"> DISORDERS</w:t>
      </w:r>
    </w:p>
    <w:p w:rsidR="006E5441" w:rsidRPr="00015C34" w:rsidRDefault="00015C34" w:rsidP="00EB4111">
      <w:pPr>
        <w:jc w:val="both"/>
        <w:rPr>
          <w:rFonts w:ascii="Times New Roman" w:hAnsi="Times New Roman"/>
          <w:snapToGrid w:val="0"/>
          <w:color w:val="000000"/>
          <w:sz w:val="24"/>
          <w:szCs w:val="24"/>
        </w:rPr>
      </w:pPr>
      <w:r w:rsidRPr="00015C34">
        <w:rPr>
          <w:rFonts w:ascii="Times New Roman" w:hAnsi="Times New Roman"/>
          <w:snapToGrid w:val="0"/>
          <w:sz w:val="24"/>
          <w:szCs w:val="24"/>
        </w:rPr>
        <w:t>Hepatic steatosis,</w:t>
      </w:r>
      <w:r w:rsidRPr="00015C34">
        <w:rPr>
          <w:rFonts w:ascii="Times New Roman" w:hAnsi="Times New Roman"/>
          <w:snapToGrid w:val="0"/>
          <w:color w:val="000000"/>
          <w:sz w:val="24"/>
          <w:szCs w:val="24"/>
        </w:rPr>
        <w:t xml:space="preserve"> i</w:t>
      </w:r>
      <w:r w:rsidR="006E5441" w:rsidRPr="00015C34">
        <w:rPr>
          <w:rFonts w:ascii="Times New Roman" w:hAnsi="Times New Roman"/>
          <w:snapToGrid w:val="0"/>
          <w:color w:val="000000"/>
          <w:sz w:val="24"/>
          <w:szCs w:val="24"/>
        </w:rPr>
        <w:t xml:space="preserve">ncreased liver enzymes (most commonly </w:t>
      </w:r>
      <w:r w:rsidR="006E5441" w:rsidRPr="00015C34">
        <w:rPr>
          <w:rFonts w:ascii="Times New Roman" w:hAnsi="Times New Roman"/>
          <w:snapToGrid w:val="0"/>
          <w:sz w:val="24"/>
          <w:szCs w:val="24"/>
        </w:rPr>
        <w:t>AST, ALT, gamma GT)</w:t>
      </w:r>
      <w:r w:rsidR="006E5441" w:rsidRPr="00015C34">
        <w:rPr>
          <w:rFonts w:ascii="Times New Roman" w:hAnsi="Times New Roman"/>
          <w:snapToGrid w:val="0"/>
          <w:color w:val="000000"/>
          <w:sz w:val="24"/>
          <w:szCs w:val="24"/>
        </w:rPr>
        <w:t>, hepatitis</w:t>
      </w:r>
    </w:p>
    <w:p w:rsidR="00EB4111" w:rsidRPr="00015C34" w:rsidRDefault="00EB4111" w:rsidP="00EB4111">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SKIN AND SUBCUTANEOUS TISSUE DISORDERS</w:t>
      </w: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Rash</w:t>
      </w:r>
    </w:p>
    <w:p w:rsidR="008C3145" w:rsidRPr="00015C34" w:rsidRDefault="008C3145" w:rsidP="008C3145">
      <w:pPr>
        <w:jc w:val="both"/>
        <w:rPr>
          <w:rFonts w:ascii="Times New Roman" w:hAnsi="Times New Roman"/>
          <w:snapToGrid w:val="0"/>
          <w:color w:val="000000"/>
          <w:sz w:val="24"/>
          <w:szCs w:val="24"/>
        </w:rPr>
      </w:pPr>
    </w:p>
    <w:p w:rsidR="008C3145" w:rsidRPr="00015C34" w:rsidRDefault="008C3145" w:rsidP="008C3145">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MUSCULOSKELETAL AND CONNECTIVE TISSUE DISORDERS</w:t>
      </w:r>
    </w:p>
    <w:p w:rsidR="006E5441" w:rsidRPr="00015C34" w:rsidRDefault="00015C34" w:rsidP="008C3145">
      <w:pPr>
        <w:jc w:val="both"/>
        <w:rPr>
          <w:rFonts w:ascii="Times New Roman" w:hAnsi="Times New Roman"/>
          <w:snapToGrid w:val="0"/>
          <w:color w:val="000000"/>
          <w:sz w:val="24"/>
          <w:szCs w:val="24"/>
        </w:rPr>
      </w:pPr>
      <w:r w:rsidRPr="00015C34">
        <w:rPr>
          <w:rFonts w:ascii="Times New Roman" w:hAnsi="Times New Roman"/>
          <w:snapToGrid w:val="0"/>
          <w:sz w:val="24"/>
          <w:szCs w:val="24"/>
        </w:rPr>
        <w:t>Rhabdomyolysis, muscular weakness, m</w:t>
      </w:r>
      <w:r w:rsidR="008C3145" w:rsidRPr="00015C34">
        <w:rPr>
          <w:rFonts w:ascii="Times New Roman" w:hAnsi="Times New Roman"/>
          <w:snapToGrid w:val="0"/>
          <w:color w:val="000000"/>
          <w:sz w:val="24"/>
          <w:szCs w:val="24"/>
        </w:rPr>
        <w:t>yopathy, osteomalacia (</w:t>
      </w:r>
      <w:r w:rsidRPr="00015C34">
        <w:rPr>
          <w:rFonts w:ascii="Times New Roman" w:hAnsi="Times New Roman"/>
          <w:snapToGrid w:val="0"/>
          <w:sz w:val="24"/>
          <w:szCs w:val="24"/>
        </w:rPr>
        <w:t>manifested as bone pain and infrequently contributing to fractures</w:t>
      </w:r>
      <w:r w:rsidR="008C3145" w:rsidRPr="00015C34">
        <w:rPr>
          <w:rFonts w:ascii="Times New Roman" w:hAnsi="Times New Roman"/>
          <w:snapToGrid w:val="0"/>
          <w:color w:val="000000"/>
          <w:sz w:val="24"/>
          <w:szCs w:val="24"/>
        </w:rPr>
        <w:t>)</w:t>
      </w:r>
    </w:p>
    <w:p w:rsidR="008C3145" w:rsidRPr="00015C34" w:rsidRDefault="008C3145" w:rsidP="008C3145">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u w:val="single"/>
        </w:rPr>
      </w:pPr>
      <w:r w:rsidRPr="00015C34">
        <w:rPr>
          <w:rFonts w:ascii="Times New Roman" w:hAnsi="Times New Roman"/>
          <w:snapToGrid w:val="0"/>
          <w:color w:val="000000"/>
          <w:sz w:val="24"/>
          <w:szCs w:val="24"/>
        </w:rPr>
        <w:t>RENAL AND URINARY DISORDERS</w:t>
      </w:r>
    </w:p>
    <w:p w:rsidR="006E5441" w:rsidRPr="00015C34" w:rsidRDefault="006E5441" w:rsidP="00EB4111">
      <w:pPr>
        <w:jc w:val="both"/>
        <w:rPr>
          <w:rFonts w:ascii="Times New Roman" w:hAnsi="Times New Roman"/>
          <w:snapToGrid w:val="0"/>
          <w:sz w:val="24"/>
          <w:szCs w:val="24"/>
        </w:rPr>
      </w:pPr>
      <w:r w:rsidRPr="00015C34">
        <w:rPr>
          <w:rFonts w:ascii="Times New Roman" w:hAnsi="Times New Roman"/>
          <w:snapToGrid w:val="0"/>
          <w:color w:val="000000"/>
          <w:sz w:val="24"/>
          <w:szCs w:val="24"/>
        </w:rPr>
        <w:t xml:space="preserve">Increased creatinine, renal insufficiency, renal failure, acute renal failure, Fanconi syndrome, proximal </w:t>
      </w:r>
      <w:r w:rsidR="00015C34" w:rsidRPr="00015C34">
        <w:rPr>
          <w:rFonts w:ascii="Times New Roman" w:hAnsi="Times New Roman"/>
          <w:snapToGrid w:val="0"/>
          <w:color w:val="000000"/>
          <w:sz w:val="24"/>
          <w:szCs w:val="24"/>
        </w:rPr>
        <w:t xml:space="preserve">renal </w:t>
      </w:r>
      <w:r w:rsidRPr="00015C34">
        <w:rPr>
          <w:rFonts w:ascii="Times New Roman" w:hAnsi="Times New Roman"/>
          <w:snapToGrid w:val="0"/>
          <w:color w:val="000000"/>
          <w:sz w:val="24"/>
          <w:szCs w:val="24"/>
        </w:rPr>
        <w:t xml:space="preserve">tubulopathy, </w:t>
      </w:r>
      <w:r w:rsidR="00367A0B" w:rsidRPr="00015C34">
        <w:rPr>
          <w:rFonts w:ascii="Times New Roman" w:hAnsi="Times New Roman"/>
          <w:snapToGrid w:val="0"/>
          <w:color w:val="000000"/>
          <w:sz w:val="24"/>
          <w:szCs w:val="24"/>
        </w:rPr>
        <w:t xml:space="preserve">nephrogenic diabetes insipidus, </w:t>
      </w:r>
      <w:r w:rsidRPr="00015C34">
        <w:rPr>
          <w:rFonts w:ascii="Times New Roman" w:hAnsi="Times New Roman"/>
          <w:snapToGrid w:val="0"/>
          <w:color w:val="000000"/>
          <w:sz w:val="24"/>
          <w:szCs w:val="24"/>
        </w:rPr>
        <w:t>proteinuria, a</w:t>
      </w:r>
      <w:r w:rsidRPr="00015C34">
        <w:rPr>
          <w:rFonts w:ascii="Times New Roman" w:hAnsi="Times New Roman"/>
          <w:snapToGrid w:val="0"/>
          <w:sz w:val="24"/>
          <w:szCs w:val="24"/>
        </w:rPr>
        <w:t>cute tubular necrosis, polyuria</w:t>
      </w:r>
      <w:r w:rsidR="00367A0B" w:rsidRPr="00015C34">
        <w:rPr>
          <w:rFonts w:ascii="Times New Roman" w:hAnsi="Times New Roman"/>
          <w:snapToGrid w:val="0"/>
          <w:sz w:val="24"/>
          <w:szCs w:val="24"/>
        </w:rPr>
        <w:t xml:space="preserve">, </w:t>
      </w:r>
      <w:r w:rsidR="008C3145" w:rsidRPr="00015C34">
        <w:rPr>
          <w:rFonts w:ascii="Times New Roman" w:hAnsi="Times New Roman"/>
          <w:snapToGrid w:val="0"/>
          <w:sz w:val="24"/>
          <w:szCs w:val="24"/>
        </w:rPr>
        <w:t>interstitial nephritis (including acute cases)</w:t>
      </w:r>
      <w:r w:rsidR="00367A0B" w:rsidRPr="00015C34">
        <w:rPr>
          <w:rFonts w:ascii="Times New Roman" w:hAnsi="Times New Roman"/>
          <w:snapToGrid w:val="0"/>
          <w:sz w:val="24"/>
          <w:szCs w:val="24"/>
        </w:rPr>
        <w:t>.</w:t>
      </w:r>
    </w:p>
    <w:p w:rsidR="00EB4111" w:rsidRPr="00015C34" w:rsidRDefault="00EB4111" w:rsidP="00EB4111">
      <w:pPr>
        <w:jc w:val="both"/>
        <w:rPr>
          <w:rFonts w:ascii="Times New Roman" w:hAnsi="Times New Roman"/>
          <w:snapToGrid w:val="0"/>
          <w:color w:val="000000"/>
          <w:sz w:val="24"/>
          <w:szCs w:val="24"/>
        </w:rPr>
      </w:pP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GENERAL DISORDERS AND ADMINISTRATION SITE CONDITIONS</w:t>
      </w:r>
    </w:p>
    <w:p w:rsidR="006E5441" w:rsidRPr="00015C34" w:rsidRDefault="006E5441" w:rsidP="00EB4111">
      <w:pPr>
        <w:jc w:val="both"/>
        <w:rPr>
          <w:rFonts w:ascii="Times New Roman" w:hAnsi="Times New Roman"/>
          <w:snapToGrid w:val="0"/>
          <w:color w:val="000000"/>
          <w:sz w:val="24"/>
          <w:szCs w:val="24"/>
        </w:rPr>
      </w:pPr>
      <w:r w:rsidRPr="00015C34">
        <w:rPr>
          <w:rFonts w:ascii="Times New Roman" w:hAnsi="Times New Roman"/>
          <w:snapToGrid w:val="0"/>
          <w:color w:val="000000"/>
          <w:sz w:val="24"/>
          <w:szCs w:val="24"/>
        </w:rPr>
        <w:t>Asthenia</w:t>
      </w:r>
    </w:p>
    <w:p w:rsidR="00015C34" w:rsidRPr="00015C34" w:rsidRDefault="00015C34" w:rsidP="00EB4111">
      <w:pPr>
        <w:jc w:val="both"/>
        <w:rPr>
          <w:rFonts w:ascii="Times New Roman" w:hAnsi="Times New Roman"/>
          <w:snapToGrid w:val="0"/>
          <w:color w:val="000000"/>
          <w:sz w:val="24"/>
          <w:szCs w:val="24"/>
        </w:rPr>
      </w:pPr>
    </w:p>
    <w:p w:rsidR="00015C34" w:rsidRPr="00015C34" w:rsidRDefault="00015C34" w:rsidP="00015C34">
      <w:pPr>
        <w:pStyle w:val="BodyText3"/>
        <w:rPr>
          <w:b w:val="0"/>
          <w:i w:val="0"/>
          <w:sz w:val="24"/>
          <w:szCs w:val="24"/>
          <w:lang w:val="en-AU"/>
        </w:rPr>
      </w:pPr>
      <w:r w:rsidRPr="00015C34">
        <w:rPr>
          <w:b w:val="0"/>
          <w:i w:val="0"/>
          <w:sz w:val="24"/>
          <w:szCs w:val="24"/>
          <w:lang w:val="en-AU"/>
        </w:rPr>
        <w:t>Reactions as a consequence of Proximal Renal Tubulopathy: The following adverse reactions, listed under the body system headings above, may occur as a consequence of proximal renal tubulopathy: rhabdomyolysis, osteomalacia (manifested as bone pain and infrequently contributing to fractures), hypokalaemia, muscular weakness, myopathy, hypophosphataemia. These events are not considered to be causally associated with tenofovir DF therapy in the absence of proximal renal tubulopathy.</w:t>
      </w:r>
    </w:p>
    <w:p w:rsidR="007F553A" w:rsidRPr="00015C34" w:rsidRDefault="007F553A" w:rsidP="00EB4111">
      <w:pPr>
        <w:pStyle w:val="BodyText3"/>
        <w:rPr>
          <w:b w:val="0"/>
          <w:i w:val="0"/>
          <w:color w:val="000000"/>
          <w:sz w:val="24"/>
          <w:szCs w:val="24"/>
          <w:lang w:val="en-AU"/>
        </w:rPr>
      </w:pPr>
    </w:p>
    <w:p w:rsidR="008C3145" w:rsidRPr="00015C34" w:rsidRDefault="008C3145" w:rsidP="008C3145">
      <w:pPr>
        <w:autoSpaceDE w:val="0"/>
        <w:autoSpaceDN w:val="0"/>
        <w:adjustRightInd w:val="0"/>
        <w:rPr>
          <w:rFonts w:ascii="Times New Roman" w:hAnsi="Times New Roman"/>
          <w:sz w:val="24"/>
          <w:szCs w:val="24"/>
          <w:lang w:val="en-US"/>
        </w:rPr>
      </w:pPr>
      <w:r w:rsidRPr="00015C34">
        <w:rPr>
          <w:rFonts w:ascii="Times New Roman" w:hAnsi="Times New Roman"/>
          <w:iCs/>
          <w:sz w:val="24"/>
          <w:szCs w:val="24"/>
          <w:lang w:val="en-US"/>
        </w:rPr>
        <w:t xml:space="preserve">Immune Reconstitution Syndrome: </w:t>
      </w:r>
      <w:r w:rsidRPr="00015C34">
        <w:rPr>
          <w:rFonts w:ascii="Times New Roman" w:hAnsi="Times New Roman"/>
          <w:sz w:val="24"/>
          <w:szCs w:val="24"/>
          <w:lang w:val="en-US"/>
        </w:rPr>
        <w:t>In HIV-infected patients with severe immune deficiency at the time of initiation of</w:t>
      </w:r>
      <w:r w:rsidRPr="00015C34">
        <w:rPr>
          <w:sz w:val="24"/>
          <w:szCs w:val="24"/>
          <w:lang w:val="en-US"/>
        </w:rPr>
        <w:t xml:space="preserve"> </w:t>
      </w:r>
      <w:r w:rsidRPr="00015C34">
        <w:rPr>
          <w:rFonts w:ascii="Times New Roman" w:hAnsi="Times New Roman"/>
          <w:sz w:val="24"/>
          <w:szCs w:val="24"/>
          <w:lang w:val="en-US"/>
        </w:rPr>
        <w:t>antiretroviral therapy, an inflammatory reaction to infectious pathogens (active or inactive)</w:t>
      </w:r>
      <w:r w:rsidRPr="00015C34">
        <w:rPr>
          <w:sz w:val="24"/>
          <w:szCs w:val="24"/>
          <w:lang w:val="en-US"/>
        </w:rPr>
        <w:t xml:space="preserve"> </w:t>
      </w:r>
      <w:r w:rsidRPr="00015C34">
        <w:rPr>
          <w:rFonts w:ascii="Times New Roman" w:hAnsi="Times New Roman"/>
          <w:sz w:val="24"/>
          <w:szCs w:val="24"/>
          <w:lang w:val="en-US"/>
        </w:rPr>
        <w:t xml:space="preserve">may arise (see </w:t>
      </w:r>
      <w:r w:rsidR="00E65D66">
        <w:rPr>
          <w:rFonts w:ascii="Times New Roman" w:hAnsi="Times New Roman"/>
          <w:sz w:val="24"/>
          <w:szCs w:val="24"/>
          <w:lang w:val="en-US"/>
        </w:rPr>
        <w:t>PRECAUTIONS</w:t>
      </w:r>
      <w:r w:rsidRPr="00015C34">
        <w:rPr>
          <w:rFonts w:ascii="Times New Roman" w:hAnsi="Times New Roman"/>
          <w:sz w:val="24"/>
          <w:szCs w:val="24"/>
          <w:lang w:val="en-US"/>
        </w:rPr>
        <w:t>).</w:t>
      </w:r>
    </w:p>
    <w:p w:rsidR="00E73026" w:rsidRDefault="00E73026" w:rsidP="00E73026">
      <w:pPr>
        <w:pStyle w:val="BodyText3"/>
        <w:rPr>
          <w:b w:val="0"/>
          <w:i w:val="0"/>
          <w:color w:val="000000"/>
          <w:szCs w:val="22"/>
          <w:lang w:val="en-AU"/>
        </w:rPr>
      </w:pPr>
    </w:p>
    <w:p w:rsidR="00E73026" w:rsidRPr="00E73026" w:rsidRDefault="00E73026" w:rsidP="00E73026">
      <w:pPr>
        <w:pStyle w:val="BodyText3"/>
        <w:rPr>
          <w:b w:val="0"/>
          <w:i w:val="0"/>
          <w:color w:val="000000"/>
          <w:sz w:val="24"/>
          <w:szCs w:val="24"/>
          <w:lang w:val="en-AU"/>
        </w:rPr>
      </w:pPr>
      <w:r w:rsidRPr="00E73026">
        <w:rPr>
          <w:b w:val="0"/>
          <w:i w:val="0"/>
          <w:color w:val="000000"/>
          <w:sz w:val="24"/>
          <w:szCs w:val="24"/>
          <w:lang w:val="en-AU"/>
        </w:rPr>
        <w:t xml:space="preserve">In HBV infected patients, clinical and laboratory evidence of exacerbations of hepatitis have occurred after discontinuation of HBV therapy (see PRECAUTIONS). </w:t>
      </w:r>
    </w:p>
    <w:p w:rsidR="008C3145" w:rsidRPr="00015C34" w:rsidRDefault="008C3145" w:rsidP="00EB4111">
      <w:pPr>
        <w:pStyle w:val="BodyText3"/>
        <w:rPr>
          <w:b w:val="0"/>
          <w:i w:val="0"/>
          <w:color w:val="000000"/>
          <w:sz w:val="24"/>
          <w:szCs w:val="24"/>
          <w:lang w:val="en-AU"/>
        </w:rPr>
      </w:pPr>
    </w:p>
    <w:p w:rsidR="007F553A" w:rsidRPr="00015C34" w:rsidRDefault="00E44700" w:rsidP="00EB4111">
      <w:pPr>
        <w:jc w:val="both"/>
        <w:rPr>
          <w:rFonts w:ascii="Times New Roman" w:hAnsi="Times New Roman"/>
          <w:color w:val="000000"/>
          <w:sz w:val="24"/>
          <w:szCs w:val="24"/>
        </w:rPr>
      </w:pPr>
      <w:r w:rsidRPr="00015C34">
        <w:rPr>
          <w:rFonts w:ascii="Times New Roman" w:hAnsi="Times New Roman"/>
          <w:b/>
          <w:i/>
          <w:color w:val="000000"/>
          <w:sz w:val="24"/>
          <w:szCs w:val="24"/>
        </w:rPr>
        <w:t>Adverse reactions attendant to class</w:t>
      </w:r>
      <w:r w:rsidR="009A59E7" w:rsidRPr="00015C34">
        <w:rPr>
          <w:rFonts w:ascii="Times New Roman" w:hAnsi="Times New Roman"/>
          <w:b/>
          <w:i/>
          <w:color w:val="000000"/>
          <w:sz w:val="24"/>
          <w:szCs w:val="24"/>
        </w:rPr>
        <w:t>:</w:t>
      </w:r>
      <w:r w:rsidRPr="00015C34">
        <w:rPr>
          <w:rFonts w:ascii="Times New Roman" w:hAnsi="Times New Roman"/>
          <w:color w:val="000000"/>
          <w:sz w:val="24"/>
          <w:szCs w:val="24"/>
        </w:rPr>
        <w:t xml:space="preserve">  Nephrotoxicity (elevation in serum creatinine and urine protein, and decrease in serum phosphorus) is the dose-limiting toxicity associated with other nucleotide analogues (cidofovir and high doses of adefovir dipivoxil evaluated for HIV disease (60 mg and 120 mg)).</w:t>
      </w:r>
    </w:p>
    <w:p w:rsidR="007F553A" w:rsidRDefault="007F553A" w:rsidP="00EB4111">
      <w:pPr>
        <w:tabs>
          <w:tab w:val="left" w:pos="540"/>
        </w:tabs>
        <w:jc w:val="both"/>
        <w:rPr>
          <w:rFonts w:ascii="Times New Roman" w:hAnsi="Times New Roman"/>
          <w:color w:val="000000"/>
          <w:sz w:val="24"/>
          <w:szCs w:val="24"/>
        </w:rPr>
      </w:pPr>
    </w:p>
    <w:p w:rsidR="006D7ADD" w:rsidRDefault="006D7ADD" w:rsidP="00EB4111">
      <w:pPr>
        <w:tabs>
          <w:tab w:val="left" w:pos="540"/>
        </w:tabs>
        <w:jc w:val="both"/>
        <w:rPr>
          <w:rFonts w:ascii="Times New Roman" w:hAnsi="Times New Roman"/>
          <w:color w:val="000000"/>
          <w:sz w:val="24"/>
          <w:szCs w:val="24"/>
        </w:rPr>
      </w:pPr>
    </w:p>
    <w:p w:rsidR="006D7ADD" w:rsidRPr="00015C34" w:rsidRDefault="006D7ADD" w:rsidP="00EB4111">
      <w:pPr>
        <w:tabs>
          <w:tab w:val="left" w:pos="540"/>
        </w:tabs>
        <w:jc w:val="both"/>
        <w:rPr>
          <w:rFonts w:ascii="Times New Roman" w:hAnsi="Times New Roman"/>
          <w:color w:val="000000"/>
          <w:sz w:val="24"/>
          <w:szCs w:val="24"/>
        </w:rPr>
      </w:pPr>
    </w:p>
    <w:p w:rsidR="007F553A" w:rsidRPr="00015C34" w:rsidRDefault="007F553A" w:rsidP="00EB4111">
      <w:pPr>
        <w:tabs>
          <w:tab w:val="left" w:pos="540"/>
        </w:tabs>
        <w:jc w:val="both"/>
        <w:rPr>
          <w:rFonts w:ascii="Times New Roman" w:hAnsi="Times New Roman"/>
          <w:b/>
          <w:color w:val="000000"/>
          <w:sz w:val="24"/>
          <w:szCs w:val="24"/>
        </w:rPr>
      </w:pPr>
    </w:p>
    <w:p w:rsidR="007F553A" w:rsidRPr="00015C34" w:rsidRDefault="00EB4111" w:rsidP="00EB4111">
      <w:pPr>
        <w:tabs>
          <w:tab w:val="left" w:pos="540"/>
        </w:tabs>
        <w:jc w:val="both"/>
        <w:rPr>
          <w:rFonts w:ascii="Times New Roman" w:hAnsi="Times New Roman"/>
          <w:b/>
          <w:color w:val="000000"/>
          <w:sz w:val="24"/>
          <w:szCs w:val="24"/>
        </w:rPr>
      </w:pPr>
      <w:r w:rsidRPr="00015C34">
        <w:rPr>
          <w:rFonts w:ascii="Times New Roman" w:hAnsi="Times New Roman"/>
          <w:b/>
          <w:color w:val="000000"/>
          <w:sz w:val="24"/>
          <w:szCs w:val="24"/>
        </w:rPr>
        <w:t>DOSAGE AND ADMINISTRATION</w:t>
      </w:r>
    </w:p>
    <w:p w:rsidR="007F553A" w:rsidRPr="00015C34" w:rsidRDefault="007F553A" w:rsidP="00EB4111">
      <w:pPr>
        <w:tabs>
          <w:tab w:val="left" w:pos="540"/>
        </w:tabs>
        <w:jc w:val="both"/>
        <w:rPr>
          <w:rFonts w:ascii="Times New Roman" w:hAnsi="Times New Roman"/>
          <w:b/>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b/>
          <w:i/>
          <w:color w:val="000000"/>
          <w:sz w:val="24"/>
          <w:szCs w:val="24"/>
        </w:rPr>
        <w:t>Adults</w:t>
      </w:r>
      <w:r w:rsidR="009A59E7" w:rsidRPr="00015C34">
        <w:rPr>
          <w:rFonts w:ascii="Times New Roman" w:hAnsi="Times New Roman"/>
          <w:b/>
          <w:i/>
          <w:color w:val="000000"/>
          <w:sz w:val="24"/>
          <w:szCs w:val="24"/>
        </w:rPr>
        <w:t>:</w:t>
      </w:r>
      <w:r w:rsidRPr="00015C34">
        <w:rPr>
          <w:rFonts w:ascii="Times New Roman" w:hAnsi="Times New Roman"/>
          <w:i/>
          <w:color w:val="000000"/>
          <w:sz w:val="24"/>
          <w:szCs w:val="24"/>
        </w:rPr>
        <w:t xml:space="preserve"> </w:t>
      </w:r>
      <w:r w:rsidRPr="00015C34">
        <w:rPr>
          <w:rFonts w:ascii="Times New Roman" w:hAnsi="Times New Roman"/>
          <w:color w:val="000000"/>
          <w:sz w:val="24"/>
          <w:szCs w:val="24"/>
        </w:rPr>
        <w:t xml:space="preserve"> The recommended dose is 300 mg (one tablet) once daily taken orally</w:t>
      </w:r>
      <w:r w:rsidR="00616CB6" w:rsidRPr="00015C34">
        <w:rPr>
          <w:rFonts w:ascii="Times New Roman" w:hAnsi="Times New Roman"/>
          <w:color w:val="000000"/>
          <w:sz w:val="24"/>
          <w:szCs w:val="24"/>
        </w:rPr>
        <w:t>.  In order to optimise the absorption of tenofovir, it is recommended that V</w:t>
      </w:r>
      <w:r w:rsidR="003927EB">
        <w:rPr>
          <w:rFonts w:ascii="Times New Roman" w:hAnsi="Times New Roman"/>
          <w:color w:val="000000"/>
          <w:sz w:val="24"/>
          <w:szCs w:val="24"/>
        </w:rPr>
        <w:t>IREAD</w:t>
      </w:r>
      <w:r w:rsidR="00616CB6" w:rsidRPr="00015C34">
        <w:rPr>
          <w:rFonts w:ascii="Times New Roman" w:hAnsi="Times New Roman"/>
          <w:color w:val="000000"/>
          <w:sz w:val="24"/>
          <w:szCs w:val="24"/>
        </w:rPr>
        <w:t xml:space="preserve"> be taken </w:t>
      </w:r>
      <w:r w:rsidRPr="00015C34">
        <w:rPr>
          <w:rFonts w:ascii="Times New Roman" w:hAnsi="Times New Roman"/>
          <w:color w:val="000000"/>
          <w:sz w:val="24"/>
          <w:szCs w:val="24"/>
        </w:rPr>
        <w:t>with</w:t>
      </w:r>
      <w:r w:rsidR="009A59E7" w:rsidRPr="00015C34">
        <w:rPr>
          <w:rFonts w:ascii="Times New Roman" w:hAnsi="Times New Roman"/>
          <w:color w:val="000000"/>
          <w:sz w:val="24"/>
          <w:szCs w:val="24"/>
        </w:rPr>
        <w:t xml:space="preserve"> </w:t>
      </w:r>
      <w:r w:rsidRPr="00015C34">
        <w:rPr>
          <w:rFonts w:ascii="Times New Roman" w:hAnsi="Times New Roman"/>
          <w:color w:val="000000"/>
          <w:sz w:val="24"/>
          <w:szCs w:val="24"/>
        </w:rPr>
        <w:t xml:space="preserve">food. </w:t>
      </w:r>
    </w:p>
    <w:p w:rsidR="007F553A" w:rsidRPr="00015C34" w:rsidRDefault="007F553A" w:rsidP="00EB4111">
      <w:pPr>
        <w:jc w:val="both"/>
        <w:rPr>
          <w:rFonts w:ascii="Times New Roman" w:hAnsi="Times New Roman"/>
          <w:color w:val="000000"/>
          <w:sz w:val="24"/>
          <w:szCs w:val="24"/>
        </w:rPr>
      </w:pPr>
    </w:p>
    <w:p w:rsidR="003927EB" w:rsidRDefault="003927EB" w:rsidP="00EB4111">
      <w:pPr>
        <w:jc w:val="both"/>
        <w:rPr>
          <w:rFonts w:ascii="Times New Roman" w:hAnsi="Times New Roman"/>
          <w:b/>
          <w:i/>
          <w:color w:val="000000"/>
          <w:sz w:val="24"/>
          <w:szCs w:val="24"/>
        </w:rPr>
      </w:pPr>
      <w:r>
        <w:rPr>
          <w:rFonts w:ascii="Times New Roman" w:hAnsi="Times New Roman"/>
          <w:b/>
          <w:i/>
          <w:color w:val="000000"/>
          <w:sz w:val="24"/>
          <w:szCs w:val="24"/>
        </w:rPr>
        <w:t>Paediatric Patients (≥ 12 Years of Age and ≥ 35 kg)</w:t>
      </w:r>
      <w:r w:rsidRPr="00015C34">
        <w:rPr>
          <w:rFonts w:ascii="Times New Roman" w:hAnsi="Times New Roman"/>
          <w:b/>
          <w:i/>
          <w:color w:val="000000"/>
          <w:sz w:val="24"/>
          <w:szCs w:val="24"/>
        </w:rPr>
        <w:t xml:space="preserve">:  </w:t>
      </w:r>
      <w:r>
        <w:rPr>
          <w:rFonts w:ascii="Times New Roman" w:hAnsi="Times New Roman"/>
          <w:color w:val="000000"/>
          <w:sz w:val="24"/>
          <w:szCs w:val="24"/>
        </w:rPr>
        <w:t xml:space="preserve">The recommended dose for paediatric patients (12 years of age and older), who weigh ≥ 35 kg, is 300 mg (one tablet) once daily taken orally. </w:t>
      </w:r>
      <w:r w:rsidRPr="00015C34">
        <w:rPr>
          <w:rFonts w:ascii="Times New Roman" w:hAnsi="Times New Roman"/>
          <w:color w:val="000000"/>
          <w:sz w:val="24"/>
          <w:szCs w:val="24"/>
        </w:rPr>
        <w:t>In order to optimise the absorption of tenofovir, it is recommended that V</w:t>
      </w:r>
      <w:r>
        <w:rPr>
          <w:rFonts w:ascii="Times New Roman" w:hAnsi="Times New Roman"/>
          <w:color w:val="000000"/>
          <w:sz w:val="24"/>
          <w:szCs w:val="24"/>
        </w:rPr>
        <w:t>IREAD</w:t>
      </w:r>
      <w:r w:rsidRPr="00015C34">
        <w:rPr>
          <w:rFonts w:ascii="Times New Roman" w:hAnsi="Times New Roman"/>
          <w:color w:val="000000"/>
          <w:sz w:val="24"/>
          <w:szCs w:val="24"/>
        </w:rPr>
        <w:t xml:space="preserve"> be taken with food. </w:t>
      </w:r>
      <w:r w:rsidR="007F553A" w:rsidRPr="00015C34">
        <w:rPr>
          <w:rFonts w:ascii="Times New Roman" w:hAnsi="Times New Roman"/>
          <w:b/>
          <w:i/>
          <w:color w:val="000000"/>
          <w:sz w:val="24"/>
          <w:szCs w:val="24"/>
        </w:rPr>
        <w:t xml:space="preserve"> </w:t>
      </w:r>
    </w:p>
    <w:p w:rsidR="003927EB" w:rsidRDefault="003927EB" w:rsidP="00EB4111">
      <w:pPr>
        <w:jc w:val="both"/>
        <w:rPr>
          <w:rFonts w:ascii="Times New Roman" w:hAnsi="Times New Roman"/>
          <w:b/>
          <w:i/>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color w:val="000000"/>
          <w:sz w:val="24"/>
          <w:szCs w:val="24"/>
        </w:rPr>
        <w:t xml:space="preserve">The safety and efficacy of VIREAD in patients under the age of </w:t>
      </w:r>
      <w:r w:rsidR="003927EB">
        <w:rPr>
          <w:rFonts w:ascii="Times New Roman" w:hAnsi="Times New Roman"/>
          <w:color w:val="000000"/>
          <w:sz w:val="24"/>
          <w:szCs w:val="24"/>
        </w:rPr>
        <w:t>12</w:t>
      </w:r>
      <w:r w:rsidRPr="00015C34">
        <w:rPr>
          <w:rFonts w:ascii="Times New Roman" w:hAnsi="Times New Roman"/>
          <w:color w:val="000000"/>
          <w:sz w:val="24"/>
          <w:szCs w:val="24"/>
        </w:rPr>
        <w:t xml:space="preserve"> years have not been established.  VIREAD must not be administered to children </w:t>
      </w:r>
      <w:r w:rsidR="003927EB">
        <w:rPr>
          <w:rFonts w:ascii="Times New Roman" w:hAnsi="Times New Roman"/>
          <w:color w:val="000000"/>
          <w:sz w:val="24"/>
          <w:szCs w:val="24"/>
        </w:rPr>
        <w:t>under 12,</w:t>
      </w:r>
      <w:r w:rsidRPr="00015C34">
        <w:rPr>
          <w:rFonts w:ascii="Times New Roman" w:hAnsi="Times New Roman"/>
          <w:color w:val="000000"/>
          <w:sz w:val="24"/>
          <w:szCs w:val="24"/>
        </w:rPr>
        <w:t xml:space="preserve"> until further data become available.</w:t>
      </w:r>
    </w:p>
    <w:p w:rsidR="007F553A" w:rsidRPr="00015C34" w:rsidRDefault="007F553A" w:rsidP="00EB4111">
      <w:pPr>
        <w:jc w:val="both"/>
        <w:rPr>
          <w:rFonts w:ascii="Times New Roman" w:hAnsi="Times New Roman"/>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b/>
          <w:i/>
          <w:color w:val="000000"/>
          <w:sz w:val="24"/>
          <w:szCs w:val="24"/>
        </w:rPr>
        <w:t>Elderly</w:t>
      </w:r>
      <w:r w:rsidR="009A59E7" w:rsidRPr="00015C34">
        <w:rPr>
          <w:rFonts w:ascii="Times New Roman" w:hAnsi="Times New Roman"/>
          <w:b/>
          <w:i/>
          <w:color w:val="000000"/>
          <w:sz w:val="24"/>
          <w:szCs w:val="24"/>
        </w:rPr>
        <w:t>:</w:t>
      </w:r>
      <w:r w:rsidRPr="00015C34">
        <w:rPr>
          <w:rFonts w:ascii="Times New Roman" w:hAnsi="Times New Roman"/>
          <w:b/>
          <w:i/>
          <w:color w:val="000000"/>
          <w:sz w:val="24"/>
          <w:szCs w:val="24"/>
        </w:rPr>
        <w:t xml:space="preserve"> </w:t>
      </w:r>
      <w:r w:rsidRPr="00015C34">
        <w:rPr>
          <w:rFonts w:ascii="Times New Roman" w:hAnsi="Times New Roman"/>
          <w:color w:val="000000"/>
          <w:sz w:val="24"/>
          <w:szCs w:val="24"/>
        </w:rPr>
        <w:t xml:space="preserve"> No data are available on which to make a dose recommendation for patients over the age of 65 years.  The safety and efficacy of VIREAD have not been established in patients over the age of 65 years. Caution should be exercised when administering VIREAD to elderly patients until further data become available describing the disposition of tenofovir disoproxil fumarate in these patients (see </w:t>
      </w:r>
      <w:r w:rsidR="00C5763A" w:rsidRPr="00015C34">
        <w:rPr>
          <w:rFonts w:ascii="Times New Roman" w:hAnsi="Times New Roman"/>
          <w:color w:val="000000"/>
          <w:sz w:val="24"/>
          <w:szCs w:val="24"/>
        </w:rPr>
        <w:t>PRECAUTIONS</w:t>
      </w:r>
      <w:r w:rsidRPr="00015C34">
        <w:rPr>
          <w:rFonts w:ascii="Times New Roman" w:hAnsi="Times New Roman"/>
          <w:color w:val="000000"/>
          <w:sz w:val="24"/>
          <w:szCs w:val="24"/>
        </w:rPr>
        <w:t xml:space="preserve">). The greater frequency of decreased hepatic, renal or cardiac function in these patients, presence of any concomitant illnesses or the need for treatment with other medicinal products concomitantly with VIREAD should be taken into consideration. </w:t>
      </w:r>
    </w:p>
    <w:p w:rsidR="007F553A" w:rsidRPr="00015C34" w:rsidRDefault="007F553A" w:rsidP="00EB4111">
      <w:pPr>
        <w:jc w:val="both"/>
        <w:rPr>
          <w:rFonts w:ascii="Times New Roman" w:hAnsi="Times New Roman"/>
          <w:i/>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b/>
          <w:i/>
          <w:color w:val="000000"/>
          <w:sz w:val="24"/>
          <w:szCs w:val="24"/>
        </w:rPr>
        <w:t xml:space="preserve">Renal </w:t>
      </w:r>
      <w:r w:rsidR="00684243" w:rsidRPr="00015C34">
        <w:rPr>
          <w:rFonts w:ascii="Times New Roman" w:hAnsi="Times New Roman"/>
          <w:b/>
          <w:i/>
          <w:color w:val="000000"/>
          <w:sz w:val="24"/>
          <w:szCs w:val="24"/>
        </w:rPr>
        <w:t>impairment</w:t>
      </w:r>
      <w:r w:rsidR="003927EB">
        <w:rPr>
          <w:rFonts w:ascii="Times New Roman" w:hAnsi="Times New Roman"/>
          <w:b/>
          <w:i/>
          <w:color w:val="000000"/>
          <w:sz w:val="24"/>
          <w:szCs w:val="24"/>
        </w:rPr>
        <w:t>:</w:t>
      </w:r>
      <w:r w:rsidRPr="00015C34">
        <w:rPr>
          <w:rFonts w:ascii="Times New Roman" w:hAnsi="Times New Roman"/>
          <w:color w:val="000000"/>
          <w:sz w:val="24"/>
          <w:szCs w:val="24"/>
        </w:rPr>
        <w:t xml:space="preserve">  </w:t>
      </w:r>
      <w:r w:rsidR="00B739CE" w:rsidRPr="00015C34">
        <w:rPr>
          <w:rFonts w:ascii="Times New Roman" w:hAnsi="Times New Roman"/>
          <w:color w:val="000000"/>
          <w:sz w:val="24"/>
          <w:szCs w:val="24"/>
        </w:rPr>
        <w:t xml:space="preserve">Tenofovir is eliminated by renal excretion and the exposure to tenofovir increases in patients with renal dysfunction. </w:t>
      </w:r>
      <w:r w:rsidR="00A562F8" w:rsidRPr="00015C34">
        <w:rPr>
          <w:rFonts w:ascii="Times New Roman" w:hAnsi="Times New Roman"/>
          <w:color w:val="000000"/>
          <w:sz w:val="24"/>
          <w:szCs w:val="24"/>
        </w:rPr>
        <w:t xml:space="preserve"> </w:t>
      </w:r>
      <w:r w:rsidR="00B739CE" w:rsidRPr="00015C34">
        <w:rPr>
          <w:rFonts w:ascii="Times New Roman" w:hAnsi="Times New Roman"/>
          <w:color w:val="000000"/>
          <w:sz w:val="24"/>
          <w:szCs w:val="24"/>
        </w:rPr>
        <w:t>Dosing interval adjustment is required in all patients with creatinine clearance &lt;50 ml/min</w:t>
      </w:r>
      <w:r w:rsidR="00461148">
        <w:rPr>
          <w:rFonts w:ascii="Times New Roman" w:hAnsi="Times New Roman"/>
          <w:color w:val="000000"/>
          <w:sz w:val="24"/>
          <w:szCs w:val="24"/>
        </w:rPr>
        <w:t xml:space="preserve"> (calculated using the Cockcroft Gault equation)</w:t>
      </w:r>
      <w:r w:rsidR="00B739CE" w:rsidRPr="00015C34">
        <w:rPr>
          <w:rFonts w:ascii="Times New Roman" w:hAnsi="Times New Roman"/>
          <w:color w:val="000000"/>
          <w:sz w:val="24"/>
          <w:szCs w:val="24"/>
        </w:rPr>
        <w:t xml:space="preserve">, as detailed </w:t>
      </w:r>
      <w:r w:rsidR="0065778A">
        <w:rPr>
          <w:rFonts w:ascii="Times New Roman" w:hAnsi="Times New Roman"/>
          <w:color w:val="000000"/>
          <w:sz w:val="24"/>
          <w:szCs w:val="24"/>
        </w:rPr>
        <w:t xml:space="preserve">in Table </w:t>
      </w:r>
      <w:r w:rsidR="00586E4C">
        <w:rPr>
          <w:rFonts w:ascii="Times New Roman" w:hAnsi="Times New Roman"/>
          <w:color w:val="000000"/>
          <w:sz w:val="24"/>
          <w:szCs w:val="24"/>
        </w:rPr>
        <w:t>2</w:t>
      </w:r>
      <w:r w:rsidR="00DD7E00">
        <w:rPr>
          <w:rFonts w:ascii="Times New Roman" w:hAnsi="Times New Roman"/>
          <w:color w:val="000000"/>
          <w:sz w:val="24"/>
          <w:szCs w:val="24"/>
        </w:rPr>
        <w:t>2</w:t>
      </w:r>
      <w:r w:rsidR="0065778A">
        <w:rPr>
          <w:rFonts w:ascii="Times New Roman" w:hAnsi="Times New Roman"/>
          <w:color w:val="000000"/>
          <w:sz w:val="24"/>
          <w:szCs w:val="24"/>
        </w:rPr>
        <w:t xml:space="preserve"> </w:t>
      </w:r>
      <w:r w:rsidR="00B739CE" w:rsidRPr="00015C34">
        <w:rPr>
          <w:rFonts w:ascii="Times New Roman" w:hAnsi="Times New Roman"/>
          <w:color w:val="000000"/>
          <w:sz w:val="24"/>
          <w:szCs w:val="24"/>
        </w:rPr>
        <w:t>below.</w:t>
      </w:r>
      <w:r w:rsidR="0064789F" w:rsidRPr="00015C34">
        <w:rPr>
          <w:rFonts w:ascii="Times New Roman" w:hAnsi="Times New Roman"/>
          <w:color w:val="000000"/>
          <w:sz w:val="24"/>
          <w:szCs w:val="24"/>
        </w:rPr>
        <w:t xml:space="preserve"> </w:t>
      </w:r>
      <w:r w:rsidR="00B739CE" w:rsidRPr="00015C34">
        <w:rPr>
          <w:rFonts w:ascii="Times New Roman" w:hAnsi="Times New Roman"/>
          <w:i/>
          <w:color w:val="000000"/>
          <w:sz w:val="24"/>
          <w:szCs w:val="24"/>
        </w:rPr>
        <w:t xml:space="preserve"> </w:t>
      </w:r>
      <w:r w:rsidR="00060633" w:rsidRPr="00015C34">
        <w:rPr>
          <w:rFonts w:ascii="Times New Roman" w:hAnsi="Times New Roman"/>
          <w:color w:val="000000"/>
          <w:sz w:val="24"/>
          <w:szCs w:val="24"/>
        </w:rPr>
        <w:t xml:space="preserve">The proposed dose interval modifications are based on limited data and may not be optimal. </w:t>
      </w:r>
      <w:r w:rsidR="0064789F" w:rsidRPr="00015C34">
        <w:rPr>
          <w:rFonts w:ascii="Times New Roman" w:hAnsi="Times New Roman"/>
          <w:color w:val="000000"/>
          <w:sz w:val="24"/>
          <w:szCs w:val="24"/>
        </w:rPr>
        <w:t xml:space="preserve"> </w:t>
      </w:r>
      <w:r w:rsidR="00060633" w:rsidRPr="00015C34">
        <w:rPr>
          <w:rFonts w:ascii="Times New Roman" w:hAnsi="Times New Roman"/>
          <w:color w:val="000000"/>
          <w:sz w:val="24"/>
          <w:szCs w:val="24"/>
        </w:rPr>
        <w:t xml:space="preserve">The safety and efficacy of these dosing interval adjustment guidelines have not been clinically evaluated. </w:t>
      </w:r>
      <w:r w:rsidR="0064789F" w:rsidRPr="00015C34">
        <w:rPr>
          <w:rFonts w:ascii="Times New Roman" w:hAnsi="Times New Roman"/>
          <w:color w:val="000000"/>
          <w:sz w:val="24"/>
          <w:szCs w:val="24"/>
        </w:rPr>
        <w:t xml:space="preserve"> </w:t>
      </w:r>
      <w:r w:rsidR="00060633" w:rsidRPr="00015C34">
        <w:rPr>
          <w:rFonts w:ascii="Times New Roman" w:hAnsi="Times New Roman"/>
          <w:color w:val="000000"/>
          <w:sz w:val="24"/>
          <w:szCs w:val="24"/>
        </w:rPr>
        <w:t xml:space="preserve">Therefore, clinical response to treatment and renal function should be closely monitored in these patients </w:t>
      </w:r>
      <w:r w:rsidR="00281BF9" w:rsidRPr="00E65D66">
        <w:rPr>
          <w:rFonts w:ascii="Times New Roman" w:hAnsi="Times New Roman"/>
          <w:color w:val="000000"/>
          <w:sz w:val="24"/>
          <w:szCs w:val="24"/>
        </w:rPr>
        <w:t>(see</w:t>
      </w:r>
      <w:r w:rsidR="00281BF9" w:rsidRPr="00015C34">
        <w:rPr>
          <w:rFonts w:ascii="Times New Roman" w:hAnsi="Times New Roman"/>
          <w:color w:val="000000"/>
          <w:sz w:val="24"/>
          <w:szCs w:val="24"/>
        </w:rPr>
        <w:t xml:space="preserve"> </w:t>
      </w:r>
      <w:r w:rsidR="00C5763A" w:rsidRPr="00015C34">
        <w:rPr>
          <w:rFonts w:ascii="Times New Roman" w:hAnsi="Times New Roman"/>
          <w:color w:val="000000"/>
          <w:sz w:val="24"/>
          <w:szCs w:val="24"/>
        </w:rPr>
        <w:t>PRECAUTIONS</w:t>
      </w:r>
      <w:r w:rsidR="00281BF9" w:rsidRPr="00015C34">
        <w:rPr>
          <w:rFonts w:ascii="Times New Roman" w:hAnsi="Times New Roman"/>
          <w:i/>
          <w:color w:val="000000"/>
          <w:sz w:val="24"/>
          <w:szCs w:val="24"/>
        </w:rPr>
        <w:t>)</w:t>
      </w:r>
      <w:r w:rsidR="00B739CE" w:rsidRPr="00015C34">
        <w:rPr>
          <w:rFonts w:ascii="Times New Roman" w:hAnsi="Times New Roman"/>
          <w:i/>
          <w:color w:val="000000"/>
          <w:sz w:val="24"/>
          <w:szCs w:val="24"/>
        </w:rPr>
        <w:t>.</w:t>
      </w:r>
    </w:p>
    <w:p w:rsidR="00B739CE" w:rsidRPr="00EB4111" w:rsidRDefault="00B739CE" w:rsidP="00EB4111">
      <w:pPr>
        <w:jc w:val="both"/>
        <w:rPr>
          <w:rFonts w:ascii="Times New Roman" w:hAnsi="Times New Roman"/>
          <w:i/>
          <w:color w:val="000000"/>
          <w:sz w:val="22"/>
          <w:szCs w:val="22"/>
        </w:rPr>
      </w:pPr>
    </w:p>
    <w:p w:rsidR="005B38AE" w:rsidRPr="009A59E7" w:rsidRDefault="005B38AE" w:rsidP="005B38AE">
      <w:pPr>
        <w:spacing w:after="60"/>
        <w:ind w:left="1267" w:hanging="1267"/>
        <w:rPr>
          <w:rFonts w:ascii="Times New Roman" w:hAnsi="Times New Roman"/>
          <w:b/>
          <w:sz w:val="22"/>
        </w:rPr>
      </w:pPr>
      <w:r w:rsidRPr="009A59E7">
        <w:rPr>
          <w:rFonts w:ascii="Times New Roman" w:hAnsi="Times New Roman"/>
          <w:b/>
          <w:sz w:val="22"/>
        </w:rPr>
        <w:t xml:space="preserve">Table </w:t>
      </w:r>
      <w:r w:rsidR="00586E4C">
        <w:rPr>
          <w:rFonts w:ascii="Times New Roman" w:hAnsi="Times New Roman"/>
          <w:b/>
          <w:sz w:val="22"/>
        </w:rPr>
        <w:t>2</w:t>
      </w:r>
      <w:r w:rsidR="00DD7E00">
        <w:rPr>
          <w:rFonts w:ascii="Times New Roman" w:hAnsi="Times New Roman"/>
          <w:b/>
          <w:sz w:val="22"/>
        </w:rPr>
        <w:t>2</w:t>
      </w:r>
      <w:r w:rsidRPr="009A59E7">
        <w:rPr>
          <w:rFonts w:ascii="Times New Roman" w:hAnsi="Times New Roman"/>
          <w:b/>
          <w:sz w:val="22"/>
        </w:rPr>
        <w:t>.</w:t>
      </w:r>
      <w:r w:rsidRPr="009A59E7">
        <w:rPr>
          <w:rFonts w:ascii="Times New Roman" w:hAnsi="Times New Roman"/>
          <w:b/>
          <w:sz w:val="22"/>
        </w:rPr>
        <w:tab/>
        <w:t xml:space="preserve">Dosage Adjustment for </w:t>
      </w:r>
      <w:r w:rsidR="00BB48D0">
        <w:rPr>
          <w:rFonts w:ascii="Times New Roman" w:hAnsi="Times New Roman"/>
          <w:b/>
          <w:sz w:val="22"/>
        </w:rPr>
        <w:t xml:space="preserve">Adult </w:t>
      </w:r>
      <w:r w:rsidRPr="009A59E7">
        <w:rPr>
          <w:rFonts w:ascii="Times New Roman" w:hAnsi="Times New Roman"/>
          <w:b/>
          <w:sz w:val="22"/>
        </w:rPr>
        <w:t xml:space="preserve">Patients with Altered Creatinine Clearance </w:t>
      </w:r>
    </w:p>
    <w:tbl>
      <w:tblPr>
        <w:tblW w:w="0" w:type="auto"/>
        <w:jc w:val="center"/>
        <w:tblLayout w:type="fixed"/>
        <w:tblLook w:val="0000"/>
      </w:tblPr>
      <w:tblGrid>
        <w:gridCol w:w="2964"/>
        <w:gridCol w:w="2339"/>
        <w:gridCol w:w="637"/>
        <w:gridCol w:w="480"/>
        <w:gridCol w:w="1260"/>
        <w:gridCol w:w="1199"/>
        <w:gridCol w:w="25"/>
        <w:gridCol w:w="2943"/>
      </w:tblGrid>
      <w:tr w:rsidR="005B38AE" w:rsidRPr="009A59E7">
        <w:trPr>
          <w:gridAfter w:val="2"/>
          <w:wAfter w:w="2968" w:type="dxa"/>
          <w:cantSplit/>
          <w:trHeight w:val="155"/>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38AE" w:rsidRPr="009A59E7" w:rsidRDefault="005B38AE" w:rsidP="00AC7215">
            <w:pPr>
              <w:pStyle w:val="Heading1"/>
              <w:tabs>
                <w:tab w:val="center" w:pos="2185"/>
              </w:tabs>
              <w:spacing w:before="60"/>
              <w:jc w:val="center"/>
              <w:rPr>
                <w:b/>
                <w:i w:val="0"/>
                <w:lang w:val="en-AU"/>
              </w:rPr>
            </w:pPr>
            <w:r w:rsidRPr="009A59E7">
              <w:rPr>
                <w:b/>
                <w:i w:val="0"/>
                <w:lang w:val="en-AU"/>
              </w:rPr>
              <w:lastRenderedPageBreak/>
              <w:t>Creatinine Clearance</w:t>
            </w:r>
          </w:p>
          <w:p w:rsidR="005B38AE" w:rsidRPr="009A59E7" w:rsidRDefault="005B38AE" w:rsidP="001B0FFF">
            <w:pPr>
              <w:keepNext/>
              <w:tabs>
                <w:tab w:val="center" w:pos="1645"/>
              </w:tabs>
              <w:jc w:val="center"/>
              <w:rPr>
                <w:rFonts w:ascii="Times New Roman" w:hAnsi="Times New Roman"/>
                <w:b/>
              </w:rPr>
            </w:pPr>
            <w:r w:rsidRPr="009A59E7">
              <w:rPr>
                <w:rFonts w:ascii="Times New Roman" w:hAnsi="Times New Roman"/>
                <w:b/>
              </w:rPr>
              <w:t>(mL/min)</w:t>
            </w:r>
            <w:r w:rsidRPr="009A59E7">
              <w:rPr>
                <w:rFonts w:ascii="Times New Roman" w:hAnsi="Times New Roman"/>
                <w:b/>
                <w:vertAlign w:val="superscript"/>
              </w:rPr>
              <w:t>1</w:t>
            </w:r>
          </w:p>
        </w:tc>
        <w:tc>
          <w:tcPr>
            <w:tcW w:w="29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38AE" w:rsidRPr="009A59E7" w:rsidRDefault="005B38AE" w:rsidP="001B0FFF">
            <w:pPr>
              <w:spacing w:before="60" w:after="60"/>
              <w:ind w:left="-111" w:right="-115"/>
              <w:jc w:val="center"/>
              <w:rPr>
                <w:rFonts w:ascii="Times New Roman" w:hAnsi="Times New Roman"/>
              </w:rPr>
            </w:pPr>
            <w:r w:rsidRPr="009A59E7">
              <w:rPr>
                <w:rFonts w:ascii="Times New Roman" w:hAnsi="Times New Roman"/>
                <w:b/>
              </w:rPr>
              <w:t>H</w:t>
            </w:r>
            <w:r w:rsidR="00C5763A" w:rsidRPr="009A59E7">
              <w:rPr>
                <w:rFonts w:ascii="Times New Roman" w:hAnsi="Times New Roman"/>
                <w:b/>
              </w:rPr>
              <w:t>a</w:t>
            </w:r>
            <w:r w:rsidRPr="009A59E7">
              <w:rPr>
                <w:rFonts w:ascii="Times New Roman" w:hAnsi="Times New Roman"/>
                <w:b/>
              </w:rPr>
              <w:t>emodialysis Patients</w:t>
            </w:r>
          </w:p>
        </w:tc>
      </w:tr>
      <w:tr w:rsidR="005B38AE" w:rsidRPr="009A59E7">
        <w:trPr>
          <w:gridBefore w:val="1"/>
          <w:wBefore w:w="2964" w:type="dxa"/>
          <w:cantSplit/>
          <w:trHeight w:val="155"/>
          <w:jc w:val="center"/>
        </w:trPr>
        <w:tc>
          <w:tcPr>
            <w:tcW w:w="2339" w:type="dxa"/>
            <w:tcBorders>
              <w:top w:val="single" w:sz="4" w:space="0" w:color="auto"/>
              <w:left w:val="single" w:sz="4" w:space="0" w:color="auto"/>
              <w:bottom w:val="single" w:sz="4" w:space="0" w:color="auto"/>
              <w:right w:val="nil"/>
            </w:tcBorders>
            <w:shd w:val="clear" w:color="auto" w:fill="auto"/>
            <w:vAlign w:val="center"/>
          </w:tcPr>
          <w:p w:rsidR="005B38AE" w:rsidRPr="009A59E7" w:rsidRDefault="005B38AE" w:rsidP="001B0FFF">
            <w:pPr>
              <w:keepNext/>
              <w:spacing w:before="120"/>
              <w:ind w:left="42" w:right="12"/>
              <w:rPr>
                <w:rFonts w:ascii="Times New Roman" w:hAnsi="Times New Roman"/>
                <w:b/>
              </w:rPr>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8AE" w:rsidRPr="009A59E7" w:rsidRDefault="005B38AE" w:rsidP="001B0FFF">
            <w:pPr>
              <w:keepNext/>
              <w:spacing w:before="60" w:after="60"/>
              <w:jc w:val="center"/>
              <w:rPr>
                <w:rFonts w:ascii="Times New Roman" w:hAnsi="Times New Roman"/>
                <w:b/>
              </w:rPr>
            </w:pPr>
            <w:r w:rsidRPr="009A59E7">
              <w:rPr>
                <w:rFonts w:ascii="Times New Roman" w:hAnsi="Times New Roman"/>
                <w:b/>
              </w:rPr>
              <w:t>≥50</w:t>
            </w:r>
          </w:p>
        </w:tc>
        <w:tc>
          <w:tcPr>
            <w:tcW w:w="1260" w:type="dxa"/>
            <w:tcBorders>
              <w:top w:val="nil"/>
              <w:left w:val="single" w:sz="4" w:space="0" w:color="auto"/>
              <w:bottom w:val="single" w:sz="4" w:space="0" w:color="auto"/>
              <w:right w:val="single" w:sz="4" w:space="0" w:color="auto"/>
            </w:tcBorders>
            <w:shd w:val="clear" w:color="auto" w:fill="auto"/>
            <w:vAlign w:val="center"/>
          </w:tcPr>
          <w:p w:rsidR="005B38AE" w:rsidRPr="009A59E7" w:rsidRDefault="005B38AE" w:rsidP="001B0FFF">
            <w:pPr>
              <w:keepNext/>
              <w:spacing w:before="60" w:after="60"/>
              <w:jc w:val="center"/>
              <w:rPr>
                <w:rFonts w:ascii="Times New Roman" w:hAnsi="Times New Roman"/>
                <w:b/>
              </w:rPr>
            </w:pPr>
            <w:r w:rsidRPr="009A59E7">
              <w:rPr>
                <w:rFonts w:ascii="Times New Roman" w:hAnsi="Times New Roman"/>
                <w:b/>
              </w:rPr>
              <w:t>30–49</w:t>
            </w:r>
          </w:p>
        </w:tc>
        <w:tc>
          <w:tcPr>
            <w:tcW w:w="1224" w:type="dxa"/>
            <w:gridSpan w:val="2"/>
            <w:tcBorders>
              <w:top w:val="nil"/>
              <w:left w:val="single" w:sz="4" w:space="0" w:color="auto"/>
              <w:bottom w:val="single" w:sz="4" w:space="0" w:color="auto"/>
              <w:right w:val="nil"/>
            </w:tcBorders>
            <w:shd w:val="clear" w:color="auto" w:fill="auto"/>
            <w:vAlign w:val="center"/>
          </w:tcPr>
          <w:p w:rsidR="005B38AE" w:rsidRPr="009A59E7" w:rsidRDefault="005B38AE" w:rsidP="001B0FFF">
            <w:pPr>
              <w:keepNext/>
              <w:spacing w:before="60" w:after="60"/>
              <w:jc w:val="center"/>
              <w:rPr>
                <w:rFonts w:ascii="Times New Roman" w:hAnsi="Times New Roman"/>
                <w:b/>
              </w:rPr>
            </w:pPr>
            <w:r w:rsidRPr="009A59E7">
              <w:rPr>
                <w:rFonts w:ascii="Times New Roman" w:hAnsi="Times New Roman"/>
                <w:b/>
              </w:rPr>
              <w:t>10–29</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B38AE" w:rsidRPr="009A59E7" w:rsidRDefault="005B38AE" w:rsidP="001B0FFF">
            <w:pPr>
              <w:keepNext/>
              <w:spacing w:before="60" w:after="60"/>
              <w:jc w:val="center"/>
              <w:rPr>
                <w:rFonts w:ascii="Times New Roman" w:hAnsi="Times New Roman"/>
                <w:b/>
              </w:rPr>
            </w:pPr>
          </w:p>
        </w:tc>
      </w:tr>
      <w:tr w:rsidR="005B38AE" w:rsidRPr="009A59E7">
        <w:trPr>
          <w:gridBefore w:val="1"/>
          <w:wBefore w:w="2964" w:type="dxa"/>
          <w:cantSplit/>
          <w:trHeight w:val="155"/>
          <w:jc w:val="center"/>
        </w:trPr>
        <w:tc>
          <w:tcPr>
            <w:tcW w:w="2339" w:type="dxa"/>
            <w:tcBorders>
              <w:top w:val="single" w:sz="4" w:space="0" w:color="auto"/>
              <w:left w:val="single" w:sz="4" w:space="0" w:color="auto"/>
              <w:bottom w:val="single" w:sz="4" w:space="0" w:color="auto"/>
              <w:right w:val="nil"/>
            </w:tcBorders>
            <w:shd w:val="clear" w:color="auto" w:fill="auto"/>
            <w:vAlign w:val="center"/>
          </w:tcPr>
          <w:p w:rsidR="005B38AE" w:rsidRPr="009A59E7" w:rsidRDefault="005B38AE" w:rsidP="001B0FFF">
            <w:pPr>
              <w:spacing w:before="60"/>
              <w:ind w:right="-115"/>
              <w:rPr>
                <w:rFonts w:ascii="Times New Roman" w:hAnsi="Times New Roman"/>
                <w:b/>
              </w:rPr>
            </w:pPr>
            <w:r w:rsidRPr="009A59E7">
              <w:rPr>
                <w:rFonts w:ascii="Times New Roman" w:hAnsi="Times New Roman"/>
                <w:b/>
              </w:rPr>
              <w:t>Recommended 300 mg Dosing Interval</w:t>
            </w: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38AE" w:rsidRPr="009A59E7" w:rsidRDefault="005B38AE" w:rsidP="001B0FFF">
            <w:pPr>
              <w:spacing w:before="60"/>
              <w:ind w:left="-140" w:right="-115"/>
              <w:jc w:val="center"/>
              <w:rPr>
                <w:rFonts w:ascii="Times New Roman" w:hAnsi="Times New Roman"/>
              </w:rPr>
            </w:pPr>
            <w:r w:rsidRPr="009A59E7">
              <w:rPr>
                <w:rFonts w:ascii="Times New Roman" w:hAnsi="Times New Roman"/>
              </w:rPr>
              <w:t>Every 24 hours</w:t>
            </w:r>
          </w:p>
        </w:tc>
        <w:tc>
          <w:tcPr>
            <w:tcW w:w="1260" w:type="dxa"/>
            <w:tcBorders>
              <w:top w:val="nil"/>
              <w:left w:val="single" w:sz="4" w:space="0" w:color="auto"/>
              <w:bottom w:val="single" w:sz="4" w:space="0" w:color="auto"/>
              <w:right w:val="single" w:sz="4" w:space="0" w:color="auto"/>
            </w:tcBorders>
            <w:shd w:val="clear" w:color="auto" w:fill="auto"/>
            <w:vAlign w:val="center"/>
          </w:tcPr>
          <w:p w:rsidR="005B38AE" w:rsidRPr="009A59E7" w:rsidRDefault="005B38AE" w:rsidP="001B0FFF">
            <w:pPr>
              <w:spacing w:before="60"/>
              <w:ind w:left="-108" w:right="-115"/>
              <w:jc w:val="center"/>
              <w:rPr>
                <w:rFonts w:ascii="Times New Roman" w:hAnsi="Times New Roman"/>
              </w:rPr>
            </w:pPr>
            <w:r w:rsidRPr="009A59E7">
              <w:rPr>
                <w:rFonts w:ascii="Times New Roman" w:hAnsi="Times New Roman"/>
              </w:rPr>
              <w:t>Every 48 hours</w:t>
            </w:r>
          </w:p>
        </w:tc>
        <w:tc>
          <w:tcPr>
            <w:tcW w:w="1224" w:type="dxa"/>
            <w:gridSpan w:val="2"/>
            <w:tcBorders>
              <w:top w:val="nil"/>
              <w:left w:val="single" w:sz="4" w:space="0" w:color="auto"/>
              <w:bottom w:val="single" w:sz="4" w:space="0" w:color="auto"/>
              <w:right w:val="nil"/>
            </w:tcBorders>
            <w:shd w:val="clear" w:color="auto" w:fill="auto"/>
            <w:vAlign w:val="center"/>
          </w:tcPr>
          <w:p w:rsidR="005B38AE" w:rsidRPr="009A59E7" w:rsidRDefault="00684243" w:rsidP="001B0FFF">
            <w:pPr>
              <w:ind w:left="-202" w:right="-115"/>
              <w:jc w:val="center"/>
              <w:rPr>
                <w:rFonts w:ascii="Times New Roman" w:hAnsi="Times New Roman"/>
              </w:rPr>
            </w:pPr>
            <w:r>
              <w:rPr>
                <w:rFonts w:ascii="Times New Roman" w:hAnsi="Times New Roman"/>
              </w:rPr>
              <w:t>Every 72 to 96 hours</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5B38AE" w:rsidRPr="009A59E7" w:rsidRDefault="005B38AE" w:rsidP="001B0FFF">
            <w:pPr>
              <w:spacing w:before="60" w:after="60"/>
              <w:ind w:left="-111" w:right="-115"/>
              <w:jc w:val="center"/>
              <w:rPr>
                <w:rFonts w:ascii="Times New Roman" w:hAnsi="Times New Roman"/>
              </w:rPr>
            </w:pPr>
            <w:r w:rsidRPr="009A59E7">
              <w:rPr>
                <w:rFonts w:ascii="Times New Roman" w:hAnsi="Times New Roman"/>
              </w:rPr>
              <w:t>Every 7 days or after a total of approximately 12 hours of dialysis</w:t>
            </w:r>
            <w:r w:rsidRPr="009A59E7">
              <w:rPr>
                <w:rFonts w:ascii="Times New Roman" w:hAnsi="Times New Roman"/>
                <w:vertAlign w:val="superscript"/>
              </w:rPr>
              <w:t>2</w:t>
            </w:r>
          </w:p>
        </w:tc>
      </w:tr>
    </w:tbl>
    <w:p w:rsidR="005B38AE" w:rsidRPr="009A59E7" w:rsidRDefault="005B38AE" w:rsidP="00FA25FA">
      <w:pPr>
        <w:pStyle w:val="TOCHeadings"/>
        <w:widowControl/>
        <w:numPr>
          <w:ilvl w:val="0"/>
          <w:numId w:val="10"/>
        </w:numPr>
        <w:tabs>
          <w:tab w:val="num" w:pos="360"/>
        </w:tabs>
        <w:spacing w:before="60" w:after="0"/>
        <w:ind w:left="360" w:hanging="360"/>
        <w:rPr>
          <w:rFonts w:ascii="Times New Roman" w:hAnsi="Times New Roman"/>
          <w:b w:val="0"/>
          <w:sz w:val="18"/>
          <w:lang w:val="en-AU"/>
        </w:rPr>
      </w:pPr>
      <w:r w:rsidRPr="009A59E7">
        <w:rPr>
          <w:rFonts w:ascii="Times New Roman" w:hAnsi="Times New Roman"/>
          <w:b w:val="0"/>
          <w:sz w:val="18"/>
          <w:lang w:val="en-AU"/>
        </w:rPr>
        <w:t>Calculated</w:t>
      </w:r>
      <w:r w:rsidR="002815BC">
        <w:rPr>
          <w:rFonts w:ascii="Times New Roman" w:hAnsi="Times New Roman"/>
          <w:b w:val="0"/>
          <w:sz w:val="18"/>
          <w:lang w:val="en-AU"/>
        </w:rPr>
        <w:t xml:space="preserve"> with Cockcroft Gault equation</w:t>
      </w:r>
      <w:r w:rsidRPr="009A59E7">
        <w:rPr>
          <w:rFonts w:ascii="Times New Roman" w:hAnsi="Times New Roman"/>
          <w:sz w:val="18"/>
          <w:lang w:val="en-AU"/>
        </w:rPr>
        <w:t>.</w:t>
      </w:r>
    </w:p>
    <w:p w:rsidR="005B38AE" w:rsidRPr="009A59E7" w:rsidRDefault="005B38AE" w:rsidP="00FA25FA">
      <w:pPr>
        <w:pStyle w:val="TOCHeadings"/>
        <w:widowControl/>
        <w:numPr>
          <w:ilvl w:val="0"/>
          <w:numId w:val="10"/>
        </w:numPr>
        <w:tabs>
          <w:tab w:val="num" w:pos="360"/>
        </w:tabs>
        <w:spacing w:before="0" w:after="120"/>
        <w:ind w:left="360" w:hanging="360"/>
        <w:rPr>
          <w:rFonts w:ascii="Times New Roman" w:hAnsi="Times New Roman"/>
          <w:b w:val="0"/>
          <w:sz w:val="18"/>
          <w:lang w:val="en-AU"/>
        </w:rPr>
      </w:pPr>
      <w:r w:rsidRPr="009A59E7">
        <w:rPr>
          <w:rFonts w:ascii="Times New Roman" w:hAnsi="Times New Roman"/>
          <w:b w:val="0"/>
          <w:sz w:val="18"/>
          <w:lang w:val="en-AU"/>
        </w:rPr>
        <w:t>Generally once weekly assuming three hemodialysis sessions a week of approximately 4 hours duration.  VIREAD should be administered following completion of dialysis.</w:t>
      </w:r>
    </w:p>
    <w:p w:rsidR="00AC7215" w:rsidRPr="00015C34" w:rsidRDefault="00AC7215" w:rsidP="00EB4111">
      <w:pPr>
        <w:pStyle w:val="TOCHeadings"/>
        <w:widowControl/>
        <w:tabs>
          <w:tab w:val="left" w:pos="720"/>
        </w:tabs>
        <w:spacing w:before="0" w:after="0"/>
        <w:jc w:val="both"/>
        <w:rPr>
          <w:rFonts w:ascii="Times New Roman" w:hAnsi="Times New Roman"/>
          <w:b w:val="0"/>
          <w:sz w:val="24"/>
          <w:szCs w:val="24"/>
          <w:lang w:val="en-AU"/>
        </w:rPr>
      </w:pPr>
    </w:p>
    <w:p w:rsidR="005B38AE" w:rsidRPr="00015C34" w:rsidRDefault="005B38AE" w:rsidP="00EB4111">
      <w:pPr>
        <w:pStyle w:val="TOCHeadings"/>
        <w:widowControl/>
        <w:tabs>
          <w:tab w:val="left" w:pos="720"/>
        </w:tabs>
        <w:spacing w:before="0" w:after="0"/>
        <w:jc w:val="both"/>
        <w:rPr>
          <w:rFonts w:ascii="Times New Roman" w:hAnsi="Times New Roman"/>
          <w:b w:val="0"/>
          <w:sz w:val="24"/>
          <w:szCs w:val="24"/>
          <w:lang w:val="en-AU"/>
        </w:rPr>
      </w:pPr>
      <w:r w:rsidRPr="00015C34">
        <w:rPr>
          <w:rFonts w:ascii="Times New Roman" w:hAnsi="Times New Roman"/>
          <w:b w:val="0"/>
          <w:sz w:val="24"/>
          <w:szCs w:val="24"/>
          <w:lang w:val="en-AU"/>
        </w:rPr>
        <w:t>The pharmacokinetics of tenofovir have not been evaluated in non-h</w:t>
      </w:r>
      <w:r w:rsidR="000A58F7" w:rsidRPr="00015C34">
        <w:rPr>
          <w:rFonts w:ascii="Times New Roman" w:hAnsi="Times New Roman"/>
          <w:b w:val="0"/>
          <w:sz w:val="24"/>
          <w:szCs w:val="24"/>
          <w:lang w:val="en-AU"/>
        </w:rPr>
        <w:t>a</w:t>
      </w:r>
      <w:r w:rsidRPr="00015C34">
        <w:rPr>
          <w:rFonts w:ascii="Times New Roman" w:hAnsi="Times New Roman"/>
          <w:b w:val="0"/>
          <w:sz w:val="24"/>
          <w:szCs w:val="24"/>
          <w:lang w:val="en-AU"/>
        </w:rPr>
        <w:t>emodialysis patients with creatinine clearance &lt;10 mL/min; therefore, no dosing recommendation is available for these patients.</w:t>
      </w:r>
    </w:p>
    <w:p w:rsidR="003927EB" w:rsidRDefault="003927EB" w:rsidP="003927EB">
      <w:pPr>
        <w:pStyle w:val="TOCHeadings"/>
        <w:widowControl/>
        <w:tabs>
          <w:tab w:val="left" w:pos="720"/>
        </w:tabs>
        <w:spacing w:before="0" w:after="0"/>
        <w:jc w:val="both"/>
        <w:rPr>
          <w:rFonts w:ascii="Times New Roman" w:hAnsi="Times New Roman"/>
          <w:b w:val="0"/>
          <w:sz w:val="24"/>
          <w:szCs w:val="24"/>
          <w:lang w:val="en-AU"/>
        </w:rPr>
      </w:pPr>
    </w:p>
    <w:p w:rsidR="003927EB" w:rsidRPr="00015C34" w:rsidRDefault="003927EB" w:rsidP="003927EB">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No data are available to make dose recommendations in paediatric patients 12 years of age and older with renal impairment.</w:t>
      </w:r>
    </w:p>
    <w:p w:rsidR="009121E0" w:rsidRPr="00015C34" w:rsidRDefault="009121E0" w:rsidP="00EB4111">
      <w:pPr>
        <w:jc w:val="both"/>
        <w:rPr>
          <w:rFonts w:ascii="Times New Roman" w:hAnsi="Times New Roman"/>
          <w:i/>
          <w:color w:val="000000"/>
          <w:sz w:val="24"/>
          <w:szCs w:val="24"/>
        </w:rPr>
      </w:pPr>
    </w:p>
    <w:p w:rsidR="007F553A" w:rsidRPr="00015C34" w:rsidRDefault="007F553A" w:rsidP="00EB4111">
      <w:pPr>
        <w:jc w:val="both"/>
        <w:rPr>
          <w:rFonts w:ascii="Times New Roman" w:hAnsi="Times New Roman"/>
          <w:sz w:val="24"/>
          <w:szCs w:val="24"/>
        </w:rPr>
      </w:pPr>
      <w:r w:rsidRPr="00015C34">
        <w:rPr>
          <w:rFonts w:ascii="Times New Roman" w:hAnsi="Times New Roman"/>
          <w:b/>
          <w:i/>
          <w:color w:val="000000"/>
          <w:sz w:val="24"/>
          <w:szCs w:val="24"/>
        </w:rPr>
        <w:t>Hepatic impairment</w:t>
      </w:r>
      <w:r w:rsidR="009A59E7" w:rsidRPr="00015C34">
        <w:rPr>
          <w:rFonts w:ascii="Times New Roman" w:hAnsi="Times New Roman"/>
          <w:b/>
          <w:i/>
          <w:color w:val="000000"/>
          <w:sz w:val="24"/>
          <w:szCs w:val="24"/>
        </w:rPr>
        <w:t>:</w:t>
      </w:r>
      <w:r w:rsidRPr="00015C34">
        <w:rPr>
          <w:rFonts w:ascii="Times New Roman" w:hAnsi="Times New Roman"/>
          <w:b/>
          <w:i/>
          <w:color w:val="000000"/>
          <w:sz w:val="24"/>
          <w:szCs w:val="24"/>
        </w:rPr>
        <w:t xml:space="preserve"> </w:t>
      </w:r>
      <w:r w:rsidRPr="00015C34">
        <w:rPr>
          <w:rFonts w:ascii="Times New Roman" w:hAnsi="Times New Roman"/>
          <w:b/>
          <w:color w:val="000000"/>
          <w:sz w:val="24"/>
          <w:szCs w:val="24"/>
        </w:rPr>
        <w:t xml:space="preserve"> </w:t>
      </w:r>
      <w:r w:rsidR="000F380C" w:rsidRPr="00015C34">
        <w:rPr>
          <w:rFonts w:ascii="Times New Roman" w:hAnsi="Times New Roman"/>
          <w:sz w:val="24"/>
          <w:szCs w:val="24"/>
        </w:rPr>
        <w:t xml:space="preserve">There were no substantial alterations in tenofovir pharmacokinetics in patients with hepatic impairment compared with unimpaired patients.  No change in VIREAD dosing is required in patients with hepatic impairment.  </w:t>
      </w:r>
    </w:p>
    <w:p w:rsidR="00684243" w:rsidRPr="00015C34" w:rsidRDefault="00684243" w:rsidP="00EB4111">
      <w:pPr>
        <w:jc w:val="both"/>
        <w:rPr>
          <w:rFonts w:ascii="Times New Roman" w:hAnsi="Times New Roman"/>
          <w:sz w:val="24"/>
          <w:szCs w:val="24"/>
        </w:rPr>
      </w:pPr>
    </w:p>
    <w:p w:rsidR="00684243" w:rsidRPr="00015C34" w:rsidRDefault="00684243" w:rsidP="00684243">
      <w:pPr>
        <w:jc w:val="both"/>
        <w:rPr>
          <w:rFonts w:ascii="Times New Roman" w:hAnsi="Times New Roman"/>
          <w:color w:val="000000"/>
          <w:sz w:val="24"/>
          <w:szCs w:val="24"/>
        </w:rPr>
      </w:pPr>
      <w:r w:rsidRPr="00015C34">
        <w:rPr>
          <w:rFonts w:ascii="Times New Roman" w:hAnsi="Times New Roman"/>
          <w:i/>
          <w:color w:val="000000"/>
          <w:sz w:val="24"/>
          <w:szCs w:val="24"/>
        </w:rPr>
        <w:t xml:space="preserve">Chronic hepatitis B: </w:t>
      </w:r>
      <w:r w:rsidRPr="00015C34">
        <w:rPr>
          <w:rFonts w:ascii="Times New Roman" w:hAnsi="Times New Roman"/>
          <w:color w:val="000000"/>
          <w:sz w:val="24"/>
          <w:szCs w:val="24"/>
        </w:rPr>
        <w:t>Treatment with VIREAD may be discontinued if there is HBsAg loss or HBsAg seroconversion, otherwise the optimal duration of treatment is unknown.</w:t>
      </w:r>
    </w:p>
    <w:p w:rsidR="008729F3" w:rsidRPr="00015C34" w:rsidRDefault="008729F3" w:rsidP="00EB4111">
      <w:pPr>
        <w:jc w:val="both"/>
        <w:rPr>
          <w:rFonts w:ascii="Times New Roman" w:hAnsi="Times New Roman"/>
          <w:color w:val="000000"/>
          <w:sz w:val="24"/>
          <w:szCs w:val="24"/>
        </w:rPr>
      </w:pPr>
    </w:p>
    <w:p w:rsidR="007F553A" w:rsidRPr="00015C34" w:rsidRDefault="00EB4111" w:rsidP="00EB4111">
      <w:pPr>
        <w:tabs>
          <w:tab w:val="left" w:pos="540"/>
        </w:tabs>
        <w:jc w:val="both"/>
        <w:rPr>
          <w:rFonts w:ascii="Times New Roman" w:hAnsi="Times New Roman"/>
          <w:b/>
          <w:color w:val="000000"/>
          <w:sz w:val="24"/>
          <w:szCs w:val="24"/>
        </w:rPr>
      </w:pPr>
      <w:r w:rsidRPr="00015C34">
        <w:rPr>
          <w:rFonts w:ascii="Times New Roman" w:hAnsi="Times New Roman"/>
          <w:b/>
          <w:color w:val="000000"/>
          <w:sz w:val="24"/>
          <w:szCs w:val="24"/>
        </w:rPr>
        <w:t>OVERDOSAGE</w:t>
      </w:r>
    </w:p>
    <w:p w:rsidR="007F553A" w:rsidRPr="00015C34" w:rsidRDefault="007F553A" w:rsidP="00EB4111">
      <w:pPr>
        <w:tabs>
          <w:tab w:val="left" w:pos="540"/>
        </w:tabs>
        <w:jc w:val="both"/>
        <w:rPr>
          <w:rFonts w:ascii="Times New Roman" w:hAnsi="Times New Roman"/>
          <w:b/>
          <w:color w:val="000000"/>
          <w:sz w:val="24"/>
          <w:szCs w:val="24"/>
        </w:rPr>
      </w:pPr>
    </w:p>
    <w:p w:rsidR="009443F9" w:rsidRDefault="007F553A" w:rsidP="00EB4111">
      <w:pPr>
        <w:jc w:val="both"/>
        <w:rPr>
          <w:rFonts w:ascii="Times New Roman" w:hAnsi="Times New Roman"/>
          <w:color w:val="000000"/>
          <w:sz w:val="24"/>
          <w:szCs w:val="24"/>
        </w:rPr>
      </w:pPr>
      <w:r w:rsidRPr="00015C34">
        <w:rPr>
          <w:rFonts w:ascii="Times New Roman" w:hAnsi="Times New Roman"/>
          <w:color w:val="000000"/>
          <w:sz w:val="24"/>
          <w:szCs w:val="24"/>
        </w:rPr>
        <w:t xml:space="preserve">Clinical experience of doses higher than the therapeutic dose of VIREAD 300 mg is available from two studies. In one study, intravenous tenofovir, equivalent to 16.7 mg/kg/day of tenofovir disoproxil fumarate, was administered daily for 7 days. In the second study, 600 mg of tenofovir disoproxil fumarate was administered to patients orally for 28 days. </w:t>
      </w:r>
    </w:p>
    <w:p w:rsidR="009443F9" w:rsidRDefault="009443F9" w:rsidP="00EB4111">
      <w:pPr>
        <w:jc w:val="both"/>
        <w:rPr>
          <w:rFonts w:ascii="Times New Roman" w:hAnsi="Times New Roman"/>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color w:val="000000"/>
          <w:sz w:val="24"/>
          <w:szCs w:val="24"/>
        </w:rPr>
        <w:t xml:space="preserve">No unexpected or severe adverse reactions were reported in either study.  The effects of higher doses are not known. </w:t>
      </w:r>
    </w:p>
    <w:p w:rsidR="007F553A" w:rsidRPr="00015C34" w:rsidRDefault="007F553A" w:rsidP="00EB4111">
      <w:pPr>
        <w:jc w:val="both"/>
        <w:rPr>
          <w:rFonts w:ascii="Times New Roman" w:hAnsi="Times New Roman"/>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color w:val="000000"/>
          <w:sz w:val="24"/>
          <w:szCs w:val="24"/>
        </w:rPr>
        <w:t xml:space="preserve">If overdose occurs the patient must be monitored for evidence of toxicity (see </w:t>
      </w:r>
      <w:r w:rsidR="00E65D66">
        <w:rPr>
          <w:rFonts w:ascii="Times New Roman" w:hAnsi="Times New Roman"/>
          <w:color w:val="000000"/>
          <w:sz w:val="24"/>
          <w:szCs w:val="24"/>
        </w:rPr>
        <w:t>ADVERSE EFFECTS</w:t>
      </w:r>
      <w:r w:rsidRPr="00015C34">
        <w:rPr>
          <w:rFonts w:ascii="Times New Roman" w:hAnsi="Times New Roman"/>
          <w:color w:val="000000"/>
          <w:sz w:val="24"/>
          <w:szCs w:val="24"/>
        </w:rPr>
        <w:t xml:space="preserve"> and </w:t>
      </w:r>
      <w:r w:rsidR="00E65D66">
        <w:rPr>
          <w:rFonts w:ascii="Times New Roman" w:hAnsi="Times New Roman"/>
          <w:color w:val="000000"/>
          <w:sz w:val="24"/>
          <w:szCs w:val="24"/>
        </w:rPr>
        <w:t>PRECAUTIONS</w:t>
      </w:r>
      <w:r w:rsidRPr="00015C34">
        <w:rPr>
          <w:rFonts w:ascii="Times New Roman" w:hAnsi="Times New Roman"/>
          <w:color w:val="000000"/>
          <w:sz w:val="24"/>
          <w:szCs w:val="24"/>
        </w:rPr>
        <w:t xml:space="preserve">), and standard supportive treatment applied as necessary. </w:t>
      </w:r>
    </w:p>
    <w:p w:rsidR="007F553A" w:rsidRPr="00015C34" w:rsidRDefault="007F553A" w:rsidP="00EB4111">
      <w:pPr>
        <w:jc w:val="both"/>
        <w:rPr>
          <w:rFonts w:ascii="Times New Roman" w:hAnsi="Times New Roman"/>
          <w:color w:val="000000"/>
          <w:sz w:val="24"/>
          <w:szCs w:val="24"/>
        </w:rPr>
      </w:pPr>
    </w:p>
    <w:p w:rsidR="00F0147F" w:rsidRDefault="00F0147F" w:rsidP="00EB4111">
      <w:pPr>
        <w:pStyle w:val="TOCHeadings"/>
        <w:widowControl/>
        <w:tabs>
          <w:tab w:val="left" w:pos="720"/>
        </w:tabs>
        <w:spacing w:before="0" w:after="0"/>
        <w:jc w:val="both"/>
        <w:rPr>
          <w:rFonts w:ascii="Times New Roman" w:hAnsi="Times New Roman"/>
          <w:b w:val="0"/>
          <w:sz w:val="24"/>
          <w:szCs w:val="24"/>
          <w:lang w:val="en-AU"/>
        </w:rPr>
      </w:pPr>
      <w:r w:rsidRPr="00015C34">
        <w:rPr>
          <w:rFonts w:ascii="Times New Roman" w:hAnsi="Times New Roman"/>
          <w:b w:val="0"/>
          <w:sz w:val="24"/>
          <w:szCs w:val="24"/>
          <w:lang w:val="en-AU"/>
        </w:rPr>
        <w:t>Tenofovir is efficiently removed by h</w:t>
      </w:r>
      <w:r w:rsidR="000A58F7" w:rsidRPr="00015C34">
        <w:rPr>
          <w:rFonts w:ascii="Times New Roman" w:hAnsi="Times New Roman"/>
          <w:b w:val="0"/>
          <w:sz w:val="24"/>
          <w:szCs w:val="24"/>
          <w:lang w:val="en-AU"/>
        </w:rPr>
        <w:t>a</w:t>
      </w:r>
      <w:r w:rsidRPr="00015C34">
        <w:rPr>
          <w:rFonts w:ascii="Times New Roman" w:hAnsi="Times New Roman"/>
          <w:b w:val="0"/>
          <w:sz w:val="24"/>
          <w:szCs w:val="24"/>
          <w:lang w:val="en-AU"/>
        </w:rPr>
        <w:t>emodialysis with an extraction coefficient of approximately 54%.  Following a single 300 mg dose of VIREAD, a four-hour h</w:t>
      </w:r>
      <w:r w:rsidR="000A58F7" w:rsidRPr="00015C34">
        <w:rPr>
          <w:rFonts w:ascii="Times New Roman" w:hAnsi="Times New Roman"/>
          <w:b w:val="0"/>
          <w:sz w:val="24"/>
          <w:szCs w:val="24"/>
          <w:lang w:val="en-AU"/>
        </w:rPr>
        <w:t>a</w:t>
      </w:r>
      <w:r w:rsidRPr="00015C34">
        <w:rPr>
          <w:rFonts w:ascii="Times New Roman" w:hAnsi="Times New Roman"/>
          <w:b w:val="0"/>
          <w:sz w:val="24"/>
          <w:szCs w:val="24"/>
          <w:lang w:val="en-AU"/>
        </w:rPr>
        <w:t>emodialysis session removed approximately 10% of the administered tenofovir dose.</w:t>
      </w:r>
    </w:p>
    <w:p w:rsidR="009443F9" w:rsidRDefault="009443F9" w:rsidP="00EB4111">
      <w:pPr>
        <w:pStyle w:val="TOCHeadings"/>
        <w:widowControl/>
        <w:tabs>
          <w:tab w:val="left" w:pos="720"/>
        </w:tabs>
        <w:spacing w:before="0" w:after="0"/>
        <w:jc w:val="both"/>
        <w:rPr>
          <w:rFonts w:ascii="Times New Roman" w:hAnsi="Times New Roman"/>
          <w:b w:val="0"/>
          <w:sz w:val="24"/>
          <w:szCs w:val="24"/>
          <w:lang w:val="en-AU"/>
        </w:rPr>
      </w:pPr>
    </w:p>
    <w:p w:rsidR="009443F9" w:rsidRPr="00015C34" w:rsidRDefault="009443F9" w:rsidP="00EB4111">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For information on the management of overdose, contact the Poison Information Centre on 131126 (</w:t>
      </w:r>
      <w:smartTag w:uri="urn:schemas-microsoft-com:office:smarttags" w:element="country-region">
        <w:r>
          <w:rPr>
            <w:rFonts w:ascii="Times New Roman" w:hAnsi="Times New Roman"/>
            <w:b w:val="0"/>
            <w:sz w:val="24"/>
            <w:szCs w:val="24"/>
            <w:lang w:val="en-AU"/>
          </w:rPr>
          <w:t>Australia</w:t>
        </w:r>
      </w:smartTag>
      <w:r>
        <w:rPr>
          <w:rFonts w:ascii="Times New Roman" w:hAnsi="Times New Roman"/>
          <w:b w:val="0"/>
          <w:sz w:val="24"/>
          <w:szCs w:val="24"/>
          <w:lang w:val="en-AU"/>
        </w:rPr>
        <w:t>) and 0800 764 766 (</w:t>
      </w:r>
      <w:smartTag w:uri="urn:schemas-microsoft-com:office:smarttags" w:element="country-region">
        <w:smartTag w:uri="urn:schemas-microsoft-com:office:smarttags" w:element="place">
          <w:r>
            <w:rPr>
              <w:rFonts w:ascii="Times New Roman" w:hAnsi="Times New Roman"/>
              <w:b w:val="0"/>
              <w:sz w:val="24"/>
              <w:szCs w:val="24"/>
              <w:lang w:val="en-AU"/>
            </w:rPr>
            <w:t>New Zealand</w:t>
          </w:r>
        </w:smartTag>
      </w:smartTag>
      <w:r>
        <w:rPr>
          <w:rFonts w:ascii="Times New Roman" w:hAnsi="Times New Roman"/>
          <w:b w:val="0"/>
          <w:sz w:val="24"/>
          <w:szCs w:val="24"/>
          <w:lang w:val="en-AU"/>
        </w:rPr>
        <w:t>).</w:t>
      </w:r>
    </w:p>
    <w:p w:rsidR="007F553A" w:rsidRPr="00015C34" w:rsidRDefault="007F553A" w:rsidP="00EB4111">
      <w:pPr>
        <w:jc w:val="both"/>
        <w:rPr>
          <w:rFonts w:ascii="Times New Roman" w:hAnsi="Times New Roman"/>
          <w:b/>
          <w:color w:val="000000"/>
          <w:sz w:val="24"/>
          <w:szCs w:val="24"/>
        </w:rPr>
      </w:pPr>
    </w:p>
    <w:p w:rsidR="007F553A" w:rsidRPr="00015C34" w:rsidRDefault="00EB4111" w:rsidP="00EB4111">
      <w:pPr>
        <w:jc w:val="both"/>
        <w:rPr>
          <w:rFonts w:ascii="Times New Roman" w:hAnsi="Times New Roman"/>
          <w:b/>
          <w:color w:val="000000"/>
          <w:sz w:val="24"/>
          <w:szCs w:val="24"/>
        </w:rPr>
      </w:pPr>
      <w:r w:rsidRPr="00015C34">
        <w:rPr>
          <w:rFonts w:ascii="Times New Roman" w:hAnsi="Times New Roman"/>
          <w:b/>
          <w:color w:val="000000"/>
          <w:sz w:val="24"/>
          <w:szCs w:val="24"/>
        </w:rPr>
        <w:t>PRESENTATION</w:t>
      </w:r>
      <w:r w:rsidR="008729F3" w:rsidRPr="00015C34">
        <w:rPr>
          <w:rFonts w:ascii="Times New Roman" w:hAnsi="Times New Roman"/>
          <w:b/>
          <w:color w:val="000000"/>
          <w:sz w:val="24"/>
          <w:szCs w:val="24"/>
        </w:rPr>
        <w:t xml:space="preserve"> AND STORAGE CONDITIONS</w:t>
      </w:r>
    </w:p>
    <w:p w:rsidR="007F553A" w:rsidRPr="00015C34" w:rsidRDefault="007F553A" w:rsidP="00EB4111">
      <w:pPr>
        <w:ind w:hanging="567"/>
        <w:jc w:val="both"/>
        <w:rPr>
          <w:rFonts w:ascii="Times New Roman" w:hAnsi="Times New Roman"/>
          <w:caps/>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color w:val="000000"/>
          <w:sz w:val="24"/>
          <w:szCs w:val="24"/>
        </w:rPr>
        <w:lastRenderedPageBreak/>
        <w:t>Light blue, almond-shaped film-coated tablets, debossed on one side with the markings “</w:t>
      </w:r>
      <w:smartTag w:uri="urn:schemas-microsoft-com:office:smarttags" w:element="place">
        <w:r w:rsidRPr="00015C34">
          <w:rPr>
            <w:rFonts w:ascii="Times New Roman" w:hAnsi="Times New Roman"/>
            <w:color w:val="000000"/>
            <w:sz w:val="24"/>
            <w:szCs w:val="24"/>
          </w:rPr>
          <w:t>GILEAD</w:t>
        </w:r>
      </w:smartTag>
      <w:r w:rsidRPr="00015C34">
        <w:rPr>
          <w:rFonts w:ascii="Times New Roman" w:hAnsi="Times New Roman"/>
          <w:color w:val="000000"/>
          <w:sz w:val="24"/>
          <w:szCs w:val="24"/>
        </w:rPr>
        <w:t>” and “4331” and on the other side with the marking “300”.</w:t>
      </w:r>
    </w:p>
    <w:p w:rsidR="007F553A" w:rsidRPr="00015C34" w:rsidRDefault="007F553A" w:rsidP="00EB4111">
      <w:pPr>
        <w:jc w:val="both"/>
        <w:rPr>
          <w:rFonts w:ascii="Times New Roman" w:hAnsi="Times New Roman"/>
          <w:color w:val="000000"/>
          <w:sz w:val="24"/>
          <w:szCs w:val="24"/>
        </w:rPr>
      </w:pPr>
    </w:p>
    <w:p w:rsidR="007F553A" w:rsidRPr="00015C34" w:rsidRDefault="007F553A" w:rsidP="00EB4111">
      <w:pPr>
        <w:jc w:val="both"/>
        <w:rPr>
          <w:rFonts w:ascii="Times New Roman" w:hAnsi="Times New Roman"/>
          <w:color w:val="000000"/>
          <w:sz w:val="24"/>
          <w:szCs w:val="24"/>
        </w:rPr>
      </w:pPr>
      <w:r w:rsidRPr="00015C34">
        <w:rPr>
          <w:rFonts w:ascii="Times New Roman" w:hAnsi="Times New Roman"/>
          <w:color w:val="000000"/>
          <w:sz w:val="24"/>
          <w:szCs w:val="24"/>
        </w:rPr>
        <w:t xml:space="preserve">VIREAD is supplied in high density polyethylene (HDPE) bottles containing 30 film-coated tablets with a </w:t>
      </w:r>
      <w:r w:rsidR="000827A2" w:rsidRPr="00015C34">
        <w:rPr>
          <w:rFonts w:ascii="Times New Roman" w:hAnsi="Times New Roman"/>
          <w:color w:val="000000"/>
          <w:sz w:val="24"/>
          <w:szCs w:val="24"/>
        </w:rPr>
        <w:t>desiccant (</w:t>
      </w:r>
      <w:r w:rsidRPr="00015C34">
        <w:rPr>
          <w:rFonts w:ascii="Times New Roman" w:hAnsi="Times New Roman"/>
          <w:color w:val="000000"/>
          <w:sz w:val="24"/>
          <w:szCs w:val="24"/>
        </w:rPr>
        <w:t xml:space="preserve">silica gel </w:t>
      </w:r>
      <w:r w:rsidR="000827A2" w:rsidRPr="00015C34">
        <w:rPr>
          <w:rFonts w:ascii="Times New Roman" w:hAnsi="Times New Roman"/>
          <w:color w:val="000000"/>
          <w:sz w:val="24"/>
          <w:szCs w:val="24"/>
        </w:rPr>
        <w:t xml:space="preserve">canister or sachet) </w:t>
      </w:r>
      <w:r w:rsidRPr="00015C34">
        <w:rPr>
          <w:rFonts w:ascii="Times New Roman" w:hAnsi="Times New Roman"/>
          <w:color w:val="000000"/>
          <w:sz w:val="24"/>
          <w:szCs w:val="24"/>
        </w:rPr>
        <w:t xml:space="preserve">and polyester fibre packing material.  Each bottle is capped with a polypropylene child-resistant closure with an induction-sealed, </w:t>
      </w:r>
      <w:r w:rsidR="00E44700" w:rsidRPr="00015C34">
        <w:rPr>
          <w:rFonts w:ascii="Times New Roman" w:hAnsi="Times New Roman"/>
          <w:color w:val="000000"/>
          <w:sz w:val="24"/>
          <w:szCs w:val="24"/>
        </w:rPr>
        <w:t>aluminium</w:t>
      </w:r>
      <w:r w:rsidRPr="00015C34">
        <w:rPr>
          <w:rFonts w:ascii="Times New Roman" w:hAnsi="Times New Roman"/>
          <w:color w:val="000000"/>
          <w:sz w:val="24"/>
          <w:szCs w:val="24"/>
        </w:rPr>
        <w:t>-faced liner.</w:t>
      </w:r>
    </w:p>
    <w:p w:rsidR="00421161" w:rsidRPr="00015C34" w:rsidRDefault="00421161" w:rsidP="00EB4111">
      <w:pPr>
        <w:jc w:val="both"/>
        <w:rPr>
          <w:rFonts w:ascii="Times New Roman" w:hAnsi="Times New Roman"/>
          <w:color w:val="000000"/>
          <w:sz w:val="24"/>
          <w:szCs w:val="24"/>
        </w:rPr>
      </w:pPr>
    </w:p>
    <w:p w:rsidR="00421161" w:rsidRPr="00015C34" w:rsidRDefault="00421161" w:rsidP="00EB4111">
      <w:pPr>
        <w:jc w:val="both"/>
        <w:rPr>
          <w:rFonts w:ascii="Times New Roman" w:hAnsi="Times New Roman"/>
          <w:color w:val="000000"/>
          <w:sz w:val="24"/>
          <w:szCs w:val="24"/>
        </w:rPr>
      </w:pPr>
      <w:r w:rsidRPr="00015C34">
        <w:rPr>
          <w:rFonts w:ascii="Times New Roman" w:hAnsi="Times New Roman"/>
          <w:color w:val="000000"/>
          <w:sz w:val="24"/>
          <w:szCs w:val="24"/>
        </w:rPr>
        <w:t xml:space="preserve">Store below 25 </w:t>
      </w:r>
      <w:r w:rsidRPr="00015C34">
        <w:rPr>
          <w:rFonts w:ascii="Times New Roman" w:hAnsi="Times New Roman"/>
          <w:color w:val="000000"/>
          <w:sz w:val="24"/>
          <w:szCs w:val="24"/>
        </w:rPr>
        <w:sym w:font="Symbol" w:char="F0B0"/>
      </w:r>
      <w:r w:rsidRPr="00015C34">
        <w:rPr>
          <w:rFonts w:ascii="Times New Roman" w:hAnsi="Times New Roman"/>
          <w:color w:val="000000"/>
          <w:sz w:val="24"/>
          <w:szCs w:val="24"/>
        </w:rPr>
        <w:t>C</w:t>
      </w:r>
    </w:p>
    <w:p w:rsidR="007F553A" w:rsidRPr="00015C34" w:rsidRDefault="007F553A" w:rsidP="00EB4111">
      <w:pPr>
        <w:jc w:val="both"/>
        <w:rPr>
          <w:rFonts w:ascii="Times New Roman" w:hAnsi="Times New Roman"/>
          <w:color w:val="000000"/>
          <w:sz w:val="24"/>
          <w:szCs w:val="24"/>
        </w:rPr>
      </w:pPr>
    </w:p>
    <w:p w:rsidR="007F553A" w:rsidRPr="00015C34" w:rsidRDefault="00EB4111" w:rsidP="00EB4111">
      <w:pPr>
        <w:jc w:val="both"/>
        <w:rPr>
          <w:rFonts w:ascii="Times New Roman" w:hAnsi="Times New Roman"/>
          <w:b/>
          <w:color w:val="000000"/>
          <w:sz w:val="24"/>
          <w:szCs w:val="24"/>
        </w:rPr>
      </w:pPr>
      <w:r w:rsidRPr="00015C34">
        <w:rPr>
          <w:rFonts w:ascii="Times New Roman" w:hAnsi="Times New Roman"/>
          <w:b/>
          <w:color w:val="000000"/>
          <w:sz w:val="24"/>
          <w:szCs w:val="24"/>
        </w:rPr>
        <w:t>NAME AND ADDRESS OF THE SPONSOR</w:t>
      </w:r>
    </w:p>
    <w:p w:rsidR="007F553A" w:rsidRPr="00015C34" w:rsidRDefault="007F553A" w:rsidP="00EB4111">
      <w:pPr>
        <w:ind w:hanging="567"/>
        <w:jc w:val="both"/>
        <w:rPr>
          <w:rFonts w:ascii="Times New Roman" w:hAnsi="Times New Roman"/>
          <w:color w:val="000000"/>
          <w:sz w:val="24"/>
          <w:szCs w:val="24"/>
        </w:rPr>
      </w:pPr>
    </w:p>
    <w:p w:rsidR="00367A0B" w:rsidRPr="00015C34" w:rsidRDefault="00367A0B" w:rsidP="00367A0B">
      <w:pPr>
        <w:jc w:val="both"/>
        <w:rPr>
          <w:rFonts w:ascii="Times New Roman" w:hAnsi="Times New Roman"/>
          <w:sz w:val="24"/>
          <w:szCs w:val="24"/>
        </w:rPr>
      </w:pPr>
      <w:r w:rsidRPr="00015C34">
        <w:rPr>
          <w:rFonts w:ascii="Times New Roman" w:hAnsi="Times New Roman"/>
          <w:sz w:val="24"/>
          <w:szCs w:val="24"/>
        </w:rPr>
        <w:t>Gilead Sciences Pty L</w:t>
      </w:r>
      <w:r w:rsidR="00A80F6C" w:rsidRPr="00015C34">
        <w:rPr>
          <w:rFonts w:ascii="Times New Roman" w:hAnsi="Times New Roman"/>
          <w:sz w:val="24"/>
          <w:szCs w:val="24"/>
        </w:rPr>
        <w:t>t</w:t>
      </w:r>
      <w:r w:rsidRPr="00015C34">
        <w:rPr>
          <w:rFonts w:ascii="Times New Roman" w:hAnsi="Times New Roman"/>
          <w:sz w:val="24"/>
          <w:szCs w:val="24"/>
        </w:rPr>
        <w:t>d</w:t>
      </w:r>
    </w:p>
    <w:p w:rsidR="00367A0B" w:rsidRPr="00015C34" w:rsidRDefault="00367A0B" w:rsidP="00367A0B">
      <w:pPr>
        <w:jc w:val="both"/>
        <w:rPr>
          <w:rFonts w:ascii="Times New Roman" w:hAnsi="Times New Roman"/>
          <w:sz w:val="24"/>
          <w:szCs w:val="24"/>
        </w:rPr>
      </w:pPr>
      <w:r w:rsidRPr="00015C34">
        <w:rPr>
          <w:rFonts w:ascii="Times New Roman" w:hAnsi="Times New Roman"/>
          <w:sz w:val="24"/>
          <w:szCs w:val="24"/>
        </w:rPr>
        <w:t xml:space="preserve">Level </w:t>
      </w:r>
      <w:r w:rsidR="00C636CA">
        <w:rPr>
          <w:rFonts w:ascii="Times New Roman" w:hAnsi="Times New Roman"/>
          <w:sz w:val="24"/>
          <w:szCs w:val="24"/>
        </w:rPr>
        <w:t>6</w:t>
      </w:r>
      <w:r w:rsidRPr="00015C34">
        <w:rPr>
          <w:rFonts w:ascii="Times New Roman" w:hAnsi="Times New Roman"/>
          <w:sz w:val="24"/>
          <w:szCs w:val="24"/>
        </w:rPr>
        <w:t xml:space="preserve">, </w:t>
      </w:r>
      <w:smartTag w:uri="urn:schemas-microsoft-com:office:smarttags" w:element="Street">
        <w:smartTag w:uri="urn:schemas-microsoft-com:office:smarttags" w:element="address">
          <w:r w:rsidR="00C636CA">
            <w:rPr>
              <w:rFonts w:ascii="Times New Roman" w:hAnsi="Times New Roman"/>
              <w:sz w:val="24"/>
              <w:szCs w:val="24"/>
            </w:rPr>
            <w:t>417 St Kilda Road</w:t>
          </w:r>
        </w:smartTag>
      </w:smartTag>
    </w:p>
    <w:p w:rsidR="007F553A" w:rsidRPr="00015C34" w:rsidRDefault="00367A0B" w:rsidP="00EB4111">
      <w:pPr>
        <w:jc w:val="both"/>
        <w:rPr>
          <w:rFonts w:ascii="Times New Roman" w:hAnsi="Times New Roman"/>
          <w:sz w:val="24"/>
          <w:szCs w:val="24"/>
        </w:rPr>
      </w:pPr>
      <w:smartTag w:uri="urn:schemas-microsoft-com:office:smarttags" w:element="place">
        <w:smartTag w:uri="urn:schemas-microsoft-com:office:smarttags" w:element="City">
          <w:r w:rsidRPr="00015C34">
            <w:rPr>
              <w:rFonts w:ascii="Times New Roman" w:hAnsi="Times New Roman"/>
              <w:sz w:val="24"/>
              <w:szCs w:val="24"/>
            </w:rPr>
            <w:t>Melbourne</w:t>
          </w:r>
        </w:smartTag>
        <w:r w:rsidRPr="00015C34">
          <w:rPr>
            <w:rFonts w:ascii="Times New Roman" w:hAnsi="Times New Roman"/>
            <w:sz w:val="24"/>
            <w:szCs w:val="24"/>
          </w:rPr>
          <w:t xml:space="preserve">, </w:t>
        </w:r>
        <w:smartTag w:uri="urn:schemas-microsoft-com:office:smarttags" w:element="State">
          <w:r w:rsidRPr="00015C34">
            <w:rPr>
              <w:rFonts w:ascii="Times New Roman" w:hAnsi="Times New Roman"/>
              <w:sz w:val="24"/>
              <w:szCs w:val="24"/>
            </w:rPr>
            <w:t>Victoria</w:t>
          </w:r>
        </w:smartTag>
      </w:smartTag>
      <w:r w:rsidRPr="00015C34">
        <w:rPr>
          <w:rFonts w:ascii="Times New Roman" w:hAnsi="Times New Roman"/>
          <w:sz w:val="24"/>
          <w:szCs w:val="24"/>
        </w:rPr>
        <w:t xml:space="preserve"> </w:t>
      </w:r>
      <w:r w:rsidR="00C636CA">
        <w:rPr>
          <w:rFonts w:ascii="Times New Roman" w:hAnsi="Times New Roman"/>
          <w:sz w:val="24"/>
          <w:szCs w:val="24"/>
        </w:rPr>
        <w:t>3004</w:t>
      </w:r>
      <w:r w:rsidR="00C636CA" w:rsidRPr="00015C34">
        <w:rPr>
          <w:rFonts w:ascii="Times New Roman" w:hAnsi="Times New Roman"/>
          <w:sz w:val="24"/>
          <w:szCs w:val="24"/>
        </w:rPr>
        <w:t xml:space="preserve">  </w:t>
      </w:r>
    </w:p>
    <w:p w:rsidR="008729F3" w:rsidRPr="00015C34" w:rsidRDefault="008729F3" w:rsidP="008729F3">
      <w:pPr>
        <w:pStyle w:val="Heading3"/>
        <w:ind w:right="0"/>
        <w:jc w:val="both"/>
        <w:rPr>
          <w:bCs/>
          <w:szCs w:val="24"/>
        </w:rPr>
      </w:pPr>
    </w:p>
    <w:p w:rsidR="008729F3" w:rsidRPr="00015C34" w:rsidRDefault="008729F3" w:rsidP="008729F3">
      <w:pPr>
        <w:pStyle w:val="Heading3"/>
        <w:ind w:right="0"/>
        <w:jc w:val="both"/>
        <w:rPr>
          <w:b w:val="0"/>
          <w:bCs/>
          <w:szCs w:val="24"/>
        </w:rPr>
      </w:pPr>
      <w:r w:rsidRPr="00015C34">
        <w:rPr>
          <w:bCs/>
          <w:szCs w:val="24"/>
        </w:rPr>
        <w:t xml:space="preserve">POISONS SCHEDULE OF THE DRUG: </w:t>
      </w:r>
      <w:r w:rsidRPr="00015C34">
        <w:rPr>
          <w:b w:val="0"/>
          <w:bCs/>
          <w:szCs w:val="24"/>
        </w:rPr>
        <w:t>S4</w:t>
      </w:r>
    </w:p>
    <w:p w:rsidR="009121E0" w:rsidRDefault="009121E0" w:rsidP="00EB4111">
      <w:pPr>
        <w:jc w:val="both"/>
        <w:rPr>
          <w:rFonts w:ascii="Times New Roman" w:hAnsi="Times New Roman"/>
          <w:sz w:val="24"/>
          <w:szCs w:val="24"/>
        </w:rPr>
      </w:pPr>
    </w:p>
    <w:p w:rsidR="006D7ADD" w:rsidRPr="00015C34" w:rsidRDefault="006D7ADD" w:rsidP="00EB4111">
      <w:pPr>
        <w:jc w:val="both"/>
        <w:rPr>
          <w:rFonts w:ascii="Times New Roman" w:hAnsi="Times New Roman"/>
          <w:sz w:val="24"/>
          <w:szCs w:val="24"/>
        </w:rPr>
      </w:pPr>
    </w:p>
    <w:p w:rsidR="00C766DE" w:rsidRPr="00C766DE" w:rsidRDefault="00C766DE" w:rsidP="00EB4111">
      <w:pPr>
        <w:jc w:val="both"/>
        <w:rPr>
          <w:rFonts w:ascii="Times New Roman" w:hAnsi="Times New Roman"/>
          <w:sz w:val="24"/>
          <w:szCs w:val="24"/>
        </w:rPr>
      </w:pPr>
      <w:r>
        <w:rPr>
          <w:rFonts w:ascii="Times New Roman" w:hAnsi="Times New Roman"/>
          <w:b/>
          <w:sz w:val="24"/>
          <w:szCs w:val="24"/>
        </w:rPr>
        <w:t xml:space="preserve">Date of first inclusion on the ARTG: </w:t>
      </w:r>
      <w:r>
        <w:rPr>
          <w:rFonts w:ascii="Times New Roman" w:hAnsi="Times New Roman"/>
          <w:sz w:val="24"/>
          <w:szCs w:val="24"/>
        </w:rPr>
        <w:t>8 August 2002</w:t>
      </w:r>
    </w:p>
    <w:p w:rsidR="00EE3A0F" w:rsidRPr="005D238D" w:rsidRDefault="00C766DE" w:rsidP="00EB4111">
      <w:pPr>
        <w:jc w:val="both"/>
        <w:rPr>
          <w:rFonts w:ascii="Times New Roman" w:hAnsi="Times New Roman"/>
          <w:sz w:val="24"/>
          <w:szCs w:val="24"/>
        </w:rPr>
      </w:pPr>
      <w:r>
        <w:rPr>
          <w:rFonts w:ascii="Times New Roman" w:hAnsi="Times New Roman"/>
          <w:b/>
          <w:sz w:val="24"/>
          <w:szCs w:val="24"/>
        </w:rPr>
        <w:t>Date of most recent amendment</w:t>
      </w:r>
      <w:r w:rsidR="009121E0" w:rsidRPr="00015C34">
        <w:rPr>
          <w:rFonts w:ascii="Times New Roman" w:hAnsi="Times New Roman"/>
          <w:b/>
          <w:sz w:val="24"/>
          <w:szCs w:val="24"/>
        </w:rPr>
        <w:t>:</w:t>
      </w:r>
      <w:r w:rsidR="00D03901" w:rsidRPr="00015C34">
        <w:rPr>
          <w:rFonts w:ascii="Times New Roman" w:hAnsi="Times New Roman"/>
          <w:b/>
          <w:sz w:val="24"/>
          <w:szCs w:val="24"/>
        </w:rPr>
        <w:t xml:space="preserve"> </w:t>
      </w:r>
      <w:r w:rsidR="00176069">
        <w:rPr>
          <w:rFonts w:ascii="Times New Roman" w:hAnsi="Times New Roman"/>
          <w:sz w:val="24"/>
          <w:szCs w:val="24"/>
        </w:rPr>
        <w:t xml:space="preserve"> </w:t>
      </w:r>
      <w:r w:rsidR="00185447">
        <w:rPr>
          <w:rFonts w:ascii="Times New Roman" w:hAnsi="Times New Roman"/>
          <w:sz w:val="24"/>
          <w:szCs w:val="24"/>
        </w:rPr>
        <w:t xml:space="preserve"> </w:t>
      </w:r>
      <w:r w:rsidR="006370F5">
        <w:rPr>
          <w:rFonts w:ascii="Times New Roman" w:hAnsi="Times New Roman"/>
          <w:sz w:val="24"/>
          <w:szCs w:val="24"/>
        </w:rPr>
        <w:t>17 September</w:t>
      </w:r>
      <w:r w:rsidR="00EA46EC">
        <w:rPr>
          <w:rFonts w:ascii="Times New Roman" w:hAnsi="Times New Roman"/>
          <w:sz w:val="24"/>
          <w:szCs w:val="24"/>
        </w:rPr>
        <w:t xml:space="preserve"> </w:t>
      </w:r>
      <w:r w:rsidR="00690FA3">
        <w:rPr>
          <w:rFonts w:ascii="Times New Roman" w:hAnsi="Times New Roman"/>
          <w:sz w:val="24"/>
          <w:szCs w:val="24"/>
        </w:rPr>
        <w:t>2013</w:t>
      </w:r>
    </w:p>
    <w:p w:rsidR="00FE64A6" w:rsidRDefault="00FE64A6" w:rsidP="008927F5">
      <w:pPr>
        <w:ind w:right="162"/>
        <w:jc w:val="both"/>
        <w:rPr>
          <w:rFonts w:ascii="Times New Roman" w:hAnsi="Times New Roman"/>
          <w:sz w:val="24"/>
          <w:szCs w:val="24"/>
        </w:rPr>
      </w:pPr>
    </w:p>
    <w:p w:rsidR="008163BF" w:rsidRDefault="008163BF" w:rsidP="008927F5">
      <w:pPr>
        <w:ind w:right="162"/>
        <w:jc w:val="both"/>
        <w:rPr>
          <w:rFonts w:ascii="Times New Roman" w:hAnsi="Times New Roman"/>
          <w:sz w:val="24"/>
          <w:szCs w:val="24"/>
        </w:rPr>
      </w:pPr>
    </w:p>
    <w:p w:rsidR="008163BF" w:rsidRPr="000C2FCC" w:rsidRDefault="008163BF" w:rsidP="008163BF">
      <w:pPr>
        <w:autoSpaceDE w:val="0"/>
        <w:autoSpaceDN w:val="0"/>
        <w:adjustRightInd w:val="0"/>
        <w:jc w:val="both"/>
        <w:rPr>
          <w:rFonts w:ascii="Times New Roman" w:hAnsi="Times New Roman"/>
        </w:rPr>
      </w:pPr>
      <w:r w:rsidRPr="000C2FCC">
        <w:rPr>
          <w:rFonts w:ascii="Times New Roman" w:hAnsi="Times New Roman"/>
          <w:snapToGrid w:val="0"/>
        </w:rPr>
        <w:t xml:space="preserve">VIREAD, </w:t>
      </w:r>
      <w:r>
        <w:rPr>
          <w:rFonts w:ascii="Times New Roman" w:hAnsi="Times New Roman"/>
          <w:snapToGrid w:val="0"/>
        </w:rPr>
        <w:t xml:space="preserve">EMTRIVA, </w:t>
      </w:r>
      <w:r w:rsidRPr="000C2FCC">
        <w:rPr>
          <w:rFonts w:ascii="Times New Roman" w:hAnsi="Times New Roman"/>
          <w:snapToGrid w:val="0"/>
        </w:rPr>
        <w:t>TRUVADA</w:t>
      </w:r>
      <w:r w:rsidR="00760520">
        <w:rPr>
          <w:rFonts w:ascii="Times New Roman" w:hAnsi="Times New Roman"/>
          <w:snapToGrid w:val="0"/>
        </w:rPr>
        <w:t>, EVIPLERA</w:t>
      </w:r>
      <w:r w:rsidR="0071363D">
        <w:rPr>
          <w:rFonts w:ascii="Times New Roman" w:hAnsi="Times New Roman"/>
          <w:snapToGrid w:val="0"/>
        </w:rPr>
        <w:t xml:space="preserve"> STRIBILD</w:t>
      </w:r>
      <w:r w:rsidRPr="000C2FCC">
        <w:rPr>
          <w:rFonts w:ascii="Times New Roman" w:hAnsi="Times New Roman"/>
          <w:snapToGrid w:val="0"/>
        </w:rPr>
        <w:t xml:space="preserve"> and HEPSERA are registered trademarks of Gilead Sciences, Inc.  </w:t>
      </w:r>
      <w:r w:rsidRPr="000C2FCC">
        <w:rPr>
          <w:rFonts w:ascii="Times New Roman" w:hAnsi="Times New Roman"/>
        </w:rPr>
        <w:t xml:space="preserve">ATRIPLA is a trademark of Bristol-Myers Squibb &amp; Gilead Sciences, LLC. </w:t>
      </w:r>
      <w:r w:rsidRPr="000C2FCC">
        <w:rPr>
          <w:rFonts w:ascii="Times New Roman" w:hAnsi="Times New Roman"/>
          <w:snapToGrid w:val="0"/>
        </w:rPr>
        <w:t>Other brands listed are trademarks of their respective owners and are not trademarks of Gilead Sciences, Inc, or</w:t>
      </w:r>
      <w:r w:rsidRPr="000C2FCC">
        <w:rPr>
          <w:rFonts w:ascii="Times New Roman" w:hAnsi="Times New Roman"/>
        </w:rPr>
        <w:t xml:space="preserve"> Bristol-Myers Squibb &amp; Gilead Sciences, LLC.</w:t>
      </w:r>
    </w:p>
    <w:p w:rsidR="008163BF" w:rsidRDefault="008163BF" w:rsidP="008927F5">
      <w:pPr>
        <w:ind w:right="162"/>
        <w:jc w:val="both"/>
        <w:rPr>
          <w:rFonts w:ascii="Times New Roman" w:hAnsi="Times New Roman"/>
          <w:sz w:val="24"/>
          <w:szCs w:val="24"/>
        </w:rPr>
      </w:pPr>
    </w:p>
    <w:p w:rsidR="00343B0B" w:rsidRDefault="00343B0B" w:rsidP="00C43947">
      <w:pPr>
        <w:pStyle w:val="Text1"/>
        <w:spacing w:after="0"/>
        <w:jc w:val="cente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Pr="00343B0B" w:rsidRDefault="00343B0B" w:rsidP="00343B0B">
      <w:pPr>
        <w:rPr>
          <w:lang w:val="en-US"/>
        </w:rPr>
      </w:pPr>
    </w:p>
    <w:p w:rsidR="00343B0B" w:rsidRDefault="00343B0B" w:rsidP="00343B0B">
      <w:pPr>
        <w:rPr>
          <w:lang w:val="en-US"/>
        </w:rPr>
      </w:pPr>
    </w:p>
    <w:p w:rsidR="00343B0B" w:rsidRDefault="00343B0B" w:rsidP="00343B0B">
      <w:pPr>
        <w:rPr>
          <w:lang w:val="en-US"/>
        </w:rPr>
      </w:pPr>
    </w:p>
    <w:p w:rsidR="0082588C" w:rsidRPr="00343B0B" w:rsidRDefault="0082588C" w:rsidP="00343B0B">
      <w:pPr>
        <w:tabs>
          <w:tab w:val="left" w:pos="6000"/>
        </w:tabs>
        <w:rPr>
          <w:lang w:val="en-US"/>
        </w:rPr>
      </w:pPr>
    </w:p>
    <w:sectPr w:rsidR="0082588C" w:rsidRPr="00343B0B" w:rsidSect="00041F6B">
      <w:headerReference w:type="default" r:id="rId13"/>
      <w:footerReference w:type="default" r:id="rId14"/>
      <w:pgSz w:w="12240" w:h="15840" w:code="1"/>
      <w:pgMar w:top="1134" w:right="1418" w:bottom="1440" w:left="1418" w:header="720" w:footer="720" w:gutter="0"/>
      <w:paperSrc w:first="7" w:other="7"/>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83" w:rsidRDefault="00655083" w:rsidP="00FA25FA">
      <w:r>
        <w:separator/>
      </w:r>
    </w:p>
  </w:endnote>
  <w:endnote w:type="continuationSeparator" w:id="0">
    <w:p w:rsidR="00655083" w:rsidRDefault="00655083" w:rsidP="00FA2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C34" w:rsidRPr="00C43947" w:rsidRDefault="00015C34" w:rsidP="005A6CA0">
    <w:pPr>
      <w:pStyle w:val="Footer"/>
      <w:tabs>
        <w:tab w:val="clear" w:pos="9361"/>
        <w:tab w:val="right" w:pos="9360"/>
      </w:tabs>
      <w:rPr>
        <w:sz w:val="16"/>
        <w:szCs w:val="16"/>
      </w:rPr>
    </w:pPr>
    <w:r>
      <w:rPr>
        <w:sz w:val="16"/>
      </w:rPr>
      <w:tab/>
      <w:t>Viread Product Information (</w:t>
    </w:r>
    <w:r w:rsidR="00611A45">
      <w:rPr>
        <w:sz w:val="16"/>
      </w:rPr>
      <w:t>17 September</w:t>
    </w:r>
    <w:r w:rsidR="001B1A1C">
      <w:rPr>
        <w:sz w:val="16"/>
      </w:rPr>
      <w:t xml:space="preserve"> </w:t>
    </w:r>
    <w:r w:rsidR="007D7DFD">
      <w:rPr>
        <w:sz w:val="16"/>
      </w:rPr>
      <w:t>2013</w:t>
    </w:r>
    <w:r>
      <w:rPr>
        <w:sz w:val="16"/>
      </w:rPr>
      <w:t>)</w:t>
    </w:r>
    <w:r>
      <w:rPr>
        <w:rStyle w:val="PageNumber"/>
        <w:sz w:val="16"/>
      </w:rPr>
      <w:tab/>
    </w:r>
    <w:r w:rsidRPr="00C43947">
      <w:rPr>
        <w:rStyle w:val="PageNumber"/>
        <w:sz w:val="16"/>
        <w:szCs w:val="16"/>
      </w:rPr>
      <w:fldChar w:fldCharType="begin"/>
    </w:r>
    <w:r w:rsidRPr="00C43947">
      <w:rPr>
        <w:rStyle w:val="PageNumber"/>
        <w:sz w:val="16"/>
        <w:szCs w:val="16"/>
      </w:rPr>
      <w:instrText xml:space="preserve"> PAGE </w:instrText>
    </w:r>
    <w:r w:rsidRPr="00C43947">
      <w:rPr>
        <w:rStyle w:val="PageNumber"/>
        <w:sz w:val="16"/>
        <w:szCs w:val="16"/>
      </w:rPr>
      <w:fldChar w:fldCharType="separate"/>
    </w:r>
    <w:r w:rsidR="00833E3A">
      <w:rPr>
        <w:rStyle w:val="PageNumber"/>
        <w:noProof/>
        <w:sz w:val="16"/>
        <w:szCs w:val="16"/>
      </w:rPr>
      <w:t>1</w:t>
    </w:r>
    <w:r w:rsidRPr="00C43947">
      <w:rPr>
        <w:rStyle w:val="PageNumber"/>
        <w:sz w:val="16"/>
        <w:szCs w:val="16"/>
      </w:rPr>
      <w:fldChar w:fldCharType="end"/>
    </w:r>
    <w:r w:rsidR="00B579FD" w:rsidRPr="00C43947">
      <w:rPr>
        <w:rStyle w:val="PageNumber"/>
        <w:sz w:val="16"/>
        <w:szCs w:val="16"/>
      </w:rPr>
      <w:t xml:space="preserve"> of </w:t>
    </w:r>
    <w:r w:rsidR="00C43947" w:rsidRPr="00C43947">
      <w:rPr>
        <w:rStyle w:val="PageNumber"/>
        <w:sz w:val="16"/>
        <w:szCs w:val="16"/>
      </w:rPr>
      <w:fldChar w:fldCharType="begin"/>
    </w:r>
    <w:r w:rsidR="00C43947" w:rsidRPr="00C43947">
      <w:rPr>
        <w:rStyle w:val="PageNumber"/>
        <w:sz w:val="16"/>
        <w:szCs w:val="16"/>
      </w:rPr>
      <w:instrText xml:space="preserve"> NUMPAGES </w:instrText>
    </w:r>
    <w:r w:rsidR="00C43947" w:rsidRPr="00C43947">
      <w:rPr>
        <w:rStyle w:val="PageNumber"/>
        <w:sz w:val="16"/>
        <w:szCs w:val="16"/>
      </w:rPr>
      <w:fldChar w:fldCharType="separate"/>
    </w:r>
    <w:r w:rsidR="00833E3A">
      <w:rPr>
        <w:rStyle w:val="PageNumber"/>
        <w:noProof/>
        <w:sz w:val="16"/>
        <w:szCs w:val="16"/>
      </w:rPr>
      <w:t>44</w:t>
    </w:r>
    <w:r w:rsidR="00C43947" w:rsidRPr="00C43947">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83" w:rsidRDefault="00655083" w:rsidP="00FA25FA">
      <w:r>
        <w:separator/>
      </w:r>
    </w:p>
  </w:footnote>
  <w:footnote w:type="continuationSeparator" w:id="0">
    <w:p w:rsidR="00655083" w:rsidRDefault="00655083" w:rsidP="00FA2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511883" w:rsidRPr="00511883" w:rsidTr="00511883">
      <w:tc>
        <w:tcPr>
          <w:tcW w:w="8720" w:type="dxa"/>
          <w:shd w:val="clear" w:color="auto" w:fill="E4F2E0"/>
        </w:tcPr>
        <w:p w:rsidR="00511883" w:rsidRPr="00511883" w:rsidRDefault="00511883" w:rsidP="00511883">
          <w:pPr>
            <w:spacing w:before="40" w:after="40"/>
            <w:rPr>
              <w:rFonts w:asciiTheme="majorHAnsi" w:hAnsiTheme="majorHAnsi"/>
              <w:b/>
            </w:rPr>
          </w:pPr>
          <w:r w:rsidRPr="00511883">
            <w:rPr>
              <w:rFonts w:asciiTheme="majorHAnsi" w:hAnsiTheme="majorHAnsi"/>
              <w:b/>
            </w:rPr>
            <w:t>Attachment 1: Product information for AusPAR Viread; tenofovir disoproxil fumarate; Gilead Sciences, Australia &amp; New Zealand PM-2012-01178-3-2 Date of Finalisation 14 October 2013. This Product Information was approved at the time this AusPAR was published.</w:t>
          </w:r>
        </w:p>
      </w:tc>
    </w:tr>
  </w:tbl>
  <w:p w:rsidR="00511883" w:rsidRDefault="005118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20657185"/>
    <w:multiLevelType w:val="hybridMultilevel"/>
    <w:tmpl w:val="02E42148"/>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0D2073"/>
    <w:multiLevelType w:val="singleLevel"/>
    <w:tmpl w:val="0409000F"/>
    <w:lvl w:ilvl="0">
      <w:start w:val="1"/>
      <w:numFmt w:val="decimal"/>
      <w:lvlText w:val="%1."/>
      <w:lvlJc w:val="left"/>
      <w:pPr>
        <w:tabs>
          <w:tab w:val="num" w:pos="360"/>
        </w:tabs>
        <w:ind w:left="360" w:hanging="360"/>
      </w:pPr>
    </w:lvl>
  </w:abstractNum>
  <w:abstractNum w:abstractNumId="3">
    <w:nsid w:val="2E03574D"/>
    <w:multiLevelType w:val="singleLevel"/>
    <w:tmpl w:val="CEFA038C"/>
    <w:lvl w:ilvl="0">
      <w:start w:val="1"/>
      <w:numFmt w:val="decimal"/>
      <w:lvlText w:val="%1."/>
      <w:lvlJc w:val="left"/>
      <w:pPr>
        <w:tabs>
          <w:tab w:val="num" w:pos="720"/>
        </w:tabs>
        <w:ind w:left="720" w:hanging="720"/>
      </w:pPr>
      <w:rPr>
        <w:rFonts w:ascii="Arial" w:hAnsi="Arial" w:cs="Times New Roman" w:hint="default"/>
        <w:sz w:val="18"/>
        <w:vertAlign w:val="baseline"/>
      </w:rPr>
    </w:lvl>
  </w:abstractNum>
  <w:abstractNum w:abstractNumId="4">
    <w:nsid w:val="3577604B"/>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FC819B9"/>
    <w:multiLevelType w:val="singleLevel"/>
    <w:tmpl w:val="336C16FE"/>
    <w:lvl w:ilvl="0">
      <w:start w:val="1"/>
      <w:numFmt w:val="decimal"/>
      <w:lvlText w:val="%1."/>
      <w:lvlJc w:val="left"/>
      <w:pPr>
        <w:tabs>
          <w:tab w:val="num" w:pos="720"/>
        </w:tabs>
        <w:ind w:left="720" w:hanging="720"/>
      </w:pPr>
      <w:rPr>
        <w:rFonts w:ascii="Arial" w:hAnsi="Arial" w:cs="Times New Roman" w:hint="default"/>
        <w:sz w:val="18"/>
        <w:vertAlign w:val="baseline"/>
      </w:rPr>
    </w:lvl>
  </w:abstractNum>
  <w:abstractNum w:abstractNumId="6">
    <w:nsid w:val="48005D2D"/>
    <w:multiLevelType w:val="hybridMultilevel"/>
    <w:tmpl w:val="E8BC29B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653DDC"/>
    <w:multiLevelType w:val="hybridMultilevel"/>
    <w:tmpl w:val="281E4A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BC97BAF"/>
    <w:multiLevelType w:val="singleLevel"/>
    <w:tmpl w:val="0409000F"/>
    <w:lvl w:ilvl="0">
      <w:start w:val="1"/>
      <w:numFmt w:val="decimal"/>
      <w:lvlText w:val="%1."/>
      <w:lvlJc w:val="left"/>
      <w:pPr>
        <w:tabs>
          <w:tab w:val="num" w:pos="360"/>
        </w:tabs>
        <w:ind w:left="360" w:hanging="360"/>
      </w:pPr>
    </w:lvl>
  </w:abstractNum>
  <w:abstractNum w:abstractNumId="9">
    <w:nsid w:val="5F244404"/>
    <w:multiLevelType w:val="singleLevel"/>
    <w:tmpl w:val="136A3F96"/>
    <w:lvl w:ilvl="0">
      <w:start w:val="1"/>
      <w:numFmt w:val="decimal"/>
      <w:lvlText w:val="%1."/>
      <w:lvlJc w:val="left"/>
      <w:pPr>
        <w:tabs>
          <w:tab w:val="num" w:pos="720"/>
        </w:tabs>
        <w:ind w:left="720" w:hanging="720"/>
      </w:pPr>
      <w:rPr>
        <w:rFonts w:ascii="Arial" w:hAnsi="Arial" w:cs="Times New Roman" w:hint="default"/>
        <w:strike w:val="0"/>
        <w:dstrike w:val="0"/>
        <w:sz w:val="18"/>
        <w:u w:val="none"/>
        <w:effect w:val="none"/>
        <w:vertAlign w:val="baseline"/>
      </w:rPr>
    </w:lvl>
  </w:abstractNum>
  <w:abstractNum w:abstractNumId="10">
    <w:nsid w:val="5FBD1CC0"/>
    <w:multiLevelType w:val="singleLevel"/>
    <w:tmpl w:val="5130F0A0"/>
    <w:lvl w:ilvl="0">
      <w:start w:val="1"/>
      <w:numFmt w:val="decimal"/>
      <w:lvlText w:val="%1."/>
      <w:lvlJc w:val="left"/>
      <w:pPr>
        <w:tabs>
          <w:tab w:val="num" w:pos="720"/>
        </w:tabs>
        <w:ind w:left="720" w:hanging="720"/>
      </w:pPr>
      <w:rPr>
        <w:rFonts w:hint="default"/>
      </w:rPr>
    </w:lvl>
  </w:abstractNum>
  <w:abstractNum w:abstractNumId="11">
    <w:nsid w:val="69F4017D"/>
    <w:multiLevelType w:val="hybridMultilevel"/>
    <w:tmpl w:val="532ACC2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13">
    <w:nsid w:val="7E7114E7"/>
    <w:multiLevelType w:val="singleLevel"/>
    <w:tmpl w:val="09E019D0"/>
    <w:lvl w:ilvl="0">
      <w:start w:val="1"/>
      <w:numFmt w:val="decimal"/>
      <w:lvlText w:val="%1."/>
      <w:lvlJc w:val="left"/>
      <w:pPr>
        <w:tabs>
          <w:tab w:val="num" w:pos="360"/>
        </w:tabs>
        <w:ind w:left="360" w:hanging="360"/>
      </w:pPr>
      <w:rPr>
        <w:rFonts w:ascii="Arial" w:hAnsi="Arial" w:cs="Times New Roman" w:hint="default"/>
        <w:sz w:val="18"/>
      </w:rPr>
    </w:lvl>
  </w:abstractNum>
  <w:num w:numId="1">
    <w:abstractNumId w:val="12"/>
  </w:num>
  <w:num w:numId="2">
    <w:abstractNumId w:val="2"/>
  </w:num>
  <w:num w:numId="3">
    <w:abstractNumId w:val="4"/>
  </w:num>
  <w:num w:numId="4">
    <w:abstractNumId w:val="10"/>
    <w:lvlOverride w:ilvl="0">
      <w:startOverride w:val="1"/>
    </w:lvlOverride>
  </w:num>
  <w:num w:numId="5">
    <w:abstractNumId w:val="8"/>
    <w:lvlOverride w:ilvl="0">
      <w:startOverride w:val="1"/>
    </w:lvlOverride>
  </w:num>
  <w:num w:numId="6">
    <w:abstractNumId w:val="13"/>
    <w:lvlOverride w:ilvl="0">
      <w:startOverride w:val="1"/>
    </w:lvlOverride>
  </w:num>
  <w:num w:numId="7">
    <w:abstractNumId w:val="5"/>
    <w:lvlOverride w:ilvl="0">
      <w:startOverride w:val="1"/>
    </w:lvlOverride>
  </w:num>
  <w:num w:numId="8">
    <w:abstractNumId w:val="3"/>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1"/>
  </w:num>
  <w:num w:numId="12">
    <w:abstractNumId w:val="11"/>
  </w:num>
  <w:num w:numId="13">
    <w:abstractNumId w:val="6"/>
  </w:num>
  <w:num w:numId="14">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9F3B43"/>
    <w:rsid w:val="0000119C"/>
    <w:rsid w:val="000025EA"/>
    <w:rsid w:val="00002E54"/>
    <w:rsid w:val="00007D98"/>
    <w:rsid w:val="00015C34"/>
    <w:rsid w:val="00022E0F"/>
    <w:rsid w:val="00022EE8"/>
    <w:rsid w:val="00023DB2"/>
    <w:rsid w:val="00024AC5"/>
    <w:rsid w:val="00030137"/>
    <w:rsid w:val="000318A3"/>
    <w:rsid w:val="00032539"/>
    <w:rsid w:val="00034DAF"/>
    <w:rsid w:val="00037E0C"/>
    <w:rsid w:val="00041F6B"/>
    <w:rsid w:val="0004545F"/>
    <w:rsid w:val="00046B02"/>
    <w:rsid w:val="00047C75"/>
    <w:rsid w:val="000520F4"/>
    <w:rsid w:val="000570EC"/>
    <w:rsid w:val="000573C8"/>
    <w:rsid w:val="000575C8"/>
    <w:rsid w:val="00060443"/>
    <w:rsid w:val="00060633"/>
    <w:rsid w:val="00061239"/>
    <w:rsid w:val="00063188"/>
    <w:rsid w:val="00071567"/>
    <w:rsid w:val="00072A4B"/>
    <w:rsid w:val="00072EFD"/>
    <w:rsid w:val="00076775"/>
    <w:rsid w:val="000807A5"/>
    <w:rsid w:val="00081602"/>
    <w:rsid w:val="000827A2"/>
    <w:rsid w:val="000836FB"/>
    <w:rsid w:val="00084420"/>
    <w:rsid w:val="00086C4A"/>
    <w:rsid w:val="00090267"/>
    <w:rsid w:val="00096FEC"/>
    <w:rsid w:val="000A2674"/>
    <w:rsid w:val="000A52D3"/>
    <w:rsid w:val="000A58F7"/>
    <w:rsid w:val="000A5A49"/>
    <w:rsid w:val="000B09CB"/>
    <w:rsid w:val="000B160D"/>
    <w:rsid w:val="000C2FCC"/>
    <w:rsid w:val="000C3FB6"/>
    <w:rsid w:val="000C5FBF"/>
    <w:rsid w:val="000C622D"/>
    <w:rsid w:val="000D0B37"/>
    <w:rsid w:val="000D101B"/>
    <w:rsid w:val="000D56DC"/>
    <w:rsid w:val="000D70D3"/>
    <w:rsid w:val="000D73F6"/>
    <w:rsid w:val="000E0556"/>
    <w:rsid w:val="000E1481"/>
    <w:rsid w:val="000E3387"/>
    <w:rsid w:val="000E655F"/>
    <w:rsid w:val="000F380C"/>
    <w:rsid w:val="000F41FF"/>
    <w:rsid w:val="000F4CC8"/>
    <w:rsid w:val="000F555D"/>
    <w:rsid w:val="000F64E2"/>
    <w:rsid w:val="000F7522"/>
    <w:rsid w:val="00103536"/>
    <w:rsid w:val="001104B7"/>
    <w:rsid w:val="0011248F"/>
    <w:rsid w:val="00113970"/>
    <w:rsid w:val="001154F6"/>
    <w:rsid w:val="0012431F"/>
    <w:rsid w:val="0012784F"/>
    <w:rsid w:val="00130568"/>
    <w:rsid w:val="001323B1"/>
    <w:rsid w:val="001327C7"/>
    <w:rsid w:val="001332FC"/>
    <w:rsid w:val="0013338A"/>
    <w:rsid w:val="00134F4D"/>
    <w:rsid w:val="00135DB4"/>
    <w:rsid w:val="001375CF"/>
    <w:rsid w:val="00140E75"/>
    <w:rsid w:val="00142CC4"/>
    <w:rsid w:val="00147A91"/>
    <w:rsid w:val="00152877"/>
    <w:rsid w:val="0015378B"/>
    <w:rsid w:val="001555F7"/>
    <w:rsid w:val="00156B24"/>
    <w:rsid w:val="00161EDD"/>
    <w:rsid w:val="00170265"/>
    <w:rsid w:val="00170A2A"/>
    <w:rsid w:val="00173A4B"/>
    <w:rsid w:val="00176069"/>
    <w:rsid w:val="00176F23"/>
    <w:rsid w:val="00180C79"/>
    <w:rsid w:val="00185447"/>
    <w:rsid w:val="00187EA0"/>
    <w:rsid w:val="0019041B"/>
    <w:rsid w:val="0019744C"/>
    <w:rsid w:val="00197500"/>
    <w:rsid w:val="001A2FBC"/>
    <w:rsid w:val="001A413D"/>
    <w:rsid w:val="001A5E8E"/>
    <w:rsid w:val="001A69D7"/>
    <w:rsid w:val="001A7C38"/>
    <w:rsid w:val="001A7FC7"/>
    <w:rsid w:val="001B0FFF"/>
    <w:rsid w:val="001B11D4"/>
    <w:rsid w:val="001B1A1C"/>
    <w:rsid w:val="001B27CD"/>
    <w:rsid w:val="001B282E"/>
    <w:rsid w:val="001B3A3F"/>
    <w:rsid w:val="001B522E"/>
    <w:rsid w:val="001C3668"/>
    <w:rsid w:val="001D16F8"/>
    <w:rsid w:val="001D559C"/>
    <w:rsid w:val="001E308E"/>
    <w:rsid w:val="001E4B1F"/>
    <w:rsid w:val="001E4D9B"/>
    <w:rsid w:val="001F696E"/>
    <w:rsid w:val="00204477"/>
    <w:rsid w:val="0020733C"/>
    <w:rsid w:val="00211372"/>
    <w:rsid w:val="002122C7"/>
    <w:rsid w:val="00214B80"/>
    <w:rsid w:val="00215A3C"/>
    <w:rsid w:val="002163CD"/>
    <w:rsid w:val="00216DC6"/>
    <w:rsid w:val="00220BF5"/>
    <w:rsid w:val="00220E39"/>
    <w:rsid w:val="00227397"/>
    <w:rsid w:val="00227771"/>
    <w:rsid w:val="00231550"/>
    <w:rsid w:val="00232009"/>
    <w:rsid w:val="002363BA"/>
    <w:rsid w:val="002370A5"/>
    <w:rsid w:val="0024023B"/>
    <w:rsid w:val="002456E3"/>
    <w:rsid w:val="00253CCF"/>
    <w:rsid w:val="00257ECC"/>
    <w:rsid w:val="00262D00"/>
    <w:rsid w:val="00264063"/>
    <w:rsid w:val="00264EF9"/>
    <w:rsid w:val="00265C99"/>
    <w:rsid w:val="0027034F"/>
    <w:rsid w:val="00271EBB"/>
    <w:rsid w:val="0027214F"/>
    <w:rsid w:val="002744DB"/>
    <w:rsid w:val="002815BC"/>
    <w:rsid w:val="00281695"/>
    <w:rsid w:val="00281A87"/>
    <w:rsid w:val="00281BF9"/>
    <w:rsid w:val="00283261"/>
    <w:rsid w:val="00290C45"/>
    <w:rsid w:val="002915A6"/>
    <w:rsid w:val="00291E9F"/>
    <w:rsid w:val="0029201F"/>
    <w:rsid w:val="00292407"/>
    <w:rsid w:val="002926F2"/>
    <w:rsid w:val="002928D5"/>
    <w:rsid w:val="002A20CB"/>
    <w:rsid w:val="002A219D"/>
    <w:rsid w:val="002A3997"/>
    <w:rsid w:val="002B0397"/>
    <w:rsid w:val="002B5259"/>
    <w:rsid w:val="002B5C57"/>
    <w:rsid w:val="002C0659"/>
    <w:rsid w:val="002C0989"/>
    <w:rsid w:val="002C5443"/>
    <w:rsid w:val="002C5981"/>
    <w:rsid w:val="002C6279"/>
    <w:rsid w:val="002D09A9"/>
    <w:rsid w:val="002D0E1F"/>
    <w:rsid w:val="002D2514"/>
    <w:rsid w:val="002D4159"/>
    <w:rsid w:val="002D4919"/>
    <w:rsid w:val="002D4962"/>
    <w:rsid w:val="002D4BE3"/>
    <w:rsid w:val="002E1EA1"/>
    <w:rsid w:val="002E2C61"/>
    <w:rsid w:val="002E654D"/>
    <w:rsid w:val="002F29FE"/>
    <w:rsid w:val="002F5170"/>
    <w:rsid w:val="0030616F"/>
    <w:rsid w:val="0030708B"/>
    <w:rsid w:val="0030792B"/>
    <w:rsid w:val="0031151E"/>
    <w:rsid w:val="00314E2C"/>
    <w:rsid w:val="00315A58"/>
    <w:rsid w:val="003203AC"/>
    <w:rsid w:val="00326CF6"/>
    <w:rsid w:val="00326DB3"/>
    <w:rsid w:val="00331F62"/>
    <w:rsid w:val="0033224B"/>
    <w:rsid w:val="00341196"/>
    <w:rsid w:val="003422DC"/>
    <w:rsid w:val="00343B0B"/>
    <w:rsid w:val="0034445F"/>
    <w:rsid w:val="003454E4"/>
    <w:rsid w:val="00347363"/>
    <w:rsid w:val="00352928"/>
    <w:rsid w:val="00352F0B"/>
    <w:rsid w:val="003548EA"/>
    <w:rsid w:val="00354A3E"/>
    <w:rsid w:val="00356E93"/>
    <w:rsid w:val="00357A50"/>
    <w:rsid w:val="00367A0B"/>
    <w:rsid w:val="003716DB"/>
    <w:rsid w:val="003721DB"/>
    <w:rsid w:val="00376646"/>
    <w:rsid w:val="00376D20"/>
    <w:rsid w:val="0037736D"/>
    <w:rsid w:val="00377B83"/>
    <w:rsid w:val="00383C64"/>
    <w:rsid w:val="00387FFE"/>
    <w:rsid w:val="0039016C"/>
    <w:rsid w:val="00390965"/>
    <w:rsid w:val="003927EB"/>
    <w:rsid w:val="00394579"/>
    <w:rsid w:val="003A1EE3"/>
    <w:rsid w:val="003B2977"/>
    <w:rsid w:val="003C1910"/>
    <w:rsid w:val="003C324D"/>
    <w:rsid w:val="003C5565"/>
    <w:rsid w:val="003C5BFA"/>
    <w:rsid w:val="003C5E03"/>
    <w:rsid w:val="003C658F"/>
    <w:rsid w:val="003D2584"/>
    <w:rsid w:val="003D739F"/>
    <w:rsid w:val="003D7A65"/>
    <w:rsid w:val="003E0BD7"/>
    <w:rsid w:val="003E3BE5"/>
    <w:rsid w:val="003E5B9C"/>
    <w:rsid w:val="003F040D"/>
    <w:rsid w:val="003F36F0"/>
    <w:rsid w:val="003F6E60"/>
    <w:rsid w:val="00403FAC"/>
    <w:rsid w:val="0040461C"/>
    <w:rsid w:val="00407BD8"/>
    <w:rsid w:val="00410578"/>
    <w:rsid w:val="00411261"/>
    <w:rsid w:val="00411759"/>
    <w:rsid w:val="004136F8"/>
    <w:rsid w:val="0041722B"/>
    <w:rsid w:val="00417BFE"/>
    <w:rsid w:val="00420C41"/>
    <w:rsid w:val="00421161"/>
    <w:rsid w:val="00423E7B"/>
    <w:rsid w:val="004253A8"/>
    <w:rsid w:val="00426549"/>
    <w:rsid w:val="00430070"/>
    <w:rsid w:val="00434805"/>
    <w:rsid w:val="0044109D"/>
    <w:rsid w:val="004411A9"/>
    <w:rsid w:val="00443ABA"/>
    <w:rsid w:val="00444043"/>
    <w:rsid w:val="0044536D"/>
    <w:rsid w:val="00446FFC"/>
    <w:rsid w:val="0045037F"/>
    <w:rsid w:val="00451692"/>
    <w:rsid w:val="00454A27"/>
    <w:rsid w:val="00454B85"/>
    <w:rsid w:val="00455731"/>
    <w:rsid w:val="00455C4A"/>
    <w:rsid w:val="004605D2"/>
    <w:rsid w:val="00461148"/>
    <w:rsid w:val="00461A09"/>
    <w:rsid w:val="00464DF9"/>
    <w:rsid w:val="00467823"/>
    <w:rsid w:val="00470543"/>
    <w:rsid w:val="00471E53"/>
    <w:rsid w:val="0047558D"/>
    <w:rsid w:val="0047635B"/>
    <w:rsid w:val="0047636B"/>
    <w:rsid w:val="0048384C"/>
    <w:rsid w:val="004841F0"/>
    <w:rsid w:val="004876EF"/>
    <w:rsid w:val="004925A9"/>
    <w:rsid w:val="00495019"/>
    <w:rsid w:val="004958E3"/>
    <w:rsid w:val="00495C45"/>
    <w:rsid w:val="004961B8"/>
    <w:rsid w:val="004962FD"/>
    <w:rsid w:val="004971D3"/>
    <w:rsid w:val="00497FCB"/>
    <w:rsid w:val="004A445D"/>
    <w:rsid w:val="004A6556"/>
    <w:rsid w:val="004B71B3"/>
    <w:rsid w:val="004B7F57"/>
    <w:rsid w:val="004C21D7"/>
    <w:rsid w:val="004C3866"/>
    <w:rsid w:val="004C3EED"/>
    <w:rsid w:val="004C43C4"/>
    <w:rsid w:val="004C4AB8"/>
    <w:rsid w:val="004C5D2F"/>
    <w:rsid w:val="004E04DB"/>
    <w:rsid w:val="004E07C6"/>
    <w:rsid w:val="004F1D5E"/>
    <w:rsid w:val="00501CAA"/>
    <w:rsid w:val="00502E88"/>
    <w:rsid w:val="00506E3A"/>
    <w:rsid w:val="00507FF8"/>
    <w:rsid w:val="00511883"/>
    <w:rsid w:val="00511FF0"/>
    <w:rsid w:val="00521466"/>
    <w:rsid w:val="00522449"/>
    <w:rsid w:val="0052450D"/>
    <w:rsid w:val="00524A42"/>
    <w:rsid w:val="005372D1"/>
    <w:rsid w:val="00537553"/>
    <w:rsid w:val="0054428C"/>
    <w:rsid w:val="00546A6E"/>
    <w:rsid w:val="00550B43"/>
    <w:rsid w:val="005549A9"/>
    <w:rsid w:val="005553C0"/>
    <w:rsid w:val="005607D8"/>
    <w:rsid w:val="00560FA2"/>
    <w:rsid w:val="00562EB8"/>
    <w:rsid w:val="005635C1"/>
    <w:rsid w:val="00566A4A"/>
    <w:rsid w:val="00567FCA"/>
    <w:rsid w:val="00570B71"/>
    <w:rsid w:val="005718A2"/>
    <w:rsid w:val="00571B28"/>
    <w:rsid w:val="0058118D"/>
    <w:rsid w:val="00583162"/>
    <w:rsid w:val="005855E3"/>
    <w:rsid w:val="00585DAE"/>
    <w:rsid w:val="0058699E"/>
    <w:rsid w:val="00586E4C"/>
    <w:rsid w:val="005942B6"/>
    <w:rsid w:val="005A1898"/>
    <w:rsid w:val="005A1BBC"/>
    <w:rsid w:val="005A3546"/>
    <w:rsid w:val="005A4548"/>
    <w:rsid w:val="005A629B"/>
    <w:rsid w:val="005A692C"/>
    <w:rsid w:val="005A6CA0"/>
    <w:rsid w:val="005A78A1"/>
    <w:rsid w:val="005B2688"/>
    <w:rsid w:val="005B38AE"/>
    <w:rsid w:val="005C0258"/>
    <w:rsid w:val="005C0ACA"/>
    <w:rsid w:val="005C1301"/>
    <w:rsid w:val="005C1B82"/>
    <w:rsid w:val="005C6300"/>
    <w:rsid w:val="005D238D"/>
    <w:rsid w:val="005D57ED"/>
    <w:rsid w:val="005E1058"/>
    <w:rsid w:val="005E2080"/>
    <w:rsid w:val="005E337B"/>
    <w:rsid w:val="005E3733"/>
    <w:rsid w:val="005E71E1"/>
    <w:rsid w:val="005F09F9"/>
    <w:rsid w:val="005F22C9"/>
    <w:rsid w:val="005F266A"/>
    <w:rsid w:val="005F4256"/>
    <w:rsid w:val="005F430B"/>
    <w:rsid w:val="005F6760"/>
    <w:rsid w:val="005F6C4A"/>
    <w:rsid w:val="00604E88"/>
    <w:rsid w:val="006064BD"/>
    <w:rsid w:val="00607A98"/>
    <w:rsid w:val="00607FCC"/>
    <w:rsid w:val="00611A45"/>
    <w:rsid w:val="006125D5"/>
    <w:rsid w:val="006129C9"/>
    <w:rsid w:val="00616CB6"/>
    <w:rsid w:val="00627C91"/>
    <w:rsid w:val="006308F2"/>
    <w:rsid w:val="00630F5E"/>
    <w:rsid w:val="00632DB9"/>
    <w:rsid w:val="00632EE0"/>
    <w:rsid w:val="00634937"/>
    <w:rsid w:val="00636A46"/>
    <w:rsid w:val="006370F5"/>
    <w:rsid w:val="0064242A"/>
    <w:rsid w:val="00644F71"/>
    <w:rsid w:val="0064670F"/>
    <w:rsid w:val="0064789F"/>
    <w:rsid w:val="006537A6"/>
    <w:rsid w:val="00654636"/>
    <w:rsid w:val="00655083"/>
    <w:rsid w:val="0065646C"/>
    <w:rsid w:val="006572F3"/>
    <w:rsid w:val="0065778A"/>
    <w:rsid w:val="006634B1"/>
    <w:rsid w:val="0066606A"/>
    <w:rsid w:val="00667ECB"/>
    <w:rsid w:val="00670445"/>
    <w:rsid w:val="00671342"/>
    <w:rsid w:val="00675FA9"/>
    <w:rsid w:val="00676326"/>
    <w:rsid w:val="00677178"/>
    <w:rsid w:val="00680508"/>
    <w:rsid w:val="00682086"/>
    <w:rsid w:val="00683197"/>
    <w:rsid w:val="00684243"/>
    <w:rsid w:val="00690FA3"/>
    <w:rsid w:val="00691EF5"/>
    <w:rsid w:val="006937F9"/>
    <w:rsid w:val="0069383F"/>
    <w:rsid w:val="00697A20"/>
    <w:rsid w:val="006A0304"/>
    <w:rsid w:val="006A18CB"/>
    <w:rsid w:val="006A1B9A"/>
    <w:rsid w:val="006A4453"/>
    <w:rsid w:val="006A52F8"/>
    <w:rsid w:val="006B057A"/>
    <w:rsid w:val="006B0A6A"/>
    <w:rsid w:val="006B3C9B"/>
    <w:rsid w:val="006B46DF"/>
    <w:rsid w:val="006B7484"/>
    <w:rsid w:val="006B7B9D"/>
    <w:rsid w:val="006D54EE"/>
    <w:rsid w:val="006D678B"/>
    <w:rsid w:val="006D7ADD"/>
    <w:rsid w:val="006E5441"/>
    <w:rsid w:val="006F3A26"/>
    <w:rsid w:val="00701AC5"/>
    <w:rsid w:val="007074D7"/>
    <w:rsid w:val="007126CB"/>
    <w:rsid w:val="0071363D"/>
    <w:rsid w:val="00713738"/>
    <w:rsid w:val="007144C3"/>
    <w:rsid w:val="00714FDB"/>
    <w:rsid w:val="007301D4"/>
    <w:rsid w:val="00732930"/>
    <w:rsid w:val="00740B9F"/>
    <w:rsid w:val="0074404B"/>
    <w:rsid w:val="0074475E"/>
    <w:rsid w:val="00751DB6"/>
    <w:rsid w:val="007520BC"/>
    <w:rsid w:val="00754915"/>
    <w:rsid w:val="00756B17"/>
    <w:rsid w:val="00756C22"/>
    <w:rsid w:val="00760520"/>
    <w:rsid w:val="007626E6"/>
    <w:rsid w:val="0076507E"/>
    <w:rsid w:val="007651F2"/>
    <w:rsid w:val="00767737"/>
    <w:rsid w:val="00770256"/>
    <w:rsid w:val="007702A9"/>
    <w:rsid w:val="00773163"/>
    <w:rsid w:val="0077541A"/>
    <w:rsid w:val="007756C2"/>
    <w:rsid w:val="0077602D"/>
    <w:rsid w:val="00777DF2"/>
    <w:rsid w:val="0078790A"/>
    <w:rsid w:val="0079348A"/>
    <w:rsid w:val="0079741B"/>
    <w:rsid w:val="007A1477"/>
    <w:rsid w:val="007A201D"/>
    <w:rsid w:val="007A2CF8"/>
    <w:rsid w:val="007A5454"/>
    <w:rsid w:val="007B595D"/>
    <w:rsid w:val="007B5BEC"/>
    <w:rsid w:val="007B7E77"/>
    <w:rsid w:val="007C2712"/>
    <w:rsid w:val="007C2DDF"/>
    <w:rsid w:val="007C7AEB"/>
    <w:rsid w:val="007C7E3F"/>
    <w:rsid w:val="007D01DF"/>
    <w:rsid w:val="007D11B7"/>
    <w:rsid w:val="007D4378"/>
    <w:rsid w:val="007D5957"/>
    <w:rsid w:val="007D698E"/>
    <w:rsid w:val="007D7DFD"/>
    <w:rsid w:val="007E283B"/>
    <w:rsid w:val="007E5042"/>
    <w:rsid w:val="007E507E"/>
    <w:rsid w:val="007E5B77"/>
    <w:rsid w:val="007F1A74"/>
    <w:rsid w:val="007F34C1"/>
    <w:rsid w:val="007F386E"/>
    <w:rsid w:val="007F50BF"/>
    <w:rsid w:val="007F5433"/>
    <w:rsid w:val="007F553A"/>
    <w:rsid w:val="007F776A"/>
    <w:rsid w:val="008011D2"/>
    <w:rsid w:val="00801668"/>
    <w:rsid w:val="008028F0"/>
    <w:rsid w:val="00802958"/>
    <w:rsid w:val="0080612C"/>
    <w:rsid w:val="0080672B"/>
    <w:rsid w:val="00806979"/>
    <w:rsid w:val="00810C09"/>
    <w:rsid w:val="00812C4E"/>
    <w:rsid w:val="00815A00"/>
    <w:rsid w:val="008163BF"/>
    <w:rsid w:val="0081675E"/>
    <w:rsid w:val="0081766E"/>
    <w:rsid w:val="00823968"/>
    <w:rsid w:val="0082588C"/>
    <w:rsid w:val="00826729"/>
    <w:rsid w:val="008323B8"/>
    <w:rsid w:val="00833E3A"/>
    <w:rsid w:val="00834698"/>
    <w:rsid w:val="0083779D"/>
    <w:rsid w:val="00842197"/>
    <w:rsid w:val="00847CDD"/>
    <w:rsid w:val="00851EC6"/>
    <w:rsid w:val="00852A40"/>
    <w:rsid w:val="00852F38"/>
    <w:rsid w:val="00853A7C"/>
    <w:rsid w:val="008558E0"/>
    <w:rsid w:val="00860FEB"/>
    <w:rsid w:val="00861441"/>
    <w:rsid w:val="00863E90"/>
    <w:rsid w:val="00864E6B"/>
    <w:rsid w:val="00864E75"/>
    <w:rsid w:val="00865816"/>
    <w:rsid w:val="00865D27"/>
    <w:rsid w:val="00865DD9"/>
    <w:rsid w:val="00870BC6"/>
    <w:rsid w:val="0087149C"/>
    <w:rsid w:val="008729F3"/>
    <w:rsid w:val="00873C06"/>
    <w:rsid w:val="008744EE"/>
    <w:rsid w:val="00877E9F"/>
    <w:rsid w:val="008806CA"/>
    <w:rsid w:val="00882CDB"/>
    <w:rsid w:val="008854F6"/>
    <w:rsid w:val="008859CB"/>
    <w:rsid w:val="00891498"/>
    <w:rsid w:val="0089188C"/>
    <w:rsid w:val="008927F5"/>
    <w:rsid w:val="00893E5D"/>
    <w:rsid w:val="008A326F"/>
    <w:rsid w:val="008A4240"/>
    <w:rsid w:val="008A578B"/>
    <w:rsid w:val="008A5FF7"/>
    <w:rsid w:val="008A6686"/>
    <w:rsid w:val="008B02E0"/>
    <w:rsid w:val="008B40AC"/>
    <w:rsid w:val="008B4E6C"/>
    <w:rsid w:val="008C3145"/>
    <w:rsid w:val="008C5C07"/>
    <w:rsid w:val="008C6305"/>
    <w:rsid w:val="008C7462"/>
    <w:rsid w:val="008C7B70"/>
    <w:rsid w:val="008D22D5"/>
    <w:rsid w:val="008D2CFF"/>
    <w:rsid w:val="008D68BA"/>
    <w:rsid w:val="008D7F8C"/>
    <w:rsid w:val="008E37E5"/>
    <w:rsid w:val="008E7021"/>
    <w:rsid w:val="008E7082"/>
    <w:rsid w:val="008F07F8"/>
    <w:rsid w:val="008F0C0D"/>
    <w:rsid w:val="008F186D"/>
    <w:rsid w:val="008F5891"/>
    <w:rsid w:val="00901257"/>
    <w:rsid w:val="00902C8C"/>
    <w:rsid w:val="00903D8B"/>
    <w:rsid w:val="00904727"/>
    <w:rsid w:val="00906366"/>
    <w:rsid w:val="00911661"/>
    <w:rsid w:val="009121E0"/>
    <w:rsid w:val="009133AC"/>
    <w:rsid w:val="00917731"/>
    <w:rsid w:val="0092163C"/>
    <w:rsid w:val="00922052"/>
    <w:rsid w:val="00923BD9"/>
    <w:rsid w:val="0092786F"/>
    <w:rsid w:val="00927F7D"/>
    <w:rsid w:val="009307A1"/>
    <w:rsid w:val="00931C72"/>
    <w:rsid w:val="0093581F"/>
    <w:rsid w:val="00936B54"/>
    <w:rsid w:val="009443F9"/>
    <w:rsid w:val="00944730"/>
    <w:rsid w:val="009477AC"/>
    <w:rsid w:val="00951521"/>
    <w:rsid w:val="0095239D"/>
    <w:rsid w:val="00952D63"/>
    <w:rsid w:val="009538FE"/>
    <w:rsid w:val="00960E4B"/>
    <w:rsid w:val="00960F99"/>
    <w:rsid w:val="00961F14"/>
    <w:rsid w:val="00962DB6"/>
    <w:rsid w:val="00965998"/>
    <w:rsid w:val="009718F7"/>
    <w:rsid w:val="009742C5"/>
    <w:rsid w:val="00975D4A"/>
    <w:rsid w:val="00976199"/>
    <w:rsid w:val="00983729"/>
    <w:rsid w:val="00985CE4"/>
    <w:rsid w:val="00987DC4"/>
    <w:rsid w:val="00990411"/>
    <w:rsid w:val="009912C1"/>
    <w:rsid w:val="0099232D"/>
    <w:rsid w:val="0099521B"/>
    <w:rsid w:val="00995AF6"/>
    <w:rsid w:val="0099617A"/>
    <w:rsid w:val="00997BC1"/>
    <w:rsid w:val="009A1DDC"/>
    <w:rsid w:val="009A59E7"/>
    <w:rsid w:val="009B302A"/>
    <w:rsid w:val="009B6202"/>
    <w:rsid w:val="009C3830"/>
    <w:rsid w:val="009C38AD"/>
    <w:rsid w:val="009C4D34"/>
    <w:rsid w:val="009D14FA"/>
    <w:rsid w:val="009D20F6"/>
    <w:rsid w:val="009D230D"/>
    <w:rsid w:val="009D5F48"/>
    <w:rsid w:val="009D74A6"/>
    <w:rsid w:val="009E4680"/>
    <w:rsid w:val="009E7C8E"/>
    <w:rsid w:val="009F02F5"/>
    <w:rsid w:val="009F06F0"/>
    <w:rsid w:val="009F3396"/>
    <w:rsid w:val="009F3B43"/>
    <w:rsid w:val="009F3ECC"/>
    <w:rsid w:val="009F778E"/>
    <w:rsid w:val="00A01752"/>
    <w:rsid w:val="00A032B3"/>
    <w:rsid w:val="00A04891"/>
    <w:rsid w:val="00A04F2C"/>
    <w:rsid w:val="00A05407"/>
    <w:rsid w:val="00A0777E"/>
    <w:rsid w:val="00A1227E"/>
    <w:rsid w:val="00A216EC"/>
    <w:rsid w:val="00A21859"/>
    <w:rsid w:val="00A31331"/>
    <w:rsid w:val="00A3162F"/>
    <w:rsid w:val="00A34122"/>
    <w:rsid w:val="00A34547"/>
    <w:rsid w:val="00A37E56"/>
    <w:rsid w:val="00A431D9"/>
    <w:rsid w:val="00A43C9B"/>
    <w:rsid w:val="00A47169"/>
    <w:rsid w:val="00A471B5"/>
    <w:rsid w:val="00A50F31"/>
    <w:rsid w:val="00A5285C"/>
    <w:rsid w:val="00A54081"/>
    <w:rsid w:val="00A562F8"/>
    <w:rsid w:val="00A56E2E"/>
    <w:rsid w:val="00A60A8F"/>
    <w:rsid w:val="00A65D59"/>
    <w:rsid w:val="00A661AF"/>
    <w:rsid w:val="00A678F0"/>
    <w:rsid w:val="00A67A56"/>
    <w:rsid w:val="00A75821"/>
    <w:rsid w:val="00A76E13"/>
    <w:rsid w:val="00A80F6C"/>
    <w:rsid w:val="00A82FD6"/>
    <w:rsid w:val="00A83642"/>
    <w:rsid w:val="00A93C80"/>
    <w:rsid w:val="00A95562"/>
    <w:rsid w:val="00A9627F"/>
    <w:rsid w:val="00A967AF"/>
    <w:rsid w:val="00A97AF5"/>
    <w:rsid w:val="00AA09AB"/>
    <w:rsid w:val="00AA344A"/>
    <w:rsid w:val="00AA4B7B"/>
    <w:rsid w:val="00AA4BAE"/>
    <w:rsid w:val="00AA5581"/>
    <w:rsid w:val="00AA59B6"/>
    <w:rsid w:val="00AB2049"/>
    <w:rsid w:val="00AB2EFF"/>
    <w:rsid w:val="00AB326F"/>
    <w:rsid w:val="00AB4F01"/>
    <w:rsid w:val="00AB4F6C"/>
    <w:rsid w:val="00AC7215"/>
    <w:rsid w:val="00AD105F"/>
    <w:rsid w:val="00AD1C51"/>
    <w:rsid w:val="00AD36F5"/>
    <w:rsid w:val="00AD3751"/>
    <w:rsid w:val="00AD41E1"/>
    <w:rsid w:val="00AD4CDA"/>
    <w:rsid w:val="00AD534A"/>
    <w:rsid w:val="00AE2E59"/>
    <w:rsid w:val="00AF0483"/>
    <w:rsid w:val="00AF0FFF"/>
    <w:rsid w:val="00AF2EA6"/>
    <w:rsid w:val="00AF395A"/>
    <w:rsid w:val="00AF61E0"/>
    <w:rsid w:val="00AF6C8E"/>
    <w:rsid w:val="00AF7850"/>
    <w:rsid w:val="00B03505"/>
    <w:rsid w:val="00B10B7B"/>
    <w:rsid w:val="00B13BC7"/>
    <w:rsid w:val="00B15625"/>
    <w:rsid w:val="00B161FC"/>
    <w:rsid w:val="00B1785E"/>
    <w:rsid w:val="00B21BAF"/>
    <w:rsid w:val="00B2214B"/>
    <w:rsid w:val="00B24A98"/>
    <w:rsid w:val="00B26154"/>
    <w:rsid w:val="00B26C41"/>
    <w:rsid w:val="00B3336F"/>
    <w:rsid w:val="00B335A0"/>
    <w:rsid w:val="00B35F33"/>
    <w:rsid w:val="00B374FD"/>
    <w:rsid w:val="00B41033"/>
    <w:rsid w:val="00B42EFD"/>
    <w:rsid w:val="00B56A84"/>
    <w:rsid w:val="00B56C3C"/>
    <w:rsid w:val="00B579FD"/>
    <w:rsid w:val="00B612F1"/>
    <w:rsid w:val="00B61574"/>
    <w:rsid w:val="00B73572"/>
    <w:rsid w:val="00B739CE"/>
    <w:rsid w:val="00B75C63"/>
    <w:rsid w:val="00B7628A"/>
    <w:rsid w:val="00B811DE"/>
    <w:rsid w:val="00B85898"/>
    <w:rsid w:val="00B94BA5"/>
    <w:rsid w:val="00B9645B"/>
    <w:rsid w:val="00B96802"/>
    <w:rsid w:val="00BA2CA6"/>
    <w:rsid w:val="00BB12C0"/>
    <w:rsid w:val="00BB2986"/>
    <w:rsid w:val="00BB3464"/>
    <w:rsid w:val="00BB48D0"/>
    <w:rsid w:val="00BB5625"/>
    <w:rsid w:val="00BB5D7D"/>
    <w:rsid w:val="00BB6C5F"/>
    <w:rsid w:val="00BC1518"/>
    <w:rsid w:val="00BC221F"/>
    <w:rsid w:val="00BC2ACD"/>
    <w:rsid w:val="00BC5345"/>
    <w:rsid w:val="00BC75CD"/>
    <w:rsid w:val="00BD0AAD"/>
    <w:rsid w:val="00BD0C26"/>
    <w:rsid w:val="00BD3A80"/>
    <w:rsid w:val="00BD5047"/>
    <w:rsid w:val="00BE0DA7"/>
    <w:rsid w:val="00BE19E7"/>
    <w:rsid w:val="00BE1C16"/>
    <w:rsid w:val="00BE2907"/>
    <w:rsid w:val="00BF2485"/>
    <w:rsid w:val="00BF3C0C"/>
    <w:rsid w:val="00BF5DD6"/>
    <w:rsid w:val="00BF70F2"/>
    <w:rsid w:val="00BF7274"/>
    <w:rsid w:val="00BF7ED7"/>
    <w:rsid w:val="00C0671D"/>
    <w:rsid w:val="00C10ECA"/>
    <w:rsid w:val="00C14E66"/>
    <w:rsid w:val="00C1597A"/>
    <w:rsid w:val="00C207A9"/>
    <w:rsid w:val="00C22D31"/>
    <w:rsid w:val="00C2327D"/>
    <w:rsid w:val="00C27E4E"/>
    <w:rsid w:val="00C304C2"/>
    <w:rsid w:val="00C3071D"/>
    <w:rsid w:val="00C3441A"/>
    <w:rsid w:val="00C3630F"/>
    <w:rsid w:val="00C36BFC"/>
    <w:rsid w:val="00C37A2B"/>
    <w:rsid w:val="00C37A4F"/>
    <w:rsid w:val="00C41238"/>
    <w:rsid w:val="00C432F2"/>
    <w:rsid w:val="00C43947"/>
    <w:rsid w:val="00C44384"/>
    <w:rsid w:val="00C46058"/>
    <w:rsid w:val="00C473ED"/>
    <w:rsid w:val="00C54973"/>
    <w:rsid w:val="00C55C1F"/>
    <w:rsid w:val="00C57526"/>
    <w:rsid w:val="00C5763A"/>
    <w:rsid w:val="00C636CA"/>
    <w:rsid w:val="00C63B9C"/>
    <w:rsid w:val="00C65C59"/>
    <w:rsid w:val="00C66741"/>
    <w:rsid w:val="00C7291E"/>
    <w:rsid w:val="00C756CE"/>
    <w:rsid w:val="00C766DE"/>
    <w:rsid w:val="00C770B0"/>
    <w:rsid w:val="00C801B0"/>
    <w:rsid w:val="00C83526"/>
    <w:rsid w:val="00C83A50"/>
    <w:rsid w:val="00C84540"/>
    <w:rsid w:val="00C8626F"/>
    <w:rsid w:val="00C86A29"/>
    <w:rsid w:val="00C93844"/>
    <w:rsid w:val="00C93F9A"/>
    <w:rsid w:val="00C946CD"/>
    <w:rsid w:val="00C96017"/>
    <w:rsid w:val="00C964C7"/>
    <w:rsid w:val="00C969AE"/>
    <w:rsid w:val="00C978A8"/>
    <w:rsid w:val="00CA40D9"/>
    <w:rsid w:val="00CA4E20"/>
    <w:rsid w:val="00CA6398"/>
    <w:rsid w:val="00CA71B2"/>
    <w:rsid w:val="00CB3DC6"/>
    <w:rsid w:val="00CB4691"/>
    <w:rsid w:val="00CB675A"/>
    <w:rsid w:val="00CC1391"/>
    <w:rsid w:val="00CC1781"/>
    <w:rsid w:val="00CC3862"/>
    <w:rsid w:val="00CC60A7"/>
    <w:rsid w:val="00CD1D66"/>
    <w:rsid w:val="00CD290C"/>
    <w:rsid w:val="00CD3FD7"/>
    <w:rsid w:val="00CD7EF3"/>
    <w:rsid w:val="00CE005D"/>
    <w:rsid w:val="00CE15DB"/>
    <w:rsid w:val="00CE3185"/>
    <w:rsid w:val="00CE4721"/>
    <w:rsid w:val="00CF14F0"/>
    <w:rsid w:val="00CF2476"/>
    <w:rsid w:val="00CF5F8B"/>
    <w:rsid w:val="00D03901"/>
    <w:rsid w:val="00D06F46"/>
    <w:rsid w:val="00D14AFF"/>
    <w:rsid w:val="00D14BDE"/>
    <w:rsid w:val="00D15761"/>
    <w:rsid w:val="00D16E8A"/>
    <w:rsid w:val="00D2075D"/>
    <w:rsid w:val="00D2125B"/>
    <w:rsid w:val="00D22521"/>
    <w:rsid w:val="00D22E3D"/>
    <w:rsid w:val="00D26B66"/>
    <w:rsid w:val="00D30685"/>
    <w:rsid w:val="00D36959"/>
    <w:rsid w:val="00D37CA2"/>
    <w:rsid w:val="00D4307A"/>
    <w:rsid w:val="00D43956"/>
    <w:rsid w:val="00D46063"/>
    <w:rsid w:val="00D46E7F"/>
    <w:rsid w:val="00D50C71"/>
    <w:rsid w:val="00D51633"/>
    <w:rsid w:val="00D51AFC"/>
    <w:rsid w:val="00D54529"/>
    <w:rsid w:val="00D55716"/>
    <w:rsid w:val="00D6347A"/>
    <w:rsid w:val="00D66BCC"/>
    <w:rsid w:val="00D678F1"/>
    <w:rsid w:val="00D7044F"/>
    <w:rsid w:val="00D7152A"/>
    <w:rsid w:val="00D77987"/>
    <w:rsid w:val="00D80245"/>
    <w:rsid w:val="00D80A35"/>
    <w:rsid w:val="00D83B12"/>
    <w:rsid w:val="00D83BE1"/>
    <w:rsid w:val="00D92EAF"/>
    <w:rsid w:val="00D94F77"/>
    <w:rsid w:val="00D96019"/>
    <w:rsid w:val="00DA2459"/>
    <w:rsid w:val="00DA2B81"/>
    <w:rsid w:val="00DA32F0"/>
    <w:rsid w:val="00DA4776"/>
    <w:rsid w:val="00DB2186"/>
    <w:rsid w:val="00DB61F5"/>
    <w:rsid w:val="00DC00A7"/>
    <w:rsid w:val="00DC1869"/>
    <w:rsid w:val="00DC46AA"/>
    <w:rsid w:val="00DC5517"/>
    <w:rsid w:val="00DC7628"/>
    <w:rsid w:val="00DC7997"/>
    <w:rsid w:val="00DD001E"/>
    <w:rsid w:val="00DD079D"/>
    <w:rsid w:val="00DD56C5"/>
    <w:rsid w:val="00DD5EC3"/>
    <w:rsid w:val="00DD70EE"/>
    <w:rsid w:val="00DD72E2"/>
    <w:rsid w:val="00DD7E00"/>
    <w:rsid w:val="00DE0F47"/>
    <w:rsid w:val="00DE33D0"/>
    <w:rsid w:val="00DE5928"/>
    <w:rsid w:val="00DE7335"/>
    <w:rsid w:val="00DF0805"/>
    <w:rsid w:val="00DF6750"/>
    <w:rsid w:val="00E01673"/>
    <w:rsid w:val="00E04DD2"/>
    <w:rsid w:val="00E0554B"/>
    <w:rsid w:val="00E106E5"/>
    <w:rsid w:val="00E10C06"/>
    <w:rsid w:val="00E12294"/>
    <w:rsid w:val="00E12CC9"/>
    <w:rsid w:val="00E134B3"/>
    <w:rsid w:val="00E15C3C"/>
    <w:rsid w:val="00E16AF4"/>
    <w:rsid w:val="00E2239B"/>
    <w:rsid w:val="00E236A7"/>
    <w:rsid w:val="00E26371"/>
    <w:rsid w:val="00E266B9"/>
    <w:rsid w:val="00E332BC"/>
    <w:rsid w:val="00E33A6F"/>
    <w:rsid w:val="00E35335"/>
    <w:rsid w:val="00E37BD8"/>
    <w:rsid w:val="00E41DC7"/>
    <w:rsid w:val="00E43CDE"/>
    <w:rsid w:val="00E4411A"/>
    <w:rsid w:val="00E44700"/>
    <w:rsid w:val="00E46EB4"/>
    <w:rsid w:val="00E564A0"/>
    <w:rsid w:val="00E57389"/>
    <w:rsid w:val="00E57EA1"/>
    <w:rsid w:val="00E60926"/>
    <w:rsid w:val="00E65D66"/>
    <w:rsid w:val="00E65EE2"/>
    <w:rsid w:val="00E7213A"/>
    <w:rsid w:val="00E7223F"/>
    <w:rsid w:val="00E73026"/>
    <w:rsid w:val="00E73D0E"/>
    <w:rsid w:val="00E77CAB"/>
    <w:rsid w:val="00E8352A"/>
    <w:rsid w:val="00E84F9E"/>
    <w:rsid w:val="00E91411"/>
    <w:rsid w:val="00E92D11"/>
    <w:rsid w:val="00E94001"/>
    <w:rsid w:val="00E95262"/>
    <w:rsid w:val="00EA1E80"/>
    <w:rsid w:val="00EA35CC"/>
    <w:rsid w:val="00EA370D"/>
    <w:rsid w:val="00EA3CE8"/>
    <w:rsid w:val="00EA46EC"/>
    <w:rsid w:val="00EA5239"/>
    <w:rsid w:val="00EB1BC3"/>
    <w:rsid w:val="00EB4111"/>
    <w:rsid w:val="00EB7074"/>
    <w:rsid w:val="00EC1CCA"/>
    <w:rsid w:val="00EC3940"/>
    <w:rsid w:val="00EC5460"/>
    <w:rsid w:val="00ED3778"/>
    <w:rsid w:val="00ED493B"/>
    <w:rsid w:val="00EE2180"/>
    <w:rsid w:val="00EE22DC"/>
    <w:rsid w:val="00EE3A0F"/>
    <w:rsid w:val="00EE3B37"/>
    <w:rsid w:val="00EF2ACA"/>
    <w:rsid w:val="00EF3129"/>
    <w:rsid w:val="00EF4E7A"/>
    <w:rsid w:val="00F003B3"/>
    <w:rsid w:val="00F0147F"/>
    <w:rsid w:val="00F0712F"/>
    <w:rsid w:val="00F07302"/>
    <w:rsid w:val="00F162C0"/>
    <w:rsid w:val="00F17A56"/>
    <w:rsid w:val="00F24E89"/>
    <w:rsid w:val="00F25620"/>
    <w:rsid w:val="00F31443"/>
    <w:rsid w:val="00F31C9A"/>
    <w:rsid w:val="00F322C9"/>
    <w:rsid w:val="00F364DB"/>
    <w:rsid w:val="00F376D0"/>
    <w:rsid w:val="00F4152A"/>
    <w:rsid w:val="00F41A88"/>
    <w:rsid w:val="00F41C7E"/>
    <w:rsid w:val="00F43F32"/>
    <w:rsid w:val="00F44C02"/>
    <w:rsid w:val="00F51265"/>
    <w:rsid w:val="00F548A0"/>
    <w:rsid w:val="00F5577B"/>
    <w:rsid w:val="00F563A0"/>
    <w:rsid w:val="00F61171"/>
    <w:rsid w:val="00F64A1F"/>
    <w:rsid w:val="00F73BA3"/>
    <w:rsid w:val="00F74016"/>
    <w:rsid w:val="00F74B87"/>
    <w:rsid w:val="00F750BB"/>
    <w:rsid w:val="00F82E67"/>
    <w:rsid w:val="00F902E9"/>
    <w:rsid w:val="00F9233F"/>
    <w:rsid w:val="00F92B7B"/>
    <w:rsid w:val="00F94502"/>
    <w:rsid w:val="00F96163"/>
    <w:rsid w:val="00F970BF"/>
    <w:rsid w:val="00FA17A2"/>
    <w:rsid w:val="00FA1FEC"/>
    <w:rsid w:val="00FA25FA"/>
    <w:rsid w:val="00FA7B10"/>
    <w:rsid w:val="00FB1689"/>
    <w:rsid w:val="00FB28C4"/>
    <w:rsid w:val="00FB2CF9"/>
    <w:rsid w:val="00FB2EB2"/>
    <w:rsid w:val="00FB7CE1"/>
    <w:rsid w:val="00FC4450"/>
    <w:rsid w:val="00FC48F8"/>
    <w:rsid w:val="00FC4BAD"/>
    <w:rsid w:val="00FC7A53"/>
    <w:rsid w:val="00FD0BB6"/>
    <w:rsid w:val="00FD207B"/>
    <w:rsid w:val="00FD224A"/>
    <w:rsid w:val="00FE1EFE"/>
    <w:rsid w:val="00FE4669"/>
    <w:rsid w:val="00FE64A6"/>
    <w:rsid w:val="00FE7958"/>
    <w:rsid w:val="00FF1021"/>
    <w:rsid w:val="00FF2C08"/>
    <w:rsid w:val="00FF5C5A"/>
    <w:rsid w:val="00FF6222"/>
    <w:rsid w:val="00FF79E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link w:val="Heading4Char"/>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Char">
    <w:name w:val="text 1 Char"/>
    <w:basedOn w:val="Normal"/>
    <w:link w:val="text1CharChar"/>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
    <w:name w:val="Text 1"/>
    <w:basedOn w:val="Normal"/>
    <w:link w:val="Text1Char0"/>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pPr>
      <w:widowControl w:val="0"/>
      <w:tabs>
        <w:tab w:val="center" w:pos="4683"/>
        <w:tab w:val="right" w:pos="9361"/>
      </w:tabs>
    </w:pPr>
    <w:rPr>
      <w:sz w:val="22"/>
      <w:lang w:val="en-US"/>
    </w:rPr>
  </w:style>
  <w:style w:type="paragraph" w:customStyle="1" w:styleId="BulletsText">
    <w:name w:val="Bullets Text"/>
    <w:basedOn w:val="Normal"/>
    <w:pPr>
      <w:numPr>
        <w:numId w:val="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basedOn w:val="Normal"/>
    <w:next w:val="TextTi11"/>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5F4256"/>
    <w:pPr>
      <w:tabs>
        <w:tab w:val="right" w:pos="8640"/>
      </w:tabs>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basedOn w:val="Normal"/>
    <w:semiHidden/>
    <w:rsid w:val="00BF7ED7"/>
    <w:pPr>
      <w:jc w:val="right"/>
    </w:pPr>
    <w:rPr>
      <w:rFonts w:ascii="Times New Roman" w:hAnsi="Times New Roman"/>
      <w:sz w:val="16"/>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BB6C5F"/>
    <w:pPr>
      <w:spacing w:before="60" w:after="60" w:line="480" w:lineRule="auto"/>
    </w:pPr>
    <w:rPr>
      <w:sz w:val="24"/>
      <w:lang w:val="en-US"/>
    </w:rPr>
  </w:style>
  <w:style w:type="paragraph" w:customStyle="1" w:styleId="Table-Footer">
    <w:name w:val="Table-Footer"/>
    <w:basedOn w:val="Normal"/>
    <w:rsid w:val="00B15625"/>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character" w:customStyle="1" w:styleId="text1CharChar">
    <w:name w:val="text 1 Char Char"/>
    <w:link w:val="text1Char"/>
    <w:rsid w:val="00F44C02"/>
    <w:rPr>
      <w:sz w:val="24"/>
      <w:lang w:val="en-US" w:eastAsia="en-US" w:bidi="ar-SA"/>
    </w:rPr>
  </w:style>
  <w:style w:type="paragraph" w:customStyle="1" w:styleId="text10">
    <w:name w:val="text 1"/>
    <w:basedOn w:val="Normal"/>
    <w:rsid w:val="002E1EA1"/>
    <w:pPr>
      <w:spacing w:after="240"/>
    </w:pPr>
    <w:rPr>
      <w:rFonts w:ascii="Times" w:hAnsi="Times"/>
      <w:sz w:val="24"/>
      <w:lang w:val="en-US"/>
    </w:rPr>
  </w:style>
  <w:style w:type="character" w:styleId="CommentReference">
    <w:name w:val="annotation reference"/>
    <w:semiHidden/>
    <w:rsid w:val="00A43C9B"/>
    <w:rPr>
      <w:sz w:val="16"/>
      <w:szCs w:val="16"/>
    </w:rPr>
  </w:style>
  <w:style w:type="paragraph" w:styleId="CommentSubject">
    <w:name w:val="annotation subject"/>
    <w:basedOn w:val="CommentText"/>
    <w:next w:val="CommentText"/>
    <w:semiHidden/>
    <w:rsid w:val="00A43C9B"/>
    <w:rPr>
      <w:rFonts w:ascii="Arial" w:hAnsi="Arial"/>
      <w:b/>
      <w:bCs/>
      <w:lang w:val="en-AU"/>
    </w:rPr>
  </w:style>
  <w:style w:type="character" w:customStyle="1" w:styleId="msoins0">
    <w:name w:val="msoins"/>
    <w:rsid w:val="00EC5460"/>
    <w:rPr>
      <w:color w:val="008080"/>
      <w:u w:val="single"/>
    </w:rPr>
  </w:style>
  <w:style w:type="paragraph" w:styleId="DocumentMap">
    <w:name w:val="Document Map"/>
    <w:basedOn w:val="Normal"/>
    <w:semiHidden/>
    <w:rsid w:val="00B1785E"/>
    <w:pPr>
      <w:shd w:val="clear" w:color="auto" w:fill="000080"/>
    </w:pPr>
    <w:rPr>
      <w:rFonts w:ascii="Tahoma" w:hAnsi="Tahoma" w:cs="Tahoma"/>
    </w:rPr>
  </w:style>
  <w:style w:type="paragraph" w:customStyle="1" w:styleId="Default">
    <w:name w:val="Default"/>
    <w:rsid w:val="00C969AE"/>
    <w:pPr>
      <w:autoSpaceDE w:val="0"/>
      <w:autoSpaceDN w:val="0"/>
      <w:adjustRightInd w:val="0"/>
    </w:pPr>
    <w:rPr>
      <w:color w:val="000000"/>
      <w:sz w:val="24"/>
      <w:szCs w:val="24"/>
      <w:lang w:val="en-US" w:eastAsia="en-US"/>
    </w:rPr>
  </w:style>
  <w:style w:type="character" w:customStyle="1" w:styleId="Text1Char0">
    <w:name w:val="Text 1 Char"/>
    <w:link w:val="Text1"/>
    <w:rsid w:val="00F4152A"/>
    <w:rPr>
      <w:sz w:val="24"/>
      <w:lang w:val="en-US" w:eastAsia="en-US" w:bidi="ar-SA"/>
    </w:rPr>
  </w:style>
  <w:style w:type="paragraph" w:customStyle="1" w:styleId="StyleTable-HeadingLeft">
    <w:name w:val="Style Table-Heading + Left"/>
    <w:basedOn w:val="Table-Heading"/>
    <w:rsid w:val="00F415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bCs/>
    </w:rPr>
  </w:style>
  <w:style w:type="character" w:customStyle="1" w:styleId="Table-TextChar">
    <w:name w:val="Table-Text Char"/>
    <w:link w:val="Table-Text"/>
    <w:locked/>
    <w:rsid w:val="00176069"/>
    <w:rPr>
      <w:sz w:val="16"/>
      <w:lang w:val="en-US" w:eastAsia="en-US" w:bidi="ar-SA"/>
    </w:rPr>
  </w:style>
  <w:style w:type="paragraph" w:customStyle="1" w:styleId="Table1">
    <w:name w:val="Table1"/>
    <w:rsid w:val="00FE64A6"/>
    <w:pPr>
      <w:spacing w:before="120" w:after="120"/>
    </w:pPr>
    <w:rPr>
      <w:rFonts w:ascii="Palatino Linotype" w:hAnsi="Palatino Linotype"/>
      <w:b/>
      <w:noProof/>
      <w:sz w:val="22"/>
      <w:lang w:eastAsia="en-US"/>
    </w:rPr>
  </w:style>
  <w:style w:type="paragraph" w:customStyle="1" w:styleId="bulletstext0">
    <w:name w:val="bulletstext"/>
    <w:basedOn w:val="Normal"/>
    <w:rsid w:val="00FE64A6"/>
    <w:pPr>
      <w:numPr>
        <w:numId w:val="2"/>
      </w:numPr>
      <w:spacing w:after="240"/>
    </w:pPr>
    <w:rPr>
      <w:rFonts w:ascii="Times New Roman" w:hAnsi="Times New Roman"/>
      <w:sz w:val="24"/>
      <w:szCs w:val="24"/>
      <w:lang w:val="en-US"/>
    </w:rPr>
  </w:style>
  <w:style w:type="character" w:customStyle="1" w:styleId="Heading4Char">
    <w:name w:val="Heading 4 Char"/>
    <w:link w:val="Heading4"/>
    <w:semiHidden/>
    <w:locked/>
    <w:rsid w:val="00FB2CF9"/>
    <w:rPr>
      <w:color w:val="000000"/>
      <w:sz w:val="24"/>
      <w:lang w:val="en-US" w:eastAsia="en-US" w:bidi="ar-SA"/>
    </w:rPr>
  </w:style>
  <w:style w:type="paragraph" w:customStyle="1" w:styleId="TableCenter">
    <w:name w:val="Table Center"/>
    <w:rsid w:val="002D4919"/>
    <w:pPr>
      <w:spacing w:before="60" w:after="60"/>
      <w:jc w:val="center"/>
    </w:pPr>
    <w:rPr>
      <w:rFonts w:eastAsia="Arial Unicode MS"/>
      <w:lang w:val="en-US" w:eastAsia="en-US"/>
    </w:rPr>
  </w:style>
  <w:style w:type="paragraph" w:styleId="ListBullet">
    <w:name w:val="List Bullet"/>
    <w:basedOn w:val="Normal"/>
    <w:uiPriority w:val="99"/>
    <w:qFormat/>
    <w:rsid w:val="00511883"/>
    <w:pPr>
      <w:numPr>
        <w:numId w:val="14"/>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511883"/>
    <w:pPr>
      <w:numPr>
        <w:ilvl w:val="1"/>
        <w:numId w:val="14"/>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511883"/>
    <w:pPr>
      <w:numPr>
        <w:ilvl w:val="2"/>
        <w:numId w:val="14"/>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511883"/>
    <w:pPr>
      <w:numPr>
        <w:numId w:val="14"/>
      </w:numPr>
    </w:pPr>
  </w:style>
</w:styles>
</file>

<file path=word/webSettings.xml><?xml version="1.0" encoding="utf-8"?>
<w:webSettings xmlns:r="http://schemas.openxmlformats.org/officeDocument/2006/relationships" xmlns:w="http://schemas.openxmlformats.org/wordprocessingml/2006/main">
  <w:divs>
    <w:div w:id="11272268">
      <w:bodyDiv w:val="1"/>
      <w:marLeft w:val="0"/>
      <w:marRight w:val="0"/>
      <w:marTop w:val="0"/>
      <w:marBottom w:val="0"/>
      <w:divBdr>
        <w:top w:val="none" w:sz="0" w:space="0" w:color="auto"/>
        <w:left w:val="none" w:sz="0" w:space="0" w:color="auto"/>
        <w:bottom w:val="none" w:sz="0" w:space="0" w:color="auto"/>
        <w:right w:val="none" w:sz="0" w:space="0" w:color="auto"/>
      </w:divBdr>
    </w:div>
    <w:div w:id="130636204">
      <w:bodyDiv w:val="1"/>
      <w:marLeft w:val="0"/>
      <w:marRight w:val="0"/>
      <w:marTop w:val="0"/>
      <w:marBottom w:val="0"/>
      <w:divBdr>
        <w:top w:val="none" w:sz="0" w:space="0" w:color="auto"/>
        <w:left w:val="none" w:sz="0" w:space="0" w:color="auto"/>
        <w:bottom w:val="none" w:sz="0" w:space="0" w:color="auto"/>
        <w:right w:val="none" w:sz="0" w:space="0" w:color="auto"/>
      </w:divBdr>
    </w:div>
    <w:div w:id="209659579">
      <w:bodyDiv w:val="1"/>
      <w:marLeft w:val="0"/>
      <w:marRight w:val="0"/>
      <w:marTop w:val="0"/>
      <w:marBottom w:val="0"/>
      <w:divBdr>
        <w:top w:val="none" w:sz="0" w:space="0" w:color="auto"/>
        <w:left w:val="none" w:sz="0" w:space="0" w:color="auto"/>
        <w:bottom w:val="none" w:sz="0" w:space="0" w:color="auto"/>
        <w:right w:val="none" w:sz="0" w:space="0" w:color="auto"/>
      </w:divBdr>
    </w:div>
    <w:div w:id="230310944">
      <w:bodyDiv w:val="1"/>
      <w:marLeft w:val="0"/>
      <w:marRight w:val="0"/>
      <w:marTop w:val="0"/>
      <w:marBottom w:val="0"/>
      <w:divBdr>
        <w:top w:val="none" w:sz="0" w:space="0" w:color="auto"/>
        <w:left w:val="none" w:sz="0" w:space="0" w:color="auto"/>
        <w:bottom w:val="none" w:sz="0" w:space="0" w:color="auto"/>
        <w:right w:val="none" w:sz="0" w:space="0" w:color="auto"/>
      </w:divBdr>
    </w:div>
    <w:div w:id="243607388">
      <w:bodyDiv w:val="1"/>
      <w:marLeft w:val="0"/>
      <w:marRight w:val="0"/>
      <w:marTop w:val="0"/>
      <w:marBottom w:val="0"/>
      <w:divBdr>
        <w:top w:val="none" w:sz="0" w:space="0" w:color="auto"/>
        <w:left w:val="none" w:sz="0" w:space="0" w:color="auto"/>
        <w:bottom w:val="none" w:sz="0" w:space="0" w:color="auto"/>
        <w:right w:val="none" w:sz="0" w:space="0" w:color="auto"/>
      </w:divBdr>
    </w:div>
    <w:div w:id="268777366">
      <w:bodyDiv w:val="1"/>
      <w:marLeft w:val="0"/>
      <w:marRight w:val="0"/>
      <w:marTop w:val="0"/>
      <w:marBottom w:val="0"/>
      <w:divBdr>
        <w:top w:val="none" w:sz="0" w:space="0" w:color="auto"/>
        <w:left w:val="none" w:sz="0" w:space="0" w:color="auto"/>
        <w:bottom w:val="none" w:sz="0" w:space="0" w:color="auto"/>
        <w:right w:val="none" w:sz="0" w:space="0" w:color="auto"/>
      </w:divBdr>
    </w:div>
    <w:div w:id="324943413">
      <w:bodyDiv w:val="1"/>
      <w:marLeft w:val="0"/>
      <w:marRight w:val="0"/>
      <w:marTop w:val="0"/>
      <w:marBottom w:val="0"/>
      <w:divBdr>
        <w:top w:val="none" w:sz="0" w:space="0" w:color="auto"/>
        <w:left w:val="none" w:sz="0" w:space="0" w:color="auto"/>
        <w:bottom w:val="none" w:sz="0" w:space="0" w:color="auto"/>
        <w:right w:val="none" w:sz="0" w:space="0" w:color="auto"/>
      </w:divBdr>
    </w:div>
    <w:div w:id="344404519">
      <w:bodyDiv w:val="1"/>
      <w:marLeft w:val="0"/>
      <w:marRight w:val="0"/>
      <w:marTop w:val="0"/>
      <w:marBottom w:val="0"/>
      <w:divBdr>
        <w:top w:val="none" w:sz="0" w:space="0" w:color="auto"/>
        <w:left w:val="none" w:sz="0" w:space="0" w:color="auto"/>
        <w:bottom w:val="none" w:sz="0" w:space="0" w:color="auto"/>
        <w:right w:val="none" w:sz="0" w:space="0" w:color="auto"/>
      </w:divBdr>
    </w:div>
    <w:div w:id="427697891">
      <w:bodyDiv w:val="1"/>
      <w:marLeft w:val="0"/>
      <w:marRight w:val="0"/>
      <w:marTop w:val="0"/>
      <w:marBottom w:val="0"/>
      <w:divBdr>
        <w:top w:val="none" w:sz="0" w:space="0" w:color="auto"/>
        <w:left w:val="none" w:sz="0" w:space="0" w:color="auto"/>
        <w:bottom w:val="none" w:sz="0" w:space="0" w:color="auto"/>
        <w:right w:val="none" w:sz="0" w:space="0" w:color="auto"/>
      </w:divBdr>
    </w:div>
    <w:div w:id="455761601">
      <w:bodyDiv w:val="1"/>
      <w:marLeft w:val="0"/>
      <w:marRight w:val="0"/>
      <w:marTop w:val="0"/>
      <w:marBottom w:val="0"/>
      <w:divBdr>
        <w:top w:val="none" w:sz="0" w:space="0" w:color="auto"/>
        <w:left w:val="none" w:sz="0" w:space="0" w:color="auto"/>
        <w:bottom w:val="none" w:sz="0" w:space="0" w:color="auto"/>
        <w:right w:val="none" w:sz="0" w:space="0" w:color="auto"/>
      </w:divBdr>
    </w:div>
    <w:div w:id="463429974">
      <w:bodyDiv w:val="1"/>
      <w:marLeft w:val="0"/>
      <w:marRight w:val="0"/>
      <w:marTop w:val="0"/>
      <w:marBottom w:val="0"/>
      <w:divBdr>
        <w:top w:val="none" w:sz="0" w:space="0" w:color="auto"/>
        <w:left w:val="none" w:sz="0" w:space="0" w:color="auto"/>
        <w:bottom w:val="none" w:sz="0" w:space="0" w:color="auto"/>
        <w:right w:val="none" w:sz="0" w:space="0" w:color="auto"/>
      </w:divBdr>
    </w:div>
    <w:div w:id="511342205">
      <w:bodyDiv w:val="1"/>
      <w:marLeft w:val="0"/>
      <w:marRight w:val="0"/>
      <w:marTop w:val="0"/>
      <w:marBottom w:val="0"/>
      <w:divBdr>
        <w:top w:val="none" w:sz="0" w:space="0" w:color="auto"/>
        <w:left w:val="none" w:sz="0" w:space="0" w:color="auto"/>
        <w:bottom w:val="none" w:sz="0" w:space="0" w:color="auto"/>
        <w:right w:val="none" w:sz="0" w:space="0" w:color="auto"/>
      </w:divBdr>
    </w:div>
    <w:div w:id="616181950">
      <w:bodyDiv w:val="1"/>
      <w:marLeft w:val="0"/>
      <w:marRight w:val="0"/>
      <w:marTop w:val="0"/>
      <w:marBottom w:val="0"/>
      <w:divBdr>
        <w:top w:val="none" w:sz="0" w:space="0" w:color="auto"/>
        <w:left w:val="none" w:sz="0" w:space="0" w:color="auto"/>
        <w:bottom w:val="none" w:sz="0" w:space="0" w:color="auto"/>
        <w:right w:val="none" w:sz="0" w:space="0" w:color="auto"/>
      </w:divBdr>
    </w:div>
    <w:div w:id="628631130">
      <w:bodyDiv w:val="1"/>
      <w:marLeft w:val="0"/>
      <w:marRight w:val="0"/>
      <w:marTop w:val="0"/>
      <w:marBottom w:val="0"/>
      <w:divBdr>
        <w:top w:val="none" w:sz="0" w:space="0" w:color="auto"/>
        <w:left w:val="none" w:sz="0" w:space="0" w:color="auto"/>
        <w:bottom w:val="none" w:sz="0" w:space="0" w:color="auto"/>
        <w:right w:val="none" w:sz="0" w:space="0" w:color="auto"/>
      </w:divBdr>
    </w:div>
    <w:div w:id="666977400">
      <w:bodyDiv w:val="1"/>
      <w:marLeft w:val="0"/>
      <w:marRight w:val="0"/>
      <w:marTop w:val="0"/>
      <w:marBottom w:val="0"/>
      <w:divBdr>
        <w:top w:val="none" w:sz="0" w:space="0" w:color="auto"/>
        <w:left w:val="none" w:sz="0" w:space="0" w:color="auto"/>
        <w:bottom w:val="none" w:sz="0" w:space="0" w:color="auto"/>
        <w:right w:val="none" w:sz="0" w:space="0" w:color="auto"/>
      </w:divBdr>
    </w:div>
    <w:div w:id="672805076">
      <w:bodyDiv w:val="1"/>
      <w:marLeft w:val="0"/>
      <w:marRight w:val="0"/>
      <w:marTop w:val="0"/>
      <w:marBottom w:val="0"/>
      <w:divBdr>
        <w:top w:val="none" w:sz="0" w:space="0" w:color="auto"/>
        <w:left w:val="none" w:sz="0" w:space="0" w:color="auto"/>
        <w:bottom w:val="none" w:sz="0" w:space="0" w:color="auto"/>
        <w:right w:val="none" w:sz="0" w:space="0" w:color="auto"/>
      </w:divBdr>
    </w:div>
    <w:div w:id="688415336">
      <w:bodyDiv w:val="1"/>
      <w:marLeft w:val="0"/>
      <w:marRight w:val="0"/>
      <w:marTop w:val="0"/>
      <w:marBottom w:val="0"/>
      <w:divBdr>
        <w:top w:val="none" w:sz="0" w:space="0" w:color="auto"/>
        <w:left w:val="none" w:sz="0" w:space="0" w:color="auto"/>
        <w:bottom w:val="none" w:sz="0" w:space="0" w:color="auto"/>
        <w:right w:val="none" w:sz="0" w:space="0" w:color="auto"/>
      </w:divBdr>
    </w:div>
    <w:div w:id="691037095">
      <w:bodyDiv w:val="1"/>
      <w:marLeft w:val="0"/>
      <w:marRight w:val="0"/>
      <w:marTop w:val="0"/>
      <w:marBottom w:val="0"/>
      <w:divBdr>
        <w:top w:val="none" w:sz="0" w:space="0" w:color="auto"/>
        <w:left w:val="none" w:sz="0" w:space="0" w:color="auto"/>
        <w:bottom w:val="none" w:sz="0" w:space="0" w:color="auto"/>
        <w:right w:val="none" w:sz="0" w:space="0" w:color="auto"/>
      </w:divBdr>
    </w:div>
    <w:div w:id="691568060">
      <w:bodyDiv w:val="1"/>
      <w:marLeft w:val="0"/>
      <w:marRight w:val="0"/>
      <w:marTop w:val="0"/>
      <w:marBottom w:val="0"/>
      <w:divBdr>
        <w:top w:val="none" w:sz="0" w:space="0" w:color="auto"/>
        <w:left w:val="none" w:sz="0" w:space="0" w:color="auto"/>
        <w:bottom w:val="none" w:sz="0" w:space="0" w:color="auto"/>
        <w:right w:val="none" w:sz="0" w:space="0" w:color="auto"/>
      </w:divBdr>
    </w:div>
    <w:div w:id="719861000">
      <w:bodyDiv w:val="1"/>
      <w:marLeft w:val="0"/>
      <w:marRight w:val="0"/>
      <w:marTop w:val="0"/>
      <w:marBottom w:val="0"/>
      <w:divBdr>
        <w:top w:val="none" w:sz="0" w:space="0" w:color="auto"/>
        <w:left w:val="none" w:sz="0" w:space="0" w:color="auto"/>
        <w:bottom w:val="none" w:sz="0" w:space="0" w:color="auto"/>
        <w:right w:val="none" w:sz="0" w:space="0" w:color="auto"/>
      </w:divBdr>
    </w:div>
    <w:div w:id="756439548">
      <w:bodyDiv w:val="1"/>
      <w:marLeft w:val="0"/>
      <w:marRight w:val="0"/>
      <w:marTop w:val="0"/>
      <w:marBottom w:val="0"/>
      <w:divBdr>
        <w:top w:val="none" w:sz="0" w:space="0" w:color="auto"/>
        <w:left w:val="none" w:sz="0" w:space="0" w:color="auto"/>
        <w:bottom w:val="none" w:sz="0" w:space="0" w:color="auto"/>
        <w:right w:val="none" w:sz="0" w:space="0" w:color="auto"/>
      </w:divBdr>
    </w:div>
    <w:div w:id="1265500912">
      <w:bodyDiv w:val="1"/>
      <w:marLeft w:val="0"/>
      <w:marRight w:val="0"/>
      <w:marTop w:val="0"/>
      <w:marBottom w:val="0"/>
      <w:divBdr>
        <w:top w:val="none" w:sz="0" w:space="0" w:color="auto"/>
        <w:left w:val="none" w:sz="0" w:space="0" w:color="auto"/>
        <w:bottom w:val="none" w:sz="0" w:space="0" w:color="auto"/>
        <w:right w:val="none" w:sz="0" w:space="0" w:color="auto"/>
      </w:divBdr>
    </w:div>
    <w:div w:id="1270166283">
      <w:bodyDiv w:val="1"/>
      <w:marLeft w:val="0"/>
      <w:marRight w:val="0"/>
      <w:marTop w:val="0"/>
      <w:marBottom w:val="0"/>
      <w:divBdr>
        <w:top w:val="none" w:sz="0" w:space="0" w:color="auto"/>
        <w:left w:val="none" w:sz="0" w:space="0" w:color="auto"/>
        <w:bottom w:val="none" w:sz="0" w:space="0" w:color="auto"/>
        <w:right w:val="none" w:sz="0" w:space="0" w:color="auto"/>
      </w:divBdr>
    </w:div>
    <w:div w:id="1298343492">
      <w:bodyDiv w:val="1"/>
      <w:marLeft w:val="0"/>
      <w:marRight w:val="0"/>
      <w:marTop w:val="0"/>
      <w:marBottom w:val="0"/>
      <w:divBdr>
        <w:top w:val="none" w:sz="0" w:space="0" w:color="auto"/>
        <w:left w:val="none" w:sz="0" w:space="0" w:color="auto"/>
        <w:bottom w:val="none" w:sz="0" w:space="0" w:color="auto"/>
        <w:right w:val="none" w:sz="0" w:space="0" w:color="auto"/>
      </w:divBdr>
    </w:div>
    <w:div w:id="1375621463">
      <w:bodyDiv w:val="1"/>
      <w:marLeft w:val="0"/>
      <w:marRight w:val="0"/>
      <w:marTop w:val="0"/>
      <w:marBottom w:val="0"/>
      <w:divBdr>
        <w:top w:val="none" w:sz="0" w:space="0" w:color="auto"/>
        <w:left w:val="none" w:sz="0" w:space="0" w:color="auto"/>
        <w:bottom w:val="none" w:sz="0" w:space="0" w:color="auto"/>
        <w:right w:val="none" w:sz="0" w:space="0" w:color="auto"/>
      </w:divBdr>
    </w:div>
    <w:div w:id="1448086502">
      <w:bodyDiv w:val="1"/>
      <w:marLeft w:val="0"/>
      <w:marRight w:val="0"/>
      <w:marTop w:val="0"/>
      <w:marBottom w:val="0"/>
      <w:divBdr>
        <w:top w:val="none" w:sz="0" w:space="0" w:color="auto"/>
        <w:left w:val="none" w:sz="0" w:space="0" w:color="auto"/>
        <w:bottom w:val="none" w:sz="0" w:space="0" w:color="auto"/>
        <w:right w:val="none" w:sz="0" w:space="0" w:color="auto"/>
      </w:divBdr>
    </w:div>
    <w:div w:id="1490753818">
      <w:bodyDiv w:val="1"/>
      <w:marLeft w:val="0"/>
      <w:marRight w:val="0"/>
      <w:marTop w:val="0"/>
      <w:marBottom w:val="0"/>
      <w:divBdr>
        <w:top w:val="none" w:sz="0" w:space="0" w:color="auto"/>
        <w:left w:val="none" w:sz="0" w:space="0" w:color="auto"/>
        <w:bottom w:val="none" w:sz="0" w:space="0" w:color="auto"/>
        <w:right w:val="none" w:sz="0" w:space="0" w:color="auto"/>
      </w:divBdr>
    </w:div>
    <w:div w:id="1862358743">
      <w:bodyDiv w:val="1"/>
      <w:marLeft w:val="0"/>
      <w:marRight w:val="0"/>
      <w:marTop w:val="0"/>
      <w:marBottom w:val="0"/>
      <w:divBdr>
        <w:top w:val="none" w:sz="0" w:space="0" w:color="auto"/>
        <w:left w:val="none" w:sz="0" w:space="0" w:color="auto"/>
        <w:bottom w:val="none" w:sz="0" w:space="0" w:color="auto"/>
        <w:right w:val="none" w:sz="0" w:space="0" w:color="auto"/>
      </w:divBdr>
    </w:div>
    <w:div w:id="1940529051">
      <w:bodyDiv w:val="1"/>
      <w:marLeft w:val="0"/>
      <w:marRight w:val="0"/>
      <w:marTop w:val="0"/>
      <w:marBottom w:val="0"/>
      <w:divBdr>
        <w:top w:val="none" w:sz="0" w:space="0" w:color="auto"/>
        <w:left w:val="none" w:sz="0" w:space="0" w:color="auto"/>
        <w:bottom w:val="none" w:sz="0" w:space="0" w:color="auto"/>
        <w:right w:val="none" w:sz="0" w:space="0" w:color="auto"/>
      </w:divBdr>
    </w:div>
    <w:div w:id="2009207458">
      <w:bodyDiv w:val="1"/>
      <w:marLeft w:val="0"/>
      <w:marRight w:val="0"/>
      <w:marTop w:val="0"/>
      <w:marBottom w:val="0"/>
      <w:divBdr>
        <w:top w:val="none" w:sz="0" w:space="0" w:color="auto"/>
        <w:left w:val="none" w:sz="0" w:space="0" w:color="auto"/>
        <w:bottom w:val="none" w:sz="0" w:space="0" w:color="auto"/>
        <w:right w:val="none" w:sz="0" w:space="0" w:color="auto"/>
      </w:divBdr>
    </w:div>
    <w:div w:id="21174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14434</Words>
  <Characters>82280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Product Information:</vt:lpstr>
    </vt:vector>
  </TitlesOfParts>
  <Company>Gilead Sciences, Australia &amp; New Zealand</Company>
  <LinksUpToDate>false</LinksUpToDate>
  <CharactersWithSpaces>96521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Tenofovir disoproxil fumarate</dc:title>
  <dc:subject>prescription medicine regulation</dc:subject>
  <dc:creator>Gilead Sciences, Australia &amp; New Zealand</dc:creator>
  <cp:keywords>product, information, prescription, medicine, regulation, tenofovir, disoproxil, fumarate, vired, gilead, sciences</cp:keywords>
  <cp:lastModifiedBy>dixonj</cp:lastModifiedBy>
  <cp:revision>2</cp:revision>
  <cp:lastPrinted>2013-09-23T05:52:00Z</cp:lastPrinted>
  <dcterms:created xsi:type="dcterms:W3CDTF">2013-10-30T04:53:00Z</dcterms:created>
  <dcterms:modified xsi:type="dcterms:W3CDTF">2013-10-30T04:53:00Z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-1646547448</vt:i4>
  </property>
  <property fmtid="{D5CDD505-2E9C-101B-9397-08002B2CF9AE}" pid="3" name="_NewReviewCycle">
    <vt:lpwstr/>
  </property>
  <property fmtid="{D5CDD505-2E9C-101B-9397-08002B2CF9AE}" pid="4" name="_EmailEntryID">
    <vt:lpwstr>00000000DBE5DD6A3E857B469026E8C3E77416020700100C9D858B91134E81FB353CE6D920B900000195D8CC0000A7EE82F26F98DC4597F23740FEC385DD001A2FEB142D0000</vt:lpwstr>
  </property>
  <property fmtid="{D5CDD505-2E9C-101B-9397-08002B2CF9AE}" pid="5" name="_EmailStoreID0">
    <vt:lpwstr>0000000038A1BB1005E5101AA1BB08002B2A56C20000454D534D44422E444C4C00000000000000001B55FA20AA6611CD9BC800AA002FC45A0C0000004D42584D423032002F4F3D47696C65616420536369656E6365732F4F553D4175737472616C69612F636E3D526563697069656E74732F636E3D486B617261666F7469617</vt:lpwstr>
  </property>
  <property fmtid="{D5CDD505-2E9C-101B-9397-08002B2CF9AE}" pid="6" name="_EmailStoreID1">
    <vt:lpwstr>300</vt:lpwstr>
  </property>
  <property fmtid="{D5CDD505-2E9C-101B-9397-08002B2CF9AE}" pid="7" name="_ReviewingToolsShownOnce">
    <vt:lpwstr/>
  </property>
</Properties>
</file>