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tblGrid>
      <w:tr w:rsidR="008E7846" w:rsidRPr="00487162" w:rsidTr="00F86BF9">
        <w:trPr>
          <w:trHeight w:val="1863"/>
        </w:trPr>
        <w:tc>
          <w:tcPr>
            <w:tcW w:w="7763" w:type="dxa"/>
            <w:tcBorders>
              <w:top w:val="nil"/>
              <w:left w:val="nil"/>
              <w:bottom w:val="nil"/>
              <w:right w:val="nil"/>
            </w:tcBorders>
          </w:tcPr>
          <w:p w:rsidR="008E7846" w:rsidRPr="0017078F" w:rsidRDefault="00F86BF9" w:rsidP="003C78F3">
            <w:pPr>
              <w:rPr>
                <w:rFonts w:ascii="Arial" w:hAnsi="Arial" w:cs="Arial"/>
                <w:b/>
                <w:color w:val="002C47"/>
                <w:sz w:val="36"/>
                <w:szCs w:val="36"/>
              </w:rPr>
            </w:pPr>
            <w:r>
              <w:rPr>
                <w:rFonts w:ascii="Arial" w:hAnsi="Arial" w:cs="Arial"/>
                <w:b/>
                <w:color w:val="002C47"/>
                <w:sz w:val="36"/>
                <w:szCs w:val="36"/>
              </w:rPr>
              <w:t xml:space="preserve">Date of </w:t>
            </w:r>
            <w:r w:rsidR="0017078F">
              <w:rPr>
                <w:rFonts w:ascii="Arial" w:hAnsi="Arial" w:cs="Arial"/>
                <w:b/>
                <w:color w:val="002C47"/>
                <w:sz w:val="36"/>
                <w:szCs w:val="36"/>
              </w:rPr>
              <w:t>CER</w:t>
            </w:r>
            <w:r>
              <w:rPr>
                <w:rFonts w:ascii="Arial" w:hAnsi="Arial" w:cs="Arial"/>
                <w:b/>
                <w:color w:val="002C47"/>
                <w:sz w:val="36"/>
                <w:szCs w:val="36"/>
              </w:rPr>
              <w:t>: A</w:t>
            </w:r>
            <w:r w:rsidR="003C78F3">
              <w:rPr>
                <w:rFonts w:ascii="Arial" w:hAnsi="Arial" w:cs="Arial"/>
                <w:b/>
                <w:color w:val="002C47"/>
                <w:sz w:val="36"/>
                <w:szCs w:val="36"/>
              </w:rPr>
              <w:t>u</w:t>
            </w:r>
            <w:r>
              <w:rPr>
                <w:rFonts w:ascii="Arial" w:hAnsi="Arial" w:cs="Arial"/>
                <w:b/>
                <w:color w:val="002C47"/>
                <w:sz w:val="36"/>
                <w:szCs w:val="36"/>
              </w:rPr>
              <w:t>gust 2013</w:t>
            </w:r>
          </w:p>
        </w:tc>
      </w:tr>
    </w:tbl>
    <w:p w:rsidR="00117C51" w:rsidRPr="00117C51" w:rsidRDefault="00117C51" w:rsidP="00117C51">
      <w:pPr>
        <w:spacing w:before="0" w:after="0"/>
        <w:rPr>
          <w:vanish/>
        </w:rPr>
      </w:pPr>
    </w:p>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rPr>
            </w:pPr>
            <w:r>
              <w:rPr>
                <w:color w:val="FFFFFF"/>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rPr>
            </w:pPr>
            <w:r>
              <w:rPr>
                <w:color w:val="FFFFFF"/>
              </w:rPr>
              <w:t>Extract from the Clinical Evaluation Report</w:t>
            </w:r>
            <w:r w:rsidR="005614EF">
              <w:rPr>
                <w:color w:val="FFFFFF"/>
              </w:rPr>
              <w:t xml:space="preserve"> for t</w:t>
            </w:r>
            <w:r w:rsidR="005614EF" w:rsidRPr="00201F13">
              <w:rPr>
                <w:color w:val="FFFFFF"/>
              </w:rPr>
              <w:t>enofovir disoproxil fumarate / emtricitabine / rilpivirine</w:t>
            </w:r>
          </w:p>
        </w:tc>
      </w:tr>
      <w:tr w:rsidR="00E07F15" w:rsidRPr="00B64760" w:rsidTr="00E07F15">
        <w:tc>
          <w:tcPr>
            <w:tcW w:w="9079" w:type="dxa"/>
          </w:tcPr>
          <w:p w:rsidR="00E07F15" w:rsidRPr="008E7846" w:rsidRDefault="00C750BA" w:rsidP="00E07F15">
            <w:pPr>
              <w:pStyle w:val="Subtitle"/>
              <w:rPr>
                <w:color w:val="FFFFFF"/>
              </w:rPr>
            </w:pPr>
            <w:r>
              <w:rPr>
                <w:color w:val="FFFFFF"/>
              </w:rPr>
              <w:t>Proprietary Product Name: Eviplera</w:t>
            </w:r>
          </w:p>
        </w:tc>
      </w:tr>
      <w:tr w:rsidR="00E07F15" w:rsidRPr="00B64760" w:rsidTr="00E07F15">
        <w:trPr>
          <w:trHeight w:val="486"/>
        </w:trPr>
        <w:tc>
          <w:tcPr>
            <w:tcW w:w="9079" w:type="dxa"/>
          </w:tcPr>
          <w:p w:rsidR="00E07F15" w:rsidRPr="008E7846" w:rsidRDefault="00A4193C" w:rsidP="00E07F15">
            <w:pPr>
              <w:pStyle w:val="Subtitle"/>
              <w:rPr>
                <w:color w:val="FFFFFF"/>
              </w:rPr>
            </w:pPr>
            <w:r>
              <w:rPr>
                <w:color w:val="FFFFFF"/>
              </w:rPr>
              <w:t xml:space="preserve">Sponsor: </w:t>
            </w:r>
            <w:r w:rsidRPr="00A4193C">
              <w:rPr>
                <w:color w:val="FFFFFF"/>
              </w:rPr>
              <w:t>Gilead Sciences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EE28E3">
      <w:pPr>
        <w:pStyle w:val="ListBullet"/>
        <w:numPr>
          <w:ilvl w:val="0"/>
          <w:numId w:val="1"/>
        </w:numPr>
        <w:ind w:left="357" w:hanging="357"/>
      </w:pPr>
      <w:r>
        <w:t xml:space="preserve">The Therapeutic Goods Administration (TGA) is </w:t>
      </w:r>
      <w:r w:rsidR="00E624A5">
        <w:t xml:space="preserve">part </w:t>
      </w:r>
      <w:r>
        <w:t>of the Australian</w:t>
      </w:r>
      <w:r w:rsidR="00A329E6">
        <w:t xml:space="preserve"> Government Department of Health</w:t>
      </w:r>
      <w:r>
        <w:t>, and is responsible for regulating medicines and medical devices.</w:t>
      </w:r>
    </w:p>
    <w:p w:rsidR="008E7846" w:rsidRDefault="00C811C0" w:rsidP="00EE28E3">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EE28E3">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EE28E3">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EE28E3">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w:t>
      </w:r>
      <w:r w:rsidR="00074B1E">
        <w:t xml:space="preserve">he words [Information redacted] indicate </w:t>
      </w:r>
      <w:r w:rsidRPr="003D0A3B">
        <w:t>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86DBD">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2"/>
          <w:headerReference w:type="default" r:id="rId13"/>
          <w:footerReference w:type="even" r:id="rId14"/>
          <w:footerReference w:type="default" r:id="rId15"/>
          <w:headerReference w:type="first" r:id="rId16"/>
          <w:footerReference w:type="first" r:id="rId17"/>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196046425"/>
      <w:bookmarkStart w:id="1" w:name="_Toc247691501"/>
      <w:r w:rsidRPr="0010788A">
        <w:lastRenderedPageBreak/>
        <w:t>Contents</w:t>
      </w:r>
    </w:p>
    <w:p w:rsidR="00B66811" w:rsidRDefault="004924E0">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6308654" w:history="1">
        <w:r w:rsidR="00B66811" w:rsidRPr="00073E0F">
          <w:rPr>
            <w:rStyle w:val="Hyperlink"/>
            <w:noProof/>
          </w:rPr>
          <w:t>List of abbreviations</w:t>
        </w:r>
        <w:r w:rsidR="00B66811">
          <w:rPr>
            <w:noProof/>
            <w:webHidden/>
          </w:rPr>
          <w:tab/>
        </w:r>
        <w:r w:rsidR="00B66811">
          <w:rPr>
            <w:noProof/>
            <w:webHidden/>
          </w:rPr>
          <w:fldChar w:fldCharType="begin"/>
        </w:r>
        <w:r w:rsidR="00B66811">
          <w:rPr>
            <w:noProof/>
            <w:webHidden/>
          </w:rPr>
          <w:instrText xml:space="preserve"> PAGEREF _Toc396308654 \h </w:instrText>
        </w:r>
        <w:r w:rsidR="00B66811">
          <w:rPr>
            <w:noProof/>
            <w:webHidden/>
          </w:rPr>
        </w:r>
        <w:r w:rsidR="00B66811">
          <w:rPr>
            <w:noProof/>
            <w:webHidden/>
          </w:rPr>
          <w:fldChar w:fldCharType="separate"/>
        </w:r>
        <w:r w:rsidR="00B66811">
          <w:rPr>
            <w:noProof/>
            <w:webHidden/>
          </w:rPr>
          <w:t>4</w:t>
        </w:r>
        <w:r w:rsidR="00B66811">
          <w:rPr>
            <w:noProof/>
            <w:webHidden/>
          </w:rPr>
          <w:fldChar w:fldCharType="end"/>
        </w:r>
      </w:hyperlink>
    </w:p>
    <w:p w:rsidR="00B66811" w:rsidRDefault="00294960">
      <w:pPr>
        <w:pStyle w:val="TOC2"/>
        <w:tabs>
          <w:tab w:val="left" w:pos="1247"/>
        </w:tabs>
        <w:rPr>
          <w:rFonts w:asciiTheme="minorHAnsi" w:eastAsiaTheme="minorEastAsia" w:hAnsiTheme="minorHAnsi" w:cstheme="minorBidi"/>
          <w:b w:val="0"/>
          <w:noProof/>
          <w:sz w:val="22"/>
          <w:lang w:eastAsia="en-AU"/>
        </w:rPr>
      </w:pPr>
      <w:hyperlink w:anchor="_Toc396308655" w:history="1">
        <w:r w:rsidR="00B66811" w:rsidRPr="00073E0F">
          <w:rPr>
            <w:rStyle w:val="Hyperlink"/>
            <w:noProof/>
            <w:lang w:eastAsia="en-AU"/>
          </w:rPr>
          <w:t>1.</w:t>
        </w:r>
        <w:r w:rsidR="00B66811">
          <w:rPr>
            <w:rFonts w:asciiTheme="minorHAnsi" w:eastAsiaTheme="minorEastAsia" w:hAnsiTheme="minorHAnsi" w:cstheme="minorBidi"/>
            <w:b w:val="0"/>
            <w:noProof/>
            <w:sz w:val="22"/>
            <w:lang w:eastAsia="en-AU"/>
          </w:rPr>
          <w:tab/>
        </w:r>
        <w:r w:rsidR="00B66811" w:rsidRPr="00073E0F">
          <w:rPr>
            <w:rStyle w:val="Hyperlink"/>
            <w:noProof/>
            <w:lang w:eastAsia="en-AU"/>
          </w:rPr>
          <w:t>Clinical rationale</w:t>
        </w:r>
        <w:r w:rsidR="00B66811">
          <w:rPr>
            <w:noProof/>
            <w:webHidden/>
          </w:rPr>
          <w:tab/>
        </w:r>
        <w:r w:rsidR="00B66811">
          <w:rPr>
            <w:noProof/>
            <w:webHidden/>
          </w:rPr>
          <w:fldChar w:fldCharType="begin"/>
        </w:r>
        <w:r w:rsidR="00B66811">
          <w:rPr>
            <w:noProof/>
            <w:webHidden/>
          </w:rPr>
          <w:instrText xml:space="preserve"> PAGEREF _Toc396308655 \h </w:instrText>
        </w:r>
        <w:r w:rsidR="00B66811">
          <w:rPr>
            <w:noProof/>
            <w:webHidden/>
          </w:rPr>
        </w:r>
        <w:r w:rsidR="00B66811">
          <w:rPr>
            <w:noProof/>
            <w:webHidden/>
          </w:rPr>
          <w:fldChar w:fldCharType="separate"/>
        </w:r>
        <w:r w:rsidR="00B66811">
          <w:rPr>
            <w:noProof/>
            <w:webHidden/>
          </w:rPr>
          <w:t>6</w:t>
        </w:r>
        <w:r w:rsidR="00B66811">
          <w:rPr>
            <w:noProof/>
            <w:webHidden/>
          </w:rPr>
          <w:fldChar w:fldCharType="end"/>
        </w:r>
      </w:hyperlink>
    </w:p>
    <w:p w:rsidR="00B66811" w:rsidRDefault="00294960">
      <w:pPr>
        <w:pStyle w:val="TOC2"/>
        <w:tabs>
          <w:tab w:val="left" w:pos="1247"/>
        </w:tabs>
        <w:rPr>
          <w:rFonts w:asciiTheme="minorHAnsi" w:eastAsiaTheme="minorEastAsia" w:hAnsiTheme="minorHAnsi" w:cstheme="minorBidi"/>
          <w:b w:val="0"/>
          <w:noProof/>
          <w:sz w:val="22"/>
          <w:lang w:eastAsia="en-AU"/>
        </w:rPr>
      </w:pPr>
      <w:hyperlink w:anchor="_Toc396308656" w:history="1">
        <w:r w:rsidR="00B66811" w:rsidRPr="00073E0F">
          <w:rPr>
            <w:rStyle w:val="Hyperlink"/>
            <w:noProof/>
            <w:lang w:eastAsia="en-AU"/>
          </w:rPr>
          <w:t>2.</w:t>
        </w:r>
        <w:r w:rsidR="00B66811">
          <w:rPr>
            <w:rFonts w:asciiTheme="minorHAnsi" w:eastAsiaTheme="minorEastAsia" w:hAnsiTheme="minorHAnsi" w:cstheme="minorBidi"/>
            <w:b w:val="0"/>
            <w:noProof/>
            <w:sz w:val="22"/>
            <w:lang w:eastAsia="en-AU"/>
          </w:rPr>
          <w:tab/>
        </w:r>
        <w:r w:rsidR="00B66811" w:rsidRPr="00073E0F">
          <w:rPr>
            <w:rStyle w:val="Hyperlink"/>
            <w:noProof/>
            <w:lang w:eastAsia="en-AU"/>
          </w:rPr>
          <w:t>Contents of the clinical dossier</w:t>
        </w:r>
        <w:r w:rsidR="00B66811">
          <w:rPr>
            <w:noProof/>
            <w:webHidden/>
          </w:rPr>
          <w:tab/>
        </w:r>
        <w:r w:rsidR="00B66811">
          <w:rPr>
            <w:noProof/>
            <w:webHidden/>
          </w:rPr>
          <w:fldChar w:fldCharType="begin"/>
        </w:r>
        <w:r w:rsidR="00B66811">
          <w:rPr>
            <w:noProof/>
            <w:webHidden/>
          </w:rPr>
          <w:instrText xml:space="preserve"> PAGEREF _Toc396308656 \h </w:instrText>
        </w:r>
        <w:r w:rsidR="00B66811">
          <w:rPr>
            <w:noProof/>
            <w:webHidden/>
          </w:rPr>
        </w:r>
        <w:r w:rsidR="00B66811">
          <w:rPr>
            <w:noProof/>
            <w:webHidden/>
          </w:rPr>
          <w:fldChar w:fldCharType="separate"/>
        </w:r>
        <w:r w:rsidR="00B66811">
          <w:rPr>
            <w:noProof/>
            <w:webHidden/>
          </w:rPr>
          <w:t>7</w:t>
        </w:r>
        <w:r w:rsidR="00B66811">
          <w:rPr>
            <w:noProof/>
            <w:webHidden/>
          </w:rPr>
          <w:fldChar w:fldCharType="end"/>
        </w:r>
      </w:hyperlink>
    </w:p>
    <w:p w:rsidR="00B66811" w:rsidRDefault="00294960">
      <w:pPr>
        <w:pStyle w:val="TOC3"/>
        <w:tabs>
          <w:tab w:val="left" w:pos="1575"/>
        </w:tabs>
        <w:rPr>
          <w:rFonts w:asciiTheme="minorHAnsi" w:eastAsiaTheme="minorEastAsia" w:hAnsiTheme="minorHAnsi" w:cstheme="minorBidi"/>
          <w:noProof/>
          <w:lang w:eastAsia="en-AU"/>
        </w:rPr>
      </w:pPr>
      <w:hyperlink w:anchor="_Toc396308657" w:history="1">
        <w:r w:rsidR="00B66811" w:rsidRPr="00073E0F">
          <w:rPr>
            <w:rStyle w:val="Hyperlink"/>
            <w:noProof/>
          </w:rPr>
          <w:t>2.1.</w:t>
        </w:r>
        <w:r w:rsidR="00B66811">
          <w:rPr>
            <w:rFonts w:asciiTheme="minorHAnsi" w:eastAsiaTheme="minorEastAsia" w:hAnsiTheme="minorHAnsi" w:cstheme="minorBidi"/>
            <w:noProof/>
            <w:lang w:eastAsia="en-AU"/>
          </w:rPr>
          <w:tab/>
        </w:r>
        <w:r w:rsidR="00B66811" w:rsidRPr="00073E0F">
          <w:rPr>
            <w:rStyle w:val="Hyperlink"/>
            <w:noProof/>
          </w:rPr>
          <w:t>Scope of the clinical dossier</w:t>
        </w:r>
        <w:r w:rsidR="00B66811">
          <w:rPr>
            <w:noProof/>
            <w:webHidden/>
          </w:rPr>
          <w:tab/>
        </w:r>
        <w:r w:rsidR="00B66811">
          <w:rPr>
            <w:noProof/>
            <w:webHidden/>
          </w:rPr>
          <w:fldChar w:fldCharType="begin"/>
        </w:r>
        <w:r w:rsidR="00B66811">
          <w:rPr>
            <w:noProof/>
            <w:webHidden/>
          </w:rPr>
          <w:instrText xml:space="preserve"> PAGEREF _Toc396308657 \h </w:instrText>
        </w:r>
        <w:r w:rsidR="00B66811">
          <w:rPr>
            <w:noProof/>
            <w:webHidden/>
          </w:rPr>
        </w:r>
        <w:r w:rsidR="00B66811">
          <w:rPr>
            <w:noProof/>
            <w:webHidden/>
          </w:rPr>
          <w:fldChar w:fldCharType="separate"/>
        </w:r>
        <w:r w:rsidR="00B66811">
          <w:rPr>
            <w:noProof/>
            <w:webHidden/>
          </w:rPr>
          <w:t>7</w:t>
        </w:r>
        <w:r w:rsidR="00B66811">
          <w:rPr>
            <w:noProof/>
            <w:webHidden/>
          </w:rPr>
          <w:fldChar w:fldCharType="end"/>
        </w:r>
      </w:hyperlink>
    </w:p>
    <w:p w:rsidR="00B66811" w:rsidRDefault="00294960">
      <w:pPr>
        <w:pStyle w:val="TOC3"/>
        <w:tabs>
          <w:tab w:val="left" w:pos="1575"/>
        </w:tabs>
        <w:rPr>
          <w:rFonts w:asciiTheme="minorHAnsi" w:eastAsiaTheme="minorEastAsia" w:hAnsiTheme="minorHAnsi" w:cstheme="minorBidi"/>
          <w:noProof/>
          <w:lang w:eastAsia="en-AU"/>
        </w:rPr>
      </w:pPr>
      <w:hyperlink w:anchor="_Toc396308658" w:history="1">
        <w:r w:rsidR="00B66811" w:rsidRPr="00073E0F">
          <w:rPr>
            <w:rStyle w:val="Hyperlink"/>
            <w:noProof/>
          </w:rPr>
          <w:t>2.2.</w:t>
        </w:r>
        <w:r w:rsidR="00B66811">
          <w:rPr>
            <w:rFonts w:asciiTheme="minorHAnsi" w:eastAsiaTheme="minorEastAsia" w:hAnsiTheme="minorHAnsi" w:cstheme="minorBidi"/>
            <w:noProof/>
            <w:lang w:eastAsia="en-AU"/>
          </w:rPr>
          <w:tab/>
        </w:r>
        <w:r w:rsidR="00B66811" w:rsidRPr="00073E0F">
          <w:rPr>
            <w:rStyle w:val="Hyperlink"/>
            <w:noProof/>
          </w:rPr>
          <w:t>Paediatric data</w:t>
        </w:r>
        <w:r w:rsidR="00B66811">
          <w:rPr>
            <w:noProof/>
            <w:webHidden/>
          </w:rPr>
          <w:tab/>
        </w:r>
        <w:r w:rsidR="00B66811">
          <w:rPr>
            <w:noProof/>
            <w:webHidden/>
          </w:rPr>
          <w:fldChar w:fldCharType="begin"/>
        </w:r>
        <w:r w:rsidR="00B66811">
          <w:rPr>
            <w:noProof/>
            <w:webHidden/>
          </w:rPr>
          <w:instrText xml:space="preserve"> PAGEREF _Toc396308658 \h </w:instrText>
        </w:r>
        <w:r w:rsidR="00B66811">
          <w:rPr>
            <w:noProof/>
            <w:webHidden/>
          </w:rPr>
        </w:r>
        <w:r w:rsidR="00B66811">
          <w:rPr>
            <w:noProof/>
            <w:webHidden/>
          </w:rPr>
          <w:fldChar w:fldCharType="separate"/>
        </w:r>
        <w:r w:rsidR="00B66811">
          <w:rPr>
            <w:noProof/>
            <w:webHidden/>
          </w:rPr>
          <w:t>7</w:t>
        </w:r>
        <w:r w:rsidR="00B66811">
          <w:rPr>
            <w:noProof/>
            <w:webHidden/>
          </w:rPr>
          <w:fldChar w:fldCharType="end"/>
        </w:r>
      </w:hyperlink>
    </w:p>
    <w:p w:rsidR="00B66811" w:rsidRDefault="00294960">
      <w:pPr>
        <w:pStyle w:val="TOC3"/>
        <w:tabs>
          <w:tab w:val="left" w:pos="1575"/>
        </w:tabs>
        <w:rPr>
          <w:rFonts w:asciiTheme="minorHAnsi" w:eastAsiaTheme="minorEastAsia" w:hAnsiTheme="minorHAnsi" w:cstheme="minorBidi"/>
          <w:noProof/>
          <w:lang w:eastAsia="en-AU"/>
        </w:rPr>
      </w:pPr>
      <w:hyperlink w:anchor="_Toc396308659" w:history="1">
        <w:r w:rsidR="00B66811" w:rsidRPr="00073E0F">
          <w:rPr>
            <w:rStyle w:val="Hyperlink"/>
            <w:noProof/>
          </w:rPr>
          <w:t>2.3.</w:t>
        </w:r>
        <w:r w:rsidR="00B66811">
          <w:rPr>
            <w:rFonts w:asciiTheme="minorHAnsi" w:eastAsiaTheme="minorEastAsia" w:hAnsiTheme="minorHAnsi" w:cstheme="minorBidi"/>
            <w:noProof/>
            <w:lang w:eastAsia="en-AU"/>
          </w:rPr>
          <w:tab/>
        </w:r>
        <w:r w:rsidR="00B66811" w:rsidRPr="00073E0F">
          <w:rPr>
            <w:rStyle w:val="Hyperlink"/>
            <w:noProof/>
          </w:rPr>
          <w:t>Good clinical practice</w:t>
        </w:r>
        <w:r w:rsidR="00B66811">
          <w:rPr>
            <w:noProof/>
            <w:webHidden/>
          </w:rPr>
          <w:tab/>
        </w:r>
        <w:r w:rsidR="00B66811">
          <w:rPr>
            <w:noProof/>
            <w:webHidden/>
          </w:rPr>
          <w:fldChar w:fldCharType="begin"/>
        </w:r>
        <w:r w:rsidR="00B66811">
          <w:rPr>
            <w:noProof/>
            <w:webHidden/>
          </w:rPr>
          <w:instrText xml:space="preserve"> PAGEREF _Toc396308659 \h </w:instrText>
        </w:r>
        <w:r w:rsidR="00B66811">
          <w:rPr>
            <w:noProof/>
            <w:webHidden/>
          </w:rPr>
        </w:r>
        <w:r w:rsidR="00B66811">
          <w:rPr>
            <w:noProof/>
            <w:webHidden/>
          </w:rPr>
          <w:fldChar w:fldCharType="separate"/>
        </w:r>
        <w:r w:rsidR="00B66811">
          <w:rPr>
            <w:noProof/>
            <w:webHidden/>
          </w:rPr>
          <w:t>7</w:t>
        </w:r>
        <w:r w:rsidR="00B66811">
          <w:rPr>
            <w:noProof/>
            <w:webHidden/>
          </w:rPr>
          <w:fldChar w:fldCharType="end"/>
        </w:r>
      </w:hyperlink>
    </w:p>
    <w:p w:rsidR="00B66811" w:rsidRDefault="00294960">
      <w:pPr>
        <w:pStyle w:val="TOC2"/>
        <w:tabs>
          <w:tab w:val="left" w:pos="1247"/>
        </w:tabs>
        <w:rPr>
          <w:rFonts w:asciiTheme="minorHAnsi" w:eastAsiaTheme="minorEastAsia" w:hAnsiTheme="minorHAnsi" w:cstheme="minorBidi"/>
          <w:b w:val="0"/>
          <w:noProof/>
          <w:sz w:val="22"/>
          <w:lang w:eastAsia="en-AU"/>
        </w:rPr>
      </w:pPr>
      <w:hyperlink w:anchor="_Toc396308660" w:history="1">
        <w:r w:rsidR="00B66811" w:rsidRPr="00073E0F">
          <w:rPr>
            <w:rStyle w:val="Hyperlink"/>
            <w:noProof/>
          </w:rPr>
          <w:t>3.</w:t>
        </w:r>
        <w:r w:rsidR="00B66811">
          <w:rPr>
            <w:rFonts w:asciiTheme="minorHAnsi" w:eastAsiaTheme="minorEastAsia" w:hAnsiTheme="minorHAnsi" w:cstheme="minorBidi"/>
            <w:b w:val="0"/>
            <w:noProof/>
            <w:sz w:val="22"/>
            <w:lang w:eastAsia="en-AU"/>
          </w:rPr>
          <w:tab/>
        </w:r>
        <w:r w:rsidR="00B66811" w:rsidRPr="00073E0F">
          <w:rPr>
            <w:rStyle w:val="Hyperlink"/>
            <w:noProof/>
          </w:rPr>
          <w:t>Pharmacokinetics</w:t>
        </w:r>
        <w:r w:rsidR="00B66811">
          <w:rPr>
            <w:noProof/>
            <w:webHidden/>
          </w:rPr>
          <w:tab/>
        </w:r>
        <w:r w:rsidR="00B66811">
          <w:rPr>
            <w:noProof/>
            <w:webHidden/>
          </w:rPr>
          <w:fldChar w:fldCharType="begin"/>
        </w:r>
        <w:r w:rsidR="00B66811">
          <w:rPr>
            <w:noProof/>
            <w:webHidden/>
          </w:rPr>
          <w:instrText xml:space="preserve"> PAGEREF _Toc396308660 \h </w:instrText>
        </w:r>
        <w:r w:rsidR="00B66811">
          <w:rPr>
            <w:noProof/>
            <w:webHidden/>
          </w:rPr>
        </w:r>
        <w:r w:rsidR="00B66811">
          <w:rPr>
            <w:noProof/>
            <w:webHidden/>
          </w:rPr>
          <w:fldChar w:fldCharType="separate"/>
        </w:r>
        <w:r w:rsidR="00B66811">
          <w:rPr>
            <w:noProof/>
            <w:webHidden/>
          </w:rPr>
          <w:t>7</w:t>
        </w:r>
        <w:r w:rsidR="00B66811">
          <w:rPr>
            <w:noProof/>
            <w:webHidden/>
          </w:rPr>
          <w:fldChar w:fldCharType="end"/>
        </w:r>
      </w:hyperlink>
    </w:p>
    <w:p w:rsidR="00B66811" w:rsidRDefault="00294960">
      <w:pPr>
        <w:pStyle w:val="TOC3"/>
        <w:tabs>
          <w:tab w:val="left" w:pos="1575"/>
        </w:tabs>
        <w:rPr>
          <w:rFonts w:asciiTheme="minorHAnsi" w:eastAsiaTheme="minorEastAsia" w:hAnsiTheme="minorHAnsi" w:cstheme="minorBidi"/>
          <w:noProof/>
          <w:lang w:eastAsia="en-AU"/>
        </w:rPr>
      </w:pPr>
      <w:hyperlink w:anchor="_Toc396308661" w:history="1">
        <w:r w:rsidR="00B66811" w:rsidRPr="00073E0F">
          <w:rPr>
            <w:rStyle w:val="Hyperlink"/>
            <w:noProof/>
          </w:rPr>
          <w:t>3.1.</w:t>
        </w:r>
        <w:r w:rsidR="00B66811">
          <w:rPr>
            <w:rFonts w:asciiTheme="minorHAnsi" w:eastAsiaTheme="minorEastAsia" w:hAnsiTheme="minorHAnsi" w:cstheme="minorBidi"/>
            <w:noProof/>
            <w:lang w:eastAsia="en-AU"/>
          </w:rPr>
          <w:tab/>
        </w:r>
        <w:r w:rsidR="00B66811" w:rsidRPr="00073E0F">
          <w:rPr>
            <w:rStyle w:val="Hyperlink"/>
            <w:noProof/>
          </w:rPr>
          <w:t>Studies providing pharmacokinetic data</w:t>
        </w:r>
        <w:r w:rsidR="00B66811">
          <w:rPr>
            <w:noProof/>
            <w:webHidden/>
          </w:rPr>
          <w:tab/>
        </w:r>
        <w:r w:rsidR="00B66811">
          <w:rPr>
            <w:noProof/>
            <w:webHidden/>
          </w:rPr>
          <w:fldChar w:fldCharType="begin"/>
        </w:r>
        <w:r w:rsidR="00B66811">
          <w:rPr>
            <w:noProof/>
            <w:webHidden/>
          </w:rPr>
          <w:instrText xml:space="preserve"> PAGEREF _Toc396308661 \h </w:instrText>
        </w:r>
        <w:r w:rsidR="00B66811">
          <w:rPr>
            <w:noProof/>
            <w:webHidden/>
          </w:rPr>
        </w:r>
        <w:r w:rsidR="00B66811">
          <w:rPr>
            <w:noProof/>
            <w:webHidden/>
          </w:rPr>
          <w:fldChar w:fldCharType="separate"/>
        </w:r>
        <w:r w:rsidR="00B66811">
          <w:rPr>
            <w:noProof/>
            <w:webHidden/>
          </w:rPr>
          <w:t>7</w:t>
        </w:r>
        <w:r w:rsidR="00B66811">
          <w:rPr>
            <w:noProof/>
            <w:webHidden/>
          </w:rPr>
          <w:fldChar w:fldCharType="end"/>
        </w:r>
      </w:hyperlink>
    </w:p>
    <w:p w:rsidR="00B66811" w:rsidRDefault="00294960">
      <w:pPr>
        <w:pStyle w:val="TOC3"/>
        <w:tabs>
          <w:tab w:val="left" w:pos="1575"/>
        </w:tabs>
        <w:rPr>
          <w:rFonts w:asciiTheme="minorHAnsi" w:eastAsiaTheme="minorEastAsia" w:hAnsiTheme="minorHAnsi" w:cstheme="minorBidi"/>
          <w:noProof/>
          <w:lang w:eastAsia="en-AU"/>
        </w:rPr>
      </w:pPr>
      <w:hyperlink w:anchor="_Toc396308662" w:history="1">
        <w:r w:rsidR="00B66811" w:rsidRPr="00073E0F">
          <w:rPr>
            <w:rStyle w:val="Hyperlink"/>
            <w:noProof/>
          </w:rPr>
          <w:t>3.2.</w:t>
        </w:r>
        <w:r w:rsidR="00B66811">
          <w:rPr>
            <w:rFonts w:asciiTheme="minorHAnsi" w:eastAsiaTheme="minorEastAsia" w:hAnsiTheme="minorHAnsi" w:cstheme="minorBidi"/>
            <w:noProof/>
            <w:lang w:eastAsia="en-AU"/>
          </w:rPr>
          <w:tab/>
        </w:r>
        <w:r w:rsidR="00B66811" w:rsidRPr="00073E0F">
          <w:rPr>
            <w:rStyle w:val="Hyperlink"/>
            <w:noProof/>
          </w:rPr>
          <w:t>Summary of pharmacokinetics</w:t>
        </w:r>
        <w:r w:rsidR="00B66811">
          <w:rPr>
            <w:noProof/>
            <w:webHidden/>
          </w:rPr>
          <w:tab/>
        </w:r>
        <w:r w:rsidR="00B66811">
          <w:rPr>
            <w:noProof/>
            <w:webHidden/>
          </w:rPr>
          <w:fldChar w:fldCharType="begin"/>
        </w:r>
        <w:r w:rsidR="00B66811">
          <w:rPr>
            <w:noProof/>
            <w:webHidden/>
          </w:rPr>
          <w:instrText xml:space="preserve"> PAGEREF _Toc396308662 \h </w:instrText>
        </w:r>
        <w:r w:rsidR="00B66811">
          <w:rPr>
            <w:noProof/>
            <w:webHidden/>
          </w:rPr>
        </w:r>
        <w:r w:rsidR="00B66811">
          <w:rPr>
            <w:noProof/>
            <w:webHidden/>
          </w:rPr>
          <w:fldChar w:fldCharType="separate"/>
        </w:r>
        <w:r w:rsidR="00B66811">
          <w:rPr>
            <w:noProof/>
            <w:webHidden/>
          </w:rPr>
          <w:t>8</w:t>
        </w:r>
        <w:r w:rsidR="00B66811">
          <w:rPr>
            <w:noProof/>
            <w:webHidden/>
          </w:rPr>
          <w:fldChar w:fldCharType="end"/>
        </w:r>
      </w:hyperlink>
    </w:p>
    <w:p w:rsidR="00B66811" w:rsidRDefault="00294960">
      <w:pPr>
        <w:pStyle w:val="TOC2"/>
        <w:tabs>
          <w:tab w:val="left" w:pos="1247"/>
        </w:tabs>
        <w:rPr>
          <w:rFonts w:asciiTheme="minorHAnsi" w:eastAsiaTheme="minorEastAsia" w:hAnsiTheme="minorHAnsi" w:cstheme="minorBidi"/>
          <w:b w:val="0"/>
          <w:noProof/>
          <w:sz w:val="22"/>
          <w:lang w:eastAsia="en-AU"/>
        </w:rPr>
      </w:pPr>
      <w:hyperlink w:anchor="_Toc396308663" w:history="1">
        <w:r w:rsidR="00B66811" w:rsidRPr="00073E0F">
          <w:rPr>
            <w:rStyle w:val="Hyperlink"/>
            <w:noProof/>
          </w:rPr>
          <w:t>4.</w:t>
        </w:r>
        <w:r w:rsidR="00B66811">
          <w:rPr>
            <w:rFonts w:asciiTheme="minorHAnsi" w:eastAsiaTheme="minorEastAsia" w:hAnsiTheme="minorHAnsi" w:cstheme="minorBidi"/>
            <w:b w:val="0"/>
            <w:noProof/>
            <w:sz w:val="22"/>
            <w:lang w:eastAsia="en-AU"/>
          </w:rPr>
          <w:tab/>
        </w:r>
        <w:r w:rsidR="00B66811" w:rsidRPr="00073E0F">
          <w:rPr>
            <w:rStyle w:val="Hyperlink"/>
            <w:noProof/>
          </w:rPr>
          <w:t>Pharmacodynamics</w:t>
        </w:r>
        <w:r w:rsidR="00B66811">
          <w:rPr>
            <w:noProof/>
            <w:webHidden/>
          </w:rPr>
          <w:tab/>
        </w:r>
        <w:r w:rsidR="00B66811">
          <w:rPr>
            <w:noProof/>
            <w:webHidden/>
          </w:rPr>
          <w:fldChar w:fldCharType="begin"/>
        </w:r>
        <w:r w:rsidR="00B66811">
          <w:rPr>
            <w:noProof/>
            <w:webHidden/>
          </w:rPr>
          <w:instrText xml:space="preserve"> PAGEREF _Toc396308663 \h </w:instrText>
        </w:r>
        <w:r w:rsidR="00B66811">
          <w:rPr>
            <w:noProof/>
            <w:webHidden/>
          </w:rPr>
        </w:r>
        <w:r w:rsidR="00B66811">
          <w:rPr>
            <w:noProof/>
            <w:webHidden/>
          </w:rPr>
          <w:fldChar w:fldCharType="separate"/>
        </w:r>
        <w:r w:rsidR="00B66811">
          <w:rPr>
            <w:noProof/>
            <w:webHidden/>
          </w:rPr>
          <w:t>11</w:t>
        </w:r>
        <w:r w:rsidR="00B66811">
          <w:rPr>
            <w:noProof/>
            <w:webHidden/>
          </w:rPr>
          <w:fldChar w:fldCharType="end"/>
        </w:r>
      </w:hyperlink>
    </w:p>
    <w:p w:rsidR="00B66811" w:rsidRDefault="00294960">
      <w:pPr>
        <w:pStyle w:val="TOC2"/>
        <w:tabs>
          <w:tab w:val="left" w:pos="1247"/>
        </w:tabs>
        <w:rPr>
          <w:rFonts w:asciiTheme="minorHAnsi" w:eastAsiaTheme="minorEastAsia" w:hAnsiTheme="minorHAnsi" w:cstheme="minorBidi"/>
          <w:b w:val="0"/>
          <w:noProof/>
          <w:sz w:val="22"/>
          <w:lang w:eastAsia="en-AU"/>
        </w:rPr>
      </w:pPr>
      <w:hyperlink w:anchor="_Toc396308664" w:history="1">
        <w:r w:rsidR="00B66811" w:rsidRPr="00073E0F">
          <w:rPr>
            <w:rStyle w:val="Hyperlink"/>
            <w:noProof/>
          </w:rPr>
          <w:t>5.</w:t>
        </w:r>
        <w:r w:rsidR="00B66811">
          <w:rPr>
            <w:rFonts w:asciiTheme="minorHAnsi" w:eastAsiaTheme="minorEastAsia" w:hAnsiTheme="minorHAnsi" w:cstheme="minorBidi"/>
            <w:b w:val="0"/>
            <w:noProof/>
            <w:sz w:val="22"/>
            <w:lang w:eastAsia="en-AU"/>
          </w:rPr>
          <w:tab/>
        </w:r>
        <w:r w:rsidR="00B66811" w:rsidRPr="00073E0F">
          <w:rPr>
            <w:rStyle w:val="Hyperlink"/>
            <w:noProof/>
          </w:rPr>
          <w:t>Dosage selection for the pivotal studies</w:t>
        </w:r>
        <w:r w:rsidR="00B66811">
          <w:rPr>
            <w:noProof/>
            <w:webHidden/>
          </w:rPr>
          <w:tab/>
        </w:r>
        <w:r w:rsidR="00B66811">
          <w:rPr>
            <w:noProof/>
            <w:webHidden/>
          </w:rPr>
          <w:fldChar w:fldCharType="begin"/>
        </w:r>
        <w:r w:rsidR="00B66811">
          <w:rPr>
            <w:noProof/>
            <w:webHidden/>
          </w:rPr>
          <w:instrText xml:space="preserve"> PAGEREF _Toc396308664 \h </w:instrText>
        </w:r>
        <w:r w:rsidR="00B66811">
          <w:rPr>
            <w:noProof/>
            <w:webHidden/>
          </w:rPr>
        </w:r>
        <w:r w:rsidR="00B66811">
          <w:rPr>
            <w:noProof/>
            <w:webHidden/>
          </w:rPr>
          <w:fldChar w:fldCharType="separate"/>
        </w:r>
        <w:r w:rsidR="00B66811">
          <w:rPr>
            <w:noProof/>
            <w:webHidden/>
          </w:rPr>
          <w:t>11</w:t>
        </w:r>
        <w:r w:rsidR="00B66811">
          <w:rPr>
            <w:noProof/>
            <w:webHidden/>
          </w:rPr>
          <w:fldChar w:fldCharType="end"/>
        </w:r>
      </w:hyperlink>
    </w:p>
    <w:p w:rsidR="00B66811" w:rsidRDefault="00294960">
      <w:pPr>
        <w:pStyle w:val="TOC2"/>
        <w:tabs>
          <w:tab w:val="left" w:pos="1247"/>
        </w:tabs>
        <w:rPr>
          <w:rFonts w:asciiTheme="minorHAnsi" w:eastAsiaTheme="minorEastAsia" w:hAnsiTheme="minorHAnsi" w:cstheme="minorBidi"/>
          <w:b w:val="0"/>
          <w:noProof/>
          <w:sz w:val="22"/>
          <w:lang w:eastAsia="en-AU"/>
        </w:rPr>
      </w:pPr>
      <w:hyperlink w:anchor="_Toc396308665" w:history="1">
        <w:r w:rsidR="00B66811" w:rsidRPr="00073E0F">
          <w:rPr>
            <w:rStyle w:val="Hyperlink"/>
            <w:noProof/>
          </w:rPr>
          <w:t>6.</w:t>
        </w:r>
        <w:r w:rsidR="00B66811">
          <w:rPr>
            <w:rFonts w:asciiTheme="minorHAnsi" w:eastAsiaTheme="minorEastAsia" w:hAnsiTheme="minorHAnsi" w:cstheme="minorBidi"/>
            <w:b w:val="0"/>
            <w:noProof/>
            <w:sz w:val="22"/>
            <w:lang w:eastAsia="en-AU"/>
          </w:rPr>
          <w:tab/>
        </w:r>
        <w:r w:rsidR="00B66811" w:rsidRPr="00073E0F">
          <w:rPr>
            <w:rStyle w:val="Hyperlink"/>
            <w:noProof/>
          </w:rPr>
          <w:t>Clinical efficacy</w:t>
        </w:r>
        <w:r w:rsidR="00B66811">
          <w:rPr>
            <w:noProof/>
            <w:webHidden/>
          </w:rPr>
          <w:tab/>
        </w:r>
        <w:r w:rsidR="00B66811">
          <w:rPr>
            <w:noProof/>
            <w:webHidden/>
          </w:rPr>
          <w:fldChar w:fldCharType="begin"/>
        </w:r>
        <w:r w:rsidR="00B66811">
          <w:rPr>
            <w:noProof/>
            <w:webHidden/>
          </w:rPr>
          <w:instrText xml:space="preserve"> PAGEREF _Toc396308665 \h </w:instrText>
        </w:r>
        <w:r w:rsidR="00B66811">
          <w:rPr>
            <w:noProof/>
            <w:webHidden/>
          </w:rPr>
        </w:r>
        <w:r w:rsidR="00B66811">
          <w:rPr>
            <w:noProof/>
            <w:webHidden/>
          </w:rPr>
          <w:fldChar w:fldCharType="separate"/>
        </w:r>
        <w:r w:rsidR="00B66811">
          <w:rPr>
            <w:noProof/>
            <w:webHidden/>
          </w:rPr>
          <w:t>11</w:t>
        </w:r>
        <w:r w:rsidR="00B66811">
          <w:rPr>
            <w:noProof/>
            <w:webHidden/>
          </w:rPr>
          <w:fldChar w:fldCharType="end"/>
        </w:r>
      </w:hyperlink>
    </w:p>
    <w:p w:rsidR="00B66811" w:rsidRDefault="00294960">
      <w:pPr>
        <w:pStyle w:val="TOC3"/>
        <w:tabs>
          <w:tab w:val="left" w:pos="1575"/>
        </w:tabs>
        <w:rPr>
          <w:rFonts w:asciiTheme="minorHAnsi" w:eastAsiaTheme="minorEastAsia" w:hAnsiTheme="minorHAnsi" w:cstheme="minorBidi"/>
          <w:noProof/>
          <w:lang w:eastAsia="en-AU"/>
        </w:rPr>
      </w:pPr>
      <w:hyperlink w:anchor="_Toc396308666" w:history="1">
        <w:r w:rsidR="00B66811" w:rsidRPr="00073E0F">
          <w:rPr>
            <w:rStyle w:val="Hyperlink"/>
            <w:noProof/>
          </w:rPr>
          <w:t>6.1.</w:t>
        </w:r>
        <w:r w:rsidR="00B66811">
          <w:rPr>
            <w:rFonts w:asciiTheme="minorHAnsi" w:eastAsiaTheme="minorEastAsia" w:hAnsiTheme="minorHAnsi" w:cstheme="minorBidi"/>
            <w:noProof/>
            <w:lang w:eastAsia="en-AU"/>
          </w:rPr>
          <w:tab/>
        </w:r>
        <w:r w:rsidR="00B66811" w:rsidRPr="00073E0F">
          <w:rPr>
            <w:rStyle w:val="Hyperlink"/>
            <w:noProof/>
          </w:rPr>
          <w:t>Study GS-US-264-0111</w:t>
        </w:r>
        <w:r w:rsidR="00B66811">
          <w:rPr>
            <w:noProof/>
            <w:webHidden/>
          </w:rPr>
          <w:tab/>
        </w:r>
        <w:r w:rsidR="00B66811">
          <w:rPr>
            <w:noProof/>
            <w:webHidden/>
          </w:rPr>
          <w:fldChar w:fldCharType="begin"/>
        </w:r>
        <w:r w:rsidR="00B66811">
          <w:rPr>
            <w:noProof/>
            <w:webHidden/>
          </w:rPr>
          <w:instrText xml:space="preserve"> PAGEREF _Toc396308666 \h </w:instrText>
        </w:r>
        <w:r w:rsidR="00B66811">
          <w:rPr>
            <w:noProof/>
            <w:webHidden/>
          </w:rPr>
        </w:r>
        <w:r w:rsidR="00B66811">
          <w:rPr>
            <w:noProof/>
            <w:webHidden/>
          </w:rPr>
          <w:fldChar w:fldCharType="separate"/>
        </w:r>
        <w:r w:rsidR="00B66811">
          <w:rPr>
            <w:noProof/>
            <w:webHidden/>
          </w:rPr>
          <w:t>12</w:t>
        </w:r>
        <w:r w:rsidR="00B66811">
          <w:rPr>
            <w:noProof/>
            <w:webHidden/>
          </w:rPr>
          <w:fldChar w:fldCharType="end"/>
        </w:r>
      </w:hyperlink>
    </w:p>
    <w:p w:rsidR="00B66811" w:rsidRDefault="00294960">
      <w:pPr>
        <w:pStyle w:val="TOC3"/>
        <w:tabs>
          <w:tab w:val="left" w:pos="1575"/>
        </w:tabs>
        <w:rPr>
          <w:rFonts w:asciiTheme="minorHAnsi" w:eastAsiaTheme="minorEastAsia" w:hAnsiTheme="minorHAnsi" w:cstheme="minorBidi"/>
          <w:noProof/>
          <w:lang w:eastAsia="en-AU"/>
        </w:rPr>
      </w:pPr>
      <w:hyperlink w:anchor="_Toc396308667" w:history="1">
        <w:r w:rsidR="00B66811" w:rsidRPr="00073E0F">
          <w:rPr>
            <w:rStyle w:val="Hyperlink"/>
            <w:noProof/>
          </w:rPr>
          <w:t>6.2.</w:t>
        </w:r>
        <w:r w:rsidR="00B66811">
          <w:rPr>
            <w:rFonts w:asciiTheme="minorHAnsi" w:eastAsiaTheme="minorEastAsia" w:hAnsiTheme="minorHAnsi" w:cstheme="minorBidi"/>
            <w:noProof/>
            <w:lang w:eastAsia="en-AU"/>
          </w:rPr>
          <w:tab/>
        </w:r>
        <w:r w:rsidR="00B66811" w:rsidRPr="00073E0F">
          <w:rPr>
            <w:rStyle w:val="Hyperlink"/>
            <w:noProof/>
          </w:rPr>
          <w:t>Study GS-US-264-0106</w:t>
        </w:r>
        <w:r w:rsidR="00B66811">
          <w:rPr>
            <w:noProof/>
            <w:webHidden/>
          </w:rPr>
          <w:tab/>
        </w:r>
        <w:r w:rsidR="00B66811">
          <w:rPr>
            <w:noProof/>
            <w:webHidden/>
          </w:rPr>
          <w:fldChar w:fldCharType="begin"/>
        </w:r>
        <w:r w:rsidR="00B66811">
          <w:rPr>
            <w:noProof/>
            <w:webHidden/>
          </w:rPr>
          <w:instrText xml:space="preserve"> PAGEREF _Toc396308667 \h </w:instrText>
        </w:r>
        <w:r w:rsidR="00B66811">
          <w:rPr>
            <w:noProof/>
            <w:webHidden/>
          </w:rPr>
        </w:r>
        <w:r w:rsidR="00B66811">
          <w:rPr>
            <w:noProof/>
            <w:webHidden/>
          </w:rPr>
          <w:fldChar w:fldCharType="separate"/>
        </w:r>
        <w:r w:rsidR="00B66811">
          <w:rPr>
            <w:noProof/>
            <w:webHidden/>
          </w:rPr>
          <w:t>15</w:t>
        </w:r>
        <w:r w:rsidR="00B66811">
          <w:rPr>
            <w:noProof/>
            <w:webHidden/>
          </w:rPr>
          <w:fldChar w:fldCharType="end"/>
        </w:r>
      </w:hyperlink>
    </w:p>
    <w:p w:rsidR="00B66811" w:rsidRDefault="00294960">
      <w:pPr>
        <w:pStyle w:val="TOC3"/>
        <w:tabs>
          <w:tab w:val="left" w:pos="1575"/>
        </w:tabs>
        <w:rPr>
          <w:rFonts w:asciiTheme="minorHAnsi" w:eastAsiaTheme="minorEastAsia" w:hAnsiTheme="minorHAnsi" w:cstheme="minorBidi"/>
          <w:noProof/>
          <w:lang w:eastAsia="en-AU"/>
        </w:rPr>
      </w:pPr>
      <w:hyperlink w:anchor="_Toc396308668" w:history="1">
        <w:r w:rsidR="00B66811" w:rsidRPr="00073E0F">
          <w:rPr>
            <w:rStyle w:val="Hyperlink"/>
            <w:noProof/>
          </w:rPr>
          <w:t>6.3.</w:t>
        </w:r>
        <w:r w:rsidR="00B66811">
          <w:rPr>
            <w:rFonts w:asciiTheme="minorHAnsi" w:eastAsiaTheme="minorEastAsia" w:hAnsiTheme="minorHAnsi" w:cstheme="minorBidi"/>
            <w:noProof/>
            <w:lang w:eastAsia="en-AU"/>
          </w:rPr>
          <w:tab/>
        </w:r>
        <w:r w:rsidR="00B66811" w:rsidRPr="00073E0F">
          <w:rPr>
            <w:rStyle w:val="Hyperlink"/>
            <w:noProof/>
          </w:rPr>
          <w:t>Study GS-US-264-0110</w:t>
        </w:r>
        <w:r w:rsidR="00B66811">
          <w:rPr>
            <w:noProof/>
            <w:webHidden/>
          </w:rPr>
          <w:tab/>
        </w:r>
        <w:r w:rsidR="00B66811">
          <w:rPr>
            <w:noProof/>
            <w:webHidden/>
          </w:rPr>
          <w:fldChar w:fldCharType="begin"/>
        </w:r>
        <w:r w:rsidR="00B66811">
          <w:rPr>
            <w:noProof/>
            <w:webHidden/>
          </w:rPr>
          <w:instrText xml:space="preserve"> PAGEREF _Toc396308668 \h </w:instrText>
        </w:r>
        <w:r w:rsidR="00B66811">
          <w:rPr>
            <w:noProof/>
            <w:webHidden/>
          </w:rPr>
        </w:r>
        <w:r w:rsidR="00B66811">
          <w:rPr>
            <w:noProof/>
            <w:webHidden/>
          </w:rPr>
          <w:fldChar w:fldCharType="separate"/>
        </w:r>
        <w:r w:rsidR="00B66811">
          <w:rPr>
            <w:noProof/>
            <w:webHidden/>
          </w:rPr>
          <w:t>22</w:t>
        </w:r>
        <w:r w:rsidR="00B66811">
          <w:rPr>
            <w:noProof/>
            <w:webHidden/>
          </w:rPr>
          <w:fldChar w:fldCharType="end"/>
        </w:r>
      </w:hyperlink>
    </w:p>
    <w:p w:rsidR="00B66811" w:rsidRDefault="00294960">
      <w:pPr>
        <w:pStyle w:val="TOC3"/>
        <w:tabs>
          <w:tab w:val="left" w:pos="1575"/>
        </w:tabs>
        <w:rPr>
          <w:rFonts w:asciiTheme="minorHAnsi" w:eastAsiaTheme="minorEastAsia" w:hAnsiTheme="minorHAnsi" w:cstheme="minorBidi"/>
          <w:noProof/>
          <w:lang w:eastAsia="en-AU"/>
        </w:rPr>
      </w:pPr>
      <w:hyperlink w:anchor="_Toc396308669" w:history="1">
        <w:r w:rsidR="00B66811" w:rsidRPr="00073E0F">
          <w:rPr>
            <w:rStyle w:val="Hyperlink"/>
            <w:noProof/>
          </w:rPr>
          <w:t>6.4.</w:t>
        </w:r>
        <w:r w:rsidR="00B66811">
          <w:rPr>
            <w:rFonts w:asciiTheme="minorHAnsi" w:eastAsiaTheme="minorEastAsia" w:hAnsiTheme="minorHAnsi" w:cstheme="minorBidi"/>
            <w:noProof/>
            <w:lang w:eastAsia="en-AU"/>
          </w:rPr>
          <w:tab/>
        </w:r>
        <w:r w:rsidR="00B66811" w:rsidRPr="00073E0F">
          <w:rPr>
            <w:rStyle w:val="Hyperlink"/>
            <w:noProof/>
          </w:rPr>
          <w:t>Analyses performed across trials (pooled &amp; meta analyses)</w:t>
        </w:r>
        <w:r w:rsidR="00B66811">
          <w:rPr>
            <w:noProof/>
            <w:webHidden/>
          </w:rPr>
          <w:tab/>
        </w:r>
        <w:r w:rsidR="00B66811">
          <w:rPr>
            <w:noProof/>
            <w:webHidden/>
          </w:rPr>
          <w:fldChar w:fldCharType="begin"/>
        </w:r>
        <w:r w:rsidR="00B66811">
          <w:rPr>
            <w:noProof/>
            <w:webHidden/>
          </w:rPr>
          <w:instrText xml:space="preserve"> PAGEREF _Toc396308669 \h </w:instrText>
        </w:r>
        <w:r w:rsidR="00B66811">
          <w:rPr>
            <w:noProof/>
            <w:webHidden/>
          </w:rPr>
        </w:r>
        <w:r w:rsidR="00B66811">
          <w:rPr>
            <w:noProof/>
            <w:webHidden/>
          </w:rPr>
          <w:fldChar w:fldCharType="separate"/>
        </w:r>
        <w:r w:rsidR="00B66811">
          <w:rPr>
            <w:noProof/>
            <w:webHidden/>
          </w:rPr>
          <w:t>30</w:t>
        </w:r>
        <w:r w:rsidR="00B66811">
          <w:rPr>
            <w:noProof/>
            <w:webHidden/>
          </w:rPr>
          <w:fldChar w:fldCharType="end"/>
        </w:r>
      </w:hyperlink>
    </w:p>
    <w:p w:rsidR="00B66811" w:rsidRDefault="00294960">
      <w:pPr>
        <w:pStyle w:val="TOC3"/>
        <w:tabs>
          <w:tab w:val="left" w:pos="1575"/>
        </w:tabs>
        <w:rPr>
          <w:rFonts w:asciiTheme="minorHAnsi" w:eastAsiaTheme="minorEastAsia" w:hAnsiTheme="minorHAnsi" w:cstheme="minorBidi"/>
          <w:noProof/>
          <w:lang w:eastAsia="en-AU"/>
        </w:rPr>
      </w:pPr>
      <w:hyperlink w:anchor="_Toc396308670" w:history="1">
        <w:r w:rsidR="00B66811" w:rsidRPr="00073E0F">
          <w:rPr>
            <w:rStyle w:val="Hyperlink"/>
            <w:noProof/>
          </w:rPr>
          <w:t>6.5.</w:t>
        </w:r>
        <w:r w:rsidR="00B66811">
          <w:rPr>
            <w:rFonts w:asciiTheme="minorHAnsi" w:eastAsiaTheme="minorEastAsia" w:hAnsiTheme="minorHAnsi" w:cstheme="minorBidi"/>
            <w:noProof/>
            <w:lang w:eastAsia="en-AU"/>
          </w:rPr>
          <w:tab/>
        </w:r>
        <w:r w:rsidR="00B66811" w:rsidRPr="00073E0F">
          <w:rPr>
            <w:rStyle w:val="Hyperlink"/>
            <w:noProof/>
          </w:rPr>
          <w:t>Evaluator’s conclusions on efficacy</w:t>
        </w:r>
        <w:r w:rsidR="00B66811">
          <w:rPr>
            <w:noProof/>
            <w:webHidden/>
          </w:rPr>
          <w:tab/>
        </w:r>
        <w:r w:rsidR="00B66811">
          <w:rPr>
            <w:noProof/>
            <w:webHidden/>
          </w:rPr>
          <w:fldChar w:fldCharType="begin"/>
        </w:r>
        <w:r w:rsidR="00B66811">
          <w:rPr>
            <w:noProof/>
            <w:webHidden/>
          </w:rPr>
          <w:instrText xml:space="preserve"> PAGEREF _Toc396308670 \h </w:instrText>
        </w:r>
        <w:r w:rsidR="00B66811">
          <w:rPr>
            <w:noProof/>
            <w:webHidden/>
          </w:rPr>
        </w:r>
        <w:r w:rsidR="00B66811">
          <w:rPr>
            <w:noProof/>
            <w:webHidden/>
          </w:rPr>
          <w:fldChar w:fldCharType="separate"/>
        </w:r>
        <w:r w:rsidR="00B66811">
          <w:rPr>
            <w:noProof/>
            <w:webHidden/>
          </w:rPr>
          <w:t>30</w:t>
        </w:r>
        <w:r w:rsidR="00B66811">
          <w:rPr>
            <w:noProof/>
            <w:webHidden/>
          </w:rPr>
          <w:fldChar w:fldCharType="end"/>
        </w:r>
      </w:hyperlink>
    </w:p>
    <w:p w:rsidR="00B66811" w:rsidRDefault="00294960">
      <w:pPr>
        <w:pStyle w:val="TOC2"/>
        <w:tabs>
          <w:tab w:val="left" w:pos="1247"/>
        </w:tabs>
        <w:rPr>
          <w:rFonts w:asciiTheme="minorHAnsi" w:eastAsiaTheme="minorEastAsia" w:hAnsiTheme="minorHAnsi" w:cstheme="minorBidi"/>
          <w:b w:val="0"/>
          <w:noProof/>
          <w:sz w:val="22"/>
          <w:lang w:eastAsia="en-AU"/>
        </w:rPr>
      </w:pPr>
      <w:hyperlink w:anchor="_Toc396308671" w:history="1">
        <w:r w:rsidR="00B66811" w:rsidRPr="00073E0F">
          <w:rPr>
            <w:rStyle w:val="Hyperlink"/>
            <w:noProof/>
          </w:rPr>
          <w:t>7.</w:t>
        </w:r>
        <w:r w:rsidR="00B66811">
          <w:rPr>
            <w:rFonts w:asciiTheme="minorHAnsi" w:eastAsiaTheme="minorEastAsia" w:hAnsiTheme="minorHAnsi" w:cstheme="minorBidi"/>
            <w:b w:val="0"/>
            <w:noProof/>
            <w:sz w:val="22"/>
            <w:lang w:eastAsia="en-AU"/>
          </w:rPr>
          <w:tab/>
        </w:r>
        <w:r w:rsidR="00B66811" w:rsidRPr="00073E0F">
          <w:rPr>
            <w:rStyle w:val="Hyperlink"/>
            <w:noProof/>
          </w:rPr>
          <w:t>Clinical safety</w:t>
        </w:r>
        <w:r w:rsidR="00B66811">
          <w:rPr>
            <w:noProof/>
            <w:webHidden/>
          </w:rPr>
          <w:tab/>
        </w:r>
        <w:r w:rsidR="00B66811">
          <w:rPr>
            <w:noProof/>
            <w:webHidden/>
          </w:rPr>
          <w:fldChar w:fldCharType="begin"/>
        </w:r>
        <w:r w:rsidR="00B66811">
          <w:rPr>
            <w:noProof/>
            <w:webHidden/>
          </w:rPr>
          <w:instrText xml:space="preserve"> PAGEREF _Toc396308671 \h </w:instrText>
        </w:r>
        <w:r w:rsidR="00B66811">
          <w:rPr>
            <w:noProof/>
            <w:webHidden/>
          </w:rPr>
        </w:r>
        <w:r w:rsidR="00B66811">
          <w:rPr>
            <w:noProof/>
            <w:webHidden/>
          </w:rPr>
          <w:fldChar w:fldCharType="separate"/>
        </w:r>
        <w:r w:rsidR="00B66811">
          <w:rPr>
            <w:noProof/>
            <w:webHidden/>
          </w:rPr>
          <w:t>30</w:t>
        </w:r>
        <w:r w:rsidR="00B66811">
          <w:rPr>
            <w:noProof/>
            <w:webHidden/>
          </w:rPr>
          <w:fldChar w:fldCharType="end"/>
        </w:r>
      </w:hyperlink>
    </w:p>
    <w:p w:rsidR="00B66811" w:rsidRDefault="00294960">
      <w:pPr>
        <w:pStyle w:val="TOC3"/>
        <w:tabs>
          <w:tab w:val="left" w:pos="1575"/>
        </w:tabs>
        <w:rPr>
          <w:rFonts w:asciiTheme="minorHAnsi" w:eastAsiaTheme="minorEastAsia" w:hAnsiTheme="minorHAnsi" w:cstheme="minorBidi"/>
          <w:noProof/>
          <w:lang w:eastAsia="en-AU"/>
        </w:rPr>
      </w:pPr>
      <w:hyperlink w:anchor="_Toc396308672" w:history="1">
        <w:r w:rsidR="00B66811" w:rsidRPr="00073E0F">
          <w:rPr>
            <w:rStyle w:val="Hyperlink"/>
            <w:noProof/>
          </w:rPr>
          <w:t>7.1.</w:t>
        </w:r>
        <w:r w:rsidR="00B66811">
          <w:rPr>
            <w:rFonts w:asciiTheme="minorHAnsi" w:eastAsiaTheme="minorEastAsia" w:hAnsiTheme="minorHAnsi" w:cstheme="minorBidi"/>
            <w:noProof/>
            <w:lang w:eastAsia="en-AU"/>
          </w:rPr>
          <w:tab/>
        </w:r>
        <w:r w:rsidR="00B66811" w:rsidRPr="00073E0F">
          <w:rPr>
            <w:rStyle w:val="Hyperlink"/>
            <w:noProof/>
          </w:rPr>
          <w:t>Studies providing safety data</w:t>
        </w:r>
        <w:r w:rsidR="00B66811">
          <w:rPr>
            <w:noProof/>
            <w:webHidden/>
          </w:rPr>
          <w:tab/>
        </w:r>
        <w:r w:rsidR="00B66811">
          <w:rPr>
            <w:noProof/>
            <w:webHidden/>
          </w:rPr>
          <w:fldChar w:fldCharType="begin"/>
        </w:r>
        <w:r w:rsidR="00B66811">
          <w:rPr>
            <w:noProof/>
            <w:webHidden/>
          </w:rPr>
          <w:instrText xml:space="preserve"> PAGEREF _Toc396308672 \h </w:instrText>
        </w:r>
        <w:r w:rsidR="00B66811">
          <w:rPr>
            <w:noProof/>
            <w:webHidden/>
          </w:rPr>
        </w:r>
        <w:r w:rsidR="00B66811">
          <w:rPr>
            <w:noProof/>
            <w:webHidden/>
          </w:rPr>
          <w:fldChar w:fldCharType="separate"/>
        </w:r>
        <w:r w:rsidR="00B66811">
          <w:rPr>
            <w:noProof/>
            <w:webHidden/>
          </w:rPr>
          <w:t>30</w:t>
        </w:r>
        <w:r w:rsidR="00B66811">
          <w:rPr>
            <w:noProof/>
            <w:webHidden/>
          </w:rPr>
          <w:fldChar w:fldCharType="end"/>
        </w:r>
      </w:hyperlink>
    </w:p>
    <w:p w:rsidR="00B66811" w:rsidRDefault="00294960">
      <w:pPr>
        <w:pStyle w:val="TOC3"/>
        <w:tabs>
          <w:tab w:val="left" w:pos="1575"/>
        </w:tabs>
        <w:rPr>
          <w:rFonts w:asciiTheme="minorHAnsi" w:eastAsiaTheme="minorEastAsia" w:hAnsiTheme="minorHAnsi" w:cstheme="minorBidi"/>
          <w:noProof/>
          <w:lang w:eastAsia="en-AU"/>
        </w:rPr>
      </w:pPr>
      <w:hyperlink w:anchor="_Toc396308673" w:history="1">
        <w:r w:rsidR="00B66811" w:rsidRPr="00073E0F">
          <w:rPr>
            <w:rStyle w:val="Hyperlink"/>
            <w:noProof/>
          </w:rPr>
          <w:t>7.2.</w:t>
        </w:r>
        <w:r w:rsidR="00B66811">
          <w:rPr>
            <w:rFonts w:asciiTheme="minorHAnsi" w:eastAsiaTheme="minorEastAsia" w:hAnsiTheme="minorHAnsi" w:cstheme="minorBidi"/>
            <w:noProof/>
            <w:lang w:eastAsia="en-AU"/>
          </w:rPr>
          <w:tab/>
        </w:r>
        <w:r w:rsidR="00B66811" w:rsidRPr="00073E0F">
          <w:rPr>
            <w:rStyle w:val="Hyperlink"/>
            <w:noProof/>
          </w:rPr>
          <w:t>Pivotal efficacy studies</w:t>
        </w:r>
        <w:r w:rsidR="00B66811">
          <w:rPr>
            <w:noProof/>
            <w:webHidden/>
          </w:rPr>
          <w:tab/>
        </w:r>
        <w:r w:rsidR="00B66811">
          <w:rPr>
            <w:noProof/>
            <w:webHidden/>
          </w:rPr>
          <w:fldChar w:fldCharType="begin"/>
        </w:r>
        <w:r w:rsidR="00B66811">
          <w:rPr>
            <w:noProof/>
            <w:webHidden/>
          </w:rPr>
          <w:instrText xml:space="preserve"> PAGEREF _Toc396308673 \h </w:instrText>
        </w:r>
        <w:r w:rsidR="00B66811">
          <w:rPr>
            <w:noProof/>
            <w:webHidden/>
          </w:rPr>
        </w:r>
        <w:r w:rsidR="00B66811">
          <w:rPr>
            <w:noProof/>
            <w:webHidden/>
          </w:rPr>
          <w:fldChar w:fldCharType="separate"/>
        </w:r>
        <w:r w:rsidR="00B66811">
          <w:rPr>
            <w:noProof/>
            <w:webHidden/>
          </w:rPr>
          <w:t>31</w:t>
        </w:r>
        <w:r w:rsidR="00B66811">
          <w:rPr>
            <w:noProof/>
            <w:webHidden/>
          </w:rPr>
          <w:fldChar w:fldCharType="end"/>
        </w:r>
      </w:hyperlink>
    </w:p>
    <w:p w:rsidR="00B66811" w:rsidRDefault="00294960">
      <w:pPr>
        <w:pStyle w:val="TOC3"/>
        <w:tabs>
          <w:tab w:val="left" w:pos="1575"/>
        </w:tabs>
        <w:rPr>
          <w:rFonts w:asciiTheme="minorHAnsi" w:eastAsiaTheme="minorEastAsia" w:hAnsiTheme="minorHAnsi" w:cstheme="minorBidi"/>
          <w:noProof/>
          <w:lang w:eastAsia="en-AU"/>
        </w:rPr>
      </w:pPr>
      <w:hyperlink w:anchor="_Toc396308674" w:history="1">
        <w:r w:rsidR="00B66811" w:rsidRPr="00073E0F">
          <w:rPr>
            <w:rStyle w:val="Hyperlink"/>
            <w:noProof/>
          </w:rPr>
          <w:t>7.3.</w:t>
        </w:r>
        <w:r w:rsidR="00B66811">
          <w:rPr>
            <w:rFonts w:asciiTheme="minorHAnsi" w:eastAsiaTheme="minorEastAsia" w:hAnsiTheme="minorHAnsi" w:cstheme="minorBidi"/>
            <w:noProof/>
            <w:lang w:eastAsia="en-AU"/>
          </w:rPr>
          <w:tab/>
        </w:r>
        <w:r w:rsidR="00B66811" w:rsidRPr="00073E0F">
          <w:rPr>
            <w:rStyle w:val="Hyperlink"/>
            <w:noProof/>
          </w:rPr>
          <w:t>Patient exposure</w:t>
        </w:r>
        <w:r w:rsidR="00B66811">
          <w:rPr>
            <w:noProof/>
            <w:webHidden/>
          </w:rPr>
          <w:tab/>
        </w:r>
        <w:r w:rsidR="00B66811">
          <w:rPr>
            <w:noProof/>
            <w:webHidden/>
          </w:rPr>
          <w:fldChar w:fldCharType="begin"/>
        </w:r>
        <w:r w:rsidR="00B66811">
          <w:rPr>
            <w:noProof/>
            <w:webHidden/>
          </w:rPr>
          <w:instrText xml:space="preserve"> PAGEREF _Toc396308674 \h </w:instrText>
        </w:r>
        <w:r w:rsidR="00B66811">
          <w:rPr>
            <w:noProof/>
            <w:webHidden/>
          </w:rPr>
        </w:r>
        <w:r w:rsidR="00B66811">
          <w:rPr>
            <w:noProof/>
            <w:webHidden/>
          </w:rPr>
          <w:fldChar w:fldCharType="separate"/>
        </w:r>
        <w:r w:rsidR="00B66811">
          <w:rPr>
            <w:noProof/>
            <w:webHidden/>
          </w:rPr>
          <w:t>32</w:t>
        </w:r>
        <w:r w:rsidR="00B66811">
          <w:rPr>
            <w:noProof/>
            <w:webHidden/>
          </w:rPr>
          <w:fldChar w:fldCharType="end"/>
        </w:r>
      </w:hyperlink>
    </w:p>
    <w:p w:rsidR="00B66811" w:rsidRDefault="00294960">
      <w:pPr>
        <w:pStyle w:val="TOC3"/>
        <w:tabs>
          <w:tab w:val="left" w:pos="1575"/>
        </w:tabs>
        <w:rPr>
          <w:rFonts w:asciiTheme="minorHAnsi" w:eastAsiaTheme="minorEastAsia" w:hAnsiTheme="minorHAnsi" w:cstheme="minorBidi"/>
          <w:noProof/>
          <w:lang w:eastAsia="en-AU"/>
        </w:rPr>
      </w:pPr>
      <w:hyperlink w:anchor="_Toc396308675" w:history="1">
        <w:r w:rsidR="00B66811" w:rsidRPr="00073E0F">
          <w:rPr>
            <w:rStyle w:val="Hyperlink"/>
            <w:noProof/>
          </w:rPr>
          <w:t>7.4.</w:t>
        </w:r>
        <w:r w:rsidR="00B66811">
          <w:rPr>
            <w:rFonts w:asciiTheme="minorHAnsi" w:eastAsiaTheme="minorEastAsia" w:hAnsiTheme="minorHAnsi" w:cstheme="minorBidi"/>
            <w:noProof/>
            <w:lang w:eastAsia="en-AU"/>
          </w:rPr>
          <w:tab/>
        </w:r>
        <w:r w:rsidR="00B66811" w:rsidRPr="00073E0F">
          <w:rPr>
            <w:rStyle w:val="Hyperlink"/>
            <w:noProof/>
          </w:rPr>
          <w:t>Adverse events</w:t>
        </w:r>
        <w:r w:rsidR="00B66811">
          <w:rPr>
            <w:noProof/>
            <w:webHidden/>
          </w:rPr>
          <w:tab/>
        </w:r>
        <w:r w:rsidR="00B66811">
          <w:rPr>
            <w:noProof/>
            <w:webHidden/>
          </w:rPr>
          <w:fldChar w:fldCharType="begin"/>
        </w:r>
        <w:r w:rsidR="00B66811">
          <w:rPr>
            <w:noProof/>
            <w:webHidden/>
          </w:rPr>
          <w:instrText xml:space="preserve"> PAGEREF _Toc396308675 \h </w:instrText>
        </w:r>
        <w:r w:rsidR="00B66811">
          <w:rPr>
            <w:noProof/>
            <w:webHidden/>
          </w:rPr>
        </w:r>
        <w:r w:rsidR="00B66811">
          <w:rPr>
            <w:noProof/>
            <w:webHidden/>
          </w:rPr>
          <w:fldChar w:fldCharType="separate"/>
        </w:r>
        <w:r w:rsidR="00B66811">
          <w:rPr>
            <w:noProof/>
            <w:webHidden/>
          </w:rPr>
          <w:t>32</w:t>
        </w:r>
        <w:r w:rsidR="00B66811">
          <w:rPr>
            <w:noProof/>
            <w:webHidden/>
          </w:rPr>
          <w:fldChar w:fldCharType="end"/>
        </w:r>
      </w:hyperlink>
    </w:p>
    <w:p w:rsidR="00B66811" w:rsidRDefault="00294960">
      <w:pPr>
        <w:pStyle w:val="TOC3"/>
        <w:tabs>
          <w:tab w:val="left" w:pos="1575"/>
        </w:tabs>
        <w:rPr>
          <w:rFonts w:asciiTheme="minorHAnsi" w:eastAsiaTheme="minorEastAsia" w:hAnsiTheme="minorHAnsi" w:cstheme="minorBidi"/>
          <w:noProof/>
          <w:lang w:eastAsia="en-AU"/>
        </w:rPr>
      </w:pPr>
      <w:hyperlink w:anchor="_Toc396308676" w:history="1">
        <w:r w:rsidR="00B66811" w:rsidRPr="00073E0F">
          <w:rPr>
            <w:rStyle w:val="Hyperlink"/>
            <w:noProof/>
          </w:rPr>
          <w:t>7.5.</w:t>
        </w:r>
        <w:r w:rsidR="00B66811">
          <w:rPr>
            <w:rFonts w:asciiTheme="minorHAnsi" w:eastAsiaTheme="minorEastAsia" w:hAnsiTheme="minorHAnsi" w:cstheme="minorBidi"/>
            <w:noProof/>
            <w:lang w:eastAsia="en-AU"/>
          </w:rPr>
          <w:tab/>
        </w:r>
        <w:r w:rsidR="00B66811" w:rsidRPr="00073E0F">
          <w:rPr>
            <w:rStyle w:val="Hyperlink"/>
            <w:noProof/>
          </w:rPr>
          <w:t>Laboratory tests</w:t>
        </w:r>
        <w:r w:rsidR="00B66811">
          <w:rPr>
            <w:noProof/>
            <w:webHidden/>
          </w:rPr>
          <w:tab/>
        </w:r>
        <w:r w:rsidR="00B66811">
          <w:rPr>
            <w:noProof/>
            <w:webHidden/>
          </w:rPr>
          <w:fldChar w:fldCharType="begin"/>
        </w:r>
        <w:r w:rsidR="00B66811">
          <w:rPr>
            <w:noProof/>
            <w:webHidden/>
          </w:rPr>
          <w:instrText xml:space="preserve"> PAGEREF _Toc396308676 \h </w:instrText>
        </w:r>
        <w:r w:rsidR="00B66811">
          <w:rPr>
            <w:noProof/>
            <w:webHidden/>
          </w:rPr>
        </w:r>
        <w:r w:rsidR="00B66811">
          <w:rPr>
            <w:noProof/>
            <w:webHidden/>
          </w:rPr>
          <w:fldChar w:fldCharType="separate"/>
        </w:r>
        <w:r w:rsidR="00B66811">
          <w:rPr>
            <w:noProof/>
            <w:webHidden/>
          </w:rPr>
          <w:t>37</w:t>
        </w:r>
        <w:r w:rsidR="00B66811">
          <w:rPr>
            <w:noProof/>
            <w:webHidden/>
          </w:rPr>
          <w:fldChar w:fldCharType="end"/>
        </w:r>
      </w:hyperlink>
    </w:p>
    <w:p w:rsidR="00B66811" w:rsidRDefault="00294960">
      <w:pPr>
        <w:pStyle w:val="TOC3"/>
        <w:tabs>
          <w:tab w:val="left" w:pos="1575"/>
        </w:tabs>
        <w:rPr>
          <w:rFonts w:asciiTheme="minorHAnsi" w:eastAsiaTheme="minorEastAsia" w:hAnsiTheme="minorHAnsi" w:cstheme="minorBidi"/>
          <w:noProof/>
          <w:lang w:eastAsia="en-AU"/>
        </w:rPr>
      </w:pPr>
      <w:hyperlink w:anchor="_Toc396308677" w:history="1">
        <w:r w:rsidR="00B66811" w:rsidRPr="00073E0F">
          <w:rPr>
            <w:rStyle w:val="Hyperlink"/>
            <w:noProof/>
          </w:rPr>
          <w:t>7.6.</w:t>
        </w:r>
        <w:r w:rsidR="00B66811">
          <w:rPr>
            <w:rFonts w:asciiTheme="minorHAnsi" w:eastAsiaTheme="minorEastAsia" w:hAnsiTheme="minorHAnsi" w:cstheme="minorBidi"/>
            <w:noProof/>
            <w:lang w:eastAsia="en-AU"/>
          </w:rPr>
          <w:tab/>
        </w:r>
        <w:r w:rsidR="00B66811" w:rsidRPr="00073E0F">
          <w:rPr>
            <w:rStyle w:val="Hyperlink"/>
            <w:noProof/>
          </w:rPr>
          <w:t>Post-marketing experience</w:t>
        </w:r>
        <w:r w:rsidR="00B66811">
          <w:rPr>
            <w:noProof/>
            <w:webHidden/>
          </w:rPr>
          <w:tab/>
        </w:r>
        <w:r w:rsidR="00B66811">
          <w:rPr>
            <w:noProof/>
            <w:webHidden/>
          </w:rPr>
          <w:fldChar w:fldCharType="begin"/>
        </w:r>
        <w:r w:rsidR="00B66811">
          <w:rPr>
            <w:noProof/>
            <w:webHidden/>
          </w:rPr>
          <w:instrText xml:space="preserve"> PAGEREF _Toc396308677 \h </w:instrText>
        </w:r>
        <w:r w:rsidR="00B66811">
          <w:rPr>
            <w:noProof/>
            <w:webHidden/>
          </w:rPr>
        </w:r>
        <w:r w:rsidR="00B66811">
          <w:rPr>
            <w:noProof/>
            <w:webHidden/>
          </w:rPr>
          <w:fldChar w:fldCharType="separate"/>
        </w:r>
        <w:r w:rsidR="00B66811">
          <w:rPr>
            <w:noProof/>
            <w:webHidden/>
          </w:rPr>
          <w:t>41</w:t>
        </w:r>
        <w:r w:rsidR="00B66811">
          <w:rPr>
            <w:noProof/>
            <w:webHidden/>
          </w:rPr>
          <w:fldChar w:fldCharType="end"/>
        </w:r>
      </w:hyperlink>
    </w:p>
    <w:p w:rsidR="00B66811" w:rsidRDefault="00294960">
      <w:pPr>
        <w:pStyle w:val="TOC3"/>
        <w:tabs>
          <w:tab w:val="left" w:pos="1575"/>
        </w:tabs>
        <w:rPr>
          <w:rFonts w:asciiTheme="minorHAnsi" w:eastAsiaTheme="minorEastAsia" w:hAnsiTheme="minorHAnsi" w:cstheme="minorBidi"/>
          <w:noProof/>
          <w:lang w:eastAsia="en-AU"/>
        </w:rPr>
      </w:pPr>
      <w:hyperlink w:anchor="_Toc396308678" w:history="1">
        <w:r w:rsidR="00B66811" w:rsidRPr="00073E0F">
          <w:rPr>
            <w:rStyle w:val="Hyperlink"/>
            <w:noProof/>
          </w:rPr>
          <w:t>7.7.</w:t>
        </w:r>
        <w:r w:rsidR="00B66811">
          <w:rPr>
            <w:rFonts w:asciiTheme="minorHAnsi" w:eastAsiaTheme="minorEastAsia" w:hAnsiTheme="minorHAnsi" w:cstheme="minorBidi"/>
            <w:noProof/>
            <w:lang w:eastAsia="en-AU"/>
          </w:rPr>
          <w:tab/>
        </w:r>
        <w:r w:rsidR="00B66811" w:rsidRPr="00073E0F">
          <w:rPr>
            <w:rStyle w:val="Hyperlink"/>
            <w:noProof/>
          </w:rPr>
          <w:t>Safety issues with the potential for major regulatory impact</w:t>
        </w:r>
        <w:r w:rsidR="00B66811">
          <w:rPr>
            <w:noProof/>
            <w:webHidden/>
          </w:rPr>
          <w:tab/>
        </w:r>
        <w:r w:rsidR="00B66811">
          <w:rPr>
            <w:noProof/>
            <w:webHidden/>
          </w:rPr>
          <w:fldChar w:fldCharType="begin"/>
        </w:r>
        <w:r w:rsidR="00B66811">
          <w:rPr>
            <w:noProof/>
            <w:webHidden/>
          </w:rPr>
          <w:instrText xml:space="preserve"> PAGEREF _Toc396308678 \h </w:instrText>
        </w:r>
        <w:r w:rsidR="00B66811">
          <w:rPr>
            <w:noProof/>
            <w:webHidden/>
          </w:rPr>
        </w:r>
        <w:r w:rsidR="00B66811">
          <w:rPr>
            <w:noProof/>
            <w:webHidden/>
          </w:rPr>
          <w:fldChar w:fldCharType="separate"/>
        </w:r>
        <w:r w:rsidR="00B66811">
          <w:rPr>
            <w:noProof/>
            <w:webHidden/>
          </w:rPr>
          <w:t>41</w:t>
        </w:r>
        <w:r w:rsidR="00B66811">
          <w:rPr>
            <w:noProof/>
            <w:webHidden/>
          </w:rPr>
          <w:fldChar w:fldCharType="end"/>
        </w:r>
      </w:hyperlink>
    </w:p>
    <w:p w:rsidR="00B66811" w:rsidRDefault="00294960">
      <w:pPr>
        <w:pStyle w:val="TOC3"/>
        <w:tabs>
          <w:tab w:val="left" w:pos="1575"/>
        </w:tabs>
        <w:rPr>
          <w:rFonts w:asciiTheme="minorHAnsi" w:eastAsiaTheme="minorEastAsia" w:hAnsiTheme="minorHAnsi" w:cstheme="minorBidi"/>
          <w:noProof/>
          <w:lang w:eastAsia="en-AU"/>
        </w:rPr>
      </w:pPr>
      <w:hyperlink w:anchor="_Toc396308679" w:history="1">
        <w:r w:rsidR="00B66811" w:rsidRPr="00073E0F">
          <w:rPr>
            <w:rStyle w:val="Hyperlink"/>
            <w:noProof/>
          </w:rPr>
          <w:t>7.8.</w:t>
        </w:r>
        <w:r w:rsidR="00B66811">
          <w:rPr>
            <w:rFonts w:asciiTheme="minorHAnsi" w:eastAsiaTheme="minorEastAsia" w:hAnsiTheme="minorHAnsi" w:cstheme="minorBidi"/>
            <w:noProof/>
            <w:lang w:eastAsia="en-AU"/>
          </w:rPr>
          <w:tab/>
        </w:r>
        <w:r w:rsidR="00B66811" w:rsidRPr="00073E0F">
          <w:rPr>
            <w:rStyle w:val="Hyperlink"/>
            <w:noProof/>
          </w:rPr>
          <w:t>Other safety issues</w:t>
        </w:r>
        <w:r w:rsidR="00B66811">
          <w:rPr>
            <w:noProof/>
            <w:webHidden/>
          </w:rPr>
          <w:tab/>
        </w:r>
        <w:r w:rsidR="00B66811">
          <w:rPr>
            <w:noProof/>
            <w:webHidden/>
          </w:rPr>
          <w:fldChar w:fldCharType="begin"/>
        </w:r>
        <w:r w:rsidR="00B66811">
          <w:rPr>
            <w:noProof/>
            <w:webHidden/>
          </w:rPr>
          <w:instrText xml:space="preserve"> PAGEREF _Toc396308679 \h </w:instrText>
        </w:r>
        <w:r w:rsidR="00B66811">
          <w:rPr>
            <w:noProof/>
            <w:webHidden/>
          </w:rPr>
        </w:r>
        <w:r w:rsidR="00B66811">
          <w:rPr>
            <w:noProof/>
            <w:webHidden/>
          </w:rPr>
          <w:fldChar w:fldCharType="separate"/>
        </w:r>
        <w:r w:rsidR="00B66811">
          <w:rPr>
            <w:noProof/>
            <w:webHidden/>
          </w:rPr>
          <w:t>41</w:t>
        </w:r>
        <w:r w:rsidR="00B66811">
          <w:rPr>
            <w:noProof/>
            <w:webHidden/>
          </w:rPr>
          <w:fldChar w:fldCharType="end"/>
        </w:r>
      </w:hyperlink>
    </w:p>
    <w:p w:rsidR="00B66811" w:rsidRDefault="00294960">
      <w:pPr>
        <w:pStyle w:val="TOC3"/>
        <w:tabs>
          <w:tab w:val="left" w:pos="1575"/>
        </w:tabs>
        <w:rPr>
          <w:rFonts w:asciiTheme="minorHAnsi" w:eastAsiaTheme="minorEastAsia" w:hAnsiTheme="minorHAnsi" w:cstheme="minorBidi"/>
          <w:noProof/>
          <w:lang w:eastAsia="en-AU"/>
        </w:rPr>
      </w:pPr>
      <w:hyperlink w:anchor="_Toc396308680" w:history="1">
        <w:r w:rsidR="00B66811" w:rsidRPr="00073E0F">
          <w:rPr>
            <w:rStyle w:val="Hyperlink"/>
            <w:noProof/>
          </w:rPr>
          <w:t>7.9.</w:t>
        </w:r>
        <w:r w:rsidR="00B66811">
          <w:rPr>
            <w:rFonts w:asciiTheme="minorHAnsi" w:eastAsiaTheme="minorEastAsia" w:hAnsiTheme="minorHAnsi" w:cstheme="minorBidi"/>
            <w:noProof/>
            <w:lang w:eastAsia="en-AU"/>
          </w:rPr>
          <w:tab/>
        </w:r>
        <w:r w:rsidR="00B66811" w:rsidRPr="00073E0F">
          <w:rPr>
            <w:rStyle w:val="Hyperlink"/>
            <w:noProof/>
          </w:rPr>
          <w:t>Evaluator’s overall conclusions on clinical safety</w:t>
        </w:r>
        <w:r w:rsidR="00B66811">
          <w:rPr>
            <w:noProof/>
            <w:webHidden/>
          </w:rPr>
          <w:tab/>
        </w:r>
        <w:r w:rsidR="00B66811">
          <w:rPr>
            <w:noProof/>
            <w:webHidden/>
          </w:rPr>
          <w:fldChar w:fldCharType="begin"/>
        </w:r>
        <w:r w:rsidR="00B66811">
          <w:rPr>
            <w:noProof/>
            <w:webHidden/>
          </w:rPr>
          <w:instrText xml:space="preserve"> PAGEREF _Toc396308680 \h </w:instrText>
        </w:r>
        <w:r w:rsidR="00B66811">
          <w:rPr>
            <w:noProof/>
            <w:webHidden/>
          </w:rPr>
        </w:r>
        <w:r w:rsidR="00B66811">
          <w:rPr>
            <w:noProof/>
            <w:webHidden/>
          </w:rPr>
          <w:fldChar w:fldCharType="separate"/>
        </w:r>
        <w:r w:rsidR="00B66811">
          <w:rPr>
            <w:noProof/>
            <w:webHidden/>
          </w:rPr>
          <w:t>42</w:t>
        </w:r>
        <w:r w:rsidR="00B66811">
          <w:rPr>
            <w:noProof/>
            <w:webHidden/>
          </w:rPr>
          <w:fldChar w:fldCharType="end"/>
        </w:r>
      </w:hyperlink>
    </w:p>
    <w:p w:rsidR="00B66811" w:rsidRDefault="00294960">
      <w:pPr>
        <w:pStyle w:val="TOC2"/>
        <w:tabs>
          <w:tab w:val="left" w:pos="1247"/>
        </w:tabs>
        <w:rPr>
          <w:rFonts w:asciiTheme="minorHAnsi" w:eastAsiaTheme="minorEastAsia" w:hAnsiTheme="minorHAnsi" w:cstheme="minorBidi"/>
          <w:b w:val="0"/>
          <w:noProof/>
          <w:sz w:val="22"/>
          <w:lang w:eastAsia="en-AU"/>
        </w:rPr>
      </w:pPr>
      <w:hyperlink w:anchor="_Toc396308681" w:history="1">
        <w:r w:rsidR="00B66811" w:rsidRPr="00073E0F">
          <w:rPr>
            <w:rStyle w:val="Hyperlink"/>
            <w:noProof/>
          </w:rPr>
          <w:t>8.</w:t>
        </w:r>
        <w:r w:rsidR="00B66811">
          <w:rPr>
            <w:rFonts w:asciiTheme="minorHAnsi" w:eastAsiaTheme="minorEastAsia" w:hAnsiTheme="minorHAnsi" w:cstheme="minorBidi"/>
            <w:b w:val="0"/>
            <w:noProof/>
            <w:sz w:val="22"/>
            <w:lang w:eastAsia="en-AU"/>
          </w:rPr>
          <w:tab/>
        </w:r>
        <w:r w:rsidR="00B66811" w:rsidRPr="00073E0F">
          <w:rPr>
            <w:rStyle w:val="Hyperlink"/>
            <w:noProof/>
          </w:rPr>
          <w:t>First round benefit-risk assessment</w:t>
        </w:r>
        <w:r w:rsidR="00B66811">
          <w:rPr>
            <w:noProof/>
            <w:webHidden/>
          </w:rPr>
          <w:tab/>
        </w:r>
        <w:r w:rsidR="00B66811">
          <w:rPr>
            <w:noProof/>
            <w:webHidden/>
          </w:rPr>
          <w:fldChar w:fldCharType="begin"/>
        </w:r>
        <w:r w:rsidR="00B66811">
          <w:rPr>
            <w:noProof/>
            <w:webHidden/>
          </w:rPr>
          <w:instrText xml:space="preserve"> PAGEREF _Toc396308681 \h </w:instrText>
        </w:r>
        <w:r w:rsidR="00B66811">
          <w:rPr>
            <w:noProof/>
            <w:webHidden/>
          </w:rPr>
        </w:r>
        <w:r w:rsidR="00B66811">
          <w:rPr>
            <w:noProof/>
            <w:webHidden/>
          </w:rPr>
          <w:fldChar w:fldCharType="separate"/>
        </w:r>
        <w:r w:rsidR="00B66811">
          <w:rPr>
            <w:noProof/>
            <w:webHidden/>
          </w:rPr>
          <w:t>42</w:t>
        </w:r>
        <w:r w:rsidR="00B66811">
          <w:rPr>
            <w:noProof/>
            <w:webHidden/>
          </w:rPr>
          <w:fldChar w:fldCharType="end"/>
        </w:r>
      </w:hyperlink>
    </w:p>
    <w:p w:rsidR="00B66811" w:rsidRDefault="00294960">
      <w:pPr>
        <w:pStyle w:val="TOC3"/>
        <w:tabs>
          <w:tab w:val="left" w:pos="1575"/>
        </w:tabs>
        <w:rPr>
          <w:rFonts w:asciiTheme="minorHAnsi" w:eastAsiaTheme="minorEastAsia" w:hAnsiTheme="minorHAnsi" w:cstheme="minorBidi"/>
          <w:noProof/>
          <w:lang w:eastAsia="en-AU"/>
        </w:rPr>
      </w:pPr>
      <w:hyperlink w:anchor="_Toc396308682" w:history="1">
        <w:r w:rsidR="00B66811" w:rsidRPr="00073E0F">
          <w:rPr>
            <w:rStyle w:val="Hyperlink"/>
            <w:noProof/>
          </w:rPr>
          <w:t>8.1.</w:t>
        </w:r>
        <w:r w:rsidR="00B66811">
          <w:rPr>
            <w:rFonts w:asciiTheme="minorHAnsi" w:eastAsiaTheme="minorEastAsia" w:hAnsiTheme="minorHAnsi" w:cstheme="minorBidi"/>
            <w:noProof/>
            <w:lang w:eastAsia="en-AU"/>
          </w:rPr>
          <w:tab/>
        </w:r>
        <w:r w:rsidR="00B66811" w:rsidRPr="00073E0F">
          <w:rPr>
            <w:rStyle w:val="Hyperlink"/>
            <w:noProof/>
          </w:rPr>
          <w:t>First round assessment of benefits</w:t>
        </w:r>
        <w:r w:rsidR="00B66811">
          <w:rPr>
            <w:noProof/>
            <w:webHidden/>
          </w:rPr>
          <w:tab/>
        </w:r>
        <w:r w:rsidR="00B66811">
          <w:rPr>
            <w:noProof/>
            <w:webHidden/>
          </w:rPr>
          <w:fldChar w:fldCharType="begin"/>
        </w:r>
        <w:r w:rsidR="00B66811">
          <w:rPr>
            <w:noProof/>
            <w:webHidden/>
          </w:rPr>
          <w:instrText xml:space="preserve"> PAGEREF _Toc396308682 \h </w:instrText>
        </w:r>
        <w:r w:rsidR="00B66811">
          <w:rPr>
            <w:noProof/>
            <w:webHidden/>
          </w:rPr>
        </w:r>
        <w:r w:rsidR="00B66811">
          <w:rPr>
            <w:noProof/>
            <w:webHidden/>
          </w:rPr>
          <w:fldChar w:fldCharType="separate"/>
        </w:r>
        <w:r w:rsidR="00B66811">
          <w:rPr>
            <w:noProof/>
            <w:webHidden/>
          </w:rPr>
          <w:t>42</w:t>
        </w:r>
        <w:r w:rsidR="00B66811">
          <w:rPr>
            <w:noProof/>
            <w:webHidden/>
          </w:rPr>
          <w:fldChar w:fldCharType="end"/>
        </w:r>
      </w:hyperlink>
    </w:p>
    <w:p w:rsidR="00B66811" w:rsidRDefault="00294960">
      <w:pPr>
        <w:pStyle w:val="TOC3"/>
        <w:tabs>
          <w:tab w:val="left" w:pos="1575"/>
        </w:tabs>
        <w:rPr>
          <w:rFonts w:asciiTheme="minorHAnsi" w:eastAsiaTheme="minorEastAsia" w:hAnsiTheme="minorHAnsi" w:cstheme="minorBidi"/>
          <w:noProof/>
          <w:lang w:eastAsia="en-AU"/>
        </w:rPr>
      </w:pPr>
      <w:hyperlink w:anchor="_Toc396308683" w:history="1">
        <w:r w:rsidR="00B66811" w:rsidRPr="00073E0F">
          <w:rPr>
            <w:rStyle w:val="Hyperlink"/>
            <w:noProof/>
          </w:rPr>
          <w:t>8.2.</w:t>
        </w:r>
        <w:r w:rsidR="00B66811">
          <w:rPr>
            <w:rFonts w:asciiTheme="minorHAnsi" w:eastAsiaTheme="minorEastAsia" w:hAnsiTheme="minorHAnsi" w:cstheme="minorBidi"/>
            <w:noProof/>
            <w:lang w:eastAsia="en-AU"/>
          </w:rPr>
          <w:tab/>
        </w:r>
        <w:r w:rsidR="00B66811" w:rsidRPr="00073E0F">
          <w:rPr>
            <w:rStyle w:val="Hyperlink"/>
            <w:noProof/>
          </w:rPr>
          <w:t>First round assessment of risks</w:t>
        </w:r>
        <w:r w:rsidR="00B66811">
          <w:rPr>
            <w:noProof/>
            <w:webHidden/>
          </w:rPr>
          <w:tab/>
        </w:r>
        <w:r w:rsidR="00B66811">
          <w:rPr>
            <w:noProof/>
            <w:webHidden/>
          </w:rPr>
          <w:fldChar w:fldCharType="begin"/>
        </w:r>
        <w:r w:rsidR="00B66811">
          <w:rPr>
            <w:noProof/>
            <w:webHidden/>
          </w:rPr>
          <w:instrText xml:space="preserve"> PAGEREF _Toc396308683 \h </w:instrText>
        </w:r>
        <w:r w:rsidR="00B66811">
          <w:rPr>
            <w:noProof/>
            <w:webHidden/>
          </w:rPr>
        </w:r>
        <w:r w:rsidR="00B66811">
          <w:rPr>
            <w:noProof/>
            <w:webHidden/>
          </w:rPr>
          <w:fldChar w:fldCharType="separate"/>
        </w:r>
        <w:r w:rsidR="00B66811">
          <w:rPr>
            <w:noProof/>
            <w:webHidden/>
          </w:rPr>
          <w:t>42</w:t>
        </w:r>
        <w:r w:rsidR="00B66811">
          <w:rPr>
            <w:noProof/>
            <w:webHidden/>
          </w:rPr>
          <w:fldChar w:fldCharType="end"/>
        </w:r>
      </w:hyperlink>
    </w:p>
    <w:p w:rsidR="00B66811" w:rsidRDefault="00294960">
      <w:pPr>
        <w:pStyle w:val="TOC3"/>
        <w:tabs>
          <w:tab w:val="left" w:pos="1575"/>
        </w:tabs>
        <w:rPr>
          <w:rFonts w:asciiTheme="minorHAnsi" w:eastAsiaTheme="minorEastAsia" w:hAnsiTheme="minorHAnsi" w:cstheme="minorBidi"/>
          <w:noProof/>
          <w:lang w:eastAsia="en-AU"/>
        </w:rPr>
      </w:pPr>
      <w:hyperlink w:anchor="_Toc396308684" w:history="1">
        <w:r w:rsidR="00B66811" w:rsidRPr="00073E0F">
          <w:rPr>
            <w:rStyle w:val="Hyperlink"/>
            <w:noProof/>
          </w:rPr>
          <w:t>8.3.</w:t>
        </w:r>
        <w:r w:rsidR="00B66811">
          <w:rPr>
            <w:rFonts w:asciiTheme="minorHAnsi" w:eastAsiaTheme="minorEastAsia" w:hAnsiTheme="minorHAnsi" w:cstheme="minorBidi"/>
            <w:noProof/>
            <w:lang w:eastAsia="en-AU"/>
          </w:rPr>
          <w:tab/>
        </w:r>
        <w:r w:rsidR="00B66811" w:rsidRPr="00073E0F">
          <w:rPr>
            <w:rStyle w:val="Hyperlink"/>
            <w:noProof/>
          </w:rPr>
          <w:t>First round assessment of benefit-risk balance</w:t>
        </w:r>
        <w:r w:rsidR="00B66811">
          <w:rPr>
            <w:noProof/>
            <w:webHidden/>
          </w:rPr>
          <w:tab/>
        </w:r>
        <w:r w:rsidR="00B66811">
          <w:rPr>
            <w:noProof/>
            <w:webHidden/>
          </w:rPr>
          <w:fldChar w:fldCharType="begin"/>
        </w:r>
        <w:r w:rsidR="00B66811">
          <w:rPr>
            <w:noProof/>
            <w:webHidden/>
          </w:rPr>
          <w:instrText xml:space="preserve"> PAGEREF _Toc396308684 \h </w:instrText>
        </w:r>
        <w:r w:rsidR="00B66811">
          <w:rPr>
            <w:noProof/>
            <w:webHidden/>
          </w:rPr>
        </w:r>
        <w:r w:rsidR="00B66811">
          <w:rPr>
            <w:noProof/>
            <w:webHidden/>
          </w:rPr>
          <w:fldChar w:fldCharType="separate"/>
        </w:r>
        <w:r w:rsidR="00B66811">
          <w:rPr>
            <w:noProof/>
            <w:webHidden/>
          </w:rPr>
          <w:t>43</w:t>
        </w:r>
        <w:r w:rsidR="00B66811">
          <w:rPr>
            <w:noProof/>
            <w:webHidden/>
          </w:rPr>
          <w:fldChar w:fldCharType="end"/>
        </w:r>
      </w:hyperlink>
    </w:p>
    <w:p w:rsidR="00B66811" w:rsidRDefault="00294960">
      <w:pPr>
        <w:pStyle w:val="TOC2"/>
        <w:tabs>
          <w:tab w:val="left" w:pos="1247"/>
        </w:tabs>
        <w:rPr>
          <w:rFonts w:asciiTheme="minorHAnsi" w:eastAsiaTheme="minorEastAsia" w:hAnsiTheme="minorHAnsi" w:cstheme="minorBidi"/>
          <w:b w:val="0"/>
          <w:noProof/>
          <w:sz w:val="22"/>
          <w:lang w:eastAsia="en-AU"/>
        </w:rPr>
      </w:pPr>
      <w:hyperlink w:anchor="_Toc396308685" w:history="1">
        <w:r w:rsidR="00B66811" w:rsidRPr="00073E0F">
          <w:rPr>
            <w:rStyle w:val="Hyperlink"/>
            <w:noProof/>
          </w:rPr>
          <w:t>9.</w:t>
        </w:r>
        <w:r w:rsidR="00B66811">
          <w:rPr>
            <w:rFonts w:asciiTheme="minorHAnsi" w:eastAsiaTheme="minorEastAsia" w:hAnsiTheme="minorHAnsi" w:cstheme="minorBidi"/>
            <w:b w:val="0"/>
            <w:noProof/>
            <w:sz w:val="22"/>
            <w:lang w:eastAsia="en-AU"/>
          </w:rPr>
          <w:tab/>
        </w:r>
        <w:r w:rsidR="00B66811" w:rsidRPr="00073E0F">
          <w:rPr>
            <w:rStyle w:val="Hyperlink"/>
            <w:noProof/>
          </w:rPr>
          <w:t>First round recommendation regarding authorisation</w:t>
        </w:r>
        <w:r w:rsidR="00B66811">
          <w:rPr>
            <w:noProof/>
            <w:webHidden/>
          </w:rPr>
          <w:tab/>
        </w:r>
        <w:r w:rsidR="00B66811">
          <w:rPr>
            <w:noProof/>
            <w:webHidden/>
          </w:rPr>
          <w:fldChar w:fldCharType="begin"/>
        </w:r>
        <w:r w:rsidR="00B66811">
          <w:rPr>
            <w:noProof/>
            <w:webHidden/>
          </w:rPr>
          <w:instrText xml:space="preserve"> PAGEREF _Toc396308685 \h </w:instrText>
        </w:r>
        <w:r w:rsidR="00B66811">
          <w:rPr>
            <w:noProof/>
            <w:webHidden/>
          </w:rPr>
        </w:r>
        <w:r w:rsidR="00B66811">
          <w:rPr>
            <w:noProof/>
            <w:webHidden/>
          </w:rPr>
          <w:fldChar w:fldCharType="separate"/>
        </w:r>
        <w:r w:rsidR="00B66811">
          <w:rPr>
            <w:noProof/>
            <w:webHidden/>
          </w:rPr>
          <w:t>43</w:t>
        </w:r>
        <w:r w:rsidR="00B66811">
          <w:rPr>
            <w:noProof/>
            <w:webHidden/>
          </w:rPr>
          <w:fldChar w:fldCharType="end"/>
        </w:r>
      </w:hyperlink>
    </w:p>
    <w:p w:rsidR="00B66811" w:rsidRDefault="00294960">
      <w:pPr>
        <w:pStyle w:val="TOC2"/>
        <w:tabs>
          <w:tab w:val="left" w:pos="1247"/>
        </w:tabs>
        <w:rPr>
          <w:rFonts w:asciiTheme="minorHAnsi" w:eastAsiaTheme="minorEastAsia" w:hAnsiTheme="minorHAnsi" w:cstheme="minorBidi"/>
          <w:b w:val="0"/>
          <w:noProof/>
          <w:sz w:val="22"/>
          <w:lang w:eastAsia="en-AU"/>
        </w:rPr>
      </w:pPr>
      <w:hyperlink w:anchor="_Toc396308686" w:history="1">
        <w:r w:rsidR="00B66811" w:rsidRPr="00073E0F">
          <w:rPr>
            <w:rStyle w:val="Hyperlink"/>
            <w:noProof/>
          </w:rPr>
          <w:t>10.</w:t>
        </w:r>
        <w:r w:rsidR="00B66811">
          <w:rPr>
            <w:rFonts w:asciiTheme="minorHAnsi" w:eastAsiaTheme="minorEastAsia" w:hAnsiTheme="minorHAnsi" w:cstheme="minorBidi"/>
            <w:b w:val="0"/>
            <w:noProof/>
            <w:sz w:val="22"/>
            <w:lang w:eastAsia="en-AU"/>
          </w:rPr>
          <w:tab/>
        </w:r>
        <w:r w:rsidR="00B66811" w:rsidRPr="00073E0F">
          <w:rPr>
            <w:rStyle w:val="Hyperlink"/>
            <w:noProof/>
          </w:rPr>
          <w:t>Clinical questions</w:t>
        </w:r>
        <w:r w:rsidR="00B66811">
          <w:rPr>
            <w:noProof/>
            <w:webHidden/>
          </w:rPr>
          <w:tab/>
        </w:r>
        <w:r w:rsidR="00B66811">
          <w:rPr>
            <w:noProof/>
            <w:webHidden/>
          </w:rPr>
          <w:fldChar w:fldCharType="begin"/>
        </w:r>
        <w:r w:rsidR="00B66811">
          <w:rPr>
            <w:noProof/>
            <w:webHidden/>
          </w:rPr>
          <w:instrText xml:space="preserve"> PAGEREF _Toc396308686 \h </w:instrText>
        </w:r>
        <w:r w:rsidR="00B66811">
          <w:rPr>
            <w:noProof/>
            <w:webHidden/>
          </w:rPr>
        </w:r>
        <w:r w:rsidR="00B66811">
          <w:rPr>
            <w:noProof/>
            <w:webHidden/>
          </w:rPr>
          <w:fldChar w:fldCharType="separate"/>
        </w:r>
        <w:r w:rsidR="00B66811">
          <w:rPr>
            <w:noProof/>
            <w:webHidden/>
          </w:rPr>
          <w:t>44</w:t>
        </w:r>
        <w:r w:rsidR="00B66811">
          <w:rPr>
            <w:noProof/>
            <w:webHidden/>
          </w:rPr>
          <w:fldChar w:fldCharType="end"/>
        </w:r>
      </w:hyperlink>
    </w:p>
    <w:p w:rsidR="00B66811" w:rsidRDefault="00294960">
      <w:pPr>
        <w:pStyle w:val="TOC2"/>
        <w:tabs>
          <w:tab w:val="left" w:pos="1247"/>
        </w:tabs>
        <w:rPr>
          <w:rFonts w:asciiTheme="minorHAnsi" w:eastAsiaTheme="minorEastAsia" w:hAnsiTheme="minorHAnsi" w:cstheme="minorBidi"/>
          <w:b w:val="0"/>
          <w:noProof/>
          <w:sz w:val="22"/>
          <w:lang w:eastAsia="en-AU"/>
        </w:rPr>
      </w:pPr>
      <w:hyperlink w:anchor="_Toc396308687" w:history="1">
        <w:r w:rsidR="00B66811" w:rsidRPr="00073E0F">
          <w:rPr>
            <w:rStyle w:val="Hyperlink"/>
            <w:noProof/>
          </w:rPr>
          <w:t>11.</w:t>
        </w:r>
        <w:r w:rsidR="00B66811">
          <w:rPr>
            <w:rFonts w:asciiTheme="minorHAnsi" w:eastAsiaTheme="minorEastAsia" w:hAnsiTheme="minorHAnsi" w:cstheme="minorBidi"/>
            <w:b w:val="0"/>
            <w:noProof/>
            <w:sz w:val="22"/>
            <w:lang w:eastAsia="en-AU"/>
          </w:rPr>
          <w:tab/>
        </w:r>
        <w:r w:rsidR="00B66811" w:rsidRPr="00073E0F">
          <w:rPr>
            <w:rStyle w:val="Hyperlink"/>
            <w:noProof/>
          </w:rPr>
          <w:t>References</w:t>
        </w:r>
        <w:r w:rsidR="00B66811">
          <w:rPr>
            <w:noProof/>
            <w:webHidden/>
          </w:rPr>
          <w:tab/>
        </w:r>
        <w:r w:rsidR="00B66811">
          <w:rPr>
            <w:noProof/>
            <w:webHidden/>
          </w:rPr>
          <w:fldChar w:fldCharType="begin"/>
        </w:r>
        <w:r w:rsidR="00B66811">
          <w:rPr>
            <w:noProof/>
            <w:webHidden/>
          </w:rPr>
          <w:instrText xml:space="preserve"> PAGEREF _Toc396308687 \h </w:instrText>
        </w:r>
        <w:r w:rsidR="00B66811">
          <w:rPr>
            <w:noProof/>
            <w:webHidden/>
          </w:rPr>
        </w:r>
        <w:r w:rsidR="00B66811">
          <w:rPr>
            <w:noProof/>
            <w:webHidden/>
          </w:rPr>
          <w:fldChar w:fldCharType="separate"/>
        </w:r>
        <w:r w:rsidR="00B66811">
          <w:rPr>
            <w:noProof/>
            <w:webHidden/>
          </w:rPr>
          <w:t>44</w:t>
        </w:r>
        <w:r w:rsidR="00B66811">
          <w:rPr>
            <w:noProof/>
            <w:webHidden/>
          </w:rPr>
          <w:fldChar w:fldCharType="end"/>
        </w:r>
      </w:hyperlink>
    </w:p>
    <w:p w:rsidR="003A7F6C" w:rsidRPr="00313D70" w:rsidRDefault="004924E0" w:rsidP="00313D70">
      <w:pPr>
        <w:pStyle w:val="TOC2"/>
        <w:spacing w:before="0" w:after="0" w:line="240" w:lineRule="auto"/>
        <w:rPr>
          <w:sz w:val="2"/>
          <w:szCs w:val="2"/>
        </w:rPr>
      </w:pPr>
      <w:r>
        <w:lastRenderedPageBreak/>
        <w:fldChar w:fldCharType="end"/>
      </w:r>
      <w:bookmarkStart w:id="2" w:name="_Toc314842482"/>
    </w:p>
    <w:p w:rsidR="00586F98" w:rsidRDefault="00586F98" w:rsidP="00313D70">
      <w:pPr>
        <w:pStyle w:val="Heading2"/>
        <w:numPr>
          <w:ilvl w:val="0"/>
          <w:numId w:val="0"/>
        </w:numPr>
        <w:spacing w:before="240"/>
      </w:pPr>
      <w:bookmarkStart w:id="3" w:name="_Toc351716269"/>
      <w:bookmarkStart w:id="4" w:name="_Toc351718881"/>
      <w:bookmarkStart w:id="5" w:name="_Toc355338616"/>
      <w:bookmarkStart w:id="6" w:name="_Toc396308654"/>
      <w:r>
        <w:t>List of abbreviations</w:t>
      </w:r>
      <w:bookmarkEnd w:id="3"/>
      <w:bookmarkEnd w:id="4"/>
      <w:bookmarkEnd w:id="5"/>
      <w:bookmarkEnd w:id="6"/>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890"/>
        <w:gridCol w:w="6911"/>
      </w:tblGrid>
      <w:tr w:rsidR="00586F98" w:rsidTr="00F86BF9">
        <w:trPr>
          <w:tblHeader/>
        </w:trPr>
        <w:tc>
          <w:tcPr>
            <w:tcW w:w="1890" w:type="dxa"/>
            <w:tcBorders>
              <w:top w:val="single" w:sz="8" w:space="0" w:color="000000"/>
              <w:left w:val="single" w:sz="8" w:space="0" w:color="000000"/>
              <w:bottom w:val="single" w:sz="8" w:space="0" w:color="000000"/>
              <w:right w:val="nil"/>
              <w:tl2br w:val="nil"/>
              <w:tr2bl w:val="nil"/>
            </w:tcBorders>
            <w:shd w:val="clear" w:color="auto" w:fill="006DA7"/>
          </w:tcPr>
          <w:p w:rsidR="00586F98" w:rsidRPr="00534E7C" w:rsidRDefault="00586F98" w:rsidP="00534E7C">
            <w:pPr>
              <w:ind w:left="170" w:right="170"/>
              <w:rPr>
                <w:b/>
                <w:color w:val="FFFFFF"/>
                <w:szCs w:val="21"/>
                <w:lang w:eastAsia="en-AU"/>
              </w:rPr>
            </w:pPr>
            <w:r w:rsidRPr="00534E7C">
              <w:rPr>
                <w:b/>
                <w:color w:val="FFFFFF"/>
                <w:szCs w:val="21"/>
                <w:lang w:eastAsia="en-AU"/>
              </w:rPr>
              <w:t>Abbreviation</w:t>
            </w:r>
          </w:p>
        </w:tc>
        <w:tc>
          <w:tcPr>
            <w:tcW w:w="6911" w:type="dxa"/>
            <w:tcBorders>
              <w:top w:val="single" w:sz="8" w:space="0" w:color="000000"/>
              <w:left w:val="nil"/>
              <w:bottom w:val="single" w:sz="8" w:space="0" w:color="000000"/>
              <w:right w:val="single" w:sz="8" w:space="0" w:color="000000"/>
              <w:tl2br w:val="nil"/>
              <w:tr2bl w:val="nil"/>
            </w:tcBorders>
            <w:shd w:val="clear" w:color="auto" w:fill="006DA7"/>
          </w:tcPr>
          <w:p w:rsidR="00586F98" w:rsidRPr="00534E7C" w:rsidRDefault="00586F98" w:rsidP="00534E7C">
            <w:pPr>
              <w:ind w:left="170" w:right="170"/>
              <w:rPr>
                <w:b/>
                <w:color w:val="FFFFFF"/>
                <w:szCs w:val="21"/>
                <w:lang w:eastAsia="en-AU"/>
              </w:rPr>
            </w:pPr>
            <w:r w:rsidRPr="00534E7C">
              <w:rPr>
                <w:b/>
                <w:color w:val="FFFFFF"/>
                <w:szCs w:val="21"/>
                <w:lang w:eastAsia="en-AU"/>
              </w:rPr>
              <w:t>Meaning</w:t>
            </w:r>
          </w:p>
        </w:tc>
      </w:tr>
      <w:tr w:rsidR="00F86BF9" w:rsidRPr="00F86BF9" w:rsidTr="00F86BF9">
        <w:tc>
          <w:tcPr>
            <w:tcW w:w="1890" w:type="dxa"/>
            <w:shd w:val="clear" w:color="auto" w:fill="auto"/>
          </w:tcPr>
          <w:p w:rsidR="00F86BF9" w:rsidRPr="000D5CC4" w:rsidRDefault="00313D70" w:rsidP="00F86BF9">
            <w:pPr>
              <w:ind w:left="142"/>
              <w:rPr>
                <w:color w:val="000000"/>
              </w:rPr>
            </w:pPr>
            <w:r>
              <w:rPr>
                <w:color w:val="000000"/>
              </w:rPr>
              <w:t>AE</w:t>
            </w:r>
          </w:p>
        </w:tc>
        <w:tc>
          <w:tcPr>
            <w:tcW w:w="6911" w:type="dxa"/>
            <w:shd w:val="clear" w:color="auto" w:fill="auto"/>
          </w:tcPr>
          <w:p w:rsidR="00F86BF9" w:rsidRPr="000D5CC4" w:rsidRDefault="00F86BF9" w:rsidP="00F86BF9">
            <w:pPr>
              <w:ind w:left="95"/>
              <w:rPr>
                <w:color w:val="000000"/>
              </w:rPr>
            </w:pPr>
            <w:r w:rsidRPr="000D5CC4">
              <w:rPr>
                <w:color w:val="000000"/>
              </w:rPr>
              <w:t>Adverse event</w:t>
            </w:r>
          </w:p>
        </w:tc>
      </w:tr>
      <w:tr w:rsidR="00F86BF9" w:rsidRPr="00F86BF9" w:rsidTr="00F86BF9">
        <w:tc>
          <w:tcPr>
            <w:tcW w:w="1890" w:type="dxa"/>
            <w:shd w:val="clear" w:color="auto" w:fill="auto"/>
          </w:tcPr>
          <w:p w:rsidR="00F86BF9" w:rsidRPr="000D5CC4" w:rsidRDefault="00F86BF9" w:rsidP="00F86BF9">
            <w:pPr>
              <w:ind w:left="142"/>
              <w:rPr>
                <w:color w:val="000000"/>
              </w:rPr>
            </w:pPr>
            <w:r w:rsidRPr="00F86BF9">
              <w:rPr>
                <w:rFonts w:cs="TimesNewRoman"/>
              </w:rPr>
              <w:t>ANOVA</w:t>
            </w:r>
          </w:p>
        </w:tc>
        <w:tc>
          <w:tcPr>
            <w:tcW w:w="6911" w:type="dxa"/>
            <w:shd w:val="clear" w:color="auto" w:fill="auto"/>
          </w:tcPr>
          <w:p w:rsidR="00F86BF9" w:rsidRPr="000D5CC4" w:rsidRDefault="00F86BF9" w:rsidP="00F86BF9">
            <w:pPr>
              <w:ind w:left="95"/>
              <w:rPr>
                <w:color w:val="000000"/>
              </w:rPr>
            </w:pPr>
            <w:r w:rsidRPr="000D5CC4">
              <w:rPr>
                <w:color w:val="000000"/>
              </w:rPr>
              <w:t>analysis of variance</w:t>
            </w:r>
          </w:p>
        </w:tc>
      </w:tr>
      <w:tr w:rsidR="00F86BF9" w:rsidRPr="00F86BF9" w:rsidTr="00F86BF9">
        <w:tc>
          <w:tcPr>
            <w:tcW w:w="1890" w:type="dxa"/>
            <w:shd w:val="clear" w:color="auto" w:fill="auto"/>
          </w:tcPr>
          <w:p w:rsidR="00F86BF9" w:rsidRPr="000D5CC4" w:rsidRDefault="00F86BF9" w:rsidP="00F86BF9">
            <w:pPr>
              <w:ind w:left="142"/>
              <w:rPr>
                <w:color w:val="000000"/>
              </w:rPr>
            </w:pPr>
            <w:r w:rsidRPr="000D5CC4">
              <w:rPr>
                <w:color w:val="000000"/>
              </w:rPr>
              <w:t>ATR</w:t>
            </w:r>
          </w:p>
        </w:tc>
        <w:tc>
          <w:tcPr>
            <w:tcW w:w="6911" w:type="dxa"/>
            <w:shd w:val="clear" w:color="auto" w:fill="auto"/>
          </w:tcPr>
          <w:p w:rsidR="00F86BF9" w:rsidRPr="000D5CC4" w:rsidRDefault="00F86BF9" w:rsidP="00F86BF9">
            <w:pPr>
              <w:ind w:left="95"/>
              <w:rPr>
                <w:color w:val="000000"/>
              </w:rPr>
            </w:pPr>
            <w:r w:rsidRPr="000D5CC4">
              <w:rPr>
                <w:color w:val="000000"/>
              </w:rPr>
              <w:t>Atripla</w:t>
            </w:r>
          </w:p>
        </w:tc>
      </w:tr>
      <w:tr w:rsidR="00F86BF9" w:rsidRPr="00F86BF9" w:rsidTr="00F86BF9">
        <w:tc>
          <w:tcPr>
            <w:tcW w:w="1890" w:type="dxa"/>
            <w:shd w:val="clear" w:color="auto" w:fill="auto"/>
          </w:tcPr>
          <w:p w:rsidR="00F86BF9" w:rsidRPr="000D5CC4" w:rsidRDefault="00313D70" w:rsidP="00F86BF9">
            <w:pPr>
              <w:ind w:left="142"/>
              <w:rPr>
                <w:color w:val="000000"/>
              </w:rPr>
            </w:pPr>
            <w:r>
              <w:rPr>
                <w:color w:val="000000"/>
              </w:rPr>
              <w:t>AUC</w:t>
            </w:r>
          </w:p>
        </w:tc>
        <w:tc>
          <w:tcPr>
            <w:tcW w:w="6911" w:type="dxa"/>
            <w:shd w:val="clear" w:color="auto" w:fill="auto"/>
          </w:tcPr>
          <w:p w:rsidR="00F86BF9" w:rsidRPr="000D5CC4" w:rsidRDefault="001D0342" w:rsidP="001D0342">
            <w:pPr>
              <w:ind w:left="95"/>
              <w:rPr>
                <w:color w:val="000000"/>
              </w:rPr>
            </w:pPr>
            <w:r w:rsidRPr="000D5CC4">
              <w:rPr>
                <w:color w:val="000000"/>
              </w:rPr>
              <w:t>a</w:t>
            </w:r>
            <w:r w:rsidR="00F86BF9" w:rsidRPr="000D5CC4">
              <w:rPr>
                <w:color w:val="000000"/>
              </w:rPr>
              <w:t xml:space="preserve">rea under the </w:t>
            </w:r>
            <w:r w:rsidRPr="000D5CC4">
              <w:rPr>
                <w:color w:val="000000"/>
              </w:rPr>
              <w:t>c</w:t>
            </w:r>
            <w:r w:rsidR="00F86BF9" w:rsidRPr="000D5CC4">
              <w:rPr>
                <w:color w:val="000000"/>
              </w:rPr>
              <w:t>urve</w:t>
            </w:r>
          </w:p>
        </w:tc>
      </w:tr>
      <w:tr w:rsidR="00F86BF9" w:rsidRPr="00F86BF9" w:rsidTr="00F86BF9">
        <w:tc>
          <w:tcPr>
            <w:tcW w:w="1890" w:type="dxa"/>
            <w:shd w:val="clear" w:color="auto" w:fill="auto"/>
          </w:tcPr>
          <w:p w:rsidR="00F86BF9" w:rsidRPr="000D5CC4" w:rsidRDefault="00F86BF9" w:rsidP="00F86BF9">
            <w:pPr>
              <w:ind w:left="142"/>
              <w:rPr>
                <w:color w:val="000000"/>
              </w:rPr>
            </w:pPr>
            <w:r w:rsidRPr="00F86BF9">
              <w:t>AUC</w:t>
            </w:r>
            <w:r w:rsidRPr="00F86BF9">
              <w:rPr>
                <w:vertAlign w:val="subscript"/>
              </w:rPr>
              <w:t>inf</w:t>
            </w:r>
          </w:p>
        </w:tc>
        <w:tc>
          <w:tcPr>
            <w:tcW w:w="6911" w:type="dxa"/>
            <w:shd w:val="clear" w:color="auto" w:fill="auto"/>
          </w:tcPr>
          <w:p w:rsidR="00F86BF9" w:rsidRPr="000D5CC4" w:rsidRDefault="00F86BF9" w:rsidP="00F86BF9">
            <w:pPr>
              <w:ind w:left="95"/>
              <w:rPr>
                <w:color w:val="000000"/>
              </w:rPr>
            </w:pPr>
            <w:r w:rsidRPr="00F86BF9">
              <w:rPr>
                <w:rStyle w:val="st"/>
                <w:rFonts w:cs="Arial"/>
                <w:color w:val="222222"/>
              </w:rPr>
              <w:t>area under the plasma concentration-time curve from time zero to infinity</w:t>
            </w:r>
          </w:p>
        </w:tc>
      </w:tr>
      <w:tr w:rsidR="00F86BF9" w:rsidRPr="00F86BF9" w:rsidTr="00F86BF9">
        <w:tc>
          <w:tcPr>
            <w:tcW w:w="1890" w:type="dxa"/>
            <w:shd w:val="clear" w:color="auto" w:fill="auto"/>
          </w:tcPr>
          <w:p w:rsidR="00F86BF9" w:rsidRPr="000D5CC4" w:rsidRDefault="00F86BF9" w:rsidP="00F86BF9">
            <w:pPr>
              <w:ind w:left="142"/>
              <w:rPr>
                <w:color w:val="000000"/>
              </w:rPr>
            </w:pPr>
            <w:r w:rsidRPr="00F86BF9">
              <w:t>AUC</w:t>
            </w:r>
            <w:r w:rsidR="004049E4">
              <w:rPr>
                <w:vertAlign w:val="subscript"/>
              </w:rPr>
              <w:t>0-</w:t>
            </w:r>
            <w:r w:rsidRPr="00F86BF9">
              <w:rPr>
                <w:vertAlign w:val="subscript"/>
              </w:rPr>
              <w:t>last</w:t>
            </w:r>
          </w:p>
        </w:tc>
        <w:tc>
          <w:tcPr>
            <w:tcW w:w="6911" w:type="dxa"/>
            <w:shd w:val="clear" w:color="auto" w:fill="auto"/>
          </w:tcPr>
          <w:p w:rsidR="00F86BF9" w:rsidRPr="000D5CC4" w:rsidRDefault="00F86BF9" w:rsidP="00F86BF9">
            <w:pPr>
              <w:ind w:left="95"/>
              <w:rPr>
                <w:color w:val="000000"/>
              </w:rPr>
            </w:pPr>
            <w:r w:rsidRPr="000D5CC4">
              <w:rPr>
                <w:color w:val="000000"/>
              </w:rPr>
              <w:t>Area under the plasma/serum/blood concentration-time curve from time zero to time t, where t is the last time poin</w:t>
            </w:r>
            <w:r w:rsidR="00313D70">
              <w:rPr>
                <w:color w:val="000000"/>
              </w:rPr>
              <w:t>t with measurable concentration</w:t>
            </w:r>
          </w:p>
        </w:tc>
      </w:tr>
      <w:tr w:rsidR="00F86BF9" w:rsidRPr="00F86BF9" w:rsidTr="00F86BF9">
        <w:tc>
          <w:tcPr>
            <w:tcW w:w="1890" w:type="dxa"/>
            <w:shd w:val="clear" w:color="auto" w:fill="auto"/>
          </w:tcPr>
          <w:p w:rsidR="00F86BF9" w:rsidRPr="000D5CC4" w:rsidRDefault="00F86BF9" w:rsidP="00F86BF9">
            <w:pPr>
              <w:ind w:left="142"/>
              <w:rPr>
                <w:color w:val="000000"/>
              </w:rPr>
            </w:pPr>
            <w:r w:rsidRPr="000D5CC4">
              <w:rPr>
                <w:color w:val="000000"/>
              </w:rPr>
              <w:t>BMI</w:t>
            </w:r>
          </w:p>
        </w:tc>
        <w:tc>
          <w:tcPr>
            <w:tcW w:w="6911" w:type="dxa"/>
            <w:shd w:val="clear" w:color="auto" w:fill="auto"/>
          </w:tcPr>
          <w:p w:rsidR="00F86BF9" w:rsidRPr="000D5CC4" w:rsidRDefault="006E65C0" w:rsidP="006E65C0">
            <w:pPr>
              <w:ind w:left="95"/>
              <w:rPr>
                <w:color w:val="000000"/>
              </w:rPr>
            </w:pPr>
            <w:r>
              <w:rPr>
                <w:color w:val="000000"/>
              </w:rPr>
              <w:t>b</w:t>
            </w:r>
            <w:r w:rsidR="00F86BF9" w:rsidRPr="000D5CC4">
              <w:rPr>
                <w:color w:val="000000"/>
              </w:rPr>
              <w:t xml:space="preserve">ody </w:t>
            </w:r>
            <w:r>
              <w:rPr>
                <w:color w:val="000000"/>
              </w:rPr>
              <w:t>m</w:t>
            </w:r>
            <w:r w:rsidR="00F86BF9" w:rsidRPr="000D5CC4">
              <w:rPr>
                <w:color w:val="000000"/>
              </w:rPr>
              <w:t xml:space="preserve">ass </w:t>
            </w:r>
            <w:r>
              <w:rPr>
                <w:color w:val="000000"/>
              </w:rPr>
              <w:t>i</w:t>
            </w:r>
            <w:r w:rsidR="00F86BF9" w:rsidRPr="000D5CC4">
              <w:rPr>
                <w:color w:val="000000"/>
              </w:rPr>
              <w:t>ndex</w:t>
            </w:r>
          </w:p>
        </w:tc>
      </w:tr>
      <w:tr w:rsidR="00F86BF9" w:rsidRPr="00F86BF9" w:rsidTr="00F86BF9">
        <w:tc>
          <w:tcPr>
            <w:tcW w:w="1890" w:type="dxa"/>
            <w:shd w:val="clear" w:color="auto" w:fill="auto"/>
          </w:tcPr>
          <w:p w:rsidR="00F86BF9" w:rsidRPr="000D5CC4" w:rsidRDefault="00F86BF9" w:rsidP="00F86BF9">
            <w:pPr>
              <w:ind w:left="142"/>
              <w:rPr>
                <w:color w:val="000000"/>
              </w:rPr>
            </w:pPr>
            <w:r w:rsidRPr="000D5CC4">
              <w:rPr>
                <w:color w:val="000000"/>
              </w:rPr>
              <w:t>CBP</w:t>
            </w:r>
          </w:p>
        </w:tc>
        <w:tc>
          <w:tcPr>
            <w:tcW w:w="6911" w:type="dxa"/>
            <w:shd w:val="clear" w:color="auto" w:fill="auto"/>
          </w:tcPr>
          <w:p w:rsidR="00F86BF9" w:rsidRPr="000D5CC4" w:rsidRDefault="00F86BF9" w:rsidP="00F86BF9">
            <w:pPr>
              <w:ind w:left="95"/>
              <w:rPr>
                <w:color w:val="000000"/>
              </w:rPr>
            </w:pPr>
            <w:r w:rsidRPr="000D5CC4">
              <w:rPr>
                <w:color w:val="000000"/>
              </w:rPr>
              <w:t>child bearing potential</w:t>
            </w:r>
          </w:p>
        </w:tc>
      </w:tr>
      <w:tr w:rsidR="00F86BF9" w:rsidRPr="00F86BF9" w:rsidTr="00F86BF9">
        <w:tc>
          <w:tcPr>
            <w:tcW w:w="1890" w:type="dxa"/>
            <w:shd w:val="clear" w:color="auto" w:fill="auto"/>
          </w:tcPr>
          <w:p w:rsidR="00F86BF9" w:rsidRPr="000D5CC4" w:rsidRDefault="00F86BF9" w:rsidP="00F86BF9">
            <w:pPr>
              <w:ind w:left="142"/>
              <w:rPr>
                <w:color w:val="000000"/>
              </w:rPr>
            </w:pPr>
            <w:r w:rsidRPr="00F86BF9">
              <w:rPr>
                <w:rFonts w:cs="TimesNewRoman"/>
                <w:color w:val="000000"/>
              </w:rPr>
              <w:t>CK</w:t>
            </w:r>
          </w:p>
        </w:tc>
        <w:tc>
          <w:tcPr>
            <w:tcW w:w="6911" w:type="dxa"/>
            <w:shd w:val="clear" w:color="auto" w:fill="auto"/>
          </w:tcPr>
          <w:p w:rsidR="00F86BF9" w:rsidRPr="000D5CC4" w:rsidRDefault="00F86BF9" w:rsidP="00F86BF9">
            <w:pPr>
              <w:ind w:left="95"/>
              <w:rPr>
                <w:color w:val="000000"/>
              </w:rPr>
            </w:pPr>
            <w:r w:rsidRPr="00F86BF9">
              <w:rPr>
                <w:rFonts w:cs="TimesNewRoman"/>
                <w:color w:val="000000"/>
              </w:rPr>
              <w:t xml:space="preserve">creatine kinase </w:t>
            </w:r>
          </w:p>
        </w:tc>
      </w:tr>
      <w:tr w:rsidR="00F86BF9" w:rsidRPr="00F86BF9" w:rsidTr="00F86BF9">
        <w:tc>
          <w:tcPr>
            <w:tcW w:w="1890" w:type="dxa"/>
            <w:shd w:val="clear" w:color="auto" w:fill="auto"/>
          </w:tcPr>
          <w:p w:rsidR="00F86BF9" w:rsidRPr="000D5CC4" w:rsidRDefault="00313D70" w:rsidP="00F86BF9">
            <w:pPr>
              <w:ind w:left="142"/>
              <w:rPr>
                <w:color w:val="000000"/>
              </w:rPr>
            </w:pPr>
            <w:r>
              <w:rPr>
                <w:color w:val="000000"/>
              </w:rPr>
              <w:t>CI</w:t>
            </w:r>
          </w:p>
        </w:tc>
        <w:tc>
          <w:tcPr>
            <w:tcW w:w="6911" w:type="dxa"/>
            <w:shd w:val="clear" w:color="auto" w:fill="auto"/>
          </w:tcPr>
          <w:p w:rsidR="00F86BF9" w:rsidRPr="000D5CC4" w:rsidRDefault="006E65C0" w:rsidP="00F86BF9">
            <w:pPr>
              <w:ind w:left="95"/>
              <w:rPr>
                <w:color w:val="000000"/>
              </w:rPr>
            </w:pPr>
            <w:r>
              <w:rPr>
                <w:color w:val="000000"/>
              </w:rPr>
              <w:t>c</w:t>
            </w:r>
            <w:r w:rsidR="00F86BF9" w:rsidRPr="000D5CC4">
              <w:rPr>
                <w:color w:val="000000"/>
              </w:rPr>
              <w:t>onfidence interval</w:t>
            </w:r>
          </w:p>
        </w:tc>
      </w:tr>
      <w:tr w:rsidR="00F86BF9" w:rsidRPr="00F86BF9" w:rsidTr="00F86BF9">
        <w:tc>
          <w:tcPr>
            <w:tcW w:w="1890" w:type="dxa"/>
            <w:shd w:val="clear" w:color="auto" w:fill="auto"/>
          </w:tcPr>
          <w:p w:rsidR="00F86BF9" w:rsidRPr="000D5CC4" w:rsidRDefault="00F86BF9" w:rsidP="00F86BF9">
            <w:pPr>
              <w:ind w:left="142"/>
              <w:rPr>
                <w:color w:val="000000"/>
              </w:rPr>
            </w:pPr>
            <w:r w:rsidRPr="00F86BF9">
              <w:t>CLCr</w:t>
            </w:r>
          </w:p>
        </w:tc>
        <w:tc>
          <w:tcPr>
            <w:tcW w:w="6911" w:type="dxa"/>
            <w:shd w:val="clear" w:color="auto" w:fill="auto"/>
          </w:tcPr>
          <w:p w:rsidR="00F86BF9" w:rsidRPr="000D5CC4" w:rsidRDefault="00F86BF9" w:rsidP="00F86BF9">
            <w:pPr>
              <w:ind w:left="95"/>
              <w:rPr>
                <w:color w:val="000000"/>
              </w:rPr>
            </w:pPr>
            <w:r w:rsidRPr="000D5CC4">
              <w:rPr>
                <w:color w:val="000000"/>
              </w:rPr>
              <w:t>creatinine clearance</w:t>
            </w:r>
          </w:p>
        </w:tc>
      </w:tr>
      <w:tr w:rsidR="00F86BF9" w:rsidRPr="00F86BF9" w:rsidTr="00F86BF9">
        <w:tc>
          <w:tcPr>
            <w:tcW w:w="1890" w:type="dxa"/>
            <w:shd w:val="clear" w:color="auto" w:fill="auto"/>
          </w:tcPr>
          <w:p w:rsidR="00F86BF9" w:rsidRPr="000D5CC4" w:rsidRDefault="00F86BF9" w:rsidP="00F86BF9">
            <w:pPr>
              <w:ind w:left="142"/>
              <w:rPr>
                <w:color w:val="000000"/>
              </w:rPr>
            </w:pPr>
            <w:r w:rsidRPr="00F86BF9">
              <w:rPr>
                <w:rStyle w:val="st"/>
                <w:rFonts w:cs="Arial"/>
                <w:color w:val="222222"/>
              </w:rPr>
              <w:t>C</w:t>
            </w:r>
            <w:r w:rsidRPr="00F86BF9">
              <w:rPr>
                <w:rStyle w:val="st"/>
                <w:rFonts w:cs="Arial"/>
                <w:color w:val="222222"/>
                <w:vertAlign w:val="subscript"/>
              </w:rPr>
              <w:t>last</w:t>
            </w:r>
          </w:p>
        </w:tc>
        <w:tc>
          <w:tcPr>
            <w:tcW w:w="6911" w:type="dxa"/>
            <w:shd w:val="clear" w:color="auto" w:fill="auto"/>
          </w:tcPr>
          <w:p w:rsidR="00F86BF9" w:rsidRPr="000D5CC4" w:rsidRDefault="00F86BF9" w:rsidP="00F86BF9">
            <w:pPr>
              <w:ind w:left="95"/>
              <w:rPr>
                <w:color w:val="000000"/>
              </w:rPr>
            </w:pPr>
            <w:r w:rsidRPr="00F86BF9">
              <w:rPr>
                <w:rStyle w:val="st"/>
                <w:rFonts w:cs="Arial"/>
                <w:color w:val="222222"/>
              </w:rPr>
              <w:t xml:space="preserve">concentration </w:t>
            </w:r>
            <w:r w:rsidR="00313D70">
              <w:rPr>
                <w:rStyle w:val="st"/>
                <w:rFonts w:cs="Arial"/>
                <w:color w:val="222222"/>
              </w:rPr>
              <w:t>at the last observed time point</w:t>
            </w:r>
          </w:p>
        </w:tc>
      </w:tr>
      <w:tr w:rsidR="00F86BF9" w:rsidRPr="00F86BF9" w:rsidTr="00F86BF9">
        <w:tc>
          <w:tcPr>
            <w:tcW w:w="1890" w:type="dxa"/>
            <w:shd w:val="clear" w:color="auto" w:fill="auto"/>
          </w:tcPr>
          <w:p w:rsidR="00F86BF9" w:rsidRPr="00F86BF9" w:rsidRDefault="00F86BF9" w:rsidP="00F86BF9">
            <w:pPr>
              <w:ind w:left="142"/>
              <w:rPr>
                <w:rFonts w:cs="TimesNewRoman"/>
              </w:rPr>
            </w:pPr>
            <w:r w:rsidRPr="00F86BF9">
              <w:rPr>
                <w:rFonts w:cs="TimesNewRoman"/>
              </w:rPr>
              <w:t>C</w:t>
            </w:r>
            <w:r w:rsidRPr="00F86BF9">
              <w:rPr>
                <w:rFonts w:cs="TimesNewRoman"/>
                <w:vertAlign w:val="subscript"/>
              </w:rPr>
              <w:t>max</w:t>
            </w:r>
          </w:p>
        </w:tc>
        <w:tc>
          <w:tcPr>
            <w:tcW w:w="6911" w:type="dxa"/>
            <w:shd w:val="clear" w:color="auto" w:fill="auto"/>
          </w:tcPr>
          <w:p w:rsidR="00F86BF9" w:rsidRPr="00F86BF9" w:rsidRDefault="00F86BF9" w:rsidP="00F86BF9">
            <w:pPr>
              <w:ind w:left="95"/>
              <w:rPr>
                <w:rFonts w:cs="TimesNewRoman"/>
              </w:rPr>
            </w:pPr>
            <w:r w:rsidRPr="00F86BF9">
              <w:rPr>
                <w:rFonts w:cs="TimesNewRoman"/>
              </w:rPr>
              <w:t>maximum plasma concentration</w:t>
            </w:r>
          </w:p>
        </w:tc>
      </w:tr>
      <w:tr w:rsidR="00F86BF9" w:rsidRPr="00F86BF9" w:rsidTr="00F86BF9">
        <w:tc>
          <w:tcPr>
            <w:tcW w:w="1890" w:type="dxa"/>
            <w:shd w:val="clear" w:color="auto" w:fill="auto"/>
          </w:tcPr>
          <w:p w:rsidR="00F86BF9" w:rsidRPr="000D5CC4" w:rsidRDefault="00F86BF9" w:rsidP="00F86BF9">
            <w:pPr>
              <w:ind w:left="142"/>
              <w:rPr>
                <w:color w:val="000000"/>
              </w:rPr>
            </w:pPr>
            <w:r w:rsidRPr="00F86BF9">
              <w:rPr>
                <w:rFonts w:cs="TimesNewRoman"/>
              </w:rPr>
              <w:t>CMI</w:t>
            </w:r>
          </w:p>
        </w:tc>
        <w:tc>
          <w:tcPr>
            <w:tcW w:w="6911" w:type="dxa"/>
            <w:shd w:val="clear" w:color="auto" w:fill="auto"/>
          </w:tcPr>
          <w:p w:rsidR="00F86BF9" w:rsidRPr="000D5CC4" w:rsidRDefault="006E65C0" w:rsidP="006E65C0">
            <w:pPr>
              <w:ind w:left="95"/>
              <w:rPr>
                <w:color w:val="000000"/>
              </w:rPr>
            </w:pPr>
            <w:r>
              <w:rPr>
                <w:rFonts w:cs="TimesNewRoman"/>
              </w:rPr>
              <w:t>c</w:t>
            </w:r>
            <w:r w:rsidR="00F86BF9" w:rsidRPr="00F86BF9">
              <w:rPr>
                <w:rFonts w:cs="TimesNewRoman"/>
              </w:rPr>
              <w:t xml:space="preserve">onsumer </w:t>
            </w:r>
            <w:r>
              <w:rPr>
                <w:rFonts w:cs="TimesNewRoman"/>
              </w:rPr>
              <w:t>m</w:t>
            </w:r>
            <w:r w:rsidR="00F86BF9" w:rsidRPr="00F86BF9">
              <w:rPr>
                <w:rFonts w:cs="TimesNewRoman"/>
              </w:rPr>
              <w:t xml:space="preserve">edicine </w:t>
            </w:r>
            <w:r>
              <w:rPr>
                <w:rFonts w:cs="TimesNewRoman"/>
              </w:rPr>
              <w:t>i</w:t>
            </w:r>
            <w:r w:rsidR="00F86BF9" w:rsidRPr="00F86BF9">
              <w:rPr>
                <w:rFonts w:cs="TimesNewRoman"/>
              </w:rPr>
              <w:t>nformation</w:t>
            </w:r>
          </w:p>
        </w:tc>
      </w:tr>
      <w:tr w:rsidR="00F86BF9" w:rsidRPr="00F86BF9" w:rsidTr="00F86BF9">
        <w:tc>
          <w:tcPr>
            <w:tcW w:w="1890" w:type="dxa"/>
            <w:shd w:val="clear" w:color="auto" w:fill="auto"/>
          </w:tcPr>
          <w:p w:rsidR="00F86BF9" w:rsidRPr="00F86BF9" w:rsidRDefault="00F86BF9" w:rsidP="00F86BF9">
            <w:pPr>
              <w:ind w:left="142"/>
              <w:rPr>
                <w:rFonts w:cs="TimesNewRoman"/>
              </w:rPr>
            </w:pPr>
            <w:r w:rsidRPr="00F86BF9">
              <w:rPr>
                <w:rFonts w:cs="TimesNewRoman"/>
              </w:rPr>
              <w:t>C</w:t>
            </w:r>
            <w:r w:rsidRPr="00F86BF9">
              <w:rPr>
                <w:rFonts w:cs="TimesNewRoman"/>
                <w:vertAlign w:val="subscript"/>
              </w:rPr>
              <w:t>min</w:t>
            </w:r>
          </w:p>
        </w:tc>
        <w:tc>
          <w:tcPr>
            <w:tcW w:w="6911" w:type="dxa"/>
            <w:shd w:val="clear" w:color="auto" w:fill="auto"/>
          </w:tcPr>
          <w:p w:rsidR="00F86BF9" w:rsidRPr="00F86BF9" w:rsidRDefault="00F86BF9" w:rsidP="00F86BF9">
            <w:pPr>
              <w:ind w:left="95"/>
              <w:rPr>
                <w:rFonts w:cs="TimesNewRoman"/>
              </w:rPr>
            </w:pPr>
            <w:r w:rsidRPr="00F86BF9">
              <w:rPr>
                <w:rFonts w:cs="TimesNewRoman"/>
              </w:rPr>
              <w:t>minimum plasma concentration</w:t>
            </w:r>
          </w:p>
        </w:tc>
      </w:tr>
      <w:tr w:rsidR="00F86BF9" w:rsidRPr="00F86BF9" w:rsidTr="00F86BF9">
        <w:tc>
          <w:tcPr>
            <w:tcW w:w="1890" w:type="dxa"/>
            <w:shd w:val="clear" w:color="auto" w:fill="auto"/>
          </w:tcPr>
          <w:p w:rsidR="00F86BF9" w:rsidRPr="00F86BF9" w:rsidRDefault="00F86BF9" w:rsidP="00F86BF9">
            <w:pPr>
              <w:ind w:left="142"/>
              <w:rPr>
                <w:rFonts w:cs="TimesNewRoman"/>
              </w:rPr>
            </w:pPr>
            <w:r w:rsidRPr="00F86BF9">
              <w:rPr>
                <w:rFonts w:cs="TimesNewRoman"/>
              </w:rPr>
              <w:t>CVA</w:t>
            </w:r>
          </w:p>
        </w:tc>
        <w:tc>
          <w:tcPr>
            <w:tcW w:w="6911" w:type="dxa"/>
            <w:shd w:val="clear" w:color="auto" w:fill="auto"/>
          </w:tcPr>
          <w:p w:rsidR="00F86BF9" w:rsidRPr="00F86BF9" w:rsidRDefault="00313D70" w:rsidP="00F86BF9">
            <w:pPr>
              <w:ind w:left="95"/>
              <w:rPr>
                <w:rFonts w:cs="TimesNewRoman"/>
              </w:rPr>
            </w:pPr>
            <w:r>
              <w:rPr>
                <w:rFonts w:cs="TimesNewRoman"/>
              </w:rPr>
              <w:t>cerebrovascular accident</w:t>
            </w:r>
          </w:p>
        </w:tc>
      </w:tr>
      <w:tr w:rsidR="00F86BF9" w:rsidRPr="00F86BF9" w:rsidTr="00F86BF9">
        <w:tc>
          <w:tcPr>
            <w:tcW w:w="1890" w:type="dxa"/>
            <w:shd w:val="clear" w:color="auto" w:fill="auto"/>
          </w:tcPr>
          <w:p w:rsidR="00F86BF9" w:rsidRPr="00F86BF9" w:rsidRDefault="00F86BF9" w:rsidP="00F86BF9">
            <w:pPr>
              <w:ind w:left="142"/>
            </w:pPr>
            <w:r w:rsidRPr="00F86BF9">
              <w:t>CYP</w:t>
            </w:r>
          </w:p>
        </w:tc>
        <w:tc>
          <w:tcPr>
            <w:tcW w:w="6911" w:type="dxa"/>
            <w:shd w:val="clear" w:color="auto" w:fill="auto"/>
          </w:tcPr>
          <w:p w:rsidR="00F86BF9" w:rsidRPr="00F86BF9" w:rsidRDefault="00F86BF9" w:rsidP="00F86BF9">
            <w:pPr>
              <w:ind w:left="95"/>
            </w:pPr>
            <w:r w:rsidRPr="00F86BF9">
              <w:t>cytochrome P450 enzymes</w:t>
            </w:r>
          </w:p>
        </w:tc>
      </w:tr>
      <w:tr w:rsidR="00F86BF9" w:rsidRPr="00F86BF9" w:rsidTr="00F86BF9">
        <w:tc>
          <w:tcPr>
            <w:tcW w:w="1890" w:type="dxa"/>
            <w:shd w:val="clear" w:color="auto" w:fill="auto"/>
          </w:tcPr>
          <w:p w:rsidR="00F86BF9" w:rsidRPr="00F86BF9" w:rsidRDefault="00F86BF9" w:rsidP="00F86BF9">
            <w:pPr>
              <w:ind w:left="142"/>
            </w:pPr>
            <w:r w:rsidRPr="00F86BF9">
              <w:t>D-D</w:t>
            </w:r>
          </w:p>
        </w:tc>
        <w:tc>
          <w:tcPr>
            <w:tcW w:w="6911" w:type="dxa"/>
            <w:shd w:val="clear" w:color="auto" w:fill="auto"/>
          </w:tcPr>
          <w:p w:rsidR="00F86BF9" w:rsidRPr="00F86BF9" w:rsidRDefault="006E65C0" w:rsidP="00F86BF9">
            <w:pPr>
              <w:ind w:left="95"/>
            </w:pPr>
            <w:r>
              <w:t>d</w:t>
            </w:r>
            <w:r w:rsidR="00313D70">
              <w:t>rug-drug</w:t>
            </w:r>
          </w:p>
        </w:tc>
      </w:tr>
      <w:tr w:rsidR="00F86BF9" w:rsidRPr="00F86BF9" w:rsidTr="00F86BF9">
        <w:tc>
          <w:tcPr>
            <w:tcW w:w="1890" w:type="dxa"/>
            <w:shd w:val="clear" w:color="auto" w:fill="auto"/>
          </w:tcPr>
          <w:p w:rsidR="00F86BF9" w:rsidRPr="00F86BF9" w:rsidRDefault="00F86BF9" w:rsidP="00F86BF9">
            <w:pPr>
              <w:ind w:left="142"/>
            </w:pPr>
            <w:r w:rsidRPr="00F86BF9">
              <w:t>DAIDS</w:t>
            </w:r>
          </w:p>
        </w:tc>
        <w:tc>
          <w:tcPr>
            <w:tcW w:w="6911" w:type="dxa"/>
            <w:shd w:val="clear" w:color="auto" w:fill="auto"/>
          </w:tcPr>
          <w:p w:rsidR="00F86BF9" w:rsidRPr="00F86BF9" w:rsidRDefault="006E65C0" w:rsidP="00F86BF9">
            <w:pPr>
              <w:ind w:left="95"/>
            </w:pPr>
            <w:r>
              <w:t>d</w:t>
            </w:r>
            <w:r w:rsidR="00F86BF9" w:rsidRPr="00F86BF9">
              <w:t>ivision of AIDS</w:t>
            </w:r>
          </w:p>
        </w:tc>
      </w:tr>
      <w:tr w:rsidR="00F86BF9" w:rsidRPr="00F86BF9" w:rsidTr="00F86BF9">
        <w:tc>
          <w:tcPr>
            <w:tcW w:w="1890" w:type="dxa"/>
            <w:shd w:val="clear" w:color="auto" w:fill="auto"/>
          </w:tcPr>
          <w:p w:rsidR="00F86BF9" w:rsidRPr="00F86BF9" w:rsidRDefault="00F86BF9" w:rsidP="00F86BF9">
            <w:pPr>
              <w:ind w:left="142"/>
            </w:pPr>
            <w:r w:rsidRPr="00F86BF9">
              <w:t>DRV</w:t>
            </w:r>
          </w:p>
        </w:tc>
        <w:tc>
          <w:tcPr>
            <w:tcW w:w="6911" w:type="dxa"/>
            <w:shd w:val="clear" w:color="auto" w:fill="auto"/>
          </w:tcPr>
          <w:p w:rsidR="00F86BF9" w:rsidRPr="00F86BF9" w:rsidRDefault="00F86BF9" w:rsidP="00F86BF9">
            <w:pPr>
              <w:ind w:left="95"/>
            </w:pPr>
            <w:r w:rsidRPr="00F86BF9">
              <w:t>darunavir</w:t>
            </w:r>
          </w:p>
        </w:tc>
      </w:tr>
      <w:tr w:rsidR="00F86BF9" w:rsidRPr="00F86BF9" w:rsidTr="00F86BF9">
        <w:tc>
          <w:tcPr>
            <w:tcW w:w="1890" w:type="dxa"/>
            <w:shd w:val="clear" w:color="auto" w:fill="auto"/>
          </w:tcPr>
          <w:p w:rsidR="00F86BF9" w:rsidRPr="00F86BF9" w:rsidRDefault="00F86BF9" w:rsidP="00F86BF9">
            <w:pPr>
              <w:ind w:left="142"/>
            </w:pPr>
            <w:r w:rsidRPr="00F86BF9">
              <w:t>ECG</w:t>
            </w:r>
          </w:p>
        </w:tc>
        <w:tc>
          <w:tcPr>
            <w:tcW w:w="6911" w:type="dxa"/>
            <w:shd w:val="clear" w:color="auto" w:fill="auto"/>
          </w:tcPr>
          <w:p w:rsidR="00F86BF9" w:rsidRPr="00F86BF9" w:rsidRDefault="00F86BF9" w:rsidP="00F86BF9">
            <w:pPr>
              <w:ind w:left="95"/>
            </w:pPr>
            <w:r w:rsidRPr="00F86BF9">
              <w:t>electrocardiograph</w:t>
            </w:r>
          </w:p>
        </w:tc>
      </w:tr>
      <w:tr w:rsidR="00F86BF9" w:rsidRPr="00F86BF9" w:rsidTr="00F86BF9">
        <w:tc>
          <w:tcPr>
            <w:tcW w:w="1890" w:type="dxa"/>
            <w:shd w:val="clear" w:color="auto" w:fill="auto"/>
          </w:tcPr>
          <w:p w:rsidR="00F86BF9" w:rsidRPr="00F86BF9" w:rsidRDefault="00F86BF9" w:rsidP="00F86BF9">
            <w:pPr>
              <w:ind w:left="142"/>
            </w:pPr>
            <w:r w:rsidRPr="00F86BF9">
              <w:rPr>
                <w:rFonts w:cs="TimesNewRoman"/>
              </w:rPr>
              <w:t>eGFRCG</w:t>
            </w:r>
          </w:p>
        </w:tc>
        <w:tc>
          <w:tcPr>
            <w:tcW w:w="6911" w:type="dxa"/>
            <w:shd w:val="clear" w:color="auto" w:fill="auto"/>
          </w:tcPr>
          <w:p w:rsidR="00F86BF9" w:rsidRPr="00F86BF9" w:rsidRDefault="00F86BF9" w:rsidP="00F86BF9">
            <w:pPr>
              <w:ind w:left="95"/>
            </w:pPr>
            <w:r w:rsidRPr="00F86BF9">
              <w:t>estimated glomerular filtration rate using Cockcroft-Gault equation</w:t>
            </w:r>
            <w:r>
              <w:t xml:space="preserve"> (Cockcroft DW)</w:t>
            </w:r>
          </w:p>
        </w:tc>
      </w:tr>
      <w:tr w:rsidR="00F86BF9" w:rsidRPr="00F86BF9" w:rsidTr="00F86BF9">
        <w:tc>
          <w:tcPr>
            <w:tcW w:w="1890" w:type="dxa"/>
            <w:shd w:val="clear" w:color="auto" w:fill="auto"/>
          </w:tcPr>
          <w:p w:rsidR="00F86BF9" w:rsidRPr="000D5CC4" w:rsidRDefault="00F86BF9" w:rsidP="00F86BF9">
            <w:pPr>
              <w:ind w:left="142"/>
              <w:rPr>
                <w:color w:val="000000"/>
              </w:rPr>
            </w:pPr>
            <w:r w:rsidRPr="00F86BF9">
              <w:lastRenderedPageBreak/>
              <w:t>EMA</w:t>
            </w:r>
          </w:p>
        </w:tc>
        <w:tc>
          <w:tcPr>
            <w:tcW w:w="6911" w:type="dxa"/>
            <w:shd w:val="clear" w:color="auto" w:fill="auto"/>
          </w:tcPr>
          <w:p w:rsidR="00F86BF9" w:rsidRPr="000D5CC4" w:rsidRDefault="00F86BF9" w:rsidP="00F86BF9">
            <w:pPr>
              <w:ind w:left="95"/>
              <w:rPr>
                <w:color w:val="000000"/>
              </w:rPr>
            </w:pPr>
            <w:r w:rsidRPr="00F86BF9">
              <w:t>European Medicines Agency</w:t>
            </w:r>
          </w:p>
        </w:tc>
      </w:tr>
      <w:tr w:rsidR="00F86BF9" w:rsidRPr="00F86BF9" w:rsidTr="00F86BF9">
        <w:tc>
          <w:tcPr>
            <w:tcW w:w="1890" w:type="dxa"/>
            <w:shd w:val="clear" w:color="auto" w:fill="auto"/>
          </w:tcPr>
          <w:p w:rsidR="00F86BF9" w:rsidRPr="00F86BF9" w:rsidRDefault="00F86BF9" w:rsidP="00F86BF9">
            <w:pPr>
              <w:ind w:left="142"/>
            </w:pPr>
            <w:r w:rsidRPr="00F86BF9">
              <w:t>ETR</w:t>
            </w:r>
          </w:p>
        </w:tc>
        <w:tc>
          <w:tcPr>
            <w:tcW w:w="6911" w:type="dxa"/>
            <w:shd w:val="clear" w:color="auto" w:fill="auto"/>
          </w:tcPr>
          <w:p w:rsidR="00F86BF9" w:rsidRPr="00F86BF9" w:rsidRDefault="00F86BF9" w:rsidP="00F86BF9">
            <w:pPr>
              <w:ind w:left="95"/>
            </w:pPr>
            <w:r w:rsidRPr="00F86BF9">
              <w:t>etravirine</w:t>
            </w:r>
          </w:p>
        </w:tc>
      </w:tr>
      <w:tr w:rsidR="00F86BF9" w:rsidRPr="00F86BF9" w:rsidTr="00F86BF9">
        <w:tc>
          <w:tcPr>
            <w:tcW w:w="1890" w:type="dxa"/>
            <w:shd w:val="clear" w:color="auto" w:fill="auto"/>
          </w:tcPr>
          <w:p w:rsidR="00F86BF9" w:rsidRPr="000D5CC4" w:rsidRDefault="00F86BF9" w:rsidP="00F86BF9">
            <w:pPr>
              <w:ind w:left="142"/>
              <w:rPr>
                <w:color w:val="000000"/>
              </w:rPr>
            </w:pPr>
            <w:r w:rsidRPr="000D5CC4">
              <w:rPr>
                <w:color w:val="000000"/>
              </w:rPr>
              <w:t>FDA</w:t>
            </w:r>
          </w:p>
        </w:tc>
        <w:tc>
          <w:tcPr>
            <w:tcW w:w="6911" w:type="dxa"/>
            <w:shd w:val="clear" w:color="auto" w:fill="auto"/>
          </w:tcPr>
          <w:p w:rsidR="00F86BF9" w:rsidRPr="000D5CC4" w:rsidRDefault="00F86BF9" w:rsidP="00F86BF9">
            <w:pPr>
              <w:ind w:left="95"/>
              <w:rPr>
                <w:color w:val="000000"/>
              </w:rPr>
            </w:pPr>
            <w:r w:rsidRPr="000D5CC4">
              <w:rPr>
                <w:color w:val="000000"/>
              </w:rPr>
              <w:t>US Food and Drug Administration</w:t>
            </w:r>
          </w:p>
        </w:tc>
      </w:tr>
      <w:tr w:rsidR="00F86BF9" w:rsidRPr="00F86BF9" w:rsidTr="00F86BF9">
        <w:tc>
          <w:tcPr>
            <w:tcW w:w="1890" w:type="dxa"/>
            <w:shd w:val="clear" w:color="auto" w:fill="auto"/>
          </w:tcPr>
          <w:p w:rsidR="00F86BF9" w:rsidRPr="000D5CC4" w:rsidRDefault="00F86BF9" w:rsidP="00F86BF9">
            <w:pPr>
              <w:ind w:left="142"/>
              <w:rPr>
                <w:color w:val="000000"/>
              </w:rPr>
            </w:pPr>
            <w:r w:rsidRPr="000D5CC4">
              <w:rPr>
                <w:color w:val="000000"/>
              </w:rPr>
              <w:t>FTC</w:t>
            </w:r>
          </w:p>
        </w:tc>
        <w:tc>
          <w:tcPr>
            <w:tcW w:w="6911" w:type="dxa"/>
            <w:shd w:val="clear" w:color="auto" w:fill="auto"/>
          </w:tcPr>
          <w:p w:rsidR="00F86BF9" w:rsidRPr="000D5CC4" w:rsidRDefault="00F86BF9" w:rsidP="00F86BF9">
            <w:pPr>
              <w:ind w:left="95"/>
              <w:rPr>
                <w:color w:val="000000"/>
              </w:rPr>
            </w:pPr>
            <w:r w:rsidRPr="000D5CC4">
              <w:rPr>
                <w:color w:val="000000"/>
              </w:rPr>
              <w:t>emtricitabine</w:t>
            </w:r>
          </w:p>
        </w:tc>
      </w:tr>
      <w:tr w:rsidR="00F86BF9" w:rsidRPr="00F86BF9" w:rsidTr="00F86BF9">
        <w:tc>
          <w:tcPr>
            <w:tcW w:w="1890" w:type="dxa"/>
            <w:shd w:val="clear" w:color="auto" w:fill="auto"/>
          </w:tcPr>
          <w:p w:rsidR="00F86BF9" w:rsidRPr="000D5CC4" w:rsidRDefault="00313D70" w:rsidP="00F86BF9">
            <w:pPr>
              <w:ind w:left="142"/>
              <w:rPr>
                <w:color w:val="000000"/>
              </w:rPr>
            </w:pPr>
            <w:r>
              <w:rPr>
                <w:color w:val="000000"/>
              </w:rPr>
              <w:t>GI</w:t>
            </w:r>
          </w:p>
        </w:tc>
        <w:tc>
          <w:tcPr>
            <w:tcW w:w="6911" w:type="dxa"/>
            <w:shd w:val="clear" w:color="auto" w:fill="auto"/>
          </w:tcPr>
          <w:p w:rsidR="00F86BF9" w:rsidRPr="000D5CC4" w:rsidRDefault="006E65C0" w:rsidP="00F86BF9">
            <w:pPr>
              <w:ind w:left="95"/>
              <w:rPr>
                <w:color w:val="000000"/>
              </w:rPr>
            </w:pPr>
            <w:r>
              <w:rPr>
                <w:color w:val="000000"/>
              </w:rPr>
              <w:t>g</w:t>
            </w:r>
            <w:r w:rsidR="00F86BF9" w:rsidRPr="000D5CC4">
              <w:rPr>
                <w:color w:val="000000"/>
              </w:rPr>
              <w:t>astrointestinal</w:t>
            </w:r>
          </w:p>
        </w:tc>
      </w:tr>
      <w:tr w:rsidR="00F86BF9" w:rsidRPr="00F86BF9" w:rsidTr="00F86BF9">
        <w:tc>
          <w:tcPr>
            <w:tcW w:w="1890" w:type="dxa"/>
            <w:shd w:val="clear" w:color="auto" w:fill="auto"/>
          </w:tcPr>
          <w:p w:rsidR="00F86BF9" w:rsidRPr="00F86BF9" w:rsidRDefault="00F86BF9" w:rsidP="00F86BF9">
            <w:pPr>
              <w:ind w:left="142"/>
            </w:pPr>
            <w:r w:rsidRPr="00F86BF9">
              <w:t>HBV</w:t>
            </w:r>
          </w:p>
        </w:tc>
        <w:tc>
          <w:tcPr>
            <w:tcW w:w="6911" w:type="dxa"/>
            <w:shd w:val="clear" w:color="auto" w:fill="auto"/>
          </w:tcPr>
          <w:p w:rsidR="00F86BF9" w:rsidRPr="00F86BF9" w:rsidRDefault="00F86BF9" w:rsidP="00F86BF9">
            <w:pPr>
              <w:ind w:left="95"/>
            </w:pPr>
            <w:r w:rsidRPr="00F86BF9">
              <w:t>hepatitis B virus</w:t>
            </w:r>
          </w:p>
        </w:tc>
      </w:tr>
      <w:tr w:rsidR="00F86BF9" w:rsidRPr="00F86BF9" w:rsidTr="00F86BF9">
        <w:tc>
          <w:tcPr>
            <w:tcW w:w="1890" w:type="dxa"/>
            <w:shd w:val="clear" w:color="auto" w:fill="auto"/>
          </w:tcPr>
          <w:p w:rsidR="00F86BF9" w:rsidRPr="00F86BF9" w:rsidRDefault="00F86BF9" w:rsidP="00F86BF9">
            <w:pPr>
              <w:ind w:left="142"/>
            </w:pPr>
            <w:r w:rsidRPr="00F86BF9">
              <w:t>HCV</w:t>
            </w:r>
          </w:p>
        </w:tc>
        <w:tc>
          <w:tcPr>
            <w:tcW w:w="6911" w:type="dxa"/>
            <w:shd w:val="clear" w:color="auto" w:fill="auto"/>
          </w:tcPr>
          <w:p w:rsidR="00F86BF9" w:rsidRPr="00F86BF9" w:rsidRDefault="00F86BF9" w:rsidP="00F86BF9">
            <w:pPr>
              <w:ind w:left="95"/>
            </w:pPr>
            <w:r w:rsidRPr="00F86BF9">
              <w:t>hepatitis C virus</w:t>
            </w:r>
          </w:p>
        </w:tc>
      </w:tr>
      <w:tr w:rsidR="00F86BF9" w:rsidRPr="00F86BF9" w:rsidTr="00F86BF9">
        <w:tc>
          <w:tcPr>
            <w:tcW w:w="1890" w:type="dxa"/>
            <w:shd w:val="clear" w:color="auto" w:fill="auto"/>
          </w:tcPr>
          <w:p w:rsidR="00F86BF9" w:rsidRPr="000D5CC4" w:rsidRDefault="00F86BF9" w:rsidP="00F86BF9">
            <w:pPr>
              <w:ind w:left="142"/>
              <w:rPr>
                <w:color w:val="000000"/>
              </w:rPr>
            </w:pPr>
            <w:r w:rsidRPr="000D5CC4">
              <w:rPr>
                <w:color w:val="000000"/>
              </w:rPr>
              <w:t>HIS</w:t>
            </w:r>
          </w:p>
        </w:tc>
        <w:tc>
          <w:tcPr>
            <w:tcW w:w="6911" w:type="dxa"/>
            <w:shd w:val="clear" w:color="auto" w:fill="auto"/>
          </w:tcPr>
          <w:p w:rsidR="00F86BF9" w:rsidRPr="000D5CC4" w:rsidRDefault="00F86BF9" w:rsidP="006E65C0">
            <w:pPr>
              <w:ind w:left="95"/>
              <w:rPr>
                <w:color w:val="000000"/>
              </w:rPr>
            </w:pPr>
            <w:r w:rsidRPr="00F86BF9">
              <w:t xml:space="preserve">HIV </w:t>
            </w:r>
            <w:r w:rsidR="006E65C0">
              <w:t>s</w:t>
            </w:r>
            <w:r w:rsidRPr="00F86BF9">
              <w:t xml:space="preserve">ymptom </w:t>
            </w:r>
            <w:r w:rsidR="006E65C0">
              <w:t>i</w:t>
            </w:r>
            <w:r w:rsidRPr="00F86BF9">
              <w:t>ndex</w:t>
            </w:r>
          </w:p>
        </w:tc>
      </w:tr>
      <w:tr w:rsidR="00F86BF9" w:rsidRPr="00F86BF9" w:rsidTr="00F86BF9">
        <w:tc>
          <w:tcPr>
            <w:tcW w:w="1890" w:type="dxa"/>
            <w:shd w:val="clear" w:color="auto" w:fill="auto"/>
          </w:tcPr>
          <w:p w:rsidR="00F86BF9" w:rsidRPr="000D5CC4" w:rsidRDefault="00F86BF9" w:rsidP="00F86BF9">
            <w:pPr>
              <w:ind w:left="142"/>
              <w:rPr>
                <w:color w:val="000000"/>
              </w:rPr>
            </w:pPr>
            <w:r w:rsidRPr="00F86BF9">
              <w:t>HIV-1</w:t>
            </w:r>
          </w:p>
        </w:tc>
        <w:tc>
          <w:tcPr>
            <w:tcW w:w="6911" w:type="dxa"/>
            <w:shd w:val="clear" w:color="auto" w:fill="auto"/>
          </w:tcPr>
          <w:p w:rsidR="00F86BF9" w:rsidRPr="000D5CC4" w:rsidRDefault="006E65C0" w:rsidP="00F86BF9">
            <w:pPr>
              <w:ind w:left="95"/>
              <w:rPr>
                <w:color w:val="000000"/>
              </w:rPr>
            </w:pPr>
            <w:r>
              <w:t>h</w:t>
            </w:r>
            <w:r w:rsidR="00F86BF9" w:rsidRPr="00F86BF9">
              <w:t>uman immunodeficiency-1 virus infection</w:t>
            </w:r>
          </w:p>
        </w:tc>
      </w:tr>
      <w:tr w:rsidR="00F86BF9" w:rsidRPr="00F86BF9" w:rsidTr="00F86BF9">
        <w:tc>
          <w:tcPr>
            <w:tcW w:w="1890" w:type="dxa"/>
            <w:shd w:val="clear" w:color="auto" w:fill="auto"/>
          </w:tcPr>
          <w:p w:rsidR="00F86BF9" w:rsidRPr="00F86BF9" w:rsidRDefault="00F86BF9" w:rsidP="00F86BF9">
            <w:pPr>
              <w:ind w:left="142"/>
            </w:pPr>
            <w:r w:rsidRPr="00F86BF9">
              <w:t>HIVTSQ</w:t>
            </w:r>
          </w:p>
        </w:tc>
        <w:tc>
          <w:tcPr>
            <w:tcW w:w="6911" w:type="dxa"/>
            <w:shd w:val="clear" w:color="auto" w:fill="auto"/>
          </w:tcPr>
          <w:p w:rsidR="00F86BF9" w:rsidRPr="00F86BF9" w:rsidRDefault="00F86BF9" w:rsidP="006E65C0">
            <w:pPr>
              <w:ind w:left="95"/>
            </w:pPr>
            <w:r w:rsidRPr="00F86BF9">
              <w:t xml:space="preserve">HIV </w:t>
            </w:r>
            <w:r w:rsidR="006E65C0">
              <w:t>t</w:t>
            </w:r>
            <w:r w:rsidRPr="00F86BF9">
              <w:t xml:space="preserve">reatment </w:t>
            </w:r>
            <w:r w:rsidR="006E65C0">
              <w:t>s</w:t>
            </w:r>
            <w:r w:rsidRPr="00F86BF9">
              <w:t xml:space="preserve">atisfaction </w:t>
            </w:r>
            <w:r w:rsidR="006E65C0">
              <w:t>q</w:t>
            </w:r>
            <w:r w:rsidRPr="00F86BF9">
              <w:t>uestionnaire</w:t>
            </w:r>
          </w:p>
        </w:tc>
      </w:tr>
      <w:tr w:rsidR="00F86BF9" w:rsidRPr="00F86BF9" w:rsidTr="00F86BF9">
        <w:tc>
          <w:tcPr>
            <w:tcW w:w="1890" w:type="dxa"/>
            <w:shd w:val="clear" w:color="auto" w:fill="auto"/>
          </w:tcPr>
          <w:p w:rsidR="00F86BF9" w:rsidRPr="000D5CC4" w:rsidRDefault="00F86BF9" w:rsidP="00F86BF9">
            <w:pPr>
              <w:ind w:left="142"/>
              <w:rPr>
                <w:color w:val="000000"/>
              </w:rPr>
            </w:pPr>
            <w:r w:rsidRPr="00F86BF9">
              <w:t>HPLC</w:t>
            </w:r>
          </w:p>
        </w:tc>
        <w:tc>
          <w:tcPr>
            <w:tcW w:w="6911" w:type="dxa"/>
            <w:shd w:val="clear" w:color="auto" w:fill="auto"/>
          </w:tcPr>
          <w:p w:rsidR="00F86BF9" w:rsidRPr="000D5CC4" w:rsidRDefault="006E65C0" w:rsidP="00F86BF9">
            <w:pPr>
              <w:ind w:left="95"/>
              <w:rPr>
                <w:color w:val="000000"/>
              </w:rPr>
            </w:pPr>
            <w:r>
              <w:t>h</w:t>
            </w:r>
            <w:r w:rsidR="00F86BF9" w:rsidRPr="00F86BF9">
              <w:t>igh performance liquid chromatography</w:t>
            </w:r>
          </w:p>
        </w:tc>
      </w:tr>
      <w:tr w:rsidR="00F86BF9" w:rsidRPr="00F86BF9" w:rsidTr="000D5CC4">
        <w:tc>
          <w:tcPr>
            <w:tcW w:w="1890" w:type="dxa"/>
            <w:shd w:val="clear" w:color="auto" w:fill="auto"/>
          </w:tcPr>
          <w:p w:rsidR="00F86BF9" w:rsidRPr="00F86BF9" w:rsidRDefault="00F86BF9" w:rsidP="00F86BF9">
            <w:pPr>
              <w:ind w:left="142"/>
              <w:rPr>
                <w:color w:val="000000"/>
              </w:rPr>
            </w:pPr>
            <w:r w:rsidRPr="00F86BF9">
              <w:rPr>
                <w:color w:val="000000"/>
              </w:rPr>
              <w:t>IC90</w:t>
            </w:r>
          </w:p>
        </w:tc>
        <w:tc>
          <w:tcPr>
            <w:tcW w:w="6911" w:type="dxa"/>
            <w:shd w:val="clear" w:color="auto" w:fill="auto"/>
          </w:tcPr>
          <w:p w:rsidR="00F86BF9" w:rsidRPr="00F86BF9" w:rsidRDefault="00F86BF9" w:rsidP="00F86BF9">
            <w:pPr>
              <w:ind w:left="95"/>
              <w:rPr>
                <w:color w:val="000000"/>
              </w:rPr>
            </w:pPr>
            <w:r w:rsidRPr="00F86BF9">
              <w:rPr>
                <w:rFonts w:cs="TimesNewRoman"/>
                <w:color w:val="000000"/>
              </w:rPr>
              <w:t>90% inhibitory concentration</w:t>
            </w:r>
          </w:p>
        </w:tc>
      </w:tr>
      <w:tr w:rsidR="00F86BF9" w:rsidRPr="00F86BF9" w:rsidTr="000D5CC4">
        <w:tc>
          <w:tcPr>
            <w:tcW w:w="1890" w:type="dxa"/>
            <w:shd w:val="clear" w:color="auto" w:fill="auto"/>
          </w:tcPr>
          <w:p w:rsidR="00F86BF9" w:rsidRPr="000D5CC4" w:rsidRDefault="00313D70" w:rsidP="00F86BF9">
            <w:pPr>
              <w:ind w:left="142"/>
              <w:rPr>
                <w:color w:val="000000"/>
              </w:rPr>
            </w:pPr>
            <w:r>
              <w:rPr>
                <w:color w:val="000000"/>
              </w:rPr>
              <w:t>ICH</w:t>
            </w:r>
          </w:p>
        </w:tc>
        <w:tc>
          <w:tcPr>
            <w:tcW w:w="6911" w:type="dxa"/>
            <w:shd w:val="clear" w:color="auto" w:fill="auto"/>
          </w:tcPr>
          <w:p w:rsidR="00F86BF9" w:rsidRPr="000D5CC4" w:rsidRDefault="006E65C0" w:rsidP="006E65C0">
            <w:pPr>
              <w:ind w:left="95"/>
              <w:rPr>
                <w:color w:val="000000"/>
              </w:rPr>
            </w:pPr>
            <w:r>
              <w:rPr>
                <w:color w:val="000000"/>
              </w:rPr>
              <w:t>i</w:t>
            </w:r>
            <w:r w:rsidR="00F86BF9" w:rsidRPr="000D5CC4">
              <w:rPr>
                <w:color w:val="000000"/>
              </w:rPr>
              <w:t xml:space="preserve">nternational </w:t>
            </w:r>
            <w:r>
              <w:rPr>
                <w:color w:val="000000"/>
              </w:rPr>
              <w:t>c</w:t>
            </w:r>
            <w:r w:rsidR="00F86BF9" w:rsidRPr="000D5CC4">
              <w:rPr>
                <w:color w:val="000000"/>
              </w:rPr>
              <w:t xml:space="preserve">onference on </w:t>
            </w:r>
            <w:r>
              <w:rPr>
                <w:color w:val="000000"/>
              </w:rPr>
              <w:t>h</w:t>
            </w:r>
            <w:r w:rsidR="00F86BF9" w:rsidRPr="000D5CC4">
              <w:rPr>
                <w:color w:val="000000"/>
              </w:rPr>
              <w:t>armonisation</w:t>
            </w:r>
          </w:p>
        </w:tc>
      </w:tr>
      <w:tr w:rsidR="00F86BF9" w:rsidRPr="00F86BF9" w:rsidTr="000D5CC4">
        <w:tc>
          <w:tcPr>
            <w:tcW w:w="1890" w:type="dxa"/>
            <w:shd w:val="clear" w:color="auto" w:fill="auto"/>
          </w:tcPr>
          <w:p w:rsidR="00F86BF9" w:rsidRPr="000D5CC4" w:rsidRDefault="00F86BF9" w:rsidP="00F86BF9">
            <w:pPr>
              <w:ind w:left="142"/>
              <w:rPr>
                <w:color w:val="000000"/>
              </w:rPr>
            </w:pPr>
            <w:r w:rsidRPr="000D5CC4">
              <w:rPr>
                <w:color w:val="000000"/>
              </w:rPr>
              <w:t>IRIS</w:t>
            </w:r>
          </w:p>
        </w:tc>
        <w:tc>
          <w:tcPr>
            <w:tcW w:w="6911" w:type="dxa"/>
            <w:shd w:val="clear" w:color="auto" w:fill="auto"/>
          </w:tcPr>
          <w:p w:rsidR="00F86BF9" w:rsidRPr="000D5CC4" w:rsidRDefault="00F86BF9" w:rsidP="00F86BF9">
            <w:pPr>
              <w:ind w:left="95"/>
              <w:rPr>
                <w:color w:val="000000"/>
              </w:rPr>
            </w:pPr>
            <w:r w:rsidRPr="00F86BF9">
              <w:t>immune recon</w:t>
            </w:r>
            <w:r w:rsidR="00313D70">
              <w:t>stitution inflammatory syndrome</w:t>
            </w:r>
          </w:p>
        </w:tc>
      </w:tr>
      <w:tr w:rsidR="00F86BF9" w:rsidRPr="00F86BF9" w:rsidTr="000D5CC4">
        <w:tc>
          <w:tcPr>
            <w:tcW w:w="1890" w:type="dxa"/>
            <w:shd w:val="clear" w:color="auto" w:fill="auto"/>
          </w:tcPr>
          <w:p w:rsidR="00F86BF9" w:rsidRPr="000D5CC4" w:rsidRDefault="00F86BF9" w:rsidP="00F86BF9">
            <w:pPr>
              <w:ind w:left="142"/>
              <w:rPr>
                <w:color w:val="000000"/>
              </w:rPr>
            </w:pPr>
            <w:r w:rsidRPr="000D5CC4">
              <w:rPr>
                <w:color w:val="000000"/>
              </w:rPr>
              <w:t>ITT</w:t>
            </w:r>
          </w:p>
        </w:tc>
        <w:tc>
          <w:tcPr>
            <w:tcW w:w="6911" w:type="dxa"/>
            <w:shd w:val="clear" w:color="auto" w:fill="auto"/>
          </w:tcPr>
          <w:p w:rsidR="00F86BF9" w:rsidRPr="000D5CC4" w:rsidRDefault="006E65C0" w:rsidP="00F86BF9">
            <w:pPr>
              <w:ind w:left="95"/>
              <w:rPr>
                <w:color w:val="000000"/>
              </w:rPr>
            </w:pPr>
            <w:r>
              <w:rPr>
                <w:color w:val="000000"/>
              </w:rPr>
              <w:t>i</w:t>
            </w:r>
            <w:r w:rsidR="00F86BF9" w:rsidRPr="000D5CC4">
              <w:rPr>
                <w:color w:val="000000"/>
              </w:rPr>
              <w:t>ntent to treat</w:t>
            </w:r>
          </w:p>
        </w:tc>
      </w:tr>
      <w:tr w:rsidR="00F86BF9" w:rsidRPr="00F86BF9" w:rsidTr="000D5CC4">
        <w:tc>
          <w:tcPr>
            <w:tcW w:w="1890" w:type="dxa"/>
            <w:shd w:val="clear" w:color="auto" w:fill="auto"/>
          </w:tcPr>
          <w:p w:rsidR="00F86BF9" w:rsidRPr="00F86BF9" w:rsidRDefault="00F86BF9" w:rsidP="00F86BF9">
            <w:pPr>
              <w:ind w:left="142"/>
            </w:pPr>
            <w:r w:rsidRPr="00F86BF9">
              <w:t>KS</w:t>
            </w:r>
          </w:p>
        </w:tc>
        <w:tc>
          <w:tcPr>
            <w:tcW w:w="6911" w:type="dxa"/>
            <w:shd w:val="clear" w:color="auto" w:fill="auto"/>
          </w:tcPr>
          <w:p w:rsidR="00F86BF9" w:rsidRPr="000D5CC4" w:rsidRDefault="00F86BF9" w:rsidP="00F86BF9">
            <w:pPr>
              <w:ind w:left="95"/>
              <w:rPr>
                <w:color w:val="000000"/>
              </w:rPr>
            </w:pPr>
            <w:r w:rsidRPr="00F86BF9">
              <w:t>Kaposi's sarcoma</w:t>
            </w:r>
          </w:p>
        </w:tc>
      </w:tr>
      <w:tr w:rsidR="00F86BF9" w:rsidRPr="00F86BF9" w:rsidTr="000D5CC4">
        <w:tc>
          <w:tcPr>
            <w:tcW w:w="1890" w:type="dxa"/>
            <w:shd w:val="clear" w:color="auto" w:fill="auto"/>
          </w:tcPr>
          <w:p w:rsidR="00F86BF9" w:rsidRPr="000D5CC4" w:rsidRDefault="00F86BF9" w:rsidP="00F86BF9">
            <w:pPr>
              <w:ind w:left="142"/>
              <w:rPr>
                <w:color w:val="000000"/>
              </w:rPr>
            </w:pPr>
            <w:r w:rsidRPr="00F86BF9">
              <w:t>LLOQ</w:t>
            </w:r>
          </w:p>
        </w:tc>
        <w:tc>
          <w:tcPr>
            <w:tcW w:w="6911" w:type="dxa"/>
            <w:shd w:val="clear" w:color="auto" w:fill="auto"/>
          </w:tcPr>
          <w:p w:rsidR="00F86BF9" w:rsidRPr="000D5CC4" w:rsidRDefault="006E65C0" w:rsidP="00F86BF9">
            <w:pPr>
              <w:ind w:left="95"/>
              <w:rPr>
                <w:color w:val="000000"/>
              </w:rPr>
            </w:pPr>
            <w:r>
              <w:rPr>
                <w:color w:val="000000"/>
              </w:rPr>
              <w:t>l</w:t>
            </w:r>
            <w:r w:rsidR="00F86BF9" w:rsidRPr="000D5CC4">
              <w:rPr>
                <w:color w:val="000000"/>
              </w:rPr>
              <w:t>ower limit of quantification</w:t>
            </w:r>
          </w:p>
        </w:tc>
      </w:tr>
      <w:tr w:rsidR="00F86BF9" w:rsidRPr="00F86BF9" w:rsidTr="000D5CC4">
        <w:tc>
          <w:tcPr>
            <w:tcW w:w="1890" w:type="dxa"/>
            <w:shd w:val="clear" w:color="auto" w:fill="auto"/>
          </w:tcPr>
          <w:p w:rsidR="00F86BF9" w:rsidRPr="00F86BF9" w:rsidRDefault="00F86BF9" w:rsidP="00F86BF9">
            <w:pPr>
              <w:ind w:left="142"/>
            </w:pPr>
            <w:r w:rsidRPr="00F86BF9">
              <w:t>LOCF</w:t>
            </w:r>
          </w:p>
        </w:tc>
        <w:tc>
          <w:tcPr>
            <w:tcW w:w="6911" w:type="dxa"/>
            <w:shd w:val="clear" w:color="auto" w:fill="auto"/>
          </w:tcPr>
          <w:p w:rsidR="00F86BF9" w:rsidRPr="000D5CC4" w:rsidRDefault="00F86BF9" w:rsidP="00F86BF9">
            <w:pPr>
              <w:ind w:left="95"/>
              <w:rPr>
                <w:color w:val="000000"/>
              </w:rPr>
            </w:pPr>
            <w:r w:rsidRPr="000D5CC4">
              <w:rPr>
                <w:color w:val="000000"/>
              </w:rPr>
              <w:t>l</w:t>
            </w:r>
            <w:r w:rsidR="00313D70">
              <w:rPr>
                <w:color w:val="000000"/>
              </w:rPr>
              <w:t>ast-observation-carried forward</w:t>
            </w:r>
          </w:p>
        </w:tc>
      </w:tr>
      <w:tr w:rsidR="00F86BF9" w:rsidRPr="00F86BF9" w:rsidTr="000D5CC4">
        <w:tc>
          <w:tcPr>
            <w:tcW w:w="1890" w:type="dxa"/>
            <w:shd w:val="clear" w:color="auto" w:fill="auto"/>
          </w:tcPr>
          <w:p w:rsidR="00F86BF9" w:rsidRPr="000D5CC4" w:rsidRDefault="00F86BF9" w:rsidP="00F86BF9">
            <w:pPr>
              <w:ind w:left="142"/>
              <w:rPr>
                <w:color w:val="000000"/>
              </w:rPr>
            </w:pPr>
            <w:r w:rsidRPr="00F86BF9">
              <w:rPr>
                <w:rFonts w:cs="TimesNewRoman"/>
              </w:rPr>
              <w:t>MedDRA</w:t>
            </w:r>
          </w:p>
        </w:tc>
        <w:tc>
          <w:tcPr>
            <w:tcW w:w="6911" w:type="dxa"/>
            <w:shd w:val="clear" w:color="auto" w:fill="auto"/>
          </w:tcPr>
          <w:p w:rsidR="00F86BF9" w:rsidRPr="00F86BF9" w:rsidRDefault="006E65C0" w:rsidP="006E65C0">
            <w:pPr>
              <w:ind w:left="95"/>
              <w:rPr>
                <w:rFonts w:cs="Arial"/>
              </w:rPr>
            </w:pPr>
            <w:r>
              <w:rPr>
                <w:rFonts w:cs="TimesNewRoman"/>
              </w:rPr>
              <w:t>m</w:t>
            </w:r>
            <w:r w:rsidR="00F86BF9" w:rsidRPr="00F86BF9">
              <w:rPr>
                <w:rFonts w:cs="TimesNewRoman"/>
              </w:rPr>
              <w:t xml:space="preserve">edical </w:t>
            </w:r>
            <w:r>
              <w:rPr>
                <w:rFonts w:cs="TimesNewRoman"/>
              </w:rPr>
              <w:t>d</w:t>
            </w:r>
            <w:r w:rsidR="00F86BF9" w:rsidRPr="00F86BF9">
              <w:rPr>
                <w:rFonts w:cs="TimesNewRoman"/>
              </w:rPr>
              <w:t xml:space="preserve">ictionary for </w:t>
            </w:r>
            <w:r>
              <w:rPr>
                <w:rFonts w:cs="TimesNewRoman"/>
              </w:rPr>
              <w:t>r</w:t>
            </w:r>
            <w:r w:rsidR="00F86BF9" w:rsidRPr="00F86BF9">
              <w:rPr>
                <w:rFonts w:cs="TimesNewRoman"/>
              </w:rPr>
              <w:t xml:space="preserve">egulatory </w:t>
            </w:r>
            <w:r>
              <w:rPr>
                <w:rFonts w:cs="TimesNewRoman"/>
              </w:rPr>
              <w:t>a</w:t>
            </w:r>
            <w:r w:rsidR="00F86BF9" w:rsidRPr="00F86BF9">
              <w:rPr>
                <w:rFonts w:cs="TimesNewRoman"/>
              </w:rPr>
              <w:t>ctivities</w:t>
            </w:r>
          </w:p>
        </w:tc>
      </w:tr>
      <w:tr w:rsidR="00F86BF9" w:rsidRPr="00F86BF9" w:rsidTr="000D5CC4">
        <w:tc>
          <w:tcPr>
            <w:tcW w:w="1890" w:type="dxa"/>
            <w:shd w:val="clear" w:color="auto" w:fill="auto"/>
          </w:tcPr>
          <w:p w:rsidR="00F86BF9" w:rsidRPr="00F86BF9" w:rsidRDefault="00F86BF9" w:rsidP="00F86BF9">
            <w:pPr>
              <w:ind w:left="142"/>
            </w:pPr>
            <w:r w:rsidRPr="00F86BF9">
              <w:rPr>
                <w:rFonts w:cs="TimesNewRoman"/>
              </w:rPr>
              <w:t>NCEP</w:t>
            </w:r>
          </w:p>
        </w:tc>
        <w:tc>
          <w:tcPr>
            <w:tcW w:w="6911" w:type="dxa"/>
            <w:shd w:val="clear" w:color="auto" w:fill="auto"/>
          </w:tcPr>
          <w:p w:rsidR="00F86BF9" w:rsidRPr="00F86BF9" w:rsidRDefault="00F86BF9" w:rsidP="00F86BF9">
            <w:pPr>
              <w:ind w:left="95"/>
            </w:pPr>
            <w:r w:rsidRPr="00F86BF9">
              <w:rPr>
                <w:rFonts w:cs="TimesNewRoman"/>
              </w:rPr>
              <w:t>National Cholesterol Education Program</w:t>
            </w:r>
          </w:p>
        </w:tc>
      </w:tr>
      <w:tr w:rsidR="00F86BF9" w:rsidRPr="00F86BF9" w:rsidTr="000D5CC4">
        <w:tc>
          <w:tcPr>
            <w:tcW w:w="1890" w:type="dxa"/>
            <w:shd w:val="clear" w:color="auto" w:fill="auto"/>
          </w:tcPr>
          <w:p w:rsidR="00F86BF9" w:rsidRPr="00F86BF9" w:rsidRDefault="00F86BF9" w:rsidP="00F86BF9">
            <w:pPr>
              <w:ind w:left="142"/>
            </w:pPr>
            <w:r w:rsidRPr="00F86BF9">
              <w:t>NIAID</w:t>
            </w:r>
          </w:p>
        </w:tc>
        <w:tc>
          <w:tcPr>
            <w:tcW w:w="6911" w:type="dxa"/>
            <w:shd w:val="clear" w:color="auto" w:fill="auto"/>
          </w:tcPr>
          <w:p w:rsidR="00F86BF9" w:rsidRPr="00F86BF9" w:rsidRDefault="00F86BF9" w:rsidP="00F86BF9">
            <w:pPr>
              <w:ind w:left="95"/>
            </w:pPr>
            <w:r w:rsidRPr="00F86BF9">
              <w:t>National Institutes of Allergy and Infectious Diseases</w:t>
            </w:r>
          </w:p>
        </w:tc>
      </w:tr>
      <w:tr w:rsidR="00F86BF9" w:rsidRPr="00F86BF9" w:rsidTr="000D5CC4">
        <w:tc>
          <w:tcPr>
            <w:tcW w:w="1890" w:type="dxa"/>
            <w:shd w:val="clear" w:color="auto" w:fill="auto"/>
          </w:tcPr>
          <w:p w:rsidR="00F86BF9" w:rsidRPr="000D5CC4" w:rsidRDefault="00F86BF9" w:rsidP="00F86BF9">
            <w:pPr>
              <w:ind w:left="142"/>
              <w:rPr>
                <w:color w:val="000000"/>
              </w:rPr>
            </w:pPr>
            <w:r w:rsidRPr="00F86BF9">
              <w:t>NtRTI</w:t>
            </w:r>
          </w:p>
        </w:tc>
        <w:tc>
          <w:tcPr>
            <w:tcW w:w="6911" w:type="dxa"/>
            <w:shd w:val="clear" w:color="auto" w:fill="auto"/>
          </w:tcPr>
          <w:p w:rsidR="00F86BF9" w:rsidRPr="00F86BF9" w:rsidRDefault="00F86BF9" w:rsidP="00F86BF9">
            <w:pPr>
              <w:ind w:left="95"/>
              <w:rPr>
                <w:rFonts w:cs="Arial"/>
              </w:rPr>
            </w:pPr>
            <w:r w:rsidRPr="00F86BF9">
              <w:t>nucleoside/nucleotide reverse transcriptase inhibitors</w:t>
            </w:r>
          </w:p>
        </w:tc>
      </w:tr>
      <w:tr w:rsidR="00F86BF9" w:rsidRPr="00F86BF9" w:rsidTr="000D5CC4">
        <w:tc>
          <w:tcPr>
            <w:tcW w:w="1890" w:type="dxa"/>
            <w:shd w:val="clear" w:color="auto" w:fill="auto"/>
          </w:tcPr>
          <w:p w:rsidR="00F86BF9" w:rsidRPr="000D5CC4" w:rsidRDefault="00F86BF9" w:rsidP="00F86BF9">
            <w:pPr>
              <w:ind w:left="142"/>
              <w:rPr>
                <w:color w:val="000000"/>
              </w:rPr>
            </w:pPr>
            <w:r w:rsidRPr="00F86BF9">
              <w:t>NNRTI</w:t>
            </w:r>
          </w:p>
        </w:tc>
        <w:tc>
          <w:tcPr>
            <w:tcW w:w="6911" w:type="dxa"/>
            <w:shd w:val="clear" w:color="auto" w:fill="auto"/>
          </w:tcPr>
          <w:p w:rsidR="00F86BF9" w:rsidRPr="00F86BF9" w:rsidRDefault="00F86BF9" w:rsidP="00F86BF9">
            <w:pPr>
              <w:ind w:left="95"/>
              <w:rPr>
                <w:rFonts w:cs="Arial"/>
              </w:rPr>
            </w:pPr>
            <w:r w:rsidRPr="00F86BF9">
              <w:t xml:space="preserve">non-nucleoside </w:t>
            </w:r>
            <w:r w:rsidR="00313D70">
              <w:t>reverse transcriptase inhibitor</w:t>
            </w:r>
          </w:p>
        </w:tc>
      </w:tr>
      <w:tr w:rsidR="00F86BF9" w:rsidRPr="00F86BF9" w:rsidTr="000D5CC4">
        <w:tc>
          <w:tcPr>
            <w:tcW w:w="1890" w:type="dxa"/>
            <w:shd w:val="clear" w:color="auto" w:fill="auto"/>
          </w:tcPr>
          <w:p w:rsidR="00F86BF9" w:rsidRPr="000D5CC4" w:rsidRDefault="00F86BF9" w:rsidP="00F86BF9">
            <w:pPr>
              <w:ind w:left="142"/>
              <w:rPr>
                <w:color w:val="000000"/>
              </w:rPr>
            </w:pPr>
            <w:r w:rsidRPr="000D5CC4">
              <w:rPr>
                <w:color w:val="000000"/>
              </w:rPr>
              <w:t>PI</w:t>
            </w:r>
          </w:p>
        </w:tc>
        <w:tc>
          <w:tcPr>
            <w:tcW w:w="6911" w:type="dxa"/>
            <w:shd w:val="clear" w:color="auto" w:fill="auto"/>
          </w:tcPr>
          <w:p w:rsidR="00F86BF9" w:rsidRPr="000D5CC4" w:rsidRDefault="006E65C0" w:rsidP="006E65C0">
            <w:pPr>
              <w:ind w:left="95"/>
              <w:rPr>
                <w:color w:val="000000"/>
              </w:rPr>
            </w:pPr>
            <w:r>
              <w:rPr>
                <w:rFonts w:cs="Arial"/>
              </w:rPr>
              <w:t>p</w:t>
            </w:r>
            <w:r w:rsidR="00F86BF9" w:rsidRPr="00F86BF9">
              <w:rPr>
                <w:rFonts w:cs="Arial"/>
              </w:rPr>
              <w:t xml:space="preserve">roduct </w:t>
            </w:r>
            <w:r>
              <w:rPr>
                <w:rFonts w:cs="Arial"/>
              </w:rPr>
              <w:t>i</w:t>
            </w:r>
            <w:r w:rsidR="00F86BF9" w:rsidRPr="00F86BF9">
              <w:rPr>
                <w:rFonts w:cs="Arial"/>
              </w:rPr>
              <w:t>nformation</w:t>
            </w:r>
          </w:p>
        </w:tc>
      </w:tr>
      <w:tr w:rsidR="00F86BF9" w:rsidRPr="00F86BF9" w:rsidTr="000D5CC4">
        <w:tc>
          <w:tcPr>
            <w:tcW w:w="1890" w:type="dxa"/>
            <w:shd w:val="clear" w:color="auto" w:fill="auto"/>
          </w:tcPr>
          <w:p w:rsidR="00F86BF9" w:rsidRPr="000D5CC4" w:rsidRDefault="00F86BF9" w:rsidP="00F86BF9">
            <w:pPr>
              <w:ind w:left="142"/>
              <w:rPr>
                <w:color w:val="000000"/>
              </w:rPr>
            </w:pPr>
            <w:r w:rsidRPr="000D5CC4">
              <w:rPr>
                <w:color w:val="000000"/>
              </w:rPr>
              <w:t>PI/r</w:t>
            </w:r>
          </w:p>
        </w:tc>
        <w:tc>
          <w:tcPr>
            <w:tcW w:w="6911" w:type="dxa"/>
            <w:shd w:val="clear" w:color="auto" w:fill="auto"/>
          </w:tcPr>
          <w:p w:rsidR="00F86BF9" w:rsidRPr="00F86BF9" w:rsidRDefault="00F86BF9" w:rsidP="006E65C0">
            <w:pPr>
              <w:ind w:left="95"/>
              <w:rPr>
                <w:rFonts w:cs="Arial"/>
              </w:rPr>
            </w:pPr>
            <w:r w:rsidRPr="00F86BF9">
              <w:rPr>
                <w:rFonts w:cs="Arial"/>
              </w:rPr>
              <w:t xml:space="preserve">ritonavir-boosted </w:t>
            </w:r>
            <w:r w:rsidR="006E65C0">
              <w:rPr>
                <w:rFonts w:cs="Arial"/>
              </w:rPr>
              <w:t>p</w:t>
            </w:r>
            <w:r w:rsidRPr="00F86BF9">
              <w:rPr>
                <w:rFonts w:cs="Arial"/>
              </w:rPr>
              <w:t xml:space="preserve">rotease </w:t>
            </w:r>
            <w:r w:rsidR="006E65C0">
              <w:rPr>
                <w:rFonts w:cs="Arial"/>
              </w:rPr>
              <w:t>i</w:t>
            </w:r>
            <w:r w:rsidRPr="00F86BF9">
              <w:rPr>
                <w:rFonts w:cs="Arial"/>
              </w:rPr>
              <w:t>nhibitor</w:t>
            </w:r>
          </w:p>
        </w:tc>
      </w:tr>
      <w:tr w:rsidR="00F86BF9" w:rsidRPr="00F86BF9" w:rsidTr="000D5CC4">
        <w:tc>
          <w:tcPr>
            <w:tcW w:w="1890" w:type="dxa"/>
            <w:shd w:val="clear" w:color="auto" w:fill="auto"/>
          </w:tcPr>
          <w:p w:rsidR="00F86BF9" w:rsidRPr="000D5CC4" w:rsidRDefault="00313D70" w:rsidP="00F86BF9">
            <w:pPr>
              <w:ind w:left="142"/>
              <w:rPr>
                <w:color w:val="000000"/>
              </w:rPr>
            </w:pPr>
            <w:r>
              <w:rPr>
                <w:color w:val="000000"/>
              </w:rPr>
              <w:lastRenderedPageBreak/>
              <w:t>PK</w:t>
            </w:r>
          </w:p>
        </w:tc>
        <w:tc>
          <w:tcPr>
            <w:tcW w:w="6911" w:type="dxa"/>
            <w:shd w:val="clear" w:color="auto" w:fill="auto"/>
          </w:tcPr>
          <w:p w:rsidR="00F86BF9" w:rsidRPr="000D5CC4" w:rsidRDefault="00F86BF9" w:rsidP="00F86BF9">
            <w:pPr>
              <w:ind w:left="95"/>
              <w:rPr>
                <w:color w:val="000000"/>
              </w:rPr>
            </w:pPr>
            <w:r w:rsidRPr="000D5CC4">
              <w:rPr>
                <w:color w:val="000000"/>
              </w:rPr>
              <w:t>Pharmacokinetics</w:t>
            </w:r>
          </w:p>
        </w:tc>
      </w:tr>
      <w:tr w:rsidR="00F86BF9" w:rsidRPr="00F86BF9" w:rsidTr="000D5CC4">
        <w:tc>
          <w:tcPr>
            <w:tcW w:w="1890" w:type="dxa"/>
            <w:shd w:val="clear" w:color="auto" w:fill="auto"/>
          </w:tcPr>
          <w:p w:rsidR="00F86BF9" w:rsidRPr="000D5CC4" w:rsidRDefault="00313D70" w:rsidP="00F86BF9">
            <w:pPr>
              <w:ind w:left="142"/>
              <w:rPr>
                <w:color w:val="000000"/>
              </w:rPr>
            </w:pPr>
            <w:r>
              <w:rPr>
                <w:color w:val="000000"/>
              </w:rPr>
              <w:t>PP</w:t>
            </w:r>
          </w:p>
        </w:tc>
        <w:tc>
          <w:tcPr>
            <w:tcW w:w="6911" w:type="dxa"/>
            <w:shd w:val="clear" w:color="auto" w:fill="auto"/>
          </w:tcPr>
          <w:p w:rsidR="00F86BF9" w:rsidRPr="000D5CC4" w:rsidRDefault="00F86BF9" w:rsidP="00F86BF9">
            <w:pPr>
              <w:ind w:left="95"/>
              <w:rPr>
                <w:color w:val="000000"/>
              </w:rPr>
            </w:pPr>
            <w:r w:rsidRPr="000D5CC4">
              <w:rPr>
                <w:color w:val="000000"/>
              </w:rPr>
              <w:t>Per protocol</w:t>
            </w:r>
          </w:p>
        </w:tc>
      </w:tr>
      <w:tr w:rsidR="00F86BF9" w:rsidRPr="00F86BF9" w:rsidTr="000D5CC4">
        <w:tc>
          <w:tcPr>
            <w:tcW w:w="1890" w:type="dxa"/>
            <w:shd w:val="clear" w:color="auto" w:fill="auto"/>
          </w:tcPr>
          <w:p w:rsidR="00F86BF9" w:rsidRPr="000D5CC4" w:rsidRDefault="00F86BF9" w:rsidP="00F86BF9">
            <w:pPr>
              <w:ind w:left="142"/>
              <w:rPr>
                <w:color w:val="000000"/>
              </w:rPr>
            </w:pPr>
            <w:r w:rsidRPr="000D5CC4">
              <w:rPr>
                <w:color w:val="000000"/>
              </w:rPr>
              <w:t>/r</w:t>
            </w:r>
          </w:p>
        </w:tc>
        <w:tc>
          <w:tcPr>
            <w:tcW w:w="6911" w:type="dxa"/>
            <w:shd w:val="clear" w:color="auto" w:fill="auto"/>
          </w:tcPr>
          <w:p w:rsidR="00F86BF9" w:rsidRPr="000D5CC4" w:rsidRDefault="00F86BF9" w:rsidP="00F86BF9">
            <w:pPr>
              <w:ind w:left="95"/>
              <w:rPr>
                <w:color w:val="000000"/>
              </w:rPr>
            </w:pPr>
            <w:r w:rsidRPr="000D5CC4">
              <w:rPr>
                <w:color w:val="000000"/>
              </w:rPr>
              <w:t>boosting dose of ritonavir</w:t>
            </w:r>
          </w:p>
        </w:tc>
      </w:tr>
      <w:tr w:rsidR="00F86BF9" w:rsidRPr="00F86BF9" w:rsidTr="000D5CC4">
        <w:tc>
          <w:tcPr>
            <w:tcW w:w="1890" w:type="dxa"/>
            <w:shd w:val="clear" w:color="auto" w:fill="auto"/>
          </w:tcPr>
          <w:p w:rsidR="00F86BF9" w:rsidRPr="000D5CC4" w:rsidRDefault="00F86BF9" w:rsidP="00F86BF9">
            <w:pPr>
              <w:ind w:left="142"/>
              <w:rPr>
                <w:color w:val="000000"/>
              </w:rPr>
            </w:pPr>
            <w:r w:rsidRPr="00F86BF9">
              <w:rPr>
                <w:rFonts w:cs="TimesNewRoman"/>
                <w:color w:val="000000"/>
              </w:rPr>
              <w:t>RAP</w:t>
            </w:r>
          </w:p>
        </w:tc>
        <w:tc>
          <w:tcPr>
            <w:tcW w:w="6911" w:type="dxa"/>
            <w:shd w:val="clear" w:color="auto" w:fill="auto"/>
          </w:tcPr>
          <w:p w:rsidR="00F86BF9" w:rsidRPr="000D5CC4" w:rsidRDefault="006E65C0" w:rsidP="006E65C0">
            <w:pPr>
              <w:ind w:left="95"/>
              <w:rPr>
                <w:color w:val="000000"/>
              </w:rPr>
            </w:pPr>
            <w:r>
              <w:rPr>
                <w:rFonts w:cs="TimesNewRoman"/>
                <w:color w:val="000000"/>
              </w:rPr>
              <w:t>r</w:t>
            </w:r>
            <w:r w:rsidR="00F86BF9" w:rsidRPr="00F86BF9">
              <w:rPr>
                <w:rFonts w:cs="TimesNewRoman"/>
                <w:color w:val="000000"/>
              </w:rPr>
              <w:t xml:space="preserve">esistance </w:t>
            </w:r>
            <w:r>
              <w:rPr>
                <w:rFonts w:cs="TimesNewRoman"/>
                <w:color w:val="000000"/>
              </w:rPr>
              <w:t>a</w:t>
            </w:r>
            <w:r w:rsidR="00F86BF9" w:rsidRPr="00F86BF9">
              <w:rPr>
                <w:rFonts w:cs="TimesNewRoman"/>
                <w:color w:val="000000"/>
              </w:rPr>
              <w:t xml:space="preserve">nalysis </w:t>
            </w:r>
            <w:r>
              <w:rPr>
                <w:rFonts w:cs="TimesNewRoman"/>
                <w:color w:val="000000"/>
              </w:rPr>
              <w:t>p</w:t>
            </w:r>
            <w:r w:rsidR="00313D70">
              <w:rPr>
                <w:rFonts w:cs="TimesNewRoman"/>
                <w:color w:val="000000"/>
              </w:rPr>
              <w:t>opulation</w:t>
            </w:r>
          </w:p>
        </w:tc>
      </w:tr>
      <w:tr w:rsidR="00F86BF9" w:rsidRPr="00F86BF9" w:rsidTr="000D5CC4">
        <w:tc>
          <w:tcPr>
            <w:tcW w:w="1890" w:type="dxa"/>
            <w:shd w:val="clear" w:color="auto" w:fill="auto"/>
          </w:tcPr>
          <w:p w:rsidR="00F86BF9" w:rsidRPr="000D5CC4" w:rsidRDefault="00F86BF9" w:rsidP="00F86BF9">
            <w:pPr>
              <w:ind w:left="142"/>
              <w:rPr>
                <w:color w:val="000000"/>
              </w:rPr>
            </w:pPr>
            <w:r w:rsidRPr="000D5CC4">
              <w:rPr>
                <w:color w:val="000000"/>
              </w:rPr>
              <w:t>RPV</w:t>
            </w:r>
          </w:p>
        </w:tc>
        <w:tc>
          <w:tcPr>
            <w:tcW w:w="6911" w:type="dxa"/>
            <w:shd w:val="clear" w:color="auto" w:fill="auto"/>
          </w:tcPr>
          <w:p w:rsidR="00F86BF9" w:rsidRPr="000D5CC4" w:rsidRDefault="00F86BF9" w:rsidP="00F86BF9">
            <w:pPr>
              <w:ind w:left="95"/>
              <w:rPr>
                <w:color w:val="000000"/>
              </w:rPr>
            </w:pPr>
            <w:r w:rsidRPr="000D5CC4">
              <w:rPr>
                <w:color w:val="000000"/>
              </w:rPr>
              <w:t>rilpivirine</w:t>
            </w:r>
          </w:p>
        </w:tc>
      </w:tr>
      <w:tr w:rsidR="00F86BF9" w:rsidRPr="00F86BF9" w:rsidTr="000D5CC4">
        <w:tc>
          <w:tcPr>
            <w:tcW w:w="1890" w:type="dxa"/>
            <w:shd w:val="clear" w:color="auto" w:fill="auto"/>
          </w:tcPr>
          <w:p w:rsidR="00F86BF9" w:rsidRPr="000D5CC4" w:rsidRDefault="00F86BF9" w:rsidP="00F86BF9">
            <w:pPr>
              <w:ind w:left="142"/>
              <w:rPr>
                <w:color w:val="000000"/>
              </w:rPr>
            </w:pPr>
            <w:r w:rsidRPr="000D5CC4">
              <w:rPr>
                <w:color w:val="000000"/>
              </w:rPr>
              <w:t>SAE</w:t>
            </w:r>
          </w:p>
        </w:tc>
        <w:tc>
          <w:tcPr>
            <w:tcW w:w="6911" w:type="dxa"/>
            <w:shd w:val="clear" w:color="auto" w:fill="auto"/>
          </w:tcPr>
          <w:p w:rsidR="00F86BF9" w:rsidRPr="000D5CC4" w:rsidRDefault="004049E4" w:rsidP="00F86BF9">
            <w:pPr>
              <w:ind w:left="95"/>
              <w:rPr>
                <w:color w:val="000000"/>
              </w:rPr>
            </w:pPr>
            <w:r w:rsidRPr="000D5CC4">
              <w:rPr>
                <w:color w:val="000000"/>
              </w:rPr>
              <w:t>s</w:t>
            </w:r>
            <w:r w:rsidR="00F86BF9" w:rsidRPr="000D5CC4">
              <w:rPr>
                <w:color w:val="000000"/>
              </w:rPr>
              <w:t>erious adverse event</w:t>
            </w:r>
          </w:p>
        </w:tc>
      </w:tr>
      <w:tr w:rsidR="00F86BF9" w:rsidRPr="00F86BF9" w:rsidTr="000D5CC4">
        <w:tc>
          <w:tcPr>
            <w:tcW w:w="1890" w:type="dxa"/>
            <w:shd w:val="clear" w:color="auto" w:fill="auto"/>
          </w:tcPr>
          <w:p w:rsidR="00F86BF9" w:rsidRPr="000D5CC4" w:rsidRDefault="00F86BF9" w:rsidP="00F86BF9">
            <w:pPr>
              <w:ind w:left="142"/>
              <w:rPr>
                <w:color w:val="000000"/>
              </w:rPr>
            </w:pPr>
            <w:r w:rsidRPr="00F86BF9">
              <w:rPr>
                <w:rFonts w:cs="Arial"/>
              </w:rPr>
              <w:t>SOC</w:t>
            </w:r>
          </w:p>
        </w:tc>
        <w:tc>
          <w:tcPr>
            <w:tcW w:w="6911" w:type="dxa"/>
            <w:shd w:val="clear" w:color="auto" w:fill="auto"/>
          </w:tcPr>
          <w:p w:rsidR="00F86BF9" w:rsidRPr="000D5CC4" w:rsidRDefault="00F86BF9" w:rsidP="00F86BF9">
            <w:pPr>
              <w:ind w:left="95"/>
              <w:rPr>
                <w:color w:val="000000"/>
              </w:rPr>
            </w:pPr>
            <w:r w:rsidRPr="00F86BF9">
              <w:rPr>
                <w:rFonts w:cs="Arial"/>
              </w:rPr>
              <w:t>system organ class</w:t>
            </w:r>
          </w:p>
        </w:tc>
      </w:tr>
      <w:tr w:rsidR="00F86BF9" w:rsidRPr="00F86BF9" w:rsidTr="000D5CC4">
        <w:tc>
          <w:tcPr>
            <w:tcW w:w="1890" w:type="dxa"/>
            <w:shd w:val="clear" w:color="auto" w:fill="auto"/>
          </w:tcPr>
          <w:p w:rsidR="00F86BF9" w:rsidRPr="000D5CC4" w:rsidRDefault="00F86BF9" w:rsidP="00F86BF9">
            <w:pPr>
              <w:ind w:left="142"/>
              <w:rPr>
                <w:color w:val="000000"/>
              </w:rPr>
            </w:pPr>
            <w:r w:rsidRPr="000D5CC4">
              <w:rPr>
                <w:color w:val="000000"/>
              </w:rPr>
              <w:t>STR</w:t>
            </w:r>
          </w:p>
        </w:tc>
        <w:tc>
          <w:tcPr>
            <w:tcW w:w="6911" w:type="dxa"/>
            <w:shd w:val="clear" w:color="auto" w:fill="auto"/>
          </w:tcPr>
          <w:p w:rsidR="00F86BF9" w:rsidRPr="000D5CC4" w:rsidRDefault="00AD3166" w:rsidP="00F86BF9">
            <w:pPr>
              <w:ind w:left="95"/>
              <w:rPr>
                <w:color w:val="000000"/>
              </w:rPr>
            </w:pPr>
            <w:r w:rsidRPr="000D5CC4">
              <w:rPr>
                <w:color w:val="000000"/>
              </w:rPr>
              <w:t>s</w:t>
            </w:r>
            <w:r w:rsidR="00F86BF9" w:rsidRPr="000D5CC4">
              <w:rPr>
                <w:color w:val="000000"/>
              </w:rPr>
              <w:t>ingle tablet regimen</w:t>
            </w:r>
          </w:p>
        </w:tc>
      </w:tr>
      <w:tr w:rsidR="00F86BF9" w:rsidRPr="00F86BF9" w:rsidTr="000D5CC4">
        <w:tc>
          <w:tcPr>
            <w:tcW w:w="1890" w:type="dxa"/>
            <w:shd w:val="clear" w:color="auto" w:fill="auto"/>
          </w:tcPr>
          <w:p w:rsidR="00F86BF9" w:rsidRPr="00F86BF9" w:rsidRDefault="00F86BF9" w:rsidP="00F86BF9">
            <w:pPr>
              <w:ind w:left="142"/>
            </w:pPr>
            <w:r w:rsidRPr="00F86BF9">
              <w:t>3TC</w:t>
            </w:r>
          </w:p>
        </w:tc>
        <w:tc>
          <w:tcPr>
            <w:tcW w:w="6911" w:type="dxa"/>
            <w:shd w:val="clear" w:color="auto" w:fill="auto"/>
          </w:tcPr>
          <w:p w:rsidR="00F86BF9" w:rsidRPr="000D5CC4" w:rsidRDefault="00F86BF9" w:rsidP="00F86BF9">
            <w:pPr>
              <w:ind w:left="95"/>
              <w:rPr>
                <w:color w:val="000000"/>
              </w:rPr>
            </w:pPr>
            <w:r w:rsidRPr="000D5CC4">
              <w:rPr>
                <w:color w:val="000000"/>
              </w:rPr>
              <w:t>lamivudine</w:t>
            </w:r>
          </w:p>
        </w:tc>
      </w:tr>
      <w:tr w:rsidR="00F86BF9" w:rsidRPr="00F86BF9" w:rsidTr="000D5CC4">
        <w:tc>
          <w:tcPr>
            <w:tcW w:w="1890" w:type="dxa"/>
            <w:shd w:val="clear" w:color="auto" w:fill="auto"/>
          </w:tcPr>
          <w:p w:rsidR="00F86BF9" w:rsidRPr="00F86BF9" w:rsidRDefault="00F86BF9" w:rsidP="00F86BF9">
            <w:pPr>
              <w:ind w:left="142"/>
            </w:pPr>
            <w:r w:rsidRPr="00F86BF9">
              <w:t>TDF</w:t>
            </w:r>
          </w:p>
        </w:tc>
        <w:tc>
          <w:tcPr>
            <w:tcW w:w="6911" w:type="dxa"/>
            <w:shd w:val="clear" w:color="auto" w:fill="auto"/>
          </w:tcPr>
          <w:p w:rsidR="00F86BF9" w:rsidRPr="000D5CC4" w:rsidRDefault="00F86BF9" w:rsidP="00F86BF9">
            <w:pPr>
              <w:ind w:left="95"/>
              <w:rPr>
                <w:color w:val="000000"/>
              </w:rPr>
            </w:pPr>
            <w:r w:rsidRPr="000D5CC4">
              <w:rPr>
                <w:color w:val="000000"/>
              </w:rPr>
              <w:t>tenofovir disoproxil fumarate</w:t>
            </w:r>
          </w:p>
        </w:tc>
      </w:tr>
      <w:tr w:rsidR="00F86BF9" w:rsidRPr="00F86BF9" w:rsidTr="000D5CC4">
        <w:tc>
          <w:tcPr>
            <w:tcW w:w="1890" w:type="dxa"/>
            <w:shd w:val="clear" w:color="auto" w:fill="auto"/>
          </w:tcPr>
          <w:p w:rsidR="00F86BF9" w:rsidRPr="000D5CC4" w:rsidRDefault="00F86BF9" w:rsidP="00F86BF9">
            <w:pPr>
              <w:ind w:left="142"/>
              <w:rPr>
                <w:color w:val="000000"/>
              </w:rPr>
            </w:pPr>
            <w:r w:rsidRPr="00F86BF9">
              <w:t>TDF/FTC</w:t>
            </w:r>
          </w:p>
        </w:tc>
        <w:tc>
          <w:tcPr>
            <w:tcW w:w="6911" w:type="dxa"/>
            <w:shd w:val="clear" w:color="auto" w:fill="auto"/>
          </w:tcPr>
          <w:p w:rsidR="00F86BF9" w:rsidRPr="000D5CC4" w:rsidRDefault="00F86BF9" w:rsidP="00F86BF9">
            <w:pPr>
              <w:ind w:left="95"/>
              <w:rPr>
                <w:color w:val="000000"/>
              </w:rPr>
            </w:pPr>
            <w:r w:rsidRPr="000D5CC4">
              <w:rPr>
                <w:color w:val="000000"/>
              </w:rPr>
              <w:t>tenofovir disoproxil fumarate/emtricitabine</w:t>
            </w:r>
          </w:p>
        </w:tc>
      </w:tr>
      <w:tr w:rsidR="00F86BF9" w:rsidRPr="00F86BF9" w:rsidTr="000D5CC4">
        <w:tc>
          <w:tcPr>
            <w:tcW w:w="1890" w:type="dxa"/>
            <w:shd w:val="clear" w:color="auto" w:fill="auto"/>
          </w:tcPr>
          <w:p w:rsidR="00F86BF9" w:rsidRPr="000D5CC4" w:rsidRDefault="00F86BF9" w:rsidP="00F86BF9">
            <w:pPr>
              <w:ind w:left="142"/>
              <w:rPr>
                <w:color w:val="000000"/>
              </w:rPr>
            </w:pPr>
            <w:r w:rsidRPr="00F86BF9">
              <w:t>TDF/FTC/RPV</w:t>
            </w:r>
          </w:p>
        </w:tc>
        <w:tc>
          <w:tcPr>
            <w:tcW w:w="6911" w:type="dxa"/>
            <w:shd w:val="clear" w:color="auto" w:fill="auto"/>
          </w:tcPr>
          <w:p w:rsidR="00F86BF9" w:rsidRPr="000D5CC4" w:rsidRDefault="00F86BF9" w:rsidP="00F86BF9">
            <w:pPr>
              <w:ind w:left="95"/>
              <w:rPr>
                <w:color w:val="000000"/>
              </w:rPr>
            </w:pPr>
            <w:r w:rsidRPr="000D5CC4">
              <w:rPr>
                <w:color w:val="000000"/>
              </w:rPr>
              <w:t>tenofovir disoproxil fumarate/emtricitabine/rilpivirine</w:t>
            </w:r>
          </w:p>
        </w:tc>
      </w:tr>
      <w:tr w:rsidR="00F86BF9" w:rsidRPr="00F86BF9" w:rsidTr="000D5CC4">
        <w:tc>
          <w:tcPr>
            <w:tcW w:w="1890" w:type="dxa"/>
            <w:shd w:val="clear" w:color="auto" w:fill="auto"/>
          </w:tcPr>
          <w:p w:rsidR="00F86BF9" w:rsidRPr="00F86BF9" w:rsidRDefault="00F86BF9" w:rsidP="00F86BF9">
            <w:pPr>
              <w:ind w:left="142"/>
            </w:pPr>
            <w:r w:rsidRPr="00F86BF9">
              <w:t>TE</w:t>
            </w:r>
          </w:p>
        </w:tc>
        <w:tc>
          <w:tcPr>
            <w:tcW w:w="6911" w:type="dxa"/>
            <w:shd w:val="clear" w:color="auto" w:fill="auto"/>
          </w:tcPr>
          <w:p w:rsidR="00F86BF9" w:rsidRPr="000D5CC4" w:rsidRDefault="00F86BF9" w:rsidP="00F86BF9">
            <w:pPr>
              <w:ind w:left="95"/>
              <w:rPr>
                <w:color w:val="000000"/>
              </w:rPr>
            </w:pPr>
            <w:r w:rsidRPr="000D5CC4">
              <w:rPr>
                <w:color w:val="000000"/>
              </w:rPr>
              <w:t>treatment emergent</w:t>
            </w:r>
          </w:p>
        </w:tc>
      </w:tr>
      <w:tr w:rsidR="00F86BF9" w:rsidRPr="00F86BF9" w:rsidTr="000D5CC4">
        <w:tc>
          <w:tcPr>
            <w:tcW w:w="1890" w:type="dxa"/>
            <w:shd w:val="clear" w:color="auto" w:fill="auto"/>
          </w:tcPr>
          <w:p w:rsidR="00F86BF9" w:rsidRPr="00F86BF9" w:rsidRDefault="00F86BF9" w:rsidP="00F86BF9">
            <w:pPr>
              <w:ind w:left="142"/>
            </w:pPr>
            <w:r w:rsidRPr="00F86BF9">
              <w:t>TEAE</w:t>
            </w:r>
          </w:p>
        </w:tc>
        <w:tc>
          <w:tcPr>
            <w:tcW w:w="6911" w:type="dxa"/>
            <w:shd w:val="clear" w:color="auto" w:fill="auto"/>
          </w:tcPr>
          <w:p w:rsidR="00F86BF9" w:rsidRPr="000D5CC4" w:rsidRDefault="00F86BF9" w:rsidP="00F86BF9">
            <w:pPr>
              <w:ind w:left="95"/>
              <w:rPr>
                <w:color w:val="000000"/>
              </w:rPr>
            </w:pPr>
            <w:r w:rsidRPr="000D5CC4">
              <w:rPr>
                <w:color w:val="000000"/>
              </w:rPr>
              <w:t>treatment emergent adverse events</w:t>
            </w:r>
          </w:p>
        </w:tc>
      </w:tr>
      <w:tr w:rsidR="00F86BF9" w:rsidRPr="00F86BF9" w:rsidTr="000D5CC4">
        <w:tc>
          <w:tcPr>
            <w:tcW w:w="1890" w:type="dxa"/>
            <w:shd w:val="clear" w:color="auto" w:fill="auto"/>
          </w:tcPr>
          <w:p w:rsidR="00F86BF9" w:rsidRPr="000D5CC4" w:rsidRDefault="00F86BF9" w:rsidP="00F86BF9">
            <w:pPr>
              <w:ind w:left="142"/>
              <w:rPr>
                <w:color w:val="000000"/>
              </w:rPr>
            </w:pPr>
            <w:r w:rsidRPr="000D5CC4">
              <w:rPr>
                <w:color w:val="000000"/>
              </w:rPr>
              <w:t>TGs</w:t>
            </w:r>
          </w:p>
        </w:tc>
        <w:tc>
          <w:tcPr>
            <w:tcW w:w="6911" w:type="dxa"/>
            <w:shd w:val="clear" w:color="auto" w:fill="auto"/>
          </w:tcPr>
          <w:p w:rsidR="00F86BF9" w:rsidRPr="000D5CC4" w:rsidRDefault="00F86BF9" w:rsidP="00F86BF9">
            <w:pPr>
              <w:ind w:left="95"/>
              <w:rPr>
                <w:color w:val="000000"/>
              </w:rPr>
            </w:pPr>
            <w:r w:rsidRPr="000D5CC4">
              <w:rPr>
                <w:color w:val="000000"/>
              </w:rPr>
              <w:t>triglycerides</w:t>
            </w:r>
          </w:p>
        </w:tc>
      </w:tr>
      <w:tr w:rsidR="00F86BF9" w:rsidRPr="00F86BF9" w:rsidTr="000D5CC4">
        <w:tc>
          <w:tcPr>
            <w:tcW w:w="1890" w:type="dxa"/>
            <w:shd w:val="clear" w:color="auto" w:fill="auto"/>
          </w:tcPr>
          <w:p w:rsidR="00F86BF9" w:rsidRPr="000D5CC4" w:rsidRDefault="00F86BF9" w:rsidP="00F86BF9">
            <w:pPr>
              <w:ind w:left="142"/>
              <w:rPr>
                <w:color w:val="000000"/>
              </w:rPr>
            </w:pPr>
            <w:r w:rsidRPr="00F86BF9">
              <w:t>t</w:t>
            </w:r>
            <w:r w:rsidRPr="00F86BF9">
              <w:rPr>
                <w:vertAlign w:val="subscript"/>
              </w:rPr>
              <w:t>1/2</w:t>
            </w:r>
          </w:p>
        </w:tc>
        <w:tc>
          <w:tcPr>
            <w:tcW w:w="6911" w:type="dxa"/>
            <w:shd w:val="clear" w:color="auto" w:fill="auto"/>
          </w:tcPr>
          <w:p w:rsidR="00F86BF9" w:rsidRPr="000D5CC4" w:rsidRDefault="00F86BF9" w:rsidP="00F86BF9">
            <w:pPr>
              <w:ind w:left="95"/>
              <w:rPr>
                <w:color w:val="000000"/>
              </w:rPr>
            </w:pPr>
            <w:r w:rsidRPr="000D5CC4">
              <w:rPr>
                <w:color w:val="000000"/>
              </w:rPr>
              <w:t>half-life</w:t>
            </w:r>
          </w:p>
        </w:tc>
      </w:tr>
      <w:tr w:rsidR="00F86BF9" w:rsidRPr="00F86BF9" w:rsidTr="000D5CC4">
        <w:tc>
          <w:tcPr>
            <w:tcW w:w="1890" w:type="dxa"/>
            <w:shd w:val="clear" w:color="auto" w:fill="auto"/>
          </w:tcPr>
          <w:p w:rsidR="00F86BF9" w:rsidRPr="00F86BF9" w:rsidRDefault="00F86BF9" w:rsidP="00F86BF9">
            <w:pPr>
              <w:ind w:left="142"/>
            </w:pPr>
            <w:r w:rsidRPr="00F86BF9">
              <w:t>TLOVR</w:t>
            </w:r>
          </w:p>
        </w:tc>
        <w:tc>
          <w:tcPr>
            <w:tcW w:w="6911" w:type="dxa"/>
            <w:shd w:val="clear" w:color="auto" w:fill="auto"/>
          </w:tcPr>
          <w:p w:rsidR="00F86BF9" w:rsidRPr="000D5CC4" w:rsidRDefault="00F86BF9" w:rsidP="00F86BF9">
            <w:pPr>
              <w:ind w:left="95"/>
              <w:rPr>
                <w:color w:val="000000"/>
              </w:rPr>
            </w:pPr>
            <w:r w:rsidRPr="00F86BF9">
              <w:t>time to loss of virologic response</w:t>
            </w:r>
          </w:p>
        </w:tc>
      </w:tr>
      <w:tr w:rsidR="00F86BF9" w:rsidRPr="00F86BF9" w:rsidTr="000D5CC4">
        <w:tc>
          <w:tcPr>
            <w:tcW w:w="1890" w:type="dxa"/>
            <w:shd w:val="clear" w:color="auto" w:fill="auto"/>
          </w:tcPr>
          <w:p w:rsidR="00F86BF9" w:rsidRPr="000D5CC4" w:rsidRDefault="00F86BF9" w:rsidP="00F86BF9">
            <w:pPr>
              <w:ind w:left="142"/>
              <w:rPr>
                <w:color w:val="000000"/>
              </w:rPr>
            </w:pPr>
            <w:r w:rsidRPr="00F86BF9">
              <w:t>T</w:t>
            </w:r>
            <w:r w:rsidRPr="00F86BF9">
              <w:rPr>
                <w:vertAlign w:val="subscript"/>
              </w:rPr>
              <w:t>max</w:t>
            </w:r>
          </w:p>
        </w:tc>
        <w:tc>
          <w:tcPr>
            <w:tcW w:w="6911" w:type="dxa"/>
            <w:shd w:val="clear" w:color="auto" w:fill="auto"/>
          </w:tcPr>
          <w:p w:rsidR="00F86BF9" w:rsidRPr="000D5CC4" w:rsidRDefault="00F86BF9" w:rsidP="00F86BF9">
            <w:pPr>
              <w:ind w:left="95"/>
              <w:rPr>
                <w:color w:val="000000"/>
              </w:rPr>
            </w:pPr>
            <w:r w:rsidRPr="00F86BF9">
              <w:t>the time (observed time point) of C</w:t>
            </w:r>
            <w:r w:rsidRPr="00F86BF9">
              <w:rPr>
                <w:vertAlign w:val="subscript"/>
              </w:rPr>
              <w:t>max</w:t>
            </w:r>
          </w:p>
        </w:tc>
      </w:tr>
      <w:tr w:rsidR="00F86BF9" w:rsidRPr="00F86BF9" w:rsidTr="000D5CC4">
        <w:tc>
          <w:tcPr>
            <w:tcW w:w="1890" w:type="dxa"/>
            <w:shd w:val="clear" w:color="auto" w:fill="auto"/>
          </w:tcPr>
          <w:p w:rsidR="00F86BF9" w:rsidRPr="00F86BF9" w:rsidRDefault="00F86BF9" w:rsidP="00F86BF9">
            <w:pPr>
              <w:ind w:left="142"/>
            </w:pPr>
            <w:r w:rsidRPr="00F86BF9">
              <w:t>TNV</w:t>
            </w:r>
          </w:p>
        </w:tc>
        <w:tc>
          <w:tcPr>
            <w:tcW w:w="6911" w:type="dxa"/>
            <w:shd w:val="clear" w:color="auto" w:fill="auto"/>
          </w:tcPr>
          <w:p w:rsidR="00F86BF9" w:rsidRPr="000D5CC4" w:rsidRDefault="00F86BF9" w:rsidP="00F86BF9">
            <w:pPr>
              <w:ind w:left="95"/>
              <w:rPr>
                <w:color w:val="000000"/>
              </w:rPr>
            </w:pPr>
            <w:r w:rsidRPr="000D5CC4">
              <w:rPr>
                <w:color w:val="000000"/>
              </w:rPr>
              <w:t>tenofovir</w:t>
            </w:r>
          </w:p>
        </w:tc>
      </w:tr>
      <w:tr w:rsidR="00F86BF9" w:rsidRPr="00F86BF9" w:rsidTr="000D5CC4">
        <w:tc>
          <w:tcPr>
            <w:tcW w:w="1890" w:type="dxa"/>
            <w:shd w:val="clear" w:color="auto" w:fill="auto"/>
          </w:tcPr>
          <w:p w:rsidR="00F86BF9" w:rsidRPr="000D5CC4" w:rsidRDefault="00F86BF9" w:rsidP="00F86BF9">
            <w:pPr>
              <w:ind w:left="142"/>
              <w:rPr>
                <w:color w:val="000000"/>
              </w:rPr>
            </w:pPr>
            <w:r w:rsidRPr="000D5CC4">
              <w:rPr>
                <w:color w:val="000000"/>
              </w:rPr>
              <w:t>TRAE</w:t>
            </w:r>
          </w:p>
        </w:tc>
        <w:tc>
          <w:tcPr>
            <w:tcW w:w="6911" w:type="dxa"/>
            <w:shd w:val="clear" w:color="auto" w:fill="auto"/>
          </w:tcPr>
          <w:p w:rsidR="00F86BF9" w:rsidRPr="000D5CC4" w:rsidRDefault="006E65C0" w:rsidP="00F86BF9">
            <w:pPr>
              <w:ind w:left="95"/>
              <w:rPr>
                <w:color w:val="000000"/>
              </w:rPr>
            </w:pPr>
            <w:r>
              <w:rPr>
                <w:color w:val="000000"/>
              </w:rPr>
              <w:t>t</w:t>
            </w:r>
            <w:r w:rsidR="00F86BF9" w:rsidRPr="000D5CC4">
              <w:rPr>
                <w:color w:val="000000"/>
              </w:rPr>
              <w:t>reatment-related adverse event</w:t>
            </w:r>
          </w:p>
        </w:tc>
      </w:tr>
      <w:tr w:rsidR="00F86BF9" w:rsidRPr="00F86BF9" w:rsidTr="000D5CC4">
        <w:tc>
          <w:tcPr>
            <w:tcW w:w="1890" w:type="dxa"/>
            <w:shd w:val="clear" w:color="auto" w:fill="auto"/>
          </w:tcPr>
          <w:p w:rsidR="00F86BF9" w:rsidRPr="000D5CC4" w:rsidRDefault="00F86BF9" w:rsidP="00F86BF9">
            <w:pPr>
              <w:ind w:left="142"/>
              <w:rPr>
                <w:color w:val="000000"/>
              </w:rPr>
            </w:pPr>
            <w:r w:rsidRPr="000D5CC4">
              <w:rPr>
                <w:color w:val="000000"/>
              </w:rPr>
              <w:t>VL</w:t>
            </w:r>
          </w:p>
        </w:tc>
        <w:tc>
          <w:tcPr>
            <w:tcW w:w="6911" w:type="dxa"/>
            <w:shd w:val="clear" w:color="auto" w:fill="auto"/>
          </w:tcPr>
          <w:p w:rsidR="00F86BF9" w:rsidRPr="000D5CC4" w:rsidRDefault="00F86BF9" w:rsidP="00F86BF9">
            <w:pPr>
              <w:ind w:left="95"/>
              <w:rPr>
                <w:color w:val="000000"/>
              </w:rPr>
            </w:pPr>
            <w:r w:rsidRPr="000D5CC4">
              <w:rPr>
                <w:color w:val="000000"/>
              </w:rPr>
              <w:t>HIV plasma viral load</w:t>
            </w:r>
          </w:p>
        </w:tc>
      </w:tr>
    </w:tbl>
    <w:p w:rsidR="00586F98" w:rsidRDefault="00586F98" w:rsidP="006E65C0">
      <w:pPr>
        <w:pStyle w:val="Heading2"/>
        <w:rPr>
          <w:lang w:eastAsia="en-AU"/>
        </w:rPr>
      </w:pPr>
      <w:bookmarkStart w:id="7" w:name="_Toc396308655"/>
      <w:bookmarkStart w:id="8" w:name="_Toc351718900"/>
      <w:bookmarkStart w:id="9" w:name="_Toc355338635"/>
      <w:r>
        <w:rPr>
          <w:lang w:eastAsia="en-AU"/>
        </w:rPr>
        <w:t>Clinical rationale</w:t>
      </w:r>
      <w:bookmarkEnd w:id="7"/>
    </w:p>
    <w:p w:rsidR="002511EA" w:rsidRPr="006D3949" w:rsidRDefault="002511EA" w:rsidP="00313D70">
      <w:r w:rsidRPr="006D3949">
        <w:t xml:space="preserve">There are an increasing number of fixed dose combination (FDC) drugs for the treatment of HIV-1 infection and Eviplera is one. This FDC was developed as a complete ARV regimen for administration as a single tablet, administered once daily (OD) with a meal. The efficacy, safety, and tolerability of the TDF </w:t>
      </w:r>
      <w:r>
        <w:t xml:space="preserve">and FTC </w:t>
      </w:r>
      <w:r w:rsidRPr="006D3949">
        <w:t xml:space="preserve">components of Eviplera single </w:t>
      </w:r>
      <w:r>
        <w:t xml:space="preserve">tablet </w:t>
      </w:r>
      <w:r w:rsidRPr="006D3949">
        <w:t xml:space="preserve">regimen (STR) are well established, and key efficacy and safety data were provided in their respective original </w:t>
      </w:r>
      <w:r w:rsidRPr="006D3949">
        <w:lastRenderedPageBreak/>
        <w:t xml:space="preserve">marketing applications. Within the NRTI-NNRTI class of FDC, Eviplera is an alternative agent to Atripla, the FDC consisting of </w:t>
      </w:r>
      <w:r>
        <w:t>TDF, FTC and</w:t>
      </w:r>
      <w:r w:rsidRPr="006D3949">
        <w:t xml:space="preserve"> efavirenz</w:t>
      </w:r>
      <w:r>
        <w:t xml:space="preserve"> (</w:t>
      </w:r>
      <w:r w:rsidRPr="006D3949">
        <w:t>EFV</w:t>
      </w:r>
      <w:r>
        <w:t>)</w:t>
      </w:r>
      <w:r w:rsidRPr="006D3949">
        <w:t>. Eviplera is registered as a drug for use in an antiretroviral (ARV) naïve setting in adults with HIV-1 infection. The clinical rationale for broadening its indication is two</w:t>
      </w:r>
      <w:r w:rsidR="00AE0146">
        <w:t>-</w:t>
      </w:r>
      <w:r w:rsidRPr="006D3949">
        <w:t>fold:</w:t>
      </w:r>
    </w:p>
    <w:p w:rsidR="002511EA" w:rsidRPr="006E65C0" w:rsidRDefault="002511EA" w:rsidP="006E65C0">
      <w:pPr>
        <w:pStyle w:val="ListBullet"/>
      </w:pPr>
      <w:r w:rsidRPr="006E65C0">
        <w:t>To allow its use in naïve patients with higher plasma HIV RNA, that i</w:t>
      </w:r>
      <w:r w:rsidR="006E65C0">
        <w:t>s higher than 100,000 copies/mL</w:t>
      </w:r>
      <w:r w:rsidRPr="006E65C0">
        <w:t xml:space="preserve"> and</w:t>
      </w:r>
    </w:p>
    <w:p w:rsidR="002511EA" w:rsidRPr="006E65C0" w:rsidRDefault="002511EA" w:rsidP="006E65C0">
      <w:pPr>
        <w:pStyle w:val="ListBullet"/>
      </w:pPr>
      <w:r w:rsidRPr="006E65C0">
        <w:t>To allow its use in a treatment experienced setting including as a switch drug. An example would be if the patient is intolerant to the NNRTI component of their current FDC (for example, EFV), then the patient could be switched to Eviplera in lieu of Atripla. In other words, the registration of Eviplera in this setting allows an intra</w:t>
      </w:r>
      <w:r w:rsidR="00871581" w:rsidRPr="006E65C0">
        <w:t>-</w:t>
      </w:r>
      <w:r w:rsidRPr="006E65C0">
        <w:t>class switch for intolerance through the rep</w:t>
      </w:r>
      <w:r w:rsidR="006E65C0">
        <w:t>lacement of one FDC by another.</w:t>
      </w:r>
    </w:p>
    <w:p w:rsidR="00586F98" w:rsidRDefault="00586F98" w:rsidP="006E65C0">
      <w:pPr>
        <w:pStyle w:val="Heading2"/>
        <w:rPr>
          <w:lang w:eastAsia="en-AU"/>
        </w:rPr>
      </w:pPr>
      <w:bookmarkStart w:id="10" w:name="_Toc396308656"/>
      <w:r>
        <w:rPr>
          <w:lang w:eastAsia="en-AU"/>
        </w:rPr>
        <w:t>Contents of the clinical dossier</w:t>
      </w:r>
      <w:bookmarkEnd w:id="8"/>
      <w:bookmarkEnd w:id="9"/>
      <w:bookmarkEnd w:id="10"/>
    </w:p>
    <w:p w:rsidR="00586F98" w:rsidRDefault="00586F98" w:rsidP="006E65C0">
      <w:pPr>
        <w:pStyle w:val="Heading3"/>
      </w:pPr>
      <w:bookmarkStart w:id="11" w:name="_Toc396308657"/>
      <w:r>
        <w:t>Scope of the clinical dossier</w:t>
      </w:r>
      <w:bookmarkEnd w:id="11"/>
    </w:p>
    <w:p w:rsidR="00557910" w:rsidRDefault="00557910" w:rsidP="00557910">
      <w:r>
        <w:t>The clinical dossier contained the following:</w:t>
      </w:r>
    </w:p>
    <w:p w:rsidR="00557910" w:rsidRDefault="00557910" w:rsidP="006E65C0">
      <w:pPr>
        <w:pStyle w:val="ListBullet"/>
      </w:pPr>
      <w:r>
        <w:t>Pharmacokinetics:</w:t>
      </w:r>
    </w:p>
    <w:p w:rsidR="00557910" w:rsidRPr="009F06A6" w:rsidRDefault="00557910" w:rsidP="006E65C0">
      <w:pPr>
        <w:pStyle w:val="ListBullet2"/>
      </w:pPr>
      <w:r w:rsidRPr="009F06A6">
        <w:t xml:space="preserve">1 Phase </w:t>
      </w:r>
      <w:r>
        <w:t xml:space="preserve">I pharmacokinetic study in healthy adults, GS-US-264-0112, </w:t>
      </w:r>
      <w:r w:rsidRPr="009F06A6">
        <w:t>to determ</w:t>
      </w:r>
      <w:r>
        <w:t>ine the effect of food on the pharmacokinetics</w:t>
      </w:r>
      <w:r w:rsidRPr="009F06A6">
        <w:t xml:space="preserve"> of Eviplera</w:t>
      </w:r>
    </w:p>
    <w:p w:rsidR="00557910" w:rsidRPr="009F06A6" w:rsidRDefault="00557910" w:rsidP="006E65C0">
      <w:pPr>
        <w:pStyle w:val="ListBullet"/>
      </w:pPr>
      <w:r w:rsidRPr="009F06A6">
        <w:t>3 p</w:t>
      </w:r>
      <w:r w:rsidR="006E65C0">
        <w:t>ivotal efficacy/safety studies:</w:t>
      </w:r>
    </w:p>
    <w:p w:rsidR="00557910" w:rsidRPr="006E65C0" w:rsidRDefault="00557910" w:rsidP="006E65C0">
      <w:pPr>
        <w:pStyle w:val="ListBullet2"/>
      </w:pPr>
      <w:r w:rsidRPr="006E65C0">
        <w:t>Study GS-US-264-0110 is a Phase IIIb, randomised, open label study providing relevant new data that support the efficacy of the Eviplera tablets in adult patients with baseline HIV-1 RNA ≤500,000 copies</w:t>
      </w:r>
      <w:r w:rsidR="006E65C0">
        <w:t>/mL</w:t>
      </w:r>
    </w:p>
    <w:p w:rsidR="00557910" w:rsidRPr="006E65C0" w:rsidRDefault="00557910" w:rsidP="006E65C0">
      <w:pPr>
        <w:pStyle w:val="ListBullet2"/>
      </w:pPr>
      <w:r w:rsidRPr="006E65C0">
        <w:t>Studies GS-US-264-0111, a Phase IIb open label study, and GS-US-264-0106, a Phase IIIb, randomised, open label study, providing pharmacokinetics, efficacy, and safety data from virologically suppressed subjects switching to Eviplera.</w:t>
      </w:r>
    </w:p>
    <w:p w:rsidR="00586F98" w:rsidRDefault="00586F98" w:rsidP="006E65C0">
      <w:pPr>
        <w:pStyle w:val="Heading3"/>
      </w:pPr>
      <w:bookmarkStart w:id="12" w:name="_Toc396308658"/>
      <w:r>
        <w:t>Paediatric data</w:t>
      </w:r>
      <w:bookmarkEnd w:id="12"/>
    </w:p>
    <w:p w:rsidR="00557910" w:rsidRPr="00FF2194" w:rsidRDefault="00557910" w:rsidP="006E65C0">
      <w:r w:rsidRPr="00FF2194">
        <w:t>This drug is not registered for</w:t>
      </w:r>
      <w:r w:rsidR="006E65C0">
        <w:t xml:space="preserve"> use in the paediatric setting.</w:t>
      </w:r>
    </w:p>
    <w:p w:rsidR="00586F98" w:rsidRDefault="00586F98" w:rsidP="006E65C0">
      <w:pPr>
        <w:pStyle w:val="Heading3"/>
      </w:pPr>
      <w:bookmarkStart w:id="13" w:name="_Toc396308659"/>
      <w:r>
        <w:t>Good clinical practice</w:t>
      </w:r>
      <w:bookmarkEnd w:id="13"/>
    </w:p>
    <w:p w:rsidR="005B61E6" w:rsidRPr="00FF2194" w:rsidRDefault="005B61E6" w:rsidP="006E65C0">
      <w:bookmarkStart w:id="14" w:name="_Toc241374282"/>
      <w:r w:rsidRPr="00FF2194">
        <w:t xml:space="preserve">All studies included in this submission were conducted in accordance with </w:t>
      </w:r>
      <w:r w:rsidRPr="00067A87">
        <w:t>Internatio</w:t>
      </w:r>
      <w:r>
        <w:t>nal Conference on Harmonisation (ICH) G</w:t>
      </w:r>
      <w:r w:rsidRPr="00FF2194">
        <w:t xml:space="preserve">ood Clinical Practice </w:t>
      </w:r>
      <w:r>
        <w:t>(GCP) Guidelines. C</w:t>
      </w:r>
      <w:r w:rsidRPr="00FF2194">
        <w:t>onsiderations for the ethical treatment of human subjects were in place at the time the trials were performed</w:t>
      </w:r>
      <w:r>
        <w:t>,</w:t>
      </w:r>
      <w:r w:rsidRPr="00FF2194">
        <w:t xml:space="preserve"> and informed consent was obtained from all trial participants.</w:t>
      </w:r>
      <w:bookmarkEnd w:id="14"/>
    </w:p>
    <w:p w:rsidR="00586F98" w:rsidRDefault="00586F98" w:rsidP="006E65C0">
      <w:pPr>
        <w:pStyle w:val="Heading2"/>
      </w:pPr>
      <w:bookmarkStart w:id="15" w:name="_Toc355338639"/>
      <w:bookmarkStart w:id="16" w:name="_Toc396308660"/>
      <w:r>
        <w:t>Pharmacokinetics</w:t>
      </w:r>
      <w:bookmarkEnd w:id="15"/>
      <w:bookmarkEnd w:id="16"/>
    </w:p>
    <w:p w:rsidR="006B591C" w:rsidRDefault="006B591C" w:rsidP="006E65C0">
      <w:pPr>
        <w:pStyle w:val="Heading3"/>
      </w:pPr>
      <w:bookmarkStart w:id="17" w:name="_Toc396308661"/>
      <w:r>
        <w:t>Studies providing pharmacokinetic data</w:t>
      </w:r>
      <w:bookmarkEnd w:id="17"/>
    </w:p>
    <w:p w:rsidR="006B591C" w:rsidRPr="00F62747" w:rsidRDefault="006B591C" w:rsidP="006B591C">
      <w:r w:rsidRPr="00F62747">
        <w:t xml:space="preserve">Table </w:t>
      </w:r>
      <w:r>
        <w:t>1</w:t>
      </w:r>
      <w:r w:rsidRPr="00F62747">
        <w:t xml:space="preserve"> shows the studies relating to each </w:t>
      </w:r>
      <w:r>
        <w:t>pharmacokinetic</w:t>
      </w:r>
      <w:r w:rsidRPr="00F62747">
        <w:t xml:space="preserve"> </w:t>
      </w:r>
      <w:r w:rsidR="000F2C0A">
        <w:t xml:space="preserve">(PK) </w:t>
      </w:r>
      <w:r w:rsidRPr="00F62747">
        <w:t>topic and the location of each study summary.</w:t>
      </w:r>
    </w:p>
    <w:p w:rsidR="006B591C" w:rsidRDefault="006B591C" w:rsidP="00B02D04">
      <w:pPr>
        <w:pStyle w:val="TableTitle"/>
      </w:pPr>
      <w:r>
        <w:lastRenderedPageBreak/>
        <w:t>Table 1:</w:t>
      </w:r>
      <w:r w:rsidRPr="004C5C28">
        <w:t xml:space="preserve"> </w:t>
      </w:r>
      <w:r w:rsidRPr="00F0698A">
        <w:t>Submitted pharmacokinetic studies</w:t>
      </w:r>
      <w:r>
        <w:t>.</w:t>
      </w:r>
    </w:p>
    <w:p w:rsidR="006B591C" w:rsidRDefault="00A16194" w:rsidP="00B02D04">
      <w:r>
        <w:rPr>
          <w:noProof/>
          <w:lang w:eastAsia="en-AU"/>
        </w:rPr>
        <w:drawing>
          <wp:inline distT="0" distB="0" distL="0" distR="0" wp14:anchorId="0EEB4328" wp14:editId="727C07CE">
            <wp:extent cx="5389880" cy="2032000"/>
            <wp:effectExtent l="0" t="0" r="1270" b="6350"/>
            <wp:docPr id="24" name="Picture 1" descr="Table 1: Submitted pharmacokinet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1: Submitted pharmacokinetic studi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9880" cy="2032000"/>
                    </a:xfrm>
                    <a:prstGeom prst="rect">
                      <a:avLst/>
                    </a:prstGeom>
                    <a:noFill/>
                    <a:ln>
                      <a:noFill/>
                    </a:ln>
                  </pic:spPr>
                </pic:pic>
              </a:graphicData>
            </a:graphic>
          </wp:inline>
        </w:drawing>
      </w:r>
    </w:p>
    <w:p w:rsidR="006B591C" w:rsidRPr="006310C1" w:rsidRDefault="006B591C" w:rsidP="00B02D04">
      <w:pPr>
        <w:pStyle w:val="TableDescription"/>
      </w:pPr>
      <w:r w:rsidRPr="006310C1">
        <w:t>* Indicates the primary aim of the study.</w:t>
      </w:r>
      <w:r>
        <w:t xml:space="preserve"> </w:t>
      </w:r>
      <w:r w:rsidRPr="006310C1">
        <w:t>† Bioequivalence of different formulations. § Subjects who would be eligible to receive the drug if approved for the proposed indication.</w:t>
      </w:r>
    </w:p>
    <w:p w:rsidR="006B591C" w:rsidRDefault="006B591C" w:rsidP="00B02D04">
      <w:r>
        <w:t>None of the pharmacokinetic studies had deficiencies that excluded their results from consideration.</w:t>
      </w:r>
    </w:p>
    <w:p w:rsidR="006B591C" w:rsidRDefault="006B591C" w:rsidP="00B02D04">
      <w:pPr>
        <w:pStyle w:val="Heading3"/>
      </w:pPr>
      <w:bookmarkStart w:id="18" w:name="_Ref269118175"/>
      <w:bookmarkStart w:id="19" w:name="_Toc272414616"/>
      <w:bookmarkStart w:id="20" w:name="_Toc290846239"/>
      <w:bookmarkStart w:id="21" w:name="_Toc364634598"/>
      <w:bookmarkStart w:id="22" w:name="_Toc396308662"/>
      <w:r>
        <w:t>Summary of pharmacokinetics</w:t>
      </w:r>
      <w:bookmarkEnd w:id="18"/>
      <w:bookmarkEnd w:id="19"/>
      <w:bookmarkEnd w:id="20"/>
      <w:bookmarkEnd w:id="21"/>
      <w:bookmarkEnd w:id="22"/>
    </w:p>
    <w:p w:rsidR="006B591C" w:rsidRPr="006B591C" w:rsidRDefault="006B591C" w:rsidP="00B02D04">
      <w:r w:rsidRPr="006B591C">
        <w:t>The information in the following summary is derived from conventional PK studies unless otherwise stated. As these PK characteristics have been presented in the original registration documents, below are just the key findings in relation to the findings in GS-US-264-0112.</w:t>
      </w:r>
    </w:p>
    <w:p w:rsidR="006B591C" w:rsidRPr="007B0825" w:rsidRDefault="006B591C" w:rsidP="00B02D04">
      <w:pPr>
        <w:pStyle w:val="Heading4"/>
      </w:pPr>
      <w:bookmarkStart w:id="23" w:name="_Toc272414617"/>
      <w:bookmarkStart w:id="24" w:name="_Toc290846240"/>
      <w:bookmarkStart w:id="25" w:name="_Toc364634599"/>
      <w:r w:rsidRPr="007B0825">
        <w:t>Physicochemical characteristics of the active substance</w:t>
      </w:r>
      <w:bookmarkEnd w:id="23"/>
      <w:bookmarkEnd w:id="24"/>
      <w:bookmarkEnd w:id="25"/>
    </w:p>
    <w:p w:rsidR="00B02D04" w:rsidRDefault="006B591C" w:rsidP="00B02D04">
      <w:r w:rsidRPr="006B591C">
        <w:t xml:space="preserve">The following information is derived from the </w:t>
      </w:r>
      <w:r>
        <w:t>s</w:t>
      </w:r>
      <w:r w:rsidRPr="006B591C">
        <w:t>ponsor’s summaries.</w:t>
      </w:r>
      <w:bookmarkStart w:id="26" w:name="_Ref271189106"/>
      <w:bookmarkStart w:id="27" w:name="_Ref271189143"/>
      <w:bookmarkStart w:id="28" w:name="_Toc272414618"/>
      <w:bookmarkStart w:id="29" w:name="_Toc290846241"/>
      <w:bookmarkStart w:id="30" w:name="_Toc364634600"/>
    </w:p>
    <w:p w:rsidR="006B591C" w:rsidRPr="007B0825" w:rsidRDefault="006B591C" w:rsidP="00B02D04">
      <w:r w:rsidRPr="007B0825">
        <w:t>Pharmacokinetics in healthy subjects</w:t>
      </w:r>
      <w:bookmarkEnd w:id="26"/>
      <w:bookmarkEnd w:id="27"/>
      <w:bookmarkEnd w:id="28"/>
      <w:bookmarkEnd w:id="29"/>
      <w:bookmarkEnd w:id="30"/>
    </w:p>
    <w:p w:rsidR="006B591C" w:rsidRPr="007B0825" w:rsidRDefault="006B591C" w:rsidP="00B02D04">
      <w:pPr>
        <w:pStyle w:val="Heading5"/>
      </w:pPr>
      <w:bookmarkStart w:id="31" w:name="_Toc272414619"/>
      <w:bookmarkStart w:id="32" w:name="_Toc290846242"/>
      <w:bookmarkStart w:id="33" w:name="_Toc364634601"/>
      <w:r w:rsidRPr="007B0825">
        <w:t>Absorption</w:t>
      </w:r>
      <w:bookmarkEnd w:id="31"/>
      <w:bookmarkEnd w:id="32"/>
      <w:bookmarkEnd w:id="33"/>
    </w:p>
    <w:p w:rsidR="006B591C" w:rsidRPr="007B0825" w:rsidRDefault="006B591C" w:rsidP="00B02D04">
      <w:pPr>
        <w:pStyle w:val="Heading6"/>
      </w:pPr>
      <w:r w:rsidRPr="007B0825">
        <w:t>Sites and mechanisms of absorption</w:t>
      </w:r>
    </w:p>
    <w:p w:rsidR="006B591C" w:rsidRPr="006B591C" w:rsidRDefault="006B591C" w:rsidP="00B02D04">
      <w:r w:rsidRPr="006B591C">
        <w:t>No new data presented in this application.</w:t>
      </w:r>
    </w:p>
    <w:p w:rsidR="006B591C" w:rsidRPr="007B0825" w:rsidRDefault="006B591C" w:rsidP="00B02D04">
      <w:pPr>
        <w:pStyle w:val="Heading5"/>
      </w:pPr>
      <w:bookmarkStart w:id="34" w:name="_Toc241374287"/>
      <w:bookmarkStart w:id="35" w:name="_Toc272414620"/>
      <w:bookmarkStart w:id="36" w:name="_Toc290846243"/>
      <w:bookmarkStart w:id="37" w:name="_Toc364634602"/>
      <w:r w:rsidRPr="007B0825">
        <w:t>Bioavailability</w:t>
      </w:r>
      <w:bookmarkEnd w:id="34"/>
      <w:bookmarkEnd w:id="35"/>
      <w:bookmarkEnd w:id="36"/>
      <w:bookmarkEnd w:id="37"/>
    </w:p>
    <w:p w:rsidR="006B591C" w:rsidRPr="007B0825" w:rsidRDefault="006B591C" w:rsidP="00B02D04">
      <w:pPr>
        <w:pStyle w:val="Heading6"/>
      </w:pPr>
      <w:r w:rsidRPr="007B0825">
        <w:t>Absolute bioavailability</w:t>
      </w:r>
    </w:p>
    <w:p w:rsidR="006B591C" w:rsidRPr="007B0825" w:rsidRDefault="006B591C" w:rsidP="00B02D04">
      <w:r>
        <w:t>Not established.</w:t>
      </w:r>
    </w:p>
    <w:p w:rsidR="006B591C" w:rsidRPr="007B0825" w:rsidRDefault="006B591C" w:rsidP="00B02D04">
      <w:pPr>
        <w:pStyle w:val="Heading6"/>
      </w:pPr>
      <w:r w:rsidRPr="007B0825">
        <w:t>Bioavailability relative to an oral solution or micronised suspension</w:t>
      </w:r>
    </w:p>
    <w:p w:rsidR="006B591C" w:rsidRPr="007B0825" w:rsidRDefault="006B591C" w:rsidP="00B02D04">
      <w:r>
        <w:t>Not applicable.</w:t>
      </w:r>
    </w:p>
    <w:p w:rsidR="006B591C" w:rsidRPr="007B0825" w:rsidRDefault="006B591C" w:rsidP="00B02D04">
      <w:pPr>
        <w:pStyle w:val="Heading6"/>
      </w:pPr>
      <w:r w:rsidRPr="007B0825">
        <w:t>Bioequivalence of clinical trial and market formulations</w:t>
      </w:r>
    </w:p>
    <w:p w:rsidR="006B591C" w:rsidRPr="006B591C" w:rsidRDefault="006B591C" w:rsidP="00B02D04">
      <w:r w:rsidRPr="006B591C">
        <w:t>Not applicable. Commercial st</w:t>
      </w:r>
      <w:r w:rsidR="00B02D04">
        <w:t>ock was used in GS-US-264-0112.</w:t>
      </w:r>
    </w:p>
    <w:p w:rsidR="006B591C" w:rsidRPr="007B0825" w:rsidRDefault="006B591C" w:rsidP="00B02D04">
      <w:pPr>
        <w:pStyle w:val="Heading6"/>
      </w:pPr>
      <w:r w:rsidRPr="007B0825">
        <w:t>Bioequivalence of different dosage forms and strengths</w:t>
      </w:r>
    </w:p>
    <w:p w:rsidR="006B591C" w:rsidRPr="006B591C" w:rsidRDefault="006B591C" w:rsidP="00B02D04">
      <w:r w:rsidRPr="006B591C">
        <w:t>Not applicable.</w:t>
      </w:r>
    </w:p>
    <w:p w:rsidR="006B591C" w:rsidRPr="007B0825" w:rsidRDefault="006B591C" w:rsidP="00B02D04">
      <w:pPr>
        <w:pStyle w:val="Heading6"/>
      </w:pPr>
      <w:r w:rsidRPr="007B0825">
        <w:t>Bioequivalence to relevant registered products</w:t>
      </w:r>
    </w:p>
    <w:p w:rsidR="006B591C" w:rsidRPr="007B0825" w:rsidRDefault="006B591C" w:rsidP="00B02D04">
      <w:r>
        <w:t>Not applicable.</w:t>
      </w:r>
    </w:p>
    <w:p w:rsidR="006B591C" w:rsidRPr="007B0825" w:rsidRDefault="006B591C" w:rsidP="00B02D04">
      <w:pPr>
        <w:pStyle w:val="Heading6"/>
      </w:pPr>
      <w:r w:rsidRPr="007B0825">
        <w:t>Influence of food</w:t>
      </w:r>
    </w:p>
    <w:p w:rsidR="00D328E0" w:rsidRDefault="006B591C" w:rsidP="006B591C">
      <w:pPr>
        <w:autoSpaceDE w:val="0"/>
        <w:autoSpaceDN w:val="0"/>
        <w:adjustRightInd w:val="0"/>
      </w:pPr>
      <w:r w:rsidRPr="00BC2436">
        <w:t xml:space="preserve">These data are summarised in </w:t>
      </w:r>
      <w:r w:rsidR="00D328E0">
        <w:t>Tables 2-4.</w:t>
      </w:r>
    </w:p>
    <w:p w:rsidR="00D328E0" w:rsidRDefault="00D328E0" w:rsidP="00B02D04">
      <w:pPr>
        <w:pStyle w:val="TableTitle"/>
      </w:pPr>
      <w:r>
        <w:lastRenderedPageBreak/>
        <w:t>Table 2:</w:t>
      </w:r>
      <w:r w:rsidRPr="004C5C28">
        <w:t xml:space="preserve"> </w:t>
      </w:r>
      <w:r w:rsidR="00516B9E" w:rsidRPr="00516B9E">
        <w:t>GS-US-264-0112: Summary Statistics for Rilpivirine Pharmacokinetic Parameters (Analysis Set, Rilpivirine PK)</w:t>
      </w:r>
      <w:r>
        <w:t>.</w:t>
      </w:r>
    </w:p>
    <w:p w:rsidR="00D328E0" w:rsidRDefault="00A16194" w:rsidP="00B02D04">
      <w:r>
        <w:rPr>
          <w:noProof/>
          <w:lang w:eastAsia="en-AU"/>
        </w:rPr>
        <w:drawing>
          <wp:inline distT="0" distB="0" distL="0" distR="0" wp14:anchorId="1B446578" wp14:editId="29F57B32">
            <wp:extent cx="4439920" cy="1986280"/>
            <wp:effectExtent l="0" t="0" r="0" b="0"/>
            <wp:docPr id="1" name="Picture 2" descr="Table 2: GS-US-264-0112: Summary Statistics for Rilpivirine Pharmacokinetic Parameters (Analysis Set, Rilpivirine 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2: GS-US-264-0112: Summary Statistics for Rilpivirine Pharmacokinetic Parameters (Analysis Set, Rilpivirine P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9920" cy="1986280"/>
                    </a:xfrm>
                    <a:prstGeom prst="rect">
                      <a:avLst/>
                    </a:prstGeom>
                    <a:noFill/>
                    <a:ln>
                      <a:noFill/>
                    </a:ln>
                  </pic:spPr>
                </pic:pic>
              </a:graphicData>
            </a:graphic>
          </wp:inline>
        </w:drawing>
      </w:r>
    </w:p>
    <w:p w:rsidR="00D328E0" w:rsidRDefault="00D328E0" w:rsidP="00B02D04">
      <w:pPr>
        <w:pStyle w:val="TableTitle"/>
      </w:pPr>
      <w:r>
        <w:t>Table 3:</w:t>
      </w:r>
      <w:r w:rsidRPr="004C5C28">
        <w:t xml:space="preserve"> </w:t>
      </w:r>
      <w:r w:rsidR="003E213D" w:rsidRPr="003E213D">
        <w:t>GS-US-264-0112: Summary Statistics for Emtricitabine Pharmacokinetic Parameters (Analysis Set, Emtricitabine PK</w:t>
      </w:r>
      <w:r w:rsidR="003E213D">
        <w:t>)</w:t>
      </w:r>
      <w:r>
        <w:t>.</w:t>
      </w:r>
    </w:p>
    <w:p w:rsidR="00D328E0" w:rsidRDefault="00A16194" w:rsidP="006B591C">
      <w:pPr>
        <w:autoSpaceDE w:val="0"/>
        <w:autoSpaceDN w:val="0"/>
        <w:adjustRightInd w:val="0"/>
      </w:pPr>
      <w:r>
        <w:rPr>
          <w:noProof/>
          <w:lang w:eastAsia="en-AU"/>
        </w:rPr>
        <w:drawing>
          <wp:inline distT="0" distB="0" distL="0" distR="0" wp14:anchorId="4983F565" wp14:editId="666A016D">
            <wp:extent cx="4439920" cy="1747520"/>
            <wp:effectExtent l="0" t="0" r="0" b="5080"/>
            <wp:docPr id="3" name="Picture 3" descr="Table 3: GS-US-264-0112: Summary Statistics for Emtricitabine Pharmacokinetic Parameters (Analysis Set, Emtricitabine 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3: GS-US-264-0112: Summary Statistics for Emtricitabine Pharmacokinetic Parameters (Analysis Set, Emtricitabine P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9920" cy="1747520"/>
                    </a:xfrm>
                    <a:prstGeom prst="rect">
                      <a:avLst/>
                    </a:prstGeom>
                    <a:noFill/>
                    <a:ln>
                      <a:noFill/>
                    </a:ln>
                  </pic:spPr>
                </pic:pic>
              </a:graphicData>
            </a:graphic>
          </wp:inline>
        </w:drawing>
      </w:r>
    </w:p>
    <w:p w:rsidR="00D328E0" w:rsidRDefault="00D328E0" w:rsidP="00B02D04">
      <w:pPr>
        <w:pStyle w:val="TableTitle"/>
      </w:pPr>
      <w:r>
        <w:t>Table 4:</w:t>
      </w:r>
      <w:r w:rsidRPr="004C5C28">
        <w:t xml:space="preserve"> </w:t>
      </w:r>
      <w:r w:rsidR="00D40123" w:rsidRPr="00D40123">
        <w:t>GS-US-264-0112: Summary Statistics for Tenofovir Pharmacokinetic Parameters (Analysis Set Tenofovir PK)</w:t>
      </w:r>
      <w:r>
        <w:t>.</w:t>
      </w:r>
    </w:p>
    <w:p w:rsidR="00D328E0" w:rsidRDefault="00A16194" w:rsidP="00B02D04">
      <w:r>
        <w:rPr>
          <w:noProof/>
          <w:lang w:eastAsia="en-AU"/>
        </w:rPr>
        <w:drawing>
          <wp:inline distT="0" distB="0" distL="0" distR="0" wp14:anchorId="0BC5955B" wp14:editId="35FF86F8">
            <wp:extent cx="4480560" cy="1407160"/>
            <wp:effectExtent l="0" t="0" r="0" b="2540"/>
            <wp:docPr id="4" name="Picture 4" descr="Table 4: GS-US-264-0112: Summary Statistics for Tenofovir Pharmacokinetic Parameters (Analysis Set Tenofovir 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4: GS-US-264-0112: Summary Statistics for Tenofovir Pharmacokinetic Parameters (Analysis Set Tenofovir P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0560" cy="1407160"/>
                    </a:xfrm>
                    <a:prstGeom prst="rect">
                      <a:avLst/>
                    </a:prstGeom>
                    <a:noFill/>
                    <a:ln>
                      <a:noFill/>
                    </a:ln>
                  </pic:spPr>
                </pic:pic>
              </a:graphicData>
            </a:graphic>
          </wp:inline>
        </w:drawing>
      </w:r>
    </w:p>
    <w:p w:rsidR="006B591C" w:rsidRPr="007B0825" w:rsidRDefault="006B591C" w:rsidP="00B02D04">
      <w:pPr>
        <w:pStyle w:val="Heading6"/>
      </w:pPr>
      <w:r w:rsidRPr="007B0825">
        <w:t>Dose proportionality</w:t>
      </w:r>
    </w:p>
    <w:p w:rsidR="006B591C" w:rsidRPr="007B0825" w:rsidRDefault="006B591C" w:rsidP="00B02D04">
      <w:r>
        <w:t>Not applicable.</w:t>
      </w:r>
    </w:p>
    <w:p w:rsidR="006B591C" w:rsidRPr="007B0825" w:rsidRDefault="006B591C" w:rsidP="00B02D04">
      <w:pPr>
        <w:pStyle w:val="Heading6"/>
      </w:pPr>
      <w:r w:rsidRPr="007B0825">
        <w:t>Bioavailability during multiple-dosing</w:t>
      </w:r>
    </w:p>
    <w:p w:rsidR="006B591C" w:rsidRPr="007B0825" w:rsidRDefault="006B591C" w:rsidP="00B02D04">
      <w:r>
        <w:t>Not applicable, no mutidose study in healthy volunteers presented in this Application.</w:t>
      </w:r>
    </w:p>
    <w:p w:rsidR="006B591C" w:rsidRPr="007B0825" w:rsidRDefault="006B591C" w:rsidP="00B02D04">
      <w:pPr>
        <w:pStyle w:val="Heading6"/>
      </w:pPr>
      <w:r w:rsidRPr="007B0825">
        <w:t>Effect of administration timing</w:t>
      </w:r>
    </w:p>
    <w:p w:rsidR="006B591C" w:rsidRPr="007B0825" w:rsidRDefault="006B591C" w:rsidP="00B02D04">
      <w:r>
        <w:t>Not applicable.</w:t>
      </w:r>
    </w:p>
    <w:p w:rsidR="006B591C" w:rsidRPr="007B0825" w:rsidRDefault="006B591C" w:rsidP="00B02D04">
      <w:pPr>
        <w:pStyle w:val="Heading5"/>
      </w:pPr>
      <w:bookmarkStart w:id="38" w:name="_Toc241374288"/>
      <w:bookmarkStart w:id="39" w:name="_Toc272414621"/>
      <w:bookmarkStart w:id="40" w:name="_Toc290846244"/>
      <w:bookmarkStart w:id="41" w:name="_Toc364634603"/>
      <w:r w:rsidRPr="007B0825">
        <w:t>Distribution</w:t>
      </w:r>
      <w:bookmarkEnd w:id="38"/>
      <w:bookmarkEnd w:id="39"/>
      <w:bookmarkEnd w:id="40"/>
      <w:bookmarkEnd w:id="41"/>
    </w:p>
    <w:p w:rsidR="006B591C" w:rsidRPr="007B0825" w:rsidRDefault="006B591C" w:rsidP="00B02D04">
      <w:pPr>
        <w:pStyle w:val="Heading6"/>
      </w:pPr>
      <w:r w:rsidRPr="007B0825">
        <w:t>Volume of distribution</w:t>
      </w:r>
    </w:p>
    <w:p w:rsidR="006B591C" w:rsidRPr="007B0825" w:rsidRDefault="006B591C" w:rsidP="00B02D04">
      <w:r>
        <w:t>Not applicable.</w:t>
      </w:r>
    </w:p>
    <w:p w:rsidR="006B591C" w:rsidRPr="007B0825" w:rsidRDefault="006B591C" w:rsidP="00B02D04">
      <w:pPr>
        <w:pStyle w:val="Heading6"/>
      </w:pPr>
      <w:r w:rsidRPr="007B0825">
        <w:lastRenderedPageBreak/>
        <w:t>Plasma protein binding</w:t>
      </w:r>
    </w:p>
    <w:p w:rsidR="006B591C" w:rsidRPr="007B0825" w:rsidRDefault="006B591C" w:rsidP="00B02D04">
      <w:r>
        <w:t>No new data presented.</w:t>
      </w:r>
    </w:p>
    <w:p w:rsidR="006B591C" w:rsidRPr="007B0825" w:rsidRDefault="006B591C" w:rsidP="00B02D04">
      <w:pPr>
        <w:pStyle w:val="Heading6"/>
      </w:pPr>
      <w:r w:rsidRPr="007B0825">
        <w:t>Erythrocyte distribution</w:t>
      </w:r>
    </w:p>
    <w:p w:rsidR="006B591C" w:rsidRPr="007B0825" w:rsidRDefault="006B591C" w:rsidP="00B02D04">
      <w:r>
        <w:t>Not applicable.</w:t>
      </w:r>
    </w:p>
    <w:p w:rsidR="006B591C" w:rsidRPr="007B0825" w:rsidRDefault="006B591C" w:rsidP="00B02D04">
      <w:pPr>
        <w:pStyle w:val="Heading6"/>
      </w:pPr>
      <w:r w:rsidRPr="007B0825">
        <w:t>Tissue distribution</w:t>
      </w:r>
    </w:p>
    <w:p w:rsidR="006B591C" w:rsidRPr="007B0825" w:rsidRDefault="006B591C" w:rsidP="00B02D04">
      <w:r>
        <w:t>No new data presented.</w:t>
      </w:r>
    </w:p>
    <w:p w:rsidR="006B591C" w:rsidRPr="006B591C" w:rsidRDefault="006B591C" w:rsidP="00B02D04">
      <w:pPr>
        <w:pStyle w:val="Heading5"/>
      </w:pPr>
      <w:bookmarkStart w:id="42" w:name="_Toc272414622"/>
      <w:bookmarkStart w:id="43" w:name="_Toc290846245"/>
      <w:bookmarkStart w:id="44" w:name="_Toc364634604"/>
      <w:r w:rsidRPr="006B591C">
        <w:t>Metabolism</w:t>
      </w:r>
      <w:bookmarkEnd w:id="42"/>
      <w:bookmarkEnd w:id="43"/>
      <w:bookmarkEnd w:id="44"/>
    </w:p>
    <w:p w:rsidR="006B591C" w:rsidRPr="007B0825" w:rsidRDefault="006B591C" w:rsidP="00B02D04">
      <w:pPr>
        <w:pStyle w:val="Heading6"/>
      </w:pPr>
      <w:r w:rsidRPr="007B0825">
        <w:t>Interconversion between enantiomers</w:t>
      </w:r>
    </w:p>
    <w:p w:rsidR="006B591C" w:rsidRPr="007B0825" w:rsidRDefault="006B591C" w:rsidP="00B02D04">
      <w:r>
        <w:t>No new data presented.</w:t>
      </w:r>
    </w:p>
    <w:p w:rsidR="006B591C" w:rsidRPr="007B0825" w:rsidRDefault="006B591C" w:rsidP="00B02D04">
      <w:pPr>
        <w:pStyle w:val="Heading6"/>
      </w:pPr>
      <w:r w:rsidRPr="007B0825">
        <w:t>Sites of metabolism and mechanisms / enzyme systems involved</w:t>
      </w:r>
    </w:p>
    <w:p w:rsidR="006B591C" w:rsidRPr="007B0825" w:rsidRDefault="006B591C" w:rsidP="00B02D04">
      <w:r>
        <w:t>No new data presented.</w:t>
      </w:r>
    </w:p>
    <w:p w:rsidR="006B591C" w:rsidRPr="007B0825" w:rsidRDefault="006B591C" w:rsidP="00B02D04">
      <w:pPr>
        <w:pStyle w:val="Heading6"/>
      </w:pPr>
      <w:r w:rsidRPr="007B0825">
        <w:t>Non-renal clearance</w:t>
      </w:r>
    </w:p>
    <w:p w:rsidR="006B591C" w:rsidRPr="007B0825" w:rsidRDefault="006B591C" w:rsidP="00B02D04">
      <w:r>
        <w:t>No new data presented.</w:t>
      </w:r>
    </w:p>
    <w:p w:rsidR="006B591C" w:rsidRPr="007B0825" w:rsidRDefault="006B591C" w:rsidP="00B02D04">
      <w:pPr>
        <w:pStyle w:val="Heading6"/>
      </w:pPr>
      <w:r w:rsidRPr="007B0825">
        <w:t>Metabolites identified in humans</w:t>
      </w:r>
    </w:p>
    <w:p w:rsidR="006B591C" w:rsidRPr="007B0825" w:rsidRDefault="006B591C" w:rsidP="00B02D04">
      <w:r>
        <w:t>No new data presented.</w:t>
      </w:r>
    </w:p>
    <w:p w:rsidR="006B591C" w:rsidRPr="007B0825" w:rsidRDefault="006B591C" w:rsidP="00B02D04">
      <w:pPr>
        <w:pStyle w:val="Heading6"/>
      </w:pPr>
      <w:r w:rsidRPr="007B0825">
        <w:t>Pharmacokinetics of metabolites</w:t>
      </w:r>
    </w:p>
    <w:p w:rsidR="006B591C" w:rsidRPr="007B0825" w:rsidRDefault="006B591C" w:rsidP="00B02D04">
      <w:r>
        <w:t>No new data presented.</w:t>
      </w:r>
    </w:p>
    <w:p w:rsidR="006B591C" w:rsidRPr="007B0825" w:rsidRDefault="006B591C" w:rsidP="00B02D04">
      <w:pPr>
        <w:pStyle w:val="Heading6"/>
      </w:pPr>
      <w:r w:rsidRPr="007B0825">
        <w:t>Consequences of genetic polymorphism</w:t>
      </w:r>
    </w:p>
    <w:p w:rsidR="006B591C" w:rsidRPr="007B0825" w:rsidRDefault="006B591C" w:rsidP="00B02D04">
      <w:r>
        <w:t>Not applicable.</w:t>
      </w:r>
    </w:p>
    <w:p w:rsidR="006B591C" w:rsidRPr="007B0825" w:rsidRDefault="006B591C" w:rsidP="00B02D04">
      <w:pPr>
        <w:pStyle w:val="Heading5"/>
      </w:pPr>
      <w:bookmarkStart w:id="45" w:name="_Toc241374289"/>
      <w:bookmarkStart w:id="46" w:name="_Toc272414623"/>
      <w:bookmarkStart w:id="47" w:name="_Toc290846246"/>
      <w:bookmarkStart w:id="48" w:name="_Toc364634605"/>
      <w:r w:rsidRPr="007B0825">
        <w:t>E</w:t>
      </w:r>
      <w:bookmarkEnd w:id="45"/>
      <w:r w:rsidRPr="007B0825">
        <w:t>xcretion</w:t>
      </w:r>
      <w:bookmarkEnd w:id="46"/>
      <w:bookmarkEnd w:id="47"/>
      <w:bookmarkEnd w:id="48"/>
    </w:p>
    <w:p w:rsidR="006B591C" w:rsidRPr="007B0825" w:rsidRDefault="006B591C" w:rsidP="00B02D04">
      <w:pPr>
        <w:pStyle w:val="Heading6"/>
      </w:pPr>
      <w:r w:rsidRPr="007B0825">
        <w:t>Routes and mechanisms of excretion</w:t>
      </w:r>
    </w:p>
    <w:p w:rsidR="006B591C" w:rsidRPr="007B0825" w:rsidRDefault="006B591C" w:rsidP="00B02D04">
      <w:r>
        <w:t>No new data presented.</w:t>
      </w:r>
    </w:p>
    <w:p w:rsidR="006B591C" w:rsidRPr="007B0825" w:rsidRDefault="006B591C" w:rsidP="00B02D04">
      <w:pPr>
        <w:pStyle w:val="Heading6"/>
      </w:pPr>
      <w:r w:rsidRPr="007B0825">
        <w:t>Mass balance studies</w:t>
      </w:r>
    </w:p>
    <w:p w:rsidR="006B591C" w:rsidRPr="007B0825" w:rsidRDefault="006B591C" w:rsidP="00B02D04">
      <w:r>
        <w:t>Not applicable.</w:t>
      </w:r>
    </w:p>
    <w:p w:rsidR="006B591C" w:rsidRPr="007B0825" w:rsidRDefault="006B591C" w:rsidP="00B02D04">
      <w:pPr>
        <w:pStyle w:val="Heading6"/>
      </w:pPr>
      <w:r w:rsidRPr="007B0825">
        <w:t>Renal clearance</w:t>
      </w:r>
    </w:p>
    <w:p w:rsidR="006B591C" w:rsidRPr="007B0825" w:rsidRDefault="006B591C" w:rsidP="00B02D04">
      <w:r>
        <w:t>No new data presented.</w:t>
      </w:r>
    </w:p>
    <w:p w:rsidR="006B591C" w:rsidRPr="007B0825" w:rsidRDefault="006B591C" w:rsidP="0074496B">
      <w:pPr>
        <w:pStyle w:val="Heading5"/>
      </w:pPr>
      <w:bookmarkStart w:id="49" w:name="_Toc241374291"/>
      <w:bookmarkStart w:id="50" w:name="_Toc272414624"/>
      <w:bookmarkStart w:id="51" w:name="_Toc290846247"/>
      <w:bookmarkStart w:id="52" w:name="_Toc364634606"/>
      <w:r w:rsidRPr="007B0825">
        <w:t>Intra- and inter-individual variability</w:t>
      </w:r>
      <w:bookmarkEnd w:id="49"/>
      <w:r w:rsidRPr="007B0825">
        <w:t xml:space="preserve"> of pharmacokinetics</w:t>
      </w:r>
      <w:bookmarkEnd w:id="50"/>
      <w:bookmarkEnd w:id="51"/>
      <w:bookmarkEnd w:id="52"/>
    </w:p>
    <w:p w:rsidR="006B591C" w:rsidRPr="007B0825" w:rsidRDefault="006B591C" w:rsidP="0074496B">
      <w:r>
        <w:t>No new data presented.</w:t>
      </w:r>
    </w:p>
    <w:p w:rsidR="006B591C" w:rsidRDefault="006B591C" w:rsidP="0074496B">
      <w:pPr>
        <w:pStyle w:val="Heading4"/>
      </w:pPr>
      <w:bookmarkStart w:id="53" w:name="_Toc241374292"/>
      <w:bookmarkStart w:id="54" w:name="_Ref271189131"/>
      <w:bookmarkStart w:id="55" w:name="_Ref271189136"/>
      <w:bookmarkStart w:id="56" w:name="_Toc272414625"/>
      <w:bookmarkStart w:id="57" w:name="_Toc290846248"/>
      <w:bookmarkStart w:id="58" w:name="_Toc364634607"/>
      <w:r w:rsidRPr="007B0825">
        <w:t>Pharmacokinetics in the target population</w:t>
      </w:r>
      <w:bookmarkEnd w:id="53"/>
      <w:bookmarkEnd w:id="54"/>
      <w:bookmarkEnd w:id="55"/>
      <w:bookmarkEnd w:id="56"/>
      <w:bookmarkEnd w:id="57"/>
      <w:bookmarkEnd w:id="58"/>
    </w:p>
    <w:p w:rsidR="006B591C" w:rsidRPr="006B591C" w:rsidRDefault="006B591C" w:rsidP="0074496B">
      <w:r w:rsidRPr="006B591C">
        <w:t>See below.</w:t>
      </w:r>
    </w:p>
    <w:p w:rsidR="006B591C" w:rsidRPr="007B0825" w:rsidRDefault="006B591C" w:rsidP="0074496B">
      <w:pPr>
        <w:pStyle w:val="Heading4"/>
      </w:pPr>
      <w:bookmarkStart w:id="59" w:name="_Toc241374293"/>
      <w:bookmarkStart w:id="60" w:name="_Toc272414626"/>
      <w:bookmarkStart w:id="61" w:name="_Toc290846249"/>
      <w:bookmarkStart w:id="62" w:name="_Toc364634608"/>
      <w:r w:rsidRPr="007B0825">
        <w:t>Pharmacokinetics in other special populations</w:t>
      </w:r>
      <w:bookmarkEnd w:id="59"/>
      <w:bookmarkEnd w:id="60"/>
      <w:bookmarkEnd w:id="61"/>
      <w:bookmarkEnd w:id="62"/>
    </w:p>
    <w:p w:rsidR="006B591C" w:rsidRPr="007B0825" w:rsidRDefault="006B591C" w:rsidP="0074496B">
      <w:pPr>
        <w:pStyle w:val="Heading5"/>
      </w:pPr>
      <w:bookmarkStart w:id="63" w:name="_Toc272414627"/>
      <w:bookmarkStart w:id="64" w:name="_Toc290846250"/>
      <w:bookmarkStart w:id="65" w:name="_Toc364634609"/>
      <w:r w:rsidRPr="007B0825">
        <w:t>Pharmacokinetics in subjects with impaired hepatic function</w:t>
      </w:r>
      <w:bookmarkEnd w:id="63"/>
      <w:bookmarkEnd w:id="64"/>
      <w:bookmarkEnd w:id="65"/>
    </w:p>
    <w:p w:rsidR="006B591C" w:rsidRPr="00107ABF" w:rsidRDefault="006B591C" w:rsidP="0074496B">
      <w:r>
        <w:t>No new data presented.</w:t>
      </w:r>
    </w:p>
    <w:p w:rsidR="006B591C" w:rsidRPr="007B0825" w:rsidRDefault="006B591C" w:rsidP="0074496B">
      <w:pPr>
        <w:pStyle w:val="Heading5"/>
      </w:pPr>
      <w:bookmarkStart w:id="66" w:name="_Toc272414628"/>
      <w:bookmarkStart w:id="67" w:name="_Toc290846251"/>
      <w:bookmarkStart w:id="68" w:name="_Toc364634610"/>
      <w:r w:rsidRPr="007B0825">
        <w:t>Pharmacokinetics in subjects with impaired renal function</w:t>
      </w:r>
      <w:bookmarkEnd w:id="66"/>
      <w:bookmarkEnd w:id="67"/>
      <w:bookmarkEnd w:id="68"/>
    </w:p>
    <w:p w:rsidR="006B591C" w:rsidRPr="00107ABF" w:rsidRDefault="006B591C" w:rsidP="0074496B">
      <w:r>
        <w:t>No new data presented.</w:t>
      </w:r>
    </w:p>
    <w:p w:rsidR="006B591C" w:rsidRPr="007B0825" w:rsidRDefault="006B591C" w:rsidP="0074496B">
      <w:pPr>
        <w:pStyle w:val="Heading5"/>
      </w:pPr>
      <w:bookmarkStart w:id="69" w:name="_Toc272414629"/>
      <w:bookmarkStart w:id="70" w:name="_Toc290846252"/>
      <w:bookmarkStart w:id="71" w:name="_Toc364634611"/>
      <w:r w:rsidRPr="007B0825">
        <w:lastRenderedPageBreak/>
        <w:t>Pharmacokinetics according to age</w:t>
      </w:r>
      <w:bookmarkEnd w:id="69"/>
      <w:bookmarkEnd w:id="70"/>
      <w:bookmarkEnd w:id="71"/>
    </w:p>
    <w:p w:rsidR="006B591C" w:rsidRPr="00107ABF" w:rsidRDefault="006B591C" w:rsidP="0074496B">
      <w:r>
        <w:t>No new data presented.</w:t>
      </w:r>
    </w:p>
    <w:p w:rsidR="006B591C" w:rsidRPr="007B0825" w:rsidRDefault="006B591C" w:rsidP="0074496B">
      <w:pPr>
        <w:pStyle w:val="Heading5"/>
      </w:pPr>
      <w:bookmarkStart w:id="72" w:name="_Toc272414630"/>
      <w:bookmarkStart w:id="73" w:name="_Toc290846253"/>
      <w:bookmarkStart w:id="74" w:name="_Toc364634612"/>
      <w:r w:rsidRPr="007B0825">
        <w:t>Pharmacokinetics related to genetic factors</w:t>
      </w:r>
      <w:bookmarkEnd w:id="72"/>
      <w:bookmarkEnd w:id="73"/>
      <w:bookmarkEnd w:id="74"/>
    </w:p>
    <w:p w:rsidR="006B591C" w:rsidRPr="007B0825" w:rsidRDefault="006B591C" w:rsidP="0074496B">
      <w:r>
        <w:t>No new data presented.</w:t>
      </w:r>
    </w:p>
    <w:p w:rsidR="006B591C" w:rsidRPr="007B0825" w:rsidRDefault="006B591C" w:rsidP="0074496B">
      <w:pPr>
        <w:pStyle w:val="Heading5"/>
      </w:pPr>
      <w:bookmarkStart w:id="75" w:name="_Toc364634613"/>
      <w:bookmarkStart w:id="76" w:name="_Toc272414631"/>
      <w:bookmarkStart w:id="77" w:name="_Toc290846254"/>
      <w:r>
        <w:t xml:space="preserve">Pharmacokinetics </w:t>
      </w:r>
      <w:r w:rsidRPr="007B0825">
        <w:t xml:space="preserve">in </w:t>
      </w:r>
      <w:r>
        <w:t>HIV-1-infected adults switching to Eviplera from TDF/FTC/EFV</w:t>
      </w:r>
      <w:bookmarkEnd w:id="75"/>
      <w:bookmarkEnd w:id="76"/>
      <w:bookmarkEnd w:id="77"/>
    </w:p>
    <w:p w:rsidR="006B591C" w:rsidRPr="006B591C" w:rsidRDefault="006B591C" w:rsidP="0074496B">
      <w:r w:rsidRPr="006B591C">
        <w:t>In GS-US-264-0111 PK analysis, the PK effects of commencing Eviplera</w:t>
      </w:r>
      <w:r w:rsidR="00564405">
        <w:t xml:space="preserve"> </w:t>
      </w:r>
      <w:r w:rsidRPr="006B591C">
        <w:t>in HIV-1-infected adults switching away from the Atripla were explored.</w:t>
      </w:r>
    </w:p>
    <w:p w:rsidR="006B591C" w:rsidRPr="00BC2436" w:rsidRDefault="006B591C" w:rsidP="0074496B">
      <w:pPr>
        <w:pStyle w:val="Heading4"/>
      </w:pPr>
      <w:bookmarkStart w:id="78" w:name="_Toc241374294"/>
      <w:bookmarkStart w:id="79" w:name="_Toc272414632"/>
      <w:bookmarkStart w:id="80" w:name="_Toc290846255"/>
      <w:bookmarkStart w:id="81" w:name="_Toc364634614"/>
      <w:r w:rsidRPr="00BC2436">
        <w:t>Pharmacokinetic interactions</w:t>
      </w:r>
      <w:bookmarkEnd w:id="78"/>
      <w:bookmarkEnd w:id="79"/>
      <w:bookmarkEnd w:id="80"/>
      <w:bookmarkEnd w:id="81"/>
    </w:p>
    <w:p w:rsidR="006B591C" w:rsidRPr="007B0825" w:rsidRDefault="006B591C" w:rsidP="0074496B">
      <w:pPr>
        <w:pStyle w:val="Heading5"/>
      </w:pPr>
      <w:bookmarkStart w:id="82" w:name="_Toc272414633"/>
      <w:bookmarkStart w:id="83" w:name="_Toc290846256"/>
      <w:bookmarkStart w:id="84" w:name="_Toc364634615"/>
      <w:r w:rsidRPr="007B0825">
        <w:t>Pharmacokinetic interactions demonstrated in human studies</w:t>
      </w:r>
      <w:bookmarkEnd w:id="82"/>
      <w:bookmarkEnd w:id="83"/>
      <w:bookmarkEnd w:id="84"/>
    </w:p>
    <w:p w:rsidR="006B591C" w:rsidRPr="00A33902" w:rsidRDefault="006B591C" w:rsidP="00CE216F">
      <w:r>
        <w:t>No D-D studies included in this Application.</w:t>
      </w:r>
    </w:p>
    <w:p w:rsidR="006B591C" w:rsidRPr="007B0825" w:rsidRDefault="006B591C" w:rsidP="00CE216F">
      <w:pPr>
        <w:pStyle w:val="Heading5"/>
      </w:pPr>
      <w:bookmarkStart w:id="85" w:name="_Toc272414634"/>
      <w:bookmarkStart w:id="86" w:name="_Toc290846257"/>
      <w:bookmarkStart w:id="87" w:name="_Toc364634616"/>
      <w:r w:rsidRPr="007B0825">
        <w:t>Clinical implications of in vitro findings</w:t>
      </w:r>
      <w:bookmarkEnd w:id="85"/>
      <w:bookmarkEnd w:id="86"/>
      <w:bookmarkEnd w:id="87"/>
    </w:p>
    <w:p w:rsidR="006B591C" w:rsidRPr="00A33902" w:rsidRDefault="006B591C" w:rsidP="00CE216F">
      <w:r>
        <w:t>No new data presented.</w:t>
      </w:r>
    </w:p>
    <w:p w:rsidR="006B591C" w:rsidRPr="00BB0739" w:rsidRDefault="006B591C" w:rsidP="00CE216F">
      <w:pPr>
        <w:pStyle w:val="Heading4"/>
      </w:pPr>
      <w:bookmarkStart w:id="88" w:name="_Toc241374296"/>
      <w:bookmarkStart w:id="89" w:name="_Ref269982040"/>
      <w:bookmarkStart w:id="90" w:name="_Ref271018704"/>
      <w:bookmarkStart w:id="91" w:name="_Ref271018755"/>
      <w:bookmarkStart w:id="92" w:name="_Toc272414635"/>
      <w:bookmarkStart w:id="93" w:name="_Toc290846258"/>
      <w:bookmarkStart w:id="94" w:name="_Toc364634617"/>
      <w:r w:rsidRPr="00BB0739">
        <w:t>Evaluator’s overall conclusions on pharmacokinetics</w:t>
      </w:r>
      <w:bookmarkEnd w:id="88"/>
      <w:bookmarkEnd w:id="89"/>
      <w:bookmarkEnd w:id="90"/>
      <w:bookmarkEnd w:id="91"/>
      <w:bookmarkEnd w:id="92"/>
      <w:bookmarkEnd w:id="93"/>
      <w:bookmarkEnd w:id="94"/>
    </w:p>
    <w:p w:rsidR="006B591C" w:rsidRPr="00511E19" w:rsidRDefault="006B591C" w:rsidP="00CE216F">
      <w:r w:rsidRPr="00511E19">
        <w:t xml:space="preserve">The results of the Phase </w:t>
      </w:r>
      <w:r>
        <w:t>I</w:t>
      </w:r>
      <w:r w:rsidRPr="00511E19">
        <w:t xml:space="preserve"> </w:t>
      </w:r>
      <w:r>
        <w:t>pharmacokinetic Study GS-US-264-0112</w:t>
      </w:r>
      <w:r w:rsidRPr="00511E19">
        <w:t xml:space="preserve"> in health</w:t>
      </w:r>
      <w:r>
        <w:t>y</w:t>
      </w:r>
      <w:r w:rsidRPr="00511E19">
        <w:t xml:space="preserve"> volunteers confirm the need for Eviplera dosing with food and support the recom</w:t>
      </w:r>
      <w:r>
        <w:t>mendation in the proposed PI. Pharmacokinetic d</w:t>
      </w:r>
      <w:r w:rsidRPr="00511E19">
        <w:t xml:space="preserve">ata from the switch </w:t>
      </w:r>
      <w:r>
        <w:t>S</w:t>
      </w:r>
      <w:r w:rsidRPr="00511E19">
        <w:t xml:space="preserve">tudy GS-US-264-0111 confirm a long “tail” of EFV decline following switch to Eviplera which, through ongoing induction of CYP3A4, modestly reduces RPV levels. However, RPV levels are therapeutic </w:t>
      </w:r>
      <w:r>
        <w:t xml:space="preserve">≥2 weeks after switching. When </w:t>
      </w:r>
      <w:r w:rsidRPr="00511E19">
        <w:t>coupled with continuing therapeutic levels of EFV up to and extending beyond this cross over point</w:t>
      </w:r>
      <w:r>
        <w:t>,</w:t>
      </w:r>
      <w:r w:rsidRPr="00511E19">
        <w:t xml:space="preserve"> </w:t>
      </w:r>
      <w:r>
        <w:t xml:space="preserve">this </w:t>
      </w:r>
      <w:r w:rsidRPr="00511E19">
        <w:t>means plasma H</w:t>
      </w:r>
      <w:r>
        <w:t>I</w:t>
      </w:r>
      <w:r w:rsidRPr="00511E19">
        <w:t>V</w:t>
      </w:r>
      <w:r>
        <w:t>-1</w:t>
      </w:r>
      <w:r w:rsidRPr="00511E19">
        <w:t xml:space="preserve"> RNA remains fully suppressed. These data support the proposed language in the PI in regards to an Atripla to Eviplera switch.</w:t>
      </w:r>
      <w:r>
        <w:t xml:space="preserve"> </w:t>
      </w:r>
      <w:r w:rsidRPr="00511E19">
        <w:t>Patients should be warned that the side</w:t>
      </w:r>
      <w:r>
        <w:t xml:space="preserve"> </w:t>
      </w:r>
      <w:r w:rsidRPr="00511E19">
        <w:t>effects of EFV will not cease immediately post switch as the drug takes several weeks to decline.</w:t>
      </w:r>
    </w:p>
    <w:p w:rsidR="00586F98" w:rsidRDefault="00586F98" w:rsidP="00CE216F">
      <w:pPr>
        <w:pStyle w:val="Heading2"/>
      </w:pPr>
      <w:bookmarkStart w:id="95" w:name="_Toc396308663"/>
      <w:r>
        <w:t>Pharmacodynamics</w:t>
      </w:r>
      <w:bookmarkEnd w:id="95"/>
    </w:p>
    <w:p w:rsidR="006B591C" w:rsidRPr="009E3F7C" w:rsidRDefault="006B591C" w:rsidP="00CE216F">
      <w:r>
        <w:t>Not applicable.</w:t>
      </w:r>
    </w:p>
    <w:p w:rsidR="00586F98" w:rsidRDefault="00C22678" w:rsidP="00CE216F">
      <w:pPr>
        <w:pStyle w:val="Heading2"/>
      </w:pPr>
      <w:bookmarkStart w:id="96" w:name="_Toc396308664"/>
      <w:r>
        <w:t>Dosage selection for the pivotal studies</w:t>
      </w:r>
      <w:bookmarkEnd w:id="96"/>
    </w:p>
    <w:p w:rsidR="003E386A" w:rsidRPr="005E6C7F" w:rsidRDefault="003E386A" w:rsidP="00CE216F">
      <w:r w:rsidRPr="005E6C7F">
        <w:t>No change in dosage is sought, as per registered dose.</w:t>
      </w:r>
    </w:p>
    <w:p w:rsidR="00C22678" w:rsidRDefault="00C22678" w:rsidP="00CE216F">
      <w:pPr>
        <w:pStyle w:val="Heading2"/>
      </w:pPr>
      <w:bookmarkStart w:id="97" w:name="_Toc396308665"/>
      <w:r>
        <w:t>Clinical efficacy</w:t>
      </w:r>
      <w:bookmarkEnd w:id="97"/>
    </w:p>
    <w:p w:rsidR="00DB571C" w:rsidRPr="00DB571C" w:rsidRDefault="00DB571C" w:rsidP="00CE216F">
      <w:r w:rsidRPr="00DB571C">
        <w:t xml:space="preserve">The clinical efficacy studies presented in this </w:t>
      </w:r>
      <w:r w:rsidR="005D0FE3">
        <w:t>a</w:t>
      </w:r>
      <w:r w:rsidRPr="00DB571C">
        <w:t xml:space="preserve">pplication consisted of 2 switch studies in ARV treatment-experienced adults with virologically suppressed (VL &lt;50 </w:t>
      </w:r>
      <w:r w:rsidR="00086D51">
        <w:t>copies</w:t>
      </w:r>
      <w:r w:rsidRPr="00DB571C">
        <w:t xml:space="preserve">/mL) HIV-1 i.e. GS-US-264-0111 (switch from Atripla); GS-US-264-0106 (switch from PI/r+2 NRTI) and a head-to-head Phase 3 study of Eviplera vs. Atripla in HIV-1-infected ARV naïve patients with plasma HIV RNA &gt;2500 </w:t>
      </w:r>
      <w:r w:rsidR="00086D51">
        <w:t>copies</w:t>
      </w:r>
      <w:r w:rsidRPr="00DB571C">
        <w:t>/mL (no upper limit of plasma HIV RNA for inclusion).</w:t>
      </w:r>
    </w:p>
    <w:p w:rsidR="00067DA2" w:rsidRDefault="00067DA2" w:rsidP="00CE216F">
      <w:bookmarkStart w:id="98" w:name="_Toc364634625"/>
      <w:r w:rsidRPr="00073F94">
        <w:t xml:space="preserve">The pivotal efficacy </w:t>
      </w:r>
      <w:r w:rsidRPr="0089291E">
        <w:t>Study GS-US-264-0111</w:t>
      </w:r>
      <w:r>
        <w:t xml:space="preserve"> </w:t>
      </w:r>
      <w:r w:rsidRPr="00073F94">
        <w:t xml:space="preserve">was titled: “A Phase </w:t>
      </w:r>
      <w:r>
        <w:t>II</w:t>
      </w:r>
      <w:r w:rsidRPr="00073F94">
        <w:t>B Open-Label Pilot Study to Evaluate Switching from a Regimen Consisting of a</w:t>
      </w:r>
      <w:r>
        <w:t>n</w:t>
      </w:r>
      <w:r w:rsidRPr="00073F94">
        <w:t xml:space="preserve"> Efavirenz/Emtricitabine/Tenofovir Disoproxil Fumarate (TDF/FTC/EFV) Single Tablet Regimen to Emtricitabine/Rilpivirine/Tenofovir Disoproxil Fumarate (TDF/FTC/RPV) STR in Virologically-</w:t>
      </w:r>
      <w:r w:rsidRPr="00073F94">
        <w:lastRenderedPageBreak/>
        <w:t>Suppressed, HIV-1 Infected Subjects</w:t>
      </w:r>
      <w:bookmarkEnd w:id="98"/>
      <w:r w:rsidRPr="00073F94">
        <w:t>”.</w:t>
      </w:r>
      <w:r>
        <w:t xml:space="preserve"> This</w:t>
      </w:r>
      <w:r w:rsidRPr="00073F94">
        <w:t xml:space="preserve"> was a Phase IIb study, open</w:t>
      </w:r>
      <w:r>
        <w:t xml:space="preserve"> </w:t>
      </w:r>
      <w:r w:rsidRPr="00073F94">
        <w:t>label, multicentre, pilot study conducted between 27 January 2011 and 19 April 2012 across 18 sites in the USA.</w:t>
      </w:r>
    </w:p>
    <w:p w:rsidR="00067DA2" w:rsidRDefault="00067DA2" w:rsidP="00CE216F">
      <w:r>
        <w:t>Two others studies were:</w:t>
      </w:r>
    </w:p>
    <w:p w:rsidR="00067DA2" w:rsidRPr="00070FA2" w:rsidRDefault="00067DA2" w:rsidP="00CE216F">
      <w:pPr>
        <w:pStyle w:val="ListBullet"/>
      </w:pPr>
      <w:bookmarkStart w:id="99" w:name="_Toc290846276"/>
      <w:bookmarkStart w:id="100" w:name="_Toc364634626"/>
      <w:r w:rsidRPr="00070FA2">
        <w:t xml:space="preserve">Study </w:t>
      </w:r>
      <w:bookmarkEnd w:id="99"/>
      <w:r w:rsidRPr="00070FA2">
        <w:t>GS-US-264-0106</w:t>
      </w:r>
      <w:bookmarkEnd w:id="100"/>
      <w:r>
        <w:t>: “</w:t>
      </w:r>
      <w:r w:rsidRPr="00070FA2">
        <w:t xml:space="preserve">A Phase </w:t>
      </w:r>
      <w:r>
        <w:t>III</w:t>
      </w:r>
      <w:r w:rsidRPr="00070FA2">
        <w:t xml:space="preserve"> Randomi</w:t>
      </w:r>
      <w:r>
        <w:t>s</w:t>
      </w:r>
      <w:r w:rsidRPr="00070FA2">
        <w:t>ed, Open-Label Study to Evaluate Switching from Regimens Consisting of a Ritonavir-boosted Protease Inhibitor (PI/r) and Two Nucleoside Reverse Transcriptase Inhibitors to Emtricitabine/Rilpivirine/Tenofovir Disoproxil Fumarate Fixed-dose Regimen in Virologically Supp</w:t>
      </w:r>
      <w:r>
        <w:t>ressed, HIV-1 Infected Patients”</w:t>
      </w:r>
    </w:p>
    <w:p w:rsidR="00067DA2" w:rsidRPr="00070FA2" w:rsidRDefault="00067DA2" w:rsidP="00CE216F">
      <w:pPr>
        <w:pStyle w:val="ListBullet"/>
      </w:pPr>
      <w:bookmarkStart w:id="101" w:name="_Toc364634627"/>
      <w:r w:rsidRPr="00070FA2">
        <w:t>Study GS-US-264-0110</w:t>
      </w:r>
      <w:bookmarkEnd w:id="101"/>
      <w:r>
        <w:t>: “</w:t>
      </w:r>
      <w:r w:rsidRPr="00070FA2">
        <w:t xml:space="preserve">A Phase </w:t>
      </w:r>
      <w:r>
        <w:t>III</w:t>
      </w:r>
      <w:r w:rsidRPr="00070FA2">
        <w:t>B, Randomi</w:t>
      </w:r>
      <w:r>
        <w:t>s</w:t>
      </w:r>
      <w:r w:rsidRPr="00070FA2">
        <w:t>ed, Open-label Study to Evaluate the Safety and Efficacy of a Single Tablet Regimen of Emtricitabine/Rilpivirine/Tenofovir Disoproxil Fumarate Compared with a Single Tablet Regimen of Efavirenz/Emtricitabine/Tenofovir Disoproxil Fumarate in HIV-1 Infected, Antiretroviral Treatment-Naïve Adults</w:t>
      </w:r>
      <w:r>
        <w:t>”</w:t>
      </w:r>
      <w:r w:rsidR="00CE216F">
        <w:t>.</w:t>
      </w:r>
    </w:p>
    <w:p w:rsidR="00F63FCA" w:rsidRDefault="00F63FCA" w:rsidP="00CE216F">
      <w:pPr>
        <w:pStyle w:val="Heading3"/>
      </w:pPr>
      <w:bookmarkStart w:id="102" w:name="_Ref243301615"/>
      <w:bookmarkStart w:id="103" w:name="_Ref271040927"/>
      <w:bookmarkStart w:id="104" w:name="_Ref271040932"/>
      <w:bookmarkStart w:id="105" w:name="_Toc272414653"/>
      <w:bookmarkStart w:id="106" w:name="_Toc290846275"/>
      <w:bookmarkStart w:id="107" w:name="_Toc364634624"/>
      <w:bookmarkStart w:id="108" w:name="_Toc396308666"/>
      <w:r w:rsidRPr="00766EA4">
        <w:t xml:space="preserve">Study </w:t>
      </w:r>
      <w:bookmarkEnd w:id="102"/>
      <w:bookmarkEnd w:id="103"/>
      <w:bookmarkEnd w:id="104"/>
      <w:bookmarkEnd w:id="105"/>
      <w:bookmarkEnd w:id="106"/>
      <w:r w:rsidRPr="00766EA4">
        <w:t>GS-US-264-0111</w:t>
      </w:r>
      <w:bookmarkEnd w:id="107"/>
      <w:bookmarkEnd w:id="108"/>
    </w:p>
    <w:p w:rsidR="00E54B4E" w:rsidRPr="003C0A48" w:rsidRDefault="00E54B4E" w:rsidP="00CE216F">
      <w:pPr>
        <w:pStyle w:val="Heading4"/>
      </w:pPr>
      <w:r w:rsidRPr="003C0A48">
        <w:t>Study design, objectives, locations and dates</w:t>
      </w:r>
    </w:p>
    <w:p w:rsidR="00E54B4E" w:rsidRPr="00E54B4E" w:rsidRDefault="00E54B4E" w:rsidP="00CE216F">
      <w:proofErr w:type="gramStart"/>
      <w:r w:rsidRPr="00E54B4E">
        <w:t>Phase 2b study, open-label, multicentre, pilot study.</w:t>
      </w:r>
      <w:proofErr w:type="gramEnd"/>
      <w:r w:rsidRPr="00E54B4E">
        <w:t xml:space="preserve"> Study conducted between 27 January 2011 (First subject screened) and 19 April 2012 (Last subject observation). </w:t>
      </w:r>
      <w:proofErr w:type="gramStart"/>
      <w:r w:rsidRPr="00E54B4E">
        <w:t>18 sites in the USA.</w:t>
      </w:r>
      <w:proofErr w:type="gramEnd"/>
    </w:p>
    <w:p w:rsidR="00E54B4E" w:rsidRPr="004B259C" w:rsidRDefault="00E54B4E" w:rsidP="00CE216F">
      <w:pPr>
        <w:pStyle w:val="Heading4"/>
      </w:pPr>
      <w:r w:rsidRPr="004B259C">
        <w:t>Inclusion and exclusion criteria</w:t>
      </w:r>
    </w:p>
    <w:p w:rsidR="00E54B4E" w:rsidRDefault="00E54B4E" w:rsidP="00CE216F">
      <w:r w:rsidRPr="00E54B4E">
        <w:rPr>
          <w:b/>
        </w:rPr>
        <w:t>Key Inclusions:</w:t>
      </w:r>
      <w:r w:rsidRPr="00E54B4E">
        <w:t xml:space="preserve"> written informed consent form; currently receiving ARV consisting only of Atripla continuously for ≥3 months preceding the screening visit; plasma HIV-1 RNA concentrations (≥2 measurements) at undetectable levels while on treatment for ≥8 Wks prior to the screening visit and have RNA &lt;50 </w:t>
      </w:r>
      <w:r w:rsidR="00086D51">
        <w:t>copies</w:t>
      </w:r>
      <w:r w:rsidRPr="00E54B4E">
        <w:t>/mL at the screening visit;</w:t>
      </w:r>
      <w:r w:rsidR="00640183">
        <w:t xml:space="preserve"> </w:t>
      </w:r>
      <w:r w:rsidRPr="00E54B4E">
        <w:t xml:space="preserve">on their first antiretroviral drug regimen and must not have had HIV-1 RNA &gt;50 </w:t>
      </w:r>
      <w:r w:rsidR="00086D51">
        <w:t>copies</w:t>
      </w:r>
      <w:r w:rsidRPr="00E54B4E">
        <w:t xml:space="preserve">/mL at two consecutive time points after first achieving HIV RNA &lt;50 </w:t>
      </w:r>
      <w:r w:rsidR="00086D51">
        <w:t>copies</w:t>
      </w:r>
      <w:r w:rsidRPr="00E54B4E">
        <w:t>/mL; have had a genotype prior to starting Eviplera</w:t>
      </w:r>
      <w:r w:rsidR="00564405">
        <w:t xml:space="preserve"> </w:t>
      </w:r>
      <w:r w:rsidRPr="00E54B4E">
        <w:t>and no known resistance to any of the study agents at any time in the past including, but not limited to the RT mutations K65R, K101E/P, E138G/K/Q/R, Y181C/I/V, M184V/I and H221Y; lab and ECG within protocol specified parameters; adequate contraception; Age ≥18 years; Life expectancy ≥1 year.</w:t>
      </w:r>
    </w:p>
    <w:p w:rsidR="00E54B4E" w:rsidRPr="00E54B4E" w:rsidRDefault="00E54B4E" w:rsidP="00CE216F">
      <w:r w:rsidRPr="00E54B4E">
        <w:rPr>
          <w:b/>
        </w:rPr>
        <w:t>Key Exclusions:</w:t>
      </w:r>
      <w:r w:rsidRPr="00E54B4E">
        <w:t xml:space="preserve"> A new AIDS-defining condition diagnosed within t</w:t>
      </w:r>
      <w:r w:rsidR="00CC0ED4">
        <w:t>he 21 days prior to screening; p</w:t>
      </w:r>
      <w:r w:rsidRPr="00E54B4E">
        <w:t xml:space="preserve">regnant or breastfeeding; </w:t>
      </w:r>
      <w:r w:rsidR="00C245E8">
        <w:t>c</w:t>
      </w:r>
      <w:r w:rsidR="00C245E8" w:rsidRPr="00C245E8">
        <w:t>oncomitant medication</w:t>
      </w:r>
      <w:r w:rsidR="00C245E8">
        <w:t>s</w:t>
      </w:r>
      <w:r w:rsidRPr="00E54B4E">
        <w:t xml:space="preserve"> contraindicated or not recommended for use</w:t>
      </w:r>
      <w:r w:rsidR="00313D70">
        <w:t xml:space="preserve"> with any ARVs in the protocol.</w:t>
      </w:r>
    </w:p>
    <w:p w:rsidR="00E54B4E" w:rsidRPr="004B259C" w:rsidRDefault="00E54B4E" w:rsidP="00CE216F">
      <w:pPr>
        <w:pStyle w:val="Heading4"/>
      </w:pPr>
      <w:r w:rsidRPr="004B259C">
        <w:t>Study treatments</w:t>
      </w:r>
    </w:p>
    <w:p w:rsidR="00E54B4E" w:rsidRPr="00E54B4E" w:rsidRDefault="00E54B4E" w:rsidP="00CE216F">
      <w:r w:rsidRPr="00E54B4E">
        <w:t>Eviplera STR administered orall</w:t>
      </w:r>
      <w:r w:rsidR="00313D70">
        <w:t>y with a meal once daily.</w:t>
      </w:r>
    </w:p>
    <w:p w:rsidR="00E54B4E" w:rsidRPr="004B259C" w:rsidRDefault="00E54B4E" w:rsidP="00CE216F">
      <w:pPr>
        <w:pStyle w:val="Heading4"/>
      </w:pPr>
      <w:r w:rsidRPr="004B259C">
        <w:t>Efficacy variables and outcomes</w:t>
      </w:r>
    </w:p>
    <w:p w:rsidR="00E54B4E" w:rsidRPr="00313D70" w:rsidRDefault="00E54B4E" w:rsidP="00313D70">
      <w:pPr>
        <w:rPr>
          <w:b/>
        </w:rPr>
      </w:pPr>
      <w:r w:rsidRPr="00313D70">
        <w:rPr>
          <w:b/>
        </w:rPr>
        <w:t>The main efficacy variables were:</w:t>
      </w:r>
    </w:p>
    <w:p w:rsidR="00E54B4E" w:rsidRPr="00CE216F" w:rsidRDefault="00E54B4E" w:rsidP="00CE216F">
      <w:pPr>
        <w:pStyle w:val="ListBullet"/>
      </w:pPr>
      <w:r w:rsidRPr="00CE216F">
        <w:t xml:space="preserve">to evaluate the efficacy of Eviplera STR after switching from TDF/FTC/EFV at baseline in maintaining HIV-1 RNA &lt;50 </w:t>
      </w:r>
      <w:r w:rsidR="00086D51" w:rsidRPr="00CE216F">
        <w:t>copies</w:t>
      </w:r>
      <w:r w:rsidR="00CE216F">
        <w:t>/mL at Wk 12</w:t>
      </w:r>
    </w:p>
    <w:p w:rsidR="00E54B4E" w:rsidRPr="00CE216F" w:rsidRDefault="00864D9C" w:rsidP="00CE216F">
      <w:pPr>
        <w:pStyle w:val="ListBullet"/>
      </w:pPr>
      <w:r w:rsidRPr="00CE216F">
        <w:t xml:space="preserve">to </w:t>
      </w:r>
      <w:r w:rsidR="00E54B4E" w:rsidRPr="00CE216F">
        <w:t xml:space="preserve">evaluate the safety and tolerability of </w:t>
      </w:r>
      <w:r w:rsidR="00CE216F">
        <w:t>Eviplera STR over 24 and 48 Wks</w:t>
      </w:r>
    </w:p>
    <w:p w:rsidR="00E54B4E" w:rsidRPr="00CE216F" w:rsidRDefault="00E54B4E" w:rsidP="00CE216F">
      <w:pPr>
        <w:pStyle w:val="ListBullet"/>
      </w:pPr>
      <w:proofErr w:type="gramStart"/>
      <w:r w:rsidRPr="00CE216F">
        <w:t>to</w:t>
      </w:r>
      <w:proofErr w:type="gramEnd"/>
      <w:r w:rsidRPr="00CE216F">
        <w:t xml:space="preserve"> evaluate the efficacy of Eviplera STR after switching from TDF/FTC/EFV at baseline in maintaining HIV-1 RNA &lt;50 </w:t>
      </w:r>
      <w:r w:rsidR="00086D51" w:rsidRPr="00CE216F">
        <w:t>copies</w:t>
      </w:r>
      <w:r w:rsidRPr="00CE216F">
        <w:t>/mL at Wks 24 and 48</w:t>
      </w:r>
      <w:r w:rsidR="00CE216F">
        <w:t>.</w:t>
      </w:r>
    </w:p>
    <w:p w:rsidR="00E54B4E" w:rsidRPr="00ED756A" w:rsidRDefault="00E54B4E" w:rsidP="00CE216F">
      <w:r w:rsidRPr="00A4365E">
        <w:t xml:space="preserve">The primary efficacy outcome was a virological one i.e. HIV-1 RNA &lt; 50 </w:t>
      </w:r>
      <w:r w:rsidR="00086D51">
        <w:t>copies</w:t>
      </w:r>
      <w:r>
        <w:t>/mL</w:t>
      </w:r>
      <w:r w:rsidRPr="00A4365E">
        <w:t xml:space="preserve"> at </w:t>
      </w:r>
      <w:r>
        <w:t>Wk</w:t>
      </w:r>
      <w:r w:rsidRPr="00A4365E">
        <w:t xml:space="preserve"> 12 as defined by the FDA snapshot analysis.</w:t>
      </w:r>
    </w:p>
    <w:p w:rsidR="00E54B4E" w:rsidRPr="00864D9C" w:rsidRDefault="00E54B4E" w:rsidP="00CE216F">
      <w:r w:rsidRPr="00864D9C">
        <w:rPr>
          <w:b/>
        </w:rPr>
        <w:t>Other efficacy outcomes included:</w:t>
      </w:r>
      <w:r w:rsidRPr="00864D9C">
        <w:t xml:space="preserve"> an exploration of the PK o</w:t>
      </w:r>
      <w:r w:rsidR="00CE216F">
        <w:t>f RPV after switching from EFV.</w:t>
      </w:r>
    </w:p>
    <w:p w:rsidR="00E54B4E" w:rsidRPr="004B259C" w:rsidRDefault="00E54B4E" w:rsidP="00CE216F">
      <w:pPr>
        <w:pStyle w:val="Heading4"/>
      </w:pPr>
      <w:r w:rsidRPr="004B259C">
        <w:lastRenderedPageBreak/>
        <w:t>Randomisation and blinding methods</w:t>
      </w:r>
    </w:p>
    <w:p w:rsidR="00E54B4E" w:rsidRDefault="00E54B4E" w:rsidP="00CE216F">
      <w:r>
        <w:t>This was an open-label, non-random</w:t>
      </w:r>
      <w:r w:rsidR="00CE216F">
        <w:t>ised, single arm, switch study.</w:t>
      </w:r>
    </w:p>
    <w:p w:rsidR="00E54B4E" w:rsidRPr="00404E9D" w:rsidRDefault="00E54B4E" w:rsidP="00CE216F">
      <w:pPr>
        <w:pStyle w:val="Heading4"/>
      </w:pPr>
      <w:r w:rsidRPr="00404E9D">
        <w:t>Analysis populations</w:t>
      </w:r>
    </w:p>
    <w:p w:rsidR="00E54B4E" w:rsidRPr="00404E9D" w:rsidDel="0081373E" w:rsidRDefault="00E54B4E" w:rsidP="00CE216F">
      <w:r w:rsidRPr="00404E9D">
        <w:t xml:space="preserve">Efficacy will be analysed using the FAS i.e. all subjects who have received at least one dose of study medication. The safety analysis set includes all subjects who received ≥1 dose of study drug. All data collected up to 30 days after the last dose of study regimen included in the safety summaries. The PK analysis set included all subjects receiving ≥1 </w:t>
      </w:r>
      <w:r w:rsidR="00404E9D">
        <w:t>dose of study drug.</w:t>
      </w:r>
    </w:p>
    <w:p w:rsidR="00E54B4E" w:rsidRPr="004B259C" w:rsidDel="0081373E" w:rsidRDefault="00E54B4E" w:rsidP="00CE216F">
      <w:pPr>
        <w:pStyle w:val="Heading4"/>
      </w:pPr>
      <w:r w:rsidRPr="004B259C" w:rsidDel="0081373E">
        <w:t>Sample size</w:t>
      </w:r>
    </w:p>
    <w:p w:rsidR="00E54B4E" w:rsidRPr="00404E9D" w:rsidRDefault="00E54B4E" w:rsidP="00CE216F">
      <w:r w:rsidRPr="00404E9D">
        <w:t>Sample size of this single-arm pilot was selected based on feasibility of the study conduct.</w:t>
      </w:r>
    </w:p>
    <w:p w:rsidR="00E54B4E" w:rsidRPr="004B259C" w:rsidRDefault="00E54B4E" w:rsidP="00CE216F">
      <w:pPr>
        <w:pStyle w:val="Heading4"/>
      </w:pPr>
      <w:r w:rsidRPr="004B259C">
        <w:t>Statistical methods</w:t>
      </w:r>
    </w:p>
    <w:p w:rsidR="009D382C" w:rsidRPr="009D382C" w:rsidRDefault="00E54B4E" w:rsidP="00CE216F">
      <w:r w:rsidRPr="009D382C">
        <w:rPr>
          <w:b/>
        </w:rPr>
        <w:t>Software:</w:t>
      </w:r>
      <w:r w:rsidRPr="009D382C">
        <w:t xml:space="preserve"> SAS Software Version 8.2. </w:t>
      </w:r>
      <w:proofErr w:type="gramStart"/>
      <w:r w:rsidRPr="009D382C">
        <w:t>or</w:t>
      </w:r>
      <w:proofErr w:type="gramEnd"/>
      <w:r w:rsidRPr="009D382C">
        <w:t xml:space="preserve"> higher, SAS Institute Inc., Cary, NC, USA. </w:t>
      </w:r>
      <w:proofErr w:type="gramStart"/>
      <w:r w:rsidRPr="009D382C">
        <w:t>nQuery</w:t>
      </w:r>
      <w:proofErr w:type="gramEnd"/>
      <w:r w:rsidRPr="009D382C">
        <w:t xml:space="preserve"> Advisor(R) Version 6.0. </w:t>
      </w:r>
      <w:proofErr w:type="gramStart"/>
      <w:r w:rsidRPr="009D382C">
        <w:t>Statistical Solutions, Cork, Ireland.</w:t>
      </w:r>
      <w:proofErr w:type="gramEnd"/>
      <w:r w:rsidRPr="009D382C">
        <w:t xml:space="preserve"> Analyses according to the formal</w:t>
      </w:r>
      <w:r w:rsidR="009D382C" w:rsidRPr="009D382C">
        <w:t xml:space="preserve"> statistical </w:t>
      </w:r>
      <w:r w:rsidR="00595B37">
        <w:t>analysis plan:</w:t>
      </w:r>
    </w:p>
    <w:p w:rsidR="009D382C" w:rsidRPr="00CE216F" w:rsidRDefault="00E54B4E" w:rsidP="00313D70">
      <w:pPr>
        <w:pStyle w:val="ListBullet"/>
      </w:pPr>
      <w:r w:rsidRPr="00CE216F">
        <w:t xml:space="preserve">Primary analysis: Proportion (%) of subjects along with two-sided 95% CI, in the FAS with HIV-1 RNA &lt;50 </w:t>
      </w:r>
      <w:r w:rsidR="00086D51" w:rsidRPr="00CE216F">
        <w:t>copies</w:t>
      </w:r>
      <w:r w:rsidRPr="00CE216F">
        <w:t>/mL at Wk 12 as defined by the FDA snapshot analysis. Descriptive statistics will summarize changes from baseline at protocol-defined study Wks</w:t>
      </w:r>
    </w:p>
    <w:p w:rsidR="009D382C" w:rsidRPr="00CE216F" w:rsidRDefault="00E54B4E" w:rsidP="00CE216F">
      <w:pPr>
        <w:pStyle w:val="ListBullet"/>
      </w:pPr>
      <w:r w:rsidRPr="00CE216F">
        <w:t xml:space="preserve">Secondary Analysis: Proportion (%) of subjects along with two-sided 95% CI, in the FAS with HIV-1 RNA &lt;50 </w:t>
      </w:r>
      <w:r w:rsidR="00086D51" w:rsidRPr="00CE216F">
        <w:t>copies</w:t>
      </w:r>
      <w:r w:rsidRPr="00CE216F">
        <w:t xml:space="preserve">/mL at Wks 24 and 48 as defined by the FDA snapshot </w:t>
      </w:r>
      <w:r w:rsidR="00CE216F">
        <w:t>analysis</w:t>
      </w:r>
    </w:p>
    <w:p w:rsidR="00E54B4E" w:rsidRPr="00CE216F" w:rsidRDefault="00E54B4E" w:rsidP="00CE216F">
      <w:pPr>
        <w:pStyle w:val="ListBullet"/>
      </w:pPr>
      <w:r w:rsidRPr="00CE216F">
        <w:t>Safety Analysis: All safety analyses performed using safety analysis set. All safety data collected up to the Wk 48 visit (or last dose date for non-completers) + 30 days summarised for the Wk 48 analysis. Clinical and laboratory AEs coded using MedDRA. System Organ Class (SOC), High-Level Group Term (HLGT), High-Level Term (HLT), Preferred Term (PT), and Lower-Level Term (LLT) attached to the clinical database. Safety ECGs listed and summarised for subje</w:t>
      </w:r>
      <w:r w:rsidR="00CE216F">
        <w:t>cts in the Safety Analysis Set.</w:t>
      </w:r>
    </w:p>
    <w:p w:rsidR="00E54B4E" w:rsidRPr="004B259C" w:rsidRDefault="00E54B4E" w:rsidP="00CE216F">
      <w:pPr>
        <w:pStyle w:val="Heading4"/>
      </w:pPr>
      <w:r w:rsidRPr="004B259C">
        <w:t>Participant flow</w:t>
      </w:r>
    </w:p>
    <w:p w:rsidR="00E54B4E" w:rsidRPr="00404E9D" w:rsidRDefault="00E54B4E" w:rsidP="00CE216F">
      <w:proofErr w:type="gramStart"/>
      <w:r w:rsidRPr="00404E9D">
        <w:t>Single arm, non-randomised study.</w:t>
      </w:r>
      <w:proofErr w:type="gramEnd"/>
      <w:r w:rsidRPr="00404E9D">
        <w:t xml:space="preserve"> 63 patients screened; 50 patients enrolled at 18 sites in the US.</w:t>
      </w:r>
      <w:r w:rsidR="00564405">
        <w:t xml:space="preserve"> </w:t>
      </w:r>
      <w:r w:rsidRPr="00404E9D">
        <w:t xml:space="preserve">49 of 50 enrollees received study drug. Subject (0407-3847) was enrolled and attended the baseline visit, but subsequently withdrew consent and was never dosed. 48 subjects completed the protocol-defined period of study drug dosing and the study. One subject (Subject 1603-3849) did not complete study drug dosing or the study because of </w:t>
      </w:r>
      <w:r w:rsidR="00404E9D">
        <w:t>a protocol violation</w:t>
      </w:r>
      <w:r w:rsidRPr="00404E9D">
        <w:t>.</w:t>
      </w:r>
    </w:p>
    <w:p w:rsidR="00E54B4E" w:rsidRDefault="00E54B4E" w:rsidP="00CE216F">
      <w:pPr>
        <w:pStyle w:val="Heading4"/>
      </w:pPr>
      <w:r>
        <w:t>Major protocol violations/deviations</w:t>
      </w:r>
    </w:p>
    <w:p w:rsidR="00E54B4E" w:rsidRPr="00404E9D" w:rsidRDefault="00E54B4E" w:rsidP="00CE216F">
      <w:r w:rsidRPr="00404E9D">
        <w:t>N=1: Subject 1603-3849 had a study drug adherence rate of 82% at Wk 8; this patient was eventually discontinued because of incarceration.</w:t>
      </w:r>
    </w:p>
    <w:p w:rsidR="00E54B4E" w:rsidRPr="004B259C" w:rsidRDefault="00E54B4E" w:rsidP="00CE216F">
      <w:pPr>
        <w:pStyle w:val="Heading4"/>
      </w:pPr>
      <w:r w:rsidRPr="004B259C">
        <w:t>Baseline data</w:t>
      </w:r>
    </w:p>
    <w:p w:rsidR="00E54B4E" w:rsidRDefault="00E54B4E" w:rsidP="00CE216F">
      <w:r w:rsidRPr="00404E9D">
        <w:t xml:space="preserve">The demographics and baseline characteristics are summarised in </w:t>
      </w:r>
      <w:r w:rsidR="00404E9D">
        <w:t xml:space="preserve">Table </w:t>
      </w:r>
      <w:r w:rsidR="00EE2009">
        <w:t>5</w:t>
      </w:r>
      <w:r w:rsidR="00404E9D">
        <w:t>.</w:t>
      </w:r>
    </w:p>
    <w:p w:rsidR="00EE4D5A" w:rsidRDefault="00EE4D5A" w:rsidP="00CE216F">
      <w:pPr>
        <w:pStyle w:val="TableTitle"/>
      </w:pPr>
      <w:r>
        <w:lastRenderedPageBreak/>
        <w:t xml:space="preserve">Table </w:t>
      </w:r>
      <w:r w:rsidR="00EE2009">
        <w:t>5</w:t>
      </w:r>
      <w:r>
        <w:t>:</w:t>
      </w:r>
      <w:r w:rsidRPr="004C5C28">
        <w:t xml:space="preserve"> </w:t>
      </w:r>
      <w:r w:rsidR="00C07788" w:rsidRPr="00C07788">
        <w:t>GS-US-264-0111: Demographics and Baseline Characteristics (Safety Analysis Set)</w:t>
      </w:r>
      <w:r>
        <w:t>.</w:t>
      </w:r>
    </w:p>
    <w:p w:rsidR="00A23402" w:rsidRPr="00404E9D" w:rsidRDefault="00A16194" w:rsidP="00404E9D">
      <w:r>
        <w:rPr>
          <w:noProof/>
          <w:lang w:eastAsia="en-AU"/>
        </w:rPr>
        <w:drawing>
          <wp:inline distT="0" distB="0" distL="0" distR="0" wp14:anchorId="26E9B9CD" wp14:editId="6F89C1EA">
            <wp:extent cx="4561840" cy="4343400"/>
            <wp:effectExtent l="0" t="0" r="0" b="0"/>
            <wp:docPr id="5" name="Picture 5" descr="Table 5: GS-US-264-0111: Demographics and Baseline Characteristic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5: GS-US-264-0111: Demographics and Baseline Characteristics (Safety Analysis Se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1840" cy="4343400"/>
                    </a:xfrm>
                    <a:prstGeom prst="rect">
                      <a:avLst/>
                    </a:prstGeom>
                    <a:noFill/>
                    <a:ln>
                      <a:noFill/>
                    </a:ln>
                  </pic:spPr>
                </pic:pic>
              </a:graphicData>
            </a:graphic>
          </wp:inline>
        </w:drawing>
      </w:r>
      <w:r>
        <w:rPr>
          <w:noProof/>
          <w:lang w:eastAsia="en-AU"/>
        </w:rPr>
        <w:drawing>
          <wp:inline distT="0" distB="0" distL="0" distR="0" wp14:anchorId="12E1230D" wp14:editId="620A528F">
            <wp:extent cx="4561840" cy="2032000"/>
            <wp:effectExtent l="0" t="0" r="0" b="6350"/>
            <wp:docPr id="6" name="Picture 6" descr="Table 5: GS-US-264-0111: Demographics and Baseline Characteristic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5: GS-US-264-0111: Demographics and Baseline Characteristics (Safety Analysis Se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1840" cy="2032000"/>
                    </a:xfrm>
                    <a:prstGeom prst="rect">
                      <a:avLst/>
                    </a:prstGeom>
                    <a:noFill/>
                    <a:ln>
                      <a:noFill/>
                    </a:ln>
                  </pic:spPr>
                </pic:pic>
              </a:graphicData>
            </a:graphic>
          </wp:inline>
        </w:drawing>
      </w:r>
    </w:p>
    <w:p w:rsidR="00E54B4E" w:rsidRPr="004B259C" w:rsidRDefault="00E54B4E" w:rsidP="00CE216F">
      <w:pPr>
        <w:pStyle w:val="Heading4"/>
      </w:pPr>
      <w:r w:rsidRPr="004B259C">
        <w:t>Results for the primary efficacy outcome</w:t>
      </w:r>
    </w:p>
    <w:p w:rsidR="00E54B4E" w:rsidRPr="00C07788" w:rsidRDefault="00E54B4E" w:rsidP="00CE216F">
      <w:r w:rsidRPr="00C07788">
        <w:t xml:space="preserve">Eviplera adherence </w:t>
      </w:r>
      <w:r w:rsidR="00EE2009">
        <w:t xml:space="preserve">was </w:t>
      </w:r>
      <w:r w:rsidRPr="00C07788">
        <w:t xml:space="preserve">measured by pill count. Overall, 91.8% had an adherence rate of ≥95%. </w:t>
      </w:r>
      <w:r w:rsidRPr="00C07788">
        <w:rPr>
          <w:b/>
        </w:rPr>
        <w:t>Primary endpoint:</w:t>
      </w:r>
      <w:r w:rsidRPr="00C07788">
        <w:t xml:space="preserve"> Proportion of subjects with HIV-1 RNA &lt;50 </w:t>
      </w:r>
      <w:r w:rsidR="00086D51">
        <w:t>copies</w:t>
      </w:r>
      <w:r w:rsidRPr="00C07788">
        <w:t xml:space="preserve">/mL at Wk 12 as defined by the FDA snapshot analysis, based on the FAS. All 49 subjects (100%; 95% CI: 92.7%, 100%) maintained virologic suppression with HIV-1 RNA &lt;50 </w:t>
      </w:r>
      <w:r w:rsidR="00086D51">
        <w:t>copies</w:t>
      </w:r>
      <w:r w:rsidRPr="00C07788">
        <w:t>/mL at Wk 12.</w:t>
      </w:r>
    </w:p>
    <w:p w:rsidR="00727F2D" w:rsidRPr="004465BE" w:rsidRDefault="00727F2D" w:rsidP="00CE216F">
      <w:pPr>
        <w:pStyle w:val="Heading4"/>
      </w:pPr>
      <w:r w:rsidRPr="004B259C">
        <w:t>Results for other efficacy outcomes</w:t>
      </w:r>
    </w:p>
    <w:p w:rsidR="00727F2D" w:rsidRPr="00CE216F" w:rsidRDefault="00727F2D" w:rsidP="00CE216F">
      <w:pPr>
        <w:pStyle w:val="ListBullet"/>
      </w:pPr>
      <w:r w:rsidRPr="00CE216F">
        <w:t xml:space="preserve">At Wks 24 and 48, 100% and 93.9% of subjects (46 of 49 subjects; 95% CI: 83.1%, 98.7%) maintained HIV-1 RNA &lt;50 </w:t>
      </w:r>
      <w:r w:rsidR="00086D51" w:rsidRPr="00CE216F">
        <w:t>copies</w:t>
      </w:r>
      <w:r w:rsidR="00CE216F">
        <w:t>/mL, respectively</w:t>
      </w:r>
    </w:p>
    <w:p w:rsidR="00727F2D" w:rsidRPr="00CE216F" w:rsidRDefault="00727F2D" w:rsidP="00CE216F">
      <w:pPr>
        <w:pStyle w:val="ListBullet"/>
      </w:pPr>
      <w:r w:rsidRPr="00CE216F">
        <w:t xml:space="preserve">At Wk 48, 2 subjects (4.1%) had HIV-1 RNA ≥50 </w:t>
      </w:r>
      <w:r w:rsidR="00086D51" w:rsidRPr="00CE216F">
        <w:t>copies</w:t>
      </w:r>
      <w:r w:rsidRPr="00CE216F">
        <w:t xml:space="preserve">/mL and were considered virologic failures. One subject had no virologic data in the Wk 48 window; study drug was </w:t>
      </w:r>
      <w:r w:rsidRPr="00CE216F">
        <w:lastRenderedPageBreak/>
        <w:t xml:space="preserve">discontinued due to a protocol violation, last available HIV-1 RNA was &lt;50 </w:t>
      </w:r>
      <w:r w:rsidR="00086D51" w:rsidRPr="00CE216F">
        <w:t>copies</w:t>
      </w:r>
      <w:r w:rsidRPr="00CE216F">
        <w:t xml:space="preserve">/mL. TLOVR analysis for data at Wk 48 confirmed the snapshot analysis: 93.9% responders (95% CI: 83.1%, 98.7%) and maintained HIV-1 RNA &lt;50 </w:t>
      </w:r>
      <w:r w:rsidR="00086D51" w:rsidRPr="00CE216F">
        <w:t>copies</w:t>
      </w:r>
      <w:r w:rsidRPr="00CE216F">
        <w:t>/mL through</w:t>
      </w:r>
      <w:r w:rsidR="00CE216F">
        <w:t xml:space="preserve"> Wk 48; 6.1% were nonresponders</w:t>
      </w:r>
    </w:p>
    <w:p w:rsidR="00727F2D" w:rsidRPr="00CE216F" w:rsidRDefault="00727F2D" w:rsidP="00CE216F">
      <w:pPr>
        <w:pStyle w:val="ListBullet"/>
      </w:pPr>
      <w:r w:rsidRPr="00CE216F">
        <w:t>In the M = F analysis, the proportion of subjects with HIV-1 RNA levels &lt;</w:t>
      </w:r>
      <w:proofErr w:type="gramStart"/>
      <w:r w:rsidRPr="00CE216F">
        <w:t xml:space="preserve">50 </w:t>
      </w:r>
      <w:r w:rsidR="00086D51" w:rsidRPr="00CE216F">
        <w:t>copies</w:t>
      </w:r>
      <w:r w:rsidRPr="00CE216F">
        <w:t>/mL at Wk 48</w:t>
      </w:r>
      <w:proofErr w:type="gramEnd"/>
      <w:r w:rsidRPr="00CE216F">
        <w:t xml:space="preserve"> was 93.9% (46 of 49 subjects; 95% CI: 83.1%, 98.7%). In the M = E analysis, the proportion of subjects with HIV-1 RNA &lt;</w:t>
      </w:r>
      <w:proofErr w:type="gramStart"/>
      <w:r w:rsidRPr="00CE216F">
        <w:t xml:space="preserve">50 </w:t>
      </w:r>
      <w:r w:rsidR="00086D51" w:rsidRPr="00CE216F">
        <w:t>copies</w:t>
      </w:r>
      <w:r w:rsidRPr="00CE216F">
        <w:t>/mL at Wk 48</w:t>
      </w:r>
      <w:proofErr w:type="gramEnd"/>
      <w:r w:rsidRPr="00CE216F">
        <w:t xml:space="preserve"> was 95.8% (46 of 48 subjects; 95% CI: 85.7%, 99.5%). In the LOCF analysis, 100% of subjects had HIV-1 RNA &lt;50 </w:t>
      </w:r>
      <w:r w:rsidR="00086D51" w:rsidRPr="00CE216F">
        <w:t>copies</w:t>
      </w:r>
      <w:r w:rsidRPr="00CE216F">
        <w:t xml:space="preserve">/mL at Wk 12, and 95.9% of subjects (47 of 49; 95% CI: 86.0%, 99.5%) had HIV-1 RNA &lt;50 </w:t>
      </w:r>
      <w:r w:rsidR="00086D51" w:rsidRPr="00CE216F">
        <w:t>copies</w:t>
      </w:r>
      <w:r w:rsidRPr="00CE216F">
        <w:t xml:space="preserve">/mL at Wk 48; 2 subjects (4.1%) had HIV-1 RNA ≥50 </w:t>
      </w:r>
      <w:r w:rsidR="00086D51" w:rsidRPr="00CE216F">
        <w:t>copies</w:t>
      </w:r>
      <w:r w:rsidRPr="00CE216F">
        <w:t xml:space="preserve">/mL at Wk 48 and were considered virologic failures. Of the 2 subjects, 1 subject had low-level viral loads </w:t>
      </w:r>
      <w:proofErr w:type="gramStart"/>
      <w:r w:rsidRPr="00CE216F">
        <w:t xml:space="preserve">of 63 </w:t>
      </w:r>
      <w:r w:rsidR="00086D51" w:rsidRPr="00CE216F">
        <w:t>copies</w:t>
      </w:r>
      <w:r w:rsidRPr="00CE216F">
        <w:t>/mL (Wk 36)</w:t>
      </w:r>
      <w:proofErr w:type="gramEnd"/>
      <w:r w:rsidRPr="00CE216F">
        <w:t xml:space="preserve"> and 95 </w:t>
      </w:r>
      <w:r w:rsidR="00086D51" w:rsidRPr="00CE216F">
        <w:t>copies</w:t>
      </w:r>
      <w:r w:rsidRPr="00CE216F">
        <w:t xml:space="preserve">/mL (Wk 48). After switching the subject back to Atripla, viral load became undetectable. The second subject had viral loads of 330,000 (Wk 48), 1890 (Wk 51), and 991 </w:t>
      </w:r>
      <w:r w:rsidR="00086D51" w:rsidRPr="00CE216F">
        <w:t>copies</w:t>
      </w:r>
      <w:r w:rsidRPr="00CE216F">
        <w:t xml:space="preserve">/mL (Wk 54). This subject was noted to be poorly adherent with undetectable RPV level at Wk </w:t>
      </w:r>
      <w:r w:rsidR="00CE216F">
        <w:t>48, implying ARV non-adherence</w:t>
      </w:r>
    </w:p>
    <w:p w:rsidR="00727F2D" w:rsidRPr="00313D70" w:rsidRDefault="00727F2D" w:rsidP="00313D70">
      <w:pPr>
        <w:pStyle w:val="ListBullet"/>
      </w:pPr>
      <w:r w:rsidRPr="00CE216F">
        <w:t>Median (first quartile [Q1], third quartile [Q3]) baseline CD4+ counts were 653 (513, 766) cells/μL. Median (Q1, Q3) change from baseline in CD4+ cell counts were not statistic</w:t>
      </w:r>
      <w:r w:rsidR="00603BAC" w:rsidRPr="00CE216F">
        <w:t>ally significant at Wk 48 (-2 [-</w:t>
      </w:r>
      <w:r w:rsidRPr="00CE216F">
        <w:t>76, 104] cells/μL; p = 0.87, Wilcoxon signed rank test) or at any o</w:t>
      </w:r>
      <w:r w:rsidR="00CE216F">
        <w:t>ther timepoint during the study</w:t>
      </w:r>
    </w:p>
    <w:p w:rsidR="00727F2D" w:rsidRPr="00313D70" w:rsidRDefault="00727F2D" w:rsidP="00313D70">
      <w:pPr>
        <w:pStyle w:val="ListBullet"/>
      </w:pPr>
      <w:r w:rsidRPr="00313D70">
        <w:t>Resistance to any component of Eviplera</w:t>
      </w:r>
      <w:r w:rsidR="00564405" w:rsidRPr="00313D70">
        <w:t xml:space="preserve"> </w:t>
      </w:r>
      <w:r w:rsidR="00CE216F" w:rsidRPr="00313D70">
        <w:t>STR did not occur</w:t>
      </w:r>
    </w:p>
    <w:p w:rsidR="00727F2D" w:rsidRPr="00CE216F" w:rsidRDefault="00727F2D" w:rsidP="00313D70">
      <w:pPr>
        <w:pStyle w:val="ListBullet"/>
      </w:pPr>
      <w:r w:rsidRPr="00313D70">
        <w:t>No subject had evidence of protocol-defined exclusion mutations in their historical genotype; 7 had documented NNRTI resistance mutation</w:t>
      </w:r>
      <w:r w:rsidRPr="00CE216F">
        <w:t xml:space="preserve"> (14.3%), 3 had an NRTI resistance mutation (6.1%), 2 had primary protease inhibitor resistance (4.1%). One subject (Subject 1624-3817) had the RPV resistance-associated mutation E138A, which was not an exclusion mutation at the time of this study; this subject maintained virologic suppression through Wk 48. Other NNRTI-resistance mutations present were V90I (n=2), V106I (n=1), V179I/D (n=3). The NRTI-associated mutations were M41L (n=1) and V118I (n=2). All subjects with pre-existing NNRTI mutations had HIV-1 RNA &lt;50 </w:t>
      </w:r>
      <w:r w:rsidR="00086D51" w:rsidRPr="00CE216F">
        <w:t>copies</w:t>
      </w:r>
      <w:r w:rsidRPr="00CE216F">
        <w:t>/mL at Wk 48.</w:t>
      </w:r>
    </w:p>
    <w:p w:rsidR="007C3B32" w:rsidRDefault="007C3B32" w:rsidP="00CE216F">
      <w:pPr>
        <w:pStyle w:val="Heading3"/>
      </w:pPr>
      <w:bookmarkStart w:id="109" w:name="_Toc396308667"/>
      <w:r w:rsidRPr="007C3B32">
        <w:t>Study GS-US-264-0106</w:t>
      </w:r>
      <w:bookmarkEnd w:id="109"/>
    </w:p>
    <w:p w:rsidR="00A83834" w:rsidRPr="003C0A48" w:rsidRDefault="00A83834" w:rsidP="00CE216F">
      <w:pPr>
        <w:pStyle w:val="Heading4"/>
      </w:pPr>
      <w:r w:rsidRPr="003C0A48">
        <w:t>Study design, objectives, locations and dates</w:t>
      </w:r>
    </w:p>
    <w:p w:rsidR="00A83834" w:rsidRPr="0063369E" w:rsidRDefault="00A83834" w:rsidP="00CE216F">
      <w:r w:rsidRPr="0063369E">
        <w:t xml:space="preserve">Phase 3b, randomised, open-label, </w:t>
      </w:r>
      <w:proofErr w:type="gramStart"/>
      <w:r w:rsidRPr="0063369E">
        <w:t>multicentre</w:t>
      </w:r>
      <w:proofErr w:type="gramEnd"/>
      <w:r w:rsidRPr="0063369E">
        <w:t>. Conducted between 17 Nov</w:t>
      </w:r>
      <w:r w:rsidR="00603BAC">
        <w:t xml:space="preserve"> </w:t>
      </w:r>
      <w:r w:rsidRPr="0063369E">
        <w:t>2010 (1st subject screened) and 20</w:t>
      </w:r>
      <w:r w:rsidR="005C7DAA">
        <w:t xml:space="preserve"> </w:t>
      </w:r>
      <w:r w:rsidRPr="0063369E">
        <w:t>Aug 2012 (Last subject observation for present report).</w:t>
      </w:r>
      <w:r w:rsidR="00564405">
        <w:t xml:space="preserve"> </w:t>
      </w:r>
      <w:r w:rsidRPr="0063369E">
        <w:t>110 sites: Austria, Belgium, Canada, France, Germany, Ital</w:t>
      </w:r>
      <w:r w:rsidR="00CE216F">
        <w:t>y, Puerto Rico, Spain, UK, USA.</w:t>
      </w:r>
    </w:p>
    <w:p w:rsidR="00A83834" w:rsidRPr="004B259C" w:rsidRDefault="00A83834" w:rsidP="00CE216F">
      <w:pPr>
        <w:pStyle w:val="Heading4"/>
      </w:pPr>
      <w:r w:rsidRPr="004B259C">
        <w:t>Inclusion and exclusion criteria</w:t>
      </w:r>
    </w:p>
    <w:p w:rsidR="005C7DAA" w:rsidRPr="005C7DAA" w:rsidRDefault="00A83834" w:rsidP="00CE216F">
      <w:r w:rsidRPr="005C7DAA">
        <w:rPr>
          <w:b/>
        </w:rPr>
        <w:t>Key Inclusions:</w:t>
      </w:r>
      <w:r w:rsidRPr="005C7DAA">
        <w:t xml:space="preserve"> written informed consent form; currently receiving ARV with PI/r+2 NRTIs for ≥6 months; undetectable plasma HIV-1 RNA (≥2 measurements) for ≥6 months prior to the screening; HIV RNA &lt;50 </w:t>
      </w:r>
      <w:r w:rsidR="00086D51">
        <w:t>copies</w:t>
      </w:r>
      <w:r w:rsidRPr="005C7DAA">
        <w:t xml:space="preserve">/mL at screening; on first or second ARV drug regimen; if on 2nd ARV regimen, must not have had HIV-1 RNA &gt;50 </w:t>
      </w:r>
      <w:r w:rsidR="00086D51">
        <w:t>copies</w:t>
      </w:r>
      <w:r w:rsidRPr="005C7DAA">
        <w:t xml:space="preserve">/mL at the time of changing ARVs, nor ever experienced 2 consecutive HIV RNA &gt;50 </w:t>
      </w:r>
      <w:r w:rsidR="00086D51">
        <w:t>copies</w:t>
      </w:r>
      <w:r w:rsidRPr="005C7DAA">
        <w:t xml:space="preserve">/mL after first HIV RNA &lt;50 </w:t>
      </w:r>
      <w:r w:rsidR="00086D51">
        <w:t>copies</w:t>
      </w:r>
      <w:r w:rsidRPr="005C7DAA">
        <w:t xml:space="preserve">/mL; No previous use of any approved or experimental NNRTI drug; have had a genotype prior to starting initial ARV and have </w:t>
      </w:r>
      <w:r w:rsidRPr="005C7DAA">
        <w:rPr>
          <w:b/>
        </w:rPr>
        <w:t>no known resistance</w:t>
      </w:r>
      <w:r w:rsidRPr="005C7DAA">
        <w:t xml:space="preserve"> to any of the study agents at any time in the past including, but not limited to the RT resistance mutations K65R, K101E/P, E138G/K/R/Q, Y181C/I/V, M184V/I, or H221Y; lab &amp; ECG within protocol specified parameters; adequate contraception; Age ≥18 years; Life expectancy ≥1 year</w:t>
      </w:r>
      <w:r w:rsidR="005C7DAA" w:rsidRPr="005C7DAA">
        <w:t>.</w:t>
      </w:r>
    </w:p>
    <w:p w:rsidR="00A83834" w:rsidRPr="005C7DAA" w:rsidRDefault="00A83834" w:rsidP="00CE216F">
      <w:r w:rsidRPr="005C7DAA">
        <w:rPr>
          <w:b/>
        </w:rPr>
        <w:t>Key Exclusions:</w:t>
      </w:r>
      <w:r w:rsidRPr="005C7DAA">
        <w:t xml:space="preserve"> new AIDS-defining condition within 30 days prior to screening; Pregnant/breastfeeding; conmeds contraindicated/not recommended for use</w:t>
      </w:r>
      <w:r w:rsidR="00CE216F">
        <w:t xml:space="preserve"> with any ARVs in the protocol.</w:t>
      </w:r>
    </w:p>
    <w:p w:rsidR="00A83834" w:rsidRPr="005C7DAA" w:rsidRDefault="00A83834" w:rsidP="00CE216F">
      <w:pPr>
        <w:pStyle w:val="Heading4"/>
      </w:pPr>
      <w:r w:rsidRPr="005C7DAA">
        <w:lastRenderedPageBreak/>
        <w:t>Study treatments</w:t>
      </w:r>
    </w:p>
    <w:p w:rsidR="00A83834" w:rsidRPr="00832295" w:rsidRDefault="00A83834" w:rsidP="00CE216F">
      <w:r w:rsidRPr="00832295">
        <w:t>Eviplera STR administered orally with a meal OD for 48 wks either immediate or delayed switch after 24 Wks, in the delayed Switch arm, patients remain on their PI/r + 2NRTI until wk 24.</w:t>
      </w:r>
    </w:p>
    <w:p w:rsidR="00A83834" w:rsidRPr="00857F03" w:rsidRDefault="00A83834" w:rsidP="00CE216F">
      <w:pPr>
        <w:pStyle w:val="Heading4"/>
      </w:pPr>
      <w:r w:rsidRPr="00857F03">
        <w:t>Efficacy variables and outcomes</w:t>
      </w:r>
    </w:p>
    <w:p w:rsidR="00A83834" w:rsidRPr="00832295" w:rsidRDefault="00A83834" w:rsidP="00CE216F">
      <w:r w:rsidRPr="00832295">
        <w:t>The main efficacy variables were to assess the non-inferiority of switching to Eviplera</w:t>
      </w:r>
      <w:r w:rsidR="00564405">
        <w:t xml:space="preserve"> </w:t>
      </w:r>
      <w:r w:rsidRPr="00832295">
        <w:t xml:space="preserve">relative to continuing on PI/r+2NRTIs in maintaining HIV-1 RNA&lt;50 </w:t>
      </w:r>
      <w:r w:rsidR="00086D51">
        <w:t>copies</w:t>
      </w:r>
      <w:r w:rsidRPr="00832295">
        <w:t xml:space="preserve">/mL at Wk 24. The primary efficacy outcome was the proportion of subjects with HIV-1 RNA &lt;50 </w:t>
      </w:r>
      <w:r w:rsidR="00086D51">
        <w:t>copies</w:t>
      </w:r>
      <w:r w:rsidRPr="00832295">
        <w:t>/mL at Wk 24 as defined by the FDA sn</w:t>
      </w:r>
      <w:r w:rsidR="00CE216F">
        <w:t>apshot analysis.</w:t>
      </w:r>
    </w:p>
    <w:p w:rsidR="00A83834" w:rsidRPr="00CE216F" w:rsidRDefault="00A83834" w:rsidP="00CE216F">
      <w:pPr>
        <w:rPr>
          <w:b/>
        </w:rPr>
      </w:pPr>
      <w:r w:rsidRPr="00CE216F">
        <w:rPr>
          <w:b/>
        </w:rPr>
        <w:t>Other efficacy outcomes included:</w:t>
      </w:r>
    </w:p>
    <w:p w:rsidR="00A83834" w:rsidRPr="00CE216F" w:rsidRDefault="00A83834" w:rsidP="00CE216F">
      <w:pPr>
        <w:pStyle w:val="ListBullet"/>
      </w:pPr>
      <w:r w:rsidRPr="00CE216F">
        <w:t>change from baseline in fasting lipi</w:t>
      </w:r>
      <w:r w:rsidR="00CE216F">
        <w:t>d parameters over 24 and 48 Wks</w:t>
      </w:r>
    </w:p>
    <w:p w:rsidR="00A83834" w:rsidRPr="00CE216F" w:rsidRDefault="00A83834" w:rsidP="00CE216F">
      <w:pPr>
        <w:pStyle w:val="ListBullet"/>
      </w:pPr>
      <w:r w:rsidRPr="00CE216F">
        <w:t>safety and tolerability of each t</w:t>
      </w:r>
      <w:r w:rsidR="00CE216F">
        <w:t>reatment arm over 24 and 48 Wks</w:t>
      </w:r>
    </w:p>
    <w:p w:rsidR="00A83834" w:rsidRPr="00CE216F" w:rsidRDefault="00A83834" w:rsidP="00CE216F">
      <w:pPr>
        <w:pStyle w:val="ListBullet"/>
      </w:pPr>
      <w:r w:rsidRPr="00CE216F">
        <w:t>change from baseline in CD4 cell count in each treatment arm at 24 an</w:t>
      </w:r>
      <w:r w:rsidR="00CE216F">
        <w:t>d 48 Wks</w:t>
      </w:r>
    </w:p>
    <w:p w:rsidR="00A83834" w:rsidRPr="00CE216F" w:rsidRDefault="00A83834" w:rsidP="00CE216F">
      <w:pPr>
        <w:pStyle w:val="ListBullet"/>
      </w:pPr>
      <w:r w:rsidRPr="00CE216F">
        <w:t>HIV-1 genotypic/phenotypic analyses i</w:t>
      </w:r>
      <w:r w:rsidR="00CE216F">
        <w:t>n those with virologic failure.</w:t>
      </w:r>
    </w:p>
    <w:p w:rsidR="00A83834" w:rsidRPr="00832295" w:rsidRDefault="00832295" w:rsidP="00832295">
      <w:r>
        <w:rPr>
          <w:b/>
        </w:rPr>
        <w:t>Other endpoints of i</w:t>
      </w:r>
      <w:r w:rsidR="00A83834" w:rsidRPr="00832295">
        <w:rPr>
          <w:b/>
        </w:rPr>
        <w:t>nterest:</w:t>
      </w:r>
      <w:r w:rsidR="00A83834" w:rsidRPr="00832295">
        <w:t xml:space="preserve"> Patient reported outcomes: HIV Symptom Index &amp; HIV Treatm</w:t>
      </w:r>
      <w:r w:rsidR="00CE216F">
        <w:t>ent Satisfaction Questionnaire.</w:t>
      </w:r>
    </w:p>
    <w:p w:rsidR="00A83834" w:rsidRPr="00857F03" w:rsidRDefault="00A83834" w:rsidP="00832295">
      <w:pPr>
        <w:pStyle w:val="Heading4"/>
      </w:pPr>
      <w:r w:rsidRPr="00857F03">
        <w:t>Randomisation and blinding methods</w:t>
      </w:r>
    </w:p>
    <w:p w:rsidR="00A83834" w:rsidRPr="00832295" w:rsidRDefault="00A83834" w:rsidP="00A7607C">
      <w:r w:rsidRPr="00832295">
        <w:t>Open label.</w:t>
      </w:r>
      <w:r w:rsidR="00564405">
        <w:t xml:space="preserve"> </w:t>
      </w:r>
      <w:r w:rsidRPr="00832295">
        <w:t>Subjects randomised in a 2:1 ratio to one of the following two treatment arms:</w:t>
      </w:r>
    </w:p>
    <w:p w:rsidR="00832295" w:rsidRPr="00832295" w:rsidRDefault="00A83834" w:rsidP="00A7607C">
      <w:r w:rsidRPr="00832295">
        <w:rPr>
          <w:b/>
        </w:rPr>
        <w:t>Treatment Arm 1:</w:t>
      </w:r>
      <w:r w:rsidRPr="00832295">
        <w:t xml:space="preserve"> Switched Eplivera (n=280)</w:t>
      </w:r>
      <w:r w:rsidR="00832295" w:rsidRPr="00832295">
        <w:t>;</w:t>
      </w:r>
    </w:p>
    <w:p w:rsidR="00A83834" w:rsidRPr="00832295" w:rsidRDefault="00A83834" w:rsidP="00A7607C">
      <w:r w:rsidRPr="00832295">
        <w:rPr>
          <w:b/>
        </w:rPr>
        <w:t>Treatment Arm 2:</w:t>
      </w:r>
      <w:r w:rsidRPr="00832295">
        <w:t xml:space="preserve"> Delayed switch to Eplivera after remaining on current PI/r+ NRTI inhibitors for 24 Wks after baseline visit (n = 140). Subjects randomised in a 2:1 ratio to Treatment Arm 1 or Treatment Arm 2 utilising permuted blocks stratified for the use of TDF (either TDF</w:t>
      </w:r>
      <w:r w:rsidR="00603BAC">
        <w:t xml:space="preserve"> or Truvada) and LPV/r at enrol</w:t>
      </w:r>
      <w:r w:rsidR="00A7607C">
        <w:t>ment (total of 4 strata).</w:t>
      </w:r>
    </w:p>
    <w:p w:rsidR="00A83834" w:rsidRPr="00857F03" w:rsidRDefault="00A83834" w:rsidP="00A7607C">
      <w:pPr>
        <w:pStyle w:val="Heading4"/>
      </w:pPr>
      <w:r w:rsidRPr="00857F03">
        <w:t>Analysis populations</w:t>
      </w:r>
    </w:p>
    <w:p w:rsidR="00832295" w:rsidRPr="00832295" w:rsidRDefault="00A83834" w:rsidP="00A7607C">
      <w:r w:rsidRPr="00832295">
        <w:rPr>
          <w:b/>
        </w:rPr>
        <w:t>Efficacy Full Analysis Set (FAS)</w:t>
      </w:r>
      <w:r w:rsidR="00832295" w:rsidRPr="00832295">
        <w:rPr>
          <w:b/>
        </w:rPr>
        <w:t>:</w:t>
      </w:r>
      <w:r w:rsidR="00832295" w:rsidRPr="00832295">
        <w:t xml:space="preserve"> </w:t>
      </w:r>
      <w:r w:rsidRPr="00832295">
        <w:t>all subjects randomised and receiving ≥1 dose study drug. FAS=primary set for analysis of efficacy and subjects grouped according to randomised treatment (intent-to-treat).</w:t>
      </w:r>
    </w:p>
    <w:p w:rsidR="00832295" w:rsidRPr="00832295" w:rsidRDefault="00313D70" w:rsidP="00A7607C">
      <w:r>
        <w:rPr>
          <w:b/>
        </w:rPr>
        <w:t>Per-Protocol (PP) a</w:t>
      </w:r>
      <w:r w:rsidR="00A83834" w:rsidRPr="00832295">
        <w:rPr>
          <w:b/>
        </w:rPr>
        <w:t xml:space="preserve">nalysis </w:t>
      </w:r>
      <w:r>
        <w:rPr>
          <w:b/>
        </w:rPr>
        <w:t>s</w:t>
      </w:r>
      <w:r w:rsidR="00A83834" w:rsidRPr="00832295">
        <w:rPr>
          <w:b/>
        </w:rPr>
        <w:t>et</w:t>
      </w:r>
      <w:r w:rsidR="00832295" w:rsidRPr="00832295">
        <w:rPr>
          <w:b/>
        </w:rPr>
        <w:t>:</w:t>
      </w:r>
      <w:r w:rsidR="00832295" w:rsidRPr="00832295">
        <w:t xml:space="preserve"> </w:t>
      </w:r>
      <w:r w:rsidR="00A83834" w:rsidRPr="00832295">
        <w:t>all subjects randomised and receiving ≥1 study medication, without any major protocol violations</w:t>
      </w:r>
      <w:r w:rsidR="00832295" w:rsidRPr="00832295">
        <w:t>.</w:t>
      </w:r>
    </w:p>
    <w:p w:rsidR="00A83834" w:rsidRPr="00832295" w:rsidDel="0081373E" w:rsidRDefault="00313D70" w:rsidP="00832295">
      <w:r>
        <w:rPr>
          <w:b/>
        </w:rPr>
        <w:t>Safety analysis s</w:t>
      </w:r>
      <w:r w:rsidR="00A83834" w:rsidRPr="00832295">
        <w:rPr>
          <w:b/>
        </w:rPr>
        <w:t>et</w:t>
      </w:r>
      <w:r w:rsidR="00832295" w:rsidRPr="00832295">
        <w:rPr>
          <w:b/>
        </w:rPr>
        <w:t>:</w:t>
      </w:r>
      <w:r w:rsidR="00832295" w:rsidRPr="00832295">
        <w:t xml:space="preserve"> </w:t>
      </w:r>
      <w:r w:rsidR="00A83834" w:rsidRPr="00832295">
        <w:t>all randomised subjects receiving</w:t>
      </w:r>
      <w:r w:rsidR="00564405">
        <w:t xml:space="preserve"> </w:t>
      </w:r>
      <w:r w:rsidR="00A83834" w:rsidRPr="00832295">
        <w:t>≥1 dose of study drug. All data collected up to 30 days after last dose of randomised study regimen in</w:t>
      </w:r>
      <w:r w:rsidR="00A7607C">
        <w:t>cluded in the safety summaries.</w:t>
      </w:r>
    </w:p>
    <w:p w:rsidR="00A83834" w:rsidRPr="00857F03" w:rsidDel="0081373E" w:rsidRDefault="00A83834" w:rsidP="00A7607C">
      <w:pPr>
        <w:pStyle w:val="Heading4"/>
      </w:pPr>
      <w:r w:rsidRPr="00857F03" w:rsidDel="0081373E">
        <w:t>Sample size</w:t>
      </w:r>
    </w:p>
    <w:p w:rsidR="00A83834" w:rsidRPr="00CF51AF" w:rsidRDefault="00A83834" w:rsidP="00A7607C">
      <w:r w:rsidRPr="00CF51AF">
        <w:t>Sample size=420, derived as follows; 280 subjects randomised to switch to Eviplera</w:t>
      </w:r>
      <w:r w:rsidR="00564405">
        <w:t xml:space="preserve"> </w:t>
      </w:r>
      <w:r w:rsidRPr="00CF51AF">
        <w:t>at study Day 1 and 140 subjects randomi</w:t>
      </w:r>
      <w:r w:rsidR="00CF51AF">
        <w:t>s</w:t>
      </w:r>
      <w:r w:rsidRPr="00CF51AF">
        <w:t xml:space="preserve">ed to delayed switch, the lower limit of the observed one-sided 97.5% CI was expected to be greater than </w:t>
      </w:r>
      <w:r w:rsidR="00603BAC">
        <w:t>-</w:t>
      </w:r>
      <w:r w:rsidRPr="00CF51AF">
        <w:t xml:space="preserve">0.120 (i.e., non-inferiority Δ of 12%) with &gt;95% power when proportion of responders in both treatment groups for the primary endpoint is 90% at Wk 24. The assumed response rates (90% at Wk 24) was based on the response rates reported for analysis of HIV-1 RNA &lt;50 </w:t>
      </w:r>
      <w:r w:rsidR="00086D51">
        <w:t>copies</w:t>
      </w:r>
      <w:r w:rsidRPr="00CF51AF">
        <w:t xml:space="preserve">/mL with missing=failure in the PI stratum of previously conducted switch study (GS-US-0177-0107) in stable suppressed (HIV-1 RNA &lt;50 </w:t>
      </w:r>
      <w:r w:rsidR="00086D51">
        <w:t>copies</w:t>
      </w:r>
      <w:r w:rsidR="00A7607C">
        <w:t>/mL at baseline) patients.</w:t>
      </w:r>
    </w:p>
    <w:p w:rsidR="00A83834" w:rsidRPr="00857F03" w:rsidRDefault="00A83834" w:rsidP="00A7607C">
      <w:pPr>
        <w:pStyle w:val="Heading4"/>
      </w:pPr>
      <w:r w:rsidRPr="00857F03">
        <w:t>Statistical methods</w:t>
      </w:r>
    </w:p>
    <w:p w:rsidR="00CF51AF" w:rsidRDefault="00A83834" w:rsidP="00A7607C">
      <w:pPr>
        <w:pStyle w:val="Heading5"/>
      </w:pPr>
      <w:r w:rsidRPr="00CF51AF">
        <w:t xml:space="preserve">Primary </w:t>
      </w:r>
      <w:r w:rsidR="00313D70">
        <w:t>a</w:t>
      </w:r>
      <w:r w:rsidRPr="00CF51AF">
        <w:t>nalysis</w:t>
      </w:r>
    </w:p>
    <w:p w:rsidR="00A83834" w:rsidRPr="00CF51AF" w:rsidRDefault="00A83834" w:rsidP="00A7607C">
      <w:r w:rsidRPr="00CF51AF">
        <w:t>Non-inferiority of switching to Eviplera</w:t>
      </w:r>
      <w:r w:rsidR="00564405">
        <w:t xml:space="preserve"> </w:t>
      </w:r>
      <w:r w:rsidRPr="00CF51AF">
        <w:t xml:space="preserve">relative to staying on a PI/r+2NRTI regimen assessed by testing null hypothesis that the proportion of subjects maintaining HIV-1 RNA &lt;50 </w:t>
      </w:r>
      <w:r w:rsidR="00086D51">
        <w:lastRenderedPageBreak/>
        <w:t>copies</w:t>
      </w:r>
      <w:r w:rsidRPr="00CF51AF">
        <w:t>/mL at Wk 24 in the immediate arm is ≥12% lower than the response rate in the PI/r+2NRTI regimen. The alternative hypothesis is that the response rate after switching to Eviplera is &lt;12% lower than continuing on PI/r+2NRTI. The primary evaluation of non-inferiority assessed by constructing a two-sided exact 95% CI for the difference in treatment group response rates (Eviplera</w:t>
      </w:r>
      <w:r w:rsidR="00564405">
        <w:t xml:space="preserve"> </w:t>
      </w:r>
      <w:r w:rsidRPr="00CF51AF">
        <w:t>minus PI/r+2NRTI) using inverted two one-sided tests with the standardized statistic. Eviplera</w:t>
      </w:r>
      <w:r w:rsidR="00564405">
        <w:t xml:space="preserve"> </w:t>
      </w:r>
      <w:r w:rsidRPr="00CF51AF">
        <w:t>arm is non-inferior to PI/r +2NRTI arm if lower 95% confidence bound of responder difference is greater than −0.120. Superiority declared if lower bou</w:t>
      </w:r>
      <w:r w:rsidR="00A7607C">
        <w:t>nd of the CI is greater than 0.</w:t>
      </w:r>
    </w:p>
    <w:p w:rsidR="00CF51AF" w:rsidRDefault="00CF51AF" w:rsidP="00A7607C">
      <w:pPr>
        <w:pStyle w:val="Heading5"/>
      </w:pPr>
      <w:r>
        <w:t>Secondary endpoint analysis</w:t>
      </w:r>
    </w:p>
    <w:p w:rsidR="00CF51AF" w:rsidRDefault="00A83834" w:rsidP="00A7607C">
      <w:r>
        <w:t>P</w:t>
      </w:r>
      <w:r w:rsidRPr="00757AB6">
        <w:t xml:space="preserve">roportion of subjects </w:t>
      </w:r>
      <w:r>
        <w:t>maintaining</w:t>
      </w:r>
      <w:r w:rsidRPr="00757AB6">
        <w:t xml:space="preserve"> HIV-1 RNA </w:t>
      </w:r>
      <w:r>
        <w:t xml:space="preserve">&lt;50 </w:t>
      </w:r>
      <w:r w:rsidR="00086D51">
        <w:t>copies</w:t>
      </w:r>
      <w:r>
        <w:t>/mL through Wk 48 analysed using TLOVR algorithm in the Eviplera</w:t>
      </w:r>
      <w:r w:rsidR="00564405">
        <w:t xml:space="preserve"> </w:t>
      </w:r>
      <w:r w:rsidR="00F35F06">
        <w:t>group</w:t>
      </w:r>
      <w:r w:rsidRPr="00757AB6">
        <w:t xml:space="preserve">. Viral load </w:t>
      </w:r>
      <w:r>
        <w:t>also analysed categorically (&lt;</w:t>
      </w:r>
      <w:r w:rsidRPr="00757AB6">
        <w:t xml:space="preserve">50, </w:t>
      </w:r>
      <w:r>
        <w:rPr>
          <w:rFonts w:cs="Symbol"/>
        </w:rPr>
        <w:t>≥</w:t>
      </w:r>
      <w:r w:rsidRPr="00757AB6">
        <w:t xml:space="preserve">50 to </w:t>
      </w:r>
      <w:r>
        <w:rPr>
          <w:rFonts w:cs="Symbol"/>
        </w:rPr>
        <w:t>&lt;</w:t>
      </w:r>
      <w:r w:rsidRPr="00757AB6">
        <w:t xml:space="preserve">200, </w:t>
      </w:r>
      <w:r>
        <w:rPr>
          <w:rFonts w:cs="Symbol"/>
        </w:rPr>
        <w:t>≥</w:t>
      </w:r>
      <w:r w:rsidRPr="00757AB6">
        <w:t xml:space="preserve">200 to </w:t>
      </w:r>
      <w:r>
        <w:rPr>
          <w:rFonts w:cs="Symbol"/>
        </w:rPr>
        <w:t>&lt;</w:t>
      </w:r>
      <w:r w:rsidRPr="00757AB6">
        <w:t xml:space="preserve">400, </w:t>
      </w:r>
      <w:r>
        <w:rPr>
          <w:rFonts w:cs="Symbol"/>
        </w:rPr>
        <w:t>≥</w:t>
      </w:r>
      <w:r>
        <w:t>400 to &lt;1000,</w:t>
      </w:r>
      <w:r w:rsidR="00564405">
        <w:t xml:space="preserve"> </w:t>
      </w:r>
      <w:r>
        <w:rPr>
          <w:rFonts w:cs="Symbol"/>
        </w:rPr>
        <w:t>≥</w:t>
      </w:r>
      <w:r>
        <w:t xml:space="preserve">1000 </w:t>
      </w:r>
      <w:r w:rsidR="00086D51">
        <w:t>copies</w:t>
      </w:r>
      <w:r>
        <w:t>/mL, noncompleter, missing) at each visit. Nos</w:t>
      </w:r>
      <w:r w:rsidRPr="00757AB6">
        <w:t xml:space="preserve"> and </w:t>
      </w:r>
      <w:r>
        <w:t>% maintaining</w:t>
      </w:r>
      <w:r w:rsidRPr="00757AB6">
        <w:t xml:space="preserve"> HIV-1 RNA </w:t>
      </w:r>
      <w:r>
        <w:t xml:space="preserve">&lt;50 </w:t>
      </w:r>
      <w:r w:rsidR="00086D51">
        <w:t>copies</w:t>
      </w:r>
      <w:r>
        <w:t>/mL analys</w:t>
      </w:r>
      <w:r w:rsidRPr="00757AB6">
        <w:t>ed using missing-equals-failure (M = F) and missing-equals</w:t>
      </w:r>
      <w:r>
        <w:t xml:space="preserve"> </w:t>
      </w:r>
      <w:r w:rsidRPr="00757AB6">
        <w:t xml:space="preserve">excluded (M = E) approaches, and a last-observation-carried forward (LOCF) approach for missing data. The M = F and M = E analyses performed by including only subjects on study drug at the time point of interest (on-treatment analysis) and by including all subjects still </w:t>
      </w:r>
      <w:r>
        <w:t xml:space="preserve">on </w:t>
      </w:r>
      <w:r w:rsidRPr="00757AB6">
        <w:t>study at the time point of interest</w:t>
      </w:r>
      <w:r>
        <w:t>. Sens</w:t>
      </w:r>
      <w:r w:rsidR="00AF663B">
        <w:t>itivity analyses conducted for primary</w:t>
      </w:r>
      <w:r>
        <w:t xml:space="preserve"> </w:t>
      </w:r>
      <w:r w:rsidRPr="00757AB6">
        <w:t xml:space="preserve">endpoint using the </w:t>
      </w:r>
      <w:r>
        <w:t xml:space="preserve">PP analysis set. </w:t>
      </w:r>
      <w:r w:rsidRPr="00757AB6">
        <w:t>For the</w:t>
      </w:r>
      <w:r w:rsidR="00AF663B">
        <w:t xml:space="preserve"> 2nd</w:t>
      </w:r>
      <w:r>
        <w:t xml:space="preserve"> </w:t>
      </w:r>
      <w:r w:rsidRPr="00757AB6">
        <w:t>sensitivity ana</w:t>
      </w:r>
      <w:r>
        <w:t>lysis, virologic outcomes at Wk 24 summaris</w:t>
      </w:r>
      <w:r w:rsidRPr="00757AB6">
        <w:t>ed by baseline stratif</w:t>
      </w:r>
      <w:r>
        <w:t xml:space="preserve">ication factors to evaluate </w:t>
      </w:r>
      <w:r w:rsidRPr="00757AB6">
        <w:t>robustness of the primary analysis in those subgroups.</w:t>
      </w:r>
      <w:r w:rsidR="00564405">
        <w:t xml:space="preserve"> </w:t>
      </w:r>
      <w:r>
        <w:t>Descriptive statistics summaris</w:t>
      </w:r>
      <w:r w:rsidRPr="00757AB6">
        <w:t>e</w:t>
      </w:r>
      <w:r>
        <w:t>d</w:t>
      </w:r>
      <w:r w:rsidRPr="00757AB6">
        <w:t xml:space="preserve"> CD4+ </w:t>
      </w:r>
      <w:r>
        <w:t>and %</w:t>
      </w:r>
      <w:r w:rsidRPr="00757AB6">
        <w:t xml:space="preserve"> </w:t>
      </w:r>
      <w:r>
        <w:t xml:space="preserve">and </w:t>
      </w:r>
      <w:r w:rsidRPr="00757AB6">
        <w:t>change from</w:t>
      </w:r>
      <w:r>
        <w:t xml:space="preserve"> </w:t>
      </w:r>
      <w:r w:rsidRPr="00757AB6">
        <w:t>baseline by each visit. Statistical significance of change</w:t>
      </w:r>
      <w:r>
        <w:t>s</w:t>
      </w:r>
      <w:r w:rsidRPr="00757AB6">
        <w:t xml:space="preserve"> </w:t>
      </w:r>
      <w:r>
        <w:t xml:space="preserve">assessed using Wilcoxon signed-rank test at Wks 24 &amp; 48. </w:t>
      </w:r>
      <w:r w:rsidRPr="00E71932">
        <w:t>HIV-1 resistance testing performed and listed per subject in those with confirmed virologic failure</w:t>
      </w:r>
      <w:r w:rsidR="00CF51AF">
        <w:t>.</w:t>
      </w:r>
    </w:p>
    <w:p w:rsidR="00CF51AF" w:rsidRDefault="00A83834" w:rsidP="00A7607C">
      <w:pPr>
        <w:pStyle w:val="Heading5"/>
      </w:pPr>
      <w:r w:rsidRPr="00E71932">
        <w:t xml:space="preserve">Safety </w:t>
      </w:r>
      <w:r w:rsidR="00313D70">
        <w:t>a</w:t>
      </w:r>
      <w:r w:rsidRPr="00E71932">
        <w:t>nalysis</w:t>
      </w:r>
    </w:p>
    <w:p w:rsidR="00A83834" w:rsidRPr="00703867" w:rsidRDefault="00A83834" w:rsidP="00A7607C">
      <w:r>
        <w:t xml:space="preserve">AEs </w:t>
      </w:r>
      <w:r w:rsidRPr="00E71932">
        <w:t>summarised by seriousness, severity, relat</w:t>
      </w:r>
      <w:r>
        <w:t xml:space="preserve">ionship to study drug, </w:t>
      </w:r>
      <w:r w:rsidRPr="00E71932">
        <w:t xml:space="preserve">discontinuations due to AE. Clinical </w:t>
      </w:r>
      <w:r>
        <w:t xml:space="preserve">lab </w:t>
      </w:r>
      <w:r w:rsidRPr="00E71932">
        <w:t>values and change from baseline analysed using descriptive statistics</w:t>
      </w:r>
      <w:r>
        <w:t xml:space="preserve"> incl. severity &amp; </w:t>
      </w:r>
      <w:r w:rsidRPr="00E71932">
        <w:t>relatedness</w:t>
      </w:r>
      <w:r>
        <w:t xml:space="preserve">. For fasting lipids </w:t>
      </w:r>
      <w:r w:rsidRPr="00E71932">
        <w:t xml:space="preserve">changes from baseline </w:t>
      </w:r>
      <w:r>
        <w:t xml:space="preserve">between </w:t>
      </w:r>
      <w:r w:rsidRPr="00E71932">
        <w:t xml:space="preserve">immediate and delayed switch arms through Wk 24 compared using ANOVA with baseline stratification on LPV/r or not, treatment and interaction between stratification factor (LPV/r or not) and treatment as fixed effect in the model. </w:t>
      </w:r>
      <w:r>
        <w:t xml:space="preserve">Cochran-Mantel Haenszel </w:t>
      </w:r>
      <w:r w:rsidRPr="00E71932">
        <w:t>row mean score test used to</w:t>
      </w:r>
      <w:r>
        <w:t xml:space="preserve"> </w:t>
      </w:r>
      <w:r w:rsidRPr="00E71932">
        <w:t>test tr</w:t>
      </w:r>
      <w:r>
        <w:t xml:space="preserve">eatment differences between </w:t>
      </w:r>
      <w:r w:rsidRPr="00E71932">
        <w:t>immediate and delayed switch arms according to US</w:t>
      </w:r>
      <w:r>
        <w:t xml:space="preserve"> NCEP </w:t>
      </w:r>
      <w:r w:rsidRPr="00E71932">
        <w:t xml:space="preserve">cut-offs through Wk 24, stratified by baseline stratification factor </w:t>
      </w:r>
      <w:r>
        <w:t xml:space="preserve">i.e. LPV/r or not. Sensitivity analysis </w:t>
      </w:r>
      <w:r w:rsidRPr="00E71932">
        <w:t>performed for lipid su</w:t>
      </w:r>
      <w:r>
        <w:t xml:space="preserve">mmaries, excluding those starting/modifying </w:t>
      </w:r>
      <w:r w:rsidRPr="00E71932">
        <w:t xml:space="preserve">lipid-lowering agent(s) </w:t>
      </w:r>
      <w:r>
        <w:t xml:space="preserve">on </w:t>
      </w:r>
      <w:r w:rsidRPr="00E71932">
        <w:t>study.</w:t>
      </w:r>
    </w:p>
    <w:p w:rsidR="00A83834" w:rsidRPr="00857F03" w:rsidRDefault="00A83834" w:rsidP="00A7607C">
      <w:pPr>
        <w:pStyle w:val="Heading4"/>
      </w:pPr>
      <w:r w:rsidRPr="00857F03">
        <w:t>Participant flow</w:t>
      </w:r>
    </w:p>
    <w:p w:rsidR="00A83834" w:rsidRDefault="00675200" w:rsidP="00A7607C">
      <w:r>
        <w:t>This is shown in Figure 1.</w:t>
      </w:r>
    </w:p>
    <w:p w:rsidR="00675200" w:rsidRDefault="00693CA5" w:rsidP="00A7607C">
      <w:pPr>
        <w:pStyle w:val="FigureTitle"/>
        <w:keepNext/>
      </w:pPr>
      <w:r>
        <w:lastRenderedPageBreak/>
        <w:t>Figure 1</w:t>
      </w:r>
      <w:r w:rsidR="00675200">
        <w:t>:</w:t>
      </w:r>
      <w:r w:rsidR="00675200" w:rsidRPr="004C5C28">
        <w:t xml:space="preserve"> </w:t>
      </w:r>
      <w:r w:rsidR="00675200" w:rsidRPr="00675200">
        <w:t>GS-US-264-0106: Disposition of Study Subjects</w:t>
      </w:r>
      <w:r w:rsidR="00675200">
        <w:t>.</w:t>
      </w:r>
    </w:p>
    <w:p w:rsidR="00675200" w:rsidRDefault="00A16194" w:rsidP="00313D70">
      <w:r>
        <w:rPr>
          <w:noProof/>
          <w:lang w:eastAsia="en-AU"/>
        </w:rPr>
        <w:drawing>
          <wp:inline distT="0" distB="0" distL="0" distR="0" wp14:anchorId="4236B9CD" wp14:editId="4882CE21">
            <wp:extent cx="4394200" cy="4155440"/>
            <wp:effectExtent l="0" t="0" r="6350" b="0"/>
            <wp:docPr id="7" name="Picture 7" descr="Figure 1: GS-US-264-0106: Disposition of Stud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1: GS-US-264-0106: Disposition of Study Subjec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4200" cy="4155440"/>
                    </a:xfrm>
                    <a:prstGeom prst="rect">
                      <a:avLst/>
                    </a:prstGeom>
                    <a:noFill/>
                    <a:ln>
                      <a:noFill/>
                    </a:ln>
                  </pic:spPr>
                </pic:pic>
              </a:graphicData>
            </a:graphic>
          </wp:inline>
        </w:drawing>
      </w:r>
    </w:p>
    <w:p w:rsidR="00A83834" w:rsidRPr="00857F03" w:rsidRDefault="00A83834" w:rsidP="00A7607C">
      <w:pPr>
        <w:pStyle w:val="Heading4"/>
      </w:pPr>
      <w:r w:rsidRPr="00857F03">
        <w:t>Major protocol violations/deviations</w:t>
      </w:r>
    </w:p>
    <w:p w:rsidR="00A83834" w:rsidRPr="00295133" w:rsidRDefault="00765498" w:rsidP="00A7607C">
      <w:r>
        <w:t xml:space="preserve">There were </w:t>
      </w:r>
      <w:r w:rsidR="00A83834" w:rsidRPr="00295133">
        <w:t xml:space="preserve">54 of 469 subjects (12%) </w:t>
      </w:r>
      <w:r>
        <w:t xml:space="preserve">who </w:t>
      </w:r>
      <w:r w:rsidR="00A83834" w:rsidRPr="00295133">
        <w:t>violated ≥1 eligibility criterion; 11% had adherence deviations. A PP analysis of virologic outcomes was conducted in randomised subjects receiving ≥1 dose study medication, with no major protocol violations. This analysis yielded results consistent with the analyses in whi</w:t>
      </w:r>
      <w:r w:rsidR="00A7607C">
        <w:t>ch such subjects were included.</w:t>
      </w:r>
    </w:p>
    <w:p w:rsidR="00A83834" w:rsidRPr="00857F03" w:rsidRDefault="00A83834" w:rsidP="00A7607C">
      <w:pPr>
        <w:pStyle w:val="Heading4"/>
      </w:pPr>
      <w:r w:rsidRPr="00857F03">
        <w:t>Baseline data</w:t>
      </w:r>
    </w:p>
    <w:p w:rsidR="00CF51AF" w:rsidRPr="00CF51AF" w:rsidRDefault="00A83834" w:rsidP="00A7607C">
      <w:r w:rsidRPr="00CF51AF">
        <w:t xml:space="preserve">Planned sample size was 420, </w:t>
      </w:r>
      <w:r w:rsidR="00CF51AF">
        <w:t>but</w:t>
      </w:r>
      <w:r w:rsidRPr="00CF51AF">
        <w:t xml:space="preserve"> </w:t>
      </w:r>
      <w:r w:rsidRPr="00CF51AF">
        <w:rPr>
          <w:b/>
        </w:rPr>
        <w:t>62 additional patients</w:t>
      </w:r>
      <w:r w:rsidRPr="00CF51AF">
        <w:t xml:space="preserve"> randomised. Safety and physical/mental, scientific integrity and power of the primary endpoint analysis of the clinical trial participant not deemed affected by this over </w:t>
      </w:r>
      <w:r w:rsidR="00CF51AF">
        <w:t>enro</w:t>
      </w:r>
      <w:r w:rsidRPr="00CF51AF">
        <w:t>lment. Demographic &amp; baseline chara</w:t>
      </w:r>
      <w:r w:rsidR="006B4B46">
        <w:t>cteristics summarised in Table 6</w:t>
      </w:r>
      <w:r w:rsidR="00CF51AF" w:rsidRPr="00CF51AF">
        <w:t xml:space="preserve">. </w:t>
      </w:r>
      <w:r w:rsidRPr="00CF51AF">
        <w:t>Majority male (87.6%), mean age 42 y</w:t>
      </w:r>
      <w:r w:rsidR="003A15D3">
        <w:t>ea</w:t>
      </w:r>
      <w:r w:rsidRPr="00CF51AF">
        <w:t>rs (range, 19 to 73 y</w:t>
      </w:r>
      <w:r w:rsidR="003A15D3">
        <w:t>ea</w:t>
      </w:r>
      <w:r w:rsidRPr="00CF51AF">
        <w:t xml:space="preserve">rs); majority of White (76.7%) ethnicity; at baseline 94.7% had HIV RNA &lt;LLQ. For those subjects with HIV-1 RNA ≥50 </w:t>
      </w:r>
      <w:r w:rsidR="00086D51">
        <w:t>copies</w:t>
      </w:r>
      <w:r w:rsidRPr="00CF51AF">
        <w:t xml:space="preserve">/mL at baseline, 3.4% had HIV-1 RNA between 50-&lt;200 </w:t>
      </w:r>
      <w:r w:rsidR="00086D51">
        <w:t>copies</w:t>
      </w:r>
      <w:r w:rsidRPr="00CF51AF">
        <w:t xml:space="preserve">/mL. At baseline, mean (SD) CD4+ was 584/μL </w:t>
      </w:r>
      <w:proofErr w:type="gramStart"/>
      <w:r w:rsidRPr="00CF51AF">
        <w:t>(244.2 cells/μL)</w:t>
      </w:r>
      <w:proofErr w:type="gramEnd"/>
      <w:r w:rsidRPr="00CF51AF">
        <w:t xml:space="preserve"> (range, 42 to 1484 cells/μL); mean ARV duration was 3.3 yrs.</w:t>
      </w:r>
      <w:r w:rsidR="00564405">
        <w:t xml:space="preserve"> </w:t>
      </w:r>
      <w:r w:rsidRPr="00CF51AF">
        <w:t>Most subjects (86.1%) were not taking lipid-lowering medications. 54.4% were on an ARV regimen consisting of TNV or Truvada backbone +</w:t>
      </w:r>
      <w:r w:rsidR="00CF51AF" w:rsidRPr="00CF51AF">
        <w:t>other PI/r.</w:t>
      </w:r>
    </w:p>
    <w:p w:rsidR="00A83834" w:rsidRDefault="00A83834" w:rsidP="00A7607C">
      <w:pPr>
        <w:pStyle w:val="TableTitle"/>
      </w:pPr>
      <w:r>
        <w:lastRenderedPageBreak/>
        <w:t xml:space="preserve">Table </w:t>
      </w:r>
      <w:r w:rsidR="006B4B46">
        <w:t>6</w:t>
      </w:r>
      <w:r>
        <w:t>:</w:t>
      </w:r>
      <w:r w:rsidRPr="004C5C28">
        <w:t xml:space="preserve"> </w:t>
      </w:r>
      <w:r w:rsidR="00FC620C" w:rsidRPr="00FC620C">
        <w:t>GS-US-264-0106: Key Demographic &amp; Baseline Characteristics (Safety Analysis Set)</w:t>
      </w:r>
      <w:r>
        <w:t>.</w:t>
      </w:r>
    </w:p>
    <w:p w:rsidR="00295133" w:rsidRDefault="00A16194" w:rsidP="00DB571C">
      <w:r>
        <w:rPr>
          <w:noProof/>
          <w:lang w:eastAsia="en-AU"/>
        </w:rPr>
        <w:drawing>
          <wp:inline distT="0" distB="0" distL="0" distR="0" wp14:anchorId="39E568CE" wp14:editId="30F273F0">
            <wp:extent cx="5730240" cy="3713480"/>
            <wp:effectExtent l="0" t="0" r="3810" b="1270"/>
            <wp:docPr id="8" name="Picture 8" descr="Table 6: GS-US-264-0106: Key Demographic &amp; Baseline Characteristic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6: GS-US-264-0106: Key Demographic &amp; Baseline Characteristics (Safety Analysis S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240" cy="3713480"/>
                    </a:xfrm>
                    <a:prstGeom prst="rect">
                      <a:avLst/>
                    </a:prstGeom>
                    <a:noFill/>
                    <a:ln>
                      <a:noFill/>
                    </a:ln>
                  </pic:spPr>
                </pic:pic>
              </a:graphicData>
            </a:graphic>
          </wp:inline>
        </w:drawing>
      </w:r>
      <w:r>
        <w:rPr>
          <w:noProof/>
          <w:lang w:eastAsia="en-AU"/>
        </w:rPr>
        <w:drawing>
          <wp:inline distT="0" distB="0" distL="0" distR="0" wp14:anchorId="60569481" wp14:editId="748BFC4A">
            <wp:extent cx="5730240" cy="4297680"/>
            <wp:effectExtent l="0" t="0" r="3810" b="7620"/>
            <wp:docPr id="9" name="Picture 9" descr="Table 6: GS-US-264-0106: Key Demographic &amp; Baseline Characteristic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6: GS-US-264-0106: Key Demographic &amp; Baseline Characteristics (Safety Analysis Se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240" cy="4297680"/>
                    </a:xfrm>
                    <a:prstGeom prst="rect">
                      <a:avLst/>
                    </a:prstGeom>
                    <a:noFill/>
                    <a:ln>
                      <a:noFill/>
                    </a:ln>
                  </pic:spPr>
                </pic:pic>
              </a:graphicData>
            </a:graphic>
          </wp:inline>
        </w:drawing>
      </w:r>
    </w:p>
    <w:p w:rsidR="009A3493" w:rsidRPr="00CF51AF" w:rsidRDefault="009A3493" w:rsidP="00A7607C">
      <w:r w:rsidRPr="00CF51AF">
        <w:rPr>
          <w:b/>
        </w:rPr>
        <w:t>Prior &amp; current ARV:</w:t>
      </w:r>
      <w:r w:rsidRPr="00CF51AF">
        <w:t xml:space="preserve"> 102/476 (21.4%) reported prior (to current regimen) ARV use. Prior use of NRTIs and PIs were reported in 13.0% and 12.6% respectively.</w:t>
      </w:r>
    </w:p>
    <w:p w:rsidR="009A3493" w:rsidRPr="00CF51AF" w:rsidRDefault="009A3493" w:rsidP="00A7607C">
      <w:r w:rsidRPr="00CF51AF">
        <w:rPr>
          <w:b/>
        </w:rPr>
        <w:lastRenderedPageBreak/>
        <w:t>Prior NRTI use:</w:t>
      </w:r>
      <w:r w:rsidRPr="00CF51AF">
        <w:t xml:space="preserve"> most frequently (&gt;2% overall) reported: lamivudine (3TC) + zidovudine (3.6% overall [3.8% Eviplera </w:t>
      </w:r>
      <w:r w:rsidR="00F35F06">
        <w:t>group</w:t>
      </w:r>
      <w:r w:rsidRPr="00CF51AF">
        <w:t xml:space="preserve">; 3.1% SBR </w:t>
      </w:r>
      <w:r w:rsidR="00F35F06">
        <w:t>group</w:t>
      </w:r>
      <w:r w:rsidRPr="00CF51AF">
        <w:t>]), abacavir (ABC) + 3TC (2.9% overall [2.2% Eviplera</w:t>
      </w:r>
      <w:r w:rsidR="00564405">
        <w:t xml:space="preserve"> </w:t>
      </w:r>
      <w:r w:rsidR="00F35F06">
        <w:t>group</w:t>
      </w:r>
      <w:r w:rsidRPr="00CF51AF">
        <w:t xml:space="preserve">; 4.4% SBR </w:t>
      </w:r>
      <w:r w:rsidR="00F35F06">
        <w:t>group</w:t>
      </w:r>
      <w:r w:rsidRPr="00CF51AF">
        <w:t xml:space="preserve">), 3TC (4.0% overall [3.8% Eviplera </w:t>
      </w:r>
      <w:r w:rsidR="00F35F06">
        <w:t>group</w:t>
      </w:r>
      <w:r w:rsidRPr="00CF51AF">
        <w:t xml:space="preserve">; 4.4% SBR </w:t>
      </w:r>
      <w:r w:rsidR="00F35F06">
        <w:t>group</w:t>
      </w:r>
      <w:r w:rsidRPr="00CF51AF">
        <w:t xml:space="preserve">]); TDF (4.0% overall [4.4% Eviplera </w:t>
      </w:r>
      <w:r w:rsidR="00F35F06">
        <w:t>group</w:t>
      </w:r>
      <w:r w:rsidRPr="00CF51AF">
        <w:t xml:space="preserve">; 3.1% SBR </w:t>
      </w:r>
      <w:r w:rsidR="00F35F06">
        <w:t>group</w:t>
      </w:r>
      <w:r w:rsidRPr="00CF51AF">
        <w:t>]).</w:t>
      </w:r>
    </w:p>
    <w:p w:rsidR="009A3493" w:rsidRPr="00CF51AF" w:rsidRDefault="009A3493" w:rsidP="00A7607C">
      <w:r w:rsidRPr="00CF51AF">
        <w:rPr>
          <w:b/>
        </w:rPr>
        <w:t>Prior Prot. Inhibs:</w:t>
      </w:r>
      <w:r w:rsidRPr="00CF51AF">
        <w:t xml:space="preserve"> most frequently (&gt;2% overall) reported: atazanavir (2.5% Eviplera Single-Tablet Regimen overall [1.9% Eviplera </w:t>
      </w:r>
      <w:r w:rsidR="00F35F06">
        <w:t>group</w:t>
      </w:r>
      <w:r w:rsidRPr="00CF51AF">
        <w:t xml:space="preserve">; 3.8% SBR </w:t>
      </w:r>
      <w:r w:rsidR="00F35F06">
        <w:t>group</w:t>
      </w:r>
      <w:r w:rsidRPr="00CF51AF">
        <w:t xml:space="preserve">]) and LPV/r (7.6% [7.6% Eviplera </w:t>
      </w:r>
      <w:r w:rsidR="00F35F06">
        <w:t>group</w:t>
      </w:r>
      <w:r w:rsidRPr="00CF51AF">
        <w:t xml:space="preserve">; 7.5% SBR </w:t>
      </w:r>
      <w:r w:rsidR="00F35F06">
        <w:t>group</w:t>
      </w:r>
      <w:r w:rsidRPr="00CF51AF">
        <w:t>]).</w:t>
      </w:r>
    </w:p>
    <w:p w:rsidR="009A3493" w:rsidRPr="00CF51AF" w:rsidRDefault="009A3493" w:rsidP="00A7607C">
      <w:r w:rsidRPr="00CF51AF">
        <w:rPr>
          <w:b/>
        </w:rPr>
        <w:t>ARV at study entry:</w:t>
      </w:r>
      <w:r w:rsidRPr="00CF51AF">
        <w:t xml:space="preserve"> NRTI backbone: majority on TDF/FTC at screening (80.4% Eviplera </w:t>
      </w:r>
      <w:r w:rsidR="00F35F06">
        <w:t>group</w:t>
      </w:r>
      <w:r w:rsidRPr="00CF51AF">
        <w:t xml:space="preserve">; 81.8% SBR </w:t>
      </w:r>
      <w:r w:rsidR="00F35F06">
        <w:t>group</w:t>
      </w:r>
      <w:r w:rsidRPr="00CF51AF">
        <w:t xml:space="preserve">); ~13% of subjects in both </w:t>
      </w:r>
      <w:r w:rsidR="00F35F06">
        <w:t>group</w:t>
      </w:r>
      <w:r w:rsidRPr="00CF51AF">
        <w:t>s on ABC/3TC.</w:t>
      </w:r>
    </w:p>
    <w:p w:rsidR="009A3493" w:rsidRPr="00CF51AF" w:rsidRDefault="009A3493" w:rsidP="00A7607C">
      <w:r w:rsidRPr="00CF51AF">
        <w:rPr>
          <w:b/>
        </w:rPr>
        <w:t>Prot. Inhibs included:</w:t>
      </w:r>
      <w:r w:rsidRPr="00CF51AF">
        <w:t xml:space="preserve"> ritonavir (/r)(68.8% in Eviplera </w:t>
      </w:r>
      <w:r w:rsidR="00F35F06">
        <w:t>group</w:t>
      </w:r>
      <w:r w:rsidRPr="00CF51AF">
        <w:t xml:space="preserve">;62.9% in SBR </w:t>
      </w:r>
      <w:r w:rsidR="00F35F06">
        <w:t>group</w:t>
      </w:r>
      <w:r w:rsidRPr="00CF51AF">
        <w:t xml:space="preserve">), atazanavir (38.5% Eviplera </w:t>
      </w:r>
      <w:r w:rsidR="00F35F06">
        <w:t>group</w:t>
      </w:r>
      <w:r w:rsidRPr="00CF51AF">
        <w:t xml:space="preserve">; 34.0% in SBR </w:t>
      </w:r>
      <w:r w:rsidR="00F35F06">
        <w:t>group</w:t>
      </w:r>
      <w:r w:rsidRPr="00CF51AF">
        <w:t xml:space="preserve">), LPV/r (30.6% Eviplera </w:t>
      </w:r>
      <w:r w:rsidR="00F35F06">
        <w:t>group</w:t>
      </w:r>
      <w:r w:rsidRPr="00CF51AF">
        <w:t xml:space="preserve">; 36.5% SBR </w:t>
      </w:r>
      <w:r w:rsidR="00F35F06">
        <w:t>group</w:t>
      </w:r>
      <w:r w:rsidRPr="00CF51AF">
        <w:t xml:space="preserve">), darunavir (DRV) (19.9% Eviplera </w:t>
      </w:r>
      <w:r w:rsidR="00F35F06">
        <w:t>group</w:t>
      </w:r>
      <w:r w:rsidRPr="00CF51AF">
        <w:t xml:space="preserve">; 20.8% in SBR </w:t>
      </w:r>
      <w:r w:rsidR="00F35F06">
        <w:t>group</w:t>
      </w:r>
      <w:r w:rsidRPr="00CF51AF">
        <w:t xml:space="preserve">), fosamprenavir (7.9% Eviplera </w:t>
      </w:r>
      <w:r w:rsidR="00F35F06">
        <w:t>group</w:t>
      </w:r>
      <w:r w:rsidRPr="00CF51AF">
        <w:t xml:space="preserve">; 7.5% SBR </w:t>
      </w:r>
      <w:r w:rsidR="00F35F06">
        <w:t>group</w:t>
      </w:r>
      <w:r w:rsidRPr="00CF51AF">
        <w:t xml:space="preserve">), saquinavir (1.9% Eviplera </w:t>
      </w:r>
      <w:r w:rsidR="00F35F06">
        <w:t>group</w:t>
      </w:r>
      <w:r w:rsidRPr="00CF51AF">
        <w:t xml:space="preserve">;1.3% SBR </w:t>
      </w:r>
      <w:r w:rsidR="00F35F06">
        <w:t>group</w:t>
      </w:r>
      <w:r w:rsidRPr="00CF51AF">
        <w:t xml:space="preserve">), and amprenavir (0.3% Eviplera </w:t>
      </w:r>
      <w:r w:rsidR="00F35F06">
        <w:t>group</w:t>
      </w:r>
      <w:r w:rsidRPr="00CF51AF">
        <w:t>).</w:t>
      </w:r>
    </w:p>
    <w:p w:rsidR="009A3493" w:rsidRPr="00CF51AF" w:rsidRDefault="009A3493" w:rsidP="00A7607C">
      <w:r w:rsidRPr="00CF51AF">
        <w:rPr>
          <w:b/>
        </w:rPr>
        <w:t>Baseline ARV Protocol violations:</w:t>
      </w:r>
      <w:r w:rsidRPr="00CF51AF">
        <w:t xml:space="preserve"> Two subjects in the immediate arm were on Atripla; 2 subjects in the SBR </w:t>
      </w:r>
      <w:r w:rsidR="00F35F06">
        <w:t>group</w:t>
      </w:r>
      <w:r w:rsidRPr="00CF51AF">
        <w:t xml:space="preserve"> were </w:t>
      </w:r>
      <w:r>
        <w:t>on</w:t>
      </w:r>
      <w:r w:rsidRPr="00CF51AF">
        <w:t xml:space="preserve"> raltegravir at screen.</w:t>
      </w:r>
    </w:p>
    <w:p w:rsidR="009A3493" w:rsidRPr="00CF51AF" w:rsidRDefault="009A3493" w:rsidP="00A7607C">
      <w:r w:rsidRPr="00CF51AF">
        <w:rPr>
          <w:b/>
        </w:rPr>
        <w:t>On study ARV:</w:t>
      </w:r>
      <w:r w:rsidRPr="00CF51AF">
        <w:t xml:space="preserve"> 33 of 476 subjects (6.9%) used different ARVs after study participation (20 of 317 [6.3%] in the immediate </w:t>
      </w:r>
      <w:r w:rsidR="00F35F06">
        <w:t>group</w:t>
      </w:r>
      <w:r w:rsidRPr="00CF51AF">
        <w:t xml:space="preserve"> and 13 of 159 [8.2%] in SBR </w:t>
      </w:r>
      <w:r w:rsidR="00F35F06">
        <w:t>group</w:t>
      </w:r>
      <w:r w:rsidRPr="00CF51AF">
        <w:t>). Of these 33, 30 used an NRTI (most commonly TDF/FTC [24 of 30 subjects, 5.0%]); 26 subjects used a PI (most commonly: /r; [4.4%] or DRV [3.2%]).</w:t>
      </w:r>
    </w:p>
    <w:p w:rsidR="00846AD8" w:rsidRPr="00857F03" w:rsidRDefault="00846AD8" w:rsidP="00A7607C">
      <w:pPr>
        <w:pStyle w:val="Heading4"/>
      </w:pPr>
      <w:r w:rsidRPr="00857F03">
        <w:t>Results for the primary efficacy outcome</w:t>
      </w:r>
    </w:p>
    <w:p w:rsidR="00846AD8" w:rsidRPr="00846AD8" w:rsidRDefault="00846AD8" w:rsidP="00A7607C">
      <w:r w:rsidRPr="00846AD8">
        <w:t xml:space="preserve">The proportion with HIV-1 RNA &lt;50 </w:t>
      </w:r>
      <w:r w:rsidR="00086D51">
        <w:t>copies</w:t>
      </w:r>
      <w:r w:rsidRPr="00846AD8">
        <w:t xml:space="preserve">/mL at Wk 24 (Table </w:t>
      </w:r>
      <w:r w:rsidR="0075495D">
        <w:t>7</w:t>
      </w:r>
      <w:r w:rsidRPr="00846AD8">
        <w:t>) was similar in Eviplera</w:t>
      </w:r>
      <w:r w:rsidR="00564405">
        <w:t xml:space="preserve"> </w:t>
      </w:r>
      <w:r w:rsidRPr="00846AD8">
        <w:t xml:space="preserve">(93.7%) and SBR (89.9%) treatment </w:t>
      </w:r>
      <w:r w:rsidR="00F35F06">
        <w:t>group</w:t>
      </w:r>
      <w:r w:rsidRPr="00846AD8">
        <w:t xml:space="preserve">s (3.8% treatment difference; 95% CI: −1.6%, 9.1%); the lower bound of the 95% CI was within the predefined 12% margin for noninferiority of Eviplerato SBR at Wk 24. In the Delayed Switch </w:t>
      </w:r>
      <w:r w:rsidR="00F35F06">
        <w:t>group</w:t>
      </w:r>
      <w:r w:rsidRPr="00846AD8">
        <w:t xml:space="preserve">, 92.1% had HIV-1 RNA &lt;50 </w:t>
      </w:r>
      <w:r w:rsidR="00086D51">
        <w:t>copies</w:t>
      </w:r>
      <w:r w:rsidRPr="00846AD8">
        <w:t xml:space="preserve">/mL after 24 Wks of treatment, consistent with the Eviplera </w:t>
      </w:r>
      <w:r w:rsidR="00F35F06">
        <w:t>group</w:t>
      </w:r>
      <w:r w:rsidRPr="00846AD8">
        <w:t xml:space="preserve"> at Wk 24. </w:t>
      </w:r>
      <w:proofErr w:type="gramStart"/>
      <w:r w:rsidRPr="00846AD8">
        <w:t>PP analysis co</w:t>
      </w:r>
      <w:r w:rsidR="00A7607C">
        <w:t>nsistent with the FAS analysis.</w:t>
      </w:r>
      <w:proofErr w:type="gramEnd"/>
    </w:p>
    <w:p w:rsidR="00846AD8" w:rsidRDefault="00846AD8" w:rsidP="00A7607C">
      <w:pPr>
        <w:pStyle w:val="TableTitle"/>
      </w:pPr>
      <w:r>
        <w:t xml:space="preserve">Table </w:t>
      </w:r>
      <w:r w:rsidR="0075495D">
        <w:t>7</w:t>
      </w:r>
      <w:r>
        <w:t>:</w:t>
      </w:r>
      <w:r w:rsidRPr="004C5C28">
        <w:t xml:space="preserve"> </w:t>
      </w:r>
      <w:r w:rsidR="00754085" w:rsidRPr="00754085">
        <w:t>GS-US-264-0106: Virologic Outcomes at Wks 24 &amp; 48, FAS</w:t>
      </w:r>
      <w:r>
        <w:t>.</w:t>
      </w:r>
    </w:p>
    <w:p w:rsidR="00295133" w:rsidRDefault="00A16194" w:rsidP="00DB571C">
      <w:r>
        <w:rPr>
          <w:noProof/>
          <w:lang w:eastAsia="en-AU"/>
        </w:rPr>
        <w:drawing>
          <wp:inline distT="0" distB="0" distL="0" distR="0" wp14:anchorId="395AA482" wp14:editId="6565F234">
            <wp:extent cx="5212080" cy="3515360"/>
            <wp:effectExtent l="0" t="0" r="7620" b="8890"/>
            <wp:docPr id="10" name="Picture 10" descr="Table 7: GS-US-264-0106: Virologic Outcomes at Wks 24 &amp; 48,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7: GS-US-264-0106: Virologic Outcomes at Wks 24 &amp; 48, F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2080" cy="3515360"/>
                    </a:xfrm>
                    <a:prstGeom prst="rect">
                      <a:avLst/>
                    </a:prstGeom>
                    <a:noFill/>
                    <a:ln>
                      <a:noFill/>
                    </a:ln>
                  </pic:spPr>
                </pic:pic>
              </a:graphicData>
            </a:graphic>
          </wp:inline>
        </w:drawing>
      </w:r>
    </w:p>
    <w:p w:rsidR="00B77BA9" w:rsidRPr="004465BE" w:rsidRDefault="00B77BA9" w:rsidP="00A7607C">
      <w:pPr>
        <w:pStyle w:val="Heading4"/>
      </w:pPr>
      <w:r w:rsidRPr="004B259C">
        <w:lastRenderedPageBreak/>
        <w:t>Results for other efficacy outcomes</w:t>
      </w:r>
    </w:p>
    <w:p w:rsidR="00B77BA9" w:rsidRPr="00B77BA9" w:rsidRDefault="00B77BA9" w:rsidP="00A7607C">
      <w:pPr>
        <w:rPr>
          <w:b/>
        </w:rPr>
      </w:pPr>
      <w:r w:rsidRPr="00B77BA9">
        <w:t xml:space="preserve">The proportion of Eviplera subjects with HIV-1 RNA &lt;50 </w:t>
      </w:r>
      <w:r w:rsidR="00086D51">
        <w:t>copies</w:t>
      </w:r>
      <w:r w:rsidRPr="00B77BA9">
        <w:t xml:space="preserve">/mL at Wk 48 was analysed as a secondary endpoint using the snapshot and TLOVR algorithms. HIV-1 RNA suppression &lt;50 </w:t>
      </w:r>
      <w:r w:rsidR="00086D51">
        <w:t>copies</w:t>
      </w:r>
      <w:r w:rsidRPr="00B77BA9">
        <w:t>/mL was maintained for those receiving Eviplera</w:t>
      </w:r>
      <w:r w:rsidR="00564405">
        <w:t xml:space="preserve"> </w:t>
      </w:r>
      <w:r w:rsidRPr="00B77BA9">
        <w:t>for 48 Wks (89.3%). The TLOVR analysis results were generally consistent with the snapshot i.e. 88.3% of Eviplera</w:t>
      </w:r>
      <w:r w:rsidR="00564405">
        <w:t xml:space="preserve"> </w:t>
      </w:r>
      <w:r w:rsidR="00F35F06">
        <w:t>group</w:t>
      </w:r>
      <w:r w:rsidRPr="00B77BA9">
        <w:t xml:space="preserve"> with HIV-1 RNA &lt;</w:t>
      </w:r>
      <w:proofErr w:type="gramStart"/>
      <w:r w:rsidRPr="00B77BA9">
        <w:t xml:space="preserve">50 </w:t>
      </w:r>
      <w:r w:rsidR="00086D51">
        <w:t>copies</w:t>
      </w:r>
      <w:r w:rsidRPr="00B77BA9">
        <w:t>/mL through 48 Wks</w:t>
      </w:r>
      <w:proofErr w:type="gramEnd"/>
      <w:r w:rsidRPr="00B77BA9">
        <w:t xml:space="preserve"> (95% CI: 84.3%, 91.6%). A categorical summary of HIV-1 RNA using the following categories: &lt;50, ≥50 to &lt;200, ≥200 to &lt;400, ≥400 to &lt;1000, and ≥1000 </w:t>
      </w:r>
      <w:r w:rsidR="00086D51">
        <w:t>copies</w:t>
      </w:r>
      <w:r w:rsidRPr="00B77BA9">
        <w:t>/mL, missing, and noncompleters. Both on-treatment and on-study analyses were performed. As described for the primary endpoint, at Wk 24, the majority of the Eviplera</w:t>
      </w:r>
      <w:r w:rsidR="00564405">
        <w:t xml:space="preserve"> </w:t>
      </w:r>
      <w:r w:rsidR="00F35F06">
        <w:t>group</w:t>
      </w:r>
      <w:r w:rsidRPr="00B77BA9">
        <w:t xml:space="preserve"> (93.7%) and SBR </w:t>
      </w:r>
      <w:r w:rsidR="00F35F06">
        <w:t>group</w:t>
      </w:r>
      <w:r w:rsidRPr="00B77BA9">
        <w:t xml:space="preserve"> (89.9%) had HIV-1 RNA &lt;50 </w:t>
      </w:r>
      <w:r w:rsidR="00086D51">
        <w:t>copies</w:t>
      </w:r>
      <w:r w:rsidRPr="00B77BA9">
        <w:t>/mL. One Eviplera</w:t>
      </w:r>
      <w:r w:rsidR="00564405">
        <w:t xml:space="preserve"> </w:t>
      </w:r>
      <w:r w:rsidR="00F35F06">
        <w:t>group</w:t>
      </w:r>
      <w:r w:rsidRPr="00B77BA9">
        <w:t xml:space="preserve"> subject (0.3%) and 7 subjects in the SBR </w:t>
      </w:r>
      <w:r w:rsidR="00F35F06">
        <w:t>group</w:t>
      </w:r>
      <w:r w:rsidRPr="00B77BA9">
        <w:t xml:space="preserve"> (4.4%) had HIV-1 RNA 50-&lt;200 </w:t>
      </w:r>
      <w:r w:rsidR="00086D51">
        <w:t>copies</w:t>
      </w:r>
      <w:r w:rsidRPr="00B77BA9">
        <w:t xml:space="preserve">/mL at Wk 24, and 1 subject (0.6%) in SBR </w:t>
      </w:r>
      <w:r w:rsidR="00F35F06">
        <w:t>group</w:t>
      </w:r>
      <w:r w:rsidRPr="00B77BA9">
        <w:t xml:space="preserve"> had HIV-1 RNA &gt;1000 </w:t>
      </w:r>
      <w:r w:rsidR="00086D51">
        <w:t>copies</w:t>
      </w:r>
      <w:r w:rsidRPr="00B77BA9">
        <w:t>/mL at that time point. At Wk 48, 89.3% Eviplera</w:t>
      </w:r>
      <w:r w:rsidR="00564405">
        <w:t xml:space="preserve"> </w:t>
      </w:r>
      <w:r w:rsidR="00F35F06">
        <w:t>group</w:t>
      </w:r>
      <w:r w:rsidRPr="00B77BA9">
        <w:t xml:space="preserve"> subjects had HIV-1 RNA &lt;50 </w:t>
      </w:r>
      <w:r w:rsidR="00086D51">
        <w:t>copies</w:t>
      </w:r>
      <w:r w:rsidRPr="00B77BA9">
        <w:t xml:space="preserve">/mL, 1 subject had HIV-1 RNA 50-&lt;200 </w:t>
      </w:r>
      <w:r w:rsidR="00086D51">
        <w:t>copies</w:t>
      </w:r>
      <w:r w:rsidRPr="00B77BA9">
        <w:t xml:space="preserve">/mL, and 3 had HIV-1 RNA &gt;1000 </w:t>
      </w:r>
      <w:r w:rsidR="00086D51">
        <w:t>copies</w:t>
      </w:r>
      <w:r w:rsidRPr="00B77BA9">
        <w:t>/mL. Results were very similar for the on-study analysis. The M=F and M=E analyses were consistent with the primary endpoint analysis (FAS) supporting the noninferiority of Eviplera</w:t>
      </w:r>
      <w:r w:rsidR="00564405">
        <w:t xml:space="preserve"> </w:t>
      </w:r>
      <w:r w:rsidRPr="00B77BA9">
        <w:t>to PI/r+2NRTI at Wk 24. For those receiving Eviplera</w:t>
      </w:r>
      <w:r w:rsidR="00564405">
        <w:t xml:space="preserve"> </w:t>
      </w:r>
      <w:r w:rsidRPr="00B77BA9">
        <w:t xml:space="preserve">for 48 Wks, viral suppression was maintained through Wk 48 (89.3% M = F, 98.6% M = E). The LOCF analyses (both on-treatment &amp; on-study analyses) were consistent with the analysis in which subjects with missing data were excluded (M = E). At baseline, median (Q1, Q3) CD4+ count was 554 (412, 713) cells/μL in the Eviplera </w:t>
      </w:r>
      <w:r w:rsidR="00F35F06">
        <w:t>group</w:t>
      </w:r>
      <w:r w:rsidRPr="00B77BA9">
        <w:t xml:space="preserve"> and 561 (401, 744) cells/μL in SBR </w:t>
      </w:r>
      <w:r w:rsidR="00F35F06">
        <w:t>group</w:t>
      </w:r>
      <w:r w:rsidRPr="00B77BA9">
        <w:t xml:space="preserve">. For the Delayed Switch </w:t>
      </w:r>
      <w:r w:rsidR="00F35F06">
        <w:t>group</w:t>
      </w:r>
      <w:r w:rsidRPr="00B77BA9">
        <w:t>,</w:t>
      </w:r>
      <w:r w:rsidR="00E04EA1">
        <w:t xml:space="preserve"> median (Q1, Q3) baseline CD4+ was </w:t>
      </w:r>
      <w:r w:rsidRPr="00B77BA9">
        <w:t xml:space="preserve">601 cells/μL (436, 810). By Wk 24, median (Q1, Q3) CD4+ counts increased in the Eviplera </w:t>
      </w:r>
      <w:r w:rsidR="00F35F06">
        <w:t>group</w:t>
      </w:r>
      <w:r w:rsidRPr="00B77BA9">
        <w:t xml:space="preserve"> (+10 [−61, 82] cells/μL) and SBR </w:t>
      </w:r>
      <w:r w:rsidR="00F35F06">
        <w:t>group</w:t>
      </w:r>
      <w:r w:rsidRPr="00B77BA9">
        <w:t xml:space="preserve"> (+22 [−40, 106)] cells/ μL) (p=0.046 Eviplera and p = 0.008 SBR). Wk 24 differences not statistically significant (p=0.28). For the Delayed Switch </w:t>
      </w:r>
      <w:r w:rsidR="00F35F06">
        <w:t>group</w:t>
      </w:r>
      <w:r w:rsidRPr="00B77BA9">
        <w:t xml:space="preserve"> after 24 wks of </w:t>
      </w:r>
      <w:proofErr w:type="gramStart"/>
      <w:r w:rsidRPr="00B77BA9">
        <w:t>Eviplera</w:t>
      </w:r>
      <w:r w:rsidR="00564405">
        <w:t xml:space="preserve"> </w:t>
      </w:r>
      <w:r w:rsidRPr="00B77BA9">
        <w:t>,</w:t>
      </w:r>
      <w:proofErr w:type="gramEnd"/>
      <w:r w:rsidRPr="00B77BA9">
        <w:t xml:space="preserve"> median (Q1, Q3) CD4+ counts decreased from baseline (−11 cells/μL [−65, 46]). By Wk 48, median (Q1, Q3) CD4+ counts increased for those in the Eviplera </w:t>
      </w:r>
      <w:r w:rsidR="00F35F06">
        <w:t>group</w:t>
      </w:r>
      <w:r w:rsidRPr="00B77BA9">
        <w:t xml:space="preserve"> (+17 [−56, 84] cells/μL), change not statistically significant (p=0.072). </w:t>
      </w:r>
      <w:r w:rsidRPr="00B77BA9">
        <w:rPr>
          <w:b/>
        </w:rPr>
        <w:t>These changes are</w:t>
      </w:r>
      <w:r w:rsidR="00A7607C">
        <w:rPr>
          <w:b/>
        </w:rPr>
        <w:t xml:space="preserve"> not clinically significant.</w:t>
      </w:r>
    </w:p>
    <w:p w:rsidR="00B77BA9" w:rsidRPr="00B77BA9" w:rsidRDefault="002A7099" w:rsidP="00A7607C">
      <w:r>
        <w:t>There was e</w:t>
      </w:r>
      <w:r w:rsidR="00B77BA9" w:rsidRPr="00B77BA9">
        <w:t>vidence of pre-existing primary resistance mutations in 26%</w:t>
      </w:r>
      <w:r>
        <w:t xml:space="preserve"> subjects</w:t>
      </w:r>
      <w:r w:rsidR="00B77BA9" w:rsidRPr="00B77BA9">
        <w:t xml:space="preserve">. Among those switching to Eviplera at baseline with historical genotypes (n=316), 28% had ≥1 pre-existing primary resistance mutations: 4 had a protocol-defined exclusion mutation (E138G, E138K, E138Q, or H221Y); 65 had primary NNRTI resistance mutations i.e. K103N (n=18), V108I (n=3), E138A (n= 6), G190A (n=4); 25 had primary NRTI resistance mutations; 7 had primary Prot. Inhib resistance mutations. In the SBR </w:t>
      </w:r>
      <w:r w:rsidR="00F35F06">
        <w:t>group</w:t>
      </w:r>
      <w:r w:rsidR="00B77BA9" w:rsidRPr="00B77BA9">
        <w:t xml:space="preserve"> (n=159), 23% had ≥1 pre-existing primary resistance mutations: 2 had a protocol-defined exclusion mutation (E138Q or M184V); 25 had primary NNRTI resistance mutations i.e. K103N (n=8), E138A (n=3), and G190A (n=1); 11 had primary NRTI resistance mutations; and 5 had primary Prot. Inhib resistance mutations. Of the 18 Eviplera group subjects with pre-existing K103N, 100% and 94% maintained virologic suppression through Wk 24 and 48 respectively. One subject with pre-existing K103N &amp; V179I/V had virologic failure at Wk 48 and developed additional resistance mutations (M184V, V108I/V, and E138K). Of the 8 subjects (SBR </w:t>
      </w:r>
      <w:r w:rsidR="00F35F06">
        <w:t>group</w:t>
      </w:r>
      <w:r w:rsidR="00B77BA9" w:rsidRPr="00B77BA9">
        <w:t>) with pre-existing K103N, 6 subjects switched to Eviplera</w:t>
      </w:r>
      <w:r w:rsidR="00A21C2D">
        <w:t xml:space="preserve"> </w:t>
      </w:r>
      <w:r w:rsidR="00B77BA9" w:rsidRPr="00B77BA9">
        <w:t xml:space="preserve">at Wk 24; 2 subjects discontinued while suppressed </w:t>
      </w:r>
      <w:r w:rsidR="00A21C2D">
        <w:t>≤</w:t>
      </w:r>
      <w:r w:rsidR="00B77BA9" w:rsidRPr="00B77BA9">
        <w:t>Wk 24. Of the 6 still switched at Wk 24, 83% (5 of 6)</w:t>
      </w:r>
      <w:r w:rsidR="00E04EA1">
        <w:t xml:space="preserve"> </w:t>
      </w:r>
      <w:r w:rsidR="00B77BA9" w:rsidRPr="00B77BA9">
        <w:t xml:space="preserve">maintained virologic suppression through Wk 48. One subject had no data during the Wk 48 study window, but remained on study drug and suppressed at all previous study visits. </w:t>
      </w:r>
      <w:r w:rsidR="00B77BA9" w:rsidRPr="00B77BA9">
        <w:rPr>
          <w:b/>
        </w:rPr>
        <w:t>Overall, there were 24 subjects with K103N that were treated with Eviplera with high treatment response.</w:t>
      </w:r>
    </w:p>
    <w:p w:rsidR="00B77BA9" w:rsidRPr="00B77BA9" w:rsidRDefault="00B77BA9" w:rsidP="00A7607C">
      <w:r w:rsidRPr="00B77BA9">
        <w:t xml:space="preserve">Virologic Failure Definition and Resistance Analysis Population (RAP): </w:t>
      </w:r>
      <w:r>
        <w:t>s</w:t>
      </w:r>
      <w:r w:rsidRPr="00B77BA9">
        <w:t xml:space="preserve">ee Table </w:t>
      </w:r>
      <w:r w:rsidR="00682C66">
        <w:t>8</w:t>
      </w:r>
      <w:r w:rsidRPr="00B77BA9">
        <w:t xml:space="preserve"> for a tabulated summary. Subjects who experienced virologic rebound, as defined below, were considered to have virologic failure and were included in the RAP. Virologic rebound was defined as 2 consecutive visits with HIV-1 RNA ≥400 </w:t>
      </w:r>
      <w:r w:rsidR="00086D51">
        <w:t>copies</w:t>
      </w:r>
      <w:r w:rsidRPr="00B77BA9">
        <w:t xml:space="preserve">/mL Of the 476 randomised treated subjects in either </w:t>
      </w:r>
      <w:r w:rsidR="00F35F06">
        <w:t>group</w:t>
      </w:r>
      <w:r w:rsidRPr="00B77BA9">
        <w:t xml:space="preserve">, 1.7% included in the RAP (7 in Eviplera </w:t>
      </w:r>
      <w:r w:rsidR="00F35F06">
        <w:t>group</w:t>
      </w:r>
      <w:r w:rsidRPr="00B77BA9">
        <w:t xml:space="preserve">; 1 in SBR </w:t>
      </w:r>
      <w:r w:rsidR="00F35F06">
        <w:t>group</w:t>
      </w:r>
      <w:r w:rsidRPr="00B77BA9">
        <w:t xml:space="preserve">). Of the 469 Eviplera-treated subjects, 2 subjects who switched to Eviplera at baseline (0.6%) developed </w:t>
      </w:r>
      <w:r w:rsidRPr="00B77BA9">
        <w:lastRenderedPageBreak/>
        <w:t xml:space="preserve">primary NRTI or NNRTI resistance mutations and reduced susceptibility to FTC and/or RPV by Wk 24. 4 of 317 from baseline to Wk 48, 1.3% Eviplera subjects developed resistance between Wks 24 and 48; no subjects in Delayed Switch </w:t>
      </w:r>
      <w:r w:rsidR="00F35F06">
        <w:t>group</w:t>
      </w:r>
      <w:r w:rsidRPr="00B77BA9">
        <w:t xml:space="preserve"> developed resistance after switching to Eviplera at Wk 24 through Wk 48. All subjects remained TNV susceptible. 1 subject (SBR </w:t>
      </w:r>
      <w:r w:rsidR="00F35F06">
        <w:t>group</w:t>
      </w:r>
      <w:r w:rsidRPr="00B77BA9">
        <w:t>) developed the K70E/K &amp; M184V mutations with reduced FTC susceptibility while on ATV/r+ TDF/FTC at Wk 24</w:t>
      </w:r>
      <w:r w:rsidR="00A7607C">
        <w:t>.</w:t>
      </w:r>
    </w:p>
    <w:p w:rsidR="00B77BA9" w:rsidRDefault="00B77BA9" w:rsidP="00A7607C">
      <w:pPr>
        <w:pStyle w:val="TableTitle"/>
      </w:pPr>
      <w:r>
        <w:t xml:space="preserve">Table </w:t>
      </w:r>
      <w:r w:rsidR="00682C66">
        <w:t>8</w:t>
      </w:r>
      <w:r>
        <w:t>:</w:t>
      </w:r>
      <w:r w:rsidRPr="004C5C28">
        <w:t xml:space="preserve"> </w:t>
      </w:r>
      <w:r w:rsidRPr="00B77BA9">
        <w:t>GS-US-264-0106: Development of HIV-1 Genotypic Resistance at Wk 48</w:t>
      </w:r>
      <w:r>
        <w:t>.</w:t>
      </w:r>
    </w:p>
    <w:p w:rsidR="00846AD8" w:rsidRDefault="00A16194" w:rsidP="00A7607C">
      <w:r>
        <w:rPr>
          <w:noProof/>
          <w:lang w:eastAsia="en-AU"/>
        </w:rPr>
        <w:drawing>
          <wp:inline distT="0" distB="0" distL="0" distR="0" wp14:anchorId="1309B313" wp14:editId="76278EE1">
            <wp:extent cx="5151120" cy="2397760"/>
            <wp:effectExtent l="0" t="0" r="0" b="2540"/>
            <wp:docPr id="11" name="Picture 11" descr="Table 8: GS-US-264-0106: Development of HIV-1 Genotypic Resistance at W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8: GS-US-264-0106: Development of HIV-1 Genotypic Resistance at Wk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51120" cy="2397760"/>
                    </a:xfrm>
                    <a:prstGeom prst="rect">
                      <a:avLst/>
                    </a:prstGeom>
                    <a:noFill/>
                    <a:ln>
                      <a:noFill/>
                    </a:ln>
                  </pic:spPr>
                </pic:pic>
              </a:graphicData>
            </a:graphic>
          </wp:inline>
        </w:drawing>
      </w:r>
    </w:p>
    <w:p w:rsidR="00B77BA9" w:rsidRDefault="002B3AC8" w:rsidP="00A7607C">
      <w:pPr>
        <w:pStyle w:val="Heading3"/>
      </w:pPr>
      <w:bookmarkStart w:id="110" w:name="_Toc396308668"/>
      <w:r w:rsidRPr="002B3AC8">
        <w:t>Study GS-US-264-0110</w:t>
      </w:r>
      <w:bookmarkEnd w:id="110"/>
    </w:p>
    <w:p w:rsidR="00B7055F" w:rsidRPr="00857F03" w:rsidRDefault="00B7055F" w:rsidP="00A7607C">
      <w:pPr>
        <w:pStyle w:val="Heading4"/>
      </w:pPr>
      <w:r w:rsidRPr="00857F03">
        <w:t>Study design, objectives, locations and dates</w:t>
      </w:r>
    </w:p>
    <w:p w:rsidR="00B7055F" w:rsidRPr="00B7055F" w:rsidRDefault="00B7055F" w:rsidP="00A7607C">
      <w:r w:rsidRPr="00B7055F">
        <w:t>Phase 3b, randomised, open-label, multicentre, active-controlled study. 121 sites</w:t>
      </w:r>
      <w:proofErr w:type="gramStart"/>
      <w:r w:rsidRPr="00B7055F">
        <w:t>:USA</w:t>
      </w:r>
      <w:proofErr w:type="gramEnd"/>
      <w:r w:rsidRPr="00B7055F">
        <w:t>, Canada, Puerto Rico, Europe (Austria, UK, France, Germany, Belgium, Spain, Portugal, Switzerland, Italy), Australia. First subject screen: 23</w:t>
      </w:r>
      <w:r w:rsidR="00682C66">
        <w:t xml:space="preserve"> </w:t>
      </w:r>
      <w:r w:rsidRPr="00B7055F">
        <w:t>Feb</w:t>
      </w:r>
      <w:r w:rsidR="00682C66">
        <w:t xml:space="preserve"> 20</w:t>
      </w:r>
      <w:r w:rsidRPr="00B7055F">
        <w:t>11; Last subject observation for present report:</w:t>
      </w:r>
      <w:r>
        <w:t xml:space="preserve"> </w:t>
      </w:r>
      <w:r w:rsidRPr="00B7055F">
        <w:t>18</w:t>
      </w:r>
      <w:r>
        <w:t xml:space="preserve"> </w:t>
      </w:r>
      <w:r w:rsidRPr="00B7055F">
        <w:t>Sep</w:t>
      </w:r>
      <w:r>
        <w:t xml:space="preserve"> 20</w:t>
      </w:r>
      <w:r w:rsidRPr="00B7055F">
        <w:t>12.</w:t>
      </w:r>
    </w:p>
    <w:p w:rsidR="00B7055F" w:rsidRPr="00857F03" w:rsidRDefault="00B7055F" w:rsidP="00A7607C">
      <w:pPr>
        <w:pStyle w:val="Heading4"/>
      </w:pPr>
      <w:r w:rsidRPr="00857F03">
        <w:t>Inclusion and exclusion criteria</w:t>
      </w:r>
    </w:p>
    <w:p w:rsidR="00672465" w:rsidRDefault="00B7055F" w:rsidP="00A7607C">
      <w:r w:rsidRPr="00672465">
        <w:rPr>
          <w:b/>
        </w:rPr>
        <w:t>Key Inclusions:</w:t>
      </w:r>
      <w:r w:rsidRPr="00672465">
        <w:t xml:space="preserve"> Adult (≥18 years old), non pregnant, HIV-1 infected ARV treatment-naïve; plasma HIV-1 RNA levels ≥2500 </w:t>
      </w:r>
      <w:r w:rsidR="00086D51">
        <w:t>copies</w:t>
      </w:r>
      <w:r w:rsidRPr="00672465">
        <w:t>/mL; documented genotypic sensitivity to EFV, FTC, TDF at screening; no RPV mutations K101E/P, E138A/G/K/Q/R, Y181C/I/V, and H221Y; eGFR ≥50 mL/min.</w:t>
      </w:r>
    </w:p>
    <w:p w:rsidR="00B7055F" w:rsidRPr="00672465" w:rsidRDefault="00B7055F" w:rsidP="00A7607C">
      <w:r w:rsidRPr="00672465">
        <w:rPr>
          <w:b/>
        </w:rPr>
        <w:t>Key Exclusions:</w:t>
      </w:r>
      <w:r w:rsidRPr="00672465">
        <w:t xml:space="preserve"> No AIDS defining illness within 30 days of screening.</w:t>
      </w:r>
    </w:p>
    <w:p w:rsidR="00B7055F" w:rsidRPr="00857F03" w:rsidRDefault="00B7055F" w:rsidP="00672465">
      <w:pPr>
        <w:pStyle w:val="Heading4"/>
      </w:pPr>
      <w:r w:rsidRPr="00857F03">
        <w:t>Study treatments</w:t>
      </w:r>
    </w:p>
    <w:p w:rsidR="00B7055F" w:rsidRPr="00672465" w:rsidRDefault="00B7055F" w:rsidP="00A7607C">
      <w:r w:rsidRPr="00672465">
        <w:t>Eviplera STR orally with a meal OD for 96 Wks vs. Atripla administered orally OD on an empty stomach, preferabl</w:t>
      </w:r>
      <w:r w:rsidR="00A7607C">
        <w:t>y at bedtime, for 96 Wks.</w:t>
      </w:r>
    </w:p>
    <w:p w:rsidR="00B7055F" w:rsidRPr="00857F03" w:rsidRDefault="00B7055F" w:rsidP="00A7607C">
      <w:pPr>
        <w:pStyle w:val="Heading4"/>
      </w:pPr>
      <w:r w:rsidRPr="00857F03">
        <w:t>Efficacy variables and outcomes</w:t>
      </w:r>
    </w:p>
    <w:p w:rsidR="00B7055F" w:rsidRPr="00672465" w:rsidRDefault="00B7055F" w:rsidP="00A7607C">
      <w:r w:rsidRPr="00672465">
        <w:t>The main efficacy variable was to ev</w:t>
      </w:r>
      <w:r w:rsidR="00682C66">
        <w:t>aluate the efficacy of Eviplera STR vs. Atripla</w:t>
      </w:r>
      <w:r w:rsidRPr="00672465">
        <w:t xml:space="preserve"> STR in HIV-1 infected, ARV </w:t>
      </w:r>
      <w:r w:rsidRPr="00672465">
        <w:rPr>
          <w:b/>
        </w:rPr>
        <w:t>treatment-naive</w:t>
      </w:r>
      <w:r w:rsidRPr="00672465">
        <w:t xml:space="preserve"> adult subjects as determined by the achievement of HIV-1 RNA &lt;50 </w:t>
      </w:r>
      <w:r w:rsidR="00086D51">
        <w:t>copies</w:t>
      </w:r>
      <w:r w:rsidRPr="00672465">
        <w:t>/mL at 48 Wks using the US FDA snapshot analysis.</w:t>
      </w:r>
      <w:r w:rsidR="00564405">
        <w:t xml:space="preserve"> </w:t>
      </w:r>
      <w:r w:rsidRPr="00672465">
        <w:t xml:space="preserve">The primary efficacy endpoint was the proportion of subjects achieving HIV-1 RNA &lt;50 </w:t>
      </w:r>
      <w:r w:rsidR="00086D51">
        <w:t>copies</w:t>
      </w:r>
      <w:r w:rsidRPr="00672465">
        <w:t>/mL at Wk 48 (US FDA snapshot analysis).</w:t>
      </w:r>
    </w:p>
    <w:p w:rsidR="00B7055F" w:rsidRPr="009C79B3" w:rsidRDefault="00B7055F" w:rsidP="00A7607C">
      <w:r w:rsidRPr="009C79B3">
        <w:t>Other efficacy outcomes included:</w:t>
      </w:r>
    </w:p>
    <w:p w:rsidR="00B7055F" w:rsidRPr="00A7607C" w:rsidRDefault="00B7055F" w:rsidP="00A7607C">
      <w:pPr>
        <w:pStyle w:val="ListBullet"/>
      </w:pPr>
      <w:r w:rsidRPr="00A7607C">
        <w:t>evaluate the efficacy, safety, and tolerability of the 2 treatment regi</w:t>
      </w:r>
      <w:r w:rsidR="00A7607C">
        <w:t>men through 96 Wks of treatment</w:t>
      </w:r>
    </w:p>
    <w:p w:rsidR="00B7055F" w:rsidRPr="00A7607C" w:rsidRDefault="00B7055F" w:rsidP="00A7607C">
      <w:pPr>
        <w:pStyle w:val="ListBullet"/>
      </w:pPr>
      <w:proofErr w:type="gramStart"/>
      <w:r w:rsidRPr="00A7607C">
        <w:lastRenderedPageBreak/>
        <w:t>change</w:t>
      </w:r>
      <w:proofErr w:type="gramEnd"/>
      <w:r w:rsidRPr="00A7607C">
        <w:t xml:space="preserve"> from baseline CD4+ count in each treatment </w:t>
      </w:r>
      <w:r w:rsidR="00F35F06" w:rsidRPr="00A7607C">
        <w:t>group</w:t>
      </w:r>
      <w:r w:rsidRPr="00A7607C">
        <w:t xml:space="preserve"> at 48 and 96 Wks. To assess genotypic and phenotypic resistan</w:t>
      </w:r>
      <w:r w:rsidR="00A7607C">
        <w:t>ce at time of virologic failure</w:t>
      </w:r>
    </w:p>
    <w:p w:rsidR="00B7055F" w:rsidRPr="00A7607C" w:rsidRDefault="00B7055F" w:rsidP="00A7607C">
      <w:pPr>
        <w:pStyle w:val="ListBullet"/>
      </w:pPr>
      <w:proofErr w:type="gramStart"/>
      <w:r w:rsidRPr="00A7607C">
        <w:t>change</w:t>
      </w:r>
      <w:proofErr w:type="gramEnd"/>
      <w:r w:rsidRPr="00A7607C">
        <w:t xml:space="preserve"> from baseline in fasting lipid parameters at 48 and 96 Wks</w:t>
      </w:r>
      <w:r w:rsidR="00A7607C">
        <w:t>.</w:t>
      </w:r>
    </w:p>
    <w:p w:rsidR="00B7055F" w:rsidRPr="00857F03" w:rsidRDefault="00B7055F" w:rsidP="00A7607C">
      <w:pPr>
        <w:pStyle w:val="Heading4"/>
      </w:pPr>
      <w:r w:rsidRPr="00857F03">
        <w:t>Randomisation and blinding methods</w:t>
      </w:r>
    </w:p>
    <w:p w:rsidR="00B7055F" w:rsidRPr="009C79B3" w:rsidRDefault="00B7055F" w:rsidP="00A7607C">
      <w:r w:rsidRPr="009C79B3">
        <w:t>Open label, 1:1 r</w:t>
      </w:r>
      <w:r w:rsidR="00A7607C">
        <w:t>andomisation using IVRS system.</w:t>
      </w:r>
    </w:p>
    <w:p w:rsidR="00B7055F" w:rsidRPr="00857F03" w:rsidRDefault="00B7055F" w:rsidP="00A7607C">
      <w:pPr>
        <w:pStyle w:val="Heading4"/>
      </w:pPr>
      <w:r w:rsidRPr="00857F03">
        <w:t>Analysis populations</w:t>
      </w:r>
    </w:p>
    <w:p w:rsidR="009C79B3" w:rsidRPr="009C79B3" w:rsidRDefault="00B7055F" w:rsidP="00A7607C">
      <w:r w:rsidRPr="00A21C2D">
        <w:rPr>
          <w:b/>
        </w:rPr>
        <w:t>Efficacy FAS</w:t>
      </w:r>
      <w:r w:rsidR="009C79B3" w:rsidRPr="00A21C2D">
        <w:rPr>
          <w:b/>
        </w:rPr>
        <w:t>:</w:t>
      </w:r>
      <w:r w:rsidR="009C79B3" w:rsidRPr="009C79B3">
        <w:t xml:space="preserve"> </w:t>
      </w:r>
      <w:r w:rsidRPr="009C79B3">
        <w:t>all subjects randomised and receiving ≥1 dose of study medication. Subjects prematurely discontinuing study drug asked to continue attending study visits to Wk 96 visit</w:t>
      </w:r>
      <w:r w:rsidR="009C79B3" w:rsidRPr="009C79B3">
        <w:t>.</w:t>
      </w:r>
    </w:p>
    <w:p w:rsidR="009C79B3" w:rsidRPr="009C79B3" w:rsidRDefault="00B7055F" w:rsidP="00A7607C">
      <w:r w:rsidRPr="00A21C2D">
        <w:rPr>
          <w:b/>
        </w:rPr>
        <w:t xml:space="preserve">PP </w:t>
      </w:r>
      <w:r w:rsidR="00294960">
        <w:rPr>
          <w:b/>
        </w:rPr>
        <w:t>a</w:t>
      </w:r>
      <w:r w:rsidRPr="00A21C2D">
        <w:rPr>
          <w:b/>
        </w:rPr>
        <w:t xml:space="preserve">nalysis </w:t>
      </w:r>
      <w:r w:rsidR="00294960">
        <w:rPr>
          <w:b/>
        </w:rPr>
        <w:t>s</w:t>
      </w:r>
      <w:r w:rsidRPr="00A21C2D">
        <w:rPr>
          <w:b/>
        </w:rPr>
        <w:t>et</w:t>
      </w:r>
      <w:r w:rsidR="009C79B3" w:rsidRPr="00A21C2D">
        <w:rPr>
          <w:b/>
        </w:rPr>
        <w:t>:</w:t>
      </w:r>
      <w:r w:rsidR="009C79B3" w:rsidRPr="009C79B3">
        <w:t xml:space="preserve"> </w:t>
      </w:r>
      <w:r w:rsidRPr="009C79B3">
        <w:t>all subjects randomised and receiving ≥1 study medication, without any major protocol violations</w:t>
      </w:r>
      <w:r w:rsidR="009C79B3" w:rsidRPr="009C79B3">
        <w:t>.</w:t>
      </w:r>
    </w:p>
    <w:p w:rsidR="00B7055F" w:rsidRPr="009C79B3" w:rsidDel="0081373E" w:rsidRDefault="00B7055F" w:rsidP="00A7607C">
      <w:r w:rsidRPr="00A21C2D">
        <w:rPr>
          <w:b/>
        </w:rPr>
        <w:t>Safety</w:t>
      </w:r>
      <w:r w:rsidR="00294960">
        <w:rPr>
          <w:b/>
        </w:rPr>
        <w:t xml:space="preserve"> analysis s</w:t>
      </w:r>
      <w:r w:rsidR="009C79B3" w:rsidRPr="00A21C2D">
        <w:rPr>
          <w:b/>
        </w:rPr>
        <w:t>et:</w:t>
      </w:r>
      <w:r w:rsidR="009C79B3" w:rsidRPr="009C79B3">
        <w:t xml:space="preserve"> </w:t>
      </w:r>
      <w:r w:rsidRPr="009C79B3">
        <w:t>all randomised subjects who received ≥1 dose of study drug. All data collected up to 30 days after the last dose of randomised study regimen included in the safety summaries. Subjects grouped according to treatment received.</w:t>
      </w:r>
    </w:p>
    <w:p w:rsidR="00B7055F" w:rsidRPr="00857F03" w:rsidDel="0081373E" w:rsidRDefault="00B7055F" w:rsidP="00A7607C">
      <w:pPr>
        <w:pStyle w:val="Heading4"/>
      </w:pPr>
      <w:r w:rsidRPr="00857F03" w:rsidDel="0081373E">
        <w:t>Sample size</w:t>
      </w:r>
    </w:p>
    <w:p w:rsidR="00B7055F" w:rsidRPr="00A21C2D" w:rsidRDefault="00DE08D8" w:rsidP="00A7607C">
      <w:r>
        <w:t xml:space="preserve">There were </w:t>
      </w:r>
      <w:r w:rsidR="00B7055F" w:rsidRPr="00A21C2D">
        <w:t xml:space="preserve">700 subjects planned with 350 subjects in each group. With 700 subjects randomised (1:1) to either arm at Day 1, the LL of the observed one-sided 97.5% CI was expected to be greater than </w:t>
      </w:r>
      <w:r>
        <w:t>-</w:t>
      </w:r>
      <w:r w:rsidR="00B7055F" w:rsidRPr="00A21C2D">
        <w:t>0.120 (i.e. non</w:t>
      </w:r>
      <w:r w:rsidR="00A21C2D">
        <w:t xml:space="preserve"> </w:t>
      </w:r>
      <w:r w:rsidR="00B7055F" w:rsidRPr="00A21C2D">
        <w:t>inferiority margin of 12%) with &gt;95% power when the proportion of responders in both treatment groups for the primary endpoint was 80% at Wk 48.</w:t>
      </w:r>
    </w:p>
    <w:p w:rsidR="00B7055F" w:rsidRPr="00857F03" w:rsidRDefault="00B7055F" w:rsidP="00A7607C">
      <w:pPr>
        <w:pStyle w:val="Heading4"/>
      </w:pPr>
      <w:r w:rsidRPr="00857F03">
        <w:t>Statistical methods</w:t>
      </w:r>
    </w:p>
    <w:p w:rsidR="00A21C2D" w:rsidRPr="00A21C2D" w:rsidRDefault="00A21C2D" w:rsidP="00A7607C">
      <w:r w:rsidRPr="00A21C2D">
        <w:rPr>
          <w:b/>
        </w:rPr>
        <w:t>Efficacy:</w:t>
      </w:r>
      <w:r>
        <w:t xml:space="preserve"> </w:t>
      </w:r>
      <w:r w:rsidR="00B7055F" w:rsidRPr="00A21C2D">
        <w:t xml:space="preserve">The primary efficacy endpoint was the proportion of subjects with HIV-1 RNA &lt; 50 </w:t>
      </w:r>
      <w:r w:rsidR="00086D51">
        <w:t>copies</w:t>
      </w:r>
      <w:r w:rsidR="00B7055F" w:rsidRPr="00A21C2D">
        <w:t xml:space="preserve">/mL at Wk 48, analysed using the US FDA snapshot algorithm. The primary analysis of the primary endpoint </w:t>
      </w:r>
      <w:r w:rsidR="00B7055F" w:rsidRPr="00A21C2D">
        <w:rPr>
          <w:b/>
        </w:rPr>
        <w:t>was stratified by baseline HIV-1 RNA levels (≤100,000 vs. &gt;100,000).</w:t>
      </w:r>
      <w:r w:rsidR="00B7055F" w:rsidRPr="00A21C2D">
        <w:t xml:space="preserve"> As a secondary efficacy endpoint, the proportion of subjects who achieved and maintained HIV-1 RNA &lt; 50 </w:t>
      </w:r>
      <w:r w:rsidR="00086D51">
        <w:t>copies</w:t>
      </w:r>
      <w:r w:rsidR="00B7055F" w:rsidRPr="00A21C2D">
        <w:t xml:space="preserve">/mL through Wk 48 was analysed using the TLOVR algorithm. Analyses of HIV-1 RNA by visit were also performed using missing-equals-failure (M = F), missing-equals-excluded (M = E), and LOCF approaches. Viral load was also analysed categorically (&lt;50, ≥50 to &lt;200, ≥200 to &lt;400, ≥400 to &lt;1000, and ≥1000 </w:t>
      </w:r>
      <w:r w:rsidR="00086D51">
        <w:t>copies</w:t>
      </w:r>
      <w:r w:rsidR="00B7055F" w:rsidRPr="00A21C2D">
        <w:t>/mL, noncompleter, missing) at each visit. Virologic outcomes (success and failure) through Wk 48 were summarised using frequency counts and percentages.</w:t>
      </w:r>
    </w:p>
    <w:p w:rsidR="00A21C2D" w:rsidRDefault="00B7055F" w:rsidP="00A7607C">
      <w:r w:rsidRPr="00A21C2D">
        <w:rPr>
          <w:b/>
        </w:rPr>
        <w:t>Sensitivity analyses</w:t>
      </w:r>
      <w:r w:rsidRPr="00A21C2D">
        <w:t xml:space="preserve"> performed for the primary endpoint in which subjects were considered to be treatment responders (virologic success in the snapshot analysis) if they were classified as having no virologic data in the Wk 48 window </w:t>
      </w:r>
      <w:r w:rsidR="00682C66">
        <w:t xml:space="preserve">per the snapshot algorithm (ie. </w:t>
      </w:r>
      <w:r w:rsidRPr="00A21C2D">
        <w:t>the percentages of subjects who had virologic failure per the snapshot algorithm were compared between treatment groups). A second sensitivity analyses was conducted assessing confounding effect of investigational centre &amp; baseline HIV-1 RNA. One was a stratified analysis by region.</w:t>
      </w:r>
      <w:r w:rsidR="00564405">
        <w:t xml:space="preserve"> </w:t>
      </w:r>
      <w:r w:rsidRPr="00A21C2D">
        <w:t>Another analysis did not stratify for baseline HIV-1 RNA.The primary endpoint was also analysed using the PP analysis set using the same methodology as was applied in the primary analysis of the FAS.</w:t>
      </w:r>
      <w:r w:rsidR="00564405">
        <w:t xml:space="preserve"> </w:t>
      </w:r>
      <w:r w:rsidRPr="00A21C2D">
        <w:t xml:space="preserve">Subgroup analyses of the primary endpoint were conducted using the snapshot approach. The odds ratio and the associated 95% CI were estimated by subgroup factor. The homogeneity of the treatment effects between subgroups were evaluated using the Wald test based on the interaction between treatment and subgroup factor. In addition to the prespecified subgroup analyses mentioned above, post hoc exploratory subgroup analyses, based on baseline viral load thresholds </w:t>
      </w:r>
      <w:proofErr w:type="gramStart"/>
      <w:r w:rsidRPr="00A21C2D">
        <w:t xml:space="preserve">of 500,000 </w:t>
      </w:r>
      <w:r w:rsidR="00086D51">
        <w:t>copies</w:t>
      </w:r>
      <w:r w:rsidRPr="00A21C2D">
        <w:t>/mL</w:t>
      </w:r>
      <w:proofErr w:type="gramEnd"/>
      <w:r w:rsidRPr="00A21C2D">
        <w:t xml:space="preserve"> performed to examine the sensitivity of both virologic success and virologic failure using the snapshot method. Descriptive statistics used to summarise CD4+ absolute counts and % as well as change from baseline by each visit. Statistical significance of the treatment difference in change from baseline for CD4+ assessed using ANOVA; 95% CI with </w:t>
      </w:r>
      <w:r w:rsidRPr="00A21C2D">
        <w:lastRenderedPageBreak/>
        <w:t xml:space="preserve">treatment and baseline HIV-1 RNA (≤100,000 </w:t>
      </w:r>
      <w:r w:rsidR="00086D51">
        <w:t>copies</w:t>
      </w:r>
      <w:r w:rsidRPr="00A21C2D">
        <w:t xml:space="preserve">/mL and &gt;100,000 </w:t>
      </w:r>
      <w:r w:rsidR="00086D51">
        <w:t>copies</w:t>
      </w:r>
      <w:r w:rsidRPr="00A21C2D">
        <w:t>/mL) as fixed effects. Change from baseline in log10 HIV-1 RNA analysed in a similar manner.</w:t>
      </w:r>
    </w:p>
    <w:p w:rsidR="00B7055F" w:rsidRPr="00A21C2D" w:rsidRDefault="00B7055F" w:rsidP="00A7607C">
      <w:r w:rsidRPr="00A21C2D">
        <w:rPr>
          <w:b/>
        </w:rPr>
        <w:t>Resistance:</w:t>
      </w:r>
      <w:r w:rsidRPr="00A21C2D">
        <w:t xml:space="preserve"> HIV-1 resistance testing performed in subjects confirmed as a virologic failure. </w:t>
      </w:r>
      <w:proofErr w:type="gramStart"/>
      <w:r w:rsidRPr="00A21C2D">
        <w:t>Results of resistance analyses listed by subject.</w:t>
      </w:r>
      <w:proofErr w:type="gramEnd"/>
    </w:p>
    <w:p w:rsidR="00B7055F" w:rsidRPr="0003455C" w:rsidRDefault="00B7055F" w:rsidP="00A7607C">
      <w:pPr>
        <w:pStyle w:val="Heading4"/>
      </w:pPr>
      <w:r w:rsidRPr="0003455C">
        <w:t>Participant flow</w:t>
      </w:r>
    </w:p>
    <w:p w:rsidR="00B7055F" w:rsidRPr="003B036F" w:rsidRDefault="00620C02" w:rsidP="00A7607C">
      <w:r w:rsidRPr="003B036F">
        <w:t>This is shown in Figure 2.</w:t>
      </w:r>
    </w:p>
    <w:p w:rsidR="00620C02" w:rsidRDefault="00620C02" w:rsidP="00A7607C">
      <w:pPr>
        <w:pStyle w:val="FigureTitle"/>
      </w:pPr>
      <w:r>
        <w:t xml:space="preserve">Figure </w:t>
      </w:r>
      <w:r w:rsidR="003B036F">
        <w:t>2</w:t>
      </w:r>
      <w:r>
        <w:t>:</w:t>
      </w:r>
      <w:r w:rsidRPr="004C5C28">
        <w:t xml:space="preserve"> </w:t>
      </w:r>
      <w:r w:rsidR="006A3A85" w:rsidRPr="006A3A85">
        <w:t>GS-US-264-0110: Disposition of Study Subjects</w:t>
      </w:r>
      <w:r>
        <w:t>.</w:t>
      </w:r>
    </w:p>
    <w:p w:rsidR="00620C02" w:rsidRPr="003D467E" w:rsidRDefault="00A16194" w:rsidP="00A7607C">
      <w:r>
        <w:rPr>
          <w:noProof/>
          <w:lang w:eastAsia="en-AU"/>
        </w:rPr>
        <w:drawing>
          <wp:inline distT="0" distB="0" distL="0" distR="0" wp14:anchorId="66A149AB" wp14:editId="54940F98">
            <wp:extent cx="4714240" cy="5542280"/>
            <wp:effectExtent l="0" t="0" r="0" b="1270"/>
            <wp:docPr id="12" name="Picture 12" descr="Figure 2: GS-US-264-0110: Disposition of Stud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2: GS-US-264-0110: Disposition of Study Subjec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4240" cy="5542280"/>
                    </a:xfrm>
                    <a:prstGeom prst="rect">
                      <a:avLst/>
                    </a:prstGeom>
                    <a:noFill/>
                    <a:ln>
                      <a:noFill/>
                    </a:ln>
                  </pic:spPr>
                </pic:pic>
              </a:graphicData>
            </a:graphic>
          </wp:inline>
        </w:drawing>
      </w:r>
    </w:p>
    <w:p w:rsidR="00B7055F" w:rsidRPr="00857F03" w:rsidRDefault="00B7055F" w:rsidP="00A7607C">
      <w:pPr>
        <w:pStyle w:val="Heading4"/>
      </w:pPr>
      <w:r w:rsidRPr="00857F03">
        <w:t>Major protocol violations/deviations</w:t>
      </w:r>
    </w:p>
    <w:p w:rsidR="00B7055F" w:rsidRPr="00DE08D8" w:rsidRDefault="00B7055F" w:rsidP="00A7607C">
      <w:r w:rsidRPr="00DE08D8">
        <w:t xml:space="preserve">A total of 81 of 394 (20.6%) in the Eviplera </w:t>
      </w:r>
      <w:r w:rsidR="00F35F06">
        <w:t>group</w:t>
      </w:r>
      <w:r w:rsidRPr="00DE08D8">
        <w:t xml:space="preserve"> and 92 of 392 (23.5%) in the Atripla</w:t>
      </w:r>
      <w:r w:rsidR="00564405">
        <w:t xml:space="preserve"> </w:t>
      </w:r>
      <w:r w:rsidR="00F35F06">
        <w:t>group</w:t>
      </w:r>
      <w:r w:rsidRPr="00DE08D8">
        <w:t xml:space="preserve"> had adherence/dosing deviations. PP analyses of HIV-1 RNA virologic outcomes conducted in which subjects with ≥1 important protocol deviations were excluded. These analyses yielded results consistent with analyses in which subjects with ≥1 important pro</w:t>
      </w:r>
      <w:r w:rsidR="00A7607C">
        <w:t>tocol deviations were included.</w:t>
      </w:r>
    </w:p>
    <w:p w:rsidR="00B7055F" w:rsidRPr="00857F03" w:rsidRDefault="00B7055F" w:rsidP="00A7607C">
      <w:pPr>
        <w:pStyle w:val="Heading4"/>
      </w:pPr>
      <w:r w:rsidRPr="00857F03">
        <w:lastRenderedPageBreak/>
        <w:t>Baseline data</w:t>
      </w:r>
    </w:p>
    <w:p w:rsidR="00B7055F" w:rsidRPr="00DE08D8" w:rsidRDefault="00B7055F" w:rsidP="00A7607C">
      <w:r w:rsidRPr="00DE08D8">
        <w:t xml:space="preserve">The planned sample size was 700 subjects, but a sharp increase in </w:t>
      </w:r>
      <w:r w:rsidR="00DE08D8">
        <w:t>enrol</w:t>
      </w:r>
      <w:r w:rsidRPr="00DE08D8">
        <w:t xml:space="preserve">ment just before enrollment closure resulted in </w:t>
      </w:r>
      <w:r w:rsidRPr="00DE08D8">
        <w:rPr>
          <w:b/>
        </w:rPr>
        <w:t>799 subjects</w:t>
      </w:r>
      <w:r w:rsidRPr="00DE08D8">
        <w:t xml:space="preserve"> being enrolled. Over </w:t>
      </w:r>
      <w:r w:rsidR="00DE08D8">
        <w:t>enrol</w:t>
      </w:r>
      <w:r w:rsidRPr="00DE08D8">
        <w:t xml:space="preserve">ment was due to parallel enrollment by multiple study centres and lower than predicted screen failure </w:t>
      </w:r>
      <w:r w:rsidR="00A7607C">
        <w:t>rate.</w:t>
      </w:r>
    </w:p>
    <w:p w:rsidR="00B7055F" w:rsidRPr="00DE08D8" w:rsidRDefault="00B7055F" w:rsidP="00A7607C">
      <w:r w:rsidRPr="00DE08D8">
        <w:rPr>
          <w:b/>
        </w:rPr>
        <w:t>Demographics:</w:t>
      </w:r>
      <w:r w:rsidRPr="00DE08D8">
        <w:t xml:space="preserve"> Majority male (92.9%), mean age 37 years (range, 18 to 74 years); White ethnicity (67.3%), Black or African heritage (24.5%); non-Hispanic/Latino (82.3%). Mean (SD) BMI at baseline was 25.6 (4.70) kg/m</w:t>
      </w:r>
      <w:r w:rsidRPr="00682C66">
        <w:rPr>
          <w:vertAlign w:val="superscript"/>
        </w:rPr>
        <w:t>2</w:t>
      </w:r>
      <w:r w:rsidRPr="00DE08D8">
        <w:t xml:space="preserve">. Mean (SD) CLcr by Cockcroft-Gault was 116.0 (28.16) mL/min at baseline (range, 54.2 to 275.4 mL/min) At baseline, mean (SD) CD4+ cell count was 390.5 cells/μL (183.21 cells/μL) (range, 1.0 to 1196.0 cells/μL), and the majority of subjects had a CD4+ cell count within the range of 351 to &gt; 500 cells/μL. Baseline mean HIV-1 RNA was similar in both treatment </w:t>
      </w:r>
      <w:r w:rsidR="00F35F06">
        <w:t>group</w:t>
      </w:r>
      <w:r w:rsidRPr="00DE08D8">
        <w:t xml:space="preserve">s. At baseline, mean (SD) HIV-1 RNA was 4.81 (0.646) log10 </w:t>
      </w:r>
      <w:r w:rsidR="00086D51">
        <w:t>copies</w:t>
      </w:r>
      <w:r w:rsidRPr="00DE08D8">
        <w:t xml:space="preserve">/mL in the Eviplera </w:t>
      </w:r>
      <w:r w:rsidR="00F35F06">
        <w:t>group</w:t>
      </w:r>
      <w:r w:rsidRPr="00DE08D8">
        <w:t xml:space="preserve"> and 4.78 (0.610) log</w:t>
      </w:r>
      <w:r w:rsidRPr="00682C66">
        <w:rPr>
          <w:vertAlign w:val="subscript"/>
        </w:rPr>
        <w:t>10</w:t>
      </w:r>
      <w:r w:rsidRPr="00DE08D8">
        <w:t xml:space="preserve"> </w:t>
      </w:r>
      <w:r w:rsidR="00086D51">
        <w:t>copies</w:t>
      </w:r>
      <w:r w:rsidRPr="00DE08D8">
        <w:t xml:space="preserve">/mL in the Atripla </w:t>
      </w:r>
      <w:r w:rsidR="00F35F06">
        <w:t>group</w:t>
      </w:r>
      <w:r w:rsidRPr="00DE08D8">
        <w:t xml:space="preserve">. At baseline, 510 subjects (64.9%) had HIV-1 RNA &lt;100,000 </w:t>
      </w:r>
      <w:r w:rsidR="00086D51">
        <w:t>copies</w:t>
      </w:r>
      <w:r w:rsidRPr="00DE08D8">
        <w:t xml:space="preserve">/mL, 165 subjects (21.0%) had HIV-1 RNA &gt;100,000 to ≤300,000 </w:t>
      </w:r>
      <w:r w:rsidR="00086D51">
        <w:t>copies</w:t>
      </w:r>
      <w:r w:rsidRPr="00DE08D8">
        <w:t xml:space="preserve">/mL, 50 subjects (6.4%) had HIV-1 RNA &gt;300,000 to ≤500,000 </w:t>
      </w:r>
      <w:r w:rsidR="00086D51">
        <w:t>copies</w:t>
      </w:r>
      <w:r w:rsidRPr="00DE08D8">
        <w:t xml:space="preserve">/mL, 61 subjects (7.8%) had values &gt;500,000 </w:t>
      </w:r>
      <w:r w:rsidR="00086D51">
        <w:t>copies</w:t>
      </w:r>
      <w:r w:rsidRPr="00DE08D8">
        <w:t>/mL.</w:t>
      </w:r>
      <w:r w:rsidR="00564405">
        <w:t xml:space="preserve"> </w:t>
      </w:r>
      <w:r w:rsidRPr="00DE08D8">
        <w:t xml:space="preserve">At baseline, 106 Eviplera </w:t>
      </w:r>
      <w:r w:rsidR="00F35F06">
        <w:t>group</w:t>
      </w:r>
      <w:r w:rsidRPr="00DE08D8">
        <w:t xml:space="preserve"> subjects (52 [13.2%] and 54 Atripla </w:t>
      </w:r>
      <w:r w:rsidR="00F35F06">
        <w:t>group</w:t>
      </w:r>
      <w:r w:rsidRPr="00DE08D8">
        <w:t xml:space="preserve"> [13.8%] were on lipid-modifying agents, most commonly fish oil (6.9%); pravastatin (1.9%); and simvastatin (1.7%); 39 subjects (17 [4.3%] in the Eviplera </w:t>
      </w:r>
      <w:r w:rsidR="00F35F06">
        <w:t>group</w:t>
      </w:r>
      <w:r w:rsidRPr="00DE08D8">
        <w:t xml:space="preserve"> and 22 [5.6%] in the Atripla </w:t>
      </w:r>
      <w:r w:rsidR="00F35F06">
        <w:t>group</w:t>
      </w:r>
      <w:r w:rsidRPr="00DE08D8">
        <w:t xml:space="preserve">) started or modified lipid-modifying agents during study i.e. fish oil (1.3%); pravastatin (1.3%); simvastatin (0.8%) Key baseline HIV characteristics summarised in </w:t>
      </w:r>
      <w:r w:rsidR="00682C66">
        <w:t>Table 9</w:t>
      </w:r>
      <w:r w:rsidR="00A7607C">
        <w:t>.</w:t>
      </w:r>
    </w:p>
    <w:p w:rsidR="00DE08D8" w:rsidRDefault="00682C66" w:rsidP="000B6C20">
      <w:pPr>
        <w:pStyle w:val="TableTitle"/>
      </w:pPr>
      <w:r>
        <w:t>Table 9</w:t>
      </w:r>
      <w:r w:rsidR="00DE08D8">
        <w:t>:</w:t>
      </w:r>
      <w:r w:rsidR="00DE08D8" w:rsidRPr="004C5C28">
        <w:t xml:space="preserve"> </w:t>
      </w:r>
      <w:r w:rsidR="00DE08D8" w:rsidRPr="00DE08D8">
        <w:t>GS-US-264-0110: Key Baseline HIV Characteristics (Safety Analysis Set)</w:t>
      </w:r>
      <w:r w:rsidR="00DE08D8">
        <w:t>.</w:t>
      </w:r>
    </w:p>
    <w:p w:rsidR="002B3AC8" w:rsidRDefault="00A16194" w:rsidP="00294960">
      <w:r>
        <w:rPr>
          <w:noProof/>
          <w:lang w:eastAsia="en-AU"/>
        </w:rPr>
        <w:drawing>
          <wp:inline distT="0" distB="0" distL="0" distR="0" wp14:anchorId="57E2D600" wp14:editId="34389E35">
            <wp:extent cx="5730240" cy="4638040"/>
            <wp:effectExtent l="0" t="0" r="3810" b="0"/>
            <wp:docPr id="13" name="Picture 13" descr="Table 9: GS-US-264-0110: Key Baseline HIV Characteristic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9: GS-US-264-0110: Key Baseline HIV Characteristics (Safety Analysis Se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240" cy="4638040"/>
                    </a:xfrm>
                    <a:prstGeom prst="rect">
                      <a:avLst/>
                    </a:prstGeom>
                    <a:noFill/>
                    <a:ln>
                      <a:noFill/>
                    </a:ln>
                  </pic:spPr>
                </pic:pic>
              </a:graphicData>
            </a:graphic>
          </wp:inline>
        </w:drawing>
      </w:r>
    </w:p>
    <w:p w:rsidR="004F043B" w:rsidRPr="00857F03" w:rsidRDefault="004F043B" w:rsidP="000B6C20">
      <w:pPr>
        <w:pStyle w:val="Heading4"/>
      </w:pPr>
      <w:r w:rsidRPr="00857F03">
        <w:lastRenderedPageBreak/>
        <w:t>Results for the primary efficacy outcome</w:t>
      </w:r>
    </w:p>
    <w:p w:rsidR="00196799" w:rsidRDefault="004F043B" w:rsidP="000B6C20">
      <w:r w:rsidRPr="00196799">
        <w:t xml:space="preserve">Adherence was high based on pill counts i.e. 96.7% [SD 4.33%] in the Eviplera </w:t>
      </w:r>
      <w:r w:rsidR="00F35F06">
        <w:t>group</w:t>
      </w:r>
      <w:r w:rsidRPr="00196799">
        <w:t xml:space="preserve"> and 96.1% [SD6.89%] in the Atripla </w:t>
      </w:r>
      <w:r w:rsidR="00F35F06">
        <w:t>group</w:t>
      </w:r>
      <w:r w:rsidRPr="00196799">
        <w:t>) during the first 48 Wks with &gt;95% adherence.</w:t>
      </w:r>
      <w:r w:rsidR="00564405">
        <w:t xml:space="preserve"> </w:t>
      </w:r>
      <w:r w:rsidRPr="00196799">
        <w:t xml:space="preserve">The proportion of subjects with HIV-1 RNA &lt;50 </w:t>
      </w:r>
      <w:r w:rsidR="00086D51">
        <w:t>copies</w:t>
      </w:r>
      <w:r w:rsidRPr="00196799">
        <w:t xml:space="preserve">/mL at Wk 48 was similar in the Eviplera (85.8%) and Atripla (81.6%) treatment </w:t>
      </w:r>
      <w:r w:rsidR="00F35F06">
        <w:t>group</w:t>
      </w:r>
      <w:r w:rsidRPr="00196799">
        <w:t xml:space="preserve">s (4.1% treatment difference; 95% CI: −1.1%, 9.2%) based on the snapshot analysis. The lower bound of the 95% CI of this treatment difference was within the predefined 12% margin for noninferiority of Eviplera to Atripla at Wk 48 (Table </w:t>
      </w:r>
      <w:r w:rsidR="00682C66">
        <w:t>10</w:t>
      </w:r>
      <w:r w:rsidRPr="00196799">
        <w:t>).</w:t>
      </w:r>
    </w:p>
    <w:p w:rsidR="003B564E" w:rsidRDefault="00682C66" w:rsidP="000B6C20">
      <w:pPr>
        <w:pStyle w:val="TableTitle"/>
      </w:pPr>
      <w:r>
        <w:t>Table 10</w:t>
      </w:r>
      <w:r w:rsidR="003B564E">
        <w:t>:</w:t>
      </w:r>
      <w:r w:rsidR="003B564E" w:rsidRPr="004C5C28">
        <w:t xml:space="preserve"> </w:t>
      </w:r>
      <w:r w:rsidR="00D30214" w:rsidRPr="00D30214">
        <w:t>GS-US-264-0110: Virologic Outcomes at Wk 48 (Snapshot Analysis), FAS</w:t>
      </w:r>
      <w:r w:rsidR="003B564E">
        <w:t>.</w:t>
      </w:r>
    </w:p>
    <w:p w:rsidR="004F043B" w:rsidRPr="00196799" w:rsidRDefault="00A16194" w:rsidP="00196799">
      <w:r>
        <w:rPr>
          <w:noProof/>
          <w:lang w:eastAsia="en-AU"/>
        </w:rPr>
        <w:drawing>
          <wp:inline distT="0" distB="0" distL="0" distR="0" wp14:anchorId="2530F36C" wp14:editId="61F73373">
            <wp:extent cx="5278120" cy="2860040"/>
            <wp:effectExtent l="0" t="0" r="0" b="0"/>
            <wp:docPr id="14" name="Picture 14" descr="Table 10: GS-US-264-0110: Virologic Outcomes at Wk 48 (Snapshot Analysi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10: GS-US-264-0110: Virologic Outcomes at Wk 48 (Snapshot Analysis), FA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2860040"/>
                    </a:xfrm>
                    <a:prstGeom prst="rect">
                      <a:avLst/>
                    </a:prstGeom>
                    <a:noFill/>
                    <a:ln>
                      <a:noFill/>
                    </a:ln>
                  </pic:spPr>
                </pic:pic>
              </a:graphicData>
            </a:graphic>
          </wp:inline>
        </w:drawing>
      </w:r>
    </w:p>
    <w:p w:rsidR="004F043B" w:rsidRPr="0077220C" w:rsidRDefault="004F043B" w:rsidP="000B6C20">
      <w:r w:rsidRPr="0077220C">
        <w:t xml:space="preserve">In the snapshot analysis, 32 (8.1%) Eviplera </w:t>
      </w:r>
      <w:r w:rsidR="00F35F06">
        <w:t>group</w:t>
      </w:r>
      <w:r w:rsidRPr="0077220C">
        <w:t xml:space="preserve"> subjects and 22 (5.6%) Atripla </w:t>
      </w:r>
      <w:r w:rsidR="00F35F06">
        <w:t>group</w:t>
      </w:r>
      <w:r w:rsidRPr="0077220C">
        <w:t xml:space="preserve"> subjects were considered virologic failures at Wk 48 (2.7% treatment difference; 95% CI: −0.9%, 6.2%). Among the virologic failures, 7 subjects (1.8%) in the Eviplera </w:t>
      </w:r>
      <w:r w:rsidR="00F35F06">
        <w:t>group</w:t>
      </w:r>
      <w:r w:rsidRPr="0077220C">
        <w:t xml:space="preserve"> and 4 subjects (1.0%) in the Atripla </w:t>
      </w:r>
      <w:r w:rsidR="00F35F06">
        <w:t>group</w:t>
      </w:r>
      <w:r w:rsidRPr="0077220C">
        <w:t xml:space="preserve"> had HIV-1 RNA ≥50 </w:t>
      </w:r>
      <w:r w:rsidR="00086D51">
        <w:t>copies</w:t>
      </w:r>
      <w:r w:rsidRPr="0077220C">
        <w:t>/mL at Wk 48. The remaining subjects considered as virologic failures either discontinued due to lack of efficacy (11 subjects [2.8%] in the Eviplera</w:t>
      </w:r>
      <w:r w:rsidR="00564405">
        <w:t xml:space="preserve"> </w:t>
      </w:r>
      <w:r w:rsidR="00F35F06">
        <w:t>group</w:t>
      </w:r>
      <w:r w:rsidRPr="0077220C">
        <w:t xml:space="preserve"> and 3 subjects [0.8%] in the Atripla </w:t>
      </w:r>
      <w:r w:rsidR="00F35F06">
        <w:t>group</w:t>
      </w:r>
      <w:r w:rsidRPr="0077220C">
        <w:t xml:space="preserve">) or due to other reasons. Virologic outcomes at Wk 48 were also analysed on the PP analysis set and using the snapshot, in the PP HIV-1 RNA &lt;50 </w:t>
      </w:r>
      <w:r w:rsidR="00086D51">
        <w:t>copies</w:t>
      </w:r>
      <w:r w:rsidRPr="0077220C">
        <w:t xml:space="preserve">/mL at Wk 48 in Eviplera </w:t>
      </w:r>
      <w:r w:rsidR="00F35F06">
        <w:t>group</w:t>
      </w:r>
      <w:r w:rsidRPr="0077220C">
        <w:t xml:space="preserve"> vs. Atripla </w:t>
      </w:r>
      <w:r w:rsidR="00F35F06">
        <w:t>group</w:t>
      </w:r>
      <w:r w:rsidRPr="0077220C">
        <w:t xml:space="preserve"> was 85.8% vs. 81.6% (p = 0.12) respectively. To assess potential confounders e.g. region &amp; baseline HIV-1 RNA stratified analyses were performed. Results </w:t>
      </w:r>
      <w:r w:rsidR="00CC5D23">
        <w:t xml:space="preserve">were </w:t>
      </w:r>
      <w:r w:rsidRPr="0077220C">
        <w:t>similar to the primary analysis. Analysis of the primary endpoint in specific sub</w:t>
      </w:r>
      <w:r w:rsidR="00F35F06">
        <w:t>group</w:t>
      </w:r>
      <w:r w:rsidRPr="0077220C">
        <w:t xml:space="preserve">s was prespecified and conducted using the snapshot approach. </w:t>
      </w:r>
      <w:r w:rsidRPr="0077220C">
        <w:rPr>
          <w:b/>
        </w:rPr>
        <w:t>Subgroup analysis by baseline HIV-1 RNA</w:t>
      </w:r>
      <w:r w:rsidRPr="0077220C">
        <w:t xml:space="preserve"> (≤100,000 and &gt;100,000) was not stratified further. Sex, race, baseline CD4+ count, age, and adherence subgroups were analysed similar to the primary endpoint adjusting for baseline HIV-1 RNA level (≤100,000 </w:t>
      </w:r>
      <w:r w:rsidR="00086D51">
        <w:t>copies</w:t>
      </w:r>
      <w:r w:rsidRPr="0077220C">
        <w:t xml:space="preserve">/mL vs. &gt;100,000 </w:t>
      </w:r>
      <w:r w:rsidR="00086D51">
        <w:t>copies</w:t>
      </w:r>
      <w:r w:rsidRPr="0077220C">
        <w:t>/mL. In the subgroup analysis, proportion of subjects with virologic success was significantly larger with Eviplera</w:t>
      </w:r>
      <w:r w:rsidR="00564405">
        <w:t xml:space="preserve"> </w:t>
      </w:r>
      <w:r w:rsidRPr="0077220C">
        <w:t>vs. Atripla</w:t>
      </w:r>
      <w:r w:rsidR="00564405">
        <w:t xml:space="preserve"> </w:t>
      </w:r>
      <w:r w:rsidRPr="0077220C">
        <w:t xml:space="preserve">for baseline HIV-1 RNA ≤100,000 </w:t>
      </w:r>
      <w:r w:rsidR="00086D51">
        <w:t>copies</w:t>
      </w:r>
      <w:r w:rsidRPr="0077220C">
        <w:t>/mL (88.8% Eviplera</w:t>
      </w:r>
      <w:r w:rsidR="00564405">
        <w:t xml:space="preserve"> </w:t>
      </w:r>
      <w:r w:rsidRPr="0077220C">
        <w:t>vs. 81.6% Atripla; p= 0.021; 95% CI: 1.1%, 13.4%) and for baseline CD4+ &gt;350 cells/μL (89.4% Eviplera</w:t>
      </w:r>
      <w:r w:rsidR="00564405">
        <w:t xml:space="preserve"> </w:t>
      </w:r>
      <w:r w:rsidRPr="0077220C">
        <w:t xml:space="preserve">vs. 80.6% Atripla; p = 0.011; 95% CI: 1.8%, 15.3%). For the other subgroups (baseline HIV-1 RNA &gt;100,000 </w:t>
      </w:r>
      <w:r w:rsidR="00086D51">
        <w:t>copies</w:t>
      </w:r>
      <w:r w:rsidRPr="0077220C">
        <w:t>/mL, baseline CD4+ counts ≤350 cells/μL, age &lt;36 years and ≥36 years, males and females, Whites and Non</w:t>
      </w:r>
      <w:r w:rsidR="00CC5D23">
        <w:t>-W</w:t>
      </w:r>
      <w:r w:rsidRPr="0077220C">
        <w:t>hites, adherence &lt;95 % and ≥95%), Eviplera</w:t>
      </w:r>
      <w:r w:rsidR="00564405">
        <w:t xml:space="preserve"> </w:t>
      </w:r>
      <w:r w:rsidRPr="0077220C">
        <w:t>similar to Atripla</w:t>
      </w:r>
      <w:r w:rsidR="00564405">
        <w:t xml:space="preserve"> </w:t>
      </w:r>
      <w:r w:rsidRPr="0077220C">
        <w:t xml:space="preserve">in proportion of subjects with HIV-1 RNA &lt;50 </w:t>
      </w:r>
      <w:r w:rsidR="00086D51">
        <w:t>copies</w:t>
      </w:r>
      <w:r w:rsidRPr="0077220C">
        <w:t xml:space="preserve">/mL through Wk 48 (p ≥0.18). In post hoc exploratory subgroup analyses, virologic outcomes by snapshot were analysed across 3 HIV-1 RNA categories (≤100,000 </w:t>
      </w:r>
      <w:r w:rsidR="00086D51">
        <w:t>copies</w:t>
      </w:r>
      <w:r w:rsidRPr="0077220C">
        <w:t xml:space="preserve">/mL, &gt;100,000 to ≤500,000 </w:t>
      </w:r>
      <w:r w:rsidR="00086D51">
        <w:t>copies</w:t>
      </w:r>
      <w:r w:rsidRPr="0077220C">
        <w:t xml:space="preserve">/mL, and &gt;500,000 </w:t>
      </w:r>
      <w:r w:rsidR="00086D51">
        <w:t>copies</w:t>
      </w:r>
      <w:r w:rsidRPr="0077220C">
        <w:t xml:space="preserve">/mL). Virologic failure rates were similar for the Eviplera group vs. Atripla </w:t>
      </w:r>
      <w:r w:rsidR="00F35F06">
        <w:t>group</w:t>
      </w:r>
      <w:r w:rsidRPr="0077220C">
        <w:t xml:space="preserve"> in the &gt;100,000 to 500,000 </w:t>
      </w:r>
      <w:r w:rsidR="00086D51">
        <w:t>copies</w:t>
      </w:r>
      <w:r w:rsidRPr="0077220C">
        <w:t xml:space="preserve">/mL stratum (10.2% vs. 8.5%) and higher only in the &gt;500,000 </w:t>
      </w:r>
      <w:r w:rsidR="00086D51">
        <w:t>copies</w:t>
      </w:r>
      <w:r w:rsidRPr="0077220C">
        <w:t xml:space="preserve">/mL stratum (25.0% vs. 16.0%). As with the </w:t>
      </w:r>
      <w:r w:rsidRPr="0077220C">
        <w:lastRenderedPageBreak/>
        <w:t xml:space="preserve">overall analysis, proportion of subjects with virologic failure was consistently higher in the Eviplera </w:t>
      </w:r>
      <w:r w:rsidR="00F35F06">
        <w:t>group</w:t>
      </w:r>
      <w:r w:rsidRPr="0077220C">
        <w:t xml:space="preserve"> within each baseline CD4+ cell count category (difference = 5.8%; 95% CI: –1.0%, 12.5% [n = 340]).</w:t>
      </w:r>
    </w:p>
    <w:p w:rsidR="004F043B" w:rsidRPr="0077220C" w:rsidRDefault="004F043B" w:rsidP="000B6C20">
      <w:r w:rsidRPr="0077220C">
        <w:t xml:space="preserve">A categorical summary of HIV-1 RNA was performed using the categories: &lt;50, ≥50 to &lt;200, ≥200 to &lt;400, ≥400 to &lt;1000, and ≥1000 </w:t>
      </w:r>
      <w:r w:rsidR="00086D51">
        <w:t>copies</w:t>
      </w:r>
      <w:r w:rsidRPr="0077220C">
        <w:t>/mL, missing, noncompleters.</w:t>
      </w:r>
      <w:r w:rsidR="00564405">
        <w:t xml:space="preserve"> </w:t>
      </w:r>
      <w:r w:rsidRPr="0077220C">
        <w:t xml:space="preserve">At baseline, no subjects had HIV-1 RNA value &lt;400 </w:t>
      </w:r>
      <w:r w:rsidR="00086D51">
        <w:t>copies</w:t>
      </w:r>
      <w:r w:rsidRPr="0077220C">
        <w:t xml:space="preserve">/mL; 784 subjects (99.7%) had values ≥1000 </w:t>
      </w:r>
      <w:r w:rsidR="00086D51">
        <w:t>copies</w:t>
      </w:r>
      <w:r w:rsidRPr="0077220C">
        <w:t xml:space="preserve">/mL; 2 had HIV-1 RNA 400-1000 </w:t>
      </w:r>
      <w:r w:rsidR="00086D51">
        <w:t>copies</w:t>
      </w:r>
      <w:r w:rsidRPr="0077220C">
        <w:t xml:space="preserve">/mL. As described for the primary endpoint results, at Wk 48, the majority of subjects in the Eviplera </w:t>
      </w:r>
      <w:r w:rsidR="00F35F06">
        <w:t>group</w:t>
      </w:r>
      <w:r w:rsidRPr="0077220C">
        <w:t xml:space="preserve"> (87.3%) and the Atripla </w:t>
      </w:r>
      <w:r w:rsidR="00F35F06">
        <w:t>group</w:t>
      </w:r>
      <w:r w:rsidRPr="0077220C">
        <w:t xml:space="preserve"> (86.5%) had HIV-1 RNA &lt;50 </w:t>
      </w:r>
      <w:r w:rsidR="00086D51">
        <w:t>copies</w:t>
      </w:r>
      <w:r w:rsidRPr="0077220C">
        <w:t xml:space="preserve">/mL. Three subjects in the Eviplera </w:t>
      </w:r>
      <w:r w:rsidR="00F35F06">
        <w:t>group</w:t>
      </w:r>
      <w:r w:rsidRPr="0077220C">
        <w:t xml:space="preserve"> (0.8%) and 1 subject in the Atripla </w:t>
      </w:r>
      <w:r w:rsidR="00F35F06">
        <w:t>group</w:t>
      </w:r>
      <w:r w:rsidRPr="0077220C">
        <w:t xml:space="preserve"> (0.3%)</w:t>
      </w:r>
      <w:r w:rsidR="0077220C">
        <w:t xml:space="preserve"> had HIV-1 RNA 50 to </w:t>
      </w:r>
      <w:r w:rsidRPr="0077220C">
        <w:t xml:space="preserve">&lt;200 </w:t>
      </w:r>
      <w:r w:rsidR="00086D51">
        <w:t>copies</w:t>
      </w:r>
      <w:r w:rsidRPr="0077220C">
        <w:t xml:space="preserve">/mL at Wk 48. Only 1 subject (0.3%) in the Eviplera </w:t>
      </w:r>
      <w:r w:rsidR="00F35F06">
        <w:t>group</w:t>
      </w:r>
      <w:r w:rsidRPr="0077220C">
        <w:t xml:space="preserve"> and 3 subjects (0.8%) in the Atripla </w:t>
      </w:r>
      <w:r w:rsidR="00F35F06">
        <w:t>group</w:t>
      </w:r>
      <w:r w:rsidRPr="0077220C">
        <w:t xml:space="preserve"> had HIV-1 RNA between 200-&lt;400 </w:t>
      </w:r>
      <w:r w:rsidR="00086D51">
        <w:t>copies</w:t>
      </w:r>
      <w:r w:rsidRPr="0077220C">
        <w:t xml:space="preserve">/mL, and 3 subjects (0.8%) in the Eviplera </w:t>
      </w:r>
      <w:r w:rsidR="00F35F06">
        <w:t>group</w:t>
      </w:r>
      <w:r w:rsidRPr="0077220C">
        <w:t xml:space="preserve"> had HIV-1 RNA between 400-1000 </w:t>
      </w:r>
      <w:r w:rsidR="00086D51">
        <w:t>copies</w:t>
      </w:r>
      <w:r w:rsidRPr="0077220C">
        <w:t xml:space="preserve">/mL at Wk 48. Eight subjects (2.0%) in the Eviplera </w:t>
      </w:r>
      <w:r w:rsidR="00F35F06">
        <w:t>group</w:t>
      </w:r>
      <w:r w:rsidRPr="0077220C">
        <w:t xml:space="preserve"> had HIV-1 RNA ≥1000 </w:t>
      </w:r>
      <w:r w:rsidR="00086D51">
        <w:t>copies</w:t>
      </w:r>
      <w:r w:rsidRPr="0077220C">
        <w:t>/mL at Wk 48. Results were simila</w:t>
      </w:r>
      <w:r w:rsidR="000B6C20">
        <w:t>r based on the PP analysis set.</w:t>
      </w:r>
    </w:p>
    <w:p w:rsidR="005F668A" w:rsidRPr="00857F03" w:rsidRDefault="005F668A" w:rsidP="000B6C20">
      <w:pPr>
        <w:pStyle w:val="Heading4"/>
      </w:pPr>
      <w:r w:rsidRPr="00857F03">
        <w:t>Results for other efficacy outcomes</w:t>
      </w:r>
    </w:p>
    <w:p w:rsidR="005F668A" w:rsidRPr="005F668A" w:rsidRDefault="005F668A" w:rsidP="000B6C20">
      <w:r w:rsidRPr="005F668A">
        <w:t xml:space="preserve">The proportion of subjects in the FAS with HIV-1 RNA &lt;50 </w:t>
      </w:r>
      <w:r w:rsidR="00086D51">
        <w:t>copies</w:t>
      </w:r>
      <w:r w:rsidRPr="005F668A">
        <w:t>/mL through Wk 48 was analysed as a secondary endpoint using TLOVR algorithm and analysed by visit using a (M = F) or excluded (M = E) from the analysis and LOCF. The TLOVR analysis was generally consistent with the snapshot i.e. 85.3% and 79.6% in Eviplera</w:t>
      </w:r>
      <w:r w:rsidR="00564405">
        <w:t xml:space="preserve"> </w:t>
      </w:r>
      <w:r w:rsidRPr="005F668A">
        <w:t>and Atripla</w:t>
      </w:r>
      <w:r w:rsidR="00564405">
        <w:t xml:space="preserve"> </w:t>
      </w:r>
      <w:r w:rsidR="00F35F06">
        <w:t>group</w:t>
      </w:r>
      <w:r w:rsidRPr="005F668A">
        <w:t xml:space="preserve">s respectively with HIV-1 RNA &lt;50 </w:t>
      </w:r>
      <w:r w:rsidR="00086D51">
        <w:t>copies</w:t>
      </w:r>
      <w:r w:rsidRPr="005F668A">
        <w:t xml:space="preserve">/mL at Wk 48. However, the difference in proportions of responders was statistically significant in the TLOVR analysis (p = 0.030; difference = 5.9%, 95% CI: 0.6%, 11.2%). Based on Kaplan-Meier estimates, time to loss of virologic response was generally similar in the 2 treatment </w:t>
      </w:r>
      <w:r w:rsidR="00F35F06">
        <w:t>group</w:t>
      </w:r>
      <w:r w:rsidRPr="005F668A">
        <w:t xml:space="preserve">s. The percentages of loss of virologic response through Wk 48 were 15% (95% CI: 11.6%, 19.0%) in the Eviplera </w:t>
      </w:r>
      <w:r w:rsidR="00F35F06">
        <w:t>group</w:t>
      </w:r>
      <w:r w:rsidRPr="005F668A">
        <w:t xml:space="preserve"> and 21% (95% CI: 16.7%, 24.9%) in the Atripla </w:t>
      </w:r>
      <w:r w:rsidR="00F35F06">
        <w:t>group</w:t>
      </w:r>
      <w:r w:rsidRPr="005F668A">
        <w:t>. The results of the M = F analysis was consistent with the primary endpoint analysis based on the FAS and supported noninferiority of Eviplera to Atripla at Wk 48. Based on the M=F analysis, similar proportions of Eviplera subjects (87.3%; 95% CI: 83.6%, 90.4%) and Atripla</w:t>
      </w:r>
      <w:r w:rsidR="00564405">
        <w:t xml:space="preserve"> </w:t>
      </w:r>
      <w:r w:rsidRPr="005F668A">
        <w:t xml:space="preserve">subjects (86.5%; 95% CI: 82.7%, 89.7%) had HIV-1 RNA &lt;50 </w:t>
      </w:r>
      <w:r w:rsidR="00086D51">
        <w:t>copies</w:t>
      </w:r>
      <w:r w:rsidRPr="005F668A">
        <w:t>/mL at Wk 48 (p = 0</w:t>
      </w:r>
      <w:r w:rsidR="00CC5D23">
        <w:t>.77; difference = 0.7%, 95% CI: -</w:t>
      </w:r>
      <w:r w:rsidRPr="005F668A">
        <w:t xml:space="preserve">4.0%, 5.5%). Based on the M = E analysis, similar proportions of subjects in the Eviplera </w:t>
      </w:r>
      <w:r w:rsidR="00F35F06">
        <w:t>group</w:t>
      </w:r>
      <w:r w:rsidRPr="005F668A">
        <w:t xml:space="preserve"> (95.8%; 95% CI: 93.2%, 97.6%) and Atripla</w:t>
      </w:r>
      <w:r w:rsidR="00564405">
        <w:t xml:space="preserve"> </w:t>
      </w:r>
      <w:r w:rsidR="00F35F06">
        <w:t>group</w:t>
      </w:r>
      <w:r w:rsidRPr="005F668A">
        <w:t xml:space="preserve"> (97.4%; CI: 95.1%, 98.8%) had HIV-1 RNA &lt;50 </w:t>
      </w:r>
      <w:r w:rsidR="00086D51">
        <w:t>copies</w:t>
      </w:r>
      <w:r w:rsidRPr="005F668A">
        <w:t>/mL at Wk 48 (p = 0.23; difference = –1.6%, overall 95% CI: −4.4%, 1.1%). Results of the LOCF analyses were generally consistent with the M = E analysis. Based on the LOCF analysis, similar proportions of subjects in the Eviplera</w:t>
      </w:r>
      <w:r w:rsidR="00564405">
        <w:t xml:space="preserve"> </w:t>
      </w:r>
      <w:r w:rsidR="00F35F06">
        <w:t>group</w:t>
      </w:r>
      <w:r w:rsidRPr="005F668A">
        <w:t xml:space="preserve"> (91.6%; 95% CI: 88.4, 94.1) and Atripla </w:t>
      </w:r>
      <w:r w:rsidR="00F35F06">
        <w:t>group</w:t>
      </w:r>
      <w:r w:rsidRPr="005F668A">
        <w:t xml:space="preserve"> (92.8%; 95% CI: 89.8, 95.2) had HIV-1 RNA &lt; 50 </w:t>
      </w:r>
      <w:r w:rsidR="00086D51">
        <w:t>copies</w:t>
      </w:r>
      <w:r w:rsidRPr="005F668A">
        <w:t>/mL at</w:t>
      </w:r>
      <w:r w:rsidR="00CC5D23">
        <w:t xml:space="preserve"> Wk 48 (p = 0.50; difference = -1.3%, 95% CI: -</w:t>
      </w:r>
      <w:r w:rsidR="000B6C20">
        <w:t>5.1%, 2.5%.</w:t>
      </w:r>
    </w:p>
    <w:p w:rsidR="005F668A" w:rsidRPr="00FB6292" w:rsidRDefault="005F668A" w:rsidP="000B6C20">
      <w:r w:rsidRPr="00FB6292">
        <w:rPr>
          <w:b/>
        </w:rPr>
        <w:t>CD4+ T-cells:</w:t>
      </w:r>
      <w:r w:rsidRPr="00FB6292">
        <w:t xml:space="preserve"> At baseline, the mean (SD) absolute CD4+ count was 396 (179.6) cells/μL (Eviplera </w:t>
      </w:r>
      <w:r w:rsidR="00F35F06">
        <w:t>group</w:t>
      </w:r>
      <w:r w:rsidRPr="00FB6292">
        <w:t xml:space="preserve">) and 385 (186.8) cells/μL (Atripla </w:t>
      </w:r>
      <w:r w:rsidR="00F35F06">
        <w:t>group</w:t>
      </w:r>
      <w:r w:rsidRPr="00FB6292">
        <w:t xml:space="preserve">). By Wk 48, mean (SD) CD4+ cell counts had increased from baseline in both </w:t>
      </w:r>
      <w:r w:rsidR="00F35F06">
        <w:t>group</w:t>
      </w:r>
      <w:r w:rsidRPr="00FB6292">
        <w:t xml:space="preserve">s i.e. +200 [158.6] cells/μL (Eviplera </w:t>
      </w:r>
      <w:r w:rsidR="00F35F06">
        <w:t>group</w:t>
      </w:r>
      <w:r w:rsidRPr="00FB6292">
        <w:t xml:space="preserve">) and +191 [144.3] cells/μL (Atripla </w:t>
      </w:r>
      <w:r w:rsidR="00F35F06">
        <w:t>group</w:t>
      </w:r>
      <w:r w:rsidRPr="00FB6292">
        <w:t xml:space="preserve">), (p = 0.34; difference = 11, 95% CI: </w:t>
      </w:r>
      <w:r w:rsidR="00B73FC6">
        <w:t>-</w:t>
      </w:r>
      <w:r w:rsidR="000B6C20">
        <w:t>11, 32).</w:t>
      </w:r>
    </w:p>
    <w:p w:rsidR="005F668A" w:rsidRPr="00FB6292" w:rsidRDefault="00180BD0" w:rsidP="000B6C20">
      <w:r w:rsidRPr="00153660">
        <w:rPr>
          <w:b/>
        </w:rPr>
        <w:t>Resistance</w:t>
      </w:r>
      <w:r w:rsidR="005F668A" w:rsidRPr="00153660">
        <w:rPr>
          <w:b/>
        </w:rPr>
        <w:t>:</w:t>
      </w:r>
      <w:r w:rsidR="005F668A" w:rsidRPr="00FB6292">
        <w:t xml:space="preserve"> Of 786 randomi</w:t>
      </w:r>
      <w:r w:rsidR="00765E02">
        <w:t>s</w:t>
      </w:r>
      <w:r w:rsidR="005F668A" w:rsidRPr="00FB6292">
        <w:t xml:space="preserve">ed &amp; treated, 27 subjects (3%) were analysed for resistance development (20 [5%] in the Eviplera </w:t>
      </w:r>
      <w:r w:rsidR="00F35F06">
        <w:t>group</w:t>
      </w:r>
      <w:r w:rsidR="005F668A" w:rsidRPr="00FB6292">
        <w:t xml:space="preserve"> and 7 [2%] in the Atripla</w:t>
      </w:r>
      <w:r w:rsidR="00153660">
        <w:t xml:space="preserve"> </w:t>
      </w:r>
      <w:r w:rsidR="00F35F06">
        <w:t>group</w:t>
      </w:r>
      <w:r w:rsidR="005F668A" w:rsidRPr="00FB6292">
        <w:t>) and all had genotypic and phenotypic data available</w:t>
      </w:r>
      <w:r w:rsidR="00292B5D" w:rsidRPr="00FB6292">
        <w:t xml:space="preserve">. </w:t>
      </w:r>
      <w:r w:rsidR="005F668A" w:rsidRPr="008904C0">
        <w:rPr>
          <w:b/>
        </w:rPr>
        <w:t xml:space="preserve">More subjects in the Eviplera </w:t>
      </w:r>
      <w:r w:rsidR="00F35F06">
        <w:rPr>
          <w:b/>
        </w:rPr>
        <w:t>group</w:t>
      </w:r>
      <w:r w:rsidR="005F668A" w:rsidRPr="008904C0">
        <w:rPr>
          <w:b/>
        </w:rPr>
        <w:t xml:space="preserve"> than in the Atripla </w:t>
      </w:r>
      <w:r w:rsidR="00F35F06">
        <w:rPr>
          <w:b/>
        </w:rPr>
        <w:t>group</w:t>
      </w:r>
      <w:r w:rsidR="005F668A" w:rsidRPr="008904C0">
        <w:rPr>
          <w:b/>
        </w:rPr>
        <w:t xml:space="preserve"> developed primary emergent NRTI or NNRTI resistance mutations or reduced susceptibility to at least one regimen component (17 of 394 [4%] in the Eviplera </w:t>
      </w:r>
      <w:r w:rsidR="00F35F06">
        <w:rPr>
          <w:b/>
        </w:rPr>
        <w:t>group</w:t>
      </w:r>
      <w:r w:rsidR="005F668A" w:rsidRPr="008904C0">
        <w:rPr>
          <w:b/>
        </w:rPr>
        <w:t xml:space="preserve"> and 3/392 [1%] in the Atripla </w:t>
      </w:r>
      <w:r w:rsidR="00F35F06">
        <w:rPr>
          <w:b/>
        </w:rPr>
        <w:t>group</w:t>
      </w:r>
      <w:r w:rsidR="005F668A" w:rsidRPr="008904C0">
        <w:rPr>
          <w:b/>
        </w:rPr>
        <w:t>).</w:t>
      </w:r>
      <w:r w:rsidR="005F668A" w:rsidRPr="00FB6292">
        <w:t xml:space="preserve"> Sixteen of these had emergent NNRTI resistance mutations, most commonly Y181C/I (n= 8), E138K (n=6), V90I (n=6), and K101E (n= 5), and most had multiple NNRTI resistance mutations (Tables </w:t>
      </w:r>
      <w:r w:rsidR="00765E02">
        <w:t>11</w:t>
      </w:r>
      <w:r w:rsidR="007B45F8">
        <w:t xml:space="preserve"> and </w:t>
      </w:r>
      <w:r w:rsidR="00765E02">
        <w:t>12</w:t>
      </w:r>
      <w:r w:rsidR="005F668A" w:rsidRPr="00FB6292">
        <w:t xml:space="preserve">). 16 subjects developed NRTI resistance mutations, most commonly M184V/I (n=15), K65R/N (n=3), and K219E (n=3). The remaining 3 subjects in the Eviplera </w:t>
      </w:r>
      <w:r w:rsidR="00F35F06">
        <w:t>group</w:t>
      </w:r>
      <w:r w:rsidR="005F668A" w:rsidRPr="00FB6292">
        <w:t xml:space="preserve"> lacked emergent resistance mutations in RT and remained phenotypically susceptible to all drugs in their regimen. Among the 16 subjects who lost susceptibility to RPV, most also showed reduced susceptibility to ≥1 NNRTIs: 15 to </w:t>
      </w:r>
      <w:r w:rsidR="005F668A" w:rsidRPr="00FB6292">
        <w:lastRenderedPageBreak/>
        <w:t xml:space="preserve">etravirine, 12 to nevirapine, 11 to delavirdine, </w:t>
      </w:r>
      <w:proofErr w:type="gramStart"/>
      <w:r w:rsidR="005F668A" w:rsidRPr="00FB6292">
        <w:t>7</w:t>
      </w:r>
      <w:proofErr w:type="gramEnd"/>
      <w:r w:rsidR="005F668A" w:rsidRPr="00FB6292">
        <w:t xml:space="preserve"> to EFV. In the Atripla </w:t>
      </w:r>
      <w:r w:rsidR="00F35F06">
        <w:t>group</w:t>
      </w:r>
      <w:r w:rsidR="005F668A" w:rsidRPr="00FB6292">
        <w:t xml:space="preserve">, of the 7 subjects analysed, 3 subjects (3 of 392, 0.8%) had emergent resistance to a study drug. All 3 developed NNRTI resistance mutations (1 each of K103N, Y188L, and G190E/Q). One subject also developed M184I and reduced susceptibility to FTC. The remaining 4 Atripla </w:t>
      </w:r>
      <w:r w:rsidR="00F35F06">
        <w:t>group</w:t>
      </w:r>
      <w:r w:rsidR="005F668A" w:rsidRPr="00FB6292">
        <w:t xml:space="preserve"> subjects </w:t>
      </w:r>
      <w:r w:rsidR="005F668A" w:rsidRPr="00FB6292">
        <w:rPr>
          <w:b/>
        </w:rPr>
        <w:t xml:space="preserve">lacked </w:t>
      </w:r>
      <w:r w:rsidR="005F668A" w:rsidRPr="00FB6292">
        <w:t>emergent resistance mutations remaining phenotypically susceptible. No primary PI-resistance mutations in either group.</w:t>
      </w:r>
    </w:p>
    <w:p w:rsidR="00284B91" w:rsidRDefault="00284B91" w:rsidP="000B6C20">
      <w:pPr>
        <w:pStyle w:val="TableTitle"/>
      </w:pPr>
      <w:r>
        <w:t xml:space="preserve">Table </w:t>
      </w:r>
      <w:r w:rsidR="00765E02">
        <w:t>11</w:t>
      </w:r>
      <w:r>
        <w:t>:</w:t>
      </w:r>
      <w:r w:rsidRPr="004C5C28">
        <w:t xml:space="preserve"> </w:t>
      </w:r>
      <w:r w:rsidR="00F626FC" w:rsidRPr="00F626FC">
        <w:t>GS-US-264-0110: Development of HIV-1 Genotypic Resistance at Wk 48</w:t>
      </w:r>
      <w:r>
        <w:t>.</w:t>
      </w:r>
    </w:p>
    <w:p w:rsidR="00DE08D8" w:rsidRDefault="00A16194" w:rsidP="000B6C20">
      <w:r>
        <w:rPr>
          <w:noProof/>
          <w:lang w:eastAsia="en-AU"/>
        </w:rPr>
        <w:drawing>
          <wp:inline distT="0" distB="0" distL="0" distR="0" wp14:anchorId="637DABFA" wp14:editId="673B708E">
            <wp:extent cx="4612640" cy="5166360"/>
            <wp:effectExtent l="0" t="0" r="0" b="0"/>
            <wp:docPr id="15" name="Picture 15" descr="Table 11: GS-US-264-0110: Development of HIV-1 Genotypic Resistance at W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 11: GS-US-264-0110: Development of HIV-1 Genotypic Resistance at Wk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2640" cy="5166360"/>
                    </a:xfrm>
                    <a:prstGeom prst="rect">
                      <a:avLst/>
                    </a:prstGeom>
                    <a:noFill/>
                    <a:ln>
                      <a:noFill/>
                    </a:ln>
                  </pic:spPr>
                </pic:pic>
              </a:graphicData>
            </a:graphic>
          </wp:inline>
        </w:drawing>
      </w:r>
    </w:p>
    <w:p w:rsidR="00284B91" w:rsidRDefault="00284B91" w:rsidP="000B6C20">
      <w:pPr>
        <w:pStyle w:val="TableTitle"/>
      </w:pPr>
      <w:r>
        <w:lastRenderedPageBreak/>
        <w:t xml:space="preserve">Table </w:t>
      </w:r>
      <w:r w:rsidR="00765E02">
        <w:t>12</w:t>
      </w:r>
      <w:r>
        <w:t>:</w:t>
      </w:r>
      <w:r w:rsidRPr="004C5C28">
        <w:t xml:space="preserve"> </w:t>
      </w:r>
      <w:r w:rsidR="00F626FC" w:rsidRPr="00F626FC">
        <w:t>GS-US-264-0110: Development of HIV-1 Genotypic Resistance at Wk 48 with Baseline HIV RNA and time of virologic failure</w:t>
      </w:r>
      <w:r>
        <w:t>.</w:t>
      </w:r>
    </w:p>
    <w:p w:rsidR="00580D10" w:rsidRDefault="000B6C20" w:rsidP="00FB6292">
      <w:r>
        <w:rPr>
          <w:noProof/>
          <w:lang w:eastAsia="en-AU"/>
        </w:rPr>
        <w:drawing>
          <wp:inline distT="0" distB="0" distL="0" distR="0" wp14:anchorId="6E59F683" wp14:editId="0C52F442">
            <wp:extent cx="5725160" cy="3637280"/>
            <wp:effectExtent l="0" t="0" r="8890" b="1270"/>
            <wp:docPr id="17" name="Picture 17" descr="Table 12: GS-US-264-0110: Development of HIV-1 Genotypic Resistance at Wk 48 with Baseline HIV RNA and time of virologic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12: GS-US-264-0110: Development of HIV-1 Genotypic Resistance at Wk 48 with Baseline HIV RNA and time of virologic fail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5160" cy="3637280"/>
                    </a:xfrm>
                    <a:prstGeom prst="rect">
                      <a:avLst/>
                    </a:prstGeom>
                    <a:noFill/>
                    <a:ln>
                      <a:noFill/>
                    </a:ln>
                  </pic:spPr>
                </pic:pic>
              </a:graphicData>
            </a:graphic>
          </wp:inline>
        </w:drawing>
      </w:r>
      <w:r w:rsidR="00A16194">
        <w:rPr>
          <w:noProof/>
          <w:lang w:eastAsia="en-AU"/>
        </w:rPr>
        <w:drawing>
          <wp:inline distT="0" distB="0" distL="0" distR="0" wp14:anchorId="65713468" wp14:editId="42F46EF8">
            <wp:extent cx="5725160" cy="3759200"/>
            <wp:effectExtent l="0" t="0" r="8890" b="0"/>
            <wp:docPr id="16" name="Picture 16" descr="Table 12: GS-US-264-0110: Development of HIV-1 Genotypic Resistance at Wk 48 with Baseline HIV RNA and time of virologic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12: GS-US-264-0110: Development of HIV-1 Genotypic Resistance at Wk 48 with Baseline HIV RNA and time of virologic fail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5160" cy="3759200"/>
                    </a:xfrm>
                    <a:prstGeom prst="rect">
                      <a:avLst/>
                    </a:prstGeom>
                    <a:noFill/>
                    <a:ln>
                      <a:noFill/>
                    </a:ln>
                  </pic:spPr>
                </pic:pic>
              </a:graphicData>
            </a:graphic>
          </wp:inline>
        </w:drawing>
      </w:r>
    </w:p>
    <w:p w:rsidR="00B3016C" w:rsidRPr="00B3016C" w:rsidRDefault="00B3016C" w:rsidP="000B6C20">
      <w:r w:rsidRPr="001B2F4B">
        <w:rPr>
          <w:b/>
        </w:rPr>
        <w:t>Analysis by Baseline Viral Load (see Tables</w:t>
      </w:r>
      <w:r w:rsidR="00765E02">
        <w:rPr>
          <w:b/>
        </w:rPr>
        <w:t xml:space="preserve"> 12 and 13</w:t>
      </w:r>
      <w:r w:rsidRPr="001B2F4B">
        <w:rPr>
          <w:b/>
        </w:rPr>
        <w:t>):</w:t>
      </w:r>
      <w:r w:rsidRPr="00B3016C">
        <w:t xml:space="preserve"> In subjects with baseline viral load ≤100,000 </w:t>
      </w:r>
      <w:r w:rsidR="00086D51">
        <w:t>copies</w:t>
      </w:r>
      <w:r w:rsidRPr="00B3016C">
        <w:t xml:space="preserve">/mL, emergent resistance was similar between groups i.e. 1.9% for Eviplera and 0.8% for Atripla. In those with baseline viral load </w:t>
      </w:r>
      <w:r w:rsidRPr="00331E1F">
        <w:rPr>
          <w:b/>
        </w:rPr>
        <w:t xml:space="preserve">&gt;100,000 to 500,000 </w:t>
      </w:r>
      <w:r w:rsidR="00086D51">
        <w:rPr>
          <w:b/>
        </w:rPr>
        <w:t>copies</w:t>
      </w:r>
      <w:r w:rsidRPr="00331E1F">
        <w:rPr>
          <w:b/>
        </w:rPr>
        <w:t>/mL</w:t>
      </w:r>
      <w:r w:rsidRPr="00B3016C">
        <w:t xml:space="preserve">, 5 of 98 subjects (5.1%) Eviplera </w:t>
      </w:r>
      <w:r w:rsidR="00F35F06">
        <w:t>group</w:t>
      </w:r>
      <w:r w:rsidRPr="00B3016C">
        <w:t xml:space="preserve"> and 0 of 117 subjects (0%) Atripla </w:t>
      </w:r>
      <w:r w:rsidR="00F35F06">
        <w:t>group</w:t>
      </w:r>
      <w:r w:rsidRPr="00B3016C">
        <w:t xml:space="preserve"> subjects developed emergent resistance. For subjects with baseline viral load &gt;500,000 </w:t>
      </w:r>
      <w:r w:rsidR="00086D51">
        <w:t>copies</w:t>
      </w:r>
      <w:r w:rsidRPr="00B3016C">
        <w:t xml:space="preserve">/mL, 7 of 36 (19%) </w:t>
      </w:r>
      <w:r w:rsidRPr="00B3016C">
        <w:lastRenderedPageBreak/>
        <w:t xml:space="preserve">Eviplera </w:t>
      </w:r>
      <w:r w:rsidR="00F35F06">
        <w:t>group</w:t>
      </w:r>
      <w:r w:rsidRPr="00B3016C">
        <w:t xml:space="preserve"> subjects and 1 of 25 (4%) Atripla </w:t>
      </w:r>
      <w:r w:rsidR="00F35F06">
        <w:t>group</w:t>
      </w:r>
      <w:r w:rsidRPr="00B3016C">
        <w:t xml:space="preserve"> subjects had genotypic and/or phenotypic resistance to at least one regimen component.</w:t>
      </w:r>
    </w:p>
    <w:p w:rsidR="009660E5" w:rsidRDefault="009660E5" w:rsidP="000B6C20">
      <w:pPr>
        <w:pStyle w:val="TableTitle"/>
      </w:pPr>
      <w:r>
        <w:t>Table 1</w:t>
      </w:r>
      <w:r w:rsidR="00E34BBB">
        <w:t>3</w:t>
      </w:r>
      <w:r>
        <w:t>:</w:t>
      </w:r>
      <w:r w:rsidRPr="004C5C28">
        <w:t xml:space="preserve"> </w:t>
      </w:r>
      <w:r w:rsidR="00814A9D" w:rsidRPr="00814A9D">
        <w:t>GS-US-264-0110: Virologic Success and Failure at Wk 48 by Baseline HIV-1 RNA Sub</w:t>
      </w:r>
      <w:r w:rsidR="00F35F06">
        <w:t>group</w:t>
      </w:r>
      <w:r w:rsidR="00814A9D" w:rsidRPr="00814A9D">
        <w:t>s of Interest (Snapshot Analysis), Full Analysis Set</w:t>
      </w:r>
      <w:r>
        <w:t>.</w:t>
      </w:r>
    </w:p>
    <w:p w:rsidR="00B3016C" w:rsidRPr="00B3016C" w:rsidRDefault="00A16194" w:rsidP="000B6C20">
      <w:r>
        <w:rPr>
          <w:noProof/>
          <w:lang w:eastAsia="en-AU"/>
        </w:rPr>
        <w:drawing>
          <wp:inline distT="0" distB="0" distL="0" distR="0" wp14:anchorId="3651FD3B" wp14:editId="026C91CF">
            <wp:extent cx="5024120" cy="1295400"/>
            <wp:effectExtent l="0" t="0" r="5080" b="0"/>
            <wp:docPr id="18" name="Picture 18" descr="Table 13: GS-US-264-0110: Virologic Success and Failure at Wk 48 by Baseline HIV-1 RNA Subgroups of Interest (Snapshot Analysi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 13: GS-US-264-0110: Virologic Success and Failure at Wk 48 by Baseline HIV-1 RNA Subgroups of Interest (Snapshot Analysis), Full Analysis S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4120" cy="1295400"/>
                    </a:xfrm>
                    <a:prstGeom prst="rect">
                      <a:avLst/>
                    </a:prstGeom>
                    <a:noFill/>
                    <a:ln>
                      <a:noFill/>
                    </a:ln>
                  </pic:spPr>
                </pic:pic>
              </a:graphicData>
            </a:graphic>
          </wp:inline>
        </w:drawing>
      </w:r>
    </w:p>
    <w:p w:rsidR="009660E5" w:rsidRPr="009660E5" w:rsidRDefault="009660E5" w:rsidP="000B6C20">
      <w:pPr>
        <w:pStyle w:val="Heading3"/>
      </w:pPr>
      <w:bookmarkStart w:id="111" w:name="_Toc241374312"/>
      <w:bookmarkStart w:id="112" w:name="_Toc272414656"/>
      <w:bookmarkStart w:id="113" w:name="_Toc290846281"/>
      <w:bookmarkStart w:id="114" w:name="_Toc364634628"/>
      <w:bookmarkStart w:id="115" w:name="_Toc396308669"/>
      <w:r w:rsidRPr="009660E5">
        <w:t xml:space="preserve">Analyses performed across trials (pooled </w:t>
      </w:r>
      <w:r w:rsidR="00570451">
        <w:t xml:space="preserve">&amp; </w:t>
      </w:r>
      <w:proofErr w:type="gramStart"/>
      <w:r w:rsidR="00570451">
        <w:t>meta</w:t>
      </w:r>
      <w:proofErr w:type="gramEnd"/>
      <w:r w:rsidR="00570451">
        <w:t xml:space="preserve"> </w:t>
      </w:r>
      <w:r w:rsidRPr="009660E5">
        <w:t>analyses)</w:t>
      </w:r>
      <w:bookmarkEnd w:id="111"/>
      <w:bookmarkEnd w:id="112"/>
      <w:bookmarkEnd w:id="113"/>
      <w:bookmarkEnd w:id="114"/>
      <w:bookmarkEnd w:id="115"/>
    </w:p>
    <w:p w:rsidR="009660E5" w:rsidRPr="00700ABA" w:rsidRDefault="009660E5" w:rsidP="000B6C20">
      <w:r w:rsidRPr="00700ABA">
        <w:t>Not applicable.</w:t>
      </w:r>
    </w:p>
    <w:p w:rsidR="00FC620C" w:rsidRDefault="00FC620C" w:rsidP="000B6C20">
      <w:pPr>
        <w:pStyle w:val="Heading3"/>
      </w:pPr>
      <w:bookmarkStart w:id="116" w:name="_Toc396308670"/>
      <w:r>
        <w:t>Evaluator’s conclusions on efficacy</w:t>
      </w:r>
      <w:bookmarkEnd w:id="116"/>
    </w:p>
    <w:p w:rsidR="00FC620C" w:rsidRPr="00E312D2" w:rsidRDefault="00FC620C" w:rsidP="000B6C20">
      <w:r w:rsidRPr="00E312D2">
        <w:t xml:space="preserve">The data from </w:t>
      </w:r>
      <w:r>
        <w:t xml:space="preserve">Study </w:t>
      </w:r>
      <w:r w:rsidRPr="00E312D2">
        <w:t xml:space="preserve">GS-US-264-0110 provides </w:t>
      </w:r>
      <w:r>
        <w:t>further data in support of Evipl</w:t>
      </w:r>
      <w:r w:rsidRPr="00E312D2">
        <w:t>era’s existing registere</w:t>
      </w:r>
      <w:r>
        <w:t>d use with the drug being safe and</w:t>
      </w:r>
      <w:r w:rsidRPr="00E312D2">
        <w:t xml:space="preserve"> well </w:t>
      </w:r>
      <w:r>
        <w:t xml:space="preserve">tolerated and virologically non </w:t>
      </w:r>
      <w:r w:rsidRPr="00E312D2">
        <w:t>inferior to Atripla over 48 weeks</w:t>
      </w:r>
      <w:r>
        <w:t>. While</w:t>
      </w:r>
      <w:r w:rsidRPr="00E312D2">
        <w:t xml:space="preserve"> overall, the emergence o</w:t>
      </w:r>
      <w:r>
        <w:t>f resistance was low in both groups</w:t>
      </w:r>
      <w:r w:rsidRPr="00E312D2">
        <w:t>, in those virologically failing Eviplera there was a greater emergence of multiple resistance mutations to both NNRTI and NRTI especially in those with baseline plasma HIV RNA &gt;100,000 copies/mL and even more so in those with &gt;500,000 copies/mL. The emergence of multiple NNRTI mutations impacts on the ability to use anoth</w:t>
      </w:r>
      <w:r>
        <w:t xml:space="preserve">er second generation NNRTI, for example, </w:t>
      </w:r>
      <w:r w:rsidRPr="00E312D2">
        <w:t xml:space="preserve">etravirine. While the </w:t>
      </w:r>
      <w:r>
        <w:t>s</w:t>
      </w:r>
      <w:r w:rsidRPr="00E312D2">
        <w:t>ponsor sho</w:t>
      </w:r>
      <w:r>
        <w:t>wed no statistical difference versus</w:t>
      </w:r>
      <w:r w:rsidRPr="00E312D2">
        <w:t xml:space="preserve"> Atripla in regards to virological failure with baseline vi</w:t>
      </w:r>
      <w:r>
        <w:t>ral load &gt;100,000 to &lt;500,000 copies/mL, the clinical evaluator does not</w:t>
      </w:r>
      <w:r w:rsidRPr="00E312D2">
        <w:t xml:space="preserve"> think other important factors need to be considered. First high viral load above 100,000 is associated with an increased risk of virological failure </w:t>
      </w:r>
      <w:r>
        <w:t>with Eviplera (and this finding</w:t>
      </w:r>
      <w:r w:rsidRPr="00E312D2">
        <w:t xml:space="preserve"> is consistent with th</w:t>
      </w:r>
      <w:r>
        <w:t xml:space="preserve">e earlier registration studies). </w:t>
      </w:r>
      <w:r w:rsidRPr="00E312D2">
        <w:t xml:space="preserve">Importantly, as the failure is associated with multiple mutations, this would impact not only on future use of NNRTI but also the potential activity of future NRTI backbones. Moreover, another strategy for the use of the drug rather than using it first up in patients with high baseline viral load is provided by the switch studies, GS-US-264-0111 </w:t>
      </w:r>
      <w:r>
        <w:t>and</w:t>
      </w:r>
      <w:r w:rsidRPr="00E312D2">
        <w:t xml:space="preserve"> GS-US-264-0106. These studies provide data for the use of Eviplera as </w:t>
      </w:r>
      <w:r>
        <w:t>a switch drug for the NNRTI</w:t>
      </w:r>
      <w:r w:rsidRPr="00E312D2">
        <w:t xml:space="preserve"> efavirenz</w:t>
      </w:r>
      <w:r>
        <w:t>, and in Study GS-US-264-0106</w:t>
      </w:r>
      <w:r w:rsidRPr="00E312D2">
        <w:t xml:space="preserve"> as a switch from PI/r in virologically suppressed patients. It is important to note that a history of virological failure to the prior ARV regimen excluded participation. That being said</w:t>
      </w:r>
      <w:r>
        <w:t>,</w:t>
      </w:r>
      <w:r w:rsidRPr="00E312D2">
        <w:t xml:space="preserve"> a small percentage of patients in both studies did have some NNRTI and/or NRTI resistance mutations on historical genotypes; these did not appear to impact Eviplera response to any great extent. The data from these switch studies supports the use of Eviplera in virologically suppressed treatment</w:t>
      </w:r>
      <w:r>
        <w:t xml:space="preserve"> </w:t>
      </w:r>
      <w:r w:rsidRPr="00E312D2">
        <w:t>experienced patients without any history of virological failure associated with genotypi</w:t>
      </w:r>
      <w:r w:rsidR="000B6C20">
        <w:t>c resistance to NNRTI and NRTI.</w:t>
      </w:r>
    </w:p>
    <w:p w:rsidR="00C22678" w:rsidRDefault="00C22678" w:rsidP="000B6C20">
      <w:pPr>
        <w:pStyle w:val="Heading2"/>
      </w:pPr>
      <w:bookmarkStart w:id="117" w:name="_Toc396308671"/>
      <w:r>
        <w:t>Clinical safety</w:t>
      </w:r>
      <w:bookmarkEnd w:id="117"/>
    </w:p>
    <w:p w:rsidR="00FA4091" w:rsidRDefault="00FA4091" w:rsidP="000B6C20">
      <w:pPr>
        <w:pStyle w:val="Heading3"/>
      </w:pPr>
      <w:bookmarkStart w:id="118" w:name="_Toc396308672"/>
      <w:bookmarkStart w:id="119" w:name="_Toc241374319"/>
      <w:bookmarkStart w:id="120" w:name="_Ref271044764"/>
      <w:bookmarkStart w:id="121" w:name="_Toc272414663"/>
      <w:bookmarkStart w:id="122" w:name="_Toc290846301"/>
      <w:bookmarkStart w:id="123" w:name="_Toc364634634"/>
      <w:r w:rsidRPr="00605AD4">
        <w:t>Studies providing safety data</w:t>
      </w:r>
      <w:bookmarkEnd w:id="118"/>
    </w:p>
    <w:p w:rsidR="00FA4091" w:rsidRPr="00C66308" w:rsidRDefault="00FA4091" w:rsidP="000B6C20">
      <w:bookmarkStart w:id="124" w:name="_Ref268776745"/>
      <w:r w:rsidRPr="00C66308">
        <w:t>GS-US-264-0111 (single arm pilot switch) and GS-US-264-0106 (imm</w:t>
      </w:r>
      <w:r>
        <w:t>ediate and</w:t>
      </w:r>
      <w:r w:rsidRPr="00C66308">
        <w:t xml:space="preserve"> delayed switch) and GS-US-264-0110 (randomised </w:t>
      </w:r>
      <w:r>
        <w:t>n</w:t>
      </w:r>
      <w:r w:rsidRPr="00C66308">
        <w:t xml:space="preserve">aïve study) provided evaluable </w:t>
      </w:r>
      <w:r>
        <w:t>safety data.</w:t>
      </w:r>
    </w:p>
    <w:p w:rsidR="00FA4091" w:rsidRPr="00226C60" w:rsidRDefault="00FA4091" w:rsidP="000B6C20">
      <w:pPr>
        <w:pStyle w:val="Heading3"/>
      </w:pPr>
      <w:bookmarkStart w:id="125" w:name="_Toc396308673"/>
      <w:r w:rsidRPr="00226C60">
        <w:lastRenderedPageBreak/>
        <w:t>Pivotal efficacy studies</w:t>
      </w:r>
      <w:bookmarkEnd w:id="124"/>
      <w:bookmarkEnd w:id="125"/>
    </w:p>
    <w:p w:rsidR="00FA4091" w:rsidRDefault="00FA4091" w:rsidP="000B6C20">
      <w:r w:rsidRPr="00C66308">
        <w:t>In the pivotal efficacy studies, the follow</w:t>
      </w:r>
      <w:r>
        <w:t>ing safety data were collected.</w:t>
      </w:r>
    </w:p>
    <w:p w:rsidR="00FA4091" w:rsidRPr="00C66308" w:rsidRDefault="00FA4091" w:rsidP="000B6C20">
      <w:r>
        <w:t>General adverse events (AEs)</w:t>
      </w:r>
      <w:r w:rsidRPr="00C66308">
        <w:t xml:space="preserve"> were assessed by investigators through direct questioning</w:t>
      </w:r>
      <w:r>
        <w:t xml:space="preserve"> &amp; patient report, complete (Weeks 24 and</w:t>
      </w:r>
      <w:r w:rsidRPr="00C66308">
        <w:t xml:space="preserve"> 48 at investigator discretion) or symptom directed physical exam including vital signs at screening, baseline, </w:t>
      </w:r>
      <w:r>
        <w:t>Weeks</w:t>
      </w:r>
      <w:r w:rsidRPr="00C66308">
        <w:t xml:space="preserve"> 4, 8, 12, 24, 36 and 48 in both GS-US-264-0111 and GS-US-264-0106. The evaluations were completed at </w:t>
      </w:r>
      <w:r>
        <w:t>Weeks</w:t>
      </w:r>
      <w:r w:rsidRPr="00C66308">
        <w:t xml:space="preserve"> 4, 8, 12, 16, and then every 8 </w:t>
      </w:r>
      <w:r>
        <w:t>weeks</w:t>
      </w:r>
      <w:r w:rsidRPr="00C66308">
        <w:t xml:space="preserve"> through 48 </w:t>
      </w:r>
      <w:r>
        <w:t>Weeks</w:t>
      </w:r>
      <w:r w:rsidRPr="00C66308">
        <w:t xml:space="preserve">, then every 12 </w:t>
      </w:r>
      <w:r>
        <w:t>weeks</w:t>
      </w:r>
      <w:r w:rsidRPr="00C66308">
        <w:t xml:space="preserve"> until </w:t>
      </w:r>
      <w:r>
        <w:t>Week</w:t>
      </w:r>
      <w:r w:rsidRPr="00C66308">
        <w:t xml:space="preserve"> 96 in GS-US-264-01</w:t>
      </w:r>
      <w:r>
        <w:t xml:space="preserve">10. AEs of particular interest </w:t>
      </w:r>
      <w:r w:rsidRPr="00C66308">
        <w:t xml:space="preserve">were assessed by laboratory </w:t>
      </w:r>
      <w:r>
        <w:t>assessments (including</w:t>
      </w:r>
      <w:r w:rsidRPr="00C66308">
        <w:t xml:space="preserve"> renal func</w:t>
      </w:r>
      <w:r>
        <w:t xml:space="preserve">tion, liver function, </w:t>
      </w:r>
      <w:r w:rsidRPr="00335348">
        <w:t xml:space="preserve">alanine aminotransferase </w:t>
      </w:r>
      <w:r>
        <w:t xml:space="preserve">[ALT] flare, </w:t>
      </w:r>
      <w:r w:rsidRPr="00C66308">
        <w:t>and pregnancy test at all study visits in GS-US-264-011</w:t>
      </w:r>
      <w:r>
        <w:t>1 and GS-US-264-0106) and electrocardiogram (ECG) measure</w:t>
      </w:r>
      <w:r w:rsidRPr="00C66308">
        <w:t xml:space="preserve">ments in GS-US-264-0111 </w:t>
      </w:r>
      <w:r>
        <w:t>(</w:t>
      </w:r>
      <w:r w:rsidRPr="00C66308">
        <w:t xml:space="preserve">at screening, baseline, </w:t>
      </w:r>
      <w:r>
        <w:t>Weeks</w:t>
      </w:r>
      <w:r w:rsidRPr="00C66308">
        <w:t xml:space="preserve"> 4, 1</w:t>
      </w:r>
      <w:r>
        <w:t>2 and 48). I</w:t>
      </w:r>
      <w:r w:rsidRPr="00C66308">
        <w:t xml:space="preserve">n </w:t>
      </w:r>
      <w:r>
        <w:t xml:space="preserve">Study </w:t>
      </w:r>
      <w:r w:rsidRPr="00C66308">
        <w:t>GS-US-264-0110</w:t>
      </w:r>
      <w:r>
        <w:t>,</w:t>
      </w:r>
      <w:r w:rsidRPr="00C66308">
        <w:t xml:space="preserve"> ECG</w:t>
      </w:r>
      <w:r>
        <w:t>s</w:t>
      </w:r>
      <w:r w:rsidRPr="00C66308">
        <w:t xml:space="preserve"> were performed at </w:t>
      </w:r>
      <w:r>
        <w:t>Weeks 48 and 96. In GS-US-264-0106, s</w:t>
      </w:r>
      <w:r w:rsidRPr="00C66308">
        <w:t>ubjects randomi</w:t>
      </w:r>
      <w:r>
        <w:t xml:space="preserve">sed to the </w:t>
      </w:r>
      <w:r w:rsidRPr="00D51D56">
        <w:t xml:space="preserve">stay on baseline regimen </w:t>
      </w:r>
      <w:r>
        <w:t>(SBR) group</w:t>
      </w:r>
      <w:r w:rsidRPr="00C66308">
        <w:t xml:space="preserve"> (Eviplera switch at </w:t>
      </w:r>
      <w:r>
        <w:t>Week</w:t>
      </w:r>
      <w:r w:rsidRPr="00C66308">
        <w:t xml:space="preserve"> 24) also returned for a visit at </w:t>
      </w:r>
      <w:r>
        <w:t>Weeks 28 and</w:t>
      </w:r>
      <w:r w:rsidRPr="00C66308">
        <w:t xml:space="preserve"> 32. Subjects in </w:t>
      </w:r>
      <w:r>
        <w:t xml:space="preserve">Study </w:t>
      </w:r>
      <w:r w:rsidRPr="00C66308">
        <w:t xml:space="preserve">GS-US-264-0106 extension (after </w:t>
      </w:r>
      <w:r>
        <w:t>Week</w:t>
      </w:r>
      <w:r w:rsidRPr="00C66308">
        <w:t xml:space="preserve"> 48) returned for study visits every 12 </w:t>
      </w:r>
      <w:r>
        <w:t>Weeks</w:t>
      </w:r>
      <w:r w:rsidRPr="00C66308">
        <w:t xml:space="preserve"> (</w:t>
      </w:r>
      <w:r>
        <w:t>Week</w:t>
      </w:r>
      <w:r w:rsidRPr="00C66308">
        <w:t xml:space="preserve"> 60+), during which laboratory analyses (haematology, chemistry, urinalysis, </w:t>
      </w:r>
      <w:proofErr w:type="gramStart"/>
      <w:r w:rsidRPr="00C66308">
        <w:t>pregnancy</w:t>
      </w:r>
      <w:proofErr w:type="gramEnd"/>
      <w:r w:rsidRPr="00C66308">
        <w:t xml:space="preserve"> test), ECG</w:t>
      </w:r>
      <w:r>
        <w:t>s</w:t>
      </w:r>
      <w:r w:rsidRPr="00C66308">
        <w:t xml:space="preserve"> (annual), </w:t>
      </w:r>
      <w:r>
        <w:t xml:space="preserve">and </w:t>
      </w:r>
      <w:r w:rsidRPr="00C66308">
        <w:t>complete/symptom</w:t>
      </w:r>
      <w:r>
        <w:t xml:space="preserve"> </w:t>
      </w:r>
      <w:r w:rsidRPr="00C66308">
        <w:t>directed physical exam</w:t>
      </w:r>
      <w:r>
        <w:t>s</w:t>
      </w:r>
      <w:r w:rsidR="000B6C20">
        <w:t xml:space="preserve"> were performed.</w:t>
      </w:r>
    </w:p>
    <w:p w:rsidR="00FA4091" w:rsidRDefault="00FA4091" w:rsidP="000B6C20">
      <w:r>
        <w:t>Numerous AEs were of particular interest:</w:t>
      </w:r>
    </w:p>
    <w:p w:rsidR="00FA4091" w:rsidRPr="000B6C20" w:rsidRDefault="000B6C20" w:rsidP="000B6C20">
      <w:pPr>
        <w:pStyle w:val="ListBullet"/>
      </w:pPr>
      <w:r>
        <w:t>Drug resistance</w:t>
      </w:r>
    </w:p>
    <w:p w:rsidR="00FA4091" w:rsidRPr="000B6C20" w:rsidRDefault="00FA4091" w:rsidP="000B6C20">
      <w:pPr>
        <w:pStyle w:val="ListBullet"/>
      </w:pPr>
      <w:r w:rsidRPr="000B6C20">
        <w:t>Hepatic AEs, because hepatotoxicity is considered an important potential risk for RPV, and post treatment hepatic flares in HIV-1/hepatitis B virus (HBV) co-infected subjects considered important ident</w:t>
      </w:r>
      <w:r w:rsidR="000B6C20">
        <w:t>ified risks for FTC and TDF</w:t>
      </w:r>
    </w:p>
    <w:p w:rsidR="00FA4091" w:rsidRPr="000B6C20" w:rsidRDefault="00FA4091" w:rsidP="000B6C20">
      <w:pPr>
        <w:pStyle w:val="ListBullet"/>
      </w:pPr>
      <w:r w:rsidRPr="000B6C20">
        <w:t>Skin AEs, as severe skin reactions are considered important potential risks for RPV, and rash was a common AE i</w:t>
      </w:r>
      <w:r w:rsidR="000B6C20">
        <w:t>dentified in prior RPV studies</w:t>
      </w:r>
    </w:p>
    <w:p w:rsidR="00FA4091" w:rsidRPr="000B6C20" w:rsidRDefault="00FA4091" w:rsidP="000B6C20">
      <w:pPr>
        <w:pStyle w:val="ListBullet"/>
      </w:pPr>
      <w:r w:rsidRPr="000B6C20">
        <w:t>Psychiatric AEs, as major depressive disorder is considered an important potential r</w:t>
      </w:r>
      <w:r w:rsidR="000B6C20">
        <w:t>isk for RPV</w:t>
      </w:r>
    </w:p>
    <w:p w:rsidR="00FA4091" w:rsidRPr="000B6C20" w:rsidRDefault="00FA4091" w:rsidP="000B6C20">
      <w:pPr>
        <w:pStyle w:val="ListBullet"/>
      </w:pPr>
      <w:r w:rsidRPr="000B6C20">
        <w:t>Renal AEs, as renal toxicity is considered an imp</w:t>
      </w:r>
      <w:r w:rsidR="000B6C20">
        <w:t>ortant identified risk for TDF</w:t>
      </w:r>
    </w:p>
    <w:p w:rsidR="00FA4091" w:rsidRPr="000B6C20" w:rsidRDefault="00FA4091" w:rsidP="000B6C20">
      <w:pPr>
        <w:pStyle w:val="ListBullet"/>
      </w:pPr>
      <w:r w:rsidRPr="000B6C20">
        <w:t>Bone AEs, as bone events due to proximal renal tubulopathy/loss of bone mineral density are considered important identified risks for TDF. Bone events (osteomalacia and infrequently contributing to fractures) may occur as a consequence of TDF associ</w:t>
      </w:r>
      <w:r w:rsidR="00294960">
        <w:t>ated renal toxicity</w:t>
      </w:r>
    </w:p>
    <w:p w:rsidR="00FA4091" w:rsidRPr="000B6C20" w:rsidRDefault="00FA4091" w:rsidP="000B6C20">
      <w:pPr>
        <w:pStyle w:val="ListBullet"/>
      </w:pPr>
      <w:r w:rsidRPr="000B6C20">
        <w:t>Muscle AEs, as these may occur as a consequence of TDF associated renal and</w:t>
      </w:r>
      <w:r w:rsidR="000B6C20">
        <w:t xml:space="preserve"> muscle toxicity</w:t>
      </w:r>
    </w:p>
    <w:p w:rsidR="00FA4091" w:rsidRPr="000B6C20" w:rsidRDefault="00FA4091" w:rsidP="000B6C20">
      <w:pPr>
        <w:pStyle w:val="ListBullet"/>
      </w:pPr>
      <w:r w:rsidRPr="000B6C20">
        <w:t>Cardiac AEs, because QT interval prolongation is considered an im</w:t>
      </w:r>
      <w:r w:rsidR="000B6C20">
        <w:t>portant potential risk for RPV</w:t>
      </w:r>
    </w:p>
    <w:p w:rsidR="00FA4091" w:rsidRPr="000B6C20" w:rsidRDefault="00FA4091" w:rsidP="000B6C20">
      <w:pPr>
        <w:pStyle w:val="ListBullet"/>
      </w:pPr>
      <w:r w:rsidRPr="000B6C20">
        <w:t>Lipodystrophy, because this is considered an important identified risk for FTC and TDF and an im</w:t>
      </w:r>
      <w:r w:rsidR="000B6C20">
        <w:t>portant potential risk for RPV</w:t>
      </w:r>
    </w:p>
    <w:p w:rsidR="00FA4091" w:rsidRPr="000B6C20" w:rsidRDefault="00FA4091" w:rsidP="000B6C20">
      <w:pPr>
        <w:pStyle w:val="ListBullet"/>
      </w:pPr>
      <w:r w:rsidRPr="000B6C20">
        <w:t>Pancreatitis, because this is considered an imp</w:t>
      </w:r>
      <w:r w:rsidR="000B6C20">
        <w:t>ortant identified risk for TDF</w:t>
      </w:r>
    </w:p>
    <w:p w:rsidR="00FA4091" w:rsidRPr="000B6C20" w:rsidRDefault="00FA4091" w:rsidP="000B6C20">
      <w:pPr>
        <w:pStyle w:val="ListBullet"/>
      </w:pPr>
      <w:r w:rsidRPr="000B6C20">
        <w:t>Lactic acidosis and severe hepatomegaly with steatosis, because these are important id</w:t>
      </w:r>
      <w:r w:rsidR="000B6C20">
        <w:t>entified risks for FTC and TDF</w:t>
      </w:r>
    </w:p>
    <w:p w:rsidR="00FA4091" w:rsidRPr="000B6C20" w:rsidRDefault="00FA4091" w:rsidP="000B6C20">
      <w:pPr>
        <w:pStyle w:val="ListBullet"/>
      </w:pPr>
      <w:r w:rsidRPr="000B6C20">
        <w:t>Interaction with didanosine, because thi</w:t>
      </w:r>
      <w:r w:rsidR="000B6C20">
        <w:t>s is an identified risk for TDF</w:t>
      </w:r>
    </w:p>
    <w:p w:rsidR="00FA4091" w:rsidRPr="000B6C20" w:rsidRDefault="00FA4091" w:rsidP="000B6C20">
      <w:pPr>
        <w:pStyle w:val="ListBullet"/>
      </w:pPr>
      <w:r w:rsidRPr="000B6C20">
        <w:t>Bleeding disorders, because t</w:t>
      </w:r>
      <w:r w:rsidR="000B6C20">
        <w:t>his is a potential risk for RPV</w:t>
      </w:r>
    </w:p>
    <w:p w:rsidR="00FA4091" w:rsidRPr="000B6C20" w:rsidRDefault="00FA4091" w:rsidP="000B6C20">
      <w:pPr>
        <w:pStyle w:val="ListBullet"/>
      </w:pPr>
      <w:r w:rsidRPr="000B6C20">
        <w:t xml:space="preserve">Overdose, because overdose </w:t>
      </w:r>
      <w:r w:rsidR="000B6C20">
        <w:t>is considered an potential risk</w:t>
      </w:r>
    </w:p>
    <w:p w:rsidR="00FA4091" w:rsidRPr="000B6C20" w:rsidRDefault="00FA4091" w:rsidP="000B6C20">
      <w:pPr>
        <w:pStyle w:val="ListBullet"/>
      </w:pPr>
      <w:r w:rsidRPr="000B6C20">
        <w:t>Pregnancy/lactation, because of a paucity of information for Eviplera.</w:t>
      </w:r>
    </w:p>
    <w:p w:rsidR="00FA4091" w:rsidRDefault="00FA4091" w:rsidP="000B6C20">
      <w:r>
        <w:lastRenderedPageBreak/>
        <w:t xml:space="preserve">Laboratory tests </w:t>
      </w:r>
      <w:r w:rsidRPr="00C66308">
        <w:t>were performe</w:t>
      </w:r>
      <w:r>
        <w:t>d at all study visits (except Week</w:t>
      </w:r>
      <w:r w:rsidRPr="00C66308">
        <w:t xml:space="preserve">s 2 and 6 in </w:t>
      </w:r>
      <w:r>
        <w:t>Study GS-US-264-0111 as these were pharmacokinetic visits) in each study:</w:t>
      </w:r>
    </w:p>
    <w:p w:rsidR="00FA4091" w:rsidRPr="000B6C20" w:rsidRDefault="00FA4091" w:rsidP="000B6C20">
      <w:pPr>
        <w:pStyle w:val="ListBullet"/>
      </w:pPr>
      <w:r w:rsidRPr="000B6C20">
        <w:t>full blood chemistry</w:t>
      </w:r>
    </w:p>
    <w:p w:rsidR="00FA4091" w:rsidRPr="000B6C20" w:rsidRDefault="00FA4091" w:rsidP="000B6C20">
      <w:pPr>
        <w:pStyle w:val="ListBullet"/>
      </w:pPr>
      <w:r w:rsidRPr="000B6C20">
        <w:t>estimated glomerular filtration rate (eGFR) calculated from chemistry panel</w:t>
      </w:r>
      <w:r w:rsidR="000B6C20">
        <w:t xml:space="preserve"> using Cockcroft-Gault formula</w:t>
      </w:r>
    </w:p>
    <w:p w:rsidR="00FA4091" w:rsidRPr="000B6C20" w:rsidRDefault="00FA4091" w:rsidP="000B6C20">
      <w:pPr>
        <w:pStyle w:val="ListBullet"/>
      </w:pPr>
      <w:r w:rsidRPr="000B6C20">
        <w:t>fasting Metab</w:t>
      </w:r>
      <w:r w:rsidR="000B6C20">
        <w:t>olic panel (lipids and glucose)</w:t>
      </w:r>
    </w:p>
    <w:p w:rsidR="00FA4091" w:rsidRPr="000B6C20" w:rsidRDefault="000B6C20" w:rsidP="000B6C20">
      <w:pPr>
        <w:pStyle w:val="ListBullet"/>
      </w:pPr>
      <w:r>
        <w:t>urinalysis</w:t>
      </w:r>
    </w:p>
    <w:p w:rsidR="00FA4091" w:rsidRPr="000B6C20" w:rsidRDefault="000B6C20" w:rsidP="000B6C20">
      <w:pPr>
        <w:pStyle w:val="ListBullet"/>
      </w:pPr>
      <w:r>
        <w:t>pregnancy test</w:t>
      </w:r>
    </w:p>
    <w:p w:rsidR="00FA4091" w:rsidRPr="000B6C20" w:rsidRDefault="00FA4091" w:rsidP="000B6C20">
      <w:pPr>
        <w:pStyle w:val="ListBullet"/>
      </w:pPr>
      <w:r w:rsidRPr="000B6C20">
        <w:t xml:space="preserve">T </w:t>
      </w:r>
      <w:r w:rsidR="000B6C20">
        <w:t>cells</w:t>
      </w:r>
    </w:p>
    <w:p w:rsidR="00FA4091" w:rsidRPr="000B6C20" w:rsidRDefault="000B6C20" w:rsidP="000B6C20">
      <w:pPr>
        <w:pStyle w:val="ListBullet"/>
      </w:pPr>
      <w:r>
        <w:t>plasma HIV RNA</w:t>
      </w:r>
    </w:p>
    <w:p w:rsidR="00FA4091" w:rsidRPr="000B6C20" w:rsidRDefault="00FA4091" w:rsidP="000B6C20">
      <w:pPr>
        <w:pStyle w:val="ListBullet"/>
      </w:pPr>
      <w:r w:rsidRPr="000B6C20">
        <w:t xml:space="preserve">HIV resistance testing when protocol specified algorithms for virological failure met. </w:t>
      </w:r>
    </w:p>
    <w:p w:rsidR="00FA4091" w:rsidRPr="00857F03" w:rsidRDefault="00FA4091" w:rsidP="000B6C20">
      <w:pPr>
        <w:pStyle w:val="Heading4"/>
      </w:pPr>
      <w:r w:rsidRPr="00857F03">
        <w:t>Pivotal studies that assessed safety as a primary outcome</w:t>
      </w:r>
    </w:p>
    <w:p w:rsidR="00FA4091" w:rsidRPr="00C66308" w:rsidRDefault="00FA4091" w:rsidP="000B6C20">
      <w:r w:rsidRPr="00C66308">
        <w:t>There were no pivotal studies that assessed safety as a primary outcome.</w:t>
      </w:r>
    </w:p>
    <w:p w:rsidR="00FA4091" w:rsidRPr="00857F03" w:rsidRDefault="00FA4091" w:rsidP="000B6C20">
      <w:pPr>
        <w:pStyle w:val="Heading4"/>
      </w:pPr>
      <w:r w:rsidRPr="00857F03">
        <w:t>Dose-response and non-pivotal efficacy studies</w:t>
      </w:r>
    </w:p>
    <w:p w:rsidR="00FA4091" w:rsidRPr="00C66308" w:rsidRDefault="00FA4091" w:rsidP="000B6C20">
      <w:r w:rsidRPr="00C66308">
        <w:t>Not applicable.</w:t>
      </w:r>
    </w:p>
    <w:p w:rsidR="00FA4091" w:rsidRPr="00857F03" w:rsidRDefault="00FA4091" w:rsidP="000B6C20">
      <w:pPr>
        <w:pStyle w:val="Heading4"/>
      </w:pPr>
      <w:r w:rsidRPr="00857F03">
        <w:t>Other studies evaluable for safety only</w:t>
      </w:r>
    </w:p>
    <w:p w:rsidR="00FA4091" w:rsidRPr="00C66308" w:rsidRDefault="00FA4091" w:rsidP="000B6C20">
      <w:r w:rsidRPr="00C66308">
        <w:t>Not applicable.</w:t>
      </w:r>
    </w:p>
    <w:p w:rsidR="00FA4091" w:rsidRDefault="00FA4091" w:rsidP="000B6C20">
      <w:pPr>
        <w:pStyle w:val="Heading3"/>
      </w:pPr>
      <w:bookmarkStart w:id="126" w:name="_Toc396308674"/>
      <w:r w:rsidRPr="00605AD4">
        <w:t>Patient exposure</w:t>
      </w:r>
      <w:bookmarkEnd w:id="126"/>
    </w:p>
    <w:p w:rsidR="00FA4091" w:rsidRPr="00A00C7B" w:rsidRDefault="00FA4091" w:rsidP="000B6C20">
      <w:r w:rsidRPr="00A00C7B">
        <w:t xml:space="preserve">Of 50 </w:t>
      </w:r>
      <w:r>
        <w:t xml:space="preserve">patients </w:t>
      </w:r>
      <w:r w:rsidRPr="00A00C7B">
        <w:t>enrolled</w:t>
      </w:r>
      <w:r w:rsidRPr="00444DFA">
        <w:t xml:space="preserve"> </w:t>
      </w:r>
      <w:r>
        <w:t xml:space="preserve">in Study </w:t>
      </w:r>
      <w:r w:rsidRPr="00A00C7B">
        <w:t>GS-US-264-0111, 49 received ≥1 dose of study drug. One subject stopped study drug after W</w:t>
      </w:r>
      <w:r>
        <w:t>ee</w:t>
      </w:r>
      <w:r w:rsidRPr="00A00C7B">
        <w:t xml:space="preserve">k 36 because of incarceration. All 49 subjects received study drug for ≥44 </w:t>
      </w:r>
      <w:r>
        <w:t xml:space="preserve">Weeks; median exposure was </w:t>
      </w:r>
      <w:r w:rsidRPr="00A00C7B">
        <w:t xml:space="preserve">48 wks. </w:t>
      </w:r>
      <w:r>
        <w:t>In Study GS-US-264-0106,</w:t>
      </w:r>
      <w:r w:rsidRPr="00A00C7B">
        <w:t xml:space="preserve"> 469 subjects received at least 1 dose of Eviplera, including </w:t>
      </w:r>
      <w:r>
        <w:t>317 in the Eviplera group</w:t>
      </w:r>
      <w:r w:rsidRPr="00A00C7B">
        <w:t xml:space="preserve"> </w:t>
      </w:r>
      <w:r>
        <w:t>and 152 in the Delayed Switch group</w:t>
      </w:r>
      <w:r w:rsidRPr="00A00C7B">
        <w:t>. Mean (SD)</w:t>
      </w:r>
      <w:r>
        <w:t xml:space="preserve"> duration of Eviplera exposure was 45.6 (9.21) weeks in the Eviplera group</w:t>
      </w:r>
      <w:r w:rsidRPr="00A00C7B">
        <w:t xml:space="preserve"> and 23.2 (3.93) w</w:t>
      </w:r>
      <w:r>
        <w:t>ee</w:t>
      </w:r>
      <w:r w:rsidRPr="00A00C7B">
        <w:t>ks in the Delayed Switch g</w:t>
      </w:r>
      <w:r>
        <w:t>rou</w:t>
      </w:r>
      <w:r w:rsidRPr="00A00C7B">
        <w:t xml:space="preserve">p. </w:t>
      </w:r>
      <w:r>
        <w:t xml:space="preserve">In Study GS-US-264-0110, </w:t>
      </w:r>
      <w:r w:rsidRPr="00A00C7B">
        <w:t>394 subj</w:t>
      </w:r>
      <w:r>
        <w:t xml:space="preserve">ects received ≥1 dose Eviplera, and </w:t>
      </w:r>
      <w:r w:rsidRPr="00A00C7B">
        <w:t>392 subjects received ≥1 dose Atripla. The mean (SD) duration of exposure to randomised</w:t>
      </w:r>
      <w:r>
        <w:t xml:space="preserve"> study drug was 53.2 (13.47) weeks (Eviplera group</w:t>
      </w:r>
      <w:r w:rsidRPr="00A00C7B">
        <w:t xml:space="preserve">) and 50.3 (17.67) </w:t>
      </w:r>
      <w:r>
        <w:t>weeks</w:t>
      </w:r>
      <w:r w:rsidRPr="00A00C7B">
        <w:t xml:space="preserve"> in the Atripla </w:t>
      </w:r>
      <w:r>
        <w:t>group</w:t>
      </w:r>
      <w:r w:rsidRPr="00A00C7B">
        <w:t>.</w:t>
      </w:r>
    </w:p>
    <w:p w:rsidR="00FA4091" w:rsidRPr="00857F03" w:rsidRDefault="00FA4091" w:rsidP="000B6C20">
      <w:pPr>
        <w:pStyle w:val="Heading3"/>
      </w:pPr>
      <w:bookmarkStart w:id="127" w:name="_Toc396308675"/>
      <w:r w:rsidRPr="00857F03">
        <w:t>Adverse events</w:t>
      </w:r>
      <w:bookmarkEnd w:id="119"/>
      <w:bookmarkEnd w:id="120"/>
      <w:bookmarkEnd w:id="121"/>
      <w:bookmarkEnd w:id="122"/>
      <w:bookmarkEnd w:id="123"/>
      <w:bookmarkEnd w:id="127"/>
    </w:p>
    <w:p w:rsidR="00FA4091" w:rsidRPr="00857F03" w:rsidRDefault="00FA4091" w:rsidP="000B6C20">
      <w:pPr>
        <w:pStyle w:val="Heading4"/>
      </w:pPr>
      <w:bookmarkStart w:id="128" w:name="_Ref272317284"/>
      <w:bookmarkStart w:id="129" w:name="_Ref272333565"/>
      <w:bookmarkStart w:id="130" w:name="_Toc272414664"/>
      <w:bookmarkStart w:id="131" w:name="_Toc290846302"/>
      <w:bookmarkStart w:id="132" w:name="_Toc364634635"/>
      <w:r w:rsidRPr="00857F03">
        <w:t>All adverse events (irrespective of relationship to study treatment)</w:t>
      </w:r>
      <w:bookmarkEnd w:id="128"/>
      <w:bookmarkEnd w:id="129"/>
      <w:bookmarkEnd w:id="130"/>
      <w:bookmarkEnd w:id="131"/>
      <w:bookmarkEnd w:id="132"/>
    </w:p>
    <w:p w:rsidR="00FA4091" w:rsidRPr="00FA4091" w:rsidRDefault="00FA4091" w:rsidP="000B6C20">
      <w:pPr>
        <w:pStyle w:val="Heading5"/>
      </w:pPr>
      <w:r w:rsidRPr="00FA4091">
        <w:t>Pivotal studies</w:t>
      </w:r>
    </w:p>
    <w:p w:rsidR="00FA4091" w:rsidRPr="00FA4091" w:rsidRDefault="00FA4091" w:rsidP="000B6C20">
      <w:r w:rsidRPr="00FA4091">
        <w:t>GS-US-264-0111</w:t>
      </w:r>
      <w:r>
        <w:t xml:space="preserve">: </w:t>
      </w:r>
      <w:r w:rsidRPr="00FA4091">
        <w:t xml:space="preserve">Of 49 subjects in the safety analysis set, 43 (87.8%) experienced AEs (Table </w:t>
      </w:r>
      <w:r w:rsidR="006E2DCF">
        <w:t>14</w:t>
      </w:r>
      <w:r w:rsidR="000B6C20">
        <w:t>).</w:t>
      </w:r>
    </w:p>
    <w:p w:rsidR="00FA4091" w:rsidRDefault="00FA4091" w:rsidP="000B6C20">
      <w:pPr>
        <w:pStyle w:val="TableTitle"/>
      </w:pPr>
      <w:r>
        <w:lastRenderedPageBreak/>
        <w:t>Table 1</w:t>
      </w:r>
      <w:r w:rsidR="006E2DCF">
        <w:t>4</w:t>
      </w:r>
      <w:r>
        <w:t>:</w:t>
      </w:r>
      <w:r w:rsidRPr="004C5C28">
        <w:t xml:space="preserve"> </w:t>
      </w:r>
      <w:r w:rsidRPr="00FA4091">
        <w:t>GS-US-264-0111: Overall Summary of Adverse Events (Safety Analysis Set)</w:t>
      </w:r>
      <w:r>
        <w:t>.</w:t>
      </w:r>
    </w:p>
    <w:p w:rsidR="00FA4091" w:rsidRPr="00FA4091" w:rsidRDefault="00A16194" w:rsidP="000B6C20">
      <w:r>
        <w:rPr>
          <w:noProof/>
          <w:lang w:eastAsia="en-AU"/>
        </w:rPr>
        <w:drawing>
          <wp:inline distT="0" distB="0" distL="0" distR="0" wp14:anchorId="1A226FB8" wp14:editId="36249E31">
            <wp:extent cx="4617720" cy="1915160"/>
            <wp:effectExtent l="0" t="0" r="0" b="8890"/>
            <wp:docPr id="19" name="Picture 19" descr="Table 14: GS-US-264-0111: Overall Summary of Adverse Event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ble 14: GS-US-264-0111: Overall Summary of Adverse Events (Safety Analysis Se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7720" cy="1915160"/>
                    </a:xfrm>
                    <a:prstGeom prst="rect">
                      <a:avLst/>
                    </a:prstGeom>
                    <a:noFill/>
                    <a:ln>
                      <a:noFill/>
                    </a:ln>
                  </pic:spPr>
                </pic:pic>
              </a:graphicData>
            </a:graphic>
          </wp:inline>
        </w:drawing>
      </w:r>
    </w:p>
    <w:p w:rsidR="00BF53A4" w:rsidRDefault="00FA4091" w:rsidP="000B6C20">
      <w:r w:rsidRPr="00FA4091">
        <w:t>GS-US-264-0106: TEAE</w:t>
      </w:r>
      <w:r>
        <w:t xml:space="preserve"> </w:t>
      </w:r>
      <w:r w:rsidRPr="00FA4091">
        <w:t xml:space="preserve">reported by 79.8% in the immediate Eviplera </w:t>
      </w:r>
      <w:r w:rsidR="00F35F06">
        <w:t>group</w:t>
      </w:r>
      <w:r w:rsidRPr="00FA4091">
        <w:t xml:space="preserve"> vs. 57.2% in the SBR </w:t>
      </w:r>
      <w:r w:rsidR="00F35F06">
        <w:t>group</w:t>
      </w:r>
      <w:r w:rsidRPr="00FA4091">
        <w:t xml:space="preserve">. After those in SBR </w:t>
      </w:r>
      <w:r w:rsidR="00F35F06">
        <w:t>group</w:t>
      </w:r>
      <w:r w:rsidRPr="00FA4091">
        <w:t xml:space="preserve"> switched to Eviplera at Wk 24, TEAE </w:t>
      </w:r>
      <w:r w:rsidR="00964E3E">
        <w:t>reported by 71.7% (</w:t>
      </w:r>
      <w:r w:rsidR="00BF53A4">
        <w:t>Table 1</w:t>
      </w:r>
      <w:r w:rsidR="006E2DCF">
        <w:t>5</w:t>
      </w:r>
      <w:r w:rsidR="00BA5D1A">
        <w:t>)</w:t>
      </w:r>
      <w:r w:rsidRPr="00FA4091">
        <w:t>.</w:t>
      </w:r>
    </w:p>
    <w:p w:rsidR="00BF53A4" w:rsidRDefault="00BF53A4" w:rsidP="000B6C20">
      <w:pPr>
        <w:pStyle w:val="TableTitle"/>
      </w:pPr>
      <w:r>
        <w:t>Table 1</w:t>
      </w:r>
      <w:r w:rsidR="006E2DCF">
        <w:t>5</w:t>
      </w:r>
      <w:r>
        <w:t>:</w:t>
      </w:r>
      <w:r w:rsidRPr="004C5C28">
        <w:t xml:space="preserve"> </w:t>
      </w:r>
      <w:r w:rsidRPr="00BF53A4">
        <w:t>GS-US-264-0106: Overall Summary of Adverse Events (Safety Analysis Set)</w:t>
      </w:r>
      <w:r>
        <w:t>.</w:t>
      </w:r>
    </w:p>
    <w:p w:rsidR="00FA4091" w:rsidRPr="00FA4091" w:rsidRDefault="00A16194" w:rsidP="00FA4091">
      <w:r>
        <w:rPr>
          <w:noProof/>
          <w:lang w:eastAsia="en-AU"/>
        </w:rPr>
        <w:drawing>
          <wp:inline distT="0" distB="0" distL="0" distR="0" wp14:anchorId="35D59F0F" wp14:editId="5F43D372">
            <wp:extent cx="4521200" cy="2296160"/>
            <wp:effectExtent l="0" t="0" r="0" b="8890"/>
            <wp:docPr id="20" name="Picture 20" descr="Table 15: GS-US-264-0106: Overall Summary of Adverse Event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ble 15: GS-US-264-0106: Overall Summary of Adverse Events (Safety Analysis Se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21200" cy="2296160"/>
                    </a:xfrm>
                    <a:prstGeom prst="rect">
                      <a:avLst/>
                    </a:prstGeom>
                    <a:noFill/>
                    <a:ln>
                      <a:noFill/>
                    </a:ln>
                  </pic:spPr>
                </pic:pic>
              </a:graphicData>
            </a:graphic>
          </wp:inline>
        </w:drawing>
      </w:r>
    </w:p>
    <w:p w:rsidR="00FA4091" w:rsidRDefault="00FA4091" w:rsidP="000B6C20">
      <w:r w:rsidRPr="00E65D35">
        <w:t>GS-US-264-0110:</w:t>
      </w:r>
      <w:r w:rsidR="00564405">
        <w:t xml:space="preserve"> </w:t>
      </w:r>
      <w:r w:rsidRPr="00E65D35">
        <w:t xml:space="preserve">During the first 48 Wks, TEAEs reported by 88.6% and 93.1% of the Eviplera and Atripla </w:t>
      </w:r>
      <w:r w:rsidR="00F35F06">
        <w:t>group</w:t>
      </w:r>
      <w:r w:rsidR="006E2DCF">
        <w:t>s respectively (Table 16</w:t>
      </w:r>
      <w:r w:rsidR="00E65D35">
        <w:t>)</w:t>
      </w:r>
      <w:r w:rsidR="00F75475">
        <w:t>.</w:t>
      </w:r>
    </w:p>
    <w:p w:rsidR="00EB190C" w:rsidRDefault="00EB190C" w:rsidP="000B6C20">
      <w:pPr>
        <w:pStyle w:val="TableTitle"/>
      </w:pPr>
      <w:r>
        <w:t>Table 1</w:t>
      </w:r>
      <w:r w:rsidR="006E2DCF">
        <w:t>6</w:t>
      </w:r>
      <w:r>
        <w:t>:</w:t>
      </w:r>
      <w:r w:rsidRPr="004C5C28">
        <w:t xml:space="preserve"> </w:t>
      </w:r>
      <w:r w:rsidRPr="00EB190C">
        <w:t>GS-US-264-0110: Overall Summary of Adverse Events (Safety Analysis Set)</w:t>
      </w:r>
      <w:r>
        <w:t>.</w:t>
      </w:r>
    </w:p>
    <w:p w:rsidR="00F75475" w:rsidRDefault="00A16194" w:rsidP="000B6C20">
      <w:r>
        <w:rPr>
          <w:noProof/>
          <w:lang w:eastAsia="en-AU"/>
        </w:rPr>
        <w:drawing>
          <wp:inline distT="0" distB="0" distL="0" distR="0" wp14:anchorId="4813A3D1" wp14:editId="348055E1">
            <wp:extent cx="4663440" cy="2362200"/>
            <wp:effectExtent l="0" t="0" r="3810" b="0"/>
            <wp:docPr id="21" name="Picture 21" descr="Table 16: GS-US-264-0110: Overall Summary of Adverse Event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le 16: GS-US-264-0110: Overall Summary of Adverse Events (Safety Analysis Se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3440" cy="2362200"/>
                    </a:xfrm>
                    <a:prstGeom prst="rect">
                      <a:avLst/>
                    </a:prstGeom>
                    <a:noFill/>
                    <a:ln>
                      <a:noFill/>
                    </a:ln>
                  </pic:spPr>
                </pic:pic>
              </a:graphicData>
            </a:graphic>
          </wp:inline>
        </w:drawing>
      </w:r>
    </w:p>
    <w:p w:rsidR="00FA4091" w:rsidRPr="00F82684" w:rsidRDefault="00FA4091" w:rsidP="000B6C20">
      <w:pPr>
        <w:pStyle w:val="Heading5"/>
      </w:pPr>
      <w:r w:rsidRPr="00F82684">
        <w:lastRenderedPageBreak/>
        <w:t>Other studies</w:t>
      </w:r>
    </w:p>
    <w:p w:rsidR="00FA4091" w:rsidRPr="00F82684" w:rsidRDefault="00FA4091" w:rsidP="000B6C20">
      <w:r w:rsidRPr="00F82684">
        <w:t>Phase 1 healthy volunteer study GS-US-264-0112</w:t>
      </w:r>
      <w:r w:rsidR="00F82684">
        <w:t>: n</w:t>
      </w:r>
      <w:r w:rsidRPr="00F82684">
        <w:t>o safety concerns revealed.</w:t>
      </w:r>
    </w:p>
    <w:p w:rsidR="00FA4091" w:rsidRPr="00857F03" w:rsidRDefault="00FA4091" w:rsidP="000B6C20">
      <w:pPr>
        <w:pStyle w:val="Heading4"/>
      </w:pPr>
      <w:bookmarkStart w:id="133" w:name="_Ref272333567"/>
      <w:bookmarkStart w:id="134" w:name="_Toc272414665"/>
      <w:bookmarkStart w:id="135" w:name="_Toc290846303"/>
      <w:bookmarkStart w:id="136" w:name="_Toc364634636"/>
      <w:r w:rsidRPr="00857F03">
        <w:t>Treatment-related adverse events (adverse drug reactions)</w:t>
      </w:r>
      <w:bookmarkEnd w:id="133"/>
      <w:bookmarkEnd w:id="134"/>
      <w:bookmarkEnd w:id="135"/>
      <w:r>
        <w:t xml:space="preserve"> (TRAE)</w:t>
      </w:r>
      <w:bookmarkEnd w:id="136"/>
    </w:p>
    <w:p w:rsidR="00FA4091" w:rsidRPr="00F82684" w:rsidRDefault="00FA4091" w:rsidP="000B6C20">
      <w:pPr>
        <w:pStyle w:val="Heading5"/>
      </w:pPr>
      <w:r w:rsidRPr="00F82684">
        <w:t>Pivotal studies</w:t>
      </w:r>
    </w:p>
    <w:p w:rsidR="00F82684" w:rsidRDefault="00FA4091" w:rsidP="000B6C20">
      <w:r w:rsidRPr="006C57A7">
        <w:rPr>
          <w:rFonts w:cs="TimesNewRoman,Bold"/>
          <w:b/>
          <w:bCs/>
        </w:rPr>
        <w:t>GS-US-264-0111</w:t>
      </w:r>
      <w:r w:rsidRPr="006C57A7">
        <w:rPr>
          <w:b/>
        </w:rPr>
        <w:t>:</w:t>
      </w:r>
      <w:r w:rsidRPr="006C57A7">
        <w:t xml:space="preserve"> 24.5% experienced study drug related AEs. </w:t>
      </w:r>
      <w:r>
        <w:t xml:space="preserve">Highest incidence </w:t>
      </w:r>
      <w:r w:rsidRPr="006C57A7">
        <w:t xml:space="preserve">TEAEs were gastrointestinal (GI) disorders (7 subjects [14.3%]. Three subjects experienced </w:t>
      </w:r>
      <w:r w:rsidR="006E2DCF">
        <w:t>Grade</w:t>
      </w:r>
      <w:r w:rsidRPr="006C57A7">
        <w:t xml:space="preserve"> 2 treatment-related AEs; all other TR AEs were </w:t>
      </w:r>
      <w:r w:rsidR="006E2DCF">
        <w:t>Grade</w:t>
      </w:r>
      <w:r w:rsidRPr="006C57A7">
        <w:t xml:space="preserve"> 1 in severity. </w:t>
      </w:r>
      <w:r>
        <w:t xml:space="preserve">1 subject: </w:t>
      </w:r>
      <w:r w:rsidR="006E2DCF">
        <w:t>Grade</w:t>
      </w:r>
      <w:r w:rsidRPr="006C57A7">
        <w:t xml:space="preserve"> </w:t>
      </w:r>
      <w:proofErr w:type="gramStart"/>
      <w:r w:rsidRPr="006C57A7">
        <w:t xml:space="preserve">2 gastritis Day 103 </w:t>
      </w:r>
      <w:r>
        <w:t>onwards</w:t>
      </w:r>
      <w:proofErr w:type="gramEnd"/>
      <w:r>
        <w:t xml:space="preserve">; </w:t>
      </w:r>
      <w:r w:rsidRPr="006C57A7">
        <w:t xml:space="preserve">Subject 0121-3824 </w:t>
      </w:r>
      <w:r>
        <w:t xml:space="preserve">had </w:t>
      </w:r>
      <w:r w:rsidR="006E2DCF">
        <w:t>Grade</w:t>
      </w:r>
      <w:r>
        <w:t xml:space="preserve"> 2 fatigue Day 13-</w:t>
      </w:r>
      <w:r w:rsidRPr="006C57A7">
        <w:t xml:space="preserve">30; Subject 1536-3815 experienced </w:t>
      </w:r>
      <w:r w:rsidR="006E2DCF">
        <w:t>Grade</w:t>
      </w:r>
      <w:r w:rsidRPr="006C57A7">
        <w:t xml:space="preserve"> 2 increased bilirubin Day 31</w:t>
      </w:r>
      <w:r>
        <w:t>onwards</w:t>
      </w:r>
      <w:r w:rsidRPr="006C57A7">
        <w:t>.</w:t>
      </w:r>
      <w:r>
        <w:t xml:space="preserve"> Study drug continued in these subjects</w:t>
      </w:r>
      <w:r w:rsidRPr="006C57A7">
        <w:t xml:space="preserve">. </w:t>
      </w:r>
      <w:r w:rsidR="006E2DCF">
        <w:t>Grade</w:t>
      </w:r>
      <w:r w:rsidRPr="006C57A7">
        <w:t xml:space="preserve"> 1 </w:t>
      </w:r>
      <w:r>
        <w:t xml:space="preserve">TR </w:t>
      </w:r>
      <w:r w:rsidRPr="006C57A7">
        <w:t>AEs consisted of the following: flatulence, nausea, abdominal pain, constipation, diarrhoea, eructation, vomiting, fatigue, feeling abnormal, amnesia,</w:t>
      </w:r>
      <w:r>
        <w:t xml:space="preserve"> poor </w:t>
      </w:r>
      <w:r w:rsidRPr="006C57A7">
        <w:t>sleep, psychomotor hyperactivity, insomnia, abnormal dreams, anxie</w:t>
      </w:r>
      <w:r>
        <w:t xml:space="preserve">ty, depression, dermatitis, </w:t>
      </w:r>
      <w:proofErr w:type="gramStart"/>
      <w:r w:rsidRPr="006C57A7">
        <w:t>rash</w:t>
      </w:r>
      <w:proofErr w:type="gramEnd"/>
      <w:r w:rsidRPr="006C57A7">
        <w:t xml:space="preserve">. </w:t>
      </w:r>
      <w:r w:rsidR="006E2DCF">
        <w:t>Grade</w:t>
      </w:r>
      <w:r w:rsidRPr="006C57A7">
        <w:t xml:space="preserve"> 1 </w:t>
      </w:r>
      <w:r>
        <w:t xml:space="preserve">TR </w:t>
      </w:r>
      <w:r w:rsidRPr="006C57A7">
        <w:t xml:space="preserve">flatulence, nausea and insomnia occurred in 2 subjects each; all other </w:t>
      </w:r>
      <w:r w:rsidR="006E2DCF">
        <w:t>Grade</w:t>
      </w:r>
      <w:r w:rsidRPr="006C57A7">
        <w:t xml:space="preserve"> 1 treatment-related AEs occurred in 1 subject each.</w:t>
      </w:r>
    </w:p>
    <w:p w:rsidR="00F82684" w:rsidRDefault="00FA4091" w:rsidP="000B6C20">
      <w:r w:rsidRPr="006C57A7">
        <w:rPr>
          <w:rFonts w:cs="TimesNewRoman,Bold"/>
          <w:b/>
          <w:bCs/>
        </w:rPr>
        <w:t>AEs of special interest:</w:t>
      </w:r>
      <w:r w:rsidR="00F82684">
        <w:rPr>
          <w:rFonts w:cs="TimesNewRoman,Bold"/>
          <w:b/>
          <w:bCs/>
        </w:rPr>
        <w:t xml:space="preserve"> </w:t>
      </w:r>
      <w:r w:rsidRPr="006C57A7">
        <w:rPr>
          <w:b/>
        </w:rPr>
        <w:t>i) psychiatric &amp; nervous system disorders</w:t>
      </w:r>
      <w:r w:rsidRPr="006C57A7">
        <w:t>: 28.6% reported “psychiatric disorders”; i.e. insomnia (12.2%), a</w:t>
      </w:r>
      <w:r>
        <w:t>nxiety &amp;</w:t>
      </w:r>
      <w:r w:rsidRPr="006C57A7">
        <w:t xml:space="preserve"> depression reported in 6.1% each and abnormal dreams reported in 2 subjects (4.1%). Attention deficit/hyperactivity disorder and stress reported in 1 subject (2.0%) each. AEs reported in the nervous system SOC in 14.3%. </w:t>
      </w:r>
      <w:r>
        <w:t>I</w:t>
      </w:r>
      <w:r w:rsidRPr="006C57A7">
        <w:t xml:space="preserve">n 1 subject (2.0%) each: amnesia, cervicobrachial syndrome, attention disturbance, dizziness, headache, poor sleep, and psychomotor hyperactivity; </w:t>
      </w:r>
      <w:r w:rsidRPr="006C57A7">
        <w:rPr>
          <w:b/>
        </w:rPr>
        <w:t xml:space="preserve">ii) rash: </w:t>
      </w:r>
      <w:r w:rsidRPr="006C57A7">
        <w:t xml:space="preserve">4.1% reported rash. </w:t>
      </w:r>
      <w:r w:rsidR="006E2DCF">
        <w:t>Grade</w:t>
      </w:r>
      <w:r w:rsidRPr="006C57A7">
        <w:t xml:space="preserve"> 1 rash on left inner thigh considered study drug </w:t>
      </w:r>
      <w:r>
        <w:t xml:space="preserve">related </w:t>
      </w:r>
      <w:r w:rsidRPr="006C57A7">
        <w:t>(onset, Day 3</w:t>
      </w:r>
      <w:r>
        <w:t xml:space="preserve"> onwards</w:t>
      </w:r>
      <w:r w:rsidRPr="00F82684">
        <w:t xml:space="preserve">) reported in 1 subject and in another subject, </w:t>
      </w:r>
      <w:r w:rsidR="006E2DCF">
        <w:t>Grade</w:t>
      </w:r>
      <w:r w:rsidRPr="00F82684">
        <w:t xml:space="preserve"> 1 right axilla rash considered unrelated to study drug. </w:t>
      </w:r>
      <w:r w:rsidRPr="00F82684">
        <w:rPr>
          <w:rFonts w:cs="TimesNewRoman,Bold"/>
          <w:bCs/>
        </w:rPr>
        <w:t>GS-US-264-0106</w:t>
      </w:r>
      <w:r w:rsidRPr="00F82684">
        <w:t>: Subjects with TRAE similar in Eviplera</w:t>
      </w:r>
      <w:r w:rsidR="00564405">
        <w:t xml:space="preserve"> </w:t>
      </w:r>
      <w:r w:rsidRPr="00F82684">
        <w:t xml:space="preserve">(24.9%) and Delayed Switch </w:t>
      </w:r>
      <w:r w:rsidR="00F35F06">
        <w:t>group</w:t>
      </w:r>
      <w:r w:rsidRPr="00F82684">
        <w:t>s</w:t>
      </w:r>
      <w:r>
        <w:t xml:space="preserve"> (23.0%) during 48 and 24 W</w:t>
      </w:r>
      <w:r w:rsidRPr="007D732F">
        <w:t xml:space="preserve">ks of Eviplera therapy, respectively. </w:t>
      </w:r>
      <w:proofErr w:type="gramStart"/>
      <w:r w:rsidRPr="007D732F">
        <w:t>The % of subjects reporting</w:t>
      </w:r>
      <w:r>
        <w:t xml:space="preserve"> a TR AE </w:t>
      </w:r>
      <w:r w:rsidRPr="007D732F">
        <w:t xml:space="preserve">low among the subjects remaining on their current ARVs for the first 24 </w:t>
      </w:r>
      <w:r>
        <w:t>Wk</w:t>
      </w:r>
      <w:r w:rsidRPr="007D732F">
        <w:t xml:space="preserve">s </w:t>
      </w:r>
      <w:r>
        <w:t>(2.5%</w:t>
      </w:r>
      <w:r w:rsidRPr="007D732F">
        <w:t>).</w:t>
      </w:r>
      <w:proofErr w:type="gramEnd"/>
      <w:r w:rsidRPr="007D732F">
        <w:t xml:space="preserve"> The most frequently reported </w:t>
      </w:r>
      <w:r>
        <w:t>study drug</w:t>
      </w:r>
      <w:r w:rsidRPr="007D732F">
        <w:t xml:space="preserve"> </w:t>
      </w:r>
      <w:r>
        <w:t xml:space="preserve">related </w:t>
      </w:r>
      <w:r w:rsidRPr="007D732F">
        <w:t xml:space="preserve">AEs </w:t>
      </w:r>
      <w:r>
        <w:t xml:space="preserve">was nausea (2.2% </w:t>
      </w:r>
      <w:r w:rsidRPr="007D732F">
        <w:t>Eviplera</w:t>
      </w:r>
      <w:r w:rsidR="00564405">
        <w:t xml:space="preserve"> </w:t>
      </w:r>
      <w:r w:rsidR="00F35F06">
        <w:t>group</w:t>
      </w:r>
      <w:r>
        <w:t xml:space="preserve">; 5.9% Delayed Switch </w:t>
      </w:r>
      <w:r w:rsidR="00F35F06">
        <w:t>group</w:t>
      </w:r>
      <w:r w:rsidRPr="007D732F">
        <w:t>), diarrhoea (3.2%</w:t>
      </w:r>
      <w:r>
        <w:t xml:space="preserve"> </w:t>
      </w:r>
      <w:r w:rsidRPr="007D732F">
        <w:t>Eviplera</w:t>
      </w:r>
      <w:r>
        <w:t xml:space="preserve"> </w:t>
      </w:r>
      <w:r w:rsidR="00F35F06">
        <w:t>group</w:t>
      </w:r>
      <w:r>
        <w:t xml:space="preserve">; </w:t>
      </w:r>
      <w:r w:rsidRPr="007D732F">
        <w:t xml:space="preserve">0.6% in SBR </w:t>
      </w:r>
      <w:r w:rsidR="00F35F06">
        <w:t>group</w:t>
      </w:r>
      <w:r w:rsidRPr="007D732F">
        <w:t xml:space="preserve">, and 2.6% in Delayed Switch </w:t>
      </w:r>
      <w:r w:rsidR="00F35F06">
        <w:t>group</w:t>
      </w:r>
      <w:r>
        <w:t xml:space="preserve">), and fatigue (3.5% </w:t>
      </w:r>
      <w:r w:rsidRPr="007D732F">
        <w:t>Eviplera</w:t>
      </w:r>
      <w:r w:rsidR="00564405">
        <w:t xml:space="preserve"> </w:t>
      </w:r>
      <w:r w:rsidR="00F35F06">
        <w:t>group</w:t>
      </w:r>
      <w:r w:rsidRPr="007D732F">
        <w:t>). Most study drug-related AEs</w:t>
      </w:r>
      <w:r>
        <w:t xml:space="preserve"> were </w:t>
      </w:r>
      <w:r w:rsidR="006E2DCF">
        <w:t>Grade</w:t>
      </w:r>
      <w:r>
        <w:t xml:space="preserve"> 1</w:t>
      </w:r>
      <w:r w:rsidRPr="0076479A">
        <w:t xml:space="preserve">, </w:t>
      </w:r>
      <w:r>
        <w:t xml:space="preserve">with no dose change. </w:t>
      </w:r>
      <w:r w:rsidR="006E2DCF">
        <w:t>Grade</w:t>
      </w:r>
      <w:r w:rsidRPr="0076479A">
        <w:t xml:space="preserve"> 3 </w:t>
      </w:r>
      <w:proofErr w:type="gramStart"/>
      <w:r w:rsidRPr="0076479A">
        <w:t>study</w:t>
      </w:r>
      <w:proofErr w:type="gramEnd"/>
      <w:r w:rsidRPr="0076479A">
        <w:t xml:space="preserve"> drug-related AEs occurred </w:t>
      </w:r>
      <w:r>
        <w:t>in 1 subject each and included</w:t>
      </w:r>
      <w:r w:rsidRPr="0076479A">
        <w:t xml:space="preserve">: fatigue, ALT increased, AST increased, blood CK increased, decreased appetite, rhabdomyolysis, amnesia, depression, insomnia, renal impairment, and dyspnoea. </w:t>
      </w:r>
      <w:r>
        <w:t xml:space="preserve">No </w:t>
      </w:r>
      <w:r w:rsidR="006E2DCF">
        <w:t>Grade</w:t>
      </w:r>
      <w:r w:rsidRPr="0076479A">
        <w:t xml:space="preserve"> 4 TEAEs considered study drug related</w:t>
      </w:r>
      <w:r w:rsidRPr="0076479A">
        <w:rPr>
          <w:color w:val="0000FF"/>
        </w:rPr>
        <w:t>.</w:t>
      </w:r>
    </w:p>
    <w:p w:rsidR="00F82684" w:rsidRDefault="00FA4091" w:rsidP="000B6C20">
      <w:r w:rsidRPr="00DC1446">
        <w:rPr>
          <w:b/>
        </w:rPr>
        <w:t>AE of special interest</w:t>
      </w:r>
      <w:r w:rsidRPr="00DC1446">
        <w:t xml:space="preserve">: </w:t>
      </w:r>
      <w:r w:rsidRPr="00DC1446">
        <w:rPr>
          <w:b/>
        </w:rPr>
        <w:t>i) psychiatric &amp; nervous system disorders</w:t>
      </w:r>
      <w:r w:rsidRPr="00DC1446">
        <w:t>: AEs reported in 62 of 317 subjects (19.6%) in the Eviplera</w:t>
      </w:r>
      <w:r w:rsidR="00564405">
        <w:t xml:space="preserve"> </w:t>
      </w:r>
      <w:r w:rsidR="00F35F06">
        <w:t>group</w:t>
      </w:r>
      <w:r>
        <w:t xml:space="preserve"> (received up to 48 w</w:t>
      </w:r>
      <w:r w:rsidRPr="00DC1446">
        <w:t>ks of treatment), with the most frequently occurring AEs including insomnia</w:t>
      </w:r>
      <w:r>
        <w:t xml:space="preserve"> (6.3%), depression (4.4%), </w:t>
      </w:r>
      <w:r w:rsidRPr="00DC1446">
        <w:t xml:space="preserve">sleep disorder (2.2%). In the Delayed Switch </w:t>
      </w:r>
      <w:r w:rsidR="00F35F06">
        <w:t>group</w:t>
      </w:r>
      <w:r w:rsidRPr="00DC1446">
        <w:t xml:space="preserve"> (received up to 24 </w:t>
      </w:r>
      <w:r>
        <w:t>Wk</w:t>
      </w:r>
      <w:r w:rsidRPr="00DC1446">
        <w:t>s of Eviplera</w:t>
      </w:r>
      <w:r>
        <w:t>)</w:t>
      </w:r>
      <w:r w:rsidRPr="00DC1446">
        <w:t xml:space="preserve"> the most frequent psychiatric AE were insomnia</w:t>
      </w:r>
      <w:r>
        <w:t xml:space="preserve"> (5.3%), depression (3.3%), </w:t>
      </w:r>
      <w:proofErr w:type="gramStart"/>
      <w:r w:rsidRPr="00DC1446">
        <w:t>abnormal</w:t>
      </w:r>
      <w:proofErr w:type="gramEnd"/>
      <w:r w:rsidRPr="00DC1446">
        <w:t xml:space="preserve"> dreams (2.0%). Of the 159 subjects remaining on their baseline ARV regimen during the first 24 </w:t>
      </w:r>
      <w:r>
        <w:t>Wk</w:t>
      </w:r>
      <w:r w:rsidRPr="00DC1446">
        <w:t xml:space="preserve">s (SBR </w:t>
      </w:r>
      <w:r w:rsidR="00F35F06">
        <w:t>group</w:t>
      </w:r>
      <w:r w:rsidRPr="00DC1446">
        <w:t>), 10 subjects (6.3%) reported psychiatric AEs</w:t>
      </w:r>
      <w:r>
        <w:t xml:space="preserve"> i.e. </w:t>
      </w:r>
      <w:r w:rsidRPr="00DC1446">
        <w:t xml:space="preserve">Depression </w:t>
      </w:r>
      <w:r>
        <w:t xml:space="preserve">in </w:t>
      </w:r>
      <w:r w:rsidRPr="00DC1446">
        <w:t xml:space="preserve">4 subjects (2.5%). All other psychiatric AEs reported in &lt;2% of subjects in any treatment </w:t>
      </w:r>
      <w:r w:rsidR="00F35F06">
        <w:t>group</w:t>
      </w:r>
      <w:r w:rsidRPr="00DC1446">
        <w:t xml:space="preserve">. </w:t>
      </w:r>
      <w:proofErr w:type="gramStart"/>
      <w:r>
        <w:t>P</w:t>
      </w:r>
      <w:r w:rsidRPr="00DC1446">
        <w:t>sychiatric SAEs included suicidal ideation (1 subject each in the</w:t>
      </w:r>
      <w:r>
        <w:t xml:space="preserve"> </w:t>
      </w:r>
      <w:r w:rsidRPr="0076479A">
        <w:t>Eviplera</w:t>
      </w:r>
      <w:r w:rsidR="00564405">
        <w:t xml:space="preserve"> </w:t>
      </w:r>
      <w:r w:rsidRPr="0076479A">
        <w:t xml:space="preserve">and Delayed Switch </w:t>
      </w:r>
      <w:r w:rsidR="00F35F06">
        <w:t>group</w:t>
      </w:r>
      <w:r w:rsidRPr="0076479A">
        <w:t>s), affective disorder (1 subject in the Eviplera</w:t>
      </w:r>
      <w:r w:rsidR="00564405">
        <w:t xml:space="preserve"> </w:t>
      </w:r>
      <w:r w:rsidR="00F35F06">
        <w:t>group</w:t>
      </w:r>
      <w:r w:rsidRPr="0076479A">
        <w:t>), and bipolar disorder (1 subject in the Eviplera</w:t>
      </w:r>
      <w:r w:rsidR="00564405">
        <w:t xml:space="preserve"> </w:t>
      </w:r>
      <w:r w:rsidR="00F35F06">
        <w:t>group</w:t>
      </w:r>
      <w:r w:rsidRPr="0076479A">
        <w:t>).</w:t>
      </w:r>
      <w:proofErr w:type="gramEnd"/>
      <w:r w:rsidRPr="0076479A">
        <w:t xml:space="preserve"> None of these SAEs considered related.</w:t>
      </w:r>
    </w:p>
    <w:p w:rsidR="00FA4091" w:rsidRPr="0076479A" w:rsidRDefault="00FA4091" w:rsidP="000B6C20">
      <w:r w:rsidRPr="0076479A">
        <w:t>N</w:t>
      </w:r>
      <w:r w:rsidRPr="0076479A">
        <w:rPr>
          <w:b/>
        </w:rPr>
        <w:t>ervous system disorder AEs</w:t>
      </w:r>
      <w:r w:rsidRPr="0076479A">
        <w:t xml:space="preserve"> occurred in 15.1% in the Eviplera</w:t>
      </w:r>
      <w:r w:rsidR="00564405">
        <w:t xml:space="preserve"> </w:t>
      </w:r>
      <w:r w:rsidR="00F35F06">
        <w:t>group</w:t>
      </w:r>
      <w:r>
        <w:t xml:space="preserve">. </w:t>
      </w:r>
      <w:proofErr w:type="gramStart"/>
      <w:r>
        <w:t>Headache in 8.8%</w:t>
      </w:r>
      <w:r w:rsidRPr="0076479A">
        <w:t>.</w:t>
      </w:r>
      <w:proofErr w:type="gramEnd"/>
      <w:r w:rsidRPr="0076479A">
        <w:t xml:space="preserve"> Dizziness reported in 7 subjects (2.2%). In the Delayed Switch </w:t>
      </w:r>
      <w:r w:rsidR="00F35F06">
        <w:t>group</w:t>
      </w:r>
      <w:r w:rsidRPr="0076479A">
        <w:t xml:space="preserve">, the most frequently occurring </w:t>
      </w:r>
      <w:r>
        <w:t xml:space="preserve">were </w:t>
      </w:r>
      <w:r w:rsidRPr="0076479A">
        <w:t>headache and dizziness (3.3% each). Of the 159 subjects remainin</w:t>
      </w:r>
      <w:r>
        <w:t xml:space="preserve">g on their baseline ARVs </w:t>
      </w:r>
      <w:r w:rsidRPr="0076479A">
        <w:t>during the first 2</w:t>
      </w:r>
      <w:r>
        <w:t xml:space="preserve">4 Wks, 9.4% </w:t>
      </w:r>
      <w:r w:rsidRPr="0076479A">
        <w:t>reported AEs withi</w:t>
      </w:r>
      <w:r>
        <w:t xml:space="preserve">n the nervous system category. </w:t>
      </w:r>
      <w:proofErr w:type="gramStart"/>
      <w:r>
        <w:t>i.e</w:t>
      </w:r>
      <w:proofErr w:type="gramEnd"/>
      <w:r>
        <w:t>. headache reported by 3.8%</w:t>
      </w:r>
      <w:r w:rsidRPr="0076479A">
        <w:t xml:space="preserve">. </w:t>
      </w:r>
      <w:r>
        <w:t xml:space="preserve">Nervous system </w:t>
      </w:r>
      <w:r w:rsidRPr="0076479A">
        <w:t>SAEs included hypoesthaesia (1 subject in the Eviplera</w:t>
      </w:r>
      <w:r w:rsidR="00564405">
        <w:t xml:space="preserve"> </w:t>
      </w:r>
      <w:r w:rsidR="00F35F06">
        <w:t>group</w:t>
      </w:r>
      <w:r w:rsidRPr="0076479A">
        <w:t>), peripheral neuropathy (1</w:t>
      </w:r>
      <w:r>
        <w:t xml:space="preserve"> subject in Delayed Switch </w:t>
      </w:r>
      <w:r w:rsidR="00F35F06">
        <w:t>group</w:t>
      </w:r>
      <w:r>
        <w:t xml:space="preserve">) </w:t>
      </w:r>
      <w:r w:rsidRPr="0076479A">
        <w:t xml:space="preserve">and sensory loss (1 subject in Delayed Switch </w:t>
      </w:r>
      <w:r w:rsidR="00F35F06">
        <w:t>group</w:t>
      </w:r>
      <w:r w:rsidRPr="0076479A">
        <w:t xml:space="preserve">). The SAEs of hypoesthaesia and peripheral neuropathy </w:t>
      </w:r>
      <w:r w:rsidRPr="0076479A">
        <w:lastRenderedPageBreak/>
        <w:t>resulted in temporary discontinuation of study drug. No SAEs considered related</w:t>
      </w:r>
      <w:r>
        <w:t xml:space="preserve">; </w:t>
      </w:r>
      <w:r>
        <w:rPr>
          <w:b/>
        </w:rPr>
        <w:t>ii) Rash</w:t>
      </w:r>
      <w:r w:rsidRPr="0076479A">
        <w:rPr>
          <w:b/>
        </w:rPr>
        <w:t>:</w:t>
      </w:r>
      <w:r>
        <w:t xml:space="preserve"> 7 of 317 subjects (2.2%) in </w:t>
      </w:r>
      <w:r w:rsidRPr="0076479A">
        <w:t>Eviplera</w:t>
      </w:r>
      <w:r w:rsidR="00564405">
        <w:t xml:space="preserve"> </w:t>
      </w:r>
      <w:r w:rsidR="00F35F06">
        <w:t>group</w:t>
      </w:r>
      <w:r w:rsidRPr="0076479A">
        <w:t xml:space="preserve"> and </w:t>
      </w:r>
      <w:r>
        <w:t xml:space="preserve">4 of 152 subjects (2.6%) in </w:t>
      </w:r>
      <w:r w:rsidRPr="0076479A">
        <w:t xml:space="preserve">Delayed Switch </w:t>
      </w:r>
      <w:r w:rsidR="00F35F06">
        <w:t>group</w:t>
      </w:r>
      <w:r w:rsidRPr="0076479A">
        <w:t xml:space="preserve"> reported a rash. Two subjects (1.3%) remaining on their baseline ARV regimen (SBR </w:t>
      </w:r>
      <w:r w:rsidR="00F35F06">
        <w:t>group</w:t>
      </w:r>
      <w:r w:rsidRPr="0076479A">
        <w:t xml:space="preserve">) during the first 24 </w:t>
      </w:r>
      <w:r>
        <w:t>Wk</w:t>
      </w:r>
      <w:r w:rsidRPr="0076479A">
        <w:t xml:space="preserve">s reported rash. All </w:t>
      </w:r>
      <w:r>
        <w:t xml:space="preserve">rash </w:t>
      </w:r>
      <w:r w:rsidRPr="0076479A">
        <w:t xml:space="preserve">AEs of rash </w:t>
      </w:r>
      <w:r>
        <w:t xml:space="preserve">considered nonserious. Erythematous rash </w:t>
      </w:r>
      <w:r w:rsidRPr="0076479A">
        <w:t>reported in 1 Eviplera</w:t>
      </w:r>
      <w:r w:rsidR="00564405">
        <w:t xml:space="preserve"> </w:t>
      </w:r>
      <w:r w:rsidR="00F35F06">
        <w:t>group</w:t>
      </w:r>
      <w:r w:rsidRPr="0076479A">
        <w:t xml:space="preserve"> </w:t>
      </w:r>
      <w:r w:rsidR="000B6C20">
        <w:t>subject.</w:t>
      </w:r>
    </w:p>
    <w:p w:rsidR="00F82684" w:rsidRDefault="00FA4091" w:rsidP="000B6C20">
      <w:pPr>
        <w:rPr>
          <w:rFonts w:cs="TimesNewRoman"/>
        </w:rPr>
      </w:pPr>
      <w:r w:rsidRPr="006E2DCE">
        <w:rPr>
          <w:rFonts w:cs="TimesNewRoman"/>
          <w:b/>
        </w:rPr>
        <w:t>GS-US-264-0110</w:t>
      </w:r>
      <w:r w:rsidRPr="006E2DCE">
        <w:rPr>
          <w:rFonts w:cs="TimesNewRoman,Bold"/>
          <w:b/>
          <w:bCs/>
        </w:rPr>
        <w:t xml:space="preserve">: </w:t>
      </w:r>
      <w:r w:rsidRPr="006E2DCE">
        <w:t>43.1% of Eviplera</w:t>
      </w:r>
      <w:r w:rsidR="00564405">
        <w:t xml:space="preserve"> </w:t>
      </w:r>
      <w:r w:rsidR="00F35F06">
        <w:t>group</w:t>
      </w:r>
      <w:r w:rsidRPr="006E2DCE">
        <w:t xml:space="preserve"> vs. 68.1% of the Atripla</w:t>
      </w:r>
      <w:r w:rsidR="00564405">
        <w:t xml:space="preserve"> </w:t>
      </w:r>
      <w:r w:rsidR="00F35F06">
        <w:t>group</w:t>
      </w:r>
      <w:r w:rsidRPr="006E2DCE">
        <w:t>s experienced TRAE</w:t>
      </w:r>
      <w:r>
        <w:t>. M</w:t>
      </w:r>
      <w:r w:rsidRPr="006E2DCE">
        <w:t xml:space="preserve">ost </w:t>
      </w:r>
      <w:r>
        <w:t xml:space="preserve">frequently (&gt; 5%): nausea (9.6% in </w:t>
      </w:r>
      <w:r w:rsidRPr="006E2DCE">
        <w:t>Eviplera</w:t>
      </w:r>
      <w:r w:rsidR="00564405">
        <w:t xml:space="preserve"> </w:t>
      </w:r>
      <w:r w:rsidR="00F35F06">
        <w:t>group</w:t>
      </w:r>
      <w:r>
        <w:t xml:space="preserve">; 9.2% in </w:t>
      </w:r>
      <w:r w:rsidRPr="00781311">
        <w:rPr>
          <w:rFonts w:cs="TimesNewRoman"/>
        </w:rPr>
        <w:t>Atripla</w:t>
      </w:r>
      <w:r w:rsidR="00564405">
        <w:t xml:space="preserve"> </w:t>
      </w:r>
      <w:r w:rsidR="00F35F06">
        <w:t>group</w:t>
      </w:r>
      <w:r w:rsidRPr="006E2DCE">
        <w:t>), headache (5.8% in Eviplera</w:t>
      </w:r>
      <w:r w:rsidR="00564405">
        <w:t xml:space="preserve"> </w:t>
      </w:r>
      <w:r w:rsidR="00F35F06">
        <w:t>group</w:t>
      </w:r>
      <w:r>
        <w:t xml:space="preserve">; 5.4% in </w:t>
      </w:r>
      <w:r w:rsidRPr="00781311">
        <w:rPr>
          <w:rFonts w:cs="TimesNewRoman"/>
        </w:rPr>
        <w:t>Atripla</w:t>
      </w:r>
      <w:r w:rsidR="00564405">
        <w:t xml:space="preserve"> </w:t>
      </w:r>
      <w:r w:rsidR="00F35F06">
        <w:t>group</w:t>
      </w:r>
      <w:r w:rsidRPr="006E2DCE">
        <w:t>), diarrhoea (5.1% in Eviplera</w:t>
      </w:r>
      <w:r w:rsidR="00564405">
        <w:t xml:space="preserve"> </w:t>
      </w:r>
      <w:r w:rsidR="00F35F06">
        <w:t>group</w:t>
      </w:r>
      <w:r>
        <w:t xml:space="preserve">; 7.9% in </w:t>
      </w:r>
      <w:r w:rsidRPr="00781311">
        <w:rPr>
          <w:rFonts w:cs="TimesNewRoman"/>
        </w:rPr>
        <w:t>Atripla</w:t>
      </w:r>
      <w:r w:rsidR="00564405">
        <w:t xml:space="preserve"> </w:t>
      </w:r>
      <w:r w:rsidR="00F35F06">
        <w:t>group</w:t>
      </w:r>
      <w:r w:rsidRPr="006E2DCE">
        <w:t>), abnormal dreams (4.6%</w:t>
      </w:r>
      <w:r>
        <w:t xml:space="preserve"> in </w:t>
      </w:r>
      <w:r w:rsidRPr="006E2DCE">
        <w:t>Eviplera</w:t>
      </w:r>
      <w:r w:rsidR="00564405">
        <w:t xml:space="preserve"> </w:t>
      </w:r>
      <w:r w:rsidR="00F35F06">
        <w:t>group</w:t>
      </w:r>
      <w:r>
        <w:t xml:space="preserve">; </w:t>
      </w:r>
      <w:r w:rsidRPr="006E2DCE">
        <w:t>24.0% in</w:t>
      </w:r>
      <w:r w:rsidR="00564405">
        <w:t xml:space="preserve"> </w:t>
      </w:r>
      <w:r w:rsidRPr="00781311">
        <w:rPr>
          <w:rFonts w:cs="TimesNewRoman"/>
        </w:rPr>
        <w:t>Atripla</w:t>
      </w:r>
      <w:r w:rsidR="00564405">
        <w:t xml:space="preserve"> </w:t>
      </w:r>
      <w:r w:rsidR="00F35F06">
        <w:t>group</w:t>
      </w:r>
      <w:r w:rsidRPr="006E2DCE">
        <w:t>), dizziness (4.1% in Eviplera</w:t>
      </w:r>
      <w:r w:rsidR="00564405">
        <w:t xml:space="preserve"> </w:t>
      </w:r>
      <w:r w:rsidR="00F35F06">
        <w:t>group</w:t>
      </w:r>
      <w:r>
        <w:t xml:space="preserve">; 19.9% in </w:t>
      </w:r>
      <w:r w:rsidRPr="00781311">
        <w:rPr>
          <w:rFonts w:cs="TimesNewRoman"/>
        </w:rPr>
        <w:t>Atripla</w:t>
      </w:r>
      <w:r w:rsidR="00564405">
        <w:t xml:space="preserve"> </w:t>
      </w:r>
      <w:r w:rsidR="00F35F06">
        <w:t>group</w:t>
      </w:r>
      <w:r>
        <w:t xml:space="preserve">), insomnia (3.3% in </w:t>
      </w:r>
      <w:r w:rsidRPr="006E2DCE">
        <w:t>Eviplera</w:t>
      </w:r>
      <w:r w:rsidR="00564405">
        <w:t xml:space="preserve"> </w:t>
      </w:r>
      <w:r w:rsidR="00F35F06">
        <w:t>group</w:t>
      </w:r>
      <w:r>
        <w:t xml:space="preserve">; 9.7% in </w:t>
      </w:r>
      <w:r w:rsidRPr="00781311">
        <w:rPr>
          <w:rFonts w:cs="TimesNewRoman"/>
        </w:rPr>
        <w:t>Atripla</w:t>
      </w:r>
      <w:r w:rsidR="00564405">
        <w:t xml:space="preserve"> </w:t>
      </w:r>
      <w:r w:rsidR="00F35F06">
        <w:t>group</w:t>
      </w:r>
      <w:r w:rsidRPr="006E2DCE">
        <w:t>), fatigue</w:t>
      </w:r>
      <w:r>
        <w:t xml:space="preserve"> </w:t>
      </w:r>
      <w:r w:rsidRPr="006E2DCE">
        <w:t>(2.5% in Eviplera</w:t>
      </w:r>
      <w:r w:rsidR="00564405">
        <w:t xml:space="preserve"> </w:t>
      </w:r>
      <w:r w:rsidR="00F35F06">
        <w:t>group</w:t>
      </w:r>
      <w:r>
        <w:t xml:space="preserve"> and 8.4% in </w:t>
      </w:r>
      <w:r w:rsidRPr="00781311">
        <w:rPr>
          <w:rFonts w:cs="TimesNewRoman"/>
        </w:rPr>
        <w:t>Atripla</w:t>
      </w:r>
      <w:r w:rsidR="00564405">
        <w:t xml:space="preserve"> </w:t>
      </w:r>
      <w:r w:rsidR="00F35F06">
        <w:t>group</w:t>
      </w:r>
      <w:r w:rsidRPr="006E2DCE">
        <w:t>), and somnolence (1.8% in Eviplera</w:t>
      </w:r>
      <w:r w:rsidR="00564405">
        <w:t xml:space="preserve"> </w:t>
      </w:r>
      <w:r w:rsidR="00F35F06">
        <w:t>group</w:t>
      </w:r>
      <w:r>
        <w:t xml:space="preserve">; 6.6% in </w:t>
      </w:r>
      <w:r w:rsidRPr="00781311">
        <w:rPr>
          <w:rFonts w:cs="TimesNewRoman"/>
        </w:rPr>
        <w:t>Atripla</w:t>
      </w:r>
      <w:r w:rsidR="00564405">
        <w:t xml:space="preserve"> </w:t>
      </w:r>
      <w:r w:rsidR="00F35F06">
        <w:t>group</w:t>
      </w:r>
      <w:r w:rsidRPr="006E2DCE">
        <w:t xml:space="preserve">). The incidence of each of these events was higher in the </w:t>
      </w:r>
      <w:r w:rsidRPr="00781311">
        <w:rPr>
          <w:rFonts w:cs="TimesNewRoman"/>
        </w:rPr>
        <w:t>Atripla</w:t>
      </w:r>
      <w:r w:rsidR="00564405">
        <w:t xml:space="preserve"> </w:t>
      </w:r>
      <w:r w:rsidR="00F35F06">
        <w:t>group</w:t>
      </w:r>
      <w:r w:rsidRPr="006E2DCE">
        <w:t xml:space="preserve"> compared with the Eviplera</w:t>
      </w:r>
      <w:r w:rsidR="00564405">
        <w:t xml:space="preserve"> </w:t>
      </w:r>
      <w:r w:rsidR="00F35F06">
        <w:t>group</w:t>
      </w:r>
      <w:r w:rsidRPr="006E2DCE">
        <w:t xml:space="preserve">, except for nausea and headache. Most study drug-related AEs were </w:t>
      </w:r>
      <w:r w:rsidR="006E2DCF">
        <w:t>Grade</w:t>
      </w:r>
      <w:r w:rsidRPr="006E2DCE">
        <w:t xml:space="preserve"> 1 or 2 in severity, and most did not require discontinuation of study drug. </w:t>
      </w:r>
      <w:r w:rsidR="006E2DCF">
        <w:t>Grade</w:t>
      </w:r>
      <w:r w:rsidRPr="006E2DCE">
        <w:t xml:space="preserve"> 3 or 4</w:t>
      </w:r>
      <w:r>
        <w:t xml:space="preserve"> study drug-related AEs were reported in 1.8% of subjects in the Eviplera</w:t>
      </w:r>
      <w:r w:rsidR="00564405">
        <w:t xml:space="preserve"> </w:t>
      </w:r>
      <w:r w:rsidR="00F35F06">
        <w:t>group</w:t>
      </w:r>
      <w:r>
        <w:t xml:space="preserve"> and 4.8% of subjects in the </w:t>
      </w:r>
      <w:r w:rsidRPr="00781311">
        <w:rPr>
          <w:rFonts w:cs="TimesNewRoman"/>
        </w:rPr>
        <w:t>Atripla</w:t>
      </w:r>
      <w:r w:rsidR="00564405">
        <w:t xml:space="preserve"> </w:t>
      </w:r>
      <w:r w:rsidR="00F35F06">
        <w:t>group</w:t>
      </w:r>
      <w:r>
        <w:t xml:space="preserve">. </w:t>
      </w:r>
      <w:r w:rsidR="006E2DCF">
        <w:t>Grade</w:t>
      </w:r>
      <w:r>
        <w:t xml:space="preserve"> 4 TEAEs considered study drug related included hepatic enzyme increased, pyrexia, hypersensitivity, suicidal ideation (all occurred in 1 subject each in the </w:t>
      </w:r>
      <w:r w:rsidRPr="00781311">
        <w:rPr>
          <w:rFonts w:cs="TimesNewRoman"/>
        </w:rPr>
        <w:t>Atripla</w:t>
      </w:r>
      <w:r w:rsidR="00564405">
        <w:t xml:space="preserve"> </w:t>
      </w:r>
      <w:r w:rsidR="00F35F06">
        <w:t>group</w:t>
      </w:r>
      <w:r>
        <w:t xml:space="preserve">). </w:t>
      </w:r>
      <w:r w:rsidR="006E2DCF">
        <w:t>Grade</w:t>
      </w:r>
      <w:r>
        <w:t xml:space="preserve"> 3 TEAEs considered related to study drug and reported in at least 2 subjects overall included depression (2 subjects in the Eviplera</w:t>
      </w:r>
      <w:r w:rsidR="00564405">
        <w:t xml:space="preserve"> </w:t>
      </w:r>
      <w:r w:rsidR="00F35F06">
        <w:t>group</w:t>
      </w:r>
      <w:r>
        <w:t xml:space="preserve">; 3 subjects in Atripla </w:t>
      </w:r>
      <w:r w:rsidR="00F35F06">
        <w:t>group</w:t>
      </w:r>
      <w:r>
        <w:t>), insomnia (1 subject in the Eviplera</w:t>
      </w:r>
      <w:r w:rsidR="00564405">
        <w:t xml:space="preserve"> </w:t>
      </w:r>
      <w:r w:rsidR="00F35F06">
        <w:t>group</w:t>
      </w:r>
      <w:r>
        <w:t xml:space="preserve">; 2 subjects in </w:t>
      </w:r>
      <w:r w:rsidRPr="00781311">
        <w:rPr>
          <w:rFonts w:cs="TimesNewRoman"/>
        </w:rPr>
        <w:t>Atripla</w:t>
      </w:r>
      <w:r w:rsidR="00564405">
        <w:t xml:space="preserve"> </w:t>
      </w:r>
      <w:r w:rsidR="00F35F06">
        <w:t>group</w:t>
      </w:r>
      <w:r>
        <w:t>), diarrhoea (1 subject each in the Eviplera</w:t>
      </w:r>
      <w:r w:rsidR="00564405">
        <w:t xml:space="preserve"> </w:t>
      </w:r>
      <w:r>
        <w:t xml:space="preserve">and </w:t>
      </w:r>
      <w:r w:rsidRPr="00781311">
        <w:rPr>
          <w:rFonts w:cs="TimesNewRoman"/>
        </w:rPr>
        <w:t>Atripla</w:t>
      </w:r>
      <w:r w:rsidR="00564405">
        <w:t xml:space="preserve"> </w:t>
      </w:r>
      <w:r w:rsidR="00F35F06">
        <w:t>group</w:t>
      </w:r>
      <w:r>
        <w:t>s), fatigue (1 subject in the Eviplera</w:t>
      </w:r>
      <w:r w:rsidR="00564405">
        <w:t xml:space="preserve"> </w:t>
      </w:r>
      <w:r w:rsidR="00F35F06">
        <w:t>group</w:t>
      </w:r>
      <w:r>
        <w:t xml:space="preserve"> and 1 subject in the </w:t>
      </w:r>
      <w:r w:rsidRPr="00781311">
        <w:rPr>
          <w:rFonts w:cs="TimesNewRoman"/>
        </w:rPr>
        <w:t>Atripla</w:t>
      </w:r>
      <w:r w:rsidR="00564405">
        <w:t xml:space="preserve"> </w:t>
      </w:r>
      <w:r w:rsidR="00F35F06">
        <w:t>group</w:t>
      </w:r>
      <w:r>
        <w:t xml:space="preserve">), and anxiety (2 subjects in </w:t>
      </w:r>
      <w:r w:rsidRPr="00781311">
        <w:rPr>
          <w:rFonts w:cs="TimesNewRoman"/>
        </w:rPr>
        <w:t>Atripla</w:t>
      </w:r>
      <w:r w:rsidR="00564405">
        <w:t xml:space="preserve"> </w:t>
      </w:r>
      <w:r w:rsidR="00F35F06">
        <w:t>group</w:t>
      </w:r>
      <w:r>
        <w:t>).</w:t>
      </w:r>
    </w:p>
    <w:p w:rsidR="00F82684" w:rsidRDefault="00FA4091" w:rsidP="000B6C20">
      <w:r w:rsidRPr="00DC1446">
        <w:rPr>
          <w:b/>
          <w:color w:val="000000"/>
        </w:rPr>
        <w:t>AE of special interest</w:t>
      </w:r>
      <w:r w:rsidRPr="00DC1446">
        <w:rPr>
          <w:color w:val="000000"/>
        </w:rPr>
        <w:t xml:space="preserve">: </w:t>
      </w:r>
      <w:r w:rsidRPr="00DC1446">
        <w:rPr>
          <w:b/>
          <w:color w:val="000000"/>
        </w:rPr>
        <w:t>i) psychiatric &amp; nervous system disorders</w:t>
      </w:r>
      <w:r w:rsidRPr="00DC1446">
        <w:rPr>
          <w:color w:val="000000"/>
        </w:rPr>
        <w:t>:</w:t>
      </w:r>
      <w:r w:rsidR="00F82684">
        <w:rPr>
          <w:color w:val="000000"/>
        </w:rPr>
        <w:t xml:space="preserve"> </w:t>
      </w:r>
      <w:r w:rsidRPr="0076479A">
        <w:t xml:space="preserve">reported in 27.4% </w:t>
      </w:r>
      <w:r>
        <w:t xml:space="preserve">of </w:t>
      </w:r>
      <w:r w:rsidRPr="0076479A">
        <w:t>the Eviplera</w:t>
      </w:r>
      <w:r w:rsidR="00564405">
        <w:t xml:space="preserve"> </w:t>
      </w:r>
      <w:r w:rsidR="00F35F06">
        <w:t>group</w:t>
      </w:r>
      <w:r>
        <w:t xml:space="preserve">; </w:t>
      </w:r>
      <w:r w:rsidRPr="0076479A">
        <w:t xml:space="preserve">50.5% of </w:t>
      </w:r>
      <w:r>
        <w:t xml:space="preserve">the </w:t>
      </w:r>
      <w:r w:rsidRPr="00781311">
        <w:t>Atripla</w:t>
      </w:r>
      <w:r w:rsidR="00564405">
        <w:t xml:space="preserve"> </w:t>
      </w:r>
      <w:r w:rsidR="00F35F06">
        <w:t>group</w:t>
      </w:r>
      <w:r w:rsidRPr="0076479A">
        <w:t xml:space="preserve">. The most frequently (&gt; 2% of subjects) occurring </w:t>
      </w:r>
      <w:r>
        <w:t xml:space="preserve">psychiatric AEs </w:t>
      </w:r>
      <w:r w:rsidRPr="0076479A">
        <w:t>in the Eviplera</w:t>
      </w:r>
      <w:r w:rsidR="00564405">
        <w:t xml:space="preserve"> </w:t>
      </w:r>
      <w:r w:rsidRPr="0076479A">
        <w:t xml:space="preserve">, and Atripla </w:t>
      </w:r>
      <w:r w:rsidR="00F35F06">
        <w:t>group</w:t>
      </w:r>
      <w:r w:rsidRPr="0076479A">
        <w:t>s were insomnia (9.6% and 14.0% of subjects, respectively), depression (6.6% and 8.9% of subjects, respectively), abnormal dreams (5.8% and 24.5% of subjects, respectively), anxiety (5.1% and 8.4% of subjects, respectively), sleep disorder (2</w:t>
      </w:r>
      <w:r>
        <w:t xml:space="preserve">.0% and 3.1% respectively), </w:t>
      </w:r>
      <w:r w:rsidRPr="0076479A">
        <w:t xml:space="preserve">nightmare (0.5% and 2.8% respectively). </w:t>
      </w:r>
      <w:r>
        <w:t xml:space="preserve">SAE </w:t>
      </w:r>
      <w:r w:rsidRPr="0076479A">
        <w:t>reported in 5 subjects (1.3%) receiving Eviplera</w:t>
      </w:r>
      <w:r w:rsidR="00564405">
        <w:t xml:space="preserve"> </w:t>
      </w:r>
      <w:r w:rsidRPr="0076479A">
        <w:t xml:space="preserve">and 6 subjects (1.5%) receiving </w:t>
      </w:r>
      <w:proofErr w:type="gramStart"/>
      <w:r w:rsidRPr="00781311">
        <w:t>Atripla</w:t>
      </w:r>
      <w:r w:rsidR="00564405">
        <w:t xml:space="preserve"> </w:t>
      </w:r>
      <w:r w:rsidRPr="0076479A">
        <w:t>.</w:t>
      </w:r>
      <w:proofErr w:type="gramEnd"/>
      <w:r w:rsidRPr="0076479A">
        <w:t xml:space="preserve"> </w:t>
      </w:r>
      <w:r>
        <w:t xml:space="preserve">Those </w:t>
      </w:r>
      <w:r w:rsidRPr="0076479A">
        <w:t xml:space="preserve">considered study drug </w:t>
      </w:r>
      <w:r>
        <w:t xml:space="preserve">related: </w:t>
      </w:r>
      <w:r w:rsidRPr="0076479A">
        <w:t>suicide attempt</w:t>
      </w:r>
      <w:r>
        <w:t xml:space="preserve"> (n=1)</w:t>
      </w:r>
      <w:r w:rsidRPr="0076479A">
        <w:t>, bipolar I disorder and maj</w:t>
      </w:r>
      <w:r>
        <w:t xml:space="preserve">or depression in 1 subject, </w:t>
      </w:r>
      <w:r w:rsidRPr="0076479A">
        <w:t>suicidal ideation in 1 subject (</w:t>
      </w:r>
      <w:r w:rsidRPr="006E2DCE">
        <w:rPr>
          <w:b/>
        </w:rPr>
        <w:t xml:space="preserve">all in </w:t>
      </w:r>
      <w:r w:rsidRPr="00710998">
        <w:rPr>
          <w:b/>
        </w:rPr>
        <w:t>Atripla</w:t>
      </w:r>
      <w:r w:rsidR="00564405">
        <w:rPr>
          <w:b/>
        </w:rPr>
        <w:t xml:space="preserve"> </w:t>
      </w:r>
      <w:r w:rsidR="00F35F06">
        <w:rPr>
          <w:b/>
        </w:rPr>
        <w:t>group</w:t>
      </w:r>
      <w:r w:rsidRPr="0076479A">
        <w:t>). The SAE of suicidal ideation resulted in permanent</w:t>
      </w:r>
      <w:r>
        <w:t xml:space="preserve"> discontinuation of study drug; the SAEs of bipolar </w:t>
      </w:r>
      <w:r w:rsidRPr="0076479A">
        <w:t>disorder and major depression resulted in temporary interruption. An analysis including the psychiatric events of abnormal dreams, affect lability, aggression, agitation, anxiety, completed suicide, confusional state, depression, euphoric mood, hallucination, hallucination (auditory), nervousness, paranoia, and suicidal ideation showed a significant difference in the</w:t>
      </w:r>
      <w:r>
        <w:t xml:space="preserve"> </w:t>
      </w:r>
      <w:r w:rsidRPr="0076479A">
        <w:t>occurrence of these events in the Eviplera</w:t>
      </w:r>
      <w:r w:rsidR="00564405">
        <w:t xml:space="preserve"> </w:t>
      </w:r>
      <w:r w:rsidRPr="0076479A">
        <w:t xml:space="preserve">, </w:t>
      </w:r>
      <w:r w:rsidR="00F35F06">
        <w:t>group</w:t>
      </w:r>
      <w:r w:rsidRPr="0076479A">
        <w:t xml:space="preserve"> (62 subjects [15.7%]) compared with</w:t>
      </w:r>
      <w:r>
        <w:t xml:space="preserve"> </w:t>
      </w:r>
      <w:r w:rsidRPr="0076479A">
        <w:t xml:space="preserve">the </w:t>
      </w:r>
      <w:r w:rsidRPr="00781311">
        <w:t>Atripla</w:t>
      </w:r>
      <w:r w:rsidR="00564405">
        <w:t xml:space="preserve"> </w:t>
      </w:r>
      <w:r w:rsidR="00F35F06">
        <w:t>group</w:t>
      </w:r>
      <w:r>
        <w:t xml:space="preserve"> (147 subjects [37.5%]; p &lt;</w:t>
      </w:r>
      <w:r w:rsidRPr="0076479A">
        <w:t xml:space="preserve">0.001; Fisher exact test). </w:t>
      </w:r>
      <w:r>
        <w:t xml:space="preserve">All of these events are well described in the </w:t>
      </w:r>
      <w:r w:rsidRPr="0076479A">
        <w:t xml:space="preserve">efavirenz </w:t>
      </w:r>
      <w:r w:rsidR="00F82684">
        <w:t>PI</w:t>
      </w:r>
      <w:r w:rsidR="000B6C20">
        <w:t>.</w:t>
      </w:r>
    </w:p>
    <w:p w:rsidR="00FA4091" w:rsidRPr="009D4E83" w:rsidRDefault="00FA4091" w:rsidP="00294960">
      <w:r w:rsidRPr="006E2DCE">
        <w:rPr>
          <w:b/>
        </w:rPr>
        <w:t>Nervous system</w:t>
      </w:r>
      <w:r>
        <w:t xml:space="preserve">: </w:t>
      </w:r>
      <w:r w:rsidRPr="0076479A">
        <w:t xml:space="preserve">28.4% of subjects in the </w:t>
      </w:r>
      <w:proofErr w:type="gramStart"/>
      <w:r w:rsidRPr="0076479A">
        <w:t>Eviplera</w:t>
      </w:r>
      <w:r>
        <w:t>,</w:t>
      </w:r>
      <w:proofErr w:type="gramEnd"/>
      <w:r>
        <w:t xml:space="preserve"> </w:t>
      </w:r>
      <w:r w:rsidR="00F35F06">
        <w:t>group</w:t>
      </w:r>
      <w:r w:rsidRPr="0076479A">
        <w:t xml:space="preserve"> and in 45.9% of </w:t>
      </w:r>
      <w:r>
        <w:t xml:space="preserve">the </w:t>
      </w:r>
      <w:r w:rsidRPr="00781311">
        <w:t>Atripla</w:t>
      </w:r>
      <w:r w:rsidR="00564405">
        <w:t xml:space="preserve"> </w:t>
      </w:r>
      <w:r w:rsidR="00F35F06">
        <w:t>group</w:t>
      </w:r>
      <w:r w:rsidRPr="0076479A">
        <w:t xml:space="preserve">. The most frequently (&gt;2% of subjects in either treatment </w:t>
      </w:r>
      <w:r w:rsidR="00F35F06">
        <w:t>group</w:t>
      </w:r>
      <w:r w:rsidRPr="0076479A">
        <w:t xml:space="preserve">) occurring nervous system </w:t>
      </w:r>
      <w:r>
        <w:t xml:space="preserve">AEs in </w:t>
      </w:r>
      <w:r w:rsidRPr="0076479A">
        <w:t>Eviplera</w:t>
      </w:r>
      <w:r w:rsidR="00564405">
        <w:t xml:space="preserve"> </w:t>
      </w:r>
      <w:r w:rsidRPr="0076479A">
        <w:t xml:space="preserve">, and </w:t>
      </w:r>
      <w:r w:rsidRPr="00781311">
        <w:t>Atripla</w:t>
      </w:r>
      <w:r w:rsidR="00564405">
        <w:t xml:space="preserve"> </w:t>
      </w:r>
      <w:r w:rsidR="00F35F06">
        <w:t>group</w:t>
      </w:r>
      <w:r w:rsidRPr="0076479A">
        <w:t>s were headache (12.4% and 13.5%</w:t>
      </w:r>
      <w:r w:rsidR="008A2740">
        <w:t>,</w:t>
      </w:r>
      <w:r w:rsidRPr="0076479A">
        <w:t xml:space="preserve"> respectively), dizziness (6.6% and 22.2%</w:t>
      </w:r>
      <w:r w:rsidR="008A2740">
        <w:t>,</w:t>
      </w:r>
      <w:r w:rsidRPr="0076479A">
        <w:t xml:space="preserve"> respectively), somnolence (2.5% and 6.9%</w:t>
      </w:r>
      <w:r w:rsidR="008A2740">
        <w:t>,</w:t>
      </w:r>
      <w:r w:rsidRPr="0076479A">
        <w:t xml:space="preserve"> respectively), paraesthaesia (2.3% and 4.1% respectively), and attention </w:t>
      </w:r>
      <w:r w:rsidRPr="0028021B">
        <w:t>disturbance (1.5% and 2.8%</w:t>
      </w:r>
      <w:r w:rsidR="008A2740">
        <w:t>,</w:t>
      </w:r>
      <w:r w:rsidRPr="0028021B">
        <w:t xml:space="preserve"> respectively). Nervous system SAEs: cerebrovascular accident (CVA) (1 Eviplera</w:t>
      </w:r>
      <w:r w:rsidR="00564405">
        <w:t xml:space="preserve"> </w:t>
      </w:r>
      <w:r w:rsidRPr="0028021B">
        <w:t xml:space="preserve">subject); convulsion (1 </w:t>
      </w:r>
      <w:r w:rsidRPr="00781311">
        <w:t>Atripla</w:t>
      </w:r>
      <w:r w:rsidR="00564405">
        <w:t xml:space="preserve"> </w:t>
      </w:r>
      <w:r w:rsidRPr="0028021B">
        <w:t>subject); headache, partial seizures, and accelerated hypertensio</w:t>
      </w:r>
      <w:r>
        <w:t xml:space="preserve">n (1 subject in </w:t>
      </w:r>
      <w:r w:rsidRPr="00781311">
        <w:t>Atripla</w:t>
      </w:r>
      <w:r w:rsidR="00564405">
        <w:t xml:space="preserve"> </w:t>
      </w:r>
      <w:r w:rsidR="00F35F06">
        <w:t>group</w:t>
      </w:r>
      <w:r>
        <w:t xml:space="preserve">); syncope (1 subject in </w:t>
      </w:r>
      <w:r w:rsidRPr="0028021B">
        <w:t xml:space="preserve">Eviplera </w:t>
      </w:r>
      <w:r w:rsidR="00F35F06">
        <w:t>group</w:t>
      </w:r>
      <w:r w:rsidRPr="0028021B">
        <w:t>); and transient ischemic attac</w:t>
      </w:r>
      <w:r>
        <w:t xml:space="preserve">k (1 subject in </w:t>
      </w:r>
      <w:r w:rsidRPr="00781311">
        <w:t>Atripla</w:t>
      </w:r>
      <w:r w:rsidR="00564405">
        <w:t xml:space="preserve"> </w:t>
      </w:r>
      <w:r w:rsidR="00F35F06">
        <w:t>group</w:t>
      </w:r>
      <w:r>
        <w:t>). No</w:t>
      </w:r>
      <w:r w:rsidRPr="0028021B">
        <w:t xml:space="preserve"> nervous system SAEs </w:t>
      </w:r>
      <w:r>
        <w:t xml:space="preserve">were </w:t>
      </w:r>
      <w:r w:rsidRPr="0028021B">
        <w:t>considered study drug re</w:t>
      </w:r>
      <w:r>
        <w:t>lated</w:t>
      </w:r>
      <w:r w:rsidRPr="0028021B">
        <w:t>. The CVA, led to permanent discontinuation of study drug. An analysis including the nervous symptoms events of amnesia, balance disorder, convulsion, disturbance in attention,</w:t>
      </w:r>
      <w:r w:rsidRPr="0076479A">
        <w:t xml:space="preserve"> dizziness, headache, hypoesth</w:t>
      </w:r>
      <w:r>
        <w:t>a</w:t>
      </w:r>
      <w:r w:rsidRPr="0076479A">
        <w:t>esia, insomnia, neuropathy peripheral, paraesth</w:t>
      </w:r>
      <w:r>
        <w:t>a</w:t>
      </w:r>
      <w:r w:rsidRPr="0076479A">
        <w:t xml:space="preserve">esia, somnolence, stupor, tremor, and vertigo demonstrated that these events occurred in a statistically significant higher </w:t>
      </w:r>
      <w:r w:rsidRPr="0076479A">
        <w:lastRenderedPageBreak/>
        <w:t xml:space="preserve">percentage of </w:t>
      </w:r>
      <w:r>
        <w:t xml:space="preserve">the </w:t>
      </w:r>
      <w:r w:rsidRPr="00781311">
        <w:t>Atripla</w:t>
      </w:r>
      <w:r w:rsidR="00564405">
        <w:t xml:space="preserve"> </w:t>
      </w:r>
      <w:r w:rsidR="00F35F06">
        <w:t>group</w:t>
      </w:r>
      <w:r w:rsidRPr="0076479A">
        <w:t xml:space="preserve"> (50.5%) </w:t>
      </w:r>
      <w:r>
        <w:t>vs.</w:t>
      </w:r>
      <w:r w:rsidRPr="0076479A">
        <w:t xml:space="preserve"> Eviplera</w:t>
      </w:r>
      <w:r w:rsidR="00564405">
        <w:t xml:space="preserve"> </w:t>
      </w:r>
      <w:r>
        <w:t xml:space="preserve">, </w:t>
      </w:r>
      <w:r w:rsidR="00F35F06">
        <w:t>group</w:t>
      </w:r>
      <w:r>
        <w:t xml:space="preserve"> (29.7%; p &lt;</w:t>
      </w:r>
      <w:r w:rsidRPr="0076479A">
        <w:t>0.001; Fisher exact test). These nervous system events are in alignment with the EFV</w:t>
      </w:r>
      <w:r>
        <w:t xml:space="preserve"> PI; </w:t>
      </w:r>
      <w:r w:rsidRPr="0028021B">
        <w:rPr>
          <w:b/>
        </w:rPr>
        <w:t>ii) Rash</w:t>
      </w:r>
      <w:r w:rsidRPr="0076479A">
        <w:t xml:space="preserve"> </w:t>
      </w:r>
      <w:r>
        <w:t xml:space="preserve">occurred in 6.1% </w:t>
      </w:r>
      <w:r w:rsidRPr="0076479A">
        <w:t>Eviplera</w:t>
      </w:r>
      <w:r w:rsidR="00564405">
        <w:t xml:space="preserve"> </w:t>
      </w:r>
      <w:r>
        <w:t xml:space="preserve">vs.12.0% </w:t>
      </w:r>
      <w:r w:rsidRPr="00781311">
        <w:t>Atripla</w:t>
      </w:r>
      <w:r w:rsidR="00564405">
        <w:t xml:space="preserve"> </w:t>
      </w:r>
      <w:r>
        <w:t xml:space="preserve">subjects </w:t>
      </w:r>
      <w:r w:rsidRPr="0076479A">
        <w:t>during</w:t>
      </w:r>
      <w:r>
        <w:t xml:space="preserve"> the first 48 </w:t>
      </w:r>
      <w:proofErr w:type="gramStart"/>
      <w:r>
        <w:t xml:space="preserve">Wks </w:t>
      </w:r>
      <w:r w:rsidRPr="0076479A">
        <w:t>.</w:t>
      </w:r>
      <w:proofErr w:type="gramEnd"/>
      <w:r w:rsidRPr="0076479A">
        <w:t xml:space="preserve"> Study drug-related AEs of ras</w:t>
      </w:r>
      <w:r>
        <w:t xml:space="preserve">h </w:t>
      </w:r>
      <w:r w:rsidRPr="0076479A">
        <w:t>were reported in 4 subjects (1.0%) in the Eviplera</w:t>
      </w:r>
      <w:r w:rsidR="00564405">
        <w:t xml:space="preserve"> </w:t>
      </w:r>
      <w:r w:rsidR="00F35F06">
        <w:t>group</w:t>
      </w:r>
      <w:r w:rsidRPr="0076479A">
        <w:t xml:space="preserve"> and 19 sub</w:t>
      </w:r>
      <w:r>
        <w:t xml:space="preserve">jects (4.8%) in the </w:t>
      </w:r>
      <w:r w:rsidRPr="00781311">
        <w:t>Atripla</w:t>
      </w:r>
      <w:r w:rsidR="00564405">
        <w:t xml:space="preserve"> </w:t>
      </w:r>
      <w:r w:rsidR="00F35F06">
        <w:t>group</w:t>
      </w:r>
      <w:r w:rsidRPr="0076479A">
        <w:t xml:space="preserve">. All </w:t>
      </w:r>
      <w:r>
        <w:t>rashes considered nonserious</w:t>
      </w:r>
      <w:r w:rsidRPr="0076479A">
        <w:t xml:space="preserve">. An analysis including </w:t>
      </w:r>
      <w:r>
        <w:t xml:space="preserve">all </w:t>
      </w:r>
      <w:r w:rsidRPr="0076479A">
        <w:t>rash events did not show a significant differ</w:t>
      </w:r>
      <w:r>
        <w:t xml:space="preserve">ence in occurrence of these events in </w:t>
      </w:r>
      <w:r w:rsidRPr="0076479A">
        <w:t>Eviplera</w:t>
      </w:r>
      <w:r w:rsidR="00564405">
        <w:t xml:space="preserve"> </w:t>
      </w:r>
      <w:r w:rsidRPr="0076479A">
        <w:t xml:space="preserve">(17.3%) </w:t>
      </w:r>
      <w:r>
        <w:t xml:space="preserve">vs. </w:t>
      </w:r>
      <w:r w:rsidRPr="00781311">
        <w:t>Atripla</w:t>
      </w:r>
      <w:r w:rsidR="00564405">
        <w:t xml:space="preserve"> </w:t>
      </w:r>
      <w:r w:rsidR="00F35F06">
        <w:t>group</w:t>
      </w:r>
      <w:r>
        <w:t>s (21.2%) (p=</w:t>
      </w:r>
      <w:r w:rsidRPr="0076479A">
        <w:t>0.17; Fishe</w:t>
      </w:r>
      <w:r>
        <w:t>r exact test). Rash events are described in the</w:t>
      </w:r>
      <w:r w:rsidRPr="0076479A">
        <w:t xml:space="preserve"> </w:t>
      </w:r>
      <w:r w:rsidR="00F82684">
        <w:t>EFV PI</w:t>
      </w:r>
      <w:r w:rsidR="000B6C20">
        <w:t>.</w:t>
      </w:r>
    </w:p>
    <w:p w:rsidR="00FA4091" w:rsidRPr="00857F03" w:rsidRDefault="00FA4091" w:rsidP="000B6C20">
      <w:pPr>
        <w:pStyle w:val="Heading4"/>
      </w:pPr>
      <w:bookmarkStart w:id="137" w:name="_Toc241374320"/>
      <w:bookmarkStart w:id="138" w:name="_Ref272333507"/>
      <w:bookmarkStart w:id="139" w:name="_Toc272414666"/>
      <w:bookmarkStart w:id="140" w:name="_Toc290846304"/>
      <w:bookmarkStart w:id="141" w:name="_Toc364634637"/>
      <w:r w:rsidRPr="00857F03">
        <w:t>Deaths and other serious adverse events</w:t>
      </w:r>
      <w:bookmarkEnd w:id="137"/>
      <w:bookmarkEnd w:id="138"/>
      <w:bookmarkEnd w:id="139"/>
      <w:bookmarkEnd w:id="140"/>
      <w:bookmarkEnd w:id="141"/>
    </w:p>
    <w:p w:rsidR="00FA4091" w:rsidRPr="00F82684" w:rsidRDefault="00FA4091" w:rsidP="000B6C20">
      <w:pPr>
        <w:pStyle w:val="Heading5"/>
      </w:pPr>
      <w:r w:rsidRPr="00F82684">
        <w:t>Pivotal studies</w:t>
      </w:r>
    </w:p>
    <w:p w:rsidR="00F82684" w:rsidRDefault="00F82684" w:rsidP="000B6C20">
      <w:pPr>
        <w:pStyle w:val="Heading6"/>
      </w:pPr>
      <w:r>
        <w:t>Deaths</w:t>
      </w:r>
    </w:p>
    <w:p w:rsidR="001C138C" w:rsidRPr="000B6C20" w:rsidRDefault="00FA4091" w:rsidP="000B6C20">
      <w:pPr>
        <w:rPr>
          <w:b/>
        </w:rPr>
      </w:pPr>
      <w:r w:rsidRPr="000B6C20">
        <w:rPr>
          <w:rFonts w:cs="TimesNewRoman,Bold"/>
          <w:b/>
          <w:bCs/>
        </w:rPr>
        <w:t xml:space="preserve">No deaths in </w:t>
      </w:r>
      <w:r w:rsidRPr="000B6C20">
        <w:rPr>
          <w:b/>
        </w:rPr>
        <w:t>GS-US-264-0111 or GS-US-264-0106</w:t>
      </w:r>
      <w:r w:rsidR="001C138C" w:rsidRPr="000B6C20">
        <w:rPr>
          <w:b/>
        </w:rPr>
        <w:t>.</w:t>
      </w:r>
    </w:p>
    <w:p w:rsidR="00FA4091" w:rsidRPr="00532872" w:rsidRDefault="00FA4091" w:rsidP="000B6C20">
      <w:pPr>
        <w:rPr>
          <w:rFonts w:cs="TimesNewRoman,Bold"/>
          <w:b/>
          <w:bCs/>
        </w:rPr>
      </w:pPr>
      <w:r w:rsidRPr="0076479A">
        <w:rPr>
          <w:rFonts w:cs="TimesNewRoman,Bold"/>
          <w:b/>
          <w:bCs/>
        </w:rPr>
        <w:t xml:space="preserve">GS-US-264-0110: </w:t>
      </w:r>
      <w:r w:rsidRPr="0076479A">
        <w:t>Two subjects die</w:t>
      </w:r>
      <w:r>
        <w:t xml:space="preserve">d during the study (both in </w:t>
      </w:r>
      <w:r w:rsidRPr="00781311">
        <w:t>Atripla</w:t>
      </w:r>
      <w:r w:rsidR="00564405">
        <w:t xml:space="preserve"> </w:t>
      </w:r>
      <w:r w:rsidR="00F35F06">
        <w:t>group</w:t>
      </w:r>
      <w:r w:rsidRPr="0076479A">
        <w:t xml:space="preserve">). </w:t>
      </w:r>
      <w:r w:rsidR="00B56C0D">
        <w:t>One subject [information redacted]</w:t>
      </w:r>
      <w:r w:rsidR="00B56C0D" w:rsidRPr="0076479A">
        <w:t xml:space="preserve"> </w:t>
      </w:r>
      <w:r>
        <w:t xml:space="preserve">committed suicide </w:t>
      </w:r>
      <w:r w:rsidR="00B11D76">
        <w:t>on Day 37</w:t>
      </w:r>
      <w:r>
        <w:t xml:space="preserve"> </w:t>
      </w:r>
      <w:r w:rsidRPr="0076479A">
        <w:t>assessed as unrelated to study drug, but rathe</w:t>
      </w:r>
      <w:r w:rsidR="00F50B9B">
        <w:t>r to a pre-existing condition. One subject</w:t>
      </w:r>
      <w:r w:rsidRPr="0076479A">
        <w:t xml:space="preserve"> </w:t>
      </w:r>
      <w:r w:rsidR="008A2740">
        <w:t>[information redacted]</w:t>
      </w:r>
      <w:r w:rsidRPr="0076479A">
        <w:t xml:space="preserve"> died due </w:t>
      </w:r>
      <w:r w:rsidR="00B56C0D">
        <w:t>to septic shock on Day 331,</w:t>
      </w:r>
      <w:r w:rsidRPr="0076479A">
        <w:t xml:space="preserve"> assessed </w:t>
      </w:r>
      <w:r>
        <w:t>as not related.</w:t>
      </w:r>
    </w:p>
    <w:p w:rsidR="00F82684" w:rsidRDefault="00F82684" w:rsidP="000B6C20">
      <w:pPr>
        <w:pStyle w:val="Heading6"/>
      </w:pPr>
      <w:r>
        <w:t>SAE</w:t>
      </w:r>
    </w:p>
    <w:p w:rsidR="001C138C" w:rsidRDefault="00FA4091" w:rsidP="000B6C20">
      <w:r w:rsidRPr="00532872">
        <w:rPr>
          <w:b/>
        </w:rPr>
        <w:t>Study GS-US-264-0111</w:t>
      </w:r>
      <w:r>
        <w:rPr>
          <w:b/>
        </w:rPr>
        <w:t xml:space="preserve">: </w:t>
      </w:r>
      <w:r w:rsidRPr="00532872">
        <w:t xml:space="preserve">Two </w:t>
      </w:r>
      <w:r>
        <w:t>TE</w:t>
      </w:r>
      <w:r w:rsidRPr="00532872">
        <w:t xml:space="preserve"> SAEs occurred in 1 subject (2.0%) during Study </w:t>
      </w:r>
      <w:r w:rsidRPr="00462222">
        <w:rPr>
          <w:b/>
        </w:rPr>
        <w:t>GS-US-264-0111</w:t>
      </w:r>
      <w:r w:rsidRPr="00532872">
        <w:t>.</w:t>
      </w:r>
      <w:r>
        <w:rPr>
          <w:b/>
        </w:rPr>
        <w:t xml:space="preserve"> </w:t>
      </w:r>
      <w:r w:rsidRPr="00532872">
        <w:t xml:space="preserve">Subject </w:t>
      </w:r>
      <w:r w:rsidR="006B31E6">
        <w:t>[information redacted]</w:t>
      </w:r>
      <w:r w:rsidR="006B31E6" w:rsidRPr="0076479A">
        <w:t xml:space="preserve"> </w:t>
      </w:r>
      <w:r w:rsidRPr="00532872">
        <w:t xml:space="preserve">experienced SAEs of </w:t>
      </w:r>
      <w:r w:rsidR="006E2DCF">
        <w:t>Grade</w:t>
      </w:r>
      <w:r w:rsidRPr="00532872">
        <w:t xml:space="preserve"> 3 bradycardia and</w:t>
      </w:r>
      <w:r>
        <w:rPr>
          <w:b/>
        </w:rPr>
        <w:t xml:space="preserve"> </w:t>
      </w:r>
      <w:r w:rsidR="006E2DCF">
        <w:t>Grade</w:t>
      </w:r>
      <w:r w:rsidRPr="00532872">
        <w:t xml:space="preserve"> 3 dyspn</w:t>
      </w:r>
      <w:r>
        <w:t>o</w:t>
      </w:r>
      <w:r w:rsidRPr="00532872">
        <w:t>ea on Day 87. The dyspn</w:t>
      </w:r>
      <w:r>
        <w:t>o</w:t>
      </w:r>
      <w:r w:rsidRPr="00532872">
        <w:t>ea resolved the day of onset and the bradycardia</w:t>
      </w:r>
      <w:r>
        <w:rPr>
          <w:b/>
        </w:rPr>
        <w:t xml:space="preserve"> </w:t>
      </w:r>
      <w:r w:rsidRPr="00532872">
        <w:t>resolved on Day</w:t>
      </w:r>
      <w:r>
        <w:t xml:space="preserve"> 143. The subject was hospitalis</w:t>
      </w:r>
      <w:r w:rsidRPr="00532872">
        <w:t>ed and received medication for</w:t>
      </w:r>
      <w:r>
        <w:rPr>
          <w:b/>
        </w:rPr>
        <w:t xml:space="preserve"> </w:t>
      </w:r>
      <w:r w:rsidRPr="00532872">
        <w:t xml:space="preserve">the bradycardia. </w:t>
      </w:r>
      <w:r>
        <w:t>Study drug continued and the events were</w:t>
      </w:r>
      <w:r w:rsidR="00564405">
        <w:t xml:space="preserve"> </w:t>
      </w:r>
      <w:r>
        <w:t xml:space="preserve">not </w:t>
      </w:r>
      <w:r w:rsidR="001C138C">
        <w:t>related to study medication.</w:t>
      </w:r>
    </w:p>
    <w:p w:rsidR="001C138C" w:rsidRDefault="00FA4091" w:rsidP="000B6C20">
      <w:pPr>
        <w:rPr>
          <w:rFonts w:cs="TimesNewRoman,Bold"/>
          <w:bCs/>
        </w:rPr>
      </w:pPr>
      <w:r w:rsidRPr="00532872">
        <w:rPr>
          <w:b/>
        </w:rPr>
        <w:t>Study GS-US-264-0106</w:t>
      </w:r>
      <w:r>
        <w:rPr>
          <w:b/>
        </w:rPr>
        <w:t>:</w:t>
      </w:r>
      <w:r>
        <w:t xml:space="preserve"> TE SAEs </w:t>
      </w:r>
      <w:r w:rsidRPr="00532872">
        <w:t xml:space="preserve">reported in 5.7% of subjects in the </w:t>
      </w:r>
      <w:r>
        <w:t>Eviplera</w:t>
      </w:r>
      <w:r w:rsidR="00564405">
        <w:t xml:space="preserve"> </w:t>
      </w:r>
      <w:r w:rsidR="00F35F06">
        <w:t>group</w:t>
      </w:r>
      <w:r w:rsidRPr="00532872">
        <w:t>,</w:t>
      </w:r>
      <w:r>
        <w:t xml:space="preserve"> 5.0%</w:t>
      </w:r>
      <w:r w:rsidR="00564405">
        <w:t xml:space="preserve"> </w:t>
      </w:r>
      <w:r w:rsidRPr="00532872">
        <w:t xml:space="preserve">in the SBR </w:t>
      </w:r>
      <w:r w:rsidR="00F35F06">
        <w:t>group</w:t>
      </w:r>
      <w:r>
        <w:t xml:space="preserve">, and 5.9% </w:t>
      </w:r>
      <w:r w:rsidRPr="00532872">
        <w:t xml:space="preserve">in the Delayed Switch </w:t>
      </w:r>
      <w:r w:rsidR="00F35F06">
        <w:t>group</w:t>
      </w:r>
      <w:r w:rsidRPr="00532872">
        <w:t>.</w:t>
      </w:r>
      <w:r>
        <w:t xml:space="preserve"> </w:t>
      </w:r>
      <w:r w:rsidRPr="00532872">
        <w:t xml:space="preserve">The SOC with the most frequently reported </w:t>
      </w:r>
      <w:r>
        <w:t>TE</w:t>
      </w:r>
      <w:r w:rsidRPr="00532872">
        <w:t xml:space="preserve"> SAEs during treatment with</w:t>
      </w:r>
      <w:r>
        <w:t xml:space="preserve"> Eviplera</w:t>
      </w:r>
      <w:r w:rsidR="00564405">
        <w:t xml:space="preserve"> </w:t>
      </w:r>
      <w:r w:rsidRPr="00532872">
        <w:t>was infections and infestations</w:t>
      </w:r>
      <w:r>
        <w:t xml:space="preserve"> </w:t>
      </w:r>
      <w:r w:rsidRPr="00532872">
        <w:t xml:space="preserve">(6 subjects [1.9%]). </w:t>
      </w:r>
      <w:r>
        <w:t xml:space="preserve">The </w:t>
      </w:r>
      <w:r w:rsidRPr="00532872">
        <w:t xml:space="preserve">most frequently reported </w:t>
      </w:r>
      <w:r>
        <w:t>TE</w:t>
      </w:r>
      <w:r w:rsidRPr="00532872">
        <w:t xml:space="preserve"> SAEs</w:t>
      </w:r>
      <w:r>
        <w:t xml:space="preserve"> </w:t>
      </w:r>
      <w:r w:rsidRPr="00532872">
        <w:t xml:space="preserve">during treatment with </w:t>
      </w:r>
      <w:r>
        <w:t>Eviplera</w:t>
      </w:r>
      <w:r w:rsidR="00564405">
        <w:t xml:space="preserve"> </w:t>
      </w:r>
      <w:r w:rsidRPr="00532872">
        <w:t xml:space="preserve">for up to 24 </w:t>
      </w:r>
      <w:r>
        <w:t>Wk</w:t>
      </w:r>
      <w:r w:rsidRPr="00532872">
        <w:t xml:space="preserve">s (Delayed Switch </w:t>
      </w:r>
      <w:r w:rsidR="00F35F06">
        <w:t>group</w:t>
      </w:r>
      <w:r w:rsidRPr="00532872">
        <w:t>) was</w:t>
      </w:r>
      <w:r>
        <w:t xml:space="preserve"> </w:t>
      </w:r>
      <w:r w:rsidRPr="00532872">
        <w:t>nervous system disorders (2 subjects [1.3%]</w:t>
      </w:r>
      <w:r>
        <w:t xml:space="preserve">). </w:t>
      </w:r>
      <w:r w:rsidRPr="00532872">
        <w:t xml:space="preserve">SOC with the most frequently reported </w:t>
      </w:r>
      <w:r>
        <w:t xml:space="preserve">TE </w:t>
      </w:r>
      <w:r w:rsidRPr="00462222">
        <w:t>SAEs in subjects remaining</w:t>
      </w:r>
      <w:r>
        <w:t xml:space="preserve"> on baseline ARV regimen was infections &amp; </w:t>
      </w:r>
      <w:r w:rsidRPr="00462222">
        <w:t>infestations (5 subjects [3.1%]).</w:t>
      </w:r>
    </w:p>
    <w:p w:rsidR="001C138C" w:rsidRDefault="00FA4091" w:rsidP="000B6C20">
      <w:r w:rsidRPr="007426FE">
        <w:rPr>
          <w:b/>
        </w:rPr>
        <w:t>Study GS-US-264-0110</w:t>
      </w:r>
      <w:r w:rsidRPr="007426FE">
        <w:t xml:space="preserve">: TE </w:t>
      </w:r>
      <w:r>
        <w:t>SAEs reported in 6.9%</w:t>
      </w:r>
      <w:r w:rsidRPr="00462222">
        <w:t xml:space="preserve"> </w:t>
      </w:r>
      <w:r>
        <w:rPr>
          <w:rFonts w:cs="TimesNewRoman"/>
        </w:rPr>
        <w:t>Eviplera</w:t>
      </w:r>
      <w:r w:rsidR="00564405">
        <w:rPr>
          <w:rFonts w:cs="TimesNewRoman"/>
        </w:rPr>
        <w:t xml:space="preserve"> </w:t>
      </w:r>
      <w:r w:rsidR="00F35F06">
        <w:t>group</w:t>
      </w:r>
      <w:r>
        <w:rPr>
          <w:rFonts w:cs="TimesNewRoman"/>
        </w:rPr>
        <w:t xml:space="preserve">; </w:t>
      </w:r>
      <w:r w:rsidRPr="00462222">
        <w:t>8.9%</w:t>
      </w:r>
      <w:r>
        <w:t xml:space="preserve"> of </w:t>
      </w:r>
      <w:r w:rsidRPr="00781311">
        <w:rPr>
          <w:rFonts w:cs="TimesNewRoman"/>
        </w:rPr>
        <w:t>Atripla</w:t>
      </w:r>
      <w:r w:rsidR="00564405">
        <w:t xml:space="preserve"> </w:t>
      </w:r>
      <w:r w:rsidR="00F35F06">
        <w:t>group</w:t>
      </w:r>
      <w:r w:rsidRPr="00462222">
        <w:t xml:space="preserve">. </w:t>
      </w:r>
      <w:r>
        <w:t xml:space="preserve">TE </w:t>
      </w:r>
      <w:r w:rsidRPr="00462222">
        <w:t xml:space="preserve">SAEs reported in </w:t>
      </w:r>
      <w:r>
        <w:t>≥</w:t>
      </w:r>
      <w:r w:rsidRPr="00462222">
        <w:t xml:space="preserve">2 subjects in either treatment </w:t>
      </w:r>
      <w:r w:rsidR="00F35F06">
        <w:t>group</w:t>
      </w:r>
      <w:r>
        <w:t xml:space="preserve">: chest pain (2 subjects </w:t>
      </w:r>
      <w:r>
        <w:rPr>
          <w:rFonts w:cs="TimesNewRoman"/>
        </w:rPr>
        <w:t>Eviplera</w:t>
      </w:r>
      <w:r w:rsidR="00564405">
        <w:rPr>
          <w:rFonts w:cs="TimesNewRoman"/>
        </w:rPr>
        <w:t xml:space="preserve"> </w:t>
      </w:r>
      <w:r w:rsidR="00F35F06">
        <w:t>group</w:t>
      </w:r>
      <w:r w:rsidRPr="00462222">
        <w:t>), pyrexia</w:t>
      </w:r>
      <w:r>
        <w:t xml:space="preserve"> (2 subjects </w:t>
      </w:r>
      <w:r w:rsidRPr="00781311">
        <w:rPr>
          <w:rFonts w:cs="TimesNewRoman"/>
        </w:rPr>
        <w:t>Atripla</w:t>
      </w:r>
      <w:r w:rsidR="00564405">
        <w:t xml:space="preserve"> </w:t>
      </w:r>
      <w:r w:rsidR="00F35F06">
        <w:t>group</w:t>
      </w:r>
      <w:r w:rsidRPr="00462222">
        <w:t>), n</w:t>
      </w:r>
      <w:r>
        <w:t xml:space="preserve">eurosyphilis (2 subjects </w:t>
      </w:r>
      <w:r w:rsidRPr="00462222">
        <w:t>Atripla</w:t>
      </w:r>
      <w:r>
        <w:rPr>
          <w:rFonts w:cs="TimesNewRoman"/>
        </w:rPr>
        <w:t xml:space="preserve"> </w:t>
      </w:r>
      <w:r w:rsidR="00F35F06">
        <w:t>group</w:t>
      </w:r>
      <w:r w:rsidRPr="00462222">
        <w:t>)</w:t>
      </w:r>
      <w:r>
        <w:t xml:space="preserve">, concussion (2 subjects in </w:t>
      </w:r>
      <w:r>
        <w:rPr>
          <w:rFonts w:cs="TimesNewRoman"/>
        </w:rPr>
        <w:t>Eviplera</w:t>
      </w:r>
      <w:r w:rsidR="00564405">
        <w:rPr>
          <w:rFonts w:cs="TimesNewRoman"/>
        </w:rPr>
        <w:t xml:space="preserve"> </w:t>
      </w:r>
      <w:r w:rsidR="00F35F06">
        <w:t>group</w:t>
      </w:r>
      <w:r w:rsidRPr="00462222">
        <w:t>), depression (2 subjects</w:t>
      </w:r>
      <w:r>
        <w:rPr>
          <w:rFonts w:cs="TimesNewRoman"/>
        </w:rPr>
        <w:t xml:space="preserve"> Eviplera</w:t>
      </w:r>
      <w:r w:rsidR="00564405">
        <w:rPr>
          <w:rFonts w:cs="TimesNewRoman"/>
        </w:rPr>
        <w:t xml:space="preserve"> </w:t>
      </w:r>
      <w:r w:rsidR="00F35F06">
        <w:t>group</w:t>
      </w:r>
      <w:r>
        <w:t xml:space="preserve">; 1 subject </w:t>
      </w:r>
      <w:r w:rsidRPr="00781311">
        <w:rPr>
          <w:rFonts w:cs="TimesNewRoman"/>
        </w:rPr>
        <w:t>Atripla</w:t>
      </w:r>
      <w:r w:rsidR="00564405">
        <w:t xml:space="preserve"> </w:t>
      </w:r>
      <w:r w:rsidR="00F35F06">
        <w:t>group</w:t>
      </w:r>
      <w:r>
        <w:t>), suicide attempt (1 subject</w:t>
      </w:r>
      <w:r>
        <w:rPr>
          <w:rFonts w:cs="TimesNewRoman"/>
        </w:rPr>
        <w:t xml:space="preserve"> Eviplera</w:t>
      </w:r>
      <w:r w:rsidR="00564405">
        <w:rPr>
          <w:rFonts w:cs="TimesNewRoman"/>
        </w:rPr>
        <w:t xml:space="preserve"> </w:t>
      </w:r>
      <w:r w:rsidR="00F35F06">
        <w:t>group</w:t>
      </w:r>
      <w:r>
        <w:t xml:space="preserve">; 2 subjects </w:t>
      </w:r>
      <w:r w:rsidRPr="00781311">
        <w:rPr>
          <w:rFonts w:cs="TimesNewRoman"/>
        </w:rPr>
        <w:t>Atripla</w:t>
      </w:r>
      <w:r w:rsidR="00564405">
        <w:t xml:space="preserve"> </w:t>
      </w:r>
      <w:r w:rsidR="00F35F06">
        <w:t>group</w:t>
      </w:r>
      <w:r>
        <w:t xml:space="preserve">), </w:t>
      </w:r>
      <w:r w:rsidRPr="00462222">
        <w:t>nephrolithiasis (2 subjects</w:t>
      </w:r>
      <w:r>
        <w:t xml:space="preserve"> </w:t>
      </w:r>
      <w:r>
        <w:rPr>
          <w:rFonts w:cs="TimesNewRoman"/>
        </w:rPr>
        <w:t>Eviplera</w:t>
      </w:r>
      <w:r w:rsidR="00564405">
        <w:rPr>
          <w:rFonts w:cs="TimesNewRoman"/>
        </w:rPr>
        <w:t xml:space="preserve"> </w:t>
      </w:r>
      <w:r w:rsidR="00F35F06">
        <w:t>group</w:t>
      </w:r>
      <w:r>
        <w:t xml:space="preserve">; 1 subject </w:t>
      </w:r>
      <w:r w:rsidRPr="00781311">
        <w:rPr>
          <w:rFonts w:cs="TimesNewRoman"/>
        </w:rPr>
        <w:t>Atripla</w:t>
      </w:r>
      <w:r w:rsidR="00564405">
        <w:t xml:space="preserve"> </w:t>
      </w:r>
      <w:r w:rsidR="00F35F06">
        <w:t>group</w:t>
      </w:r>
      <w:r w:rsidRPr="00462222">
        <w:t>).</w:t>
      </w:r>
      <w:r>
        <w:t xml:space="preserve"> SOC with </w:t>
      </w:r>
      <w:r w:rsidRPr="00462222">
        <w:t xml:space="preserve">most frequently reported </w:t>
      </w:r>
      <w:r>
        <w:t xml:space="preserve">TE SAEs was infections &amp; infestations (1.3% </w:t>
      </w:r>
      <w:r>
        <w:rPr>
          <w:rFonts w:cs="TimesNewRoman"/>
        </w:rPr>
        <w:t>Eviplera</w:t>
      </w:r>
      <w:r w:rsidR="00564405">
        <w:rPr>
          <w:rFonts w:cs="TimesNewRoman"/>
        </w:rPr>
        <w:t xml:space="preserve"> </w:t>
      </w:r>
      <w:r w:rsidR="00F35F06">
        <w:t>group</w:t>
      </w:r>
      <w:r>
        <w:t xml:space="preserve">; 2.6% </w:t>
      </w:r>
      <w:r w:rsidRPr="00781311">
        <w:rPr>
          <w:rFonts w:cs="TimesNewRoman"/>
        </w:rPr>
        <w:t>Atripla</w:t>
      </w:r>
      <w:r w:rsidR="00564405">
        <w:t xml:space="preserve"> </w:t>
      </w:r>
      <w:r w:rsidR="00F35F06">
        <w:t>group</w:t>
      </w:r>
      <w:r w:rsidRPr="00462222">
        <w:t>),</w:t>
      </w:r>
      <w:r>
        <w:t xml:space="preserve"> </w:t>
      </w:r>
      <w:r w:rsidRPr="00462222">
        <w:t>psy</w:t>
      </w:r>
      <w:r>
        <w:t xml:space="preserve">chiatric disorders (1.3% in </w:t>
      </w:r>
      <w:r>
        <w:rPr>
          <w:rFonts w:cs="TimesNewRoman"/>
        </w:rPr>
        <w:t>Eviplera</w:t>
      </w:r>
      <w:r w:rsidR="00564405">
        <w:rPr>
          <w:rFonts w:cs="TimesNewRoman"/>
        </w:rPr>
        <w:t xml:space="preserve"> </w:t>
      </w:r>
      <w:r w:rsidR="00F35F06">
        <w:t>group</w:t>
      </w:r>
      <w:r>
        <w:t xml:space="preserve"> and 1.5% in </w:t>
      </w:r>
      <w:r w:rsidRPr="00781311">
        <w:rPr>
          <w:rFonts w:cs="TimesNewRoman"/>
        </w:rPr>
        <w:t>Atripla</w:t>
      </w:r>
      <w:r w:rsidR="00564405">
        <w:t xml:space="preserve"> </w:t>
      </w:r>
      <w:r w:rsidR="00F35F06">
        <w:t>group</w:t>
      </w:r>
      <w:r w:rsidRPr="00462222">
        <w:t xml:space="preserve">), injury, poisoning, and procedural </w:t>
      </w:r>
      <w:r w:rsidRPr="00A80F1D">
        <w:t>complicati</w:t>
      </w:r>
      <w:r>
        <w:t xml:space="preserve">ons (1.0% </w:t>
      </w:r>
      <w:r w:rsidRPr="00A80F1D">
        <w:t xml:space="preserve">each treatment </w:t>
      </w:r>
      <w:r w:rsidR="00F35F06">
        <w:t>group</w:t>
      </w:r>
      <w:r w:rsidRPr="00A80F1D">
        <w:t>).</w:t>
      </w:r>
    </w:p>
    <w:p w:rsidR="00FA4091" w:rsidRPr="009D4E83" w:rsidRDefault="00FA4091" w:rsidP="000B6C20">
      <w:r w:rsidRPr="00A80F1D">
        <w:rPr>
          <w:b/>
        </w:rPr>
        <w:t>Pregnancy</w:t>
      </w:r>
      <w:r w:rsidRPr="00A80F1D">
        <w:t>: n=3</w:t>
      </w:r>
      <w:r>
        <w:t xml:space="preserve"> in</w:t>
      </w:r>
      <w:r w:rsidRPr="00A80F1D">
        <w:rPr>
          <w:rFonts w:cs="TimesNewRoman,Bold"/>
          <w:b/>
          <w:bCs/>
        </w:rPr>
        <w:t xml:space="preserve"> </w:t>
      </w:r>
      <w:r w:rsidRPr="007426FE">
        <w:rPr>
          <w:rFonts w:cs="TimesNewRoman,Bold"/>
          <w:b/>
          <w:bCs/>
        </w:rPr>
        <w:t>GS-US-264-0110</w:t>
      </w:r>
      <w:r w:rsidRPr="00A80F1D">
        <w:t>, incl</w:t>
      </w:r>
      <w:r>
        <w:t xml:space="preserve">. 1 partner pregnancy, </w:t>
      </w:r>
      <w:r w:rsidRPr="00A80F1D">
        <w:t xml:space="preserve">reported through </w:t>
      </w:r>
      <w:r>
        <w:t>Wk</w:t>
      </w:r>
      <w:r w:rsidRPr="00A80F1D">
        <w:t xml:space="preserve"> 48 </w:t>
      </w:r>
      <w:r>
        <w:t xml:space="preserve">(all </w:t>
      </w:r>
      <w:proofErr w:type="gramStart"/>
      <w:r w:rsidRPr="00A80F1D">
        <w:t>Eviplera</w:t>
      </w:r>
      <w:r w:rsidR="00564405">
        <w:t xml:space="preserve"> </w:t>
      </w:r>
      <w:r w:rsidRPr="00A80F1D">
        <w:t>,</w:t>
      </w:r>
      <w:proofErr w:type="gramEnd"/>
      <w:r w:rsidRPr="00A80F1D">
        <w:t xml:space="preserve"> </w:t>
      </w:r>
      <w:r w:rsidR="00F35F06">
        <w:t>group</w:t>
      </w:r>
      <w:r>
        <w:t xml:space="preserve">). One </w:t>
      </w:r>
      <w:r w:rsidRPr="00A80F1D">
        <w:t xml:space="preserve">subject had a </w:t>
      </w:r>
      <w:r>
        <w:t>first trimester spontaneous abortion; t</w:t>
      </w:r>
      <w:r w:rsidRPr="00A80F1D">
        <w:t>he other 2 pregnanc</w:t>
      </w:r>
      <w:r>
        <w:t>ies (incl. partner pregnancy) were ongoing at WK 48 analysis</w:t>
      </w:r>
      <w:r w:rsidRPr="00A80F1D">
        <w:t xml:space="preserve"> data cut-off</w:t>
      </w:r>
      <w:r w:rsidR="000B6C20">
        <w:t>:</w:t>
      </w:r>
    </w:p>
    <w:p w:rsidR="00FA4091" w:rsidRPr="00857F03" w:rsidRDefault="00FA4091" w:rsidP="000B6C20">
      <w:pPr>
        <w:pStyle w:val="Heading4"/>
      </w:pPr>
      <w:bookmarkStart w:id="142" w:name="_Toc241374325"/>
      <w:bookmarkStart w:id="143" w:name="_Ref272333477"/>
      <w:bookmarkStart w:id="144" w:name="_Toc272414667"/>
      <w:bookmarkStart w:id="145" w:name="_Toc290846305"/>
      <w:bookmarkStart w:id="146" w:name="_Toc364634638"/>
      <w:r w:rsidRPr="00857F03">
        <w:t>Discontinuation due to adverse events</w:t>
      </w:r>
      <w:bookmarkEnd w:id="142"/>
      <w:bookmarkEnd w:id="143"/>
      <w:bookmarkEnd w:id="144"/>
      <w:bookmarkEnd w:id="145"/>
      <w:bookmarkEnd w:id="146"/>
    </w:p>
    <w:p w:rsidR="00FA4091" w:rsidRPr="00F82684" w:rsidRDefault="00FA4091" w:rsidP="000B6C20">
      <w:pPr>
        <w:pStyle w:val="Heading5"/>
      </w:pPr>
      <w:r w:rsidRPr="00F82684">
        <w:t>Pivotal studies</w:t>
      </w:r>
    </w:p>
    <w:p w:rsidR="00F82684" w:rsidRDefault="00FA4091" w:rsidP="000B6C20">
      <w:r>
        <w:t xml:space="preserve">Overall rates </w:t>
      </w:r>
      <w:r w:rsidR="00B11D76">
        <w:t xml:space="preserve">of discontinuations </w:t>
      </w:r>
      <w:r w:rsidRPr="009A57B8">
        <w:t xml:space="preserve">were very low; in </w:t>
      </w:r>
      <w:r w:rsidRPr="0034455A">
        <w:rPr>
          <w:b/>
        </w:rPr>
        <w:t>GS-US-264-0110</w:t>
      </w:r>
      <w:r w:rsidRPr="009A57B8">
        <w:t>, rates</w:t>
      </w:r>
      <w:r w:rsidRPr="00732DD1">
        <w:t xml:space="preserve"> were significantly higher with Atripla</w:t>
      </w:r>
      <w:r w:rsidR="00564405">
        <w:t xml:space="preserve"> </w:t>
      </w:r>
      <w:r>
        <w:t>(8.7%)</w:t>
      </w:r>
      <w:r w:rsidRPr="00732DD1">
        <w:t xml:space="preserve"> </w:t>
      </w:r>
      <w:r>
        <w:t>vs.</w:t>
      </w:r>
      <w:r w:rsidRPr="00732DD1">
        <w:t xml:space="preserve"> Eviplera</w:t>
      </w:r>
      <w:r w:rsidR="00564405">
        <w:t xml:space="preserve"> </w:t>
      </w:r>
      <w:r>
        <w:t xml:space="preserve">(2.5%). Seven subjects (all </w:t>
      </w:r>
      <w:r w:rsidRPr="00732DD1">
        <w:t>Atripla</w:t>
      </w:r>
      <w:r w:rsidRPr="00A7188E">
        <w:t xml:space="preserve">) experienced </w:t>
      </w:r>
      <w:r>
        <w:t xml:space="preserve">TE SAEs </w:t>
      </w:r>
      <w:r w:rsidRPr="00A7188E">
        <w:t xml:space="preserve">considered study drug </w:t>
      </w:r>
      <w:r>
        <w:t>related</w:t>
      </w:r>
      <w:r w:rsidRPr="00A7188E">
        <w:t>. Study drug-related SAEs included</w:t>
      </w:r>
      <w:r>
        <w:t xml:space="preserve"> </w:t>
      </w:r>
      <w:r w:rsidRPr="00A7188E">
        <w:t>suicide attempt, suicidal idea</w:t>
      </w:r>
      <w:r>
        <w:t xml:space="preserve">tion, bipolar </w:t>
      </w:r>
      <w:r w:rsidRPr="00A7188E">
        <w:t>disorder, major depression, liver injury, pyrexia,</w:t>
      </w:r>
      <w:r>
        <w:t xml:space="preserve"> hypersensitivity, </w:t>
      </w:r>
      <w:r w:rsidRPr="00A7188E">
        <w:t>femoral neck fracture.</w:t>
      </w:r>
      <w:r>
        <w:t xml:space="preserve"> Seven subjects (1 in Eviplera </w:t>
      </w:r>
      <w:r w:rsidR="00F35F06">
        <w:t>group</w:t>
      </w:r>
      <w:r>
        <w:t xml:space="preserve">; 6 in </w:t>
      </w:r>
      <w:r w:rsidRPr="00781311">
        <w:t>Atripla</w:t>
      </w:r>
      <w:r w:rsidR="00564405">
        <w:t xml:space="preserve"> </w:t>
      </w:r>
      <w:r w:rsidR="00F35F06">
        <w:t>group</w:t>
      </w:r>
      <w:r w:rsidRPr="00A7188E">
        <w:t>) experienced</w:t>
      </w:r>
      <w:r>
        <w:t xml:space="preserve"> </w:t>
      </w:r>
      <w:r w:rsidRPr="00A7188E">
        <w:t>treatment-</w:t>
      </w:r>
      <w:r w:rsidRPr="00A7188E">
        <w:lastRenderedPageBreak/>
        <w:t>emergent SAEs that resulted in permanent discontinuation of study drug.</w:t>
      </w:r>
      <w:r>
        <w:t xml:space="preserve"> </w:t>
      </w:r>
      <w:r w:rsidRPr="00A7188E">
        <w:t>Subjects 0112-9750 (</w:t>
      </w:r>
      <w:r w:rsidRPr="00781311">
        <w:t>Atripla</w:t>
      </w:r>
      <w:r w:rsidR="00564405">
        <w:t xml:space="preserve"> </w:t>
      </w:r>
      <w:r w:rsidR="00F35F06">
        <w:t>group</w:t>
      </w:r>
      <w:r w:rsidRPr="00A7188E">
        <w:t xml:space="preserve">; testicular germ cell </w:t>
      </w:r>
      <w:r>
        <w:t>cancer), 0310-9293 (</w:t>
      </w:r>
      <w:r w:rsidRPr="00781311">
        <w:t>Atripla</w:t>
      </w:r>
      <w:r w:rsidR="00564405">
        <w:t xml:space="preserve"> </w:t>
      </w:r>
      <w:r w:rsidR="00F35F06">
        <w:t>group</w:t>
      </w:r>
      <w:r w:rsidRPr="00A7188E">
        <w:t>;</w:t>
      </w:r>
      <w:r>
        <w:t xml:space="preserve"> </w:t>
      </w:r>
      <w:r w:rsidRPr="00A7188E">
        <w:t>liver injury), 0731-9549 (</w:t>
      </w:r>
      <w:r w:rsidRPr="00781311">
        <w:t>Atripla</w:t>
      </w:r>
      <w:r w:rsidR="00564405">
        <w:t xml:space="preserve"> </w:t>
      </w:r>
      <w:r w:rsidR="00F35F06">
        <w:t>group</w:t>
      </w:r>
      <w:r w:rsidRPr="00A7188E">
        <w:t>; hepatic enzyme increased), 1407-9323</w:t>
      </w:r>
      <w:r>
        <w:t xml:space="preserve"> </w:t>
      </w:r>
      <w:r w:rsidRPr="00A7188E">
        <w:t>(</w:t>
      </w:r>
      <w:r>
        <w:t xml:space="preserve">Eviplera </w:t>
      </w:r>
      <w:r w:rsidR="00F35F06">
        <w:t>group</w:t>
      </w:r>
      <w:r w:rsidRPr="00A7188E">
        <w:t xml:space="preserve">; </w:t>
      </w:r>
      <w:r>
        <w:t>CVA), 1965-9046 (</w:t>
      </w:r>
      <w:r w:rsidRPr="00781311">
        <w:t>Atripla</w:t>
      </w:r>
      <w:r w:rsidR="00564405">
        <w:t xml:space="preserve"> </w:t>
      </w:r>
      <w:r w:rsidR="00F35F06">
        <w:t>group</w:t>
      </w:r>
      <w:r w:rsidRPr="00A7188E">
        <w:t>; completed</w:t>
      </w:r>
      <w:r>
        <w:t xml:space="preserve"> </w:t>
      </w:r>
      <w:r w:rsidRPr="00A7188E">
        <w:t>suicide and asphyxia), 1967-9250 (</w:t>
      </w:r>
      <w:r w:rsidRPr="00781311">
        <w:t>Atripla</w:t>
      </w:r>
      <w:r w:rsidR="00564405">
        <w:t xml:space="preserve"> </w:t>
      </w:r>
      <w:r w:rsidR="00F35F06">
        <w:t>group</w:t>
      </w:r>
      <w:r w:rsidRPr="00A7188E">
        <w:t>; pyrexia and hypersensitivity), and</w:t>
      </w:r>
      <w:r>
        <w:t xml:space="preserve"> 5545-9386 (</w:t>
      </w:r>
      <w:r w:rsidRPr="00781311">
        <w:t>Atripla</w:t>
      </w:r>
      <w:r w:rsidR="00564405">
        <w:t xml:space="preserve"> </w:t>
      </w:r>
      <w:r w:rsidR="00F35F06">
        <w:t>group</w:t>
      </w:r>
      <w:r w:rsidRPr="00A7188E">
        <w:t xml:space="preserve">; suicidal ideation) had </w:t>
      </w:r>
      <w:r>
        <w:t>TE</w:t>
      </w:r>
      <w:r w:rsidRPr="00A7188E">
        <w:t xml:space="preserve"> SAEs resulting in</w:t>
      </w:r>
      <w:r>
        <w:t xml:space="preserve"> </w:t>
      </w:r>
      <w:r w:rsidRPr="00A7188E">
        <w:t>permanent discontinuation of study drug. The SAEs of liver injury, hepatic enzyme</w:t>
      </w:r>
      <w:r>
        <w:t xml:space="preserve"> increase</w:t>
      </w:r>
      <w:r w:rsidRPr="00A7188E">
        <w:t>,</w:t>
      </w:r>
      <w:r>
        <w:t xml:space="preserve"> pyrexia, hypersensitivity, </w:t>
      </w:r>
      <w:r w:rsidRPr="00A7188E">
        <w:t>suicidal ideation leading to study drug</w:t>
      </w:r>
      <w:r>
        <w:t xml:space="preserve"> </w:t>
      </w:r>
      <w:r w:rsidRPr="00A7188E">
        <w:t xml:space="preserve">discontinuation were considered </w:t>
      </w:r>
      <w:r w:rsidRPr="00C26DFB">
        <w:rPr>
          <w:b/>
        </w:rPr>
        <w:t>related</w:t>
      </w:r>
      <w:r w:rsidR="00F82684">
        <w:t xml:space="preserve"> to study drug</w:t>
      </w:r>
      <w:r w:rsidRPr="00A7188E">
        <w:t>.</w:t>
      </w:r>
    </w:p>
    <w:p w:rsidR="00FA4091" w:rsidRPr="009D4E83" w:rsidRDefault="009A57B8" w:rsidP="000B6C20">
      <w:r>
        <w:rPr>
          <w:rFonts w:cs="TimesNewRoman,Bold"/>
          <w:bCs/>
        </w:rPr>
        <w:t xml:space="preserve">In </w:t>
      </w:r>
      <w:r w:rsidRPr="0034455A">
        <w:rPr>
          <w:rFonts w:cs="TimesNewRoman,Bold"/>
          <w:b/>
          <w:bCs/>
        </w:rPr>
        <w:t>GS-US-264-0106</w:t>
      </w:r>
      <w:r>
        <w:rPr>
          <w:rFonts w:cs="TimesNewRoman,Bold"/>
          <w:bCs/>
        </w:rPr>
        <w:t xml:space="preserve">, </w:t>
      </w:r>
      <w:r w:rsidR="00FA4091" w:rsidRPr="009A57B8">
        <w:t>13</w:t>
      </w:r>
      <w:r w:rsidR="00FA4091">
        <w:t xml:space="preserve"> subjects</w:t>
      </w:r>
      <w:r w:rsidR="00FA4091" w:rsidRPr="00E51288">
        <w:t xml:space="preserve"> permanently d</w:t>
      </w:r>
      <w:r w:rsidR="00FA4091">
        <w:t xml:space="preserve">iscontinued study drug due to </w:t>
      </w:r>
      <w:r w:rsidR="00FA4091" w:rsidRPr="00E51288">
        <w:t>TE AE (7 in Eviplera</w:t>
      </w:r>
      <w:r w:rsidR="00FA4091">
        <w:t xml:space="preserve"> </w:t>
      </w:r>
      <w:r w:rsidR="00F35F06">
        <w:t>group</w:t>
      </w:r>
      <w:r w:rsidR="00FA4091">
        <w:t xml:space="preserve">; 6 in </w:t>
      </w:r>
      <w:r w:rsidR="00FA4091" w:rsidRPr="00E51288">
        <w:t xml:space="preserve">Delayed Switch </w:t>
      </w:r>
      <w:r w:rsidR="00F35F06">
        <w:t>group</w:t>
      </w:r>
      <w:r w:rsidR="00FA4091">
        <w:t>). Of these 13</w:t>
      </w:r>
      <w:r w:rsidR="00FA4091" w:rsidRPr="00E51288">
        <w:t>, 12 discontinued study dru</w:t>
      </w:r>
      <w:r w:rsidR="00FA4091">
        <w:t>g before W</w:t>
      </w:r>
      <w:r w:rsidR="00FA4091" w:rsidRPr="00E51288">
        <w:t xml:space="preserve">k 48 and 1 subject (1221-3416 [Delayed Switch </w:t>
      </w:r>
      <w:r w:rsidR="00F35F06">
        <w:t>group</w:t>
      </w:r>
      <w:r w:rsidR="00FA4091" w:rsidRPr="00E51288">
        <w:t xml:space="preserve">]) discontinued study drug due to </w:t>
      </w:r>
      <w:r w:rsidR="00FA4091">
        <w:t xml:space="preserve">an </w:t>
      </w:r>
      <w:r w:rsidR="00FA4091" w:rsidRPr="00E51288">
        <w:t xml:space="preserve">AE </w:t>
      </w:r>
      <w:r w:rsidR="00FA4091">
        <w:t>after W</w:t>
      </w:r>
      <w:r w:rsidR="00FA4091" w:rsidRPr="00E51288">
        <w:t>k 48. No subjects discontinued from the study due to a TEAE while remaining on their basel</w:t>
      </w:r>
      <w:r w:rsidR="00FA4091">
        <w:t>ine ARV regimen</w:t>
      </w:r>
      <w:r w:rsidR="00FA4091" w:rsidRPr="00E51288">
        <w:t>. TEAEs of depression led to disco</w:t>
      </w:r>
      <w:r w:rsidR="00FA4091">
        <w:t xml:space="preserve">ntinuation of 2 subjects in the </w:t>
      </w:r>
      <w:r w:rsidR="00FA4091" w:rsidRPr="00E51288">
        <w:t>Eviplera</w:t>
      </w:r>
      <w:r w:rsidR="00FA4091">
        <w:t xml:space="preserve"> </w:t>
      </w:r>
      <w:r w:rsidR="00F35F06">
        <w:t>group</w:t>
      </w:r>
      <w:r w:rsidR="00FA4091" w:rsidRPr="00E51288">
        <w:t>, and AEs of insomnia led to discontinuation of 1 subject in the Eviplera</w:t>
      </w:r>
      <w:r w:rsidR="00FA4091">
        <w:t xml:space="preserve"> </w:t>
      </w:r>
      <w:r w:rsidR="00F35F06">
        <w:t>group</w:t>
      </w:r>
      <w:r w:rsidR="00FA4091">
        <w:t xml:space="preserve"> and 1 subject in </w:t>
      </w:r>
      <w:r w:rsidR="00FA4091" w:rsidRPr="00E51288">
        <w:t xml:space="preserve">Delayed Switch </w:t>
      </w:r>
      <w:r w:rsidR="00F35F06">
        <w:t>group</w:t>
      </w:r>
      <w:r w:rsidR="00FA4091" w:rsidRPr="00E51288">
        <w:t>. All other TEAEs resulting in dis</w:t>
      </w:r>
      <w:r w:rsidR="00FA4091">
        <w:t xml:space="preserve">continuation of study drug </w:t>
      </w:r>
      <w:r w:rsidR="00FA4091" w:rsidRPr="00E51288">
        <w:t>reported in 1 subject each.</w:t>
      </w:r>
    </w:p>
    <w:p w:rsidR="00FA4091" w:rsidRDefault="00FA4091" w:rsidP="000B6C20">
      <w:pPr>
        <w:pStyle w:val="Heading3"/>
      </w:pPr>
      <w:bookmarkStart w:id="147" w:name="_Toc241374321"/>
      <w:bookmarkStart w:id="148" w:name="_Ref271044780"/>
      <w:bookmarkStart w:id="149" w:name="_Ref271196640"/>
      <w:bookmarkStart w:id="150" w:name="_Ref272333085"/>
      <w:bookmarkStart w:id="151" w:name="_Toc272414668"/>
      <w:bookmarkStart w:id="152" w:name="_Toc290846306"/>
      <w:bookmarkStart w:id="153" w:name="_Toc364634639"/>
      <w:bookmarkStart w:id="154" w:name="_Toc396308676"/>
      <w:r w:rsidRPr="00857F03">
        <w:t>Laboratory tests</w:t>
      </w:r>
      <w:bookmarkEnd w:id="147"/>
      <w:bookmarkEnd w:id="148"/>
      <w:bookmarkEnd w:id="149"/>
      <w:bookmarkEnd w:id="150"/>
      <w:bookmarkEnd w:id="151"/>
      <w:bookmarkEnd w:id="152"/>
      <w:bookmarkEnd w:id="153"/>
      <w:bookmarkEnd w:id="154"/>
    </w:p>
    <w:p w:rsidR="00F82684" w:rsidRDefault="00FA4091" w:rsidP="000B6C20">
      <w:pPr>
        <w:rPr>
          <w:rFonts w:cs="TimesNewRoman,Bold"/>
          <w:b/>
          <w:bCs/>
        </w:rPr>
      </w:pPr>
      <w:r w:rsidRPr="007D324F">
        <w:rPr>
          <w:rFonts w:cs="TimesNewRoman,Bold"/>
          <w:b/>
          <w:bCs/>
        </w:rPr>
        <w:t>GS-US-264-0111</w:t>
      </w:r>
      <w:r w:rsidRPr="007D324F">
        <w:rPr>
          <w:b/>
        </w:rPr>
        <w:t>:</w:t>
      </w:r>
      <w:r w:rsidRPr="007D324F">
        <w:t xml:space="preserve"> The majority of TE lab abnormalities reported as </w:t>
      </w:r>
      <w:r w:rsidR="006E2DCF">
        <w:t>Grade</w:t>
      </w:r>
      <w:r w:rsidRPr="007D324F">
        <w:t xml:space="preserve"> 1 or</w:t>
      </w:r>
      <w:r w:rsidRPr="007D324F">
        <w:rPr>
          <w:rFonts w:cs="TimesNewRoman,Bold"/>
          <w:b/>
          <w:bCs/>
        </w:rPr>
        <w:t xml:space="preserve"> </w:t>
      </w:r>
      <w:r w:rsidR="006E2DCF">
        <w:t>Grade</w:t>
      </w:r>
      <w:r w:rsidRPr="007D324F">
        <w:t xml:space="preserve"> 2.</w:t>
      </w:r>
      <w:r w:rsidR="00564405">
        <w:t xml:space="preserve"> </w:t>
      </w:r>
      <w:r w:rsidR="006E2DCF">
        <w:t>Grade</w:t>
      </w:r>
      <w:r w:rsidRPr="007D324F">
        <w:t xml:space="preserve"> 1 lab abnormalities reported in 23 of 49 subjects (46.9%) and </w:t>
      </w:r>
      <w:r w:rsidR="006E2DCF">
        <w:t>Grade</w:t>
      </w:r>
      <w:r w:rsidRPr="007D324F">
        <w:t xml:space="preserve"> 2 lab abnormalities reported in 8 of 49 subjects (16.3%). </w:t>
      </w:r>
      <w:r w:rsidR="006E2DCF">
        <w:t>Grade</w:t>
      </w:r>
      <w:r w:rsidRPr="007D324F">
        <w:t xml:space="preserve"> 3 lab abnormalities reported in 3 of 49 subjects (6.1%) and a </w:t>
      </w:r>
      <w:r w:rsidR="006E2DCF">
        <w:t>Grade</w:t>
      </w:r>
      <w:r w:rsidRPr="007D324F">
        <w:t xml:space="preserve"> 4 lab abnormality reported in 1 subject (2.0%).</w:t>
      </w:r>
      <w:r w:rsidR="00564405">
        <w:t xml:space="preserve"> </w:t>
      </w:r>
      <w:r w:rsidRPr="007D324F">
        <w:rPr>
          <w:rFonts w:cs="TimesNewRoman,Bold"/>
          <w:b/>
          <w:bCs/>
        </w:rPr>
        <w:t xml:space="preserve">GS-US-264-0106 </w:t>
      </w:r>
      <w:r w:rsidRPr="007D324F">
        <w:t>The majority of TE laboratory ab</w:t>
      </w:r>
      <w:r>
        <w:t xml:space="preserve">normalities were reported as </w:t>
      </w:r>
      <w:r w:rsidR="006E2DCF">
        <w:t>Grade</w:t>
      </w:r>
      <w:r>
        <w:t xml:space="preserve"> 1 or </w:t>
      </w:r>
      <w:r w:rsidR="006E2DCF">
        <w:t>Grade</w:t>
      </w:r>
      <w:r w:rsidRPr="007D324F">
        <w:t xml:space="preserve"> 2. </w:t>
      </w:r>
      <w:r w:rsidR="006E2DCF">
        <w:t>Grade</w:t>
      </w:r>
      <w:r w:rsidRPr="007D324F">
        <w:t xml:space="preserve"> 3 or 4 TE laboratory abnormalities reported in more than 2 subjects in the Eviplera</w:t>
      </w:r>
      <w:r w:rsidR="00564405">
        <w:t xml:space="preserve"> </w:t>
      </w:r>
      <w:r w:rsidR="00F35F06">
        <w:t>group</w:t>
      </w:r>
      <w:r w:rsidRPr="007D324F">
        <w:t xml:space="preserve"> included increased CK (8 subjects), elevated ALT (5 subjects), elevated AST (5 subjects), decreased absolute neutrophil count (3 subjects), increased amylase (3 subjects), increased lipase (3 subjects), and h</w:t>
      </w:r>
      <w:r>
        <w:t>a</w:t>
      </w:r>
      <w:r w:rsidRPr="007D324F">
        <w:t xml:space="preserve">ematuria (5 subjects). </w:t>
      </w:r>
      <w:r w:rsidR="006E2DCF">
        <w:t>Grade</w:t>
      </w:r>
      <w:r w:rsidRPr="007D324F">
        <w:t xml:space="preserve"> 3 or 4 TE laboratory abnormalities reported in more than 2 subjects in the SBR </w:t>
      </w:r>
      <w:r w:rsidR="00F35F06">
        <w:t>group</w:t>
      </w:r>
      <w:r w:rsidRPr="007D324F">
        <w:t xml:space="preserve"> included increased bilirubin (10 subjects), increased </w:t>
      </w:r>
      <w:r>
        <w:t>CK</w:t>
      </w:r>
      <w:r w:rsidRPr="007D324F">
        <w:t xml:space="preserve"> (3 subjects), and elevated AST (3 subjects). After subjects in the SBR </w:t>
      </w:r>
      <w:r w:rsidR="00F35F06">
        <w:t>group</w:t>
      </w:r>
      <w:r w:rsidRPr="007D324F">
        <w:t xml:space="preserve"> switched to Eviplera</w:t>
      </w:r>
      <w:r w:rsidR="00564405">
        <w:t xml:space="preserve"> </w:t>
      </w:r>
      <w:r w:rsidRPr="007D324F">
        <w:t xml:space="preserve">at Wk 24, </w:t>
      </w:r>
      <w:r w:rsidR="006E2DCF">
        <w:t>Grade</w:t>
      </w:r>
      <w:r w:rsidRPr="007D324F">
        <w:t xml:space="preserve"> 3 or 4 TE lab abnormalities reported in &gt;2 subjects in the Delayed Switch </w:t>
      </w:r>
      <w:r w:rsidR="00F35F06">
        <w:t>group</w:t>
      </w:r>
      <w:r w:rsidRPr="007D324F">
        <w:t xml:space="preserve"> (Wks 24</w:t>
      </w:r>
      <w:r w:rsidRPr="007D324F">
        <w:rPr>
          <w:rFonts w:cs="Symbol"/>
        </w:rPr>
        <w:t>−</w:t>
      </w:r>
      <w:r w:rsidRPr="007D324F">
        <w:t>48) included increased CK (7 subjects), elevated ALT (7 subjects), and elevated AST (3 subjects).</w:t>
      </w:r>
    </w:p>
    <w:p w:rsidR="00FA4091" w:rsidRPr="00631773" w:rsidRDefault="00FA4091" w:rsidP="000B6C20">
      <w:pPr>
        <w:rPr>
          <w:rFonts w:cs="TimesNewRoman,Bold"/>
          <w:b/>
          <w:bCs/>
          <w:color w:val="000000"/>
        </w:rPr>
      </w:pPr>
      <w:r w:rsidRPr="007D324F">
        <w:rPr>
          <w:rFonts w:cs="TimesNewRoman,Bold"/>
          <w:b/>
          <w:bCs/>
        </w:rPr>
        <w:t xml:space="preserve">GS-US-264-0110: </w:t>
      </w:r>
      <w:r w:rsidRPr="007D324F">
        <w:t>majority of TE laboratory ab</w:t>
      </w:r>
      <w:r>
        <w:t xml:space="preserve">normalities reported as </w:t>
      </w:r>
      <w:r w:rsidR="006E2DCF">
        <w:t>Grade</w:t>
      </w:r>
      <w:r>
        <w:t xml:space="preserve">s 1 or 2. </w:t>
      </w:r>
      <w:r w:rsidR="006E2DCF">
        <w:t>Grade</w:t>
      </w:r>
      <w:r>
        <w:t>s</w:t>
      </w:r>
      <w:r w:rsidRPr="007D324F">
        <w:t xml:space="preserve"> 3 or 4 </w:t>
      </w:r>
      <w:r>
        <w:t>TE lab</w:t>
      </w:r>
      <w:r w:rsidRPr="007D324F">
        <w:t xml:space="preserve"> abnormalities reported in </w:t>
      </w:r>
      <w:r>
        <w:t>≥</w:t>
      </w:r>
      <w:r w:rsidRPr="007D324F">
        <w:t>2 subjects included i</w:t>
      </w:r>
      <w:r>
        <w:t xml:space="preserve">ncreased CK (20 subjects in each </w:t>
      </w:r>
      <w:r w:rsidR="00F35F06">
        <w:t>group</w:t>
      </w:r>
      <w:r>
        <w:t xml:space="preserve">), </w:t>
      </w:r>
      <w:r w:rsidRPr="007D324F">
        <w:t xml:space="preserve">elevated ALT and AST (13 subjects in </w:t>
      </w:r>
      <w:r>
        <w:t xml:space="preserve">each </w:t>
      </w:r>
      <w:r w:rsidR="00F35F06">
        <w:t>group</w:t>
      </w:r>
      <w:r w:rsidRPr="007D324F">
        <w:t xml:space="preserve">), decreased </w:t>
      </w:r>
      <w:r>
        <w:t xml:space="preserve">neutrophils (11 subjects in </w:t>
      </w:r>
      <w:r w:rsidRPr="007D324F">
        <w:t>Eviplera</w:t>
      </w:r>
      <w:r w:rsidR="00564405">
        <w:t xml:space="preserve"> </w:t>
      </w:r>
      <w:r w:rsidR="00F35F06">
        <w:t>group</w:t>
      </w:r>
      <w:r>
        <w:t xml:space="preserve">; 3 in </w:t>
      </w:r>
      <w:r w:rsidRPr="00781311">
        <w:t>Atripla</w:t>
      </w:r>
      <w:r w:rsidR="002D638E">
        <w:t xml:space="preserve"> </w:t>
      </w:r>
      <w:r w:rsidR="00F35F06">
        <w:t>group</w:t>
      </w:r>
      <w:r>
        <w:t xml:space="preserve">), </w:t>
      </w:r>
      <w:r w:rsidRPr="007D324F">
        <w:t>hyperglyc</w:t>
      </w:r>
      <w:r>
        <w:t xml:space="preserve">aemia (9 subjects in </w:t>
      </w:r>
      <w:r w:rsidRPr="007D324F">
        <w:t>Eviplera</w:t>
      </w:r>
      <w:r w:rsidR="00564405">
        <w:t xml:space="preserve"> </w:t>
      </w:r>
      <w:r w:rsidR="00F35F06">
        <w:t>group</w:t>
      </w:r>
      <w:r>
        <w:t xml:space="preserve">; 2 in </w:t>
      </w:r>
      <w:r w:rsidRPr="00781311">
        <w:t>Atripla</w:t>
      </w:r>
      <w:r w:rsidR="00564405">
        <w:t xml:space="preserve"> </w:t>
      </w:r>
      <w:r w:rsidR="00F35F06">
        <w:t>group</w:t>
      </w:r>
      <w:r w:rsidRPr="007D324F">
        <w:t>), increased s</w:t>
      </w:r>
      <w:r>
        <w:t xml:space="preserve">erum amylase (8 subjects in </w:t>
      </w:r>
      <w:r w:rsidRPr="007D324F">
        <w:t>Eviplera</w:t>
      </w:r>
      <w:r w:rsidR="00564405">
        <w:t xml:space="preserve"> </w:t>
      </w:r>
      <w:r w:rsidR="00F35F06">
        <w:t>group</w:t>
      </w:r>
      <w:r>
        <w:t xml:space="preserve">; 7 in Atripla </w:t>
      </w:r>
      <w:r w:rsidR="00F35F06">
        <w:t>group</w:t>
      </w:r>
      <w:r w:rsidRPr="007D324F">
        <w:t>)</w:t>
      </w:r>
      <w:r>
        <w:t xml:space="preserve">, glycosuria (7 subjects in </w:t>
      </w:r>
      <w:r w:rsidRPr="007D324F">
        <w:t>Eviplera</w:t>
      </w:r>
      <w:r w:rsidR="00564405">
        <w:t xml:space="preserve"> </w:t>
      </w:r>
      <w:r w:rsidR="00F35F06">
        <w:t>group</w:t>
      </w:r>
      <w:r>
        <w:t xml:space="preserve">; 4 subjects in </w:t>
      </w:r>
      <w:r w:rsidRPr="00781311">
        <w:t>Atripla</w:t>
      </w:r>
      <w:r w:rsidR="00564405">
        <w:t xml:space="preserve"> </w:t>
      </w:r>
      <w:r w:rsidR="00F35F06">
        <w:t>group</w:t>
      </w:r>
      <w:r w:rsidRPr="007D324F">
        <w:t xml:space="preserve">), </w:t>
      </w:r>
      <w:r>
        <w:t xml:space="preserve">elevated GGT (6 subjects in </w:t>
      </w:r>
      <w:r w:rsidRPr="007D324F">
        <w:t>Eviplera</w:t>
      </w:r>
      <w:r w:rsidR="00564405">
        <w:t xml:space="preserve"> </w:t>
      </w:r>
      <w:r w:rsidR="00F35F06">
        <w:t>group</w:t>
      </w:r>
      <w:r>
        <w:t xml:space="preserve">;10 in </w:t>
      </w:r>
      <w:r w:rsidRPr="00781311">
        <w:t>Atripla</w:t>
      </w:r>
      <w:r w:rsidR="00564405">
        <w:t xml:space="preserve"> </w:t>
      </w:r>
      <w:r w:rsidR="00F35F06">
        <w:t>group</w:t>
      </w:r>
      <w:r w:rsidRPr="007D324F">
        <w:t>)</w:t>
      </w:r>
      <w:r>
        <w:t xml:space="preserve">, haematuria (6 subjects in </w:t>
      </w:r>
      <w:r w:rsidRPr="007D324F">
        <w:t>Eviplera</w:t>
      </w:r>
      <w:r w:rsidR="00564405">
        <w:t xml:space="preserve"> </w:t>
      </w:r>
      <w:r w:rsidR="00F35F06">
        <w:t>group</w:t>
      </w:r>
      <w:r>
        <w:t xml:space="preserve">; </w:t>
      </w:r>
      <w:r w:rsidRPr="007D324F">
        <w:t>5</w:t>
      </w:r>
      <w:r>
        <w:t xml:space="preserve"> in </w:t>
      </w:r>
      <w:r w:rsidRPr="00781311">
        <w:t>Atripla</w:t>
      </w:r>
      <w:r w:rsidR="00564405">
        <w:t xml:space="preserve"> </w:t>
      </w:r>
      <w:r w:rsidR="00F35F06">
        <w:t>group</w:t>
      </w:r>
      <w:r w:rsidRPr="007D324F">
        <w:t>), incr</w:t>
      </w:r>
      <w:r>
        <w:t xml:space="preserve">eased lipase (5 subjects in </w:t>
      </w:r>
      <w:r w:rsidRPr="007D324F">
        <w:t>Eviplera</w:t>
      </w:r>
      <w:r w:rsidR="00564405">
        <w:t xml:space="preserve"> </w:t>
      </w:r>
      <w:r w:rsidR="00F35F06">
        <w:t>group</w:t>
      </w:r>
      <w:r>
        <w:t>;</w:t>
      </w:r>
      <w:r w:rsidRPr="007D324F">
        <w:t xml:space="preserve">3 </w:t>
      </w:r>
      <w:r>
        <w:t xml:space="preserve">in </w:t>
      </w:r>
      <w:r w:rsidRPr="00781311">
        <w:t>Atripla</w:t>
      </w:r>
      <w:r w:rsidR="00564405">
        <w:t xml:space="preserve"> </w:t>
      </w:r>
      <w:r w:rsidR="00F35F06">
        <w:t>group</w:t>
      </w:r>
      <w:r w:rsidRPr="007D324F">
        <w:t>), increased alkaline</w:t>
      </w:r>
      <w:r>
        <w:t xml:space="preserve"> phosphatise (3 in </w:t>
      </w:r>
      <w:r w:rsidRPr="007D324F">
        <w:t>Eviplera</w:t>
      </w:r>
      <w:r w:rsidR="00564405">
        <w:t xml:space="preserve"> </w:t>
      </w:r>
      <w:r w:rsidR="00F35F06">
        <w:t>group</w:t>
      </w:r>
      <w:r>
        <w:t>), hypercholesterolemia (</w:t>
      </w:r>
      <w:r w:rsidRPr="007D324F">
        <w:t>1 subject in Eviplera</w:t>
      </w:r>
      <w:r w:rsidR="00564405">
        <w:t xml:space="preserve"> </w:t>
      </w:r>
      <w:r w:rsidR="00F35F06">
        <w:t>group</w:t>
      </w:r>
      <w:r>
        <w:t xml:space="preserve">; 4 in </w:t>
      </w:r>
      <w:r w:rsidRPr="00781311">
        <w:t>Atripla</w:t>
      </w:r>
      <w:r w:rsidR="00564405">
        <w:t xml:space="preserve"> </w:t>
      </w:r>
      <w:r w:rsidR="00F35F06">
        <w:t>group</w:t>
      </w:r>
      <w:r>
        <w:t>), elevated TGs (</w:t>
      </w:r>
      <w:r w:rsidRPr="007D324F">
        <w:t>1 subject in the Eviplera</w:t>
      </w:r>
      <w:r w:rsidR="00564405">
        <w:t xml:space="preserve"> </w:t>
      </w:r>
      <w:r w:rsidR="00F35F06">
        <w:t>group</w:t>
      </w:r>
      <w:r>
        <w:rPr>
          <w:rFonts w:cs="TimesNewRoman,Bold"/>
          <w:b/>
          <w:bCs/>
          <w:color w:val="000000"/>
        </w:rPr>
        <w:t xml:space="preserve">; </w:t>
      </w:r>
      <w:r w:rsidRPr="007D324F">
        <w:t>3</w:t>
      </w:r>
      <w:r>
        <w:t xml:space="preserve"> in </w:t>
      </w:r>
      <w:r w:rsidRPr="00781311">
        <w:t>Atripla</w:t>
      </w:r>
      <w:r w:rsidR="00564405">
        <w:t xml:space="preserve"> </w:t>
      </w:r>
      <w:r w:rsidR="00F35F06">
        <w:t>group</w:t>
      </w:r>
      <w:r w:rsidRPr="007D324F">
        <w:t>).</w:t>
      </w:r>
    </w:p>
    <w:p w:rsidR="00FA4091" w:rsidRPr="00857F03" w:rsidRDefault="00FA4091" w:rsidP="000B6C20">
      <w:pPr>
        <w:pStyle w:val="Heading4"/>
      </w:pPr>
      <w:bookmarkStart w:id="155" w:name="_Toc272414669"/>
      <w:bookmarkStart w:id="156" w:name="_Toc290846307"/>
      <w:bookmarkStart w:id="157" w:name="_Toc364634640"/>
      <w:r w:rsidRPr="00857F03">
        <w:t>Liver function</w:t>
      </w:r>
      <w:bookmarkEnd w:id="155"/>
      <w:bookmarkEnd w:id="156"/>
      <w:bookmarkEnd w:id="157"/>
    </w:p>
    <w:p w:rsidR="00FA4091" w:rsidRPr="00F82684" w:rsidRDefault="00FA4091" w:rsidP="000B6C20">
      <w:pPr>
        <w:pStyle w:val="Heading5"/>
      </w:pPr>
      <w:r w:rsidRPr="00F82684">
        <w:t>Pivotal studies</w:t>
      </w:r>
    </w:p>
    <w:p w:rsidR="00FA4091" w:rsidRPr="00266C39" w:rsidRDefault="00FA4091" w:rsidP="000B6C20">
      <w:pPr>
        <w:rPr>
          <w:rFonts w:cs="TimesNewRoman,Bold"/>
          <w:b/>
          <w:bCs/>
        </w:rPr>
      </w:pPr>
      <w:r w:rsidRPr="00266C39">
        <w:rPr>
          <w:rFonts w:cs="TimesNewRoman,Bold"/>
          <w:b/>
          <w:bCs/>
        </w:rPr>
        <w:t xml:space="preserve">GS-US-264-0111: </w:t>
      </w:r>
      <w:r w:rsidRPr="00266C39">
        <w:t xml:space="preserve">One subject experienced </w:t>
      </w:r>
      <w:r w:rsidR="006E2DCF">
        <w:t>Grade</w:t>
      </w:r>
      <w:r w:rsidRPr="00266C39">
        <w:t xml:space="preserve"> 2 increased bilirubin considered a TEAE. No action taken with</w:t>
      </w:r>
      <w:r w:rsidRPr="00266C39">
        <w:rPr>
          <w:rFonts w:cs="TimesNewRoman,Bold"/>
          <w:b/>
          <w:bCs/>
        </w:rPr>
        <w:t xml:space="preserve"> </w:t>
      </w:r>
      <w:r w:rsidRPr="00266C39">
        <w:t>regard to study drug; AE ongoing at</w:t>
      </w:r>
      <w:r w:rsidR="00F82684">
        <w:t xml:space="preserve"> the time of study completion.</w:t>
      </w:r>
    </w:p>
    <w:p w:rsidR="00F82684" w:rsidRPr="00F82684" w:rsidRDefault="00FA4091" w:rsidP="000B6C20">
      <w:pPr>
        <w:rPr>
          <w:rFonts w:cs="TimesNewRoman,Bold"/>
          <w:b/>
          <w:bCs/>
        </w:rPr>
      </w:pPr>
      <w:r w:rsidRPr="00266C39">
        <w:rPr>
          <w:rFonts w:cs="TimesNewRoman,Bold"/>
          <w:b/>
          <w:bCs/>
        </w:rPr>
        <w:t>GS-US-264-0106</w:t>
      </w:r>
      <w:r w:rsidR="00F82684">
        <w:rPr>
          <w:rFonts w:cs="TimesNewRoman,Bold"/>
          <w:b/>
          <w:bCs/>
        </w:rPr>
        <w:t xml:space="preserve">: </w:t>
      </w:r>
      <w:r w:rsidRPr="00F82684">
        <w:rPr>
          <w:rFonts w:cs="TimesNewRoman,Bold"/>
          <w:bCs/>
        </w:rPr>
        <w:t>Liver related</w:t>
      </w:r>
      <w:r w:rsidRPr="00266C39">
        <w:rPr>
          <w:rFonts w:cs="TimesNewRoman,Bold"/>
          <w:b/>
          <w:bCs/>
        </w:rPr>
        <w:t xml:space="preserve"> </w:t>
      </w:r>
      <w:r w:rsidRPr="00266C39">
        <w:t>AEs reported in 2.2% of Eviplera</w:t>
      </w:r>
      <w:r w:rsidR="00564405">
        <w:t xml:space="preserve"> </w:t>
      </w:r>
      <w:r w:rsidR="00F35F06">
        <w:t>group</w:t>
      </w:r>
      <w:r w:rsidRPr="00266C39">
        <w:t>. Hepatic steatosis and hypertransaminasaemia reported in</w:t>
      </w:r>
      <w:r>
        <w:t xml:space="preserve"> 2 subjects (0.6%) each. In </w:t>
      </w:r>
      <w:r w:rsidRPr="00266C39">
        <w:t>Eviplera</w:t>
      </w:r>
      <w:r w:rsidR="00564405">
        <w:t xml:space="preserve"> </w:t>
      </w:r>
      <w:r w:rsidR="00F35F06">
        <w:t>group</w:t>
      </w:r>
      <w:r w:rsidRPr="00266C39">
        <w:t xml:space="preserve">, all other AEs in hepatobiliary category reported in 1 subject each. In the Delayed Switch </w:t>
      </w:r>
      <w:r w:rsidR="00F35F06">
        <w:t>group</w:t>
      </w:r>
      <w:r>
        <w:t>, cytolytic hepatitis reported in 3 subjects [2.0%]</w:t>
      </w:r>
      <w:r w:rsidRPr="00266C39">
        <w:t>. L</w:t>
      </w:r>
      <w:r>
        <w:t xml:space="preserve">iver-related lab </w:t>
      </w:r>
      <w:r w:rsidRPr="00266C39">
        <w:t xml:space="preserve">abnormalities reported in </w:t>
      </w:r>
      <w:r>
        <w:t xml:space="preserve">≥2 of </w:t>
      </w:r>
      <w:r w:rsidRPr="00266C39">
        <w:lastRenderedPageBreak/>
        <w:t>Eviplera</w:t>
      </w:r>
      <w:r w:rsidR="00564405">
        <w:t xml:space="preserve"> </w:t>
      </w:r>
      <w:r w:rsidR="00F35F06">
        <w:t>group</w:t>
      </w:r>
      <w:r w:rsidRPr="00266C39">
        <w:t xml:space="preserve"> included A</w:t>
      </w:r>
      <w:r>
        <w:t xml:space="preserve">LT increased in 1.3%, liver </w:t>
      </w:r>
      <w:proofErr w:type="gramStart"/>
      <w:r>
        <w:t>fn</w:t>
      </w:r>
      <w:proofErr w:type="gramEnd"/>
      <w:r>
        <w:t xml:space="preserve"> test abnormal in 1.3%, </w:t>
      </w:r>
      <w:r w:rsidRPr="00266C39">
        <w:t xml:space="preserve">AST increased in 0.6%. In the Delayed Switch </w:t>
      </w:r>
      <w:r w:rsidR="00F35F06">
        <w:t>group</w:t>
      </w:r>
      <w:r w:rsidRPr="00266C39">
        <w:t>, AEs of liver-related lab abnormalities reported in ≥2 subjects included ALT increased in 2.6%, AST increased in 1.</w:t>
      </w:r>
      <w:r>
        <w:t xml:space="preserve">3%, </w:t>
      </w:r>
      <w:r w:rsidRPr="00266C39">
        <w:t xml:space="preserve">transaminases increased in 1.3%. No liver-related lab abnormalities reported as SAEs. Two subjects </w:t>
      </w:r>
      <w:r>
        <w:t>(</w:t>
      </w:r>
      <w:r w:rsidRPr="00266C39">
        <w:t xml:space="preserve">Delayed Switch </w:t>
      </w:r>
      <w:r w:rsidR="00F35F06">
        <w:t>group</w:t>
      </w:r>
      <w:r>
        <w:t xml:space="preserve">) </w:t>
      </w:r>
      <w:r w:rsidRPr="00266C39">
        <w:t xml:space="preserve">with </w:t>
      </w:r>
      <w:r>
        <w:t>increased transaminases permanently discontinued study drug</w:t>
      </w:r>
      <w:r w:rsidR="00F82684">
        <w:t>.</w:t>
      </w:r>
    </w:p>
    <w:p w:rsidR="00FA4091" w:rsidRPr="00F82684" w:rsidRDefault="00FA4091" w:rsidP="000B6C20">
      <w:pPr>
        <w:rPr>
          <w:color w:val="000000"/>
        </w:rPr>
      </w:pPr>
      <w:r w:rsidRPr="00266C39">
        <w:rPr>
          <w:b/>
        </w:rPr>
        <w:t>GS-US-264-0110</w:t>
      </w:r>
      <w:r>
        <w:rPr>
          <w:rFonts w:cs="TimesNewRoman,Bold"/>
          <w:b/>
          <w:bCs/>
        </w:rPr>
        <w:t xml:space="preserve">: </w:t>
      </w:r>
      <w:r>
        <w:t xml:space="preserve">AEs in </w:t>
      </w:r>
      <w:r w:rsidRPr="00266C39">
        <w:t>h</w:t>
      </w:r>
      <w:r>
        <w:t xml:space="preserve">epatobiliary disorders SOC reported in 0.8% </w:t>
      </w:r>
      <w:r w:rsidRPr="00266C39">
        <w:t>Eviplera</w:t>
      </w:r>
      <w:r w:rsidR="00564405">
        <w:t xml:space="preserve"> </w:t>
      </w:r>
      <w:r>
        <w:t xml:space="preserve">and 1.0% </w:t>
      </w:r>
      <w:r w:rsidRPr="00781311">
        <w:t>Atripla</w:t>
      </w:r>
      <w:r w:rsidR="00564405">
        <w:t xml:space="preserve"> </w:t>
      </w:r>
      <w:r>
        <w:t xml:space="preserve">subjects. Cholelithiasis </w:t>
      </w:r>
      <w:r w:rsidRPr="00266C39">
        <w:t>reported in 1 subject in each tr</w:t>
      </w:r>
      <w:r>
        <w:t xml:space="preserve">eatment </w:t>
      </w:r>
      <w:r w:rsidR="00F35F06">
        <w:t>group</w:t>
      </w:r>
      <w:r>
        <w:t xml:space="preserve">. Hepatic cyst </w:t>
      </w:r>
      <w:r w:rsidRPr="00266C39">
        <w:t xml:space="preserve">reported in 2 subjects in the </w:t>
      </w:r>
      <w:r w:rsidRPr="00781311">
        <w:t>Atripla</w:t>
      </w:r>
      <w:r w:rsidR="00564405">
        <w:t xml:space="preserve"> </w:t>
      </w:r>
      <w:r w:rsidR="00F35F06">
        <w:t>group</w:t>
      </w:r>
      <w:r w:rsidRPr="00266C39">
        <w:t xml:space="preserve">. All other hepatobiliary SOC AEs </w:t>
      </w:r>
      <w:r>
        <w:t xml:space="preserve">reported by 1 subject each i.e. </w:t>
      </w:r>
      <w:r w:rsidRPr="00266C39">
        <w:t>chol</w:t>
      </w:r>
      <w:r>
        <w:t>ecystitis (</w:t>
      </w:r>
      <w:r w:rsidRPr="00781311">
        <w:t>Atripla</w:t>
      </w:r>
      <w:r w:rsidR="00564405">
        <w:t xml:space="preserve"> </w:t>
      </w:r>
      <w:r w:rsidR="00F35F06">
        <w:t>group</w:t>
      </w:r>
      <w:r w:rsidRPr="00266C39">
        <w:t>), hyperbilirubinemia (Eviplera</w:t>
      </w:r>
      <w:r w:rsidR="00564405">
        <w:t xml:space="preserve"> </w:t>
      </w:r>
      <w:r w:rsidR="00F35F06">
        <w:t>group</w:t>
      </w:r>
      <w:r w:rsidRPr="00266C39">
        <w:t>), hepatic</w:t>
      </w:r>
      <w:r>
        <w:rPr>
          <w:rFonts w:cs="TimesNewRoman,Bold"/>
          <w:b/>
          <w:bCs/>
        </w:rPr>
        <w:t xml:space="preserve"> </w:t>
      </w:r>
      <w:r w:rsidRPr="00266C39">
        <w:t>steatosis (Eviplera</w:t>
      </w:r>
      <w:r w:rsidR="00564405">
        <w:t xml:space="preserve"> </w:t>
      </w:r>
      <w:r w:rsidR="00F35F06">
        <w:t>group</w:t>
      </w:r>
      <w:r w:rsidRPr="00266C39">
        <w:t>)</w:t>
      </w:r>
      <w:r>
        <w:t>, liver injury (</w:t>
      </w:r>
      <w:r w:rsidRPr="00781311">
        <w:t>Atripla</w:t>
      </w:r>
      <w:r w:rsidR="00564405">
        <w:t xml:space="preserve"> </w:t>
      </w:r>
      <w:r w:rsidR="00F35F06">
        <w:t>group</w:t>
      </w:r>
      <w:r w:rsidRPr="00266C39">
        <w:t>). The hyperbilirubinemia</w:t>
      </w:r>
      <w:r>
        <w:t xml:space="preserve"> AEs</w:t>
      </w:r>
      <w:r w:rsidRPr="00266C39">
        <w:t xml:space="preserve"> and liver injury (SAE) were considered </w:t>
      </w:r>
      <w:r>
        <w:t>study drug related study drug was discontinued.</w:t>
      </w:r>
    </w:p>
    <w:p w:rsidR="00FA4091" w:rsidRPr="00857F03" w:rsidRDefault="00FA4091" w:rsidP="000B6C20">
      <w:pPr>
        <w:pStyle w:val="Heading4"/>
      </w:pPr>
      <w:bookmarkStart w:id="158" w:name="_Toc272414670"/>
      <w:bookmarkStart w:id="159" w:name="_Toc290846308"/>
      <w:bookmarkStart w:id="160" w:name="_Toc364634641"/>
      <w:r w:rsidRPr="00857F03">
        <w:t>Kidney function</w:t>
      </w:r>
      <w:bookmarkEnd w:id="158"/>
      <w:bookmarkEnd w:id="159"/>
      <w:bookmarkEnd w:id="160"/>
    </w:p>
    <w:p w:rsidR="00FA4091" w:rsidRPr="00F82684" w:rsidRDefault="00FA4091" w:rsidP="000B6C20">
      <w:pPr>
        <w:pStyle w:val="Heading5"/>
      </w:pPr>
      <w:r w:rsidRPr="00F82684">
        <w:t>Pivotal studies</w:t>
      </w:r>
    </w:p>
    <w:p w:rsidR="00FA4091" w:rsidRPr="00554B6E" w:rsidRDefault="00FA4091" w:rsidP="000B6C20">
      <w:r w:rsidRPr="00554B6E">
        <w:t>In vitro, RPV inhibits the OCT2 (renal transporter) f</w:t>
      </w:r>
      <w:r w:rsidR="00F82684">
        <w:t>or creatinine tubular secretion</w:t>
      </w:r>
      <w:r w:rsidR="00894A09">
        <w:t xml:space="preserve"> (</w:t>
      </w:r>
      <w:r w:rsidR="00894A09" w:rsidRPr="00894A09">
        <w:t>Urakami</w:t>
      </w:r>
      <w:r w:rsidR="00894A09">
        <w:t xml:space="preserve"> et al.)</w:t>
      </w:r>
    </w:p>
    <w:p w:rsidR="00F82684" w:rsidRDefault="00FA4091" w:rsidP="000B6C20">
      <w:r w:rsidRPr="00554B6E">
        <w:rPr>
          <w:rFonts w:cs="TimesNewRoman,Bold"/>
          <w:b/>
          <w:bCs/>
        </w:rPr>
        <w:t>GS-US-264-0111</w:t>
      </w:r>
      <w:r w:rsidRPr="00554B6E">
        <w:rPr>
          <w:b/>
        </w:rPr>
        <w:t>:</w:t>
      </w:r>
      <w:r w:rsidRPr="00554B6E">
        <w:t xml:space="preserve"> Serum creatinine elevations evident by </w:t>
      </w:r>
      <w:r>
        <w:t xml:space="preserve">Wk 4 (mean </w:t>
      </w:r>
      <w:r w:rsidRPr="00554B6E">
        <w:t>+0.07 mg/dL) and</w:t>
      </w:r>
      <w:r w:rsidRPr="00554B6E">
        <w:rPr>
          <w:rFonts w:cs="TimesNewRoman,Bold"/>
          <w:b/>
          <w:bCs/>
        </w:rPr>
        <w:t xml:space="preserve"> </w:t>
      </w:r>
      <w:r w:rsidRPr="00554B6E">
        <w:t>stable through Wk 48 (mean +0.08 mg/dL).</w:t>
      </w:r>
      <w:r w:rsidR="00564405">
        <w:t xml:space="preserve"> </w:t>
      </w:r>
      <w:r w:rsidRPr="00554B6E">
        <w:t xml:space="preserve">Two subjects experienced transient </w:t>
      </w:r>
      <w:r w:rsidR="006E2DCF">
        <w:t>Grade</w:t>
      </w:r>
      <w:r w:rsidRPr="00554B6E">
        <w:t xml:space="preserve"> 1 TE elevations in</w:t>
      </w:r>
      <w:r w:rsidRPr="00554B6E">
        <w:rPr>
          <w:rFonts w:cs="TimesNewRoman,Bold"/>
          <w:b/>
          <w:bCs/>
        </w:rPr>
        <w:t xml:space="preserve"> </w:t>
      </w:r>
      <w:r w:rsidRPr="00554B6E">
        <w:t>creatinin</w:t>
      </w:r>
      <w:r w:rsidR="00F82684">
        <w:t>e, not considered AEs.</w:t>
      </w:r>
    </w:p>
    <w:p w:rsidR="00F82684" w:rsidRDefault="00FA4091" w:rsidP="000B6C20">
      <w:r w:rsidRPr="00554B6E">
        <w:rPr>
          <w:rFonts w:cs="TimesNewRoman,Bold"/>
          <w:b/>
          <w:bCs/>
        </w:rPr>
        <w:t>GS-US-264-0106</w:t>
      </w:r>
      <w:r>
        <w:rPr>
          <w:rFonts w:cs="TimesNewRoman,Bold"/>
          <w:b/>
          <w:bCs/>
        </w:rPr>
        <w:t xml:space="preserve">: </w:t>
      </w:r>
      <w:r w:rsidRPr="00554B6E">
        <w:t>Overall, serum creatinine elevations, and decreases in estimated CLcr (by Cockcroft-Gault</w:t>
      </w:r>
      <w:r>
        <w:rPr>
          <w:rFonts w:cs="TimesNewRoman,Bold"/>
          <w:b/>
          <w:bCs/>
        </w:rPr>
        <w:t xml:space="preserve"> </w:t>
      </w:r>
      <w:r w:rsidRPr="00554B6E">
        <w:t>using observed or ideal body weigh</w:t>
      </w:r>
      <w:r>
        <w:t>t) and eGFR, were evident by W</w:t>
      </w:r>
      <w:r w:rsidRPr="00554B6E">
        <w:t>k 4 and stable through</w:t>
      </w:r>
      <w:r>
        <w:rPr>
          <w:rFonts w:cs="TimesNewRoman,Bold"/>
          <w:b/>
          <w:bCs/>
        </w:rPr>
        <w:t xml:space="preserve"> </w:t>
      </w:r>
      <w:r>
        <w:t>W</w:t>
      </w:r>
      <w:r w:rsidRPr="00554B6E">
        <w:t xml:space="preserve">k 24 in subjects receiving </w:t>
      </w:r>
      <w:r>
        <w:t>Eviplera</w:t>
      </w:r>
      <w:r w:rsidR="00564405">
        <w:t xml:space="preserve"> </w:t>
      </w:r>
      <w:r>
        <w:t>vs.</w:t>
      </w:r>
      <w:r w:rsidRPr="00554B6E">
        <w:t xml:space="preserve"> subjects remaining on their</w:t>
      </w:r>
      <w:r>
        <w:rPr>
          <w:rFonts w:cs="TimesNewRoman,Bold"/>
          <w:b/>
          <w:bCs/>
        </w:rPr>
        <w:t xml:space="preserve"> </w:t>
      </w:r>
      <w:r>
        <w:t xml:space="preserve">baseline ARVs (SBR </w:t>
      </w:r>
      <w:r w:rsidR="00F35F06">
        <w:t>group</w:t>
      </w:r>
      <w:r>
        <w:t>). At W</w:t>
      </w:r>
      <w:r w:rsidRPr="00554B6E">
        <w:t>k 24, the differences between the Eviplera</w:t>
      </w:r>
      <w:r w:rsidR="00564405">
        <w:t xml:space="preserve"> </w:t>
      </w:r>
      <w:r w:rsidRPr="00554B6E">
        <w:t xml:space="preserve">and SBR </w:t>
      </w:r>
      <w:r w:rsidR="00F35F06">
        <w:t>group</w:t>
      </w:r>
      <w:r w:rsidRPr="00554B6E">
        <w:t xml:space="preserve">s in the mean changes from baseline in serum creatinine (0.05 vs. 0.01 mg/dL), estimated CLcr (using observed body weight; </w:t>
      </w:r>
      <w:r w:rsidR="00710E0A">
        <w:rPr>
          <w:rFonts w:cs="Symbol"/>
        </w:rPr>
        <w:t>-</w:t>
      </w:r>
      <w:r w:rsidRPr="00554B6E">
        <w:t>4.4 vs. 0.1 mL/min), and eGFR (</w:t>
      </w:r>
      <w:r w:rsidRPr="00554B6E">
        <w:rPr>
          <w:rFonts w:cs="Symbol"/>
        </w:rPr>
        <w:t>−</w:t>
      </w:r>
      <w:r w:rsidRPr="00554B6E">
        <w:t xml:space="preserve">4.5 vs. </w:t>
      </w:r>
      <w:r w:rsidRPr="00554B6E">
        <w:rPr>
          <w:rFonts w:cs="Symbol"/>
        </w:rPr>
        <w:t>−</w:t>
      </w:r>
      <w:r w:rsidRPr="00554B6E">
        <w:t xml:space="preserve">0.5 mL/min/1.73 m2) were statistically </w:t>
      </w:r>
      <w:r>
        <w:t>significantly (p ≤ 0.001). I</w:t>
      </w:r>
      <w:r w:rsidRPr="00554B6E">
        <w:t>ncrease</w:t>
      </w:r>
      <w:r>
        <w:t>s</w:t>
      </w:r>
      <w:r w:rsidRPr="00554B6E">
        <w:t xml:space="preserve"> in serum creatinine and decrease</w:t>
      </w:r>
      <w:r>
        <w:t>s</w:t>
      </w:r>
      <w:r w:rsidRPr="00554B6E">
        <w:t xml:space="preserve"> </w:t>
      </w:r>
      <w:r>
        <w:t xml:space="preserve">in estimated CLcr and eGFR were </w:t>
      </w:r>
      <w:r w:rsidRPr="00554B6E">
        <w:t xml:space="preserve">generally maintained through </w:t>
      </w:r>
      <w:r>
        <w:t>Wk</w:t>
      </w:r>
      <w:r w:rsidRPr="00554B6E">
        <w:t xml:space="preserve"> 48 in the </w:t>
      </w:r>
      <w:r>
        <w:t>Eviplera</w:t>
      </w:r>
      <w:r w:rsidR="00564405">
        <w:t xml:space="preserve"> </w:t>
      </w:r>
      <w:r w:rsidR="00F35F06">
        <w:t>group</w:t>
      </w:r>
      <w:r w:rsidRPr="00554B6E">
        <w:t xml:space="preserve">. Similar changes in these renal function parameters were observed in the Delayed Switch </w:t>
      </w:r>
      <w:r w:rsidR="00F35F06">
        <w:t>group</w:t>
      </w:r>
      <w:r w:rsidRPr="00554B6E">
        <w:t xml:space="preserve"> over 24 </w:t>
      </w:r>
      <w:r>
        <w:t>Wk</w:t>
      </w:r>
      <w:r w:rsidRPr="00554B6E">
        <w:t>s of Eviplera</w:t>
      </w:r>
      <w:r w:rsidR="00564405">
        <w:t xml:space="preserve"> </w:t>
      </w:r>
      <w:r w:rsidRPr="00554B6E">
        <w:t>therapy. When these renal</w:t>
      </w:r>
      <w:r>
        <w:t xml:space="preserve"> function parameters were analys</w:t>
      </w:r>
      <w:r w:rsidRPr="00554B6E">
        <w:t xml:space="preserve">ed in subjects using TDF at baseline </w:t>
      </w:r>
      <w:r>
        <w:t xml:space="preserve">vs. </w:t>
      </w:r>
      <w:r w:rsidRPr="00554B6E">
        <w:t>non-TDF regimens at baseline, similar trends</w:t>
      </w:r>
      <w:r>
        <w:rPr>
          <w:rFonts w:cs="TimesNewRoman,Bold"/>
          <w:b/>
          <w:bCs/>
        </w:rPr>
        <w:t xml:space="preserve"> </w:t>
      </w:r>
      <w:r w:rsidRPr="00554B6E">
        <w:t>were observed.</w:t>
      </w:r>
    </w:p>
    <w:p w:rsidR="00FA4091" w:rsidRPr="005771E8" w:rsidRDefault="00F82684" w:rsidP="000B6C20">
      <w:pPr>
        <w:rPr>
          <w:rFonts w:cs="TimesNewRoman,Bold"/>
          <w:b/>
          <w:bCs/>
          <w:color w:val="000000"/>
        </w:rPr>
      </w:pPr>
      <w:r>
        <w:rPr>
          <w:rFonts w:cs="TimesNewRoman,Bold"/>
          <w:b/>
          <w:bCs/>
        </w:rPr>
        <w:t xml:space="preserve">GS-US-264-0110: </w:t>
      </w:r>
      <w:r w:rsidR="00FA4091" w:rsidRPr="00554B6E">
        <w:t xml:space="preserve">Overall, serum creatinine elevations, and </w:t>
      </w:r>
      <w:r w:rsidR="00FA4091">
        <w:t>decreases in estimated CLcr and eGFR, were evident by Wk 4 and stable through W</w:t>
      </w:r>
      <w:r w:rsidR="00FA4091" w:rsidRPr="00554B6E">
        <w:t>k 48 in subjects receiving Eviplera</w:t>
      </w:r>
      <w:r w:rsidR="00564405">
        <w:t xml:space="preserve"> </w:t>
      </w:r>
      <w:r w:rsidR="00FA4091">
        <w:t xml:space="preserve">vs. those on </w:t>
      </w:r>
      <w:r w:rsidR="00FA4091" w:rsidRPr="00781311">
        <w:t>Atripla</w:t>
      </w:r>
      <w:r w:rsidR="00FA4091">
        <w:t>. At W</w:t>
      </w:r>
      <w:r w:rsidR="00FA4091" w:rsidRPr="00554B6E">
        <w:t xml:space="preserve">k 4, the mean (SD) change from baseline </w:t>
      </w:r>
      <w:r w:rsidR="00FA4091">
        <w:t xml:space="preserve">was 0.08 (0.115) mg/dL in </w:t>
      </w:r>
      <w:r w:rsidR="00FA4091">
        <w:rPr>
          <w:color w:val="000000"/>
        </w:rPr>
        <w:t>Eviplera</w:t>
      </w:r>
      <w:r w:rsidR="00564405">
        <w:rPr>
          <w:color w:val="000000"/>
        </w:rPr>
        <w:t xml:space="preserve"> </w:t>
      </w:r>
      <w:r w:rsidR="00F35F06">
        <w:t>group</w:t>
      </w:r>
      <w:r w:rsidR="00FA4091" w:rsidRPr="00554B6E">
        <w:t xml:space="preserve"> and</w:t>
      </w:r>
      <w:r w:rsidR="00FA4091">
        <w:t xml:space="preserve"> </w:t>
      </w:r>
      <w:r w:rsidR="00710E0A">
        <w:rPr>
          <w:rFonts w:cs="Symbol"/>
        </w:rPr>
        <w:t>-</w:t>
      </w:r>
      <w:r w:rsidR="00FA4091" w:rsidRPr="00554B6E">
        <w:t>0.01 (</w:t>
      </w:r>
      <w:r w:rsidR="00FA4091">
        <w:t xml:space="preserve">0.101) mg/dL in </w:t>
      </w:r>
      <w:r w:rsidR="00FA4091" w:rsidRPr="00781311">
        <w:t>Atripla</w:t>
      </w:r>
      <w:r w:rsidR="00564405">
        <w:t xml:space="preserve"> </w:t>
      </w:r>
      <w:r w:rsidR="00F35F06">
        <w:t>group</w:t>
      </w:r>
      <w:r w:rsidR="00FA4091">
        <w:t>. I</w:t>
      </w:r>
      <w:r w:rsidR="00FA4091" w:rsidRPr="00554B6E">
        <w:t>ncrease in</w:t>
      </w:r>
      <w:r w:rsidR="00FA4091">
        <w:t xml:space="preserve"> serum creatinine generally maintained through Wk 48 in </w:t>
      </w:r>
      <w:r w:rsidR="00FA4091" w:rsidRPr="00554B6E">
        <w:t>Eviplera</w:t>
      </w:r>
      <w:r w:rsidR="00FA4091">
        <w:t xml:space="preserve">, </w:t>
      </w:r>
      <w:r w:rsidR="00F35F06">
        <w:t>group</w:t>
      </w:r>
      <w:r w:rsidR="00FA4091">
        <w:t>. At W</w:t>
      </w:r>
      <w:r w:rsidR="00FA4091" w:rsidRPr="00554B6E">
        <w:t>k 4, the mean</w:t>
      </w:r>
      <w:r w:rsidR="00FA4091">
        <w:t xml:space="preserve"> (SD) change in estimated CLcr </w:t>
      </w:r>
      <w:r w:rsidR="00FA4091" w:rsidRPr="00554B6E">
        <w:t xml:space="preserve">was </w:t>
      </w:r>
      <w:r w:rsidR="00710E0A">
        <w:rPr>
          <w:rFonts w:cs="Symbol"/>
        </w:rPr>
        <w:t>-</w:t>
      </w:r>
      <w:r w:rsidR="00FA4091" w:rsidRPr="00554B6E">
        <w:t xml:space="preserve">7.7 (12.85) mL/min in the Eviplera </w:t>
      </w:r>
      <w:r w:rsidR="00F35F06">
        <w:t>group</w:t>
      </w:r>
      <w:r w:rsidR="00FA4091" w:rsidRPr="00554B6E">
        <w:t xml:space="preserve"> and 0.1 (1</w:t>
      </w:r>
      <w:r w:rsidR="00FA4091">
        <w:t xml:space="preserve">2.21) mL/min in the </w:t>
      </w:r>
      <w:r w:rsidR="00FA4091" w:rsidRPr="00781311">
        <w:t>Atripla</w:t>
      </w:r>
      <w:r w:rsidR="00564405">
        <w:t xml:space="preserve"> </w:t>
      </w:r>
      <w:r w:rsidR="00F35F06">
        <w:t>group</w:t>
      </w:r>
      <w:r w:rsidR="00FA4091" w:rsidRPr="00554B6E">
        <w:t>. In the Eviplera</w:t>
      </w:r>
      <w:r w:rsidR="00FA4091">
        <w:t xml:space="preserve"> </w:t>
      </w:r>
      <w:r w:rsidR="00F35F06">
        <w:t>group</w:t>
      </w:r>
      <w:r w:rsidR="00FA4091" w:rsidRPr="00554B6E">
        <w:t xml:space="preserve">, the decrease in estimated CLcr was </w:t>
      </w:r>
      <w:r w:rsidR="00FA4091">
        <w:t>generally maintained through W</w:t>
      </w:r>
      <w:r w:rsidR="00FA4091" w:rsidRPr="00554B6E">
        <w:t xml:space="preserve">k 48 (mean [SD] change of </w:t>
      </w:r>
      <w:r w:rsidR="00FA4091" w:rsidRPr="00554B6E">
        <w:rPr>
          <w:rFonts w:cs="Symbol"/>
        </w:rPr>
        <w:t>−</w:t>
      </w:r>
      <w:r w:rsidR="00FA4091">
        <w:t>5.4 [14.19] mL/min at W</w:t>
      </w:r>
      <w:r w:rsidR="00FA4091" w:rsidRPr="00554B6E">
        <w:t xml:space="preserve">k 48). In the </w:t>
      </w:r>
      <w:r w:rsidR="00FA4091" w:rsidRPr="00781311">
        <w:t>Atripla</w:t>
      </w:r>
      <w:r w:rsidR="00564405">
        <w:t xml:space="preserve"> </w:t>
      </w:r>
      <w:r w:rsidR="00F35F06">
        <w:t>group</w:t>
      </w:r>
      <w:r w:rsidR="00FA4091" w:rsidRPr="00554B6E">
        <w:t>, increases from baseline were observed in estima</w:t>
      </w:r>
      <w:r w:rsidR="00FA4091">
        <w:t>ted CLcr using Cockcroft-Gault through W</w:t>
      </w:r>
      <w:r w:rsidR="00FA4091" w:rsidRPr="00554B6E">
        <w:t xml:space="preserve">k 48 (mean (SD) change of 0.7 [13.99], 2.1 [17.39], 2.9 [15.43], and 4.6 [16.43] mL/min at </w:t>
      </w:r>
      <w:r w:rsidR="00FA4091">
        <w:t>Wk</w:t>
      </w:r>
      <w:r w:rsidR="00FA4091" w:rsidRPr="00554B6E">
        <w:t xml:space="preserve">s 8, 12, 24, and 48, respectively). Similar trends were observed in mean eGFR in the Eviplera and </w:t>
      </w:r>
      <w:r w:rsidR="00FA4091" w:rsidRPr="00781311">
        <w:t>Atripla</w:t>
      </w:r>
      <w:r w:rsidR="00564405">
        <w:t xml:space="preserve"> </w:t>
      </w:r>
      <w:r w:rsidR="00F35F06">
        <w:t>group</w:t>
      </w:r>
      <w:r w:rsidR="00FA4091" w:rsidRPr="00554B6E">
        <w:t xml:space="preserve">s over the first 48 </w:t>
      </w:r>
      <w:r w:rsidR="00FA4091">
        <w:t>Wks</w:t>
      </w:r>
      <w:r w:rsidR="00FA4091" w:rsidRPr="00554B6E">
        <w:t>.</w:t>
      </w:r>
      <w:r w:rsidR="00564405">
        <w:t xml:space="preserve"> </w:t>
      </w:r>
      <w:r w:rsidR="00FA4091">
        <w:t>TE AEs of proteinuria (</w:t>
      </w:r>
      <w:r w:rsidR="006E2DCF">
        <w:t>Grade</w:t>
      </w:r>
      <w:r w:rsidR="00710E0A">
        <w:t xml:space="preserve"> </w:t>
      </w:r>
      <w:r w:rsidR="00FA4091">
        <w:t>1</w:t>
      </w:r>
      <w:r w:rsidR="00710E0A">
        <w:t xml:space="preserve"> </w:t>
      </w:r>
      <w:r w:rsidR="00FA4091">
        <w:t>&amp;</w:t>
      </w:r>
      <w:r w:rsidR="00710E0A">
        <w:t xml:space="preserve"> </w:t>
      </w:r>
      <w:r w:rsidR="00FA4091">
        <w:t xml:space="preserve">2) reported in 2.8% in </w:t>
      </w:r>
      <w:r w:rsidR="00FA4091" w:rsidRPr="00554B6E">
        <w:t>Eviplera</w:t>
      </w:r>
      <w:r w:rsidR="00564405">
        <w:t xml:space="preserve"> </w:t>
      </w:r>
      <w:r w:rsidR="00FA4091">
        <w:t xml:space="preserve">vs. </w:t>
      </w:r>
      <w:r w:rsidR="00FA4091" w:rsidRPr="00554B6E">
        <w:t xml:space="preserve">0 </w:t>
      </w:r>
      <w:r w:rsidR="00FA4091">
        <w:t xml:space="preserve">in Atripla. Of </w:t>
      </w:r>
      <w:r w:rsidR="00FA4091" w:rsidRPr="00554B6E">
        <w:t>7 subjects</w:t>
      </w:r>
      <w:r w:rsidR="00FA4091">
        <w:t xml:space="preserve"> where the proteinuria was thought study drug related, in </w:t>
      </w:r>
      <w:r w:rsidR="00FA4091" w:rsidRPr="00554B6E">
        <w:t xml:space="preserve">4 subjects </w:t>
      </w:r>
      <w:r w:rsidR="00FA4091">
        <w:t>this resolved before Wk</w:t>
      </w:r>
      <w:r w:rsidR="00FA4091" w:rsidRPr="00554B6E">
        <w:t xml:space="preserve"> 48 data cut-off.</w:t>
      </w:r>
      <w:r w:rsidR="00FA4091">
        <w:t xml:space="preserve"> </w:t>
      </w:r>
      <w:r w:rsidR="00FA4091">
        <w:rPr>
          <w:color w:val="000000"/>
        </w:rPr>
        <w:t>S</w:t>
      </w:r>
      <w:r w:rsidR="00FA4091" w:rsidRPr="00554B6E">
        <w:rPr>
          <w:color w:val="000000"/>
        </w:rPr>
        <w:t>mall mean increase in serum creatinine observed with Eviplera</w:t>
      </w:r>
      <w:r w:rsidR="00564405">
        <w:rPr>
          <w:color w:val="000000"/>
        </w:rPr>
        <w:t xml:space="preserve"> </w:t>
      </w:r>
      <w:r w:rsidR="00FA4091">
        <w:rPr>
          <w:color w:val="000000"/>
        </w:rPr>
        <w:t>in these studies</w:t>
      </w:r>
      <w:r w:rsidR="00FA4091" w:rsidRPr="00554B6E">
        <w:rPr>
          <w:color w:val="000000"/>
        </w:rPr>
        <w:t xml:space="preserve"> is similar to that reported in the US prescribing informatio</w:t>
      </w:r>
      <w:r w:rsidR="00FA4091">
        <w:rPr>
          <w:color w:val="000000"/>
        </w:rPr>
        <w:t xml:space="preserve">n for RPV-based regimens </w:t>
      </w:r>
      <w:r w:rsidR="00FA4091" w:rsidRPr="00554B6E">
        <w:rPr>
          <w:b/>
          <w:color w:val="000000"/>
        </w:rPr>
        <w:t>and not considered to be clinically important</w:t>
      </w:r>
      <w:r w:rsidR="00FA4091">
        <w:rPr>
          <w:b/>
          <w:color w:val="000000"/>
        </w:rPr>
        <w:t>, note also the minimal impact on eGFR.</w:t>
      </w:r>
    </w:p>
    <w:p w:rsidR="00FA4091" w:rsidRPr="00857F03" w:rsidRDefault="00FA4091" w:rsidP="000B6C20">
      <w:pPr>
        <w:pStyle w:val="Heading4"/>
      </w:pPr>
      <w:bookmarkStart w:id="161" w:name="_Toc272414671"/>
      <w:bookmarkStart w:id="162" w:name="_Toc290846309"/>
      <w:bookmarkStart w:id="163" w:name="_Toc364634642"/>
      <w:r w:rsidRPr="00857F03">
        <w:lastRenderedPageBreak/>
        <w:t>Other clinical chemistry</w:t>
      </w:r>
      <w:bookmarkEnd w:id="161"/>
      <w:bookmarkEnd w:id="162"/>
      <w:r>
        <w:t xml:space="preserve"> - lipids</w:t>
      </w:r>
      <w:bookmarkEnd w:id="163"/>
    </w:p>
    <w:p w:rsidR="00FA4091" w:rsidRPr="00F82684" w:rsidRDefault="00FA4091" w:rsidP="00F82684">
      <w:pPr>
        <w:pStyle w:val="Heading5"/>
      </w:pPr>
      <w:r w:rsidRPr="00F82684">
        <w:t>Pivotal studies</w:t>
      </w:r>
    </w:p>
    <w:p w:rsidR="00FA4091" w:rsidRDefault="00FA4091" w:rsidP="00FA4091">
      <w:pPr>
        <w:autoSpaceDE w:val="0"/>
        <w:autoSpaceDN w:val="0"/>
        <w:adjustRightInd w:val="0"/>
        <w:rPr>
          <w:rFonts w:cs="TimesNewRoman"/>
          <w:color w:val="000000"/>
        </w:rPr>
      </w:pPr>
      <w:r w:rsidRPr="00252A51">
        <w:rPr>
          <w:rFonts w:cs="TimesNewRoman,Bold"/>
          <w:b/>
          <w:bCs/>
        </w:rPr>
        <w:t>GS-US-264-0111</w:t>
      </w:r>
      <w:r w:rsidRPr="00252A51">
        <w:rPr>
          <w:rFonts w:cs="TimesNewRoman"/>
          <w:b/>
        </w:rPr>
        <w:t>:</w:t>
      </w:r>
      <w:r w:rsidRPr="00252A51">
        <w:rPr>
          <w:rFonts w:cs="TimesNewRoman"/>
        </w:rPr>
        <w:t xml:space="preserve"> </w:t>
      </w:r>
      <w:r w:rsidRPr="00252A51">
        <w:rPr>
          <w:rFonts w:cs="TimesNewRoman"/>
          <w:color w:val="000000"/>
        </w:rPr>
        <w:t xml:space="preserve">Median values and median change from baseline at </w:t>
      </w:r>
      <w:r>
        <w:rPr>
          <w:rFonts w:cs="TimesNewRoman"/>
          <w:color w:val="000000"/>
        </w:rPr>
        <w:t>Wk</w:t>
      </w:r>
      <w:r w:rsidRPr="00252A51">
        <w:rPr>
          <w:rFonts w:cs="TimesNewRoman"/>
          <w:color w:val="000000"/>
        </w:rPr>
        <w:t xml:space="preserve"> 48 for fasting lipid parameters are</w:t>
      </w:r>
      <w:r w:rsidRPr="00252A51">
        <w:rPr>
          <w:rFonts w:cs="TimesNewRoman,Bold"/>
          <w:b/>
          <w:bCs/>
          <w:color w:val="000000"/>
        </w:rPr>
        <w:t xml:space="preserve"> </w:t>
      </w:r>
      <w:r w:rsidRPr="002D638E">
        <w:rPr>
          <w:rFonts w:cs="TimesNewRoman"/>
          <w:color w:val="000000"/>
        </w:rPr>
        <w:t xml:space="preserve">presented in </w:t>
      </w:r>
      <w:r w:rsidRPr="002D638E">
        <w:rPr>
          <w:rFonts w:cs="TimesNewRoman"/>
        </w:rPr>
        <w:t>Table 1</w:t>
      </w:r>
      <w:r w:rsidR="000216D0">
        <w:rPr>
          <w:rFonts w:cs="TimesNewRoman"/>
        </w:rPr>
        <w:t>7</w:t>
      </w:r>
      <w:r w:rsidRPr="002D638E">
        <w:rPr>
          <w:rFonts w:cs="TimesNewRoman"/>
        </w:rPr>
        <w:t>.</w:t>
      </w:r>
      <w:r w:rsidRPr="002D638E">
        <w:rPr>
          <w:rFonts w:cs="TimesNewRoman"/>
          <w:color w:val="0000FF"/>
        </w:rPr>
        <w:t xml:space="preserve"> </w:t>
      </w:r>
      <w:r w:rsidRPr="002D638E">
        <w:rPr>
          <w:rFonts w:cs="TimesNewRoman"/>
          <w:color w:val="000000"/>
        </w:rPr>
        <w:t>Statistically</w:t>
      </w:r>
      <w:r w:rsidRPr="00252A51">
        <w:rPr>
          <w:rFonts w:cs="TimesNewRoman"/>
          <w:color w:val="000000"/>
        </w:rPr>
        <w:t xml:space="preserve"> significant </w:t>
      </w:r>
      <w:r w:rsidRPr="00252A51">
        <w:rPr>
          <w:rFonts w:cs="TimesNewRoman"/>
          <w:b/>
          <w:color w:val="000000"/>
        </w:rPr>
        <w:t>decreases</w:t>
      </w:r>
      <w:r w:rsidRPr="00252A51">
        <w:rPr>
          <w:rFonts w:cs="TimesNewRoman"/>
          <w:color w:val="000000"/>
        </w:rPr>
        <w:t xml:space="preserve"> from baseline in fasting </w:t>
      </w:r>
      <w:r>
        <w:rPr>
          <w:rFonts w:cs="TimesNewRoman"/>
          <w:color w:val="000000"/>
        </w:rPr>
        <w:t>lipids</w:t>
      </w:r>
      <w:r w:rsidRPr="00252A51">
        <w:rPr>
          <w:rFonts w:cs="TimesNewRoman"/>
          <w:color w:val="000000"/>
        </w:rPr>
        <w:t xml:space="preserve"> observed starting as early</w:t>
      </w:r>
      <w:r w:rsidRPr="00252A51">
        <w:rPr>
          <w:rFonts w:cs="TimesNewRoman,Bold"/>
          <w:b/>
          <w:bCs/>
          <w:color w:val="000000"/>
        </w:rPr>
        <w:t xml:space="preserve"> </w:t>
      </w:r>
      <w:r w:rsidRPr="00252A51">
        <w:rPr>
          <w:rFonts w:cs="TimesNewRoman"/>
          <w:color w:val="000000"/>
        </w:rPr>
        <w:t xml:space="preserve">as Wk 12 and continuing through Wk 48. </w:t>
      </w:r>
    </w:p>
    <w:p w:rsidR="002D638E" w:rsidRDefault="002D638E" w:rsidP="00EF3B79">
      <w:pPr>
        <w:pStyle w:val="TableTitle"/>
      </w:pPr>
      <w:r>
        <w:t>Table 1</w:t>
      </w:r>
      <w:r w:rsidR="000216D0">
        <w:t>7</w:t>
      </w:r>
      <w:r>
        <w:t>:</w:t>
      </w:r>
      <w:r w:rsidRPr="004C5C28">
        <w:t xml:space="preserve"> </w:t>
      </w:r>
      <w:r w:rsidRPr="002D638E">
        <w:t>GS-US-264-0111: Median (Q1, Q3) of Observed Fasting Lipid Parameters and Changes from Baseline (mg/dL; Safety Analysis Set)</w:t>
      </w:r>
      <w:r>
        <w:t>.</w:t>
      </w:r>
    </w:p>
    <w:p w:rsidR="002D638E" w:rsidRPr="005771E8" w:rsidRDefault="00A16194" w:rsidP="00EF3B79">
      <w:r>
        <w:rPr>
          <w:noProof/>
          <w:lang w:eastAsia="en-AU"/>
        </w:rPr>
        <w:drawing>
          <wp:inline distT="0" distB="0" distL="0" distR="0" wp14:anchorId="3A6B611F" wp14:editId="4479A792">
            <wp:extent cx="4617720" cy="1457960"/>
            <wp:effectExtent l="0" t="0" r="0" b="8890"/>
            <wp:docPr id="22" name="Picture 22" descr="Table 17: GS-US-264-0111: Median (Q1, Q3) of Observed Fasting Lipid Parameters and Changes from Baseline (mg/dL;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le 17: GS-US-264-0111: Median (Q1, Q3) of Observed Fasting Lipid Parameters and Changes from Baseline (mg/dL; Safety Analysis Se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7720" cy="1457960"/>
                    </a:xfrm>
                    <a:prstGeom prst="rect">
                      <a:avLst/>
                    </a:prstGeom>
                    <a:noFill/>
                    <a:ln>
                      <a:noFill/>
                    </a:ln>
                  </pic:spPr>
                </pic:pic>
              </a:graphicData>
            </a:graphic>
          </wp:inline>
        </w:drawing>
      </w:r>
    </w:p>
    <w:p w:rsidR="00657927" w:rsidRDefault="00FA4091" w:rsidP="00EF3B79">
      <w:r w:rsidRPr="00252A51">
        <w:rPr>
          <w:rFonts w:cs="TimesNewRoman,Bold"/>
          <w:b/>
          <w:bCs/>
        </w:rPr>
        <w:t>GS-US-264-0106</w:t>
      </w:r>
      <w:r>
        <w:rPr>
          <w:rFonts w:cs="TimesNewRoman,Bold"/>
          <w:b/>
          <w:bCs/>
        </w:rPr>
        <w:t xml:space="preserve">: </w:t>
      </w:r>
      <w:r w:rsidRPr="00252A51">
        <w:t xml:space="preserve">At baseline, the mean (SD) values for lipid parameters were similar between the Eviplera and SBR </w:t>
      </w:r>
      <w:r w:rsidR="00F35F06">
        <w:t>group</w:t>
      </w:r>
      <w:r w:rsidRPr="00252A51">
        <w:t xml:space="preserve">s. Overall, fasting total cholesterol, HDL cholesterol, direct LDL cholesterol, fasting TGs, and the ratio of total cholesterol/HDL cholesterol decreased to a greater extent through </w:t>
      </w:r>
      <w:r>
        <w:t>Wk</w:t>
      </w:r>
      <w:r w:rsidRPr="00252A51">
        <w:t xml:space="preserve"> 24 among subjects in the randomised Eviplera</w:t>
      </w:r>
      <w:r>
        <w:t xml:space="preserve"> </w:t>
      </w:r>
      <w:r w:rsidR="00F35F06">
        <w:t>group</w:t>
      </w:r>
      <w:r>
        <w:t xml:space="preserve"> v</w:t>
      </w:r>
      <w:r w:rsidRPr="00252A51">
        <w:t>s</w:t>
      </w:r>
      <w:r>
        <w:t>.</w:t>
      </w:r>
      <w:r w:rsidRPr="00252A51">
        <w:t xml:space="preserve"> those</w:t>
      </w:r>
      <w:r w:rsidRPr="0076479A">
        <w:t xml:space="preserve"> maintaining their baseline PI/r + 2 NRTIs regimen (SBR </w:t>
      </w:r>
      <w:r w:rsidR="00F35F06">
        <w:t>group</w:t>
      </w:r>
      <w:r w:rsidRPr="0076479A">
        <w:t xml:space="preserve">). At Wk 24, the mean (SD) changes from baseline in fasting lipid parameters in the Eviplera and SBR </w:t>
      </w:r>
      <w:r w:rsidR="00F35F06">
        <w:t>group</w:t>
      </w:r>
      <w:r w:rsidRPr="0076479A">
        <w:t xml:space="preserve">s were as follows: </w:t>
      </w:r>
      <w:r w:rsidR="00A53692">
        <w:rPr>
          <w:rFonts w:cs="Symbol"/>
        </w:rPr>
        <w:t>-</w:t>
      </w:r>
      <w:r w:rsidRPr="0076479A">
        <w:t xml:space="preserve">25 (30.2) vs. </w:t>
      </w:r>
      <w:r w:rsidR="00A53692">
        <w:rPr>
          <w:rFonts w:cs="Symbol"/>
        </w:rPr>
        <w:t>-</w:t>
      </w:r>
      <w:r w:rsidRPr="0076479A">
        <w:t xml:space="preserve">1 (25.9) mg/dL for total cholesterol; </w:t>
      </w:r>
      <w:r w:rsidR="00A53692">
        <w:rPr>
          <w:rFonts w:cs="Symbol"/>
        </w:rPr>
        <w:t>-</w:t>
      </w:r>
      <w:r w:rsidRPr="0076479A">
        <w:t xml:space="preserve">4 (10.3) vs. </w:t>
      </w:r>
      <w:r w:rsidR="00A53692">
        <w:rPr>
          <w:rFonts w:cs="Symbol"/>
        </w:rPr>
        <w:t>-</w:t>
      </w:r>
      <w:r w:rsidRPr="0076479A">
        <w:t xml:space="preserve">1 (8.2) mg/dL for HDL; </w:t>
      </w:r>
      <w:r w:rsidR="00A53692">
        <w:rPr>
          <w:rFonts w:cs="Symbol"/>
        </w:rPr>
        <w:t>-</w:t>
      </w:r>
      <w:r w:rsidRPr="0076479A">
        <w:t xml:space="preserve">16 (25.6) vs. 0 (23.7) mg/dL for direct LDL; </w:t>
      </w:r>
      <w:r w:rsidR="00A53692">
        <w:rPr>
          <w:rFonts w:cs="Symbol"/>
        </w:rPr>
        <w:t>-</w:t>
      </w:r>
      <w:r w:rsidRPr="0076479A">
        <w:t xml:space="preserve">53 (110.1) vs. 3 (100.1) mg/dL for TGs; and </w:t>
      </w:r>
      <w:r w:rsidR="00A53692">
        <w:rPr>
          <w:rFonts w:cs="Symbol"/>
        </w:rPr>
        <w:t>-</w:t>
      </w:r>
      <w:r w:rsidRPr="0076479A">
        <w:t xml:space="preserve">0.27 (0.913) vs. 0.08 (0.771) mg/dL for the ratio of total cholesterol to HDL. Differences between these treatment </w:t>
      </w:r>
      <w:r w:rsidR="00F35F06">
        <w:t>group</w:t>
      </w:r>
      <w:r w:rsidRPr="0076479A">
        <w:t>s for all 5 of these lipid parameters were statistica</w:t>
      </w:r>
      <w:r>
        <w:t>lly significant at Wk 24 (p &lt;</w:t>
      </w:r>
      <w:r w:rsidRPr="0076479A">
        <w:t xml:space="preserve">0.001). The mean reductions from baseline in lipid parameters observed at </w:t>
      </w:r>
      <w:r>
        <w:t>Wk</w:t>
      </w:r>
      <w:r w:rsidRPr="0076479A">
        <w:t xml:space="preserve"> 24 in the randomized Eviplera </w:t>
      </w:r>
      <w:r w:rsidR="00F35F06">
        <w:t>group</w:t>
      </w:r>
      <w:r w:rsidRPr="0076479A">
        <w:t xml:space="preserve"> were generally maintained through </w:t>
      </w:r>
      <w:r>
        <w:t>Wk</w:t>
      </w:r>
      <w:r w:rsidRPr="0076479A">
        <w:t xml:space="preserve"> 48 of therapy. After subjects in the SBR </w:t>
      </w:r>
      <w:r w:rsidR="00F35F06">
        <w:t>group</w:t>
      </w:r>
      <w:r w:rsidRPr="0076479A">
        <w:t xml:space="preserve"> switched to Eviplera therapy at </w:t>
      </w:r>
      <w:r>
        <w:t>Wk</w:t>
      </w:r>
      <w:r w:rsidRPr="0076479A">
        <w:t xml:space="preserve"> 24, similar decreases in lipid parameters were observed in the Delayed Switch </w:t>
      </w:r>
      <w:r w:rsidR="00F35F06">
        <w:t>group</w:t>
      </w:r>
      <w:r w:rsidRPr="0076479A">
        <w:t xml:space="preserve"> over </w:t>
      </w:r>
      <w:r>
        <w:t>Wk</w:t>
      </w:r>
      <w:r w:rsidRPr="0076479A">
        <w:t xml:space="preserve">s 24 to 48 of the study. In general, mean decreases from baseline to </w:t>
      </w:r>
      <w:r>
        <w:t>Wk</w:t>
      </w:r>
      <w:r w:rsidRPr="0076479A">
        <w:t xml:space="preserve"> 24 of Eviplera therapy were larger in subjects with prior LPV/r use at study entry compared with</w:t>
      </w:r>
      <w:r w:rsidR="00657927">
        <w:t xml:space="preserve"> those without prior LPV/r use.</w:t>
      </w:r>
    </w:p>
    <w:p w:rsidR="00657927" w:rsidRDefault="00FA4091" w:rsidP="00EF3B79">
      <w:r w:rsidRPr="00654AF4">
        <w:rPr>
          <w:b/>
        </w:rPr>
        <w:t>In accordance with NCEP targets</w:t>
      </w:r>
      <w:r>
        <w:t>: By W</w:t>
      </w:r>
      <w:r w:rsidRPr="0076479A">
        <w:t>k 12, the</w:t>
      </w:r>
      <w:r>
        <w:t xml:space="preserve"> %</w:t>
      </w:r>
      <w:r w:rsidRPr="0076479A">
        <w:t xml:space="preserve"> of</w:t>
      </w:r>
      <w:r>
        <w:t xml:space="preserve"> subjects </w:t>
      </w:r>
      <w:r w:rsidRPr="00654AF4">
        <w:rPr>
          <w:b/>
        </w:rPr>
        <w:t>with target</w:t>
      </w:r>
      <w:r>
        <w:t xml:space="preserve"> </w:t>
      </w:r>
      <w:r w:rsidRPr="0076479A">
        <w:t>fasting total cholesterol levels (&lt;2</w:t>
      </w:r>
      <w:r>
        <w:t>00 mg/dL), LDL (&lt;100 mg/dL), TGs (&lt;</w:t>
      </w:r>
      <w:r w:rsidRPr="0076479A">
        <w:t xml:space="preserve">150 mg/dL), and total cholesterol to HDL </w:t>
      </w:r>
      <w:r>
        <w:t>ratio (&lt;</w:t>
      </w:r>
      <w:r w:rsidRPr="0076479A">
        <w:t>3.5) were increased in the Eviplera</w:t>
      </w:r>
      <w:r>
        <w:t xml:space="preserve"> </w:t>
      </w:r>
      <w:r w:rsidR="00F35F06">
        <w:t>group</w:t>
      </w:r>
      <w:r w:rsidRPr="0076479A">
        <w:t xml:space="preserve"> compared with the SBR </w:t>
      </w:r>
      <w:r w:rsidR="00F35F06">
        <w:t>group</w:t>
      </w:r>
      <w:r w:rsidRPr="0076479A">
        <w:t xml:space="preserve">. The </w:t>
      </w:r>
      <w:r>
        <w:t xml:space="preserve">% of subjects in these target </w:t>
      </w:r>
      <w:r w:rsidRPr="0076479A">
        <w:t xml:space="preserve">fasting lipid categories at </w:t>
      </w:r>
      <w:r>
        <w:t>Wk</w:t>
      </w:r>
      <w:r w:rsidRPr="0076479A">
        <w:t xml:space="preserve"> 12 in the Eviplera and SBR </w:t>
      </w:r>
      <w:r w:rsidR="00F35F06">
        <w:t>group</w:t>
      </w:r>
      <w:r w:rsidRPr="0076479A">
        <w:t>s were as follows: 86.6% vs. 60.1% for total cholesterol; 47.8% vs. 24.8% for direct LDL; 87.6% vs. 47.3% for TGs; and 57.9% vs. 31.1% for total cholesterol to HDL</w:t>
      </w:r>
      <w:r>
        <w:t xml:space="preserve"> ratio. Similar results observed at W</w:t>
      </w:r>
      <w:r w:rsidRPr="0076479A">
        <w:t>k 24. Overall differences between the Eviplera</w:t>
      </w:r>
      <w:r>
        <w:t xml:space="preserve"> and SBR </w:t>
      </w:r>
      <w:r w:rsidR="00F35F06">
        <w:t>group</w:t>
      </w:r>
      <w:r w:rsidRPr="0076479A">
        <w:t>s in the categorical analyses of fasting total cholesterol, direct LDL, TGs, and th</w:t>
      </w:r>
      <w:r>
        <w:t xml:space="preserve">e ratio of total cholesterol to </w:t>
      </w:r>
      <w:r w:rsidRPr="0076479A">
        <w:t>HDL cholesterol (in favo</w:t>
      </w:r>
      <w:r>
        <w:t>u</w:t>
      </w:r>
      <w:r w:rsidRPr="0076479A">
        <w:t>r of improved lipid profile for the Eviplera</w:t>
      </w:r>
      <w:r>
        <w:t xml:space="preserve"> </w:t>
      </w:r>
      <w:r w:rsidR="00F35F06">
        <w:t>group</w:t>
      </w:r>
      <w:r w:rsidRPr="0076479A">
        <w:t xml:space="preserve">) </w:t>
      </w:r>
      <w:r>
        <w:t xml:space="preserve">was </w:t>
      </w:r>
      <w:r w:rsidRPr="0076479A">
        <w:t>statistically sign</w:t>
      </w:r>
      <w:r>
        <w:t>ificant at Wks 12 and 24 (p &lt;</w:t>
      </w:r>
      <w:r w:rsidRPr="0076479A">
        <w:t xml:space="preserve">0.001). After subjects in the SBR </w:t>
      </w:r>
      <w:r w:rsidR="00F35F06">
        <w:t>group</w:t>
      </w:r>
      <w:r w:rsidRPr="0076479A">
        <w:t xml:space="preserve"> switched to Eviplera</w:t>
      </w:r>
      <w:r>
        <w:t xml:space="preserve"> </w:t>
      </w:r>
      <w:r w:rsidRPr="0076479A">
        <w:t>at Wk 24, similar fasting total cholesterol category results were observed in the Del</w:t>
      </w:r>
      <w:r>
        <w:t xml:space="preserve">ayed Switch </w:t>
      </w:r>
      <w:r w:rsidR="00F35F06">
        <w:t>group</w:t>
      </w:r>
      <w:r>
        <w:t xml:space="preserve"> over 24 Wk</w:t>
      </w:r>
      <w:r w:rsidR="00657927">
        <w:t>s.</w:t>
      </w:r>
    </w:p>
    <w:p w:rsidR="00FA4091" w:rsidRPr="005771E8" w:rsidRDefault="00657927" w:rsidP="00EF3B79">
      <w:pPr>
        <w:rPr>
          <w:color w:val="000000"/>
        </w:rPr>
      </w:pPr>
      <w:r>
        <w:rPr>
          <w:rFonts w:cs="TimesNewRoman,Bold"/>
          <w:b/>
          <w:bCs/>
        </w:rPr>
        <w:t xml:space="preserve">GS-US-264-0110: </w:t>
      </w:r>
      <w:r w:rsidR="00FA4091" w:rsidRPr="00654AF4">
        <w:t>At baseline, the mean (SD) values for lipid parameters were generally similar between the Eviplera</w:t>
      </w:r>
      <w:r w:rsidR="00FA4091">
        <w:t xml:space="preserve">, and </w:t>
      </w:r>
      <w:r w:rsidR="00FA4091" w:rsidRPr="00781311">
        <w:t>Atripla</w:t>
      </w:r>
      <w:r w:rsidR="00564405">
        <w:t xml:space="preserve"> </w:t>
      </w:r>
      <w:r w:rsidR="00F35F06">
        <w:t>group</w:t>
      </w:r>
      <w:r w:rsidR="00FA4091" w:rsidRPr="00654AF4">
        <w:t>s. The mean (SD) values for fasting total cholesterol were</w:t>
      </w:r>
      <w:r w:rsidR="00FA4091">
        <w:rPr>
          <w:color w:val="000000"/>
        </w:rPr>
        <w:t xml:space="preserve"> </w:t>
      </w:r>
      <w:r w:rsidR="00FA4091" w:rsidRPr="00654AF4">
        <w:t xml:space="preserve">164 (36.4) mg/dL in </w:t>
      </w:r>
      <w:r w:rsidR="00FA4091">
        <w:t xml:space="preserve">the </w:t>
      </w:r>
      <w:r w:rsidR="00FA4091" w:rsidRPr="0076479A">
        <w:rPr>
          <w:color w:val="000000"/>
        </w:rPr>
        <w:t>Eviplera</w:t>
      </w:r>
      <w:r w:rsidR="00564405">
        <w:rPr>
          <w:color w:val="000000"/>
        </w:rPr>
        <w:t xml:space="preserve"> </w:t>
      </w:r>
      <w:r w:rsidR="00F35F06">
        <w:t>group</w:t>
      </w:r>
      <w:r w:rsidR="00FA4091" w:rsidRPr="00654AF4">
        <w:t xml:space="preserve"> and 163 </w:t>
      </w:r>
      <w:r w:rsidR="00FA4091">
        <w:t xml:space="preserve">(35.0) mg/dL in the </w:t>
      </w:r>
      <w:r w:rsidR="00FA4091" w:rsidRPr="00781311">
        <w:t>Atripla</w:t>
      </w:r>
      <w:r w:rsidR="00564405">
        <w:t xml:space="preserve"> </w:t>
      </w:r>
      <w:r w:rsidR="00F35F06">
        <w:t>group</w:t>
      </w:r>
      <w:r w:rsidR="00FA4091" w:rsidRPr="00654AF4">
        <w:t>.</w:t>
      </w:r>
      <w:r w:rsidR="00FA4091">
        <w:t xml:space="preserve"> M</w:t>
      </w:r>
      <w:r w:rsidR="00FA4091" w:rsidRPr="00654AF4">
        <w:t>ean (SD) values for fasting HDL cholesterol were 44 (13.2) mg/dL in the Eviplera</w:t>
      </w:r>
      <w:r w:rsidR="00564405">
        <w:t xml:space="preserve"> </w:t>
      </w:r>
      <w:r w:rsidR="00F35F06">
        <w:t>group</w:t>
      </w:r>
      <w:r w:rsidR="00FA4091" w:rsidRPr="00654AF4">
        <w:t xml:space="preserve"> and 44 </w:t>
      </w:r>
      <w:r w:rsidR="00FA4091">
        <w:t xml:space="preserve">(11.9) mg/dL in the </w:t>
      </w:r>
      <w:r w:rsidR="00FA4091" w:rsidRPr="00781311">
        <w:t>Atripla</w:t>
      </w:r>
      <w:r w:rsidR="00564405">
        <w:t xml:space="preserve"> </w:t>
      </w:r>
      <w:r w:rsidR="00F35F06">
        <w:t>group</w:t>
      </w:r>
      <w:r w:rsidR="00FA4091" w:rsidRPr="00654AF4">
        <w:t>. The mean (SD) values for fasting direct LDL cholesterol were 104 (31.5) mg/dL in the Eviplera</w:t>
      </w:r>
      <w:r w:rsidR="00FA4091">
        <w:t xml:space="preserve">, </w:t>
      </w:r>
      <w:r w:rsidR="00F35F06">
        <w:t>group</w:t>
      </w:r>
      <w:r w:rsidR="00FA4091" w:rsidRPr="00654AF4">
        <w:t xml:space="preserve"> and 103 </w:t>
      </w:r>
      <w:r w:rsidR="00FA4091">
        <w:t xml:space="preserve">(33.0) mg/dL in the Atripla </w:t>
      </w:r>
      <w:r w:rsidR="00F35F06">
        <w:t>group</w:t>
      </w:r>
      <w:r w:rsidR="00FA4091" w:rsidRPr="00654AF4">
        <w:t xml:space="preserve">. The mean (SD) values for fasting TGs were 121 (73.2) mg/dL in the </w:t>
      </w:r>
      <w:r w:rsidR="00FA4091" w:rsidRPr="0076479A">
        <w:rPr>
          <w:color w:val="000000"/>
        </w:rPr>
        <w:t>Eviplera</w:t>
      </w:r>
      <w:r w:rsidR="00564405">
        <w:rPr>
          <w:color w:val="000000"/>
        </w:rPr>
        <w:t xml:space="preserve"> </w:t>
      </w:r>
      <w:r w:rsidR="00F35F06">
        <w:t>group</w:t>
      </w:r>
      <w:r w:rsidR="00FA4091" w:rsidRPr="00654AF4">
        <w:t xml:space="preserve"> and 129 (124.0) mg/dL </w:t>
      </w:r>
      <w:r w:rsidR="00FA4091" w:rsidRPr="00654AF4">
        <w:lastRenderedPageBreak/>
        <w:t xml:space="preserve">in the </w:t>
      </w:r>
      <w:r w:rsidR="00FA4091" w:rsidRPr="00781311">
        <w:t>Atripla</w:t>
      </w:r>
      <w:r w:rsidR="00564405">
        <w:t xml:space="preserve"> </w:t>
      </w:r>
      <w:r w:rsidR="00F35F06">
        <w:t>group</w:t>
      </w:r>
      <w:r w:rsidR="00FA4091" w:rsidRPr="00654AF4">
        <w:t xml:space="preserve">. The mean (SD) values for </w:t>
      </w:r>
      <w:r w:rsidR="00FA4091">
        <w:t xml:space="preserve">total cholesterol/HDL ratio </w:t>
      </w:r>
      <w:r w:rsidR="00FA4091" w:rsidRPr="00654AF4">
        <w:t>were 4.0 (1.38) in the Eviplera</w:t>
      </w:r>
      <w:r w:rsidR="00FA4091">
        <w:t xml:space="preserve">, </w:t>
      </w:r>
      <w:r w:rsidR="00F35F06">
        <w:t>group</w:t>
      </w:r>
      <w:r w:rsidR="00FA4091" w:rsidRPr="00654AF4">
        <w:t xml:space="preserve"> an</w:t>
      </w:r>
      <w:r w:rsidR="00FA4091">
        <w:t xml:space="preserve">d 4.0 (1.43) in the </w:t>
      </w:r>
      <w:r w:rsidR="00FA4091" w:rsidRPr="00781311">
        <w:t>Atripla</w:t>
      </w:r>
      <w:r w:rsidR="00564405">
        <w:t xml:space="preserve"> </w:t>
      </w:r>
      <w:r w:rsidR="00F35F06">
        <w:t>group</w:t>
      </w:r>
      <w:r w:rsidR="00FA4091" w:rsidRPr="00654AF4">
        <w:t>. Fasting total cholesterol, HDL cholester</w:t>
      </w:r>
      <w:r w:rsidR="00FA4091">
        <w:t xml:space="preserve">ol, direct LDL cholesterol, </w:t>
      </w:r>
      <w:r w:rsidR="00FA4091" w:rsidRPr="00654AF4">
        <w:t>TGs were</w:t>
      </w:r>
      <w:r w:rsidR="00FA4091">
        <w:rPr>
          <w:color w:val="000000"/>
        </w:rPr>
        <w:t xml:space="preserve"> </w:t>
      </w:r>
      <w:r w:rsidR="00FA4091" w:rsidRPr="00654AF4">
        <w:t xml:space="preserve">increased at </w:t>
      </w:r>
      <w:r w:rsidR="00FA4091">
        <w:t>Wk</w:t>
      </w:r>
      <w:r w:rsidR="00FA4091" w:rsidRPr="00654AF4">
        <w:t xml:space="preserve"> 24 among </w:t>
      </w:r>
      <w:r w:rsidR="00FA4091" w:rsidRPr="00781311">
        <w:t>Atripla</w:t>
      </w:r>
      <w:r w:rsidR="00564405">
        <w:t xml:space="preserve"> </w:t>
      </w:r>
      <w:r w:rsidR="00FA4091">
        <w:t xml:space="preserve">subjects. </w:t>
      </w:r>
      <w:r w:rsidR="00FA4091" w:rsidRPr="00654AF4">
        <w:t xml:space="preserve">In the </w:t>
      </w:r>
      <w:proofErr w:type="gramStart"/>
      <w:r w:rsidR="00FA4091" w:rsidRPr="00654AF4">
        <w:t>Eviplera</w:t>
      </w:r>
      <w:r w:rsidR="00564405">
        <w:t xml:space="preserve"> </w:t>
      </w:r>
      <w:r w:rsidR="00FA4091" w:rsidRPr="00654AF4">
        <w:t>,</w:t>
      </w:r>
      <w:proofErr w:type="gramEnd"/>
      <w:r w:rsidR="00FA4091" w:rsidRPr="00654AF4">
        <w:t xml:space="preserve"> </w:t>
      </w:r>
      <w:r w:rsidR="00F35F06">
        <w:t>group</w:t>
      </w:r>
      <w:r w:rsidR="00FA4091" w:rsidRPr="00654AF4">
        <w:t>, fasting total cholesterol, HDL cholest</w:t>
      </w:r>
      <w:r w:rsidR="00FA4091">
        <w:t xml:space="preserve">erol, </w:t>
      </w:r>
      <w:r w:rsidR="00FA4091" w:rsidRPr="00654AF4">
        <w:t xml:space="preserve">direct LDL cholesterol levels </w:t>
      </w:r>
      <w:r w:rsidR="00FA4091" w:rsidRPr="00654AF4">
        <w:rPr>
          <w:b/>
        </w:rPr>
        <w:t xml:space="preserve">changed little through </w:t>
      </w:r>
      <w:r w:rsidR="00FA4091">
        <w:rPr>
          <w:b/>
        </w:rPr>
        <w:t>Wk</w:t>
      </w:r>
      <w:r w:rsidR="00FA4091" w:rsidRPr="00654AF4">
        <w:rPr>
          <w:b/>
        </w:rPr>
        <w:t xml:space="preserve"> 24</w:t>
      </w:r>
      <w:r w:rsidR="00FA4091" w:rsidRPr="00654AF4">
        <w:t xml:space="preserve">, </w:t>
      </w:r>
      <w:r w:rsidR="00FA4091" w:rsidRPr="00654AF4">
        <w:rPr>
          <w:b/>
        </w:rPr>
        <w:t>while fasting TGs were decreased</w:t>
      </w:r>
      <w:r w:rsidR="00FA4091" w:rsidRPr="00654AF4">
        <w:t xml:space="preserve"> at </w:t>
      </w:r>
      <w:r w:rsidR="00FA4091">
        <w:t>Wk</w:t>
      </w:r>
      <w:r w:rsidR="00FA4091" w:rsidRPr="00654AF4">
        <w:t xml:space="preserve"> 24. At </w:t>
      </w:r>
      <w:r w:rsidR="00FA4091">
        <w:t xml:space="preserve">Wk 24, </w:t>
      </w:r>
      <w:r w:rsidR="00FA4091" w:rsidRPr="00654AF4">
        <w:t xml:space="preserve">mean (SD) changes from baseline in </w:t>
      </w:r>
      <w:r w:rsidR="00FA4091">
        <w:t xml:space="preserve">fasting lipids in </w:t>
      </w:r>
      <w:r w:rsidR="00FA4091" w:rsidRPr="00654AF4">
        <w:t>Eviplera</w:t>
      </w:r>
      <w:r w:rsidR="00564405">
        <w:t xml:space="preserve"> </w:t>
      </w:r>
      <w:r w:rsidR="00FA4091" w:rsidRPr="00654AF4">
        <w:t xml:space="preserve">, and </w:t>
      </w:r>
      <w:r w:rsidR="00FA4091" w:rsidRPr="00781311">
        <w:t>Atripla</w:t>
      </w:r>
      <w:r w:rsidR="00564405">
        <w:t xml:space="preserve"> </w:t>
      </w:r>
      <w:r w:rsidR="00F35F06">
        <w:t>group</w:t>
      </w:r>
      <w:r w:rsidR="00FA4091" w:rsidRPr="00654AF4">
        <w:t xml:space="preserve">s as follows: </w:t>
      </w:r>
      <w:r w:rsidR="00A53692">
        <w:rPr>
          <w:rFonts w:cs="Symbol"/>
        </w:rPr>
        <w:t>-</w:t>
      </w:r>
      <w:r w:rsidR="00FA4091" w:rsidRPr="00654AF4">
        <w:t xml:space="preserve">3 (28.2) vs. 21 (28.5) mg/dL for total cholesterol; 2 (9.4) vs. 7 (9.9) mg/dL for HDL cholesterol; </w:t>
      </w:r>
      <w:r w:rsidR="00A53692">
        <w:rPr>
          <w:rFonts w:cs="Symbol"/>
        </w:rPr>
        <w:t>-</w:t>
      </w:r>
      <w:r w:rsidR="00FA4091" w:rsidRPr="00654AF4">
        <w:t xml:space="preserve">2 (24.3) vs.13 (25.9) mg/dL for direct LDL cholesterol; and </w:t>
      </w:r>
      <w:r w:rsidR="00A53692">
        <w:rPr>
          <w:rFonts w:cs="Symbol"/>
        </w:rPr>
        <w:t>-</w:t>
      </w:r>
      <w:r w:rsidR="00FA4091" w:rsidRPr="00654AF4">
        <w:t>7 (67.6) vs. 11 (100.2) mg/dL for TGs. Fasting total cholesterol, HDL cholester</w:t>
      </w:r>
      <w:r w:rsidR="00FA4091">
        <w:t xml:space="preserve">ol, direct LDL cholesterol, </w:t>
      </w:r>
      <w:r w:rsidR="00FA4091" w:rsidRPr="00654AF4">
        <w:t xml:space="preserve">TGs </w:t>
      </w:r>
      <w:r w:rsidR="00FA4091">
        <w:t>generally maintained from Wk 24 through W</w:t>
      </w:r>
      <w:r w:rsidR="00FA4091" w:rsidRPr="00654AF4">
        <w:t xml:space="preserve">k 48 in both treatment </w:t>
      </w:r>
      <w:r w:rsidR="00F35F06">
        <w:t>group</w:t>
      </w:r>
      <w:r w:rsidR="00FA4091" w:rsidRPr="00654AF4">
        <w:t xml:space="preserve">s. </w:t>
      </w:r>
      <w:r w:rsidR="00FA4091" w:rsidRPr="00654AF4">
        <w:rPr>
          <w:b/>
          <w:color w:val="000000"/>
        </w:rPr>
        <w:t>In accordance with NCEP targets</w:t>
      </w:r>
      <w:r w:rsidR="00FA4091">
        <w:rPr>
          <w:color w:val="000000"/>
        </w:rPr>
        <w:t>:</w:t>
      </w:r>
      <w:r w:rsidR="00FA4091">
        <w:t xml:space="preserve"> At W</w:t>
      </w:r>
      <w:r w:rsidR="00FA4091" w:rsidRPr="0076479A">
        <w:t xml:space="preserve">ks 24 and 48, the </w:t>
      </w:r>
      <w:r w:rsidR="00FA4091">
        <w:t xml:space="preserve">% of subjects with target </w:t>
      </w:r>
      <w:r w:rsidR="00FA4091" w:rsidRPr="0076479A">
        <w:t xml:space="preserve">fasting </w:t>
      </w:r>
      <w:r w:rsidR="00FA4091">
        <w:t xml:space="preserve">lipids (see above) </w:t>
      </w:r>
      <w:r w:rsidR="00FA4091" w:rsidRPr="0076479A">
        <w:t>rema</w:t>
      </w:r>
      <w:r w:rsidR="00FA4091">
        <w:t xml:space="preserve">ined similar to baseline in the </w:t>
      </w:r>
      <w:r w:rsidR="00FA4091" w:rsidRPr="0076479A">
        <w:t>Eviplera</w:t>
      </w:r>
      <w:r w:rsidR="00564405">
        <w:t xml:space="preserve"> </w:t>
      </w:r>
      <w:r w:rsidR="00F35F06">
        <w:t>group</w:t>
      </w:r>
      <w:r w:rsidR="00FA4091" w:rsidRPr="0076479A">
        <w:t xml:space="preserve">, but </w:t>
      </w:r>
      <w:r w:rsidR="00FA4091" w:rsidRPr="00654AF4">
        <w:rPr>
          <w:b/>
        </w:rPr>
        <w:t>were decreased</w:t>
      </w:r>
      <w:r w:rsidR="00FA4091">
        <w:t xml:space="preserve"> in the </w:t>
      </w:r>
      <w:r w:rsidR="00FA4091" w:rsidRPr="00781311">
        <w:t>Atripla</w:t>
      </w:r>
      <w:r w:rsidR="00564405">
        <w:t xml:space="preserve"> </w:t>
      </w:r>
      <w:r w:rsidR="00F35F06">
        <w:t>group</w:t>
      </w:r>
      <w:r w:rsidR="00FA4091" w:rsidRPr="0076479A">
        <w:t xml:space="preserve">. The </w:t>
      </w:r>
      <w:r w:rsidR="00FA4091">
        <w:t xml:space="preserve">% </w:t>
      </w:r>
      <w:r w:rsidR="00FA4091" w:rsidRPr="0076479A">
        <w:t>of sub</w:t>
      </w:r>
      <w:r w:rsidR="00FA4091">
        <w:t xml:space="preserve">jects in these target </w:t>
      </w:r>
      <w:r w:rsidR="00FA4091" w:rsidRPr="0076479A">
        <w:t>fasting lipid categories at</w:t>
      </w:r>
      <w:r w:rsidR="00FA4091">
        <w:t xml:space="preserve"> W</w:t>
      </w:r>
      <w:r w:rsidR="00FA4091" w:rsidRPr="0076479A">
        <w:t xml:space="preserve">k 48 </w:t>
      </w:r>
      <w:r w:rsidR="00FA4091">
        <w:t xml:space="preserve">for </w:t>
      </w:r>
      <w:r w:rsidR="00FA4091" w:rsidRPr="0076479A">
        <w:t>Eviplera</w:t>
      </w:r>
      <w:r w:rsidR="00564405">
        <w:t xml:space="preserve"> </w:t>
      </w:r>
      <w:r w:rsidR="00FA4091">
        <w:t xml:space="preserve">and </w:t>
      </w:r>
      <w:r w:rsidR="00FA4091" w:rsidRPr="00781311">
        <w:t>Atripla</w:t>
      </w:r>
      <w:r w:rsidR="00564405">
        <w:t xml:space="preserve"> </w:t>
      </w:r>
      <w:r w:rsidR="00F35F06">
        <w:t>group</w:t>
      </w:r>
      <w:r w:rsidR="00FA4091" w:rsidRPr="0076479A">
        <w:t>s were</w:t>
      </w:r>
      <w:r w:rsidR="00FA4091">
        <w:t>: 85.9% vs. 65.9% (</w:t>
      </w:r>
      <w:r w:rsidR="00FA4091" w:rsidRPr="0076479A">
        <w:t>total cholesterol</w:t>
      </w:r>
      <w:r w:rsidR="00FA4091">
        <w:t>); 41.9% vs. 32.1% (</w:t>
      </w:r>
      <w:r w:rsidR="00FA4091" w:rsidRPr="0076479A">
        <w:t>direct LDL</w:t>
      </w:r>
      <w:r w:rsidR="00FA4091">
        <w:t>); 80.6% vs. 72.1%</w:t>
      </w:r>
      <w:r w:rsidR="00FA4091" w:rsidRPr="0076479A">
        <w:t xml:space="preserve"> </w:t>
      </w:r>
      <w:r w:rsidR="00FA4091">
        <w:t>(</w:t>
      </w:r>
      <w:r w:rsidR="00FA4091" w:rsidRPr="0076479A">
        <w:t>TGs</w:t>
      </w:r>
      <w:r w:rsidR="00FA4091">
        <w:t>)</w:t>
      </w:r>
      <w:r w:rsidR="00FA4091" w:rsidRPr="0076479A">
        <w:t xml:space="preserve">. </w:t>
      </w:r>
      <w:proofErr w:type="gramStart"/>
      <w:r w:rsidR="00FA4091" w:rsidRPr="0076479A">
        <w:t xml:space="preserve">Overall differences </w:t>
      </w:r>
      <w:r w:rsidR="00FA4091">
        <w:t xml:space="preserve">for </w:t>
      </w:r>
      <w:r w:rsidR="00FA4091" w:rsidRPr="0076479A">
        <w:t>Eviplera</w:t>
      </w:r>
      <w:r w:rsidR="00564405">
        <w:t xml:space="preserve"> </w:t>
      </w:r>
      <w:r w:rsidR="00FA4091">
        <w:t xml:space="preserve">vs. </w:t>
      </w:r>
      <w:r w:rsidR="00FA4091" w:rsidRPr="00781311">
        <w:t>Atripla</w:t>
      </w:r>
      <w:r w:rsidR="00564405">
        <w:t xml:space="preserve"> </w:t>
      </w:r>
      <w:r w:rsidR="00FA4091" w:rsidRPr="0076479A">
        <w:t>in categorical analyses of fasting tot</w:t>
      </w:r>
      <w:r w:rsidR="00FA4091">
        <w:t xml:space="preserve">al cholesterol, LDL, </w:t>
      </w:r>
      <w:r w:rsidR="00FA4091" w:rsidRPr="0076479A">
        <w:t xml:space="preserve">TGs statistically significant at </w:t>
      </w:r>
      <w:r w:rsidR="00FA4091">
        <w:t xml:space="preserve">Wks 24 &amp; </w:t>
      </w:r>
      <w:r w:rsidR="00FA4091" w:rsidRPr="0076479A">
        <w:t>48 (p ≤ 0.013).</w:t>
      </w:r>
      <w:proofErr w:type="gramEnd"/>
    </w:p>
    <w:p w:rsidR="00FA4091" w:rsidRPr="00857F03" w:rsidRDefault="00FA4091" w:rsidP="00EF3B79">
      <w:pPr>
        <w:pStyle w:val="Heading4"/>
      </w:pPr>
      <w:bookmarkStart w:id="164" w:name="_Toc272414672"/>
      <w:bookmarkStart w:id="165" w:name="_Toc290846310"/>
      <w:bookmarkStart w:id="166" w:name="_Toc364634643"/>
      <w:r w:rsidRPr="00857F03">
        <w:t>Haematology</w:t>
      </w:r>
      <w:bookmarkEnd w:id="164"/>
      <w:bookmarkEnd w:id="165"/>
      <w:bookmarkEnd w:id="166"/>
    </w:p>
    <w:p w:rsidR="00FA4091" w:rsidRPr="0036079E" w:rsidRDefault="00FA4091" w:rsidP="00EF3B79">
      <w:pPr>
        <w:pStyle w:val="Heading5"/>
      </w:pPr>
      <w:r w:rsidRPr="0036079E">
        <w:t>Pivotal studies</w:t>
      </w:r>
    </w:p>
    <w:p w:rsidR="00FA4091" w:rsidRPr="00063DB1" w:rsidRDefault="00FA4091" w:rsidP="00EF3B79">
      <w:pPr>
        <w:rPr>
          <w:b/>
        </w:rPr>
      </w:pPr>
      <w:r>
        <w:t>N</w:t>
      </w:r>
      <w:r w:rsidRPr="00252A51">
        <w:t xml:space="preserve">o changes </w:t>
      </w:r>
      <w:r>
        <w:t xml:space="preserve">clinically significant changes in </w:t>
      </w:r>
      <w:r w:rsidRPr="00252A51">
        <w:t xml:space="preserve">haematological parameters in </w:t>
      </w:r>
      <w:r w:rsidRPr="00063DB1">
        <w:rPr>
          <w:b/>
        </w:rPr>
        <w:t xml:space="preserve">GS-US-264-0111, GS-US-264-0106, </w:t>
      </w:r>
      <w:r w:rsidRPr="00063DB1">
        <w:rPr>
          <w:rFonts w:cs="TimesNewRoman"/>
          <w:b/>
        </w:rPr>
        <w:t xml:space="preserve">GS-US-264-0110. </w:t>
      </w:r>
      <w:r w:rsidRPr="00063DB1">
        <w:rPr>
          <w:rFonts w:cs="TimesNewRoman"/>
        </w:rPr>
        <w:t>In</w:t>
      </w:r>
      <w:r>
        <w:rPr>
          <w:rFonts w:cs="TimesNewRoman"/>
          <w:b/>
        </w:rPr>
        <w:t xml:space="preserve"> </w:t>
      </w:r>
      <w:r w:rsidRPr="007D324F">
        <w:rPr>
          <w:b/>
        </w:rPr>
        <w:t xml:space="preserve">GS-US-264-0106 </w:t>
      </w:r>
      <w:r w:rsidR="006E2DCF">
        <w:rPr>
          <w:rFonts w:cs="TimesNewRoman"/>
          <w:color w:val="000000"/>
        </w:rPr>
        <w:t>Grade</w:t>
      </w:r>
      <w:r w:rsidRPr="007D324F">
        <w:rPr>
          <w:rFonts w:cs="TimesNewRoman"/>
          <w:color w:val="000000"/>
        </w:rPr>
        <w:t xml:space="preserve"> 3 decreased </w:t>
      </w:r>
      <w:r>
        <w:rPr>
          <w:rFonts w:cs="TimesNewRoman"/>
          <w:color w:val="000000"/>
        </w:rPr>
        <w:t>neutrophils</w:t>
      </w:r>
      <w:r w:rsidRPr="007D324F">
        <w:rPr>
          <w:rFonts w:cs="TimesNewRoman"/>
          <w:color w:val="000000"/>
        </w:rPr>
        <w:t xml:space="preserve"> </w:t>
      </w:r>
      <w:r>
        <w:rPr>
          <w:rFonts w:cs="TimesNewRoman"/>
          <w:color w:val="000000"/>
        </w:rPr>
        <w:t>in 3 subjects.</w:t>
      </w:r>
    </w:p>
    <w:p w:rsidR="00FA4091" w:rsidRPr="00857F03" w:rsidRDefault="00FA4091" w:rsidP="00EF3B79">
      <w:pPr>
        <w:pStyle w:val="Heading4"/>
      </w:pPr>
      <w:bookmarkStart w:id="167" w:name="_Toc364634644"/>
      <w:r>
        <w:t>Creatine Kinase and amylase</w:t>
      </w:r>
      <w:bookmarkEnd w:id="167"/>
    </w:p>
    <w:p w:rsidR="00FA4091" w:rsidRPr="00857F03" w:rsidRDefault="00FA4091" w:rsidP="00EF3B79">
      <w:pPr>
        <w:pStyle w:val="Heading5"/>
      </w:pPr>
      <w:r w:rsidRPr="00857F03">
        <w:t>Pivotal studies</w:t>
      </w:r>
    </w:p>
    <w:p w:rsidR="0036079E" w:rsidRDefault="00FA4091" w:rsidP="00EF3B79">
      <w:r w:rsidRPr="00063DB1">
        <w:rPr>
          <w:rFonts w:cs="TimesNewRoman,Bold"/>
          <w:b/>
          <w:bCs/>
        </w:rPr>
        <w:t>GS-US-264-0111</w:t>
      </w:r>
      <w:r w:rsidRPr="00063DB1">
        <w:rPr>
          <w:b/>
        </w:rPr>
        <w:t>:</w:t>
      </w:r>
      <w:r w:rsidRPr="00063DB1">
        <w:t xml:space="preserve"> </w:t>
      </w:r>
      <w:r>
        <w:t xml:space="preserve">Two subjects each had </w:t>
      </w:r>
      <w:r w:rsidR="006E2DCF">
        <w:t>Grade</w:t>
      </w:r>
      <w:r>
        <w:t xml:space="preserve"> 3 increased CK; a </w:t>
      </w:r>
      <w:r w:rsidR="006E2DCF">
        <w:t>Grade</w:t>
      </w:r>
      <w:r>
        <w:t xml:space="preserve"> 4 increased CK </w:t>
      </w:r>
      <w:r w:rsidRPr="00063DB1">
        <w:t>was re</w:t>
      </w:r>
      <w:r>
        <w:t xml:space="preserve">ported in 1 subject. One </w:t>
      </w:r>
      <w:r w:rsidRPr="00063DB1">
        <w:t>subject</w:t>
      </w:r>
      <w:r>
        <w:t xml:space="preserve"> with </w:t>
      </w:r>
      <w:r w:rsidR="006E2DCF">
        <w:t>Grade</w:t>
      </w:r>
      <w:r w:rsidRPr="00063DB1">
        <w:t xml:space="preserve"> 3 increased CK also had </w:t>
      </w:r>
      <w:r w:rsidR="006E2DCF">
        <w:t>Grade</w:t>
      </w:r>
      <w:r w:rsidRPr="00063DB1">
        <w:t xml:space="preserve"> </w:t>
      </w:r>
      <w:proofErr w:type="gramStart"/>
      <w:r w:rsidRPr="00063DB1">
        <w:t>3 amylase</w:t>
      </w:r>
      <w:proofErr w:type="gramEnd"/>
      <w:r w:rsidRPr="00063DB1">
        <w:t xml:space="preserve">. 1 subject had </w:t>
      </w:r>
      <w:r w:rsidR="006E2DCF">
        <w:t>Grade</w:t>
      </w:r>
      <w:r w:rsidRPr="00063DB1">
        <w:t xml:space="preserve"> 3 amylase during the study. Both subjects with increased amylase had elevated v</w:t>
      </w:r>
      <w:r w:rsidR="0036079E">
        <w:t>alues at screening and baseline.</w:t>
      </w:r>
    </w:p>
    <w:p w:rsidR="0036079E" w:rsidRDefault="00FA4091" w:rsidP="00EF3B79">
      <w:r w:rsidRPr="007D324F">
        <w:rPr>
          <w:rFonts w:cs="TimesNewRoman,Bold"/>
          <w:b/>
          <w:bCs/>
        </w:rPr>
        <w:t>GS-US-264-0106</w:t>
      </w:r>
      <w:r>
        <w:rPr>
          <w:rFonts w:cs="TimesNewRoman,Bold"/>
          <w:b/>
          <w:bCs/>
        </w:rPr>
        <w:t xml:space="preserve">: </w:t>
      </w:r>
      <w:r w:rsidRPr="00063DB1">
        <w:rPr>
          <w:rFonts w:cs="TimesNewRoman,Bold"/>
          <w:bCs/>
        </w:rPr>
        <w:t>In the Eviplera</w:t>
      </w:r>
      <w:r w:rsidR="00564405">
        <w:rPr>
          <w:rFonts w:cs="TimesNewRoman,Bold"/>
          <w:bCs/>
        </w:rPr>
        <w:t xml:space="preserve"> </w:t>
      </w:r>
      <w:r w:rsidR="00F35F06">
        <w:rPr>
          <w:rFonts w:cs="TimesNewRoman,Bold"/>
          <w:bCs/>
        </w:rPr>
        <w:t>group</w:t>
      </w:r>
      <w:r w:rsidRPr="00063DB1">
        <w:rPr>
          <w:rFonts w:cs="TimesNewRoman,Bold"/>
          <w:bCs/>
        </w:rPr>
        <w:t>,</w:t>
      </w:r>
      <w:r>
        <w:rPr>
          <w:rFonts w:cs="TimesNewRoman,Bold"/>
          <w:b/>
          <w:bCs/>
        </w:rPr>
        <w:t xml:space="preserve"> </w:t>
      </w:r>
      <w:r w:rsidR="006E2DCF">
        <w:t>Grade</w:t>
      </w:r>
      <w:r>
        <w:t xml:space="preserve"> 3 and 4 elevated </w:t>
      </w:r>
      <w:r w:rsidRPr="007D324F">
        <w:t>CK (8 subjects</w:t>
      </w:r>
      <w:r w:rsidR="00A53692">
        <w:t>:</w:t>
      </w:r>
      <w:r>
        <w:t xml:space="preserve"> 3 </w:t>
      </w:r>
      <w:r w:rsidR="006E2DCF">
        <w:t>Grade</w:t>
      </w:r>
      <w:r>
        <w:t xml:space="preserve"> 3, 5 </w:t>
      </w:r>
      <w:r w:rsidR="006E2DCF">
        <w:t>Grade</w:t>
      </w:r>
      <w:r>
        <w:t xml:space="preserve"> 4</w:t>
      </w:r>
      <w:r w:rsidRPr="007D324F">
        <w:t>), increased amylase (3 subjects),</w:t>
      </w:r>
      <w:r>
        <w:t xml:space="preserve"> increased lipase (3 subjects). In those switching at </w:t>
      </w:r>
      <w:r w:rsidRPr="007D324F">
        <w:t xml:space="preserve">Wk 24, </w:t>
      </w:r>
      <w:r w:rsidR="006E2DCF">
        <w:t>Grade</w:t>
      </w:r>
      <w:r w:rsidRPr="007D324F">
        <w:t xml:space="preserve"> 3 </w:t>
      </w:r>
      <w:r>
        <w:t xml:space="preserve">increased CK in </w:t>
      </w:r>
      <w:r w:rsidRPr="007D324F">
        <w:t>7 subjec</w:t>
      </w:r>
      <w:r>
        <w:t>ts</w:t>
      </w:r>
      <w:r w:rsidRPr="002D654E">
        <w:t xml:space="preserve"> </w:t>
      </w:r>
      <w:r>
        <w:t xml:space="preserve">(5 </w:t>
      </w:r>
      <w:r w:rsidR="006E2DCF">
        <w:t>Grade</w:t>
      </w:r>
      <w:r>
        <w:t xml:space="preserve"> 3; 2 </w:t>
      </w:r>
      <w:r w:rsidR="006E2DCF">
        <w:t>Grade</w:t>
      </w:r>
      <w:r>
        <w:t xml:space="preserve"> 4)</w:t>
      </w:r>
      <w:r w:rsidR="0036079E">
        <w:t>.</w:t>
      </w:r>
    </w:p>
    <w:p w:rsidR="00294960" w:rsidRPr="00294960" w:rsidRDefault="00FA4091" w:rsidP="00EF3B79">
      <w:r w:rsidRPr="007D324F">
        <w:rPr>
          <w:rFonts w:cs="TimesNewRoman,Bold"/>
          <w:b/>
          <w:bCs/>
        </w:rPr>
        <w:t xml:space="preserve">GS-US-264-0110: </w:t>
      </w:r>
      <w:r w:rsidR="006E2DCF">
        <w:t>Grade</w:t>
      </w:r>
      <w:r w:rsidRPr="007D324F">
        <w:t xml:space="preserve"> 3 or 4 </w:t>
      </w:r>
      <w:r>
        <w:t>TE</w:t>
      </w:r>
      <w:r w:rsidRPr="007D324F">
        <w:t xml:space="preserve"> laboratory abnormalities reported in </w:t>
      </w:r>
      <w:r>
        <w:t>≥</w:t>
      </w:r>
      <w:r w:rsidRPr="007D324F">
        <w:t xml:space="preserve">2 subjects in either treatment </w:t>
      </w:r>
      <w:r w:rsidR="00F35F06">
        <w:t>group</w:t>
      </w:r>
      <w:r w:rsidRPr="007D324F">
        <w:t xml:space="preserve"> included i</w:t>
      </w:r>
      <w:r>
        <w:t xml:space="preserve">ncreased CK (20 subjects in each </w:t>
      </w:r>
      <w:r w:rsidR="00F35F06">
        <w:t>group</w:t>
      </w:r>
      <w:r>
        <w:t xml:space="preserve">), </w:t>
      </w:r>
      <w:r w:rsidRPr="007D324F">
        <w:t>increased s</w:t>
      </w:r>
      <w:r>
        <w:t xml:space="preserve">erum amylase (8 subjects in </w:t>
      </w:r>
      <w:r w:rsidRPr="007D324F">
        <w:t>Eviplera</w:t>
      </w:r>
      <w:r w:rsidR="00564405">
        <w:t xml:space="preserve"> </w:t>
      </w:r>
      <w:r w:rsidR="00F35F06">
        <w:t>group</w:t>
      </w:r>
      <w:r>
        <w:t xml:space="preserve"> and 7 in the </w:t>
      </w:r>
      <w:r w:rsidRPr="00781311">
        <w:t>Atripla</w:t>
      </w:r>
      <w:r w:rsidR="00564405">
        <w:t xml:space="preserve"> </w:t>
      </w:r>
      <w:r w:rsidR="00F35F06">
        <w:t>group</w:t>
      </w:r>
      <w:r w:rsidRPr="007D324F">
        <w:t>)</w:t>
      </w:r>
      <w:r w:rsidR="00294960">
        <w:t>.</w:t>
      </w:r>
    </w:p>
    <w:p w:rsidR="00FA4091" w:rsidRPr="00857F03" w:rsidRDefault="00FA4091" w:rsidP="00EF3B79">
      <w:pPr>
        <w:pStyle w:val="Heading4"/>
      </w:pPr>
      <w:bookmarkStart w:id="168" w:name="_Toc364634645"/>
      <w:r>
        <w:t>HIV resistance</w:t>
      </w:r>
      <w:bookmarkEnd w:id="168"/>
    </w:p>
    <w:p w:rsidR="00FA4091" w:rsidRPr="00DA19BF" w:rsidRDefault="00FA4091" w:rsidP="00EF3B79">
      <w:pPr>
        <w:pStyle w:val="Heading5"/>
      </w:pPr>
      <w:r w:rsidRPr="00DA19BF">
        <w:t>Pivotal studies</w:t>
      </w:r>
    </w:p>
    <w:p w:rsidR="00FA4091" w:rsidRPr="00857F03" w:rsidRDefault="00DA19BF" w:rsidP="00EF3B79">
      <w:proofErr w:type="gramStart"/>
      <w:r>
        <w:t>Discussed above in ‘Efficacy’ section.</w:t>
      </w:r>
      <w:proofErr w:type="gramEnd"/>
    </w:p>
    <w:p w:rsidR="00FA4091" w:rsidRPr="00857F03" w:rsidRDefault="00FA4091" w:rsidP="00EF3B79">
      <w:pPr>
        <w:pStyle w:val="Heading4"/>
      </w:pPr>
      <w:bookmarkStart w:id="169" w:name="_Toc272414675"/>
      <w:bookmarkStart w:id="170" w:name="_Toc290846313"/>
      <w:bookmarkStart w:id="171" w:name="_Toc364634646"/>
      <w:r w:rsidRPr="00857F03">
        <w:t>Electrocardiograph</w:t>
      </w:r>
      <w:bookmarkEnd w:id="169"/>
      <w:bookmarkEnd w:id="170"/>
      <w:bookmarkEnd w:id="171"/>
    </w:p>
    <w:p w:rsidR="00FA4091" w:rsidRPr="00B41727" w:rsidRDefault="00FA4091" w:rsidP="00EF3B79">
      <w:pPr>
        <w:pStyle w:val="Heading5"/>
      </w:pPr>
      <w:r w:rsidRPr="00B41727">
        <w:t>Pivotal studies</w:t>
      </w:r>
    </w:p>
    <w:p w:rsidR="00FA4091" w:rsidRPr="00313EC3" w:rsidRDefault="00FA4091" w:rsidP="00EF3B79">
      <w:pPr>
        <w:rPr>
          <w:rFonts w:cs="TimesNewRoman,Bold"/>
          <w:b/>
          <w:bCs/>
        </w:rPr>
      </w:pPr>
      <w:r w:rsidRPr="00313EC3">
        <w:rPr>
          <w:b/>
        </w:rPr>
        <w:t>GS-US-264-0110</w:t>
      </w:r>
      <w:r w:rsidRPr="00313EC3">
        <w:rPr>
          <w:rFonts w:cs="TimesNewRoman,Bold"/>
          <w:b/>
          <w:bCs/>
        </w:rPr>
        <w:t xml:space="preserve">: </w:t>
      </w:r>
      <w:r>
        <w:t xml:space="preserve">3 </w:t>
      </w:r>
      <w:r w:rsidRPr="00313EC3">
        <w:t xml:space="preserve">subjects (1 </w:t>
      </w:r>
      <w:r>
        <w:t>Eviplera</w:t>
      </w:r>
      <w:r w:rsidR="00564405">
        <w:t xml:space="preserve"> </w:t>
      </w:r>
      <w:r w:rsidR="00F35F06">
        <w:t>group</w:t>
      </w:r>
      <w:r>
        <w:t xml:space="preserve">; </w:t>
      </w:r>
      <w:r w:rsidRPr="00313EC3">
        <w:t xml:space="preserve">2 </w:t>
      </w:r>
      <w:r w:rsidRPr="00781311">
        <w:t>Atripla</w:t>
      </w:r>
      <w:r w:rsidR="00564405">
        <w:t xml:space="preserve"> </w:t>
      </w:r>
      <w:r w:rsidR="00F35F06">
        <w:t>group</w:t>
      </w:r>
      <w:r>
        <w:t xml:space="preserve">) had </w:t>
      </w:r>
      <w:r w:rsidRPr="00313EC3">
        <w:t>clinically</w:t>
      </w:r>
      <w:r>
        <w:rPr>
          <w:rFonts w:cs="TimesNewRoman,Bold"/>
          <w:b/>
          <w:bCs/>
        </w:rPr>
        <w:t xml:space="preserve"> </w:t>
      </w:r>
      <w:r w:rsidRPr="00313EC3">
        <w:t>signif</w:t>
      </w:r>
      <w:r>
        <w:t>icant abnormal W</w:t>
      </w:r>
      <w:r w:rsidRPr="00313EC3">
        <w:t>k 48</w:t>
      </w:r>
      <w:r>
        <w:t xml:space="preserve"> ECG results i.e. </w:t>
      </w:r>
      <w:r w:rsidRPr="00313EC3">
        <w:t>left ventricular hypertrophy d</w:t>
      </w:r>
      <w:r>
        <w:t>ue to hypertension in the Eviplera</w:t>
      </w:r>
      <w:r w:rsidR="00564405">
        <w:t xml:space="preserve"> </w:t>
      </w:r>
      <w:r>
        <w:t xml:space="preserve">subject. In </w:t>
      </w:r>
      <w:r w:rsidRPr="00781311">
        <w:t>Atripla</w:t>
      </w:r>
      <w:r w:rsidR="00564405">
        <w:t xml:space="preserve"> </w:t>
      </w:r>
      <w:r w:rsidR="00F35F06">
        <w:t>group</w:t>
      </w:r>
      <w:r w:rsidRPr="00313EC3">
        <w:t>,</w:t>
      </w:r>
      <w:r>
        <w:rPr>
          <w:rFonts w:cs="TimesNewRoman,Bold"/>
          <w:b/>
          <w:bCs/>
        </w:rPr>
        <w:t xml:space="preserve"> </w:t>
      </w:r>
      <w:r w:rsidRPr="00313EC3">
        <w:t>2 subjects had clinically signifi</w:t>
      </w:r>
      <w:r>
        <w:t>cant abnormal W</w:t>
      </w:r>
      <w:r w:rsidRPr="00313EC3">
        <w:t>k 48</w:t>
      </w:r>
      <w:r>
        <w:t xml:space="preserve"> ECG i.e. </w:t>
      </w:r>
      <w:r w:rsidRPr="00313EC3">
        <w:t xml:space="preserve">bradycardia </w:t>
      </w:r>
      <w:r>
        <w:t xml:space="preserve">(n=1); sinus bradycardia </w:t>
      </w:r>
      <w:r w:rsidRPr="00313EC3">
        <w:t>and borderline rhythm</w:t>
      </w:r>
      <w:r>
        <w:t xml:space="preserve"> (n=1).</w:t>
      </w:r>
    </w:p>
    <w:p w:rsidR="00FA4091" w:rsidRPr="00857F03" w:rsidRDefault="00FA4091" w:rsidP="00EF3B79">
      <w:pPr>
        <w:pStyle w:val="Heading4"/>
      </w:pPr>
      <w:bookmarkStart w:id="172" w:name="_Toc272414676"/>
      <w:bookmarkStart w:id="173" w:name="_Toc290846314"/>
      <w:bookmarkStart w:id="174" w:name="_Toc364634647"/>
      <w:r w:rsidRPr="00857F03">
        <w:lastRenderedPageBreak/>
        <w:t>Vital signs</w:t>
      </w:r>
      <w:bookmarkEnd w:id="172"/>
      <w:bookmarkEnd w:id="173"/>
      <w:bookmarkEnd w:id="174"/>
    </w:p>
    <w:p w:rsidR="00FA4091" w:rsidRPr="00B41727" w:rsidRDefault="00FA4091" w:rsidP="00EF3B79">
      <w:pPr>
        <w:pStyle w:val="Heading5"/>
      </w:pPr>
      <w:r w:rsidRPr="00B41727">
        <w:t>Pivotal studies</w:t>
      </w:r>
    </w:p>
    <w:p w:rsidR="00B41727" w:rsidRDefault="00FA4091" w:rsidP="00EF3B79">
      <w:r w:rsidRPr="00C862F4">
        <w:rPr>
          <w:rFonts w:cs="TimesNewRoman,Bold"/>
          <w:b/>
          <w:bCs/>
        </w:rPr>
        <w:t xml:space="preserve">GS-US-264-0106: </w:t>
      </w:r>
      <w:r w:rsidRPr="00C862F4">
        <w:t>Vital signs no consistent pattern of change. No clinically important changes in body</w:t>
      </w:r>
      <w:r>
        <w:t xml:space="preserve"> weight/</w:t>
      </w:r>
      <w:r w:rsidRPr="00C862F4">
        <w:t>BMI</w:t>
      </w:r>
      <w:r w:rsidR="00B41727">
        <w:t>.</w:t>
      </w:r>
    </w:p>
    <w:p w:rsidR="00EF3B79" w:rsidRPr="00EF3B79" w:rsidRDefault="00FA4091" w:rsidP="00EF3B79">
      <w:r w:rsidRPr="00C862F4">
        <w:rPr>
          <w:b/>
        </w:rPr>
        <w:t>GS-US-264-</w:t>
      </w:r>
      <w:r w:rsidRPr="00313EC3">
        <w:rPr>
          <w:b/>
        </w:rPr>
        <w:t>0110</w:t>
      </w:r>
      <w:r>
        <w:t xml:space="preserve">: </w:t>
      </w:r>
      <w:r w:rsidRPr="00313EC3">
        <w:t>greater increase in body weight observed in the</w:t>
      </w:r>
      <w:r>
        <w:t xml:space="preserve"> Eviplera</w:t>
      </w:r>
      <w:r w:rsidR="00564405">
        <w:t xml:space="preserve"> </w:t>
      </w:r>
      <w:r>
        <w:t xml:space="preserve">vs. </w:t>
      </w:r>
      <w:r w:rsidRPr="00781311">
        <w:t>Atripla</w:t>
      </w:r>
      <w:r w:rsidR="00564405">
        <w:t xml:space="preserve"> </w:t>
      </w:r>
      <w:r w:rsidR="00F35F06">
        <w:t>group</w:t>
      </w:r>
      <w:r w:rsidRPr="00313EC3">
        <w:t xml:space="preserve"> d</w:t>
      </w:r>
      <w:r>
        <w:t>uring first 48 Wks.</w:t>
      </w:r>
      <w:r w:rsidRPr="00313EC3">
        <w:t xml:space="preserve"> At </w:t>
      </w:r>
      <w:r>
        <w:t xml:space="preserve">Wk 24, </w:t>
      </w:r>
      <w:r w:rsidRPr="00313EC3">
        <w:t xml:space="preserve">mean (SD) change from baseline </w:t>
      </w:r>
      <w:r>
        <w:t xml:space="preserve">was </w:t>
      </w:r>
      <w:r w:rsidRPr="00313EC3">
        <w:t xml:space="preserve">1.5 (4.01) kg </w:t>
      </w:r>
      <w:r>
        <w:t xml:space="preserve">vs. </w:t>
      </w:r>
      <w:r w:rsidRPr="00313EC3">
        <w:t xml:space="preserve">0.2 (3.90) kg </w:t>
      </w:r>
      <w:r>
        <w:t xml:space="preserve">respectively. At Wk 48, </w:t>
      </w:r>
      <w:r w:rsidRPr="00313EC3">
        <w:t>mean (SD) c</w:t>
      </w:r>
      <w:r>
        <w:t xml:space="preserve">hange from </w:t>
      </w:r>
      <w:r w:rsidRPr="00313EC3">
        <w:t>baseline 1.9 (5.69) kg in the</w:t>
      </w:r>
      <w:r>
        <w:t xml:space="preserve"> Eviplera</w:t>
      </w:r>
      <w:r w:rsidR="00564405">
        <w:t xml:space="preserve"> </w:t>
      </w:r>
      <w:r w:rsidR="00F35F06">
        <w:t>group</w:t>
      </w:r>
      <w:r w:rsidRPr="00313EC3">
        <w:t xml:space="preserve"> and 0.3 (5.17) kg in the </w:t>
      </w:r>
      <w:r w:rsidRPr="00781311">
        <w:t>Atripla</w:t>
      </w:r>
      <w:r w:rsidR="00564405">
        <w:t xml:space="preserve"> </w:t>
      </w:r>
      <w:r w:rsidR="00F35F06">
        <w:t>group</w:t>
      </w:r>
      <w:r w:rsidRPr="00313EC3">
        <w:t xml:space="preserve">. At </w:t>
      </w:r>
      <w:r>
        <w:t>Wk</w:t>
      </w:r>
      <w:r w:rsidRPr="00313EC3">
        <w:t xml:space="preserve"> 24</w:t>
      </w:r>
      <w:r>
        <w:t xml:space="preserve">, the mean (SD) </w:t>
      </w:r>
      <w:r w:rsidRPr="00313EC3">
        <w:t xml:space="preserve">change </w:t>
      </w:r>
      <w:r>
        <w:t xml:space="preserve">in </w:t>
      </w:r>
      <w:r w:rsidRPr="00313EC3">
        <w:t>BMI was 0.5 (1.31) kg/m</w:t>
      </w:r>
      <w:r w:rsidRPr="00CC2309">
        <w:rPr>
          <w:vertAlign w:val="superscript"/>
        </w:rPr>
        <w:t>2</w:t>
      </w:r>
      <w:r w:rsidRPr="00313EC3">
        <w:t xml:space="preserve"> in the </w:t>
      </w:r>
      <w:r>
        <w:t>Eviplera</w:t>
      </w:r>
      <w:r w:rsidR="00564405">
        <w:t xml:space="preserve"> </w:t>
      </w:r>
      <w:r w:rsidR="00F35F06">
        <w:t>group</w:t>
      </w:r>
      <w:r>
        <w:t xml:space="preserve"> and </w:t>
      </w:r>
      <w:r w:rsidRPr="00313EC3">
        <w:t>0.0 (1.25) kg/m</w:t>
      </w:r>
      <w:r w:rsidRPr="00C862F4">
        <w:rPr>
          <w:vertAlign w:val="superscript"/>
        </w:rPr>
        <w:t>2</w:t>
      </w:r>
      <w:r w:rsidRPr="00313EC3">
        <w:t xml:space="preserve"> in the </w:t>
      </w:r>
      <w:r w:rsidRPr="00781311">
        <w:t>Atripla</w:t>
      </w:r>
      <w:r w:rsidR="00564405">
        <w:t xml:space="preserve"> </w:t>
      </w:r>
      <w:r w:rsidR="00F35F06">
        <w:t>group</w:t>
      </w:r>
      <w:r w:rsidRPr="00313EC3">
        <w:t xml:space="preserve">. At </w:t>
      </w:r>
      <w:r>
        <w:t>Wk</w:t>
      </w:r>
      <w:r w:rsidRPr="00313EC3">
        <w:t xml:space="preserve"> 48, the me</w:t>
      </w:r>
      <w:r>
        <w:t xml:space="preserve">an (SD) change from baseline in </w:t>
      </w:r>
      <w:r w:rsidRPr="00313EC3">
        <w:t>BMI was 0.6 (1.85) kg/m</w:t>
      </w:r>
      <w:r w:rsidRPr="00C862F4">
        <w:rPr>
          <w:vertAlign w:val="superscript"/>
        </w:rPr>
        <w:t>2</w:t>
      </w:r>
      <w:r w:rsidRPr="00313EC3">
        <w:t xml:space="preserve"> in the </w:t>
      </w:r>
      <w:r>
        <w:t>Eviplera</w:t>
      </w:r>
      <w:r w:rsidR="00564405">
        <w:t xml:space="preserve"> </w:t>
      </w:r>
      <w:r w:rsidR="00F35F06">
        <w:t>group</w:t>
      </w:r>
      <w:r w:rsidRPr="00313EC3">
        <w:t xml:space="preserve"> and 0.1 (1.64) kg/m</w:t>
      </w:r>
      <w:r w:rsidRPr="00A53692">
        <w:rPr>
          <w:vertAlign w:val="superscript"/>
        </w:rPr>
        <w:t>2</w:t>
      </w:r>
      <w:r w:rsidRPr="00313EC3">
        <w:t xml:space="preserve"> in</w:t>
      </w:r>
      <w:r>
        <w:t xml:space="preserve"> the </w:t>
      </w:r>
      <w:r w:rsidRPr="00781311">
        <w:t>Atripla</w:t>
      </w:r>
      <w:r w:rsidR="00564405">
        <w:t xml:space="preserve"> </w:t>
      </w:r>
      <w:r w:rsidR="00F35F06">
        <w:t>group</w:t>
      </w:r>
      <w:r w:rsidRPr="00313EC3">
        <w:t>.</w:t>
      </w:r>
      <w:r>
        <w:t xml:space="preserve"> </w:t>
      </w:r>
      <w:r w:rsidR="00A53692">
        <w:rPr>
          <w:color w:val="000000"/>
        </w:rPr>
        <w:t xml:space="preserve">Vital signs: </w:t>
      </w:r>
      <w:r w:rsidRPr="00313EC3">
        <w:rPr>
          <w:color w:val="000000"/>
        </w:rPr>
        <w:t>no</w:t>
      </w:r>
      <w:r>
        <w:t xml:space="preserve"> </w:t>
      </w:r>
      <w:r w:rsidRPr="00313EC3">
        <w:rPr>
          <w:color w:val="000000"/>
        </w:rPr>
        <w:t>consistent pattern of change</w:t>
      </w:r>
      <w:r w:rsidRPr="00EF3B79">
        <w:t>.</w:t>
      </w:r>
    </w:p>
    <w:p w:rsidR="00FA4091" w:rsidRPr="00EF3B79" w:rsidRDefault="00FA4091" w:rsidP="00EF3B79">
      <w:r w:rsidRPr="00EF3B79">
        <w:rPr>
          <w:b/>
        </w:rPr>
        <w:t>Study GS-US-264-0111:</w:t>
      </w:r>
      <w:r w:rsidRPr="00EF3B79">
        <w:t xml:space="preserve"> No clinically important changes in vital signs (including body weight and BMI), ECGs, or physical examination</w:t>
      </w:r>
      <w:r w:rsidR="00EF3B79" w:rsidRPr="00EF3B79">
        <w:t>.</w:t>
      </w:r>
    </w:p>
    <w:p w:rsidR="00FA4091" w:rsidRPr="00857F03" w:rsidRDefault="00FA4091" w:rsidP="00637A7D">
      <w:pPr>
        <w:pStyle w:val="Heading4"/>
      </w:pPr>
      <w:bookmarkStart w:id="175" w:name="_Toc364634648"/>
      <w:r>
        <w:t>Immunological adverse events including immune reconstitution inflammatory syndrome (IRIS)</w:t>
      </w:r>
      <w:bookmarkEnd w:id="175"/>
    </w:p>
    <w:p w:rsidR="00FA4091" w:rsidRPr="00B41727" w:rsidRDefault="00FA4091" w:rsidP="00637A7D">
      <w:pPr>
        <w:pStyle w:val="Heading5"/>
      </w:pPr>
      <w:r w:rsidRPr="00B41727">
        <w:t>Pivotal studies</w:t>
      </w:r>
    </w:p>
    <w:p w:rsidR="00FA4091" w:rsidRPr="00857F03" w:rsidRDefault="00637A7D" w:rsidP="00FA4091">
      <w:pPr>
        <w:autoSpaceDE w:val="0"/>
        <w:autoSpaceDN w:val="0"/>
        <w:adjustRightInd w:val="0"/>
      </w:pPr>
      <w:proofErr w:type="gramStart"/>
      <w:r>
        <w:t>Nil.</w:t>
      </w:r>
      <w:proofErr w:type="gramEnd"/>
    </w:p>
    <w:p w:rsidR="00FA4091" w:rsidRPr="00857F03" w:rsidRDefault="00FA4091" w:rsidP="00637A7D">
      <w:pPr>
        <w:pStyle w:val="Heading4"/>
      </w:pPr>
      <w:bookmarkStart w:id="176" w:name="_Toc364634649"/>
      <w:r>
        <w:t>Skin rashes</w:t>
      </w:r>
      <w:bookmarkEnd w:id="176"/>
    </w:p>
    <w:p w:rsidR="00FA4091" w:rsidRPr="00B41727" w:rsidRDefault="00FA4091" w:rsidP="00637A7D">
      <w:pPr>
        <w:pStyle w:val="Heading5"/>
      </w:pPr>
      <w:r w:rsidRPr="00B41727">
        <w:t>Pivotal studies</w:t>
      </w:r>
    </w:p>
    <w:p w:rsidR="00FA4091" w:rsidRPr="00857F03" w:rsidRDefault="00FA4091" w:rsidP="00637A7D">
      <w:r>
        <w:t>There was no clinically significant rash AE in these 3 pivotal studies.</w:t>
      </w:r>
    </w:p>
    <w:p w:rsidR="00FA4091" w:rsidRPr="00857F03" w:rsidRDefault="00FA4091" w:rsidP="00B41727">
      <w:pPr>
        <w:pStyle w:val="Heading3"/>
      </w:pPr>
      <w:bookmarkStart w:id="177" w:name="_Toc241374326"/>
      <w:bookmarkStart w:id="178" w:name="_Ref272333048"/>
      <w:bookmarkStart w:id="179" w:name="_Toc272414679"/>
      <w:bookmarkStart w:id="180" w:name="_Toc290846317"/>
      <w:bookmarkStart w:id="181" w:name="_Toc364634650"/>
      <w:bookmarkStart w:id="182" w:name="_Toc396308677"/>
      <w:r w:rsidRPr="00857F03">
        <w:t>Post-marketing experience</w:t>
      </w:r>
      <w:bookmarkEnd w:id="177"/>
      <w:bookmarkEnd w:id="178"/>
      <w:bookmarkEnd w:id="179"/>
      <w:bookmarkEnd w:id="180"/>
      <w:bookmarkEnd w:id="181"/>
      <w:bookmarkEnd w:id="182"/>
    </w:p>
    <w:p w:rsidR="00FA4091" w:rsidRPr="00FA4091" w:rsidRDefault="00FA4091" w:rsidP="00637A7D">
      <w:r w:rsidRPr="00FA4091">
        <w:t xml:space="preserve">Worldwide cumulative patient exposure to </w:t>
      </w:r>
      <w:r w:rsidRPr="006634C3">
        <w:t xml:space="preserve">Eviplera </w:t>
      </w:r>
      <w:r w:rsidRPr="00FA4091">
        <w:t>since first marketing approval in the US (10</w:t>
      </w:r>
      <w:r w:rsidR="00A53692">
        <w:t xml:space="preserve"> </w:t>
      </w:r>
      <w:r w:rsidRPr="00FA4091">
        <w:t>Aug</w:t>
      </w:r>
      <w:r w:rsidR="00A53692">
        <w:t xml:space="preserve"> 20</w:t>
      </w:r>
      <w:r w:rsidRPr="00FA4091">
        <w:t xml:space="preserve">11) to 31 July 2012 estimated at </w:t>
      </w:r>
      <w:r w:rsidRPr="00FA4091">
        <w:rPr>
          <w:b/>
        </w:rPr>
        <w:t>13,054 patient-years</w:t>
      </w:r>
      <w:r w:rsidRPr="00FA4091">
        <w:t>.</w:t>
      </w:r>
      <w:r w:rsidR="00564405">
        <w:t xml:space="preserve"> </w:t>
      </w:r>
      <w:r w:rsidRPr="00FA4091">
        <w:t>PSUR x 2 (11</w:t>
      </w:r>
      <w:r w:rsidR="00A53692">
        <w:t xml:space="preserve"> </w:t>
      </w:r>
      <w:r w:rsidRPr="00FA4091">
        <w:t>Aug</w:t>
      </w:r>
      <w:r w:rsidR="00A53692">
        <w:t xml:space="preserve"> 2011 to </w:t>
      </w:r>
      <w:r w:rsidRPr="00FA4091">
        <w:t>10</w:t>
      </w:r>
      <w:r w:rsidR="00A53692">
        <w:t xml:space="preserve"> </w:t>
      </w:r>
      <w:r w:rsidRPr="00FA4091">
        <w:t>Feb</w:t>
      </w:r>
      <w:r w:rsidR="00A53692">
        <w:t xml:space="preserve"> 20</w:t>
      </w:r>
      <w:r w:rsidRPr="00FA4091">
        <w:t>12; 11</w:t>
      </w:r>
      <w:r w:rsidR="00A53692">
        <w:t xml:space="preserve"> </w:t>
      </w:r>
      <w:r w:rsidRPr="00FA4091">
        <w:t>Feb</w:t>
      </w:r>
      <w:r w:rsidR="00A53692">
        <w:t xml:space="preserve"> 2012 to </w:t>
      </w:r>
      <w:r w:rsidRPr="00FA4091">
        <w:t>10</w:t>
      </w:r>
      <w:r w:rsidR="00A53692">
        <w:t xml:space="preserve"> </w:t>
      </w:r>
      <w:r w:rsidRPr="00FA4091">
        <w:t>Aug</w:t>
      </w:r>
      <w:r w:rsidR="00A53692">
        <w:t xml:space="preserve"> 20</w:t>
      </w:r>
      <w:r w:rsidRPr="00FA4091">
        <w:t>12). In these PSUR</w:t>
      </w:r>
      <w:r w:rsidR="00A53692">
        <w:t>s</w:t>
      </w:r>
      <w:r w:rsidRPr="00FA4091">
        <w:t xml:space="preserve">, 25 and 74 medically confirmed cases met PSUR inclusion criteria respectively, of which 24 and 73 were spontaneous reports; 1 case in each PSUR was an SAE from a clinical study considered </w:t>
      </w:r>
      <w:r>
        <w:t>Eviplera</w:t>
      </w:r>
      <w:r w:rsidR="00B41727">
        <w:t xml:space="preserve"> </w:t>
      </w:r>
      <w:r w:rsidRPr="00FA4091">
        <w:t xml:space="preserve">related (investigator/Gilead physician). All safety data for the topics under close monitoring for </w:t>
      </w:r>
      <w:r>
        <w:t xml:space="preserve">Eviplera </w:t>
      </w:r>
      <w:r w:rsidRPr="00FA4091">
        <w:t xml:space="preserve">were reviewed. Following review of drug resistance data, the Y188L substitution was identified as an RT mutation conferring resistance to RPV. </w:t>
      </w:r>
      <w:r w:rsidRPr="00FA4091">
        <w:rPr>
          <w:color w:val="000000"/>
        </w:rPr>
        <w:t>Ten spontaneous cases involving 16 SAEs received between11</w:t>
      </w:r>
      <w:r w:rsidR="00A53692">
        <w:rPr>
          <w:color w:val="000000"/>
        </w:rPr>
        <w:t xml:space="preserve"> </w:t>
      </w:r>
      <w:r w:rsidRPr="00FA4091">
        <w:rPr>
          <w:color w:val="000000"/>
        </w:rPr>
        <w:t>Aug</w:t>
      </w:r>
      <w:r w:rsidR="00A53692">
        <w:rPr>
          <w:color w:val="000000"/>
        </w:rPr>
        <w:t xml:space="preserve"> 2012 to </w:t>
      </w:r>
      <w:r w:rsidRPr="00FA4091">
        <w:rPr>
          <w:color w:val="000000"/>
        </w:rPr>
        <w:t>31</w:t>
      </w:r>
      <w:r w:rsidR="00A53692">
        <w:rPr>
          <w:color w:val="000000"/>
        </w:rPr>
        <w:t xml:space="preserve"> </w:t>
      </w:r>
      <w:r w:rsidRPr="00FA4091">
        <w:rPr>
          <w:color w:val="000000"/>
        </w:rPr>
        <w:t>Oct</w:t>
      </w:r>
      <w:r w:rsidR="00A53692">
        <w:rPr>
          <w:color w:val="000000"/>
        </w:rPr>
        <w:t xml:space="preserve"> 20</w:t>
      </w:r>
      <w:r w:rsidRPr="00FA4091">
        <w:rPr>
          <w:color w:val="000000"/>
        </w:rPr>
        <w:t xml:space="preserve">12. Medically confirmed spontaneous cases received in this period with SAEs in the topics under close monitoring in PSURs were: drug resistance/lack of efficacy (n = 3), hepatic events (n = 2), skin reactions (n = 1), psychiatric (n = 1), cardiac (n = 1), bone and muscle events (n = 1). </w:t>
      </w:r>
      <w:r w:rsidRPr="00FA4091">
        <w:t xml:space="preserve">One </w:t>
      </w:r>
      <w:r w:rsidRPr="00FA4091">
        <w:rPr>
          <w:b/>
        </w:rPr>
        <w:t>spontaneous report of death</w:t>
      </w:r>
      <w:r w:rsidRPr="00FA4091">
        <w:t xml:space="preserve"> i.e. </w:t>
      </w:r>
      <w:r w:rsidR="00A1365D">
        <w:t xml:space="preserve">a [information redacted] </w:t>
      </w:r>
      <w:r w:rsidRPr="00FA4091">
        <w:t xml:space="preserve">HIV/HBV co-infected patient with a CD4+ count of ‘46’ prior to initiation of </w:t>
      </w:r>
      <w:r w:rsidRPr="006634C3">
        <w:t>Eviplera</w:t>
      </w:r>
      <w:r>
        <w:t xml:space="preserve"> </w:t>
      </w:r>
      <w:r w:rsidRPr="00FA4091">
        <w:t>died due to IRIS with an associated respiratory component. IRIS has been reported in patients treated with ARV with low baseline</w:t>
      </w:r>
      <w:r w:rsidR="00637A7D">
        <w:t xml:space="preserve"> CD4 count a known risk factor.</w:t>
      </w:r>
    </w:p>
    <w:p w:rsidR="00FA4091" w:rsidRPr="00857F03" w:rsidRDefault="00FA4091" w:rsidP="00637A7D">
      <w:pPr>
        <w:pStyle w:val="Heading3"/>
      </w:pPr>
      <w:bookmarkStart w:id="183" w:name="_Ref272333005"/>
      <w:bookmarkStart w:id="184" w:name="_Toc272414680"/>
      <w:bookmarkStart w:id="185" w:name="_Toc290846318"/>
      <w:bookmarkStart w:id="186" w:name="_Toc364634651"/>
      <w:bookmarkStart w:id="187" w:name="_Toc396308678"/>
      <w:r w:rsidRPr="00857F03">
        <w:t>Safety issues with the potential for major regulatory imp</w:t>
      </w:r>
      <w:bookmarkEnd w:id="183"/>
      <w:bookmarkEnd w:id="184"/>
      <w:r w:rsidRPr="00857F03">
        <w:t>act</w:t>
      </w:r>
      <w:bookmarkEnd w:id="185"/>
      <w:bookmarkEnd w:id="186"/>
      <w:bookmarkEnd w:id="187"/>
    </w:p>
    <w:p w:rsidR="00FA4091" w:rsidRPr="00B41727" w:rsidRDefault="00FA4091" w:rsidP="00637A7D">
      <w:r w:rsidRPr="00B41727">
        <w:t>None identified in regards to liver, haematological toxicity, serious skin reactions, cardiovascular safety, unwanted immunologic</w:t>
      </w:r>
      <w:r w:rsidR="00637A7D">
        <w:t xml:space="preserve">al events, </w:t>
      </w:r>
      <w:proofErr w:type="gramStart"/>
      <w:r w:rsidR="00637A7D">
        <w:t>other</w:t>
      </w:r>
      <w:proofErr w:type="gramEnd"/>
      <w:r w:rsidR="00637A7D">
        <w:t xml:space="preserve"> safety issues.</w:t>
      </w:r>
    </w:p>
    <w:p w:rsidR="00FA4091" w:rsidRPr="00857F03" w:rsidRDefault="00FA4091" w:rsidP="00637A7D">
      <w:pPr>
        <w:pStyle w:val="Heading3"/>
      </w:pPr>
      <w:bookmarkStart w:id="188" w:name="_Toc272414686"/>
      <w:bookmarkStart w:id="189" w:name="_Ref273005527"/>
      <w:bookmarkStart w:id="190" w:name="_Toc290846324"/>
      <w:bookmarkStart w:id="191" w:name="_Toc364634652"/>
      <w:bookmarkStart w:id="192" w:name="_Toc396308679"/>
      <w:r w:rsidRPr="00857F03">
        <w:t>Other safety issues</w:t>
      </w:r>
      <w:bookmarkEnd w:id="188"/>
      <w:bookmarkEnd w:id="189"/>
      <w:bookmarkEnd w:id="190"/>
      <w:bookmarkEnd w:id="191"/>
      <w:bookmarkEnd w:id="192"/>
    </w:p>
    <w:p w:rsidR="00FA4091" w:rsidRPr="00857F03" w:rsidRDefault="00FA4091" w:rsidP="00637A7D">
      <w:pPr>
        <w:pStyle w:val="Heading4"/>
      </w:pPr>
      <w:bookmarkStart w:id="193" w:name="_Toc241374322"/>
      <w:bookmarkStart w:id="194" w:name="_Ref272331212"/>
      <w:bookmarkStart w:id="195" w:name="_Toc272414687"/>
      <w:bookmarkStart w:id="196" w:name="_Toc290846325"/>
      <w:bookmarkStart w:id="197" w:name="_Toc364634653"/>
      <w:r w:rsidRPr="00857F03">
        <w:t>Safety in special populations</w:t>
      </w:r>
      <w:bookmarkEnd w:id="193"/>
      <w:bookmarkEnd w:id="194"/>
      <w:bookmarkEnd w:id="195"/>
      <w:bookmarkEnd w:id="196"/>
      <w:bookmarkEnd w:id="197"/>
    </w:p>
    <w:p w:rsidR="00FA4091" w:rsidRPr="00857F03" w:rsidRDefault="00FA4091" w:rsidP="00637A7D">
      <w:r>
        <w:t>Not assessed.</w:t>
      </w:r>
    </w:p>
    <w:p w:rsidR="00FA4091" w:rsidRPr="00857F03" w:rsidRDefault="00FA4091" w:rsidP="00637A7D">
      <w:pPr>
        <w:pStyle w:val="Heading4"/>
      </w:pPr>
      <w:bookmarkStart w:id="198" w:name="_Toc241374324"/>
      <w:bookmarkStart w:id="199" w:name="_Ref272331214"/>
      <w:bookmarkStart w:id="200" w:name="_Toc272414688"/>
      <w:bookmarkStart w:id="201" w:name="_Toc290846326"/>
      <w:bookmarkStart w:id="202" w:name="_Toc364634654"/>
      <w:r w:rsidRPr="00857F03">
        <w:lastRenderedPageBreak/>
        <w:t>Safety related to drug-drug interactions and other interactions</w:t>
      </w:r>
      <w:bookmarkEnd w:id="198"/>
      <w:bookmarkEnd w:id="199"/>
      <w:bookmarkEnd w:id="200"/>
      <w:bookmarkEnd w:id="201"/>
      <w:bookmarkEnd w:id="202"/>
    </w:p>
    <w:p w:rsidR="00FA4091" w:rsidRPr="00857F03" w:rsidRDefault="00637A7D" w:rsidP="00637A7D">
      <w:r>
        <w:t>Not applicable.</w:t>
      </w:r>
    </w:p>
    <w:p w:rsidR="00FA4091" w:rsidRPr="0080402A" w:rsidRDefault="00FA4091" w:rsidP="00637A7D">
      <w:pPr>
        <w:pStyle w:val="Heading4"/>
      </w:pPr>
      <w:bookmarkStart w:id="203" w:name="_Toc364634655"/>
      <w:r w:rsidRPr="0080402A">
        <w:t>In regards to specific NNRTI resistance mutations (Y188L).</w:t>
      </w:r>
      <w:bookmarkEnd w:id="203"/>
    </w:p>
    <w:p w:rsidR="00FA4091" w:rsidRPr="00C0487E" w:rsidRDefault="00FA4091" w:rsidP="00637A7D">
      <w:r w:rsidRPr="00C0487E">
        <w:t>Haddad et al</w:t>
      </w:r>
      <w:r w:rsidR="00B41727">
        <w:t>.</w:t>
      </w:r>
      <w:r w:rsidRPr="00C0487E">
        <w:t xml:space="preserve"> showed the HIV-1 RT mutation Y188L was associated with reduced susceptibility to RPV. The authors found that Y188L was associated with decreased phenotypic susceptibility to RPV. The median FC of clinical specimens with Y188L and no known RPV resistant associated mutation (RAM) (n = 286) was 9.2 (p &lt;0.001). Association of RPV RAMs K101E/P, E138A/G/K/Q/R, Y181C/I/V, Y188L and M230L with increased FC to RPV was statistically significant (p &lt;0.05). Four RPV mutations did not have statistically significantly increased FC (V179L, H221Y, F227C and M230I), although 3 of these involved three or less clinical specimens (V179L, F227C &amp; M230I). The FC of the Y188L site-directed mutant was 6.1. This publication concluded that the NNRTI mutation Y188L is </w:t>
      </w:r>
      <w:r w:rsidRPr="00C0487E">
        <w:rPr>
          <w:b/>
        </w:rPr>
        <w:t>newly described</w:t>
      </w:r>
      <w:r w:rsidRPr="00C0487E">
        <w:t xml:space="preserve"> as conferring reduced susceptibility to RPV. The median FC of clinical specimens and site-directed mutants with Y188L were 9.2 and 6.1, respectively; both significantly above the biological cut off of 2.0. Among reported RPV RAMs, Y188L ranked</w:t>
      </w:r>
      <w:r w:rsidR="00932C9A">
        <w:t xml:space="preserve"> 4th</w:t>
      </w:r>
      <w:r w:rsidRPr="00C0487E">
        <w:t xml:space="preserve"> in elevated FC behind K101P, Y181I and Y181V. Y188L frequency was low (1.5%), </w:t>
      </w:r>
      <w:r w:rsidR="00932C9A">
        <w:t>but ranked 3rd</w:t>
      </w:r>
      <w:r w:rsidRPr="00C0487E">
        <w:t xml:space="preserve"> in frequency behind Y181C and E138A when no other RPV RAMs</w:t>
      </w:r>
      <w:r w:rsidRPr="008B1EE9">
        <w:t xml:space="preserve"> are</w:t>
      </w:r>
      <w:r>
        <w:t xml:space="preserve"> </w:t>
      </w:r>
      <w:r w:rsidRPr="008B1EE9">
        <w:t>present.</w:t>
      </w:r>
      <w:r>
        <w:t xml:space="preserve"> </w:t>
      </w:r>
      <w:r w:rsidRPr="007C19AD">
        <w:rPr>
          <w:b/>
        </w:rPr>
        <w:t xml:space="preserve">Consequent to this finding, Y188L </w:t>
      </w:r>
      <w:r>
        <w:rPr>
          <w:b/>
        </w:rPr>
        <w:t>is listed as a RPV RAM in the PI</w:t>
      </w:r>
      <w:r w:rsidRPr="007C19AD">
        <w:rPr>
          <w:b/>
        </w:rPr>
        <w:t>.</w:t>
      </w:r>
    </w:p>
    <w:p w:rsidR="00FA4091" w:rsidRDefault="00FA4091" w:rsidP="00637A7D">
      <w:pPr>
        <w:pStyle w:val="Heading3"/>
      </w:pPr>
      <w:bookmarkStart w:id="204" w:name="_Toc241374328"/>
      <w:bookmarkStart w:id="205" w:name="_Toc272414691"/>
      <w:bookmarkStart w:id="206" w:name="_Toc290846329"/>
      <w:bookmarkStart w:id="207" w:name="_Toc364634656"/>
      <w:bookmarkStart w:id="208" w:name="_Toc396308680"/>
      <w:r>
        <w:t>Evaluator’s overall conclusions on clinical safety</w:t>
      </w:r>
      <w:bookmarkEnd w:id="204"/>
      <w:bookmarkEnd w:id="205"/>
      <w:bookmarkEnd w:id="206"/>
      <w:bookmarkEnd w:id="207"/>
      <w:bookmarkEnd w:id="208"/>
    </w:p>
    <w:p w:rsidR="00FA4091" w:rsidRDefault="00FA4091" w:rsidP="00637A7D">
      <w:r>
        <w:t xml:space="preserve">These 3 pivotal studies and the RPV post-marketting reports confirm the drug to be safe and well tolerated. Moreover, it appears more lipid-neutral compared to both PI/r and </w:t>
      </w:r>
      <w:proofErr w:type="gramStart"/>
      <w:r w:rsidRPr="00781311">
        <w:rPr>
          <w:rFonts w:cs="TimesNewRoman"/>
        </w:rPr>
        <w:t>Atripla</w:t>
      </w:r>
      <w:r w:rsidR="00564405">
        <w:t xml:space="preserve"> </w:t>
      </w:r>
      <w:r>
        <w:t>,</w:t>
      </w:r>
      <w:proofErr w:type="gramEnd"/>
      <w:r>
        <w:t xml:space="preserve"> however, the clinical significance of this is uncertain as the changes although favourable, were small. No new AEs were revealed by these studies and aside from the addition of the Y188L as an RPV RAM, no new resi</w:t>
      </w:r>
      <w:r w:rsidR="00B1191B">
        <w:t xml:space="preserve">stance concerns were revealed. </w:t>
      </w:r>
      <w:r>
        <w:t xml:space="preserve">I have commented specifically on RPV resistance in those with higher plasma HIV RNA in the </w:t>
      </w:r>
      <w:r w:rsidR="00752D7B">
        <w:t xml:space="preserve">‘Efficacy’ </w:t>
      </w:r>
      <w:r>
        <w:t>summary</w:t>
      </w:r>
      <w:r w:rsidRPr="00634DE3">
        <w:rPr>
          <w:b/>
        </w:rPr>
        <w:t>.</w:t>
      </w:r>
      <w:r>
        <w:t xml:space="preserve"> No new adverse reactions to Eviplera were identified in the 3 pivotal clinical trials presented in this Application.</w:t>
      </w:r>
    </w:p>
    <w:p w:rsidR="00C22678" w:rsidRDefault="00C22678" w:rsidP="00637A7D">
      <w:pPr>
        <w:pStyle w:val="Heading2"/>
      </w:pPr>
      <w:bookmarkStart w:id="209" w:name="_Toc396308681"/>
      <w:r>
        <w:t>First round benefit-risk assessment</w:t>
      </w:r>
      <w:bookmarkEnd w:id="209"/>
    </w:p>
    <w:p w:rsidR="0024225D" w:rsidRDefault="0024225D" w:rsidP="00637A7D">
      <w:pPr>
        <w:pStyle w:val="Heading3"/>
      </w:pPr>
      <w:bookmarkStart w:id="210" w:name="_Toc396308682"/>
      <w:r w:rsidRPr="00605AD4">
        <w:t>First round assessment of benefits</w:t>
      </w:r>
      <w:bookmarkEnd w:id="210"/>
    </w:p>
    <w:p w:rsidR="0024225D" w:rsidRPr="006859B1" w:rsidRDefault="0024225D" w:rsidP="00637A7D">
      <w:r w:rsidRPr="006859B1">
        <w:t>The benefits of Eviplera in the proposed usage are:</w:t>
      </w:r>
    </w:p>
    <w:p w:rsidR="0024225D" w:rsidRPr="00637A7D" w:rsidRDefault="0024225D" w:rsidP="00637A7D">
      <w:pPr>
        <w:pStyle w:val="ListBullet"/>
      </w:pPr>
      <w:r w:rsidRPr="00637A7D">
        <w:t xml:space="preserve">Safe, with a favourable tolerability profile as a switch drug for either Atripla </w:t>
      </w:r>
      <w:r w:rsidR="00637A7D">
        <w:t>or PI/r</w:t>
      </w:r>
    </w:p>
    <w:p w:rsidR="0024225D" w:rsidRPr="00637A7D" w:rsidRDefault="0024225D" w:rsidP="00637A7D">
      <w:pPr>
        <w:pStyle w:val="ListBullet"/>
      </w:pPr>
      <w:r w:rsidRPr="00637A7D">
        <w:t>Effective as a switch drug in virologically suppres</w:t>
      </w:r>
      <w:r w:rsidR="00637A7D">
        <w:t>sed patients on Atripla or PI/r</w:t>
      </w:r>
    </w:p>
    <w:p w:rsidR="0024225D" w:rsidRPr="00637A7D" w:rsidRDefault="0024225D" w:rsidP="00637A7D">
      <w:pPr>
        <w:pStyle w:val="ListBullet"/>
      </w:pPr>
      <w:r w:rsidRPr="00637A7D">
        <w:t xml:space="preserve">Non inferior to Atripla in the head-to-head study in naïve study which patients </w:t>
      </w:r>
      <w:r w:rsidR="00637A7D">
        <w:t>with HIV RNA &gt;100,000 copies/mL</w:t>
      </w:r>
      <w:r w:rsidRPr="00637A7D">
        <w:t xml:space="preserve"> and</w:t>
      </w:r>
    </w:p>
    <w:p w:rsidR="0024225D" w:rsidRPr="00637A7D" w:rsidRDefault="0024225D" w:rsidP="00637A7D">
      <w:pPr>
        <w:pStyle w:val="ListBullet"/>
      </w:pPr>
      <w:r w:rsidRPr="00637A7D">
        <w:t>Modest lipid benefits as a switch drug.</w:t>
      </w:r>
    </w:p>
    <w:p w:rsidR="0024225D" w:rsidRDefault="0024225D" w:rsidP="00637A7D">
      <w:pPr>
        <w:pStyle w:val="Heading3"/>
      </w:pPr>
      <w:bookmarkStart w:id="211" w:name="_Toc396308683"/>
      <w:r w:rsidRPr="00605AD4">
        <w:t>First round assessment of risks</w:t>
      </w:r>
      <w:bookmarkEnd w:id="211"/>
    </w:p>
    <w:p w:rsidR="0024225D" w:rsidRPr="006859B1" w:rsidRDefault="0024225D" w:rsidP="00637A7D">
      <w:r w:rsidRPr="006859B1">
        <w:t>The risks of Eviplera in the proposed usage are as follows:</w:t>
      </w:r>
    </w:p>
    <w:p w:rsidR="0024225D" w:rsidRPr="00637A7D" w:rsidRDefault="0024225D" w:rsidP="00637A7D">
      <w:pPr>
        <w:pStyle w:val="ListBullet"/>
      </w:pPr>
      <w:r w:rsidRPr="00637A7D">
        <w:t>The sponsor is seeking a broad approval for use of the drug in “treatment experienced”, when in fact the only use of this drug in treatment experienced patients as presented in this submission is as a switch drug for either Atripla or PI/r in patients who have not virologically failed their previous regimen and without baseline resistance to the components of Eviplera o</w:t>
      </w:r>
      <w:r w:rsidR="00637A7D">
        <w:t>n historical resistance testing</w:t>
      </w:r>
    </w:p>
    <w:p w:rsidR="0024225D" w:rsidRPr="00637A7D" w:rsidRDefault="0024225D" w:rsidP="00637A7D">
      <w:pPr>
        <w:pStyle w:val="ListBullet"/>
      </w:pPr>
      <w:r w:rsidRPr="00637A7D">
        <w:lastRenderedPageBreak/>
        <w:t xml:space="preserve">While in subjects with baseline viral load ≤100,000 copies/mL, the numbers of subjects with emergent resistance was similar between groups, that is, 1.9% for Eviplera and 0.8% for Atripla, in those with baseline viral load &gt;100,000 to 500,000 copies/mL, 5.1% versus 0% in the Eviplera and Atripla groups, respectively, developed emergent resistance. For subjects with baseline viral load &gt;500,000 copies/mL, 7 of 36 (19%) subjects in the Eviplera group and 1 of 25 subjects (4%) in the Atripla group had genotypic and/or phenotypic resistance to at least one regimen component. The sponsor seeks approval for the use of Eplivera in patients with plasma HIV RNA &lt;500,000 copies/mL, but although the viral failure rates between &gt;100,000-&lt;500,000 copies/mL are low, most of the patients failing were found to fail with both multiple NNRTI and NRTI resistance mutations. If this occurred, there is a real potential to impact negatively not only on the future activity of another NNRTI (for example, etravirine), but also the next NRTI backbone. This very issue of higher virological failure and multiple RT mutations in those failing is the reason why Eviplera is currently approved only for use in naïve patients with baseline plasma viral load ≤100,000 copies/mL. Moreover, because in real terms the difference between a viral load of &lt;500,000 and &gt;500,000 is fairly arbitrary (in log terms) and within the variability of the viral load test, the evaluator has concerns about the approval of Eviplera in those with HIV RNA &gt;100,000 copies/mL. The clinical evaluator believes the current restriction to </w:t>
      </w:r>
      <w:proofErr w:type="gramStart"/>
      <w:r w:rsidRPr="00637A7D">
        <w:t>a plasma</w:t>
      </w:r>
      <w:proofErr w:type="gramEnd"/>
      <w:r w:rsidRPr="00637A7D">
        <w:t xml:space="preserve"> HIV RNA of threshhold of ≤100,000 copies/mL for Eplivera in the ARV naïve setting should continue. In this way, if patients with viral load slightly above this threshold (100,000 = 5 log10 copies/mL, 200,000 = 5.31 log10 copies/mL; 300,000 = 5.477 log10 copies/mL, etc.) inadvertently receive Eplivera, then clinicians and their patients could be somewhat reassured that the risk of virologic failure is relatively low. The evaluator’s concerns in this regard are compounded by the association of higher virological failure in patients with low CD4+ starting Eviplera, that is, as stated in the US PI:</w:t>
      </w:r>
    </w:p>
    <w:p w:rsidR="0024225D" w:rsidRPr="00637A7D" w:rsidRDefault="0024225D" w:rsidP="00637A7D">
      <w:pPr>
        <w:pStyle w:val="ListBullet2"/>
        <w:rPr>
          <w:i/>
        </w:rPr>
      </w:pPr>
      <w:r w:rsidRPr="00637A7D">
        <w:rPr>
          <w:i/>
        </w:rPr>
        <w:t xml:space="preserve">Regardless of HIV-1 RNA level at the start of therapy, more rilpivirine treated subjects with CD4+ cell count </w:t>
      </w:r>
      <w:proofErr w:type="gramStart"/>
      <w:r w:rsidRPr="00637A7D">
        <w:rPr>
          <w:i/>
        </w:rPr>
        <w:t>less than 200 cells/mm</w:t>
      </w:r>
      <w:r w:rsidRPr="00637A7D">
        <w:rPr>
          <w:i/>
          <w:vertAlign w:val="superscript"/>
        </w:rPr>
        <w:t>3</w:t>
      </w:r>
      <w:r w:rsidRPr="00637A7D">
        <w:rPr>
          <w:i/>
        </w:rPr>
        <w:t xml:space="preserve"> at the start of therapy experienced virologic failure compared to subjects with CD4+ cell count greater than or equal to 200 cells/mm</w:t>
      </w:r>
      <w:r w:rsidRPr="00637A7D">
        <w:rPr>
          <w:i/>
          <w:vertAlign w:val="superscript"/>
        </w:rPr>
        <w:t>3</w:t>
      </w:r>
      <w:proofErr w:type="gramEnd"/>
      <w:r w:rsidRPr="00637A7D">
        <w:rPr>
          <w:i/>
        </w:rPr>
        <w:t>.</w:t>
      </w:r>
    </w:p>
    <w:p w:rsidR="0024225D" w:rsidRPr="006859B1" w:rsidRDefault="0024225D" w:rsidP="00637A7D">
      <w:pPr>
        <w:pStyle w:val="ListBullet"/>
      </w:pPr>
      <w:r>
        <w:t xml:space="preserve">Study </w:t>
      </w:r>
      <w:r w:rsidRPr="006859B1">
        <w:t>GS-US-264-0110 enrolled relatively few pat</w:t>
      </w:r>
      <w:r>
        <w:t xml:space="preserve">ients with CD4+ &lt;200 cells/µL (n </w:t>
      </w:r>
      <w:r w:rsidRPr="006859B1">
        <w:t>=</w:t>
      </w:r>
      <w:r>
        <w:t xml:space="preserve"> </w:t>
      </w:r>
      <w:r w:rsidRPr="006859B1">
        <w:t>53, 13.5% of the Eviplera</w:t>
      </w:r>
      <w:r>
        <w:t xml:space="preserve"> arm). As a result, the evaluator</w:t>
      </w:r>
      <w:r w:rsidRPr="006859B1">
        <w:t xml:space="preserve"> do</w:t>
      </w:r>
      <w:r>
        <w:t xml:space="preserve">es not believe </w:t>
      </w:r>
      <w:r w:rsidRPr="006859B1">
        <w:t>this study provides sufficient additional data in regards to virological success in those with these low C</w:t>
      </w:r>
      <w:r>
        <w:t>D4+ and plasma HIV RNA &gt;100,000 to ≤</w:t>
      </w:r>
      <w:r w:rsidR="00637A7D">
        <w:t>500,000 copies/mL</w:t>
      </w:r>
    </w:p>
    <w:p w:rsidR="0024225D" w:rsidRPr="006859B1" w:rsidRDefault="0024225D" w:rsidP="00637A7D">
      <w:pPr>
        <w:pStyle w:val="ListBullet"/>
      </w:pPr>
      <w:r w:rsidRPr="006859B1">
        <w:t>The use of the term “HIV</w:t>
      </w:r>
      <w:r>
        <w:t xml:space="preserve"> </w:t>
      </w:r>
      <w:r w:rsidRPr="006859B1">
        <w:t>infection”</w:t>
      </w:r>
      <w:r>
        <w:t xml:space="preserve"> in the current PI is too loose;</w:t>
      </w:r>
      <w:r w:rsidRPr="006859B1">
        <w:t xml:space="preserve"> RPV has no activity</w:t>
      </w:r>
      <w:r>
        <w:t xml:space="preserve"> in HIV-2 infected patients (that is,</w:t>
      </w:r>
      <w:r w:rsidRPr="006859B1">
        <w:t xml:space="preserve"> “rilpivirine demonstrated limited activity in cell culture against HIV-2 with a median EC50 Gilead Sciences 30 value of 5</w:t>
      </w:r>
      <w:r>
        <w:t xml:space="preserve">220 nM [range 2510 to 10830 nM] </w:t>
      </w:r>
      <w:r w:rsidRPr="006859B1">
        <w:t>and should not be used.”). Hence, the drug can only be used in HIV-1</w:t>
      </w:r>
      <w:r>
        <w:t xml:space="preserve"> </w:t>
      </w:r>
      <w:r w:rsidRPr="006859B1">
        <w:t>infected patients. The term “HIV</w:t>
      </w:r>
      <w:r>
        <w:t xml:space="preserve"> </w:t>
      </w:r>
      <w:r w:rsidRPr="006859B1">
        <w:t xml:space="preserve">infected” should be avoided and replaced with </w:t>
      </w:r>
      <w:r w:rsidRPr="00FD29EF">
        <w:rPr>
          <w:b/>
        </w:rPr>
        <w:t>“HIV-1</w:t>
      </w:r>
      <w:r>
        <w:rPr>
          <w:b/>
        </w:rPr>
        <w:t xml:space="preserve"> </w:t>
      </w:r>
      <w:r w:rsidRPr="00FD29EF">
        <w:rPr>
          <w:b/>
        </w:rPr>
        <w:t>infected”</w:t>
      </w:r>
      <w:r>
        <w:t>.</w:t>
      </w:r>
    </w:p>
    <w:p w:rsidR="0024225D" w:rsidRPr="00605AD4" w:rsidRDefault="0024225D" w:rsidP="00637A7D">
      <w:pPr>
        <w:pStyle w:val="Heading3"/>
      </w:pPr>
      <w:bookmarkStart w:id="212" w:name="_Toc396308684"/>
      <w:r w:rsidRPr="00605AD4">
        <w:t>First round assessment of benefit-risk balance</w:t>
      </w:r>
      <w:bookmarkEnd w:id="212"/>
    </w:p>
    <w:p w:rsidR="0024225D" w:rsidRPr="002B6252" w:rsidRDefault="0024225D" w:rsidP="00637A7D">
      <w:r w:rsidRPr="002B6252">
        <w:t xml:space="preserve">The benefit-risk balance of Eplivera is unfavourable given the proposed usage, but would become favourable if the changes recommended in </w:t>
      </w:r>
      <w:r>
        <w:t>the next section (‘First Round Recommendation Regarding Authorisation’)</w:t>
      </w:r>
      <w:r w:rsidRPr="002B6252">
        <w:t xml:space="preserve"> are adopted.</w:t>
      </w:r>
    </w:p>
    <w:p w:rsidR="00C22678" w:rsidRDefault="00C22678" w:rsidP="00637A7D">
      <w:pPr>
        <w:pStyle w:val="Heading2"/>
      </w:pPr>
      <w:bookmarkStart w:id="213" w:name="_Toc396308685"/>
      <w:r>
        <w:t>First round recommendation regarding authorisation</w:t>
      </w:r>
      <w:bookmarkEnd w:id="213"/>
    </w:p>
    <w:p w:rsidR="0024225D" w:rsidRPr="009E6324" w:rsidRDefault="0024225D" w:rsidP="0024225D">
      <w:r>
        <w:t xml:space="preserve">The clinical evaluator </w:t>
      </w:r>
      <w:r w:rsidRPr="009E6324">
        <w:t>recommend</w:t>
      </w:r>
      <w:r>
        <w:t>s</w:t>
      </w:r>
      <w:r w:rsidRPr="009E6324">
        <w:t xml:space="preserve"> the authorisation of Eviplera in treatment</w:t>
      </w:r>
      <w:r>
        <w:t xml:space="preserve"> </w:t>
      </w:r>
      <w:r w:rsidRPr="009E6324">
        <w:t xml:space="preserve">experienced patients wishing to switch away from an NNRTI or PI/r regimen for tolerability or pill burden reasons. Patients must not have a history of resistance to any components of the drug on historical genotype. In other words, </w:t>
      </w:r>
      <w:r>
        <w:t>the evaluator</w:t>
      </w:r>
      <w:r w:rsidRPr="009E6324">
        <w:t xml:space="preserve"> do</w:t>
      </w:r>
      <w:r>
        <w:t>es</w:t>
      </w:r>
      <w:r w:rsidRPr="009E6324">
        <w:t xml:space="preserve"> not approve the blanket use of this drug in “treatment</w:t>
      </w:r>
      <w:r>
        <w:t xml:space="preserve"> </w:t>
      </w:r>
      <w:r w:rsidRPr="009E6324">
        <w:t xml:space="preserve">experienced” patients. </w:t>
      </w:r>
      <w:r>
        <w:t>The clinical evaluator</w:t>
      </w:r>
      <w:r w:rsidRPr="009E6324">
        <w:t xml:space="preserve"> think</w:t>
      </w:r>
      <w:r>
        <w:t>s</w:t>
      </w:r>
      <w:r w:rsidRPr="009E6324">
        <w:t xml:space="preserve"> the definition of “treatment</w:t>
      </w:r>
      <w:r>
        <w:t xml:space="preserve"> </w:t>
      </w:r>
      <w:r w:rsidRPr="009E6324">
        <w:lastRenderedPageBreak/>
        <w:t>experienced” needs to be qualified in line with the data provided in this Application</w:t>
      </w:r>
      <w:r>
        <w:t>. The evaluator</w:t>
      </w:r>
      <w:r w:rsidRPr="009E6324">
        <w:t xml:space="preserve"> do</w:t>
      </w:r>
      <w:r>
        <w:t>es</w:t>
      </w:r>
      <w:r w:rsidRPr="009E6324">
        <w:t xml:space="preserve"> not recommend the authorisation of the drug for use in HIV-1-infected patient</w:t>
      </w:r>
      <w:r>
        <w:t>s with Plasma HIV-RNA &gt;100,000 to ≤</w:t>
      </w:r>
      <w:r w:rsidRPr="009E6324">
        <w:t xml:space="preserve">500,000 </w:t>
      </w:r>
      <w:r>
        <w:t>copies/mL. The evaluator</w:t>
      </w:r>
      <w:r w:rsidRPr="009E6324">
        <w:t xml:space="preserve"> think</w:t>
      </w:r>
      <w:r>
        <w:t>s</w:t>
      </w:r>
      <w:r w:rsidRPr="009E6324">
        <w:t xml:space="preserve"> the current threshold of </w:t>
      </w:r>
      <w:r>
        <w:t>≤</w:t>
      </w:r>
      <w:r w:rsidRPr="009E6324">
        <w:t xml:space="preserve">100,000 copies/mL is acceptable, as a strategy, the data from the switch studies detailed in this </w:t>
      </w:r>
      <w:r>
        <w:t>submission</w:t>
      </w:r>
      <w:r w:rsidRPr="009E6324">
        <w:t>, could allow patients with very high viral loads to start on one drug regime</w:t>
      </w:r>
      <w:r>
        <w:t>n, for example,</w:t>
      </w:r>
      <w:r w:rsidRPr="009E6324">
        <w:t xml:space="preserve"> a PI/r based regimen then switch after virological suppression for &gt;6 months</w:t>
      </w:r>
      <w:r>
        <w:t>.</w:t>
      </w:r>
    </w:p>
    <w:p w:rsidR="00C22678" w:rsidRDefault="00C22678" w:rsidP="00637A7D">
      <w:pPr>
        <w:pStyle w:val="Heading2"/>
      </w:pPr>
      <w:bookmarkStart w:id="214" w:name="_Toc396308686"/>
      <w:r>
        <w:t>Clinical questions</w:t>
      </w:r>
      <w:bookmarkEnd w:id="214"/>
    </w:p>
    <w:p w:rsidR="00C22678" w:rsidRPr="00586F98" w:rsidRDefault="002511EA" w:rsidP="00637A7D">
      <w:pPr>
        <w:rPr>
          <w:lang w:eastAsia="ja-JP"/>
        </w:rPr>
      </w:pPr>
      <w:r>
        <w:rPr>
          <w:lang w:eastAsia="ja-JP"/>
        </w:rPr>
        <w:t>No questions.</w:t>
      </w:r>
    </w:p>
    <w:p w:rsidR="00B1191B" w:rsidRDefault="00B1191B" w:rsidP="00637A7D">
      <w:pPr>
        <w:pStyle w:val="Heading2"/>
      </w:pPr>
      <w:bookmarkStart w:id="215" w:name="_Toc396308687"/>
      <w:bookmarkEnd w:id="0"/>
      <w:bookmarkEnd w:id="1"/>
      <w:bookmarkEnd w:id="2"/>
      <w:r>
        <w:t>References</w:t>
      </w:r>
      <w:bookmarkEnd w:id="215"/>
    </w:p>
    <w:p w:rsidR="00894A09" w:rsidRPr="00637A7D" w:rsidRDefault="00894A09" w:rsidP="00637A7D">
      <w:pPr>
        <w:pStyle w:val="Numberbullet0"/>
      </w:pPr>
      <w:r w:rsidRPr="00637A7D">
        <w:t>Cockcroft DW, Gault MH. Prediction of creatinine clearance from serum creatinine. Nephron 1976</w:t>
      </w:r>
      <w:proofErr w:type="gramStart"/>
      <w:r w:rsidRPr="00637A7D">
        <w:t>;16:31</w:t>
      </w:r>
      <w:proofErr w:type="gramEnd"/>
      <w:r w:rsidRPr="00637A7D">
        <w:t>-41.</w:t>
      </w:r>
    </w:p>
    <w:p w:rsidR="00894A09" w:rsidRPr="00637A7D" w:rsidRDefault="00894A09" w:rsidP="00637A7D">
      <w:pPr>
        <w:pStyle w:val="Numberbullet0"/>
      </w:pPr>
      <w:r w:rsidRPr="00637A7D">
        <w:t>Cohen CJ, et al. Rilpivirine vs. efavirenz with two background nucleoside or nucleotide reverse transcriptase inhibitors in treatment-naive adults infected with HIV-1 (THRIVE): a phase 3, randomised, non-inferiority trial. Lancet 2011</w:t>
      </w:r>
      <w:proofErr w:type="gramStart"/>
      <w:r w:rsidRPr="00637A7D">
        <w:t>;378</w:t>
      </w:r>
      <w:proofErr w:type="gramEnd"/>
      <w:r w:rsidRPr="00637A7D">
        <w:t xml:space="preserve"> (9787):229-37.</w:t>
      </w:r>
    </w:p>
    <w:p w:rsidR="00894A09" w:rsidRPr="00637A7D" w:rsidRDefault="00894A09" w:rsidP="00637A7D">
      <w:pPr>
        <w:pStyle w:val="Numberbullet0"/>
      </w:pPr>
      <w:r w:rsidRPr="00637A7D">
        <w:t>COMPLERA (emtricitabine/rilpivirine/tenofovir disoproxil fumarate) tablets. US Prescribing Information. Gilead Sciences, Inc. Foster City, CA. August 2011.</w:t>
      </w:r>
    </w:p>
    <w:p w:rsidR="00894A09" w:rsidRPr="00637A7D" w:rsidRDefault="00894A09" w:rsidP="00637A7D">
      <w:pPr>
        <w:pStyle w:val="Numberbullet0"/>
      </w:pPr>
      <w:r w:rsidRPr="00637A7D">
        <w:t>Edurant (rilpivirine) Tablets. US Prescribing Information. Tibotec Pharmaceuticals, Raritan, NJ, USA. May 2011.</w:t>
      </w:r>
    </w:p>
    <w:p w:rsidR="00894A09" w:rsidRPr="00637A7D" w:rsidRDefault="00894A09" w:rsidP="00637A7D">
      <w:pPr>
        <w:pStyle w:val="Numberbullet0"/>
      </w:pPr>
      <w:r w:rsidRPr="00637A7D">
        <w:t>EDURANT 25 mg film-coated Tablets. Summary of Product Characteristics. Janssen-Cilag International NV. Beerse Belgium. 24 October 2012.</w:t>
      </w:r>
    </w:p>
    <w:p w:rsidR="00894A09" w:rsidRPr="00637A7D" w:rsidRDefault="00894A09" w:rsidP="00637A7D">
      <w:pPr>
        <w:pStyle w:val="Numberbullet0"/>
      </w:pPr>
      <w:r w:rsidRPr="00637A7D">
        <w:t xml:space="preserve">Eviplera 200 mg/25mg/245mg film-coated tablets: Summary of Product Characteristics. Gilead Sciences International Limited. Cambridge, UK. November 2012. </w:t>
      </w:r>
    </w:p>
    <w:p w:rsidR="00894A09" w:rsidRPr="00637A7D" w:rsidRDefault="00894A09" w:rsidP="00637A7D">
      <w:pPr>
        <w:pStyle w:val="Numberbullet0"/>
      </w:pPr>
      <w:r w:rsidRPr="00637A7D">
        <w:t>Haddad M, et al. Mutation Y188L of HIV-1 reverse transcriptase is strongly associated with reduced susceptibility to rilpivirine [Poster #695]. Presented at: 19th Conference on Retroviruses and Opportunistic Infections (CROI); 2012 March 5-8; Seattle, WA.</w:t>
      </w:r>
    </w:p>
    <w:p w:rsidR="00894A09" w:rsidRPr="00637A7D" w:rsidRDefault="00894A09" w:rsidP="00637A7D">
      <w:pPr>
        <w:pStyle w:val="Numberbullet0"/>
      </w:pPr>
      <w:r w:rsidRPr="00637A7D">
        <w:t>Molina JM, et al. Rilpivirine vs. efavirenz with tenofovir and emtricitabine in treatment-naive adults infected with HIV-1 (ECHO): a phase 3 randomised double-blind active-controlled trial. Lancet 2011</w:t>
      </w:r>
      <w:proofErr w:type="gramStart"/>
      <w:r w:rsidRPr="00637A7D">
        <w:t>;378</w:t>
      </w:r>
      <w:proofErr w:type="gramEnd"/>
      <w:r w:rsidRPr="00637A7D">
        <w:t xml:space="preserve"> (9787):238-46.</w:t>
      </w:r>
    </w:p>
    <w:p w:rsidR="00894A09" w:rsidRPr="00637A7D" w:rsidRDefault="00894A09" w:rsidP="00637A7D">
      <w:pPr>
        <w:pStyle w:val="Numberbullet0"/>
      </w:pPr>
      <w:r w:rsidRPr="00637A7D">
        <w:t>National Cholesterol Education Program (NCEP). Third report of the National cholesterol Education Program (NCEP) expert panel on detection, evaluation, and treatment of high blood cholesterol in adults (Adult Treatment Panel III) Executive Summary. May 2001.</w:t>
      </w:r>
    </w:p>
    <w:p w:rsidR="00894A09" w:rsidRPr="00637A7D" w:rsidRDefault="00894A09" w:rsidP="00637A7D">
      <w:pPr>
        <w:pStyle w:val="Numberbullet0"/>
      </w:pPr>
      <w:r w:rsidRPr="00637A7D">
        <w:t>Pozniak AL, et al. Efficacy and safety of TMC278 in antiretroviral-naive HIV-1 patients: Wk 96 results of a phase IIb randomized trial. AIDS 2010</w:t>
      </w:r>
      <w:proofErr w:type="gramStart"/>
      <w:r w:rsidRPr="00637A7D">
        <w:t>;24</w:t>
      </w:r>
      <w:proofErr w:type="gramEnd"/>
      <w:r w:rsidRPr="00637A7D">
        <w:t xml:space="preserve"> (1):55-65.</w:t>
      </w:r>
    </w:p>
    <w:p w:rsidR="00894A09" w:rsidRPr="00637A7D" w:rsidRDefault="00894A09" w:rsidP="00637A7D">
      <w:pPr>
        <w:pStyle w:val="Numberbullet0"/>
      </w:pPr>
      <w:r w:rsidRPr="00637A7D">
        <w:t>SUSTIVA (efavirenz) capsules and tablets for oral use. US Prescribing Information. Bristol-Myers Squibb Company. Princeton, NJ. August 2012.</w:t>
      </w:r>
    </w:p>
    <w:p w:rsidR="00894A09" w:rsidRPr="00637A7D" w:rsidRDefault="00894A09" w:rsidP="00637A7D">
      <w:pPr>
        <w:pStyle w:val="Numberbullet0"/>
      </w:pPr>
      <w:r w:rsidRPr="00637A7D">
        <w:t>SUSTIVA 600 mg film-coated tablets. Summary of Product Characteristics. Bristol-Myers Squibb Pharma EEIG. Uxbridge, UK. June 2012.</w:t>
      </w:r>
    </w:p>
    <w:p w:rsidR="00894A09" w:rsidRPr="00637A7D" w:rsidRDefault="00894A09" w:rsidP="00637A7D">
      <w:pPr>
        <w:pStyle w:val="Numberbullet0"/>
      </w:pPr>
      <w:r w:rsidRPr="00637A7D">
        <w:t>Urakami Y, et al. Creatinine transport by basolateral organic cation transporter hOCT2 in the human kidney. Pharm Res 2004</w:t>
      </w:r>
      <w:proofErr w:type="gramStart"/>
      <w:r w:rsidRPr="00637A7D">
        <w:t>;21</w:t>
      </w:r>
      <w:proofErr w:type="gramEnd"/>
      <w:r w:rsidRPr="00637A7D">
        <w:t xml:space="preserve"> (6):976-81.</w:t>
      </w:r>
    </w:p>
    <w:p w:rsidR="00894A09" w:rsidRPr="00894A09" w:rsidRDefault="00894A09" w:rsidP="00637A7D">
      <w:pPr>
        <w:pStyle w:val="Numberbullet0"/>
      </w:pPr>
      <w:r w:rsidRPr="00894A09">
        <w:lastRenderedPageBreak/>
        <w:t>Vingerhoets J, et al. Resistance profile of etravirine: combined analysis of baseline genotypic and phenotypic data from the randomized, controlled Phase III clinical studies. AIDS 2010</w:t>
      </w:r>
      <w:proofErr w:type="gramStart"/>
      <w:r w:rsidRPr="00894A09">
        <w:t>;24</w:t>
      </w:r>
      <w:proofErr w:type="gramEnd"/>
      <w:r w:rsidRPr="00894A09">
        <w:t xml:space="preserve"> (4):503-14.</w:t>
      </w:r>
    </w:p>
    <w:p w:rsidR="003D1E62" w:rsidRPr="001D043B" w:rsidRDefault="008E7846" w:rsidP="002666AC">
      <w:pPr>
        <w:sectPr w:rsidR="003D1E62" w:rsidRPr="001D043B" w:rsidSect="008D770F">
          <w:headerReference w:type="even" r:id="rId40"/>
          <w:headerReference w:type="default" r:id="rId41"/>
          <w:footerReference w:type="default" r:id="rId42"/>
          <w:headerReference w:type="first" r:id="rId43"/>
          <w:footerReference w:type="first" r:id="rId44"/>
          <w:pgSz w:w="11906" w:h="16838" w:code="9"/>
          <w:pgMar w:top="1440" w:right="1440" w:bottom="1440" w:left="1440" w:header="907" w:footer="216" w:gutter="0"/>
          <w:cols w:space="708"/>
          <w:docGrid w:linePitch="360"/>
        </w:sectPr>
      </w:pPr>
      <w:bookmarkStart w:id="216" w:name="_GoBack"/>
      <w:bookmarkEnd w:id="216"/>
      <w:r>
        <w:br w:type="page"/>
      </w:r>
    </w:p>
    <w:p w:rsidR="00774E1D" w:rsidRPr="008A5E0B" w:rsidRDefault="00774E1D" w:rsidP="008A5E0B"/>
    <w:sectPr w:rsidR="00774E1D" w:rsidRPr="008A5E0B" w:rsidSect="008D770F">
      <w:headerReference w:type="even" r:id="rId45"/>
      <w:headerReference w:type="default" r:id="rId46"/>
      <w:footerReference w:type="default" r:id="rId47"/>
      <w:headerReference w:type="first" r:id="rId48"/>
      <w:footerReference w:type="first" r:id="rId49"/>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960" w:rsidRDefault="00294960" w:rsidP="00C40A36">
      <w:pPr>
        <w:spacing w:after="0"/>
      </w:pPr>
      <w:r>
        <w:separator/>
      </w:r>
    </w:p>
  </w:endnote>
  <w:endnote w:type="continuationSeparator" w:id="0">
    <w:p w:rsidR="00294960" w:rsidRDefault="0029496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00"/>
    <w:family w:val="auto"/>
    <w:notTrueType/>
    <w:pitch w:val="default"/>
    <w:sig w:usb0="00000003" w:usb1="08070000" w:usb2="00000010" w:usb3="00000000" w:csb0="00020001" w:csb1="00000000"/>
  </w:font>
  <w:font w:name="TimesNewRoman,Bold">
    <w:altName w:val="MS Mincho"/>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960" w:rsidRDefault="002949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294960" w:rsidRPr="00487162" w:rsidTr="0053625B">
      <w:trPr>
        <w:trHeight w:val="269"/>
      </w:trPr>
      <w:tc>
        <w:tcPr>
          <w:tcW w:w="7938" w:type="dxa"/>
          <w:tcMar>
            <w:top w:w="142" w:type="dxa"/>
            <w:bottom w:w="0" w:type="dxa"/>
          </w:tcMar>
        </w:tcPr>
        <w:p w:rsidR="00294960" w:rsidRPr="00487162" w:rsidRDefault="00294960" w:rsidP="00586F98">
          <w:pPr>
            <w:pStyle w:val="Footer"/>
          </w:pPr>
          <w:r>
            <w:t>Submission</w:t>
          </w:r>
          <w:r w:rsidRPr="00487162">
            <w:t xml:space="preserve"> </w:t>
          </w:r>
          <w:r w:rsidRPr="00294364">
            <w:t xml:space="preserve">PM-2013-01524-1-2 </w:t>
          </w:r>
          <w:r>
            <w:t>Extract from the Clinical Evaluation Report for Eviplera</w:t>
          </w:r>
        </w:p>
      </w:tc>
      <w:tc>
        <w:tcPr>
          <w:tcW w:w="923" w:type="dxa"/>
          <w:tcMar>
            <w:top w:w="142" w:type="dxa"/>
            <w:bottom w:w="0" w:type="dxa"/>
          </w:tcMar>
        </w:tcPr>
        <w:p w:rsidR="00294960" w:rsidRPr="00487162" w:rsidRDefault="00294960" w:rsidP="00D855D4">
          <w:pPr>
            <w:pStyle w:val="Footer"/>
            <w:jc w:val="right"/>
          </w:pPr>
          <w:r w:rsidRPr="00487162">
            <w:t xml:space="preserve">Page </w:t>
          </w:r>
          <w:r>
            <w:t>2</w:t>
          </w:r>
          <w:r w:rsidRPr="00487162">
            <w:t xml:space="preserve"> of </w:t>
          </w:r>
          <w:fldSimple w:instr=" NUMPAGES  \* Arabic ">
            <w:r w:rsidR="00C8193E">
              <w:rPr>
                <w:noProof/>
              </w:rPr>
              <w:t>46</w:t>
            </w:r>
          </w:fldSimple>
        </w:p>
      </w:tc>
    </w:tr>
  </w:tbl>
  <w:p w:rsidR="00294960" w:rsidRDefault="00294960" w:rsidP="004379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960" w:rsidRDefault="0029496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294960" w:rsidRPr="00487162" w:rsidTr="00586F98">
      <w:trPr>
        <w:trHeight w:val="269"/>
      </w:trPr>
      <w:tc>
        <w:tcPr>
          <w:tcW w:w="7655" w:type="dxa"/>
          <w:tcMar>
            <w:top w:w="142" w:type="dxa"/>
            <w:bottom w:w="0" w:type="dxa"/>
          </w:tcMar>
        </w:tcPr>
        <w:p w:rsidR="00294960" w:rsidRPr="00487162" w:rsidRDefault="00294960" w:rsidP="00D855D4">
          <w:pPr>
            <w:pStyle w:val="Footer"/>
          </w:pPr>
          <w:r>
            <w:t>Submission</w:t>
          </w:r>
          <w:r w:rsidRPr="00487162">
            <w:t xml:space="preserve"> </w:t>
          </w:r>
          <w:r w:rsidRPr="00294364">
            <w:t xml:space="preserve">PM-2013-01524-1-2 </w:t>
          </w:r>
          <w:r>
            <w:t>Extract from the Clinical Evaluation Report for Eviplera</w:t>
          </w:r>
        </w:p>
      </w:tc>
      <w:tc>
        <w:tcPr>
          <w:tcW w:w="1206" w:type="dxa"/>
          <w:tcMar>
            <w:top w:w="142" w:type="dxa"/>
            <w:bottom w:w="0" w:type="dxa"/>
          </w:tcMar>
        </w:tcPr>
        <w:p w:rsidR="00294960" w:rsidRPr="00487162" w:rsidRDefault="00294960" w:rsidP="00E45619">
          <w:pPr>
            <w:pStyle w:val="Footer"/>
            <w:jc w:val="right"/>
          </w:pPr>
          <w:r w:rsidRPr="00487162">
            <w:t xml:space="preserve">Page </w:t>
          </w:r>
          <w:r>
            <w:fldChar w:fldCharType="begin"/>
          </w:r>
          <w:r>
            <w:instrText>PAGE</w:instrText>
          </w:r>
          <w:r>
            <w:fldChar w:fldCharType="separate"/>
          </w:r>
          <w:r w:rsidR="00C8193E">
            <w:rPr>
              <w:noProof/>
            </w:rPr>
            <w:t>45</w:t>
          </w:r>
          <w:r>
            <w:fldChar w:fldCharType="end"/>
          </w:r>
          <w:r w:rsidRPr="00487162">
            <w:t xml:space="preserve"> of </w:t>
          </w:r>
          <w:fldSimple w:instr=" NUMPAGES  \* Arabic ">
            <w:r w:rsidR="00C8193E">
              <w:rPr>
                <w:noProof/>
              </w:rPr>
              <w:t>46</w:t>
            </w:r>
          </w:fldSimple>
        </w:p>
      </w:tc>
    </w:tr>
  </w:tbl>
  <w:p w:rsidR="00294960" w:rsidRDefault="00294960" w:rsidP="00E2613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94960" w:rsidRPr="00487162" w:rsidTr="00E45619">
      <w:trPr>
        <w:trHeight w:val="269"/>
      </w:trPr>
      <w:tc>
        <w:tcPr>
          <w:tcW w:w="4519" w:type="dxa"/>
          <w:tcBorders>
            <w:top w:val="single" w:sz="4" w:space="0" w:color="auto"/>
          </w:tcBorders>
          <w:tcMar>
            <w:top w:w="142" w:type="dxa"/>
            <w:bottom w:w="0" w:type="dxa"/>
          </w:tcMar>
        </w:tcPr>
        <w:p w:rsidR="00294960" w:rsidRPr="00487162" w:rsidRDefault="00294960" w:rsidP="00FE1DEE">
          <w:pPr>
            <w:pStyle w:val="Footer"/>
          </w:pPr>
          <w:r w:rsidRPr="00487162">
            <w:t>Document title, Part #, Section # - Section title</w:t>
          </w:r>
        </w:p>
        <w:p w:rsidR="00294960" w:rsidRPr="00487162" w:rsidRDefault="00294960" w:rsidP="00FE1DEE">
          <w:pPr>
            <w:pStyle w:val="Footer"/>
          </w:pPr>
          <w:r w:rsidRPr="00487162">
            <w:t>V1.0 October 2010</w:t>
          </w:r>
        </w:p>
      </w:tc>
      <w:tc>
        <w:tcPr>
          <w:tcW w:w="4342" w:type="dxa"/>
          <w:tcBorders>
            <w:top w:val="single" w:sz="4" w:space="0" w:color="auto"/>
          </w:tcBorders>
          <w:tcMar>
            <w:top w:w="142" w:type="dxa"/>
            <w:bottom w:w="0" w:type="dxa"/>
          </w:tcMar>
        </w:tcPr>
        <w:p w:rsidR="00294960" w:rsidRPr="00487162" w:rsidRDefault="0029496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fldChar w:fldCharType="end"/>
          </w:r>
          <w:r w:rsidRPr="00487162">
            <w:t xml:space="preserve"> of </w:t>
          </w:r>
          <w:fldSimple w:instr=" NUMPAGES  ">
            <w:r>
              <w:rPr>
                <w:noProof/>
              </w:rPr>
              <w:t>4</w:t>
            </w:r>
          </w:fldSimple>
        </w:p>
      </w:tc>
    </w:tr>
  </w:tbl>
  <w:p w:rsidR="00294960" w:rsidRDefault="0029496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294960" w:rsidRPr="00487162" w:rsidTr="008D770F">
      <w:trPr>
        <w:trHeight w:hRule="exact" w:val="564"/>
      </w:trPr>
      <w:tc>
        <w:tcPr>
          <w:tcW w:w="9175" w:type="dxa"/>
        </w:tcPr>
        <w:p w:rsidR="00294960" w:rsidRPr="00487162" w:rsidRDefault="00294960" w:rsidP="008E7846">
          <w:pPr>
            <w:pStyle w:val="TGASignoff"/>
          </w:pPr>
          <w:r w:rsidRPr="00487162">
            <w:t>Therapeutic Goods Administration</w:t>
          </w:r>
        </w:p>
      </w:tc>
    </w:tr>
    <w:tr w:rsidR="00294960" w:rsidRPr="00487162" w:rsidTr="00E45619">
      <w:trPr>
        <w:trHeight w:val="1221"/>
      </w:trPr>
      <w:tc>
        <w:tcPr>
          <w:tcW w:w="9175" w:type="dxa"/>
          <w:tcMar>
            <w:top w:w="28" w:type="dxa"/>
          </w:tcMar>
        </w:tcPr>
        <w:p w:rsidR="00294960" w:rsidRPr="00487162" w:rsidRDefault="00294960" w:rsidP="00E45619">
          <w:pPr>
            <w:pStyle w:val="Address"/>
          </w:pPr>
          <w:r w:rsidRPr="00487162">
            <w:t>PO Box 100 Woden ACT 2606 Australia</w:t>
          </w:r>
        </w:p>
        <w:p w:rsidR="00294960" w:rsidRPr="00487162" w:rsidRDefault="00294960"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294960" w:rsidRPr="008D770F" w:rsidRDefault="00294960" w:rsidP="008D770F">
          <w:pPr>
            <w:pStyle w:val="Address"/>
            <w:spacing w:line="260" w:lineRule="atLeast"/>
            <w:rPr>
              <w:b/>
              <w:color w:val="0000FF"/>
              <w:u w:val="single"/>
            </w:rPr>
          </w:pPr>
          <w:hyperlink r:id="rId2" w:history="1">
            <w:r w:rsidRPr="007C06C7">
              <w:rPr>
                <w:rStyle w:val="Hyperlink"/>
                <w:b/>
              </w:rPr>
              <w:t>http://www.tga.gov.au</w:t>
            </w:r>
          </w:hyperlink>
        </w:p>
      </w:tc>
    </w:tr>
  </w:tbl>
  <w:p w:rsidR="00294960" w:rsidRDefault="00294960" w:rsidP="008E7846">
    <w:pPr>
      <w:pStyle w:val="Note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94960" w:rsidTr="0010601F">
      <w:trPr>
        <w:trHeight w:val="108"/>
      </w:trPr>
      <w:tc>
        <w:tcPr>
          <w:tcW w:w="8875" w:type="dxa"/>
          <w:gridSpan w:val="2"/>
          <w:tcBorders>
            <w:bottom w:val="single" w:sz="4" w:space="0" w:color="auto"/>
          </w:tcBorders>
          <w:tcMar>
            <w:right w:w="284" w:type="dxa"/>
          </w:tcMar>
        </w:tcPr>
        <w:p w:rsidR="00294960" w:rsidRDefault="00294960" w:rsidP="006E08B3">
          <w:pPr>
            <w:pStyle w:val="Heading3"/>
          </w:pPr>
          <w:r>
            <w:t>Copyright</w:t>
          </w:r>
        </w:p>
        <w:p w:rsidR="00294960" w:rsidRDefault="00294960" w:rsidP="006E08B3">
          <w:r>
            <w:rPr>
              <w:rFonts w:cs="Arial"/>
            </w:rPr>
            <w:t>©</w:t>
          </w:r>
          <w:r>
            <w:t xml:space="preserve"> Commonwealth of Australia [add year]</w:t>
          </w:r>
        </w:p>
        <w:p w:rsidR="00294960" w:rsidRDefault="00294960" w:rsidP="006E08B3"/>
        <w:p w:rsidR="00294960" w:rsidRDefault="0029496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294960" w:rsidRDefault="00294960" w:rsidP="006E08B3"/>
        <w:p w:rsidR="00294960" w:rsidRDefault="00294960" w:rsidP="006E08B3">
          <w:pPr>
            <w:pStyle w:val="Heading3"/>
          </w:pPr>
          <w:r>
            <w:t>Confidentiality</w:t>
          </w:r>
        </w:p>
        <w:p w:rsidR="00294960" w:rsidRDefault="0029496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294960" w:rsidRDefault="00294960" w:rsidP="006E08B3"/>
        <w:p w:rsidR="00294960" w:rsidRDefault="00294960" w:rsidP="006E08B3">
          <w:r>
            <w:t>For submission made by individuals, all personal details, other than your name, will be removed from your submission before it is published on the TGA’s Internet site.</w:t>
          </w:r>
        </w:p>
        <w:p w:rsidR="00294960" w:rsidRDefault="00294960" w:rsidP="006E08B3"/>
        <w:p w:rsidR="00294960" w:rsidRDefault="00294960" w:rsidP="006E08B3">
          <w:r>
            <w:t>In addition, a list of parties making submissions will be published. If you do not wish to be identified with your submission you must specifically request this in the space provided ib the submission coversheet.</w:t>
          </w:r>
        </w:p>
      </w:tc>
    </w:tr>
    <w:tr w:rsidR="00294960" w:rsidTr="0010601F">
      <w:trPr>
        <w:trHeight w:val="417"/>
      </w:trPr>
      <w:tc>
        <w:tcPr>
          <w:tcW w:w="4519" w:type="dxa"/>
          <w:tcBorders>
            <w:top w:val="single" w:sz="4" w:space="0" w:color="auto"/>
          </w:tcBorders>
          <w:tcMar>
            <w:top w:w="142" w:type="dxa"/>
            <w:bottom w:w="0" w:type="dxa"/>
          </w:tcMar>
        </w:tcPr>
        <w:p w:rsidR="00294960" w:rsidRDefault="00294960" w:rsidP="006E08B3">
          <w:r>
            <w:t>Document title, Part #, Section # - Section title</w:t>
          </w:r>
        </w:p>
        <w:p w:rsidR="00294960" w:rsidRDefault="00294960" w:rsidP="006E08B3">
          <w:r>
            <w:t>V1.0 October 2010</w:t>
          </w:r>
        </w:p>
      </w:tc>
      <w:tc>
        <w:tcPr>
          <w:tcW w:w="4356" w:type="dxa"/>
          <w:tcBorders>
            <w:top w:val="single" w:sz="4" w:space="0" w:color="auto"/>
          </w:tcBorders>
          <w:tcMar>
            <w:top w:w="142" w:type="dxa"/>
            <w:bottom w:w="0" w:type="dxa"/>
          </w:tcMar>
        </w:tcPr>
        <w:p w:rsidR="00294960" w:rsidRDefault="00294960" w:rsidP="006E08B3">
          <w:pPr>
            <w:jc w:val="right"/>
          </w:pPr>
          <w:r>
            <w:t xml:space="preserve">Page </w:t>
          </w:r>
          <w:r>
            <w:fldChar w:fldCharType="begin"/>
          </w:r>
          <w:r>
            <w:instrText xml:space="preserve"> PAGE   \* MERGEFORMAT </w:instrText>
          </w:r>
          <w:r>
            <w:fldChar w:fldCharType="separate"/>
          </w:r>
          <w:r>
            <w:rPr>
              <w:noProof/>
            </w:rPr>
            <w:t>1</w:t>
          </w:r>
          <w:r>
            <w:fldChar w:fldCharType="end"/>
          </w:r>
          <w:r>
            <w:t xml:space="preserve"> of </w:t>
          </w:r>
          <w:fldSimple w:instr=" NUMPAGES  \* Arabic ">
            <w:r>
              <w:rPr>
                <w:noProof/>
              </w:rPr>
              <w:t>4</w:t>
            </w:r>
          </w:fldSimple>
          <w:r>
            <w:t xml:space="preserve">  </w:t>
          </w:r>
        </w:p>
      </w:tc>
    </w:tr>
  </w:tbl>
  <w:p w:rsidR="00294960" w:rsidRDefault="0029496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960" w:rsidRDefault="00294960" w:rsidP="00C40A36">
      <w:pPr>
        <w:spacing w:after="0"/>
      </w:pPr>
      <w:r>
        <w:separator/>
      </w:r>
    </w:p>
  </w:footnote>
  <w:footnote w:type="continuationSeparator" w:id="0">
    <w:p w:rsidR="00294960" w:rsidRDefault="00294960"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960" w:rsidRDefault="002949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960" w:rsidRDefault="00294960"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960" w:rsidRDefault="00294960">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-585470</wp:posOffset>
          </wp:positionV>
          <wp:extent cx="7568565" cy="10706100"/>
          <wp:effectExtent l="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4960" w:rsidRDefault="00294960" w:rsidP="00593AD1">
    <w:pPr>
      <w:pStyle w:val="HeaderNoLine"/>
    </w:pPr>
    <w:r>
      <w:rPr>
        <w:noProof/>
        <w:lang w:eastAsia="en-AU"/>
      </w:rPr>
      <w:drawing>
        <wp:inline distT="0" distB="0" distL="0" distR="0">
          <wp:extent cx="5400040" cy="7635240"/>
          <wp:effectExtent l="0" t="0" r="0" b="3810"/>
          <wp:docPr id="23" name="Picture 23"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763524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960" w:rsidRDefault="0029496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960" w:rsidRDefault="00294960">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960" w:rsidRDefault="00294960">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960" w:rsidRDefault="0029496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960" w:rsidRDefault="00294960" w:rsidP="008D770F">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960" w:rsidRDefault="00294960" w:rsidP="006E08B3">
    <w:r>
      <w:t>Therapeutic Goods Administration</w:t>
    </w:r>
  </w:p>
  <w:p w:rsidR="00294960" w:rsidRDefault="00294960"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3066740A"/>
    <w:multiLevelType w:val="hybridMultilevel"/>
    <w:tmpl w:val="BF38771C"/>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
    <w:nsid w:val="3AC02909"/>
    <w:multiLevelType w:val="hybridMultilevel"/>
    <w:tmpl w:val="A53EC0BA"/>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6">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7">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2"/>
  </w:num>
  <w:num w:numId="4">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6"/>
  </w:num>
  <w:num w:numId="6">
    <w:abstractNumId w:val="3"/>
  </w:num>
  <w:num w:numId="7">
    <w:abstractNumId w:val="7"/>
  </w:num>
  <w:num w:numId="8">
    <w:abstractNumId w:val="4"/>
  </w:num>
  <w:num w:numId="9">
    <w:abstractNumId w:val="0"/>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E7C"/>
    <w:rsid w:val="00002031"/>
    <w:rsid w:val="00004734"/>
    <w:rsid w:val="00006B22"/>
    <w:rsid w:val="0001276A"/>
    <w:rsid w:val="000216D0"/>
    <w:rsid w:val="000246AE"/>
    <w:rsid w:val="00025C67"/>
    <w:rsid w:val="00040ACB"/>
    <w:rsid w:val="0005559E"/>
    <w:rsid w:val="00067DA2"/>
    <w:rsid w:val="00074B1E"/>
    <w:rsid w:val="00077775"/>
    <w:rsid w:val="00086D51"/>
    <w:rsid w:val="00090471"/>
    <w:rsid w:val="000A3AED"/>
    <w:rsid w:val="000A63AF"/>
    <w:rsid w:val="000B3532"/>
    <w:rsid w:val="000B3A75"/>
    <w:rsid w:val="000B6C20"/>
    <w:rsid w:val="000C690F"/>
    <w:rsid w:val="000D1295"/>
    <w:rsid w:val="000D391B"/>
    <w:rsid w:val="000D3D6D"/>
    <w:rsid w:val="000D4FC7"/>
    <w:rsid w:val="000D5CC4"/>
    <w:rsid w:val="000F02F9"/>
    <w:rsid w:val="000F0BEC"/>
    <w:rsid w:val="000F2C0A"/>
    <w:rsid w:val="000F4869"/>
    <w:rsid w:val="000F5B42"/>
    <w:rsid w:val="000F6E6F"/>
    <w:rsid w:val="00104613"/>
    <w:rsid w:val="0010601F"/>
    <w:rsid w:val="0010788A"/>
    <w:rsid w:val="00107A31"/>
    <w:rsid w:val="00110EA5"/>
    <w:rsid w:val="00112F56"/>
    <w:rsid w:val="00117C51"/>
    <w:rsid w:val="00125318"/>
    <w:rsid w:val="001305A2"/>
    <w:rsid w:val="00133238"/>
    <w:rsid w:val="0014197B"/>
    <w:rsid w:val="001447CD"/>
    <w:rsid w:val="001516B1"/>
    <w:rsid w:val="00153660"/>
    <w:rsid w:val="00154EBB"/>
    <w:rsid w:val="00156316"/>
    <w:rsid w:val="00165389"/>
    <w:rsid w:val="00166209"/>
    <w:rsid w:val="0017078F"/>
    <w:rsid w:val="0017693F"/>
    <w:rsid w:val="00180BD0"/>
    <w:rsid w:val="0018110E"/>
    <w:rsid w:val="00181684"/>
    <w:rsid w:val="001843C6"/>
    <w:rsid w:val="001850E0"/>
    <w:rsid w:val="00187592"/>
    <w:rsid w:val="00196799"/>
    <w:rsid w:val="001A2158"/>
    <w:rsid w:val="001A525F"/>
    <w:rsid w:val="001B09F9"/>
    <w:rsid w:val="001B2F4B"/>
    <w:rsid w:val="001B6448"/>
    <w:rsid w:val="001C138C"/>
    <w:rsid w:val="001D0342"/>
    <w:rsid w:val="001D07AC"/>
    <w:rsid w:val="001E07CF"/>
    <w:rsid w:val="001E59F1"/>
    <w:rsid w:val="001F49EB"/>
    <w:rsid w:val="001F6B54"/>
    <w:rsid w:val="001F6CBA"/>
    <w:rsid w:val="00201D4E"/>
    <w:rsid w:val="002076C9"/>
    <w:rsid w:val="00220B8A"/>
    <w:rsid w:val="002257F3"/>
    <w:rsid w:val="00233456"/>
    <w:rsid w:val="002339A5"/>
    <w:rsid w:val="0024225D"/>
    <w:rsid w:val="002511EA"/>
    <w:rsid w:val="00257848"/>
    <w:rsid w:val="002666AC"/>
    <w:rsid w:val="0027084A"/>
    <w:rsid w:val="00284B91"/>
    <w:rsid w:val="00286434"/>
    <w:rsid w:val="00286C59"/>
    <w:rsid w:val="00292113"/>
    <w:rsid w:val="002925C0"/>
    <w:rsid w:val="00292B5D"/>
    <w:rsid w:val="002942D1"/>
    <w:rsid w:val="00294364"/>
    <w:rsid w:val="00294960"/>
    <w:rsid w:val="0029501A"/>
    <w:rsid w:val="00295133"/>
    <w:rsid w:val="002A7099"/>
    <w:rsid w:val="002B1638"/>
    <w:rsid w:val="002B3AC8"/>
    <w:rsid w:val="002C63ED"/>
    <w:rsid w:val="002D6161"/>
    <w:rsid w:val="002D638E"/>
    <w:rsid w:val="002E4C9A"/>
    <w:rsid w:val="002F11F8"/>
    <w:rsid w:val="002F3F56"/>
    <w:rsid w:val="002F44B5"/>
    <w:rsid w:val="002F4C25"/>
    <w:rsid w:val="00311AC0"/>
    <w:rsid w:val="00313D70"/>
    <w:rsid w:val="0032583B"/>
    <w:rsid w:val="00327883"/>
    <w:rsid w:val="00331E1F"/>
    <w:rsid w:val="00335504"/>
    <w:rsid w:val="0034455A"/>
    <w:rsid w:val="003521E8"/>
    <w:rsid w:val="0036079E"/>
    <w:rsid w:val="003728F3"/>
    <w:rsid w:val="0037496E"/>
    <w:rsid w:val="0037623D"/>
    <w:rsid w:val="00386150"/>
    <w:rsid w:val="003874CE"/>
    <w:rsid w:val="00390900"/>
    <w:rsid w:val="00396C92"/>
    <w:rsid w:val="003A15D3"/>
    <w:rsid w:val="003A405B"/>
    <w:rsid w:val="003A7F6C"/>
    <w:rsid w:val="003B036F"/>
    <w:rsid w:val="003B1113"/>
    <w:rsid w:val="003B22B9"/>
    <w:rsid w:val="003B4D60"/>
    <w:rsid w:val="003B564E"/>
    <w:rsid w:val="003B634F"/>
    <w:rsid w:val="003B7E39"/>
    <w:rsid w:val="003C58DC"/>
    <w:rsid w:val="003C78F3"/>
    <w:rsid w:val="003D0A3B"/>
    <w:rsid w:val="003D1E62"/>
    <w:rsid w:val="003E213D"/>
    <w:rsid w:val="003E2486"/>
    <w:rsid w:val="003E3208"/>
    <w:rsid w:val="003E386A"/>
    <w:rsid w:val="003F0B04"/>
    <w:rsid w:val="0040134E"/>
    <w:rsid w:val="004049E4"/>
    <w:rsid w:val="00404E9D"/>
    <w:rsid w:val="00415D59"/>
    <w:rsid w:val="0043797D"/>
    <w:rsid w:val="00440A2D"/>
    <w:rsid w:val="004564A7"/>
    <w:rsid w:val="004617BF"/>
    <w:rsid w:val="00463658"/>
    <w:rsid w:val="004722CC"/>
    <w:rsid w:val="004924E0"/>
    <w:rsid w:val="004936E4"/>
    <w:rsid w:val="00494E60"/>
    <w:rsid w:val="00497487"/>
    <w:rsid w:val="004A0839"/>
    <w:rsid w:val="004A7E13"/>
    <w:rsid w:val="004B77A5"/>
    <w:rsid w:val="004B7B76"/>
    <w:rsid w:val="004C2DCA"/>
    <w:rsid w:val="004F043B"/>
    <w:rsid w:val="004F0F38"/>
    <w:rsid w:val="00501921"/>
    <w:rsid w:val="00516B9E"/>
    <w:rsid w:val="00530354"/>
    <w:rsid w:val="00534E7C"/>
    <w:rsid w:val="0053625B"/>
    <w:rsid w:val="005434C6"/>
    <w:rsid w:val="00543B39"/>
    <w:rsid w:val="00550096"/>
    <w:rsid w:val="00555852"/>
    <w:rsid w:val="00557910"/>
    <w:rsid w:val="00557FF9"/>
    <w:rsid w:val="0056038C"/>
    <w:rsid w:val="005614EF"/>
    <w:rsid w:val="00564405"/>
    <w:rsid w:val="00570451"/>
    <w:rsid w:val="00576378"/>
    <w:rsid w:val="0057711C"/>
    <w:rsid w:val="00577945"/>
    <w:rsid w:val="00577E38"/>
    <w:rsid w:val="00580D10"/>
    <w:rsid w:val="005821F2"/>
    <w:rsid w:val="00585322"/>
    <w:rsid w:val="005857C6"/>
    <w:rsid w:val="00586F98"/>
    <w:rsid w:val="00592F6E"/>
    <w:rsid w:val="00593AD1"/>
    <w:rsid w:val="00595B37"/>
    <w:rsid w:val="005A68B6"/>
    <w:rsid w:val="005B61E6"/>
    <w:rsid w:val="005C5570"/>
    <w:rsid w:val="005C79A4"/>
    <w:rsid w:val="005C7DAA"/>
    <w:rsid w:val="005D0FE3"/>
    <w:rsid w:val="005D5442"/>
    <w:rsid w:val="005F668A"/>
    <w:rsid w:val="00603BAC"/>
    <w:rsid w:val="00603F32"/>
    <w:rsid w:val="00620406"/>
    <w:rsid w:val="00620C02"/>
    <w:rsid w:val="00632398"/>
    <w:rsid w:val="0063369E"/>
    <w:rsid w:val="00637A7D"/>
    <w:rsid w:val="00640183"/>
    <w:rsid w:val="00640FC3"/>
    <w:rsid w:val="00642020"/>
    <w:rsid w:val="00646206"/>
    <w:rsid w:val="0065337B"/>
    <w:rsid w:val="0065419D"/>
    <w:rsid w:val="00657927"/>
    <w:rsid w:val="006604D8"/>
    <w:rsid w:val="006617F0"/>
    <w:rsid w:val="00664A5B"/>
    <w:rsid w:val="00672465"/>
    <w:rsid w:val="00675200"/>
    <w:rsid w:val="006763D2"/>
    <w:rsid w:val="00680C08"/>
    <w:rsid w:val="00682C66"/>
    <w:rsid w:val="006931B1"/>
    <w:rsid w:val="00693CA5"/>
    <w:rsid w:val="006A15C0"/>
    <w:rsid w:val="006A3A85"/>
    <w:rsid w:val="006A4250"/>
    <w:rsid w:val="006B31E6"/>
    <w:rsid w:val="006B4B46"/>
    <w:rsid w:val="006B591C"/>
    <w:rsid w:val="006B5E96"/>
    <w:rsid w:val="006C130C"/>
    <w:rsid w:val="006C3E2A"/>
    <w:rsid w:val="006C642F"/>
    <w:rsid w:val="006D03E5"/>
    <w:rsid w:val="006D5D3E"/>
    <w:rsid w:val="006E08B3"/>
    <w:rsid w:val="006E2DCF"/>
    <w:rsid w:val="006E65C0"/>
    <w:rsid w:val="006F17AC"/>
    <w:rsid w:val="006F1D37"/>
    <w:rsid w:val="006F2796"/>
    <w:rsid w:val="006F52EC"/>
    <w:rsid w:val="006F572E"/>
    <w:rsid w:val="00700ABA"/>
    <w:rsid w:val="007046D6"/>
    <w:rsid w:val="00705DB0"/>
    <w:rsid w:val="00710E0A"/>
    <w:rsid w:val="00722B57"/>
    <w:rsid w:val="00727F2D"/>
    <w:rsid w:val="0074253D"/>
    <w:rsid w:val="0074429B"/>
    <w:rsid w:val="0074496B"/>
    <w:rsid w:val="0074762F"/>
    <w:rsid w:val="007513B4"/>
    <w:rsid w:val="00752D7B"/>
    <w:rsid w:val="00754085"/>
    <w:rsid w:val="0075495D"/>
    <w:rsid w:val="00757376"/>
    <w:rsid w:val="007615BC"/>
    <w:rsid w:val="00762F05"/>
    <w:rsid w:val="007652FF"/>
    <w:rsid w:val="00765498"/>
    <w:rsid w:val="00765E02"/>
    <w:rsid w:val="00770EF1"/>
    <w:rsid w:val="0077220C"/>
    <w:rsid w:val="00773EF7"/>
    <w:rsid w:val="00774E1D"/>
    <w:rsid w:val="0077675A"/>
    <w:rsid w:val="00780355"/>
    <w:rsid w:val="00785721"/>
    <w:rsid w:val="00793A59"/>
    <w:rsid w:val="007B45F8"/>
    <w:rsid w:val="007B6E9F"/>
    <w:rsid w:val="007C1216"/>
    <w:rsid w:val="007C1AF7"/>
    <w:rsid w:val="007C3B32"/>
    <w:rsid w:val="007E6E27"/>
    <w:rsid w:val="00805D27"/>
    <w:rsid w:val="00814A9D"/>
    <w:rsid w:val="00821776"/>
    <w:rsid w:val="008321F5"/>
    <w:rsid w:val="00832295"/>
    <w:rsid w:val="00832369"/>
    <w:rsid w:val="00834660"/>
    <w:rsid w:val="00836BC2"/>
    <w:rsid w:val="008414A0"/>
    <w:rsid w:val="00846AD8"/>
    <w:rsid w:val="0085641B"/>
    <w:rsid w:val="00857136"/>
    <w:rsid w:val="00861E6E"/>
    <w:rsid w:val="00864D9C"/>
    <w:rsid w:val="00871581"/>
    <w:rsid w:val="00886D15"/>
    <w:rsid w:val="00887DD8"/>
    <w:rsid w:val="008904C0"/>
    <w:rsid w:val="00894A09"/>
    <w:rsid w:val="00896018"/>
    <w:rsid w:val="008960DD"/>
    <w:rsid w:val="0089635C"/>
    <w:rsid w:val="008A2740"/>
    <w:rsid w:val="008A2B9D"/>
    <w:rsid w:val="008A5E0B"/>
    <w:rsid w:val="008A6D59"/>
    <w:rsid w:val="008B4B03"/>
    <w:rsid w:val="008B596F"/>
    <w:rsid w:val="008B5A3E"/>
    <w:rsid w:val="008C159F"/>
    <w:rsid w:val="008C1623"/>
    <w:rsid w:val="008C1850"/>
    <w:rsid w:val="008C4B6C"/>
    <w:rsid w:val="008C51A9"/>
    <w:rsid w:val="008D770F"/>
    <w:rsid w:val="008E121D"/>
    <w:rsid w:val="008E7846"/>
    <w:rsid w:val="008F1CCC"/>
    <w:rsid w:val="008F2967"/>
    <w:rsid w:val="008F6943"/>
    <w:rsid w:val="00902A21"/>
    <w:rsid w:val="00920330"/>
    <w:rsid w:val="009219D7"/>
    <w:rsid w:val="00922D53"/>
    <w:rsid w:val="00923B70"/>
    <w:rsid w:val="00924482"/>
    <w:rsid w:val="00930237"/>
    <w:rsid w:val="00932C9A"/>
    <w:rsid w:val="00946EA5"/>
    <w:rsid w:val="0095160F"/>
    <w:rsid w:val="00963C08"/>
    <w:rsid w:val="00964E3E"/>
    <w:rsid w:val="009660E5"/>
    <w:rsid w:val="00971412"/>
    <w:rsid w:val="00976540"/>
    <w:rsid w:val="00982D06"/>
    <w:rsid w:val="0098585A"/>
    <w:rsid w:val="0098669D"/>
    <w:rsid w:val="009A3493"/>
    <w:rsid w:val="009A4CED"/>
    <w:rsid w:val="009A57B8"/>
    <w:rsid w:val="009A690D"/>
    <w:rsid w:val="009B1D12"/>
    <w:rsid w:val="009B416B"/>
    <w:rsid w:val="009C4BD5"/>
    <w:rsid w:val="009C79B3"/>
    <w:rsid w:val="009D382C"/>
    <w:rsid w:val="009D7B77"/>
    <w:rsid w:val="009E0BB0"/>
    <w:rsid w:val="009E3FBB"/>
    <w:rsid w:val="00A102E4"/>
    <w:rsid w:val="00A12C42"/>
    <w:rsid w:val="00A1365D"/>
    <w:rsid w:val="00A14DF7"/>
    <w:rsid w:val="00A16194"/>
    <w:rsid w:val="00A203FB"/>
    <w:rsid w:val="00A206FB"/>
    <w:rsid w:val="00A21C2D"/>
    <w:rsid w:val="00A23402"/>
    <w:rsid w:val="00A235D9"/>
    <w:rsid w:val="00A3246D"/>
    <w:rsid w:val="00A329E6"/>
    <w:rsid w:val="00A36FA7"/>
    <w:rsid w:val="00A4193C"/>
    <w:rsid w:val="00A475B7"/>
    <w:rsid w:val="00A47AF7"/>
    <w:rsid w:val="00A47C3E"/>
    <w:rsid w:val="00A50226"/>
    <w:rsid w:val="00A53692"/>
    <w:rsid w:val="00A60BAD"/>
    <w:rsid w:val="00A7607C"/>
    <w:rsid w:val="00A83834"/>
    <w:rsid w:val="00A964D1"/>
    <w:rsid w:val="00AA0ED0"/>
    <w:rsid w:val="00AA3499"/>
    <w:rsid w:val="00AB6D0D"/>
    <w:rsid w:val="00AC2B40"/>
    <w:rsid w:val="00AC2BB2"/>
    <w:rsid w:val="00AC2C3C"/>
    <w:rsid w:val="00AC512D"/>
    <w:rsid w:val="00AD3166"/>
    <w:rsid w:val="00AD3B9F"/>
    <w:rsid w:val="00AE0146"/>
    <w:rsid w:val="00AE01C2"/>
    <w:rsid w:val="00AE65EB"/>
    <w:rsid w:val="00AE67A7"/>
    <w:rsid w:val="00AF1D94"/>
    <w:rsid w:val="00AF60C5"/>
    <w:rsid w:val="00AF663B"/>
    <w:rsid w:val="00B009C6"/>
    <w:rsid w:val="00B01548"/>
    <w:rsid w:val="00B02208"/>
    <w:rsid w:val="00B02D04"/>
    <w:rsid w:val="00B1191B"/>
    <w:rsid w:val="00B11D76"/>
    <w:rsid w:val="00B1425E"/>
    <w:rsid w:val="00B21D29"/>
    <w:rsid w:val="00B25034"/>
    <w:rsid w:val="00B3016C"/>
    <w:rsid w:val="00B33588"/>
    <w:rsid w:val="00B33863"/>
    <w:rsid w:val="00B37D17"/>
    <w:rsid w:val="00B41727"/>
    <w:rsid w:val="00B4175E"/>
    <w:rsid w:val="00B452CE"/>
    <w:rsid w:val="00B54C25"/>
    <w:rsid w:val="00B56C0D"/>
    <w:rsid w:val="00B66811"/>
    <w:rsid w:val="00B7055F"/>
    <w:rsid w:val="00B73FC6"/>
    <w:rsid w:val="00B76B91"/>
    <w:rsid w:val="00B77BA9"/>
    <w:rsid w:val="00B77EB1"/>
    <w:rsid w:val="00B811C6"/>
    <w:rsid w:val="00B85A87"/>
    <w:rsid w:val="00B92E08"/>
    <w:rsid w:val="00B96EBE"/>
    <w:rsid w:val="00BA5D1A"/>
    <w:rsid w:val="00BC622A"/>
    <w:rsid w:val="00BD45E3"/>
    <w:rsid w:val="00BE0A78"/>
    <w:rsid w:val="00BE32D5"/>
    <w:rsid w:val="00BE6252"/>
    <w:rsid w:val="00BE79F0"/>
    <w:rsid w:val="00BF046D"/>
    <w:rsid w:val="00BF0A98"/>
    <w:rsid w:val="00BF1190"/>
    <w:rsid w:val="00BF53A4"/>
    <w:rsid w:val="00BF5D04"/>
    <w:rsid w:val="00C07788"/>
    <w:rsid w:val="00C1164D"/>
    <w:rsid w:val="00C1394F"/>
    <w:rsid w:val="00C16861"/>
    <w:rsid w:val="00C22678"/>
    <w:rsid w:val="00C23032"/>
    <w:rsid w:val="00C245E8"/>
    <w:rsid w:val="00C404A6"/>
    <w:rsid w:val="00C40A36"/>
    <w:rsid w:val="00C44419"/>
    <w:rsid w:val="00C45E7B"/>
    <w:rsid w:val="00C471B1"/>
    <w:rsid w:val="00C618F7"/>
    <w:rsid w:val="00C6316B"/>
    <w:rsid w:val="00C634A9"/>
    <w:rsid w:val="00C64586"/>
    <w:rsid w:val="00C70D53"/>
    <w:rsid w:val="00C73D0B"/>
    <w:rsid w:val="00C750BA"/>
    <w:rsid w:val="00C772FF"/>
    <w:rsid w:val="00C801AF"/>
    <w:rsid w:val="00C80256"/>
    <w:rsid w:val="00C811C0"/>
    <w:rsid w:val="00C8193E"/>
    <w:rsid w:val="00C95B56"/>
    <w:rsid w:val="00CB6BC0"/>
    <w:rsid w:val="00CC0ED4"/>
    <w:rsid w:val="00CC1B7C"/>
    <w:rsid w:val="00CC5D23"/>
    <w:rsid w:val="00CC727F"/>
    <w:rsid w:val="00CE12A2"/>
    <w:rsid w:val="00CE216F"/>
    <w:rsid w:val="00CF15C3"/>
    <w:rsid w:val="00CF2B6F"/>
    <w:rsid w:val="00CF51AF"/>
    <w:rsid w:val="00CF58B6"/>
    <w:rsid w:val="00D017ED"/>
    <w:rsid w:val="00D040D3"/>
    <w:rsid w:val="00D04C65"/>
    <w:rsid w:val="00D224FE"/>
    <w:rsid w:val="00D30214"/>
    <w:rsid w:val="00D328E0"/>
    <w:rsid w:val="00D40123"/>
    <w:rsid w:val="00D53A31"/>
    <w:rsid w:val="00D6493E"/>
    <w:rsid w:val="00D7301E"/>
    <w:rsid w:val="00D836AA"/>
    <w:rsid w:val="00D83AE1"/>
    <w:rsid w:val="00D855D4"/>
    <w:rsid w:val="00D93466"/>
    <w:rsid w:val="00DA1124"/>
    <w:rsid w:val="00DA19BF"/>
    <w:rsid w:val="00DB571C"/>
    <w:rsid w:val="00DB75B7"/>
    <w:rsid w:val="00DC6E02"/>
    <w:rsid w:val="00DE02AE"/>
    <w:rsid w:val="00DE08D8"/>
    <w:rsid w:val="00DF1D7F"/>
    <w:rsid w:val="00DF4BE4"/>
    <w:rsid w:val="00E02FB4"/>
    <w:rsid w:val="00E04EA1"/>
    <w:rsid w:val="00E07F15"/>
    <w:rsid w:val="00E20571"/>
    <w:rsid w:val="00E235F7"/>
    <w:rsid w:val="00E23659"/>
    <w:rsid w:val="00E239D4"/>
    <w:rsid w:val="00E26130"/>
    <w:rsid w:val="00E2741C"/>
    <w:rsid w:val="00E34BBB"/>
    <w:rsid w:val="00E40B22"/>
    <w:rsid w:val="00E45619"/>
    <w:rsid w:val="00E4588F"/>
    <w:rsid w:val="00E46DA3"/>
    <w:rsid w:val="00E51BB1"/>
    <w:rsid w:val="00E53F4F"/>
    <w:rsid w:val="00E54B4E"/>
    <w:rsid w:val="00E55FCF"/>
    <w:rsid w:val="00E624A5"/>
    <w:rsid w:val="00E645E6"/>
    <w:rsid w:val="00E65D35"/>
    <w:rsid w:val="00E7344E"/>
    <w:rsid w:val="00E86DBD"/>
    <w:rsid w:val="00E936E3"/>
    <w:rsid w:val="00EB0798"/>
    <w:rsid w:val="00EB190C"/>
    <w:rsid w:val="00EB40AD"/>
    <w:rsid w:val="00EB586E"/>
    <w:rsid w:val="00EB5FC8"/>
    <w:rsid w:val="00ED3CAD"/>
    <w:rsid w:val="00ED5A41"/>
    <w:rsid w:val="00EE1DE8"/>
    <w:rsid w:val="00EE2009"/>
    <w:rsid w:val="00EE28E3"/>
    <w:rsid w:val="00EE4D5A"/>
    <w:rsid w:val="00EE6D59"/>
    <w:rsid w:val="00EF3B79"/>
    <w:rsid w:val="00F033EC"/>
    <w:rsid w:val="00F04F68"/>
    <w:rsid w:val="00F12670"/>
    <w:rsid w:val="00F14B27"/>
    <w:rsid w:val="00F3148D"/>
    <w:rsid w:val="00F325C5"/>
    <w:rsid w:val="00F32FE0"/>
    <w:rsid w:val="00F35298"/>
    <w:rsid w:val="00F35F06"/>
    <w:rsid w:val="00F45CB3"/>
    <w:rsid w:val="00F47333"/>
    <w:rsid w:val="00F47E37"/>
    <w:rsid w:val="00F50B9B"/>
    <w:rsid w:val="00F53C07"/>
    <w:rsid w:val="00F54B65"/>
    <w:rsid w:val="00F626FC"/>
    <w:rsid w:val="00F63FCA"/>
    <w:rsid w:val="00F640B6"/>
    <w:rsid w:val="00F65A46"/>
    <w:rsid w:val="00F75475"/>
    <w:rsid w:val="00F80E40"/>
    <w:rsid w:val="00F82684"/>
    <w:rsid w:val="00F848D9"/>
    <w:rsid w:val="00F86BF9"/>
    <w:rsid w:val="00FA4091"/>
    <w:rsid w:val="00FA5B82"/>
    <w:rsid w:val="00FA639E"/>
    <w:rsid w:val="00FB6292"/>
    <w:rsid w:val="00FC25E4"/>
    <w:rsid w:val="00FC4EF7"/>
    <w:rsid w:val="00FC620C"/>
    <w:rsid w:val="00FD0491"/>
    <w:rsid w:val="00FD5FB5"/>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nhideWhenUsed/>
    <w:qFormat/>
    <w:rsid w:val="00FA4091"/>
    <w:p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qFormat/>
    <w:rsid w:val="00FA4091"/>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lang w:eastAsia="ja-JP"/>
    </w:rPr>
  </w:style>
  <w:style w:type="character" w:customStyle="1" w:styleId="Heading2Char">
    <w:name w:val="Heading 2 Char"/>
    <w:link w:val="Heading2"/>
    <w:rsid w:val="00586F98"/>
    <w:rPr>
      <w:rFonts w:ascii="Arial" w:eastAsia="Times New Roman" w:hAnsi="Arial"/>
      <w:b/>
      <w:bCs/>
      <w:sz w:val="32"/>
      <w:szCs w:val="26"/>
      <w:lang w:eastAsia="ja-JP"/>
    </w:rPr>
  </w:style>
  <w:style w:type="character" w:customStyle="1" w:styleId="Heading3Char">
    <w:name w:val="Heading 3 Char"/>
    <w:link w:val="Heading3"/>
    <w:rsid w:val="008960DD"/>
    <w:rPr>
      <w:rFonts w:ascii="Arial" w:eastAsia="Times New Roman" w:hAnsi="Arial"/>
      <w:b/>
      <w:bCs/>
      <w:sz w:val="22"/>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link w:val="Heading4"/>
    <w:rsid w:val="008D770F"/>
    <w:rPr>
      <w:rFonts w:eastAsia="MS Mincho"/>
      <w:b/>
      <w:bCs/>
      <w:sz w:val="22"/>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rsid w:val="000F02F9"/>
    <w:rPr>
      <w:rFonts w:eastAsia="Times New Roman"/>
      <w:b/>
      <w:bCs/>
      <w:i/>
      <w:color w:val="001523"/>
      <w:sz w:val="22"/>
      <w:szCs w:val="21"/>
      <w:lang w:eastAsia="en-US"/>
    </w:rPr>
  </w:style>
  <w:style w:type="character" w:customStyle="1" w:styleId="Heading6Char">
    <w:name w:val="Heading 6 Char"/>
    <w:link w:val="Heading6"/>
    <w:rsid w:val="000F02F9"/>
    <w:rPr>
      <w:rFonts w:eastAsia="Times New Roman"/>
      <w:bCs/>
      <w:i/>
      <w:sz w:val="22"/>
      <w:szCs w:val="21"/>
      <w:lang w:eastAsia="en-US"/>
    </w:rPr>
  </w:style>
  <w:style w:type="character" w:customStyle="1" w:styleId="Heading7Char">
    <w:name w:val="Heading 7 Char"/>
    <w:link w:val="Heading7"/>
    <w:rsid w:val="000F02F9"/>
    <w:rPr>
      <w:rFonts w:eastAsia="Times New Roman"/>
      <w:bCs/>
      <w:sz w:val="18"/>
      <w:szCs w:val="24"/>
      <w:lang w:eastAsia="en-US"/>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13D70"/>
    <w:pPr>
      <w:spacing w:before="0" w:line="240" w:lineRule="auto"/>
    </w:pPr>
    <w:rPr>
      <w:szCs w:val="19"/>
    </w:rPr>
  </w:style>
  <w:style w:type="table" w:styleId="TableGrid">
    <w:name w:val="Table Grid"/>
    <w:basedOn w:val="TableNormal"/>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imes New Roman"/>
      <w:color w:val="002035"/>
      <w:sz w:val="28"/>
      <w:lang w:val="en-US"/>
    </w:rPr>
  </w:style>
  <w:style w:type="character" w:customStyle="1" w:styleId="st">
    <w:name w:val="st"/>
    <w:rsid w:val="00F86BF9"/>
  </w:style>
  <w:style w:type="paragraph" w:customStyle="1" w:styleId="Bullet1">
    <w:name w:val="Bullet 1"/>
    <w:basedOn w:val="Normal"/>
    <w:rsid w:val="00E54B4E"/>
    <w:pPr>
      <w:numPr>
        <w:numId w:val="6"/>
      </w:numPr>
      <w:spacing w:after="0" w:line="240" w:lineRule="auto"/>
    </w:pPr>
    <w:rPr>
      <w:rFonts w:eastAsia="Times New Roman"/>
      <w:kern w:val="24"/>
      <w:szCs w:val="24"/>
      <w:lang w:eastAsia="en-AU"/>
    </w:rPr>
  </w:style>
  <w:style w:type="paragraph" w:styleId="ListParagraph">
    <w:name w:val="List Paragraph"/>
    <w:basedOn w:val="Normal"/>
    <w:uiPriority w:val="34"/>
    <w:qFormat/>
    <w:rsid w:val="00727F2D"/>
    <w:pPr>
      <w:spacing w:before="0" w:after="200" w:line="276" w:lineRule="auto"/>
      <w:ind w:left="720"/>
      <w:contextualSpacing/>
    </w:pPr>
    <w:rPr>
      <w:rFonts w:ascii="Calibri" w:eastAsia="Calibri" w:hAnsi="Calibri"/>
    </w:rPr>
  </w:style>
  <w:style w:type="character" w:customStyle="1" w:styleId="Heading8Char">
    <w:name w:val="Heading 8 Char"/>
    <w:link w:val="Heading8"/>
    <w:uiPriority w:val="9"/>
    <w:semiHidden/>
    <w:rsid w:val="00FA4091"/>
    <w:rPr>
      <w:rFonts w:ascii="Calibri" w:eastAsia="Times New Roman" w:hAnsi="Calibri" w:cs="Times New Roman"/>
      <w:i/>
      <w:iCs/>
      <w:sz w:val="24"/>
      <w:szCs w:val="24"/>
      <w:lang w:eastAsia="en-US"/>
    </w:rPr>
  </w:style>
  <w:style w:type="character" w:customStyle="1" w:styleId="Heading9Char">
    <w:name w:val="Heading 9 Char"/>
    <w:link w:val="Heading9"/>
    <w:rsid w:val="00FA4091"/>
    <w:rPr>
      <w:rFonts w:ascii="Arial" w:eastAsia="Times New Roman" w:hAnsi="Arial" w:cs="Arial"/>
      <w:kern w:val="16"/>
      <w:sz w:val="22"/>
      <w:szCs w:val="22"/>
      <w:u w:val="single"/>
    </w:rPr>
  </w:style>
  <w:style w:type="paragraph" w:customStyle="1" w:styleId="Bullet2">
    <w:name w:val="Bullet 2"/>
    <w:basedOn w:val="Bullet1"/>
    <w:rsid w:val="00FA4091"/>
    <w:pPr>
      <w:numPr>
        <w:numId w:val="8"/>
      </w:numPr>
    </w:pPr>
  </w:style>
  <w:style w:type="paragraph" w:customStyle="1" w:styleId="Heading0inTOC">
    <w:name w:val="Heading 0 (in TOC)"/>
    <w:basedOn w:val="Heading1"/>
    <w:next w:val="Normal"/>
    <w:rsid w:val="00FA4091"/>
    <w:pPr>
      <w:keepLines w:val="0"/>
      <w:numPr>
        <w:numId w:val="0"/>
      </w:numPr>
      <w:adjustRightInd/>
      <w:snapToGrid/>
      <w:spacing w:before="0" w:after="120" w:line="240" w:lineRule="auto"/>
    </w:pPr>
    <w:rPr>
      <w:rFonts w:cs="Times New Roman"/>
      <w:bCs w:val="0"/>
      <w:kern w:val="16"/>
      <w:sz w:val="28"/>
      <w:szCs w:val="24"/>
      <w:lang w:eastAsia="en-AU"/>
    </w:rPr>
  </w:style>
  <w:style w:type="character" w:styleId="PageNumber">
    <w:name w:val="page number"/>
    <w:rsid w:val="00FA4091"/>
    <w:rPr>
      <w:sz w:val="20"/>
    </w:rPr>
  </w:style>
  <w:style w:type="paragraph" w:customStyle="1" w:styleId="TableBullet">
    <w:name w:val="Table Bullet"/>
    <w:basedOn w:val="Normal"/>
    <w:rsid w:val="00FA4091"/>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FA4091"/>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FA4091"/>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FA4091"/>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FA4091"/>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FA4091"/>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FA4091"/>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FA40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link w:val="EndnoteText"/>
    <w:semiHidden/>
    <w:rsid w:val="00FA4091"/>
    <w:rPr>
      <w:rFonts w:eastAsia="Times New Roman"/>
      <w:kern w:val="16"/>
    </w:rPr>
  </w:style>
  <w:style w:type="character" w:styleId="EndnoteReference">
    <w:name w:val="endnote reference"/>
    <w:semiHidden/>
    <w:rsid w:val="00FA4091"/>
    <w:rPr>
      <w:dstrike w:val="0"/>
      <w:vertAlign w:val="baseline"/>
    </w:rPr>
  </w:style>
  <w:style w:type="paragraph" w:styleId="FootnoteText">
    <w:name w:val="footnote text"/>
    <w:basedOn w:val="Normal"/>
    <w:link w:val="FootnoteTextChar"/>
    <w:uiPriority w:val="99"/>
    <w:semiHidden/>
    <w:rsid w:val="00FA40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link w:val="FootnoteText"/>
    <w:uiPriority w:val="99"/>
    <w:semiHidden/>
    <w:rsid w:val="00FA4091"/>
    <w:rPr>
      <w:rFonts w:eastAsia="Times New Roman"/>
      <w:kern w:val="16"/>
    </w:rPr>
  </w:style>
  <w:style w:type="character" w:styleId="FootnoteReference">
    <w:name w:val="footnote reference"/>
    <w:uiPriority w:val="99"/>
    <w:semiHidden/>
    <w:rsid w:val="00FA4091"/>
    <w:rPr>
      <w:vertAlign w:val="superscript"/>
    </w:rPr>
  </w:style>
  <w:style w:type="paragraph" w:customStyle="1" w:styleId="Abbreviations">
    <w:name w:val="Abbreviations"/>
    <w:basedOn w:val="Normal"/>
    <w:rsid w:val="00FA4091"/>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FA4091"/>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FA409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FA409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FA4091"/>
    <w:pPr>
      <w:numPr>
        <w:numId w:val="9"/>
      </w:numPr>
      <w:tabs>
        <w:tab w:val="clear" w:pos="1134"/>
      </w:tabs>
      <w:spacing w:before="120"/>
      <w:ind w:left="1418" w:hanging="284"/>
    </w:pPr>
  </w:style>
  <w:style w:type="paragraph" w:customStyle="1" w:styleId="Instructions1">
    <w:name w:val="Instructions 1"/>
    <w:basedOn w:val="Normal"/>
    <w:qFormat/>
    <w:rsid w:val="00FA4091"/>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FA4091"/>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FA4091"/>
    <w:rPr>
      <w:sz w:val="16"/>
      <w:szCs w:val="16"/>
    </w:rPr>
  </w:style>
  <w:style w:type="paragraph" w:styleId="CommentText">
    <w:name w:val="annotation text"/>
    <w:basedOn w:val="Normal"/>
    <w:link w:val="CommentTextChar"/>
    <w:rsid w:val="00FA40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CommentTextChar">
    <w:name w:val="Comment Text Char"/>
    <w:link w:val="CommentText"/>
    <w:rsid w:val="00FA4091"/>
    <w:rPr>
      <w:rFonts w:eastAsia="Times New Roman"/>
      <w:kern w:val="16"/>
    </w:rPr>
  </w:style>
  <w:style w:type="paragraph" w:styleId="CommentSubject">
    <w:name w:val="annotation subject"/>
    <w:basedOn w:val="CommentText"/>
    <w:next w:val="CommentText"/>
    <w:link w:val="CommentSubjectChar"/>
    <w:rsid w:val="00FA4091"/>
    <w:rPr>
      <w:b/>
      <w:bCs/>
    </w:rPr>
  </w:style>
  <w:style w:type="character" w:customStyle="1" w:styleId="CommentSubjectChar">
    <w:name w:val="Comment Subject Char"/>
    <w:link w:val="CommentSubject"/>
    <w:rsid w:val="00FA4091"/>
    <w:rPr>
      <w:rFonts w:eastAsia="Times New Roman"/>
      <w:b/>
      <w:bCs/>
      <w:kern w:val="16"/>
    </w:rPr>
  </w:style>
  <w:style w:type="paragraph" w:customStyle="1" w:styleId="Contentslist1">
    <w:name w:val="Contents list 1"/>
    <w:basedOn w:val="Normal"/>
    <w:qFormat/>
    <w:rsid w:val="00FA4091"/>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FA4091"/>
    <w:pPr>
      <w:spacing w:before="0" w:after="0"/>
    </w:pPr>
    <w:rPr>
      <w:b w:val="0"/>
    </w:rPr>
  </w:style>
  <w:style w:type="paragraph" w:customStyle="1" w:styleId="Default">
    <w:name w:val="Default"/>
    <w:rsid w:val="00FA4091"/>
    <w:pPr>
      <w:autoSpaceDE w:val="0"/>
      <w:autoSpaceDN w:val="0"/>
      <w:adjustRightInd w:val="0"/>
    </w:pPr>
    <w:rPr>
      <w:rFonts w:ascii="Times New Roman" w:eastAsia="Times New Roman" w:hAnsi="Times New Roman"/>
      <w:color w:val="000000"/>
      <w:sz w:val="24"/>
      <w:szCs w:val="24"/>
    </w:rPr>
  </w:style>
  <w:style w:type="character" w:styleId="Emphasis">
    <w:name w:val="Emphasis"/>
    <w:uiPriority w:val="20"/>
    <w:qFormat/>
    <w:rsid w:val="00FA4091"/>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nhideWhenUsed/>
    <w:qFormat/>
    <w:rsid w:val="00FA4091"/>
    <w:p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qFormat/>
    <w:rsid w:val="00FA4091"/>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lang w:eastAsia="ja-JP"/>
    </w:rPr>
  </w:style>
  <w:style w:type="character" w:customStyle="1" w:styleId="Heading2Char">
    <w:name w:val="Heading 2 Char"/>
    <w:link w:val="Heading2"/>
    <w:rsid w:val="00586F98"/>
    <w:rPr>
      <w:rFonts w:ascii="Arial" w:eastAsia="Times New Roman" w:hAnsi="Arial"/>
      <w:b/>
      <w:bCs/>
      <w:sz w:val="32"/>
      <w:szCs w:val="26"/>
      <w:lang w:eastAsia="ja-JP"/>
    </w:rPr>
  </w:style>
  <w:style w:type="character" w:customStyle="1" w:styleId="Heading3Char">
    <w:name w:val="Heading 3 Char"/>
    <w:link w:val="Heading3"/>
    <w:rsid w:val="008960DD"/>
    <w:rPr>
      <w:rFonts w:ascii="Arial" w:eastAsia="Times New Roman" w:hAnsi="Arial"/>
      <w:b/>
      <w:bCs/>
      <w:sz w:val="22"/>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link w:val="Heading4"/>
    <w:rsid w:val="008D770F"/>
    <w:rPr>
      <w:rFonts w:eastAsia="MS Mincho"/>
      <w:b/>
      <w:bCs/>
      <w:sz w:val="22"/>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rsid w:val="000F02F9"/>
    <w:rPr>
      <w:rFonts w:eastAsia="Times New Roman"/>
      <w:b/>
      <w:bCs/>
      <w:i/>
      <w:color w:val="001523"/>
      <w:sz w:val="22"/>
      <w:szCs w:val="21"/>
      <w:lang w:eastAsia="en-US"/>
    </w:rPr>
  </w:style>
  <w:style w:type="character" w:customStyle="1" w:styleId="Heading6Char">
    <w:name w:val="Heading 6 Char"/>
    <w:link w:val="Heading6"/>
    <w:rsid w:val="000F02F9"/>
    <w:rPr>
      <w:rFonts w:eastAsia="Times New Roman"/>
      <w:bCs/>
      <w:i/>
      <w:sz w:val="22"/>
      <w:szCs w:val="21"/>
      <w:lang w:eastAsia="en-US"/>
    </w:rPr>
  </w:style>
  <w:style w:type="character" w:customStyle="1" w:styleId="Heading7Char">
    <w:name w:val="Heading 7 Char"/>
    <w:link w:val="Heading7"/>
    <w:rsid w:val="000F02F9"/>
    <w:rPr>
      <w:rFonts w:eastAsia="Times New Roman"/>
      <w:bCs/>
      <w:sz w:val="18"/>
      <w:szCs w:val="24"/>
      <w:lang w:eastAsia="en-US"/>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13D70"/>
    <w:pPr>
      <w:spacing w:before="0" w:line="240" w:lineRule="auto"/>
    </w:pPr>
    <w:rPr>
      <w:szCs w:val="19"/>
    </w:rPr>
  </w:style>
  <w:style w:type="table" w:styleId="TableGrid">
    <w:name w:val="Table Grid"/>
    <w:basedOn w:val="TableNormal"/>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imes New Roman"/>
      <w:color w:val="002035"/>
      <w:sz w:val="28"/>
      <w:lang w:val="en-US"/>
    </w:rPr>
  </w:style>
  <w:style w:type="character" w:customStyle="1" w:styleId="st">
    <w:name w:val="st"/>
    <w:rsid w:val="00F86BF9"/>
  </w:style>
  <w:style w:type="paragraph" w:customStyle="1" w:styleId="Bullet1">
    <w:name w:val="Bullet 1"/>
    <w:basedOn w:val="Normal"/>
    <w:rsid w:val="00E54B4E"/>
    <w:pPr>
      <w:numPr>
        <w:numId w:val="6"/>
      </w:numPr>
      <w:spacing w:after="0" w:line="240" w:lineRule="auto"/>
    </w:pPr>
    <w:rPr>
      <w:rFonts w:eastAsia="Times New Roman"/>
      <w:kern w:val="24"/>
      <w:szCs w:val="24"/>
      <w:lang w:eastAsia="en-AU"/>
    </w:rPr>
  </w:style>
  <w:style w:type="paragraph" w:styleId="ListParagraph">
    <w:name w:val="List Paragraph"/>
    <w:basedOn w:val="Normal"/>
    <w:uiPriority w:val="34"/>
    <w:qFormat/>
    <w:rsid w:val="00727F2D"/>
    <w:pPr>
      <w:spacing w:before="0" w:after="200" w:line="276" w:lineRule="auto"/>
      <w:ind w:left="720"/>
      <w:contextualSpacing/>
    </w:pPr>
    <w:rPr>
      <w:rFonts w:ascii="Calibri" w:eastAsia="Calibri" w:hAnsi="Calibri"/>
    </w:rPr>
  </w:style>
  <w:style w:type="character" w:customStyle="1" w:styleId="Heading8Char">
    <w:name w:val="Heading 8 Char"/>
    <w:link w:val="Heading8"/>
    <w:uiPriority w:val="9"/>
    <w:semiHidden/>
    <w:rsid w:val="00FA4091"/>
    <w:rPr>
      <w:rFonts w:ascii="Calibri" w:eastAsia="Times New Roman" w:hAnsi="Calibri" w:cs="Times New Roman"/>
      <w:i/>
      <w:iCs/>
      <w:sz w:val="24"/>
      <w:szCs w:val="24"/>
      <w:lang w:eastAsia="en-US"/>
    </w:rPr>
  </w:style>
  <w:style w:type="character" w:customStyle="1" w:styleId="Heading9Char">
    <w:name w:val="Heading 9 Char"/>
    <w:link w:val="Heading9"/>
    <w:rsid w:val="00FA4091"/>
    <w:rPr>
      <w:rFonts w:ascii="Arial" w:eastAsia="Times New Roman" w:hAnsi="Arial" w:cs="Arial"/>
      <w:kern w:val="16"/>
      <w:sz w:val="22"/>
      <w:szCs w:val="22"/>
      <w:u w:val="single"/>
    </w:rPr>
  </w:style>
  <w:style w:type="paragraph" w:customStyle="1" w:styleId="Bullet2">
    <w:name w:val="Bullet 2"/>
    <w:basedOn w:val="Bullet1"/>
    <w:rsid w:val="00FA4091"/>
    <w:pPr>
      <w:numPr>
        <w:numId w:val="8"/>
      </w:numPr>
    </w:pPr>
  </w:style>
  <w:style w:type="paragraph" w:customStyle="1" w:styleId="Heading0inTOC">
    <w:name w:val="Heading 0 (in TOC)"/>
    <w:basedOn w:val="Heading1"/>
    <w:next w:val="Normal"/>
    <w:rsid w:val="00FA4091"/>
    <w:pPr>
      <w:keepLines w:val="0"/>
      <w:numPr>
        <w:numId w:val="0"/>
      </w:numPr>
      <w:adjustRightInd/>
      <w:snapToGrid/>
      <w:spacing w:before="0" w:after="120" w:line="240" w:lineRule="auto"/>
    </w:pPr>
    <w:rPr>
      <w:rFonts w:cs="Times New Roman"/>
      <w:bCs w:val="0"/>
      <w:kern w:val="16"/>
      <w:sz w:val="28"/>
      <w:szCs w:val="24"/>
      <w:lang w:eastAsia="en-AU"/>
    </w:rPr>
  </w:style>
  <w:style w:type="character" w:styleId="PageNumber">
    <w:name w:val="page number"/>
    <w:rsid w:val="00FA4091"/>
    <w:rPr>
      <w:sz w:val="20"/>
    </w:rPr>
  </w:style>
  <w:style w:type="paragraph" w:customStyle="1" w:styleId="TableBullet">
    <w:name w:val="Table Bullet"/>
    <w:basedOn w:val="Normal"/>
    <w:rsid w:val="00FA4091"/>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FA4091"/>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FA4091"/>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FA4091"/>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FA4091"/>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FA4091"/>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FA4091"/>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FA40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link w:val="EndnoteText"/>
    <w:semiHidden/>
    <w:rsid w:val="00FA4091"/>
    <w:rPr>
      <w:rFonts w:eastAsia="Times New Roman"/>
      <w:kern w:val="16"/>
    </w:rPr>
  </w:style>
  <w:style w:type="character" w:styleId="EndnoteReference">
    <w:name w:val="endnote reference"/>
    <w:semiHidden/>
    <w:rsid w:val="00FA4091"/>
    <w:rPr>
      <w:dstrike w:val="0"/>
      <w:vertAlign w:val="baseline"/>
    </w:rPr>
  </w:style>
  <w:style w:type="paragraph" w:styleId="FootnoteText">
    <w:name w:val="footnote text"/>
    <w:basedOn w:val="Normal"/>
    <w:link w:val="FootnoteTextChar"/>
    <w:uiPriority w:val="99"/>
    <w:semiHidden/>
    <w:rsid w:val="00FA40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link w:val="FootnoteText"/>
    <w:uiPriority w:val="99"/>
    <w:semiHidden/>
    <w:rsid w:val="00FA4091"/>
    <w:rPr>
      <w:rFonts w:eastAsia="Times New Roman"/>
      <w:kern w:val="16"/>
    </w:rPr>
  </w:style>
  <w:style w:type="character" w:styleId="FootnoteReference">
    <w:name w:val="footnote reference"/>
    <w:uiPriority w:val="99"/>
    <w:semiHidden/>
    <w:rsid w:val="00FA4091"/>
    <w:rPr>
      <w:vertAlign w:val="superscript"/>
    </w:rPr>
  </w:style>
  <w:style w:type="paragraph" w:customStyle="1" w:styleId="Abbreviations">
    <w:name w:val="Abbreviations"/>
    <w:basedOn w:val="Normal"/>
    <w:rsid w:val="00FA4091"/>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FA4091"/>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FA409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FA409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FA4091"/>
    <w:pPr>
      <w:numPr>
        <w:numId w:val="9"/>
      </w:numPr>
      <w:tabs>
        <w:tab w:val="clear" w:pos="1134"/>
      </w:tabs>
      <w:spacing w:before="120"/>
      <w:ind w:left="1418" w:hanging="284"/>
    </w:pPr>
  </w:style>
  <w:style w:type="paragraph" w:customStyle="1" w:styleId="Instructions1">
    <w:name w:val="Instructions 1"/>
    <w:basedOn w:val="Normal"/>
    <w:qFormat/>
    <w:rsid w:val="00FA4091"/>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FA4091"/>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FA4091"/>
    <w:rPr>
      <w:sz w:val="16"/>
      <w:szCs w:val="16"/>
    </w:rPr>
  </w:style>
  <w:style w:type="paragraph" w:styleId="CommentText">
    <w:name w:val="annotation text"/>
    <w:basedOn w:val="Normal"/>
    <w:link w:val="CommentTextChar"/>
    <w:rsid w:val="00FA40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CommentTextChar">
    <w:name w:val="Comment Text Char"/>
    <w:link w:val="CommentText"/>
    <w:rsid w:val="00FA4091"/>
    <w:rPr>
      <w:rFonts w:eastAsia="Times New Roman"/>
      <w:kern w:val="16"/>
    </w:rPr>
  </w:style>
  <w:style w:type="paragraph" w:styleId="CommentSubject">
    <w:name w:val="annotation subject"/>
    <w:basedOn w:val="CommentText"/>
    <w:next w:val="CommentText"/>
    <w:link w:val="CommentSubjectChar"/>
    <w:rsid w:val="00FA4091"/>
    <w:rPr>
      <w:b/>
      <w:bCs/>
    </w:rPr>
  </w:style>
  <w:style w:type="character" w:customStyle="1" w:styleId="CommentSubjectChar">
    <w:name w:val="Comment Subject Char"/>
    <w:link w:val="CommentSubject"/>
    <w:rsid w:val="00FA4091"/>
    <w:rPr>
      <w:rFonts w:eastAsia="Times New Roman"/>
      <w:b/>
      <w:bCs/>
      <w:kern w:val="16"/>
    </w:rPr>
  </w:style>
  <w:style w:type="paragraph" w:customStyle="1" w:styleId="Contentslist1">
    <w:name w:val="Contents list 1"/>
    <w:basedOn w:val="Normal"/>
    <w:qFormat/>
    <w:rsid w:val="00FA4091"/>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FA4091"/>
    <w:pPr>
      <w:spacing w:before="0" w:after="0"/>
    </w:pPr>
    <w:rPr>
      <w:b w:val="0"/>
    </w:rPr>
  </w:style>
  <w:style w:type="paragraph" w:customStyle="1" w:styleId="Default">
    <w:name w:val="Default"/>
    <w:rsid w:val="00FA4091"/>
    <w:pPr>
      <w:autoSpaceDE w:val="0"/>
      <w:autoSpaceDN w:val="0"/>
      <w:adjustRightInd w:val="0"/>
    </w:pPr>
    <w:rPr>
      <w:rFonts w:ascii="Times New Roman" w:eastAsia="Times New Roman" w:hAnsi="Times New Roman"/>
      <w:color w:val="000000"/>
      <w:sz w:val="24"/>
      <w:szCs w:val="24"/>
    </w:rPr>
  </w:style>
  <w:style w:type="character" w:styleId="Emphasis">
    <w:name w:val="Emphasis"/>
    <w:uiPriority w:val="20"/>
    <w:qFormat/>
    <w:rsid w:val="00FA4091"/>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footer" Target="footer4.xml"/><Relationship Id="rId47" Type="http://schemas.openxmlformats.org/officeDocument/2006/relationships/footer" Target="footer6.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eader" Target="header4.xml"/><Relationship Id="rId45"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footer" Target="footer7.xml"/><Relationship Id="rId10" Type="http://schemas.openxmlformats.org/officeDocument/2006/relationships/hyperlink" Target="http://www.tga.gov.au/hp/information-medicines-pi.htm"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eader" Target="header6.xml"/><Relationship Id="rId48"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theme" Target="theme/theme1.xml"/></Relationships>
</file>

<file path=word/_rels/footer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18668\t0T4437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018AA-719E-4EFB-9F69-485822FBD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t0T4437I.DOTX</Template>
  <TotalTime>196</TotalTime>
  <Pages>46</Pages>
  <Words>15944</Words>
  <Characters>89449</Characters>
  <Application>Microsoft Office Word</Application>
  <DocSecurity>0</DocSecurity>
  <Lines>1687</Lines>
  <Paragraphs>836</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tenofovir disoproxil fumarate / emtricitabine / rilpivirine</vt:lpstr>
    </vt:vector>
  </TitlesOfParts>
  <Company>Department of Health Therapeutic Goods Administration</Company>
  <LinksUpToDate>false</LinksUpToDate>
  <CharactersWithSpaces>104557</CharactersWithSpaces>
  <SharedDoc>false</SharedDoc>
  <HLinks>
    <vt:vector size="234" baseType="variant">
      <vt:variant>
        <vt:i4>1245238</vt:i4>
      </vt:variant>
      <vt:variant>
        <vt:i4>209</vt:i4>
      </vt:variant>
      <vt:variant>
        <vt:i4>0</vt:i4>
      </vt:variant>
      <vt:variant>
        <vt:i4>5</vt:i4>
      </vt:variant>
      <vt:variant>
        <vt:lpwstr/>
      </vt:variant>
      <vt:variant>
        <vt:lpwstr>_Toc391653181</vt:lpwstr>
      </vt:variant>
      <vt:variant>
        <vt:i4>1245238</vt:i4>
      </vt:variant>
      <vt:variant>
        <vt:i4>203</vt:i4>
      </vt:variant>
      <vt:variant>
        <vt:i4>0</vt:i4>
      </vt:variant>
      <vt:variant>
        <vt:i4>5</vt:i4>
      </vt:variant>
      <vt:variant>
        <vt:lpwstr/>
      </vt:variant>
      <vt:variant>
        <vt:lpwstr>_Toc391653180</vt:lpwstr>
      </vt:variant>
      <vt:variant>
        <vt:i4>1835062</vt:i4>
      </vt:variant>
      <vt:variant>
        <vt:i4>197</vt:i4>
      </vt:variant>
      <vt:variant>
        <vt:i4>0</vt:i4>
      </vt:variant>
      <vt:variant>
        <vt:i4>5</vt:i4>
      </vt:variant>
      <vt:variant>
        <vt:lpwstr/>
      </vt:variant>
      <vt:variant>
        <vt:lpwstr>_Toc391653179</vt:lpwstr>
      </vt:variant>
      <vt:variant>
        <vt:i4>1835062</vt:i4>
      </vt:variant>
      <vt:variant>
        <vt:i4>191</vt:i4>
      </vt:variant>
      <vt:variant>
        <vt:i4>0</vt:i4>
      </vt:variant>
      <vt:variant>
        <vt:i4>5</vt:i4>
      </vt:variant>
      <vt:variant>
        <vt:lpwstr/>
      </vt:variant>
      <vt:variant>
        <vt:lpwstr>_Toc391653178</vt:lpwstr>
      </vt:variant>
      <vt:variant>
        <vt:i4>1835062</vt:i4>
      </vt:variant>
      <vt:variant>
        <vt:i4>185</vt:i4>
      </vt:variant>
      <vt:variant>
        <vt:i4>0</vt:i4>
      </vt:variant>
      <vt:variant>
        <vt:i4>5</vt:i4>
      </vt:variant>
      <vt:variant>
        <vt:lpwstr/>
      </vt:variant>
      <vt:variant>
        <vt:lpwstr>_Toc391653177</vt:lpwstr>
      </vt:variant>
      <vt:variant>
        <vt:i4>1835062</vt:i4>
      </vt:variant>
      <vt:variant>
        <vt:i4>179</vt:i4>
      </vt:variant>
      <vt:variant>
        <vt:i4>0</vt:i4>
      </vt:variant>
      <vt:variant>
        <vt:i4>5</vt:i4>
      </vt:variant>
      <vt:variant>
        <vt:lpwstr/>
      </vt:variant>
      <vt:variant>
        <vt:lpwstr>_Toc391653176</vt:lpwstr>
      </vt:variant>
      <vt:variant>
        <vt:i4>1835062</vt:i4>
      </vt:variant>
      <vt:variant>
        <vt:i4>173</vt:i4>
      </vt:variant>
      <vt:variant>
        <vt:i4>0</vt:i4>
      </vt:variant>
      <vt:variant>
        <vt:i4>5</vt:i4>
      </vt:variant>
      <vt:variant>
        <vt:lpwstr/>
      </vt:variant>
      <vt:variant>
        <vt:lpwstr>_Toc391653175</vt:lpwstr>
      </vt:variant>
      <vt:variant>
        <vt:i4>1835062</vt:i4>
      </vt:variant>
      <vt:variant>
        <vt:i4>167</vt:i4>
      </vt:variant>
      <vt:variant>
        <vt:i4>0</vt:i4>
      </vt:variant>
      <vt:variant>
        <vt:i4>5</vt:i4>
      </vt:variant>
      <vt:variant>
        <vt:lpwstr/>
      </vt:variant>
      <vt:variant>
        <vt:lpwstr>_Toc391653174</vt:lpwstr>
      </vt:variant>
      <vt:variant>
        <vt:i4>1835062</vt:i4>
      </vt:variant>
      <vt:variant>
        <vt:i4>161</vt:i4>
      </vt:variant>
      <vt:variant>
        <vt:i4>0</vt:i4>
      </vt:variant>
      <vt:variant>
        <vt:i4>5</vt:i4>
      </vt:variant>
      <vt:variant>
        <vt:lpwstr/>
      </vt:variant>
      <vt:variant>
        <vt:lpwstr>_Toc391653173</vt:lpwstr>
      </vt:variant>
      <vt:variant>
        <vt:i4>1835062</vt:i4>
      </vt:variant>
      <vt:variant>
        <vt:i4>155</vt:i4>
      </vt:variant>
      <vt:variant>
        <vt:i4>0</vt:i4>
      </vt:variant>
      <vt:variant>
        <vt:i4>5</vt:i4>
      </vt:variant>
      <vt:variant>
        <vt:lpwstr/>
      </vt:variant>
      <vt:variant>
        <vt:lpwstr>_Toc391653172</vt:lpwstr>
      </vt:variant>
      <vt:variant>
        <vt:i4>1835062</vt:i4>
      </vt:variant>
      <vt:variant>
        <vt:i4>149</vt:i4>
      </vt:variant>
      <vt:variant>
        <vt:i4>0</vt:i4>
      </vt:variant>
      <vt:variant>
        <vt:i4>5</vt:i4>
      </vt:variant>
      <vt:variant>
        <vt:lpwstr/>
      </vt:variant>
      <vt:variant>
        <vt:lpwstr>_Toc391653171</vt:lpwstr>
      </vt:variant>
      <vt:variant>
        <vt:i4>1835062</vt:i4>
      </vt:variant>
      <vt:variant>
        <vt:i4>143</vt:i4>
      </vt:variant>
      <vt:variant>
        <vt:i4>0</vt:i4>
      </vt:variant>
      <vt:variant>
        <vt:i4>5</vt:i4>
      </vt:variant>
      <vt:variant>
        <vt:lpwstr/>
      </vt:variant>
      <vt:variant>
        <vt:lpwstr>_Toc391653170</vt:lpwstr>
      </vt:variant>
      <vt:variant>
        <vt:i4>1900598</vt:i4>
      </vt:variant>
      <vt:variant>
        <vt:i4>137</vt:i4>
      </vt:variant>
      <vt:variant>
        <vt:i4>0</vt:i4>
      </vt:variant>
      <vt:variant>
        <vt:i4>5</vt:i4>
      </vt:variant>
      <vt:variant>
        <vt:lpwstr/>
      </vt:variant>
      <vt:variant>
        <vt:lpwstr>_Toc391653169</vt:lpwstr>
      </vt:variant>
      <vt:variant>
        <vt:i4>1900598</vt:i4>
      </vt:variant>
      <vt:variant>
        <vt:i4>131</vt:i4>
      </vt:variant>
      <vt:variant>
        <vt:i4>0</vt:i4>
      </vt:variant>
      <vt:variant>
        <vt:i4>5</vt:i4>
      </vt:variant>
      <vt:variant>
        <vt:lpwstr/>
      </vt:variant>
      <vt:variant>
        <vt:lpwstr>_Toc391653168</vt:lpwstr>
      </vt:variant>
      <vt:variant>
        <vt:i4>1900598</vt:i4>
      </vt:variant>
      <vt:variant>
        <vt:i4>125</vt:i4>
      </vt:variant>
      <vt:variant>
        <vt:i4>0</vt:i4>
      </vt:variant>
      <vt:variant>
        <vt:i4>5</vt:i4>
      </vt:variant>
      <vt:variant>
        <vt:lpwstr/>
      </vt:variant>
      <vt:variant>
        <vt:lpwstr>_Toc391653167</vt:lpwstr>
      </vt:variant>
      <vt:variant>
        <vt:i4>1900598</vt:i4>
      </vt:variant>
      <vt:variant>
        <vt:i4>119</vt:i4>
      </vt:variant>
      <vt:variant>
        <vt:i4>0</vt:i4>
      </vt:variant>
      <vt:variant>
        <vt:i4>5</vt:i4>
      </vt:variant>
      <vt:variant>
        <vt:lpwstr/>
      </vt:variant>
      <vt:variant>
        <vt:lpwstr>_Toc391653166</vt:lpwstr>
      </vt:variant>
      <vt:variant>
        <vt:i4>1900598</vt:i4>
      </vt:variant>
      <vt:variant>
        <vt:i4>113</vt:i4>
      </vt:variant>
      <vt:variant>
        <vt:i4>0</vt:i4>
      </vt:variant>
      <vt:variant>
        <vt:i4>5</vt:i4>
      </vt:variant>
      <vt:variant>
        <vt:lpwstr/>
      </vt:variant>
      <vt:variant>
        <vt:lpwstr>_Toc391653165</vt:lpwstr>
      </vt:variant>
      <vt:variant>
        <vt:i4>1900598</vt:i4>
      </vt:variant>
      <vt:variant>
        <vt:i4>107</vt:i4>
      </vt:variant>
      <vt:variant>
        <vt:i4>0</vt:i4>
      </vt:variant>
      <vt:variant>
        <vt:i4>5</vt:i4>
      </vt:variant>
      <vt:variant>
        <vt:lpwstr/>
      </vt:variant>
      <vt:variant>
        <vt:lpwstr>_Toc391653164</vt:lpwstr>
      </vt:variant>
      <vt:variant>
        <vt:i4>1900598</vt:i4>
      </vt:variant>
      <vt:variant>
        <vt:i4>101</vt:i4>
      </vt:variant>
      <vt:variant>
        <vt:i4>0</vt:i4>
      </vt:variant>
      <vt:variant>
        <vt:i4>5</vt:i4>
      </vt:variant>
      <vt:variant>
        <vt:lpwstr/>
      </vt:variant>
      <vt:variant>
        <vt:lpwstr>_Toc391653163</vt:lpwstr>
      </vt:variant>
      <vt:variant>
        <vt:i4>1900598</vt:i4>
      </vt:variant>
      <vt:variant>
        <vt:i4>95</vt:i4>
      </vt:variant>
      <vt:variant>
        <vt:i4>0</vt:i4>
      </vt:variant>
      <vt:variant>
        <vt:i4>5</vt:i4>
      </vt:variant>
      <vt:variant>
        <vt:lpwstr/>
      </vt:variant>
      <vt:variant>
        <vt:lpwstr>_Toc391653162</vt:lpwstr>
      </vt:variant>
      <vt:variant>
        <vt:i4>1900598</vt:i4>
      </vt:variant>
      <vt:variant>
        <vt:i4>89</vt:i4>
      </vt:variant>
      <vt:variant>
        <vt:i4>0</vt:i4>
      </vt:variant>
      <vt:variant>
        <vt:i4>5</vt:i4>
      </vt:variant>
      <vt:variant>
        <vt:lpwstr/>
      </vt:variant>
      <vt:variant>
        <vt:lpwstr>_Toc391653161</vt:lpwstr>
      </vt:variant>
      <vt:variant>
        <vt:i4>1900598</vt:i4>
      </vt:variant>
      <vt:variant>
        <vt:i4>83</vt:i4>
      </vt:variant>
      <vt:variant>
        <vt:i4>0</vt:i4>
      </vt:variant>
      <vt:variant>
        <vt:i4>5</vt:i4>
      </vt:variant>
      <vt:variant>
        <vt:lpwstr/>
      </vt:variant>
      <vt:variant>
        <vt:lpwstr>_Toc391653160</vt:lpwstr>
      </vt:variant>
      <vt:variant>
        <vt:i4>1966134</vt:i4>
      </vt:variant>
      <vt:variant>
        <vt:i4>77</vt:i4>
      </vt:variant>
      <vt:variant>
        <vt:i4>0</vt:i4>
      </vt:variant>
      <vt:variant>
        <vt:i4>5</vt:i4>
      </vt:variant>
      <vt:variant>
        <vt:lpwstr/>
      </vt:variant>
      <vt:variant>
        <vt:lpwstr>_Toc391653159</vt:lpwstr>
      </vt:variant>
      <vt:variant>
        <vt:i4>1966134</vt:i4>
      </vt:variant>
      <vt:variant>
        <vt:i4>71</vt:i4>
      </vt:variant>
      <vt:variant>
        <vt:i4>0</vt:i4>
      </vt:variant>
      <vt:variant>
        <vt:i4>5</vt:i4>
      </vt:variant>
      <vt:variant>
        <vt:lpwstr/>
      </vt:variant>
      <vt:variant>
        <vt:lpwstr>_Toc391653158</vt:lpwstr>
      </vt:variant>
      <vt:variant>
        <vt:i4>1966134</vt:i4>
      </vt:variant>
      <vt:variant>
        <vt:i4>65</vt:i4>
      </vt:variant>
      <vt:variant>
        <vt:i4>0</vt:i4>
      </vt:variant>
      <vt:variant>
        <vt:i4>5</vt:i4>
      </vt:variant>
      <vt:variant>
        <vt:lpwstr/>
      </vt:variant>
      <vt:variant>
        <vt:lpwstr>_Toc391653157</vt:lpwstr>
      </vt:variant>
      <vt:variant>
        <vt:i4>1966134</vt:i4>
      </vt:variant>
      <vt:variant>
        <vt:i4>59</vt:i4>
      </vt:variant>
      <vt:variant>
        <vt:i4>0</vt:i4>
      </vt:variant>
      <vt:variant>
        <vt:i4>5</vt:i4>
      </vt:variant>
      <vt:variant>
        <vt:lpwstr/>
      </vt:variant>
      <vt:variant>
        <vt:lpwstr>_Toc391653156</vt:lpwstr>
      </vt:variant>
      <vt:variant>
        <vt:i4>1966134</vt:i4>
      </vt:variant>
      <vt:variant>
        <vt:i4>53</vt:i4>
      </vt:variant>
      <vt:variant>
        <vt:i4>0</vt:i4>
      </vt:variant>
      <vt:variant>
        <vt:i4>5</vt:i4>
      </vt:variant>
      <vt:variant>
        <vt:lpwstr/>
      </vt:variant>
      <vt:variant>
        <vt:lpwstr>_Toc391653155</vt:lpwstr>
      </vt:variant>
      <vt:variant>
        <vt:i4>1966134</vt:i4>
      </vt:variant>
      <vt:variant>
        <vt:i4>47</vt:i4>
      </vt:variant>
      <vt:variant>
        <vt:i4>0</vt:i4>
      </vt:variant>
      <vt:variant>
        <vt:i4>5</vt:i4>
      </vt:variant>
      <vt:variant>
        <vt:lpwstr/>
      </vt:variant>
      <vt:variant>
        <vt:lpwstr>_Toc391653154</vt:lpwstr>
      </vt:variant>
      <vt:variant>
        <vt:i4>1966134</vt:i4>
      </vt:variant>
      <vt:variant>
        <vt:i4>41</vt:i4>
      </vt:variant>
      <vt:variant>
        <vt:i4>0</vt:i4>
      </vt:variant>
      <vt:variant>
        <vt:i4>5</vt:i4>
      </vt:variant>
      <vt:variant>
        <vt:lpwstr/>
      </vt:variant>
      <vt:variant>
        <vt:lpwstr>_Toc391653153</vt:lpwstr>
      </vt:variant>
      <vt:variant>
        <vt:i4>1966134</vt:i4>
      </vt:variant>
      <vt:variant>
        <vt:i4>35</vt:i4>
      </vt:variant>
      <vt:variant>
        <vt:i4>0</vt:i4>
      </vt:variant>
      <vt:variant>
        <vt:i4>5</vt:i4>
      </vt:variant>
      <vt:variant>
        <vt:lpwstr/>
      </vt:variant>
      <vt:variant>
        <vt:lpwstr>_Toc391653152</vt:lpwstr>
      </vt:variant>
      <vt:variant>
        <vt:i4>1966134</vt:i4>
      </vt:variant>
      <vt:variant>
        <vt:i4>29</vt:i4>
      </vt:variant>
      <vt:variant>
        <vt:i4>0</vt:i4>
      </vt:variant>
      <vt:variant>
        <vt:i4>5</vt:i4>
      </vt:variant>
      <vt:variant>
        <vt:lpwstr/>
      </vt:variant>
      <vt:variant>
        <vt:lpwstr>_Toc391653151</vt:lpwstr>
      </vt:variant>
      <vt:variant>
        <vt:i4>1966134</vt:i4>
      </vt:variant>
      <vt:variant>
        <vt:i4>23</vt:i4>
      </vt:variant>
      <vt:variant>
        <vt:i4>0</vt:i4>
      </vt:variant>
      <vt:variant>
        <vt:i4>5</vt:i4>
      </vt:variant>
      <vt:variant>
        <vt:lpwstr/>
      </vt:variant>
      <vt:variant>
        <vt:lpwstr>_Toc391653150</vt:lpwstr>
      </vt:variant>
      <vt:variant>
        <vt:i4>2031670</vt:i4>
      </vt:variant>
      <vt:variant>
        <vt:i4>17</vt:i4>
      </vt:variant>
      <vt:variant>
        <vt:i4>0</vt:i4>
      </vt:variant>
      <vt:variant>
        <vt:i4>5</vt:i4>
      </vt:variant>
      <vt:variant>
        <vt:lpwstr/>
      </vt:variant>
      <vt:variant>
        <vt:lpwstr>_Toc391653149</vt:lpwstr>
      </vt:variant>
      <vt:variant>
        <vt:i4>2031670</vt:i4>
      </vt:variant>
      <vt:variant>
        <vt:i4>11</vt:i4>
      </vt:variant>
      <vt:variant>
        <vt:i4>0</vt:i4>
      </vt:variant>
      <vt:variant>
        <vt:i4>5</vt:i4>
      </vt:variant>
      <vt:variant>
        <vt:lpwstr/>
      </vt:variant>
      <vt:variant>
        <vt:lpwstr>_Toc391653148</vt:lpwstr>
      </vt:variant>
      <vt:variant>
        <vt:i4>6291548</vt:i4>
      </vt:variant>
      <vt:variant>
        <vt:i4>6</vt:i4>
      </vt:variant>
      <vt:variant>
        <vt:i4>0</vt:i4>
      </vt:variant>
      <vt:variant>
        <vt:i4>5</vt:i4>
      </vt:variant>
      <vt:variant>
        <vt:lpwstr>mailto:tga.copyright@tga.gov.au</vt:lpwstr>
      </vt:variant>
      <vt:variant>
        <vt:lpwstr/>
      </vt:variant>
      <vt:variant>
        <vt:i4>5701660</vt:i4>
      </vt:variant>
      <vt:variant>
        <vt:i4>3</vt:i4>
      </vt:variant>
      <vt:variant>
        <vt:i4>0</vt:i4>
      </vt:variant>
      <vt:variant>
        <vt:i4>5</vt:i4>
      </vt:variant>
      <vt:variant>
        <vt:lpwstr>http://www.tga.gov.au/hp/information-medicines-pi.htm</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tenofovir disoproxil fumarate / emtricitabine / rilpivirine</dc:title>
  <dc:subject>prescription medicine regulation</dc:subject>
  <dc:creator>Therapeutic Goods Administration</dc:creator>
  <cp:keywords>clinical, evaluation, report, medicine, assessment, regulation, australia, tenofovir, disoproxil, fumarate, emtricitabine, rilpivirine, eviplera, gilead, sciences</cp:keywords>
  <cp:lastModifiedBy>Sheppard, Fran</cp:lastModifiedBy>
  <cp:revision>4</cp:revision>
  <cp:lastPrinted>2010-12-20T23:59:00Z</cp:lastPrinted>
  <dcterms:created xsi:type="dcterms:W3CDTF">2014-08-19T05:35:00Z</dcterms:created>
  <dcterms:modified xsi:type="dcterms:W3CDTF">2014-08-24T05:41:00Z</dcterms:modified>
</cp:coreProperties>
</file>