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A2409A" w:rsidP="00096AA7">
            <w:pPr>
              <w:rPr>
                <w:rFonts w:ascii="Arial" w:hAnsi="Arial" w:cs="Arial"/>
                <w:b/>
                <w:color w:val="002C47"/>
                <w:sz w:val="36"/>
                <w:szCs w:val="36"/>
              </w:rPr>
            </w:pPr>
            <w:r>
              <w:rPr>
                <w:rFonts w:ascii="Arial" w:hAnsi="Arial" w:cs="Arial"/>
                <w:b/>
                <w:color w:val="002C47"/>
                <w:sz w:val="36"/>
                <w:szCs w:val="36"/>
              </w:rPr>
              <w:t>July</w:t>
            </w:r>
            <w:r w:rsidR="00360BA2">
              <w:rPr>
                <w:rFonts w:ascii="Arial" w:hAnsi="Arial" w:cs="Arial"/>
                <w:b/>
                <w:color w:val="002C47"/>
                <w:sz w:val="36"/>
                <w:szCs w:val="36"/>
              </w:rPr>
              <w:t xml:space="preserve"> 2</w:t>
            </w:r>
            <w:r w:rsidR="00FA5E1D">
              <w:rPr>
                <w:rFonts w:ascii="Arial" w:hAnsi="Arial" w:cs="Arial"/>
                <w:b/>
                <w:color w:val="002C47"/>
                <w:sz w:val="36"/>
                <w:szCs w:val="36"/>
              </w:rPr>
              <w:t>0</w:t>
            </w:r>
            <w:r w:rsidR="00201F13">
              <w:rPr>
                <w:rFonts w:ascii="Arial" w:hAnsi="Arial" w:cs="Arial"/>
                <w:b/>
                <w:color w:val="002C47"/>
                <w:sz w:val="36"/>
                <w:szCs w:val="36"/>
              </w:rPr>
              <w:t>14</w:t>
            </w:r>
          </w:p>
        </w:tc>
      </w:tr>
    </w:tbl>
    <w:p w:rsidR="00AC305C" w:rsidRPr="00AC305C" w:rsidRDefault="00AC305C" w:rsidP="00AC305C">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C305C" w:rsidRDefault="0032583B" w:rsidP="00E50077">
            <w:pPr>
              <w:pStyle w:val="Title"/>
              <w:rPr>
                <w:color w:val="FFFFFF"/>
              </w:rPr>
            </w:pPr>
            <w:r w:rsidRPr="00AC305C">
              <w:rPr>
                <w:color w:val="FFFFFF"/>
              </w:rPr>
              <w:t>Australian Pu</w:t>
            </w:r>
            <w:r w:rsidR="00201F13">
              <w:rPr>
                <w:color w:val="FFFFFF"/>
              </w:rPr>
              <w:t xml:space="preserve">blic Assessment Report for </w:t>
            </w:r>
            <w:proofErr w:type="spellStart"/>
            <w:r w:rsidR="00201F13">
              <w:rPr>
                <w:color w:val="FFFFFF"/>
              </w:rPr>
              <w:t>t</w:t>
            </w:r>
            <w:r w:rsidR="00201F13" w:rsidRPr="00201F13">
              <w:rPr>
                <w:color w:val="FFFFFF"/>
              </w:rPr>
              <w:t>enofovir</w:t>
            </w:r>
            <w:proofErr w:type="spellEnd"/>
            <w:r w:rsidR="00201F13" w:rsidRPr="00201F13">
              <w:rPr>
                <w:color w:val="FFFFFF"/>
              </w:rPr>
              <w:t xml:space="preserve"> </w:t>
            </w:r>
            <w:proofErr w:type="spellStart"/>
            <w:r w:rsidR="00201F13" w:rsidRPr="00201F13">
              <w:rPr>
                <w:color w:val="FFFFFF"/>
              </w:rPr>
              <w:t>disoproxil</w:t>
            </w:r>
            <w:proofErr w:type="spellEnd"/>
            <w:r w:rsidR="00201F13" w:rsidRPr="00201F13">
              <w:rPr>
                <w:color w:val="FFFFFF"/>
              </w:rPr>
              <w:t xml:space="preserve"> </w:t>
            </w:r>
            <w:proofErr w:type="spellStart"/>
            <w:r w:rsidR="00201F13" w:rsidRPr="00201F13">
              <w:rPr>
                <w:color w:val="FFFFFF"/>
              </w:rPr>
              <w:t>fumarate</w:t>
            </w:r>
            <w:proofErr w:type="spellEnd"/>
            <w:r w:rsidR="00DE65BB">
              <w:rPr>
                <w:color w:val="FFFFFF"/>
              </w:rPr>
              <w:t xml:space="preserve"> </w:t>
            </w:r>
            <w:r w:rsidR="00201F13" w:rsidRPr="00201F13">
              <w:rPr>
                <w:color w:val="FFFFFF"/>
              </w:rPr>
              <w:t>/</w:t>
            </w:r>
            <w:r w:rsidR="00DE65BB">
              <w:rPr>
                <w:color w:val="FFFFFF"/>
              </w:rPr>
              <w:t xml:space="preserve"> </w:t>
            </w:r>
            <w:proofErr w:type="spellStart"/>
            <w:r w:rsidR="00201F13" w:rsidRPr="00201F13">
              <w:rPr>
                <w:color w:val="FFFFFF"/>
              </w:rPr>
              <w:t>emtricitabine</w:t>
            </w:r>
            <w:proofErr w:type="spellEnd"/>
            <w:r w:rsidR="00DE65BB">
              <w:rPr>
                <w:color w:val="FFFFFF"/>
              </w:rPr>
              <w:t xml:space="preserve"> </w:t>
            </w:r>
            <w:r w:rsidR="00201F13" w:rsidRPr="00201F13">
              <w:rPr>
                <w:color w:val="FFFFFF"/>
              </w:rPr>
              <w:t>/</w:t>
            </w:r>
            <w:r w:rsidR="00DE65BB">
              <w:rPr>
                <w:color w:val="FFFFFF"/>
              </w:rPr>
              <w:t xml:space="preserve"> </w:t>
            </w:r>
            <w:proofErr w:type="spellStart"/>
            <w:r w:rsidR="00201F13" w:rsidRPr="00201F13">
              <w:rPr>
                <w:color w:val="FFFFFF"/>
              </w:rPr>
              <w:t>rilpivirine</w:t>
            </w:r>
            <w:proofErr w:type="spellEnd"/>
          </w:p>
        </w:tc>
      </w:tr>
      <w:tr w:rsidR="0032583B" w:rsidRPr="00B64760" w:rsidTr="0032583B">
        <w:tc>
          <w:tcPr>
            <w:tcW w:w="9079" w:type="dxa"/>
          </w:tcPr>
          <w:p w:rsidR="0032583B" w:rsidRPr="00AC305C" w:rsidRDefault="00847239" w:rsidP="0032583B">
            <w:pPr>
              <w:pStyle w:val="Subtitle"/>
              <w:rPr>
                <w:color w:val="FFFFFF"/>
              </w:rPr>
            </w:pPr>
            <w:r>
              <w:rPr>
                <w:color w:val="FFFFFF"/>
              </w:rPr>
              <w:t xml:space="preserve">Proprietary Product Name: </w:t>
            </w:r>
            <w:proofErr w:type="spellStart"/>
            <w:r>
              <w:rPr>
                <w:color w:val="FFFFFF"/>
              </w:rPr>
              <w:t>Eviplera</w:t>
            </w:r>
            <w:proofErr w:type="spellEnd"/>
          </w:p>
        </w:tc>
      </w:tr>
      <w:tr w:rsidR="0032583B" w:rsidRPr="00B64760" w:rsidTr="0032583B">
        <w:trPr>
          <w:trHeight w:val="486"/>
        </w:trPr>
        <w:tc>
          <w:tcPr>
            <w:tcW w:w="9079" w:type="dxa"/>
          </w:tcPr>
          <w:p w:rsidR="0032583B" w:rsidRPr="00AC305C" w:rsidRDefault="00201F13" w:rsidP="0032583B">
            <w:pPr>
              <w:pStyle w:val="Subtitle"/>
              <w:rPr>
                <w:color w:val="FFFFFF"/>
              </w:rPr>
            </w:pPr>
            <w:r>
              <w:rPr>
                <w:color w:val="FFFFFF"/>
              </w:rPr>
              <w:t xml:space="preserve">Sponsor: </w:t>
            </w:r>
            <w:r w:rsidRPr="00201F13">
              <w:rPr>
                <w:color w:val="FFFFFF"/>
              </w:rPr>
              <w:t>Gilead Sciences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provides information about the evaluation of a prescription medicine and the considerations that led the TGA to approve or not approve a pr</w:t>
      </w:r>
      <w:r w:rsidR="003B49DD">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p w:rsidR="00890546"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6298040" w:history="1">
        <w:r w:rsidR="00890546" w:rsidRPr="00533858">
          <w:rPr>
            <w:rStyle w:val="Hyperlink"/>
            <w:noProof/>
          </w:rPr>
          <w:t>List of abbreviations</w:t>
        </w:r>
        <w:r w:rsidR="00890546">
          <w:rPr>
            <w:noProof/>
            <w:webHidden/>
          </w:rPr>
          <w:tab/>
        </w:r>
        <w:r w:rsidR="00890546">
          <w:rPr>
            <w:noProof/>
            <w:webHidden/>
          </w:rPr>
          <w:fldChar w:fldCharType="begin"/>
        </w:r>
        <w:r w:rsidR="00890546">
          <w:rPr>
            <w:noProof/>
            <w:webHidden/>
          </w:rPr>
          <w:instrText xml:space="preserve"> PAGEREF _Toc396298040 \h </w:instrText>
        </w:r>
        <w:r w:rsidR="00890546">
          <w:rPr>
            <w:noProof/>
            <w:webHidden/>
          </w:rPr>
        </w:r>
        <w:r w:rsidR="00890546">
          <w:rPr>
            <w:noProof/>
            <w:webHidden/>
          </w:rPr>
          <w:fldChar w:fldCharType="separate"/>
        </w:r>
        <w:r w:rsidR="00890546">
          <w:rPr>
            <w:noProof/>
            <w:webHidden/>
          </w:rPr>
          <w:t>4</w:t>
        </w:r>
        <w:r w:rsidR="00890546">
          <w:rPr>
            <w:noProof/>
            <w:webHidden/>
          </w:rPr>
          <w:fldChar w:fldCharType="end"/>
        </w:r>
      </w:hyperlink>
    </w:p>
    <w:p w:rsidR="00890546" w:rsidRDefault="00AC07AF">
      <w:pPr>
        <w:pStyle w:val="TOC2"/>
        <w:rPr>
          <w:rFonts w:asciiTheme="minorHAnsi" w:eastAsiaTheme="minorEastAsia" w:hAnsiTheme="minorHAnsi" w:cstheme="minorBidi"/>
          <w:b w:val="0"/>
          <w:noProof/>
          <w:sz w:val="22"/>
          <w:lang w:eastAsia="en-AU"/>
        </w:rPr>
      </w:pPr>
      <w:hyperlink w:anchor="_Toc396298041" w:history="1">
        <w:r w:rsidR="00890546" w:rsidRPr="00533858">
          <w:rPr>
            <w:rStyle w:val="Hyperlink"/>
            <w:noProof/>
          </w:rPr>
          <w:t>I. Introduction to product submission</w:t>
        </w:r>
        <w:r w:rsidR="00890546">
          <w:rPr>
            <w:noProof/>
            <w:webHidden/>
          </w:rPr>
          <w:tab/>
        </w:r>
        <w:r w:rsidR="00890546">
          <w:rPr>
            <w:noProof/>
            <w:webHidden/>
          </w:rPr>
          <w:fldChar w:fldCharType="begin"/>
        </w:r>
        <w:r w:rsidR="00890546">
          <w:rPr>
            <w:noProof/>
            <w:webHidden/>
          </w:rPr>
          <w:instrText xml:space="preserve"> PAGEREF _Toc396298041 \h </w:instrText>
        </w:r>
        <w:r w:rsidR="00890546">
          <w:rPr>
            <w:noProof/>
            <w:webHidden/>
          </w:rPr>
        </w:r>
        <w:r w:rsidR="00890546">
          <w:rPr>
            <w:noProof/>
            <w:webHidden/>
          </w:rPr>
          <w:fldChar w:fldCharType="separate"/>
        </w:r>
        <w:r w:rsidR="00890546">
          <w:rPr>
            <w:noProof/>
            <w:webHidden/>
          </w:rPr>
          <w:t>6</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42" w:history="1">
        <w:r w:rsidR="00890546" w:rsidRPr="00533858">
          <w:rPr>
            <w:rStyle w:val="Hyperlink"/>
            <w:noProof/>
            <w:lang w:eastAsia="en-AU"/>
          </w:rPr>
          <w:t>Submission details</w:t>
        </w:r>
        <w:r w:rsidR="00890546">
          <w:rPr>
            <w:noProof/>
            <w:webHidden/>
          </w:rPr>
          <w:tab/>
        </w:r>
        <w:r w:rsidR="00890546">
          <w:rPr>
            <w:noProof/>
            <w:webHidden/>
          </w:rPr>
          <w:fldChar w:fldCharType="begin"/>
        </w:r>
        <w:r w:rsidR="00890546">
          <w:rPr>
            <w:noProof/>
            <w:webHidden/>
          </w:rPr>
          <w:instrText xml:space="preserve"> PAGEREF _Toc396298042 \h </w:instrText>
        </w:r>
        <w:r w:rsidR="00890546">
          <w:rPr>
            <w:noProof/>
            <w:webHidden/>
          </w:rPr>
        </w:r>
        <w:r w:rsidR="00890546">
          <w:rPr>
            <w:noProof/>
            <w:webHidden/>
          </w:rPr>
          <w:fldChar w:fldCharType="separate"/>
        </w:r>
        <w:r w:rsidR="00890546">
          <w:rPr>
            <w:noProof/>
            <w:webHidden/>
          </w:rPr>
          <w:t>6</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43" w:history="1">
        <w:r w:rsidR="00890546" w:rsidRPr="00533858">
          <w:rPr>
            <w:rStyle w:val="Hyperlink"/>
            <w:noProof/>
          </w:rPr>
          <w:t>Product background</w:t>
        </w:r>
        <w:r w:rsidR="00890546">
          <w:rPr>
            <w:noProof/>
            <w:webHidden/>
          </w:rPr>
          <w:tab/>
        </w:r>
        <w:r w:rsidR="00890546">
          <w:rPr>
            <w:noProof/>
            <w:webHidden/>
          </w:rPr>
          <w:fldChar w:fldCharType="begin"/>
        </w:r>
        <w:r w:rsidR="00890546">
          <w:rPr>
            <w:noProof/>
            <w:webHidden/>
          </w:rPr>
          <w:instrText xml:space="preserve"> PAGEREF _Toc396298043 \h </w:instrText>
        </w:r>
        <w:r w:rsidR="00890546">
          <w:rPr>
            <w:noProof/>
            <w:webHidden/>
          </w:rPr>
        </w:r>
        <w:r w:rsidR="00890546">
          <w:rPr>
            <w:noProof/>
            <w:webHidden/>
          </w:rPr>
          <w:fldChar w:fldCharType="separate"/>
        </w:r>
        <w:r w:rsidR="00890546">
          <w:rPr>
            <w:noProof/>
            <w:webHidden/>
          </w:rPr>
          <w:t>6</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44" w:history="1">
        <w:r w:rsidR="00890546" w:rsidRPr="00533858">
          <w:rPr>
            <w:rStyle w:val="Hyperlink"/>
            <w:noProof/>
          </w:rPr>
          <w:t>Regulatory status</w:t>
        </w:r>
        <w:r w:rsidR="00890546">
          <w:rPr>
            <w:noProof/>
            <w:webHidden/>
          </w:rPr>
          <w:tab/>
        </w:r>
        <w:r w:rsidR="00890546">
          <w:rPr>
            <w:noProof/>
            <w:webHidden/>
          </w:rPr>
          <w:fldChar w:fldCharType="begin"/>
        </w:r>
        <w:r w:rsidR="00890546">
          <w:rPr>
            <w:noProof/>
            <w:webHidden/>
          </w:rPr>
          <w:instrText xml:space="preserve"> PAGEREF _Toc396298044 \h </w:instrText>
        </w:r>
        <w:r w:rsidR="00890546">
          <w:rPr>
            <w:noProof/>
            <w:webHidden/>
          </w:rPr>
        </w:r>
        <w:r w:rsidR="00890546">
          <w:rPr>
            <w:noProof/>
            <w:webHidden/>
          </w:rPr>
          <w:fldChar w:fldCharType="separate"/>
        </w:r>
        <w:r w:rsidR="00890546">
          <w:rPr>
            <w:noProof/>
            <w:webHidden/>
          </w:rPr>
          <w:t>7</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45" w:history="1">
        <w:r w:rsidR="00890546" w:rsidRPr="00533858">
          <w:rPr>
            <w:rStyle w:val="Hyperlink"/>
            <w:noProof/>
          </w:rPr>
          <w:t>Product information</w:t>
        </w:r>
        <w:r w:rsidR="00890546">
          <w:rPr>
            <w:noProof/>
            <w:webHidden/>
          </w:rPr>
          <w:tab/>
        </w:r>
        <w:r w:rsidR="00890546">
          <w:rPr>
            <w:noProof/>
            <w:webHidden/>
          </w:rPr>
          <w:fldChar w:fldCharType="begin"/>
        </w:r>
        <w:r w:rsidR="00890546">
          <w:rPr>
            <w:noProof/>
            <w:webHidden/>
          </w:rPr>
          <w:instrText xml:space="preserve"> PAGEREF _Toc396298045 \h </w:instrText>
        </w:r>
        <w:r w:rsidR="00890546">
          <w:rPr>
            <w:noProof/>
            <w:webHidden/>
          </w:rPr>
        </w:r>
        <w:r w:rsidR="00890546">
          <w:rPr>
            <w:noProof/>
            <w:webHidden/>
          </w:rPr>
          <w:fldChar w:fldCharType="separate"/>
        </w:r>
        <w:r w:rsidR="00890546">
          <w:rPr>
            <w:noProof/>
            <w:webHidden/>
          </w:rPr>
          <w:t>7</w:t>
        </w:r>
        <w:r w:rsidR="00890546">
          <w:rPr>
            <w:noProof/>
            <w:webHidden/>
          </w:rPr>
          <w:fldChar w:fldCharType="end"/>
        </w:r>
      </w:hyperlink>
    </w:p>
    <w:p w:rsidR="00890546" w:rsidRDefault="00AC07AF">
      <w:pPr>
        <w:pStyle w:val="TOC2"/>
        <w:rPr>
          <w:rFonts w:asciiTheme="minorHAnsi" w:eastAsiaTheme="minorEastAsia" w:hAnsiTheme="minorHAnsi" w:cstheme="minorBidi"/>
          <w:b w:val="0"/>
          <w:noProof/>
          <w:sz w:val="22"/>
          <w:lang w:eastAsia="en-AU"/>
        </w:rPr>
      </w:pPr>
      <w:hyperlink w:anchor="_Toc396298046" w:history="1">
        <w:r w:rsidR="00890546" w:rsidRPr="00533858">
          <w:rPr>
            <w:rStyle w:val="Hyperlink"/>
            <w:noProof/>
          </w:rPr>
          <w:t>II. Quality findings</w:t>
        </w:r>
        <w:r w:rsidR="00890546">
          <w:rPr>
            <w:noProof/>
            <w:webHidden/>
          </w:rPr>
          <w:tab/>
        </w:r>
        <w:r w:rsidR="00890546">
          <w:rPr>
            <w:noProof/>
            <w:webHidden/>
          </w:rPr>
          <w:fldChar w:fldCharType="begin"/>
        </w:r>
        <w:r w:rsidR="00890546">
          <w:rPr>
            <w:noProof/>
            <w:webHidden/>
          </w:rPr>
          <w:instrText xml:space="preserve"> PAGEREF _Toc396298046 \h </w:instrText>
        </w:r>
        <w:r w:rsidR="00890546">
          <w:rPr>
            <w:noProof/>
            <w:webHidden/>
          </w:rPr>
        </w:r>
        <w:r w:rsidR="00890546">
          <w:rPr>
            <w:noProof/>
            <w:webHidden/>
          </w:rPr>
          <w:fldChar w:fldCharType="separate"/>
        </w:r>
        <w:r w:rsidR="00890546">
          <w:rPr>
            <w:noProof/>
            <w:webHidden/>
          </w:rPr>
          <w:t>8</w:t>
        </w:r>
        <w:r w:rsidR="00890546">
          <w:rPr>
            <w:noProof/>
            <w:webHidden/>
          </w:rPr>
          <w:fldChar w:fldCharType="end"/>
        </w:r>
      </w:hyperlink>
    </w:p>
    <w:p w:rsidR="00890546" w:rsidRDefault="00AC07AF">
      <w:pPr>
        <w:pStyle w:val="TOC2"/>
        <w:rPr>
          <w:rFonts w:asciiTheme="minorHAnsi" w:eastAsiaTheme="minorEastAsia" w:hAnsiTheme="minorHAnsi" w:cstheme="minorBidi"/>
          <w:b w:val="0"/>
          <w:noProof/>
          <w:sz w:val="22"/>
          <w:lang w:eastAsia="en-AU"/>
        </w:rPr>
      </w:pPr>
      <w:hyperlink w:anchor="_Toc396298047" w:history="1">
        <w:r w:rsidR="00890546" w:rsidRPr="00533858">
          <w:rPr>
            <w:rStyle w:val="Hyperlink"/>
            <w:noProof/>
          </w:rPr>
          <w:t>III. Nonclinical findings</w:t>
        </w:r>
        <w:r w:rsidR="00890546">
          <w:rPr>
            <w:noProof/>
            <w:webHidden/>
          </w:rPr>
          <w:tab/>
        </w:r>
        <w:r w:rsidR="00890546">
          <w:rPr>
            <w:noProof/>
            <w:webHidden/>
          </w:rPr>
          <w:fldChar w:fldCharType="begin"/>
        </w:r>
        <w:r w:rsidR="00890546">
          <w:rPr>
            <w:noProof/>
            <w:webHidden/>
          </w:rPr>
          <w:instrText xml:space="preserve"> PAGEREF _Toc396298047 \h </w:instrText>
        </w:r>
        <w:r w:rsidR="00890546">
          <w:rPr>
            <w:noProof/>
            <w:webHidden/>
          </w:rPr>
        </w:r>
        <w:r w:rsidR="00890546">
          <w:rPr>
            <w:noProof/>
            <w:webHidden/>
          </w:rPr>
          <w:fldChar w:fldCharType="separate"/>
        </w:r>
        <w:r w:rsidR="00890546">
          <w:rPr>
            <w:noProof/>
            <w:webHidden/>
          </w:rPr>
          <w:t>8</w:t>
        </w:r>
        <w:r w:rsidR="00890546">
          <w:rPr>
            <w:noProof/>
            <w:webHidden/>
          </w:rPr>
          <w:fldChar w:fldCharType="end"/>
        </w:r>
      </w:hyperlink>
    </w:p>
    <w:p w:rsidR="00890546" w:rsidRDefault="00AC07AF">
      <w:pPr>
        <w:pStyle w:val="TOC2"/>
        <w:rPr>
          <w:rFonts w:asciiTheme="minorHAnsi" w:eastAsiaTheme="minorEastAsia" w:hAnsiTheme="minorHAnsi" w:cstheme="minorBidi"/>
          <w:b w:val="0"/>
          <w:noProof/>
          <w:sz w:val="22"/>
          <w:lang w:eastAsia="en-AU"/>
        </w:rPr>
      </w:pPr>
      <w:hyperlink w:anchor="_Toc396298048" w:history="1">
        <w:r w:rsidR="00890546" w:rsidRPr="00533858">
          <w:rPr>
            <w:rStyle w:val="Hyperlink"/>
            <w:noProof/>
          </w:rPr>
          <w:t>IV. Clinical findings</w:t>
        </w:r>
        <w:r w:rsidR="00890546">
          <w:rPr>
            <w:noProof/>
            <w:webHidden/>
          </w:rPr>
          <w:tab/>
        </w:r>
        <w:r w:rsidR="00890546">
          <w:rPr>
            <w:noProof/>
            <w:webHidden/>
          </w:rPr>
          <w:fldChar w:fldCharType="begin"/>
        </w:r>
        <w:r w:rsidR="00890546">
          <w:rPr>
            <w:noProof/>
            <w:webHidden/>
          </w:rPr>
          <w:instrText xml:space="preserve"> PAGEREF _Toc396298048 \h </w:instrText>
        </w:r>
        <w:r w:rsidR="00890546">
          <w:rPr>
            <w:noProof/>
            <w:webHidden/>
          </w:rPr>
        </w:r>
        <w:r w:rsidR="00890546">
          <w:rPr>
            <w:noProof/>
            <w:webHidden/>
          </w:rPr>
          <w:fldChar w:fldCharType="separate"/>
        </w:r>
        <w:r w:rsidR="00890546">
          <w:rPr>
            <w:noProof/>
            <w:webHidden/>
          </w:rPr>
          <w:t>8</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49" w:history="1">
        <w:r w:rsidR="00890546" w:rsidRPr="00533858">
          <w:rPr>
            <w:rStyle w:val="Hyperlink"/>
            <w:noProof/>
          </w:rPr>
          <w:t>Introduction</w:t>
        </w:r>
        <w:r w:rsidR="00890546">
          <w:rPr>
            <w:noProof/>
            <w:webHidden/>
          </w:rPr>
          <w:tab/>
        </w:r>
        <w:r w:rsidR="00890546">
          <w:rPr>
            <w:noProof/>
            <w:webHidden/>
          </w:rPr>
          <w:fldChar w:fldCharType="begin"/>
        </w:r>
        <w:r w:rsidR="00890546">
          <w:rPr>
            <w:noProof/>
            <w:webHidden/>
          </w:rPr>
          <w:instrText xml:space="preserve"> PAGEREF _Toc396298049 \h </w:instrText>
        </w:r>
        <w:r w:rsidR="00890546">
          <w:rPr>
            <w:noProof/>
            <w:webHidden/>
          </w:rPr>
        </w:r>
        <w:r w:rsidR="00890546">
          <w:rPr>
            <w:noProof/>
            <w:webHidden/>
          </w:rPr>
          <w:fldChar w:fldCharType="separate"/>
        </w:r>
        <w:r w:rsidR="00890546">
          <w:rPr>
            <w:noProof/>
            <w:webHidden/>
          </w:rPr>
          <w:t>8</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50" w:history="1">
        <w:r w:rsidR="00890546" w:rsidRPr="00533858">
          <w:rPr>
            <w:rStyle w:val="Hyperlink"/>
            <w:noProof/>
          </w:rPr>
          <w:t>Pharmacokinetics</w:t>
        </w:r>
        <w:r w:rsidR="00890546">
          <w:rPr>
            <w:noProof/>
            <w:webHidden/>
          </w:rPr>
          <w:tab/>
        </w:r>
        <w:r w:rsidR="00890546">
          <w:rPr>
            <w:noProof/>
            <w:webHidden/>
          </w:rPr>
          <w:fldChar w:fldCharType="begin"/>
        </w:r>
        <w:r w:rsidR="00890546">
          <w:rPr>
            <w:noProof/>
            <w:webHidden/>
          </w:rPr>
          <w:instrText xml:space="preserve"> PAGEREF _Toc396298050 \h </w:instrText>
        </w:r>
        <w:r w:rsidR="00890546">
          <w:rPr>
            <w:noProof/>
            <w:webHidden/>
          </w:rPr>
        </w:r>
        <w:r w:rsidR="00890546">
          <w:rPr>
            <w:noProof/>
            <w:webHidden/>
          </w:rPr>
          <w:fldChar w:fldCharType="separate"/>
        </w:r>
        <w:r w:rsidR="00890546">
          <w:rPr>
            <w:noProof/>
            <w:webHidden/>
          </w:rPr>
          <w:t>9</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51" w:history="1">
        <w:r w:rsidR="00890546" w:rsidRPr="00533858">
          <w:rPr>
            <w:rStyle w:val="Hyperlink"/>
            <w:noProof/>
          </w:rPr>
          <w:t>Pharmacodynamics</w:t>
        </w:r>
        <w:r w:rsidR="00890546">
          <w:rPr>
            <w:noProof/>
            <w:webHidden/>
          </w:rPr>
          <w:tab/>
        </w:r>
        <w:r w:rsidR="00890546">
          <w:rPr>
            <w:noProof/>
            <w:webHidden/>
          </w:rPr>
          <w:fldChar w:fldCharType="begin"/>
        </w:r>
        <w:r w:rsidR="00890546">
          <w:rPr>
            <w:noProof/>
            <w:webHidden/>
          </w:rPr>
          <w:instrText xml:space="preserve"> PAGEREF _Toc396298051 \h </w:instrText>
        </w:r>
        <w:r w:rsidR="00890546">
          <w:rPr>
            <w:noProof/>
            <w:webHidden/>
          </w:rPr>
        </w:r>
        <w:r w:rsidR="00890546">
          <w:rPr>
            <w:noProof/>
            <w:webHidden/>
          </w:rPr>
          <w:fldChar w:fldCharType="separate"/>
        </w:r>
        <w:r w:rsidR="00890546">
          <w:rPr>
            <w:noProof/>
            <w:webHidden/>
          </w:rPr>
          <w:t>10</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52" w:history="1">
        <w:r w:rsidR="00890546" w:rsidRPr="00533858">
          <w:rPr>
            <w:rStyle w:val="Hyperlink"/>
            <w:noProof/>
          </w:rPr>
          <w:t>Dosage selection for the pivotal studies</w:t>
        </w:r>
        <w:r w:rsidR="00890546">
          <w:rPr>
            <w:noProof/>
            <w:webHidden/>
          </w:rPr>
          <w:tab/>
        </w:r>
        <w:r w:rsidR="00890546">
          <w:rPr>
            <w:noProof/>
            <w:webHidden/>
          </w:rPr>
          <w:fldChar w:fldCharType="begin"/>
        </w:r>
        <w:r w:rsidR="00890546">
          <w:rPr>
            <w:noProof/>
            <w:webHidden/>
          </w:rPr>
          <w:instrText xml:space="preserve"> PAGEREF _Toc396298052 \h </w:instrText>
        </w:r>
        <w:r w:rsidR="00890546">
          <w:rPr>
            <w:noProof/>
            <w:webHidden/>
          </w:rPr>
        </w:r>
        <w:r w:rsidR="00890546">
          <w:rPr>
            <w:noProof/>
            <w:webHidden/>
          </w:rPr>
          <w:fldChar w:fldCharType="separate"/>
        </w:r>
        <w:r w:rsidR="00890546">
          <w:rPr>
            <w:noProof/>
            <w:webHidden/>
          </w:rPr>
          <w:t>10</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53" w:history="1">
        <w:r w:rsidR="00890546" w:rsidRPr="00533858">
          <w:rPr>
            <w:rStyle w:val="Hyperlink"/>
            <w:noProof/>
          </w:rPr>
          <w:t>Efficacy</w:t>
        </w:r>
        <w:r w:rsidR="00890546">
          <w:rPr>
            <w:noProof/>
            <w:webHidden/>
          </w:rPr>
          <w:tab/>
        </w:r>
        <w:r w:rsidR="00890546">
          <w:rPr>
            <w:noProof/>
            <w:webHidden/>
          </w:rPr>
          <w:fldChar w:fldCharType="begin"/>
        </w:r>
        <w:r w:rsidR="00890546">
          <w:rPr>
            <w:noProof/>
            <w:webHidden/>
          </w:rPr>
          <w:instrText xml:space="preserve"> PAGEREF _Toc396298053 \h </w:instrText>
        </w:r>
        <w:r w:rsidR="00890546">
          <w:rPr>
            <w:noProof/>
            <w:webHidden/>
          </w:rPr>
        </w:r>
        <w:r w:rsidR="00890546">
          <w:rPr>
            <w:noProof/>
            <w:webHidden/>
          </w:rPr>
          <w:fldChar w:fldCharType="separate"/>
        </w:r>
        <w:r w:rsidR="00890546">
          <w:rPr>
            <w:noProof/>
            <w:webHidden/>
          </w:rPr>
          <w:t>10</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54" w:history="1">
        <w:r w:rsidR="00890546" w:rsidRPr="00533858">
          <w:rPr>
            <w:rStyle w:val="Hyperlink"/>
            <w:noProof/>
          </w:rPr>
          <w:t>Safety</w:t>
        </w:r>
        <w:r w:rsidR="00890546">
          <w:rPr>
            <w:noProof/>
            <w:webHidden/>
          </w:rPr>
          <w:tab/>
        </w:r>
        <w:r w:rsidR="00890546">
          <w:rPr>
            <w:noProof/>
            <w:webHidden/>
          </w:rPr>
          <w:fldChar w:fldCharType="begin"/>
        </w:r>
        <w:r w:rsidR="00890546">
          <w:rPr>
            <w:noProof/>
            <w:webHidden/>
          </w:rPr>
          <w:instrText xml:space="preserve"> PAGEREF _Toc396298054 \h </w:instrText>
        </w:r>
        <w:r w:rsidR="00890546">
          <w:rPr>
            <w:noProof/>
            <w:webHidden/>
          </w:rPr>
        </w:r>
        <w:r w:rsidR="00890546">
          <w:rPr>
            <w:noProof/>
            <w:webHidden/>
          </w:rPr>
          <w:fldChar w:fldCharType="separate"/>
        </w:r>
        <w:r w:rsidR="00890546">
          <w:rPr>
            <w:noProof/>
            <w:webHidden/>
          </w:rPr>
          <w:t>11</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55" w:history="1">
        <w:r w:rsidR="00890546" w:rsidRPr="00533858">
          <w:rPr>
            <w:rStyle w:val="Hyperlink"/>
            <w:noProof/>
          </w:rPr>
          <w:t>First round benefit-risk assessment</w:t>
        </w:r>
        <w:r w:rsidR="00890546">
          <w:rPr>
            <w:noProof/>
            <w:webHidden/>
          </w:rPr>
          <w:tab/>
        </w:r>
        <w:r w:rsidR="00890546">
          <w:rPr>
            <w:noProof/>
            <w:webHidden/>
          </w:rPr>
          <w:fldChar w:fldCharType="begin"/>
        </w:r>
        <w:r w:rsidR="00890546">
          <w:rPr>
            <w:noProof/>
            <w:webHidden/>
          </w:rPr>
          <w:instrText xml:space="preserve"> PAGEREF _Toc396298055 \h </w:instrText>
        </w:r>
        <w:r w:rsidR="00890546">
          <w:rPr>
            <w:noProof/>
            <w:webHidden/>
          </w:rPr>
        </w:r>
        <w:r w:rsidR="00890546">
          <w:rPr>
            <w:noProof/>
            <w:webHidden/>
          </w:rPr>
          <w:fldChar w:fldCharType="separate"/>
        </w:r>
        <w:r w:rsidR="00890546">
          <w:rPr>
            <w:noProof/>
            <w:webHidden/>
          </w:rPr>
          <w:t>13</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56" w:history="1">
        <w:r w:rsidR="00890546" w:rsidRPr="00533858">
          <w:rPr>
            <w:rStyle w:val="Hyperlink"/>
            <w:noProof/>
          </w:rPr>
          <w:t>First round recommendation regarding authorisation</w:t>
        </w:r>
        <w:r w:rsidR="00890546">
          <w:rPr>
            <w:noProof/>
            <w:webHidden/>
          </w:rPr>
          <w:tab/>
        </w:r>
        <w:r w:rsidR="00890546">
          <w:rPr>
            <w:noProof/>
            <w:webHidden/>
          </w:rPr>
          <w:fldChar w:fldCharType="begin"/>
        </w:r>
        <w:r w:rsidR="00890546">
          <w:rPr>
            <w:noProof/>
            <w:webHidden/>
          </w:rPr>
          <w:instrText xml:space="preserve"> PAGEREF _Toc396298056 \h </w:instrText>
        </w:r>
        <w:r w:rsidR="00890546">
          <w:rPr>
            <w:noProof/>
            <w:webHidden/>
          </w:rPr>
        </w:r>
        <w:r w:rsidR="00890546">
          <w:rPr>
            <w:noProof/>
            <w:webHidden/>
          </w:rPr>
          <w:fldChar w:fldCharType="separate"/>
        </w:r>
        <w:r w:rsidR="00890546">
          <w:rPr>
            <w:noProof/>
            <w:webHidden/>
          </w:rPr>
          <w:t>15</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57" w:history="1">
        <w:r w:rsidR="00890546" w:rsidRPr="00533858">
          <w:rPr>
            <w:rStyle w:val="Hyperlink"/>
            <w:noProof/>
          </w:rPr>
          <w:t>Clinical questions</w:t>
        </w:r>
        <w:r w:rsidR="00890546">
          <w:rPr>
            <w:noProof/>
            <w:webHidden/>
          </w:rPr>
          <w:tab/>
        </w:r>
        <w:r w:rsidR="00890546">
          <w:rPr>
            <w:noProof/>
            <w:webHidden/>
          </w:rPr>
          <w:fldChar w:fldCharType="begin"/>
        </w:r>
        <w:r w:rsidR="00890546">
          <w:rPr>
            <w:noProof/>
            <w:webHidden/>
          </w:rPr>
          <w:instrText xml:space="preserve"> PAGEREF _Toc396298057 \h </w:instrText>
        </w:r>
        <w:r w:rsidR="00890546">
          <w:rPr>
            <w:noProof/>
            <w:webHidden/>
          </w:rPr>
        </w:r>
        <w:r w:rsidR="00890546">
          <w:rPr>
            <w:noProof/>
            <w:webHidden/>
          </w:rPr>
          <w:fldChar w:fldCharType="separate"/>
        </w:r>
        <w:r w:rsidR="00890546">
          <w:rPr>
            <w:noProof/>
            <w:webHidden/>
          </w:rPr>
          <w:t>15</w:t>
        </w:r>
        <w:r w:rsidR="00890546">
          <w:rPr>
            <w:noProof/>
            <w:webHidden/>
          </w:rPr>
          <w:fldChar w:fldCharType="end"/>
        </w:r>
      </w:hyperlink>
    </w:p>
    <w:p w:rsidR="00890546" w:rsidRDefault="00AC07AF">
      <w:pPr>
        <w:pStyle w:val="TOC2"/>
        <w:rPr>
          <w:rFonts w:asciiTheme="minorHAnsi" w:eastAsiaTheme="minorEastAsia" w:hAnsiTheme="minorHAnsi" w:cstheme="minorBidi"/>
          <w:b w:val="0"/>
          <w:noProof/>
          <w:sz w:val="22"/>
          <w:lang w:eastAsia="en-AU"/>
        </w:rPr>
      </w:pPr>
      <w:hyperlink w:anchor="_Toc396298058" w:history="1">
        <w:r w:rsidR="00890546" w:rsidRPr="00533858">
          <w:rPr>
            <w:rStyle w:val="Hyperlink"/>
            <w:noProof/>
          </w:rPr>
          <w:t>V. Pharmacovigilance findings</w:t>
        </w:r>
        <w:r w:rsidR="00890546">
          <w:rPr>
            <w:noProof/>
            <w:webHidden/>
          </w:rPr>
          <w:tab/>
        </w:r>
        <w:r w:rsidR="00890546">
          <w:rPr>
            <w:noProof/>
            <w:webHidden/>
          </w:rPr>
          <w:fldChar w:fldCharType="begin"/>
        </w:r>
        <w:r w:rsidR="00890546">
          <w:rPr>
            <w:noProof/>
            <w:webHidden/>
          </w:rPr>
          <w:instrText xml:space="preserve"> PAGEREF _Toc396298058 \h </w:instrText>
        </w:r>
        <w:r w:rsidR="00890546">
          <w:rPr>
            <w:noProof/>
            <w:webHidden/>
          </w:rPr>
        </w:r>
        <w:r w:rsidR="00890546">
          <w:rPr>
            <w:noProof/>
            <w:webHidden/>
          </w:rPr>
          <w:fldChar w:fldCharType="separate"/>
        </w:r>
        <w:r w:rsidR="00890546">
          <w:rPr>
            <w:noProof/>
            <w:webHidden/>
          </w:rPr>
          <w:t>15</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59" w:history="1">
        <w:r w:rsidR="00890546" w:rsidRPr="00533858">
          <w:rPr>
            <w:rStyle w:val="Hyperlink"/>
            <w:noProof/>
            <w:lang w:eastAsia="en-AU"/>
          </w:rPr>
          <w:t>Risk management plan</w:t>
        </w:r>
        <w:r w:rsidR="00890546">
          <w:rPr>
            <w:noProof/>
            <w:webHidden/>
          </w:rPr>
          <w:tab/>
        </w:r>
        <w:r w:rsidR="00890546">
          <w:rPr>
            <w:noProof/>
            <w:webHidden/>
          </w:rPr>
          <w:fldChar w:fldCharType="begin"/>
        </w:r>
        <w:r w:rsidR="00890546">
          <w:rPr>
            <w:noProof/>
            <w:webHidden/>
          </w:rPr>
          <w:instrText xml:space="preserve"> PAGEREF _Toc396298059 \h </w:instrText>
        </w:r>
        <w:r w:rsidR="00890546">
          <w:rPr>
            <w:noProof/>
            <w:webHidden/>
          </w:rPr>
        </w:r>
        <w:r w:rsidR="00890546">
          <w:rPr>
            <w:noProof/>
            <w:webHidden/>
          </w:rPr>
          <w:fldChar w:fldCharType="separate"/>
        </w:r>
        <w:r w:rsidR="00890546">
          <w:rPr>
            <w:noProof/>
            <w:webHidden/>
          </w:rPr>
          <w:t>15</w:t>
        </w:r>
        <w:r w:rsidR="00890546">
          <w:rPr>
            <w:noProof/>
            <w:webHidden/>
          </w:rPr>
          <w:fldChar w:fldCharType="end"/>
        </w:r>
      </w:hyperlink>
    </w:p>
    <w:p w:rsidR="00890546" w:rsidRDefault="00AC07AF">
      <w:pPr>
        <w:pStyle w:val="TOC2"/>
        <w:rPr>
          <w:rFonts w:asciiTheme="minorHAnsi" w:eastAsiaTheme="minorEastAsia" w:hAnsiTheme="minorHAnsi" w:cstheme="minorBidi"/>
          <w:b w:val="0"/>
          <w:noProof/>
          <w:sz w:val="22"/>
          <w:lang w:eastAsia="en-AU"/>
        </w:rPr>
      </w:pPr>
      <w:hyperlink w:anchor="_Toc396298060" w:history="1">
        <w:r w:rsidR="00890546" w:rsidRPr="00533858">
          <w:rPr>
            <w:rStyle w:val="Hyperlink"/>
            <w:noProof/>
          </w:rPr>
          <w:t>VI. Overall conclusion and risk/benefit assessment</w:t>
        </w:r>
        <w:r w:rsidR="00890546">
          <w:rPr>
            <w:noProof/>
            <w:webHidden/>
          </w:rPr>
          <w:tab/>
        </w:r>
        <w:r w:rsidR="00890546">
          <w:rPr>
            <w:noProof/>
            <w:webHidden/>
          </w:rPr>
          <w:fldChar w:fldCharType="begin"/>
        </w:r>
        <w:r w:rsidR="00890546">
          <w:rPr>
            <w:noProof/>
            <w:webHidden/>
          </w:rPr>
          <w:instrText xml:space="preserve"> PAGEREF _Toc396298060 \h </w:instrText>
        </w:r>
        <w:r w:rsidR="00890546">
          <w:rPr>
            <w:noProof/>
            <w:webHidden/>
          </w:rPr>
        </w:r>
        <w:r w:rsidR="00890546">
          <w:rPr>
            <w:noProof/>
            <w:webHidden/>
          </w:rPr>
          <w:fldChar w:fldCharType="separate"/>
        </w:r>
        <w:r w:rsidR="00890546">
          <w:rPr>
            <w:noProof/>
            <w:webHidden/>
          </w:rPr>
          <w:t>20</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61" w:history="1">
        <w:r w:rsidR="00890546" w:rsidRPr="00533858">
          <w:rPr>
            <w:rStyle w:val="Hyperlink"/>
            <w:noProof/>
          </w:rPr>
          <w:t>Quality</w:t>
        </w:r>
        <w:r w:rsidR="00890546">
          <w:rPr>
            <w:noProof/>
            <w:webHidden/>
          </w:rPr>
          <w:tab/>
        </w:r>
        <w:r w:rsidR="00890546">
          <w:rPr>
            <w:noProof/>
            <w:webHidden/>
          </w:rPr>
          <w:fldChar w:fldCharType="begin"/>
        </w:r>
        <w:r w:rsidR="00890546">
          <w:rPr>
            <w:noProof/>
            <w:webHidden/>
          </w:rPr>
          <w:instrText xml:space="preserve"> PAGEREF _Toc396298061 \h </w:instrText>
        </w:r>
        <w:r w:rsidR="00890546">
          <w:rPr>
            <w:noProof/>
            <w:webHidden/>
          </w:rPr>
        </w:r>
        <w:r w:rsidR="00890546">
          <w:rPr>
            <w:noProof/>
            <w:webHidden/>
          </w:rPr>
          <w:fldChar w:fldCharType="separate"/>
        </w:r>
        <w:r w:rsidR="00890546">
          <w:rPr>
            <w:noProof/>
            <w:webHidden/>
          </w:rPr>
          <w:t>20</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62" w:history="1">
        <w:r w:rsidR="00890546" w:rsidRPr="00533858">
          <w:rPr>
            <w:rStyle w:val="Hyperlink"/>
            <w:noProof/>
          </w:rPr>
          <w:t>Nonclinical</w:t>
        </w:r>
        <w:r w:rsidR="00890546">
          <w:rPr>
            <w:noProof/>
            <w:webHidden/>
          </w:rPr>
          <w:tab/>
        </w:r>
        <w:r w:rsidR="00890546">
          <w:rPr>
            <w:noProof/>
            <w:webHidden/>
          </w:rPr>
          <w:fldChar w:fldCharType="begin"/>
        </w:r>
        <w:r w:rsidR="00890546">
          <w:rPr>
            <w:noProof/>
            <w:webHidden/>
          </w:rPr>
          <w:instrText xml:space="preserve"> PAGEREF _Toc396298062 \h </w:instrText>
        </w:r>
        <w:r w:rsidR="00890546">
          <w:rPr>
            <w:noProof/>
            <w:webHidden/>
          </w:rPr>
        </w:r>
        <w:r w:rsidR="00890546">
          <w:rPr>
            <w:noProof/>
            <w:webHidden/>
          </w:rPr>
          <w:fldChar w:fldCharType="separate"/>
        </w:r>
        <w:r w:rsidR="00890546">
          <w:rPr>
            <w:noProof/>
            <w:webHidden/>
          </w:rPr>
          <w:t>20</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63" w:history="1">
        <w:r w:rsidR="00890546" w:rsidRPr="00533858">
          <w:rPr>
            <w:rStyle w:val="Hyperlink"/>
            <w:noProof/>
          </w:rPr>
          <w:t>Clinical</w:t>
        </w:r>
        <w:r w:rsidR="00890546">
          <w:rPr>
            <w:noProof/>
            <w:webHidden/>
          </w:rPr>
          <w:tab/>
        </w:r>
        <w:r w:rsidR="00890546">
          <w:rPr>
            <w:noProof/>
            <w:webHidden/>
          </w:rPr>
          <w:fldChar w:fldCharType="begin"/>
        </w:r>
        <w:r w:rsidR="00890546">
          <w:rPr>
            <w:noProof/>
            <w:webHidden/>
          </w:rPr>
          <w:instrText xml:space="preserve"> PAGEREF _Toc396298063 \h </w:instrText>
        </w:r>
        <w:r w:rsidR="00890546">
          <w:rPr>
            <w:noProof/>
            <w:webHidden/>
          </w:rPr>
        </w:r>
        <w:r w:rsidR="00890546">
          <w:rPr>
            <w:noProof/>
            <w:webHidden/>
          </w:rPr>
          <w:fldChar w:fldCharType="separate"/>
        </w:r>
        <w:r w:rsidR="00890546">
          <w:rPr>
            <w:noProof/>
            <w:webHidden/>
          </w:rPr>
          <w:t>20</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64" w:history="1">
        <w:r w:rsidR="00890546" w:rsidRPr="00533858">
          <w:rPr>
            <w:rStyle w:val="Hyperlink"/>
            <w:noProof/>
            <w:lang w:eastAsia="en-AU"/>
          </w:rPr>
          <w:t>Risk management plan</w:t>
        </w:r>
        <w:r w:rsidR="00890546">
          <w:rPr>
            <w:noProof/>
            <w:webHidden/>
          </w:rPr>
          <w:tab/>
        </w:r>
        <w:r w:rsidR="00890546">
          <w:rPr>
            <w:noProof/>
            <w:webHidden/>
          </w:rPr>
          <w:fldChar w:fldCharType="begin"/>
        </w:r>
        <w:r w:rsidR="00890546">
          <w:rPr>
            <w:noProof/>
            <w:webHidden/>
          </w:rPr>
          <w:instrText xml:space="preserve"> PAGEREF _Toc396298064 \h </w:instrText>
        </w:r>
        <w:r w:rsidR="00890546">
          <w:rPr>
            <w:noProof/>
            <w:webHidden/>
          </w:rPr>
        </w:r>
        <w:r w:rsidR="00890546">
          <w:rPr>
            <w:noProof/>
            <w:webHidden/>
          </w:rPr>
          <w:fldChar w:fldCharType="separate"/>
        </w:r>
        <w:r w:rsidR="00890546">
          <w:rPr>
            <w:noProof/>
            <w:webHidden/>
          </w:rPr>
          <w:t>24</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65" w:history="1">
        <w:r w:rsidR="00890546" w:rsidRPr="00533858">
          <w:rPr>
            <w:rStyle w:val="Hyperlink"/>
            <w:noProof/>
          </w:rPr>
          <w:t>Risk-benefit analysis</w:t>
        </w:r>
        <w:r w:rsidR="00890546">
          <w:rPr>
            <w:noProof/>
            <w:webHidden/>
          </w:rPr>
          <w:tab/>
        </w:r>
        <w:r w:rsidR="00890546">
          <w:rPr>
            <w:noProof/>
            <w:webHidden/>
          </w:rPr>
          <w:fldChar w:fldCharType="begin"/>
        </w:r>
        <w:r w:rsidR="00890546">
          <w:rPr>
            <w:noProof/>
            <w:webHidden/>
          </w:rPr>
          <w:instrText xml:space="preserve"> PAGEREF _Toc396298065 \h </w:instrText>
        </w:r>
        <w:r w:rsidR="00890546">
          <w:rPr>
            <w:noProof/>
            <w:webHidden/>
          </w:rPr>
        </w:r>
        <w:r w:rsidR="00890546">
          <w:rPr>
            <w:noProof/>
            <w:webHidden/>
          </w:rPr>
          <w:fldChar w:fldCharType="separate"/>
        </w:r>
        <w:r w:rsidR="00890546">
          <w:rPr>
            <w:noProof/>
            <w:webHidden/>
          </w:rPr>
          <w:t>24</w:t>
        </w:r>
        <w:r w:rsidR="00890546">
          <w:rPr>
            <w:noProof/>
            <w:webHidden/>
          </w:rPr>
          <w:fldChar w:fldCharType="end"/>
        </w:r>
      </w:hyperlink>
    </w:p>
    <w:p w:rsidR="00890546" w:rsidRDefault="00AC07AF">
      <w:pPr>
        <w:pStyle w:val="TOC3"/>
        <w:rPr>
          <w:rFonts w:asciiTheme="minorHAnsi" w:eastAsiaTheme="minorEastAsia" w:hAnsiTheme="minorHAnsi" w:cstheme="minorBidi"/>
          <w:noProof/>
          <w:lang w:eastAsia="en-AU"/>
        </w:rPr>
      </w:pPr>
      <w:hyperlink w:anchor="_Toc396298066" w:history="1">
        <w:r w:rsidR="00890546" w:rsidRPr="00533858">
          <w:rPr>
            <w:rStyle w:val="Hyperlink"/>
            <w:noProof/>
          </w:rPr>
          <w:t>Outcome</w:t>
        </w:r>
        <w:r w:rsidR="00890546">
          <w:rPr>
            <w:noProof/>
            <w:webHidden/>
          </w:rPr>
          <w:tab/>
        </w:r>
        <w:r w:rsidR="00890546">
          <w:rPr>
            <w:noProof/>
            <w:webHidden/>
          </w:rPr>
          <w:fldChar w:fldCharType="begin"/>
        </w:r>
        <w:r w:rsidR="00890546">
          <w:rPr>
            <w:noProof/>
            <w:webHidden/>
          </w:rPr>
          <w:instrText xml:space="preserve"> PAGEREF _Toc396298066 \h </w:instrText>
        </w:r>
        <w:r w:rsidR="00890546">
          <w:rPr>
            <w:noProof/>
            <w:webHidden/>
          </w:rPr>
        </w:r>
        <w:r w:rsidR="00890546">
          <w:rPr>
            <w:noProof/>
            <w:webHidden/>
          </w:rPr>
          <w:fldChar w:fldCharType="separate"/>
        </w:r>
        <w:r w:rsidR="00890546">
          <w:rPr>
            <w:noProof/>
            <w:webHidden/>
          </w:rPr>
          <w:t>29</w:t>
        </w:r>
        <w:r w:rsidR="00890546">
          <w:rPr>
            <w:noProof/>
            <w:webHidden/>
          </w:rPr>
          <w:fldChar w:fldCharType="end"/>
        </w:r>
      </w:hyperlink>
    </w:p>
    <w:p w:rsidR="00890546" w:rsidRDefault="00AC07AF">
      <w:pPr>
        <w:pStyle w:val="TOC2"/>
        <w:tabs>
          <w:tab w:val="left" w:pos="2448"/>
        </w:tabs>
        <w:rPr>
          <w:rFonts w:asciiTheme="minorHAnsi" w:eastAsiaTheme="minorEastAsia" w:hAnsiTheme="minorHAnsi" w:cstheme="minorBidi"/>
          <w:b w:val="0"/>
          <w:noProof/>
          <w:sz w:val="22"/>
          <w:lang w:eastAsia="en-AU"/>
        </w:rPr>
      </w:pPr>
      <w:hyperlink w:anchor="_Toc396298067" w:history="1">
        <w:r w:rsidR="00890546" w:rsidRPr="00533858">
          <w:rPr>
            <w:rStyle w:val="Hyperlink"/>
            <w:noProof/>
          </w:rPr>
          <w:t>Attachment 1.</w:t>
        </w:r>
        <w:r w:rsidR="00890546">
          <w:rPr>
            <w:rFonts w:asciiTheme="minorHAnsi" w:eastAsiaTheme="minorEastAsia" w:hAnsiTheme="minorHAnsi" w:cstheme="minorBidi"/>
            <w:b w:val="0"/>
            <w:noProof/>
            <w:sz w:val="22"/>
            <w:lang w:eastAsia="en-AU"/>
          </w:rPr>
          <w:tab/>
        </w:r>
        <w:r w:rsidR="00890546" w:rsidRPr="00533858">
          <w:rPr>
            <w:rStyle w:val="Hyperlink"/>
            <w:noProof/>
          </w:rPr>
          <w:t>Product Information</w:t>
        </w:r>
        <w:r w:rsidR="00890546">
          <w:rPr>
            <w:noProof/>
            <w:webHidden/>
          </w:rPr>
          <w:tab/>
        </w:r>
        <w:r w:rsidR="00890546">
          <w:rPr>
            <w:noProof/>
            <w:webHidden/>
          </w:rPr>
          <w:fldChar w:fldCharType="begin"/>
        </w:r>
        <w:r w:rsidR="00890546">
          <w:rPr>
            <w:noProof/>
            <w:webHidden/>
          </w:rPr>
          <w:instrText xml:space="preserve"> PAGEREF _Toc396298067 \h </w:instrText>
        </w:r>
        <w:r w:rsidR="00890546">
          <w:rPr>
            <w:noProof/>
            <w:webHidden/>
          </w:rPr>
        </w:r>
        <w:r w:rsidR="00890546">
          <w:rPr>
            <w:noProof/>
            <w:webHidden/>
          </w:rPr>
          <w:fldChar w:fldCharType="separate"/>
        </w:r>
        <w:r w:rsidR="00890546">
          <w:rPr>
            <w:noProof/>
            <w:webHidden/>
          </w:rPr>
          <w:t>29</w:t>
        </w:r>
        <w:r w:rsidR="00890546">
          <w:rPr>
            <w:noProof/>
            <w:webHidden/>
          </w:rPr>
          <w:fldChar w:fldCharType="end"/>
        </w:r>
      </w:hyperlink>
    </w:p>
    <w:p w:rsidR="00890546" w:rsidRDefault="00AC07AF">
      <w:pPr>
        <w:pStyle w:val="TOC2"/>
        <w:rPr>
          <w:rFonts w:asciiTheme="minorHAnsi" w:eastAsiaTheme="minorEastAsia" w:hAnsiTheme="minorHAnsi" w:cstheme="minorBidi"/>
          <w:b w:val="0"/>
          <w:noProof/>
          <w:sz w:val="22"/>
          <w:lang w:eastAsia="en-AU"/>
        </w:rPr>
      </w:pPr>
      <w:hyperlink w:anchor="_Toc396298068" w:history="1">
        <w:r w:rsidR="00890546" w:rsidRPr="00533858">
          <w:rPr>
            <w:rStyle w:val="Hyperlink"/>
            <w:noProof/>
            <w:lang w:eastAsia="en-AU"/>
          </w:rPr>
          <w:t>Attachment 2. Extract from the Clinical Evaluation Report</w:t>
        </w:r>
        <w:r w:rsidR="00890546">
          <w:rPr>
            <w:noProof/>
            <w:webHidden/>
          </w:rPr>
          <w:tab/>
        </w:r>
        <w:r w:rsidR="00890546">
          <w:rPr>
            <w:noProof/>
            <w:webHidden/>
          </w:rPr>
          <w:fldChar w:fldCharType="begin"/>
        </w:r>
        <w:r w:rsidR="00890546">
          <w:rPr>
            <w:noProof/>
            <w:webHidden/>
          </w:rPr>
          <w:instrText xml:space="preserve"> PAGEREF _Toc396298068 \h </w:instrText>
        </w:r>
        <w:r w:rsidR="00890546">
          <w:rPr>
            <w:noProof/>
            <w:webHidden/>
          </w:rPr>
        </w:r>
        <w:r w:rsidR="00890546">
          <w:rPr>
            <w:noProof/>
            <w:webHidden/>
          </w:rPr>
          <w:fldChar w:fldCharType="separate"/>
        </w:r>
        <w:r w:rsidR="00890546">
          <w:rPr>
            <w:noProof/>
            <w:webHidden/>
          </w:rPr>
          <w:t>29</w:t>
        </w:r>
        <w:r w:rsidR="00890546">
          <w:rPr>
            <w:noProof/>
            <w:webHidden/>
          </w:rPr>
          <w:fldChar w:fldCharType="end"/>
        </w:r>
      </w:hyperlink>
    </w:p>
    <w:p w:rsidR="003A7F6C" w:rsidRPr="00B811C6" w:rsidRDefault="00DB6124" w:rsidP="00B811C6">
      <w:pPr>
        <w:pStyle w:val="TOC2"/>
      </w:pPr>
      <w:r>
        <w:fldChar w:fldCharType="end"/>
      </w:r>
      <w:bookmarkStart w:id="2" w:name="_Toc314842482"/>
    </w:p>
    <w:p w:rsidR="00FD119B" w:rsidRDefault="00FD119B">
      <w:pPr>
        <w:spacing w:before="0" w:after="200" w:line="0" w:lineRule="auto"/>
      </w:pPr>
      <w:r>
        <w:br w:type="page"/>
      </w:r>
    </w:p>
    <w:p w:rsidR="00FD119B" w:rsidRPr="00FD119B" w:rsidRDefault="00FD119B" w:rsidP="004F0C4A">
      <w:pPr>
        <w:pStyle w:val="Heading2"/>
      </w:pPr>
      <w:bookmarkStart w:id="3" w:name="_Toc351716269"/>
      <w:bookmarkStart w:id="4" w:name="_Toc351718881"/>
      <w:bookmarkStart w:id="5" w:name="_Toc355338616"/>
      <w:bookmarkStart w:id="6" w:name="_Toc356306144"/>
      <w:bookmarkStart w:id="7" w:name="_Toc396298040"/>
      <w:r w:rsidRPr="00FD119B">
        <w:lastRenderedPageBreak/>
        <w:t>List of abbreviations</w:t>
      </w:r>
      <w:bookmarkEnd w:id="3"/>
      <w:bookmarkEnd w:id="4"/>
      <w:bookmarkEnd w:id="5"/>
      <w:bookmarkEnd w:id="6"/>
      <w:bookmarkEnd w:id="7"/>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09"/>
        <w:gridCol w:w="6911"/>
      </w:tblGrid>
      <w:tr w:rsidR="00FD119B" w:rsidRPr="00FD119B" w:rsidTr="00AC305C">
        <w:trPr>
          <w:tblHeader/>
        </w:trPr>
        <w:tc>
          <w:tcPr>
            <w:tcW w:w="1809" w:type="dxa"/>
            <w:tcBorders>
              <w:top w:val="single" w:sz="8" w:space="0" w:color="000000"/>
              <w:left w:val="single" w:sz="8" w:space="0" w:color="000000"/>
              <w:bottom w:val="single" w:sz="8" w:space="0" w:color="000000"/>
              <w:right w:val="nil"/>
              <w:tl2br w:val="nil"/>
              <w:tr2bl w:val="nil"/>
            </w:tcBorders>
            <w:shd w:val="clear" w:color="auto" w:fill="006DA7"/>
          </w:tcPr>
          <w:p w:rsidR="00FD119B" w:rsidRPr="00AC305C" w:rsidRDefault="00FD119B" w:rsidP="00FD119B">
            <w:pPr>
              <w:rPr>
                <w:b/>
                <w:color w:val="FFFFFF"/>
              </w:rPr>
            </w:pPr>
            <w:r w:rsidRPr="00AC305C">
              <w:rPr>
                <w:b/>
                <w:color w:val="FFFFFF"/>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FD119B" w:rsidRPr="00AC305C" w:rsidRDefault="00FD119B" w:rsidP="00FD119B">
            <w:pPr>
              <w:rPr>
                <w:b/>
                <w:color w:val="FFFFFF"/>
              </w:rPr>
            </w:pPr>
            <w:r w:rsidRPr="00AC305C">
              <w:rPr>
                <w:b/>
                <w:color w:val="FFFFFF"/>
              </w:rPr>
              <w:t>Meaning</w:t>
            </w:r>
          </w:p>
        </w:tc>
      </w:tr>
      <w:tr w:rsidR="00FC2C5F" w:rsidRPr="00FD119B" w:rsidTr="00E676D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42"/>
            </w:pPr>
            <w:r>
              <w:t>AE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76"/>
            </w:pPr>
            <w:r>
              <w:t>adverse event</w:t>
            </w:r>
          </w:p>
        </w:tc>
      </w:tr>
      <w:tr w:rsidR="00FC2C5F" w:rsidRPr="00FD119B" w:rsidTr="00E676D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42"/>
            </w:pPr>
            <w:r>
              <w:t>ALT</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76"/>
            </w:pPr>
            <w:r w:rsidRPr="00335348">
              <w:t>alanine aminotransferase</w:t>
            </w:r>
          </w:p>
        </w:tc>
      </w:tr>
      <w:tr w:rsidR="00FC2C5F" w:rsidRPr="00FD119B" w:rsidTr="00E676DF">
        <w:tc>
          <w:tcPr>
            <w:tcW w:w="1809" w:type="dxa"/>
            <w:shd w:val="clear" w:color="auto" w:fill="auto"/>
          </w:tcPr>
          <w:p w:rsidR="00FC2C5F" w:rsidRPr="00FD119B" w:rsidRDefault="00FC2C5F" w:rsidP="00E676DF">
            <w:pPr>
              <w:ind w:left="142"/>
            </w:pPr>
            <w:r>
              <w:t>ARV</w:t>
            </w:r>
          </w:p>
        </w:tc>
        <w:tc>
          <w:tcPr>
            <w:tcW w:w="6911" w:type="dxa"/>
            <w:shd w:val="clear" w:color="auto" w:fill="auto"/>
          </w:tcPr>
          <w:p w:rsidR="00FC2C5F" w:rsidRPr="00FD119B" w:rsidRDefault="00FC2C5F" w:rsidP="00E676DF">
            <w:pPr>
              <w:ind w:left="176"/>
            </w:pPr>
            <w:r w:rsidRPr="006D3949">
              <w:t>antiretroviral</w:t>
            </w:r>
          </w:p>
        </w:tc>
      </w:tr>
      <w:tr w:rsidR="00FC2C5F" w:rsidRPr="00FD119B" w:rsidTr="00E676D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42"/>
            </w:pPr>
            <w:r>
              <w:t>CI</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07077" w:rsidP="00F07077">
            <w:pPr>
              <w:ind w:left="176"/>
            </w:pPr>
            <w:r>
              <w:t>c</w:t>
            </w:r>
            <w:r w:rsidR="00FC2C5F">
              <w:t xml:space="preserve">onfidence </w:t>
            </w:r>
            <w:r>
              <w:t>i</w:t>
            </w:r>
            <w:r w:rsidR="00FC2C5F">
              <w:t>nterval</w:t>
            </w:r>
          </w:p>
        </w:tc>
      </w:tr>
      <w:tr w:rsidR="008B4710" w:rsidRPr="00FD119B" w:rsidTr="005573F5">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8B4710" w:rsidRPr="00FD119B" w:rsidRDefault="008B4710" w:rsidP="005573F5">
            <w:pPr>
              <w:ind w:left="142"/>
            </w:pPr>
            <w:r>
              <w:t>CMI</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8B4710" w:rsidRPr="00FD119B" w:rsidRDefault="00F07077" w:rsidP="00F07077">
            <w:pPr>
              <w:ind w:left="176"/>
            </w:pPr>
            <w:r>
              <w:t>c</w:t>
            </w:r>
            <w:r w:rsidR="008B4710">
              <w:t xml:space="preserve">onsumer </w:t>
            </w:r>
            <w:r>
              <w:t>m</w:t>
            </w:r>
            <w:r w:rsidR="008B4710">
              <w:t xml:space="preserve">edicine </w:t>
            </w:r>
            <w:r>
              <w:t>i</w:t>
            </w:r>
            <w:r w:rsidR="008B4710">
              <w:t>nformation</w:t>
            </w:r>
          </w:p>
        </w:tc>
      </w:tr>
      <w:tr w:rsidR="00FC2C5F" w:rsidRPr="00FD119B" w:rsidTr="00E676D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42"/>
            </w:pPr>
            <w:r>
              <w:t>ECG</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76"/>
            </w:pPr>
            <w:r>
              <w:t>electrocardiogram</w:t>
            </w:r>
          </w:p>
        </w:tc>
      </w:tr>
      <w:tr w:rsidR="00FC2C5F" w:rsidRPr="00FD119B" w:rsidTr="00E676D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42"/>
            </w:pPr>
            <w:r>
              <w:t>EFV</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76"/>
            </w:pPr>
            <w:proofErr w:type="spellStart"/>
            <w:r w:rsidRPr="006D3949">
              <w:t>efavirenz</w:t>
            </w:r>
            <w:proofErr w:type="spellEnd"/>
          </w:p>
        </w:tc>
      </w:tr>
      <w:tr w:rsidR="00FC2C5F" w:rsidRPr="00FD119B" w:rsidTr="00E676D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42"/>
            </w:pPr>
            <w:proofErr w:type="spellStart"/>
            <w:r>
              <w:t>eGFR</w:t>
            </w:r>
            <w:proofErr w:type="spellEnd"/>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76"/>
            </w:pPr>
            <w:r>
              <w:t>e</w:t>
            </w:r>
            <w:r w:rsidRPr="006C6520">
              <w:t>stimated glomerular filtration rate</w:t>
            </w:r>
          </w:p>
        </w:tc>
      </w:tr>
      <w:tr w:rsidR="00FC2C5F" w:rsidRPr="00FD119B" w:rsidTr="00E676D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42"/>
            </w:pPr>
            <w:r>
              <w:t>FAS</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07077" w:rsidP="00F07077">
            <w:pPr>
              <w:ind w:left="176"/>
            </w:pPr>
            <w:r>
              <w:t>f</w:t>
            </w:r>
            <w:r w:rsidR="00FC2C5F">
              <w:t xml:space="preserve">ull </w:t>
            </w:r>
            <w:r>
              <w:t>a</w:t>
            </w:r>
            <w:r w:rsidR="00FC2C5F">
              <w:t xml:space="preserve">nalysis </w:t>
            </w:r>
            <w:r>
              <w:t>s</w:t>
            </w:r>
            <w:r w:rsidR="00FC2C5F">
              <w:t>et</w:t>
            </w:r>
          </w:p>
        </w:tc>
      </w:tr>
      <w:tr w:rsidR="00FC2C5F" w:rsidRPr="00FD119B" w:rsidTr="00E676DF">
        <w:tc>
          <w:tcPr>
            <w:tcW w:w="1809" w:type="dxa"/>
            <w:shd w:val="clear" w:color="auto" w:fill="auto"/>
          </w:tcPr>
          <w:p w:rsidR="00FC2C5F" w:rsidRPr="00FD119B" w:rsidRDefault="00FC2C5F" w:rsidP="00E676DF">
            <w:pPr>
              <w:ind w:left="142"/>
            </w:pPr>
            <w:r>
              <w:t>FDC</w:t>
            </w:r>
          </w:p>
        </w:tc>
        <w:tc>
          <w:tcPr>
            <w:tcW w:w="6911" w:type="dxa"/>
            <w:shd w:val="clear" w:color="auto" w:fill="auto"/>
          </w:tcPr>
          <w:p w:rsidR="00FC2C5F" w:rsidRPr="00FD119B" w:rsidRDefault="00FC2C5F" w:rsidP="00E676DF">
            <w:pPr>
              <w:ind w:left="176"/>
            </w:pPr>
            <w:r w:rsidRPr="006D3949">
              <w:t>fixed dose combination</w:t>
            </w:r>
          </w:p>
        </w:tc>
      </w:tr>
      <w:tr w:rsidR="00FC2C5F" w:rsidRPr="00FD119B" w:rsidTr="00E676DF">
        <w:tc>
          <w:tcPr>
            <w:tcW w:w="1809" w:type="dxa"/>
            <w:shd w:val="clear" w:color="auto" w:fill="auto"/>
          </w:tcPr>
          <w:p w:rsidR="00FC2C5F" w:rsidRPr="00FD119B" w:rsidRDefault="00FC2C5F" w:rsidP="00E676DF">
            <w:pPr>
              <w:ind w:left="142"/>
            </w:pPr>
            <w:r>
              <w:t>FTC</w:t>
            </w:r>
          </w:p>
        </w:tc>
        <w:tc>
          <w:tcPr>
            <w:tcW w:w="6911" w:type="dxa"/>
            <w:shd w:val="clear" w:color="auto" w:fill="auto"/>
          </w:tcPr>
          <w:p w:rsidR="00FC2C5F" w:rsidRPr="00FD119B" w:rsidRDefault="00FC2C5F" w:rsidP="00E676DF">
            <w:pPr>
              <w:ind w:left="176"/>
            </w:pPr>
            <w:proofErr w:type="spellStart"/>
            <w:r w:rsidRPr="008104B2">
              <w:t>emtricitabine</w:t>
            </w:r>
            <w:proofErr w:type="spellEnd"/>
          </w:p>
        </w:tc>
      </w:tr>
      <w:tr w:rsidR="00FC2C5F" w:rsidRPr="00FD119B" w:rsidTr="00E676D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42"/>
            </w:pPr>
            <w:r>
              <w:t>HBV</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76"/>
            </w:pPr>
            <w:r w:rsidRPr="00C66308">
              <w:t>hepatitis B virus</w:t>
            </w:r>
          </w:p>
        </w:tc>
      </w:tr>
      <w:tr w:rsidR="001B141D" w:rsidRPr="00FD119B" w:rsidTr="00A205D2">
        <w:tc>
          <w:tcPr>
            <w:tcW w:w="1809" w:type="dxa"/>
            <w:shd w:val="clear" w:color="auto" w:fill="auto"/>
          </w:tcPr>
          <w:p w:rsidR="001B141D" w:rsidRPr="00FD119B" w:rsidRDefault="001B141D" w:rsidP="00A205D2">
            <w:pPr>
              <w:ind w:left="142"/>
            </w:pPr>
            <w:r>
              <w:t>HIV-1</w:t>
            </w:r>
          </w:p>
        </w:tc>
        <w:tc>
          <w:tcPr>
            <w:tcW w:w="6911" w:type="dxa"/>
            <w:shd w:val="clear" w:color="auto" w:fill="auto"/>
          </w:tcPr>
          <w:p w:rsidR="001B141D" w:rsidRPr="00FD119B" w:rsidRDefault="001B141D" w:rsidP="00A205D2">
            <w:pPr>
              <w:ind w:left="176"/>
            </w:pPr>
            <w:r w:rsidRPr="00092173">
              <w:t>human immunodeficiency virus</w:t>
            </w:r>
            <w:r>
              <w:t xml:space="preserve"> type 1</w:t>
            </w:r>
          </w:p>
        </w:tc>
      </w:tr>
      <w:tr w:rsidR="00FC2C5F" w:rsidRPr="00FD119B" w:rsidTr="00E676D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42"/>
            </w:pPr>
            <w:r w:rsidRPr="006441BD">
              <w:t>IRIS</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07077" w:rsidP="00F07077">
            <w:pPr>
              <w:ind w:left="176"/>
            </w:pPr>
            <w:r>
              <w:t>i</w:t>
            </w:r>
            <w:r w:rsidR="00E92EE5">
              <w:t>mmu</w:t>
            </w:r>
            <w:r w:rsidR="00FC2C5F" w:rsidRPr="00A70249">
              <w:t xml:space="preserve">ne </w:t>
            </w:r>
            <w:r>
              <w:t>r</w:t>
            </w:r>
            <w:r w:rsidR="00FC2C5F" w:rsidRPr="00A70249">
              <w:t xml:space="preserve">econstitution </w:t>
            </w:r>
            <w:r>
              <w:t>i</w:t>
            </w:r>
            <w:r w:rsidR="00FC2C5F" w:rsidRPr="00A70249">
              <w:t xml:space="preserve">nflammatory </w:t>
            </w:r>
            <w:r>
              <w:t>s</w:t>
            </w:r>
            <w:r w:rsidR="00FC2C5F" w:rsidRPr="00A70249">
              <w:t>yndrome</w:t>
            </w:r>
          </w:p>
        </w:tc>
      </w:tr>
      <w:tr w:rsidR="00FC2C5F" w:rsidRPr="00FD119B" w:rsidTr="00E676DF">
        <w:tc>
          <w:tcPr>
            <w:tcW w:w="1809" w:type="dxa"/>
            <w:shd w:val="clear" w:color="auto" w:fill="auto"/>
          </w:tcPr>
          <w:p w:rsidR="00FC2C5F" w:rsidRPr="00FD119B" w:rsidRDefault="00FC2C5F" w:rsidP="00E676DF">
            <w:pPr>
              <w:ind w:left="142"/>
            </w:pPr>
            <w:r>
              <w:t>NNTRI</w:t>
            </w:r>
          </w:p>
        </w:tc>
        <w:tc>
          <w:tcPr>
            <w:tcW w:w="6911" w:type="dxa"/>
            <w:shd w:val="clear" w:color="auto" w:fill="auto"/>
          </w:tcPr>
          <w:p w:rsidR="00FC2C5F" w:rsidRPr="00FD119B" w:rsidRDefault="00FC2C5F" w:rsidP="00E676DF">
            <w:pPr>
              <w:ind w:left="176"/>
            </w:pPr>
            <w:r w:rsidRPr="00B355A7">
              <w:t>non-nucleoside reverse transcriptase inhibitor</w:t>
            </w:r>
          </w:p>
        </w:tc>
      </w:tr>
      <w:tr w:rsidR="00FC2C5F" w:rsidRPr="00FD119B" w:rsidTr="00E676DF">
        <w:tc>
          <w:tcPr>
            <w:tcW w:w="1809" w:type="dxa"/>
            <w:shd w:val="clear" w:color="auto" w:fill="auto"/>
          </w:tcPr>
          <w:p w:rsidR="00FC2C5F" w:rsidRPr="00FD119B" w:rsidRDefault="00FC2C5F" w:rsidP="00E676DF">
            <w:pPr>
              <w:ind w:left="142"/>
            </w:pPr>
            <w:r>
              <w:t>N</w:t>
            </w:r>
            <w:r w:rsidRPr="00B355A7">
              <w:t>RTI</w:t>
            </w:r>
          </w:p>
        </w:tc>
        <w:tc>
          <w:tcPr>
            <w:tcW w:w="6911" w:type="dxa"/>
            <w:shd w:val="clear" w:color="auto" w:fill="auto"/>
          </w:tcPr>
          <w:p w:rsidR="00FC2C5F" w:rsidRPr="00FD119B" w:rsidRDefault="00FC2C5F" w:rsidP="00E676DF">
            <w:pPr>
              <w:ind w:left="176"/>
            </w:pPr>
            <w:r w:rsidRPr="00B355A7">
              <w:t xml:space="preserve">nucleotide </w:t>
            </w:r>
            <w:r>
              <w:t>reverse transcriptase inhibitor</w:t>
            </w:r>
          </w:p>
        </w:tc>
      </w:tr>
      <w:tr w:rsidR="00FC2C5F" w:rsidRPr="00FD119B" w:rsidTr="00E676DF">
        <w:tc>
          <w:tcPr>
            <w:tcW w:w="1809" w:type="dxa"/>
            <w:shd w:val="clear" w:color="auto" w:fill="auto"/>
          </w:tcPr>
          <w:p w:rsidR="00FC2C5F" w:rsidRPr="00FD119B" w:rsidRDefault="00FC2C5F" w:rsidP="00E676DF">
            <w:pPr>
              <w:ind w:left="142"/>
            </w:pPr>
            <w:r>
              <w:t>OD</w:t>
            </w:r>
          </w:p>
        </w:tc>
        <w:tc>
          <w:tcPr>
            <w:tcW w:w="6911" w:type="dxa"/>
            <w:shd w:val="clear" w:color="auto" w:fill="auto"/>
          </w:tcPr>
          <w:p w:rsidR="00FC2C5F" w:rsidRPr="00FD119B" w:rsidRDefault="00FC2C5F" w:rsidP="00E676DF">
            <w:pPr>
              <w:ind w:left="176"/>
            </w:pPr>
            <w:r>
              <w:t>once daily</w:t>
            </w:r>
          </w:p>
        </w:tc>
      </w:tr>
      <w:tr w:rsidR="00FC2C5F" w:rsidRPr="00FD119B" w:rsidTr="00E676DF">
        <w:tc>
          <w:tcPr>
            <w:tcW w:w="1809" w:type="dxa"/>
            <w:shd w:val="clear" w:color="auto" w:fill="auto"/>
          </w:tcPr>
          <w:p w:rsidR="00FC2C5F" w:rsidRPr="00FD119B" w:rsidRDefault="00FC2C5F" w:rsidP="00E676DF">
            <w:pPr>
              <w:ind w:left="142"/>
            </w:pPr>
            <w:r>
              <w:t>PI</w:t>
            </w:r>
          </w:p>
        </w:tc>
        <w:tc>
          <w:tcPr>
            <w:tcW w:w="6911" w:type="dxa"/>
            <w:shd w:val="clear" w:color="auto" w:fill="auto"/>
          </w:tcPr>
          <w:p w:rsidR="00FC2C5F" w:rsidRPr="00FD119B" w:rsidRDefault="00F07077" w:rsidP="00F07077">
            <w:pPr>
              <w:ind w:left="176"/>
            </w:pPr>
            <w:r>
              <w:t>p</w:t>
            </w:r>
            <w:r w:rsidR="00FC2C5F" w:rsidRPr="00940A89">
              <w:t xml:space="preserve">roduct </w:t>
            </w:r>
            <w:r>
              <w:t>i</w:t>
            </w:r>
            <w:r w:rsidR="00FC2C5F" w:rsidRPr="00940A89">
              <w:t>nformation</w:t>
            </w:r>
          </w:p>
        </w:tc>
      </w:tr>
      <w:tr w:rsidR="00FC2C5F" w:rsidRPr="00FD119B" w:rsidTr="00E676D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42"/>
            </w:pPr>
            <w:r w:rsidRPr="00070FA2">
              <w:t>PI/r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76"/>
            </w:pPr>
            <w:r>
              <w:t>r</w:t>
            </w:r>
            <w:r w:rsidRPr="00070FA2">
              <w:t>itonavir</w:t>
            </w:r>
            <w:r>
              <w:t xml:space="preserve"> </w:t>
            </w:r>
            <w:r w:rsidRPr="00070FA2">
              <w:t xml:space="preserve">boosted </w:t>
            </w:r>
            <w:r>
              <w:t>protease i</w:t>
            </w:r>
            <w:r w:rsidRPr="00070FA2">
              <w:t>nhibitor</w:t>
            </w:r>
          </w:p>
        </w:tc>
      </w:tr>
      <w:tr w:rsidR="00FC2C5F" w:rsidRPr="00FD119B" w:rsidTr="00E676D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42"/>
            </w:pPr>
            <w:r>
              <w:t>PSUR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07077" w:rsidP="00F07077">
            <w:pPr>
              <w:ind w:left="176"/>
            </w:pPr>
            <w:r>
              <w:t>p</w:t>
            </w:r>
            <w:r w:rsidR="00FC2C5F">
              <w:t xml:space="preserve">eriodic </w:t>
            </w:r>
            <w:r>
              <w:t>s</w:t>
            </w:r>
            <w:r w:rsidR="00FC2C5F">
              <w:t xml:space="preserve">afety </w:t>
            </w:r>
            <w:r>
              <w:t>u</w:t>
            </w:r>
            <w:r w:rsidR="00FC2C5F">
              <w:t xml:space="preserve">pdate </w:t>
            </w:r>
            <w:r>
              <w:t>r</w:t>
            </w:r>
            <w:r w:rsidR="00FC2C5F">
              <w:t>eport</w:t>
            </w:r>
          </w:p>
        </w:tc>
      </w:tr>
      <w:tr w:rsidR="009C19C9" w:rsidRPr="00FD119B" w:rsidTr="003460BB">
        <w:tc>
          <w:tcPr>
            <w:tcW w:w="1809" w:type="dxa"/>
            <w:shd w:val="clear" w:color="auto" w:fill="auto"/>
          </w:tcPr>
          <w:p w:rsidR="009C19C9" w:rsidRPr="00FD119B" w:rsidRDefault="009C19C9" w:rsidP="009C19C9">
            <w:pPr>
              <w:ind w:left="142"/>
            </w:pPr>
            <w:r w:rsidRPr="00B355A7">
              <w:t>R</w:t>
            </w:r>
            <w:r>
              <w:t>NA</w:t>
            </w:r>
          </w:p>
        </w:tc>
        <w:tc>
          <w:tcPr>
            <w:tcW w:w="6911" w:type="dxa"/>
            <w:shd w:val="clear" w:color="auto" w:fill="auto"/>
          </w:tcPr>
          <w:p w:rsidR="009C19C9" w:rsidRPr="00FD119B" w:rsidRDefault="009C19C9" w:rsidP="003460BB">
            <w:pPr>
              <w:ind w:left="176"/>
            </w:pPr>
            <w:r>
              <w:t>r</w:t>
            </w:r>
            <w:r w:rsidRPr="009C19C9">
              <w:t>ibonucleic acid</w:t>
            </w:r>
          </w:p>
        </w:tc>
      </w:tr>
      <w:tr w:rsidR="001B141D" w:rsidRPr="00FD119B" w:rsidTr="00A205D2">
        <w:tc>
          <w:tcPr>
            <w:tcW w:w="1809" w:type="dxa"/>
            <w:shd w:val="clear" w:color="auto" w:fill="auto"/>
          </w:tcPr>
          <w:p w:rsidR="001B141D" w:rsidRPr="00FD119B" w:rsidRDefault="001B141D" w:rsidP="00A205D2">
            <w:pPr>
              <w:ind w:left="142"/>
            </w:pPr>
            <w:r w:rsidRPr="00B355A7">
              <w:t>RPV</w:t>
            </w:r>
          </w:p>
        </w:tc>
        <w:tc>
          <w:tcPr>
            <w:tcW w:w="6911" w:type="dxa"/>
            <w:shd w:val="clear" w:color="auto" w:fill="auto"/>
          </w:tcPr>
          <w:p w:rsidR="001B141D" w:rsidRPr="00FD119B" w:rsidRDefault="001B141D" w:rsidP="00A205D2">
            <w:pPr>
              <w:ind w:left="176"/>
            </w:pPr>
            <w:proofErr w:type="spellStart"/>
            <w:r w:rsidRPr="008104B2">
              <w:t>rilpivirine</w:t>
            </w:r>
            <w:proofErr w:type="spellEnd"/>
          </w:p>
        </w:tc>
      </w:tr>
      <w:tr w:rsidR="00FC2C5F" w:rsidRPr="00FD119B" w:rsidTr="00E676D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42"/>
            </w:pPr>
            <w:r>
              <w:t>SAE</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76"/>
            </w:pPr>
            <w:r>
              <w:t>serious adverse event</w:t>
            </w:r>
          </w:p>
        </w:tc>
      </w:tr>
      <w:tr w:rsidR="00FC2C5F" w:rsidRPr="00FD119B" w:rsidTr="00E676DF">
        <w:tc>
          <w:tcPr>
            <w:tcW w:w="1809"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42"/>
            </w:pPr>
            <w:r>
              <w:t>SBR</w:t>
            </w:r>
          </w:p>
        </w:tc>
        <w:tc>
          <w:tcPr>
            <w:tcW w:w="6911" w:type="dxa"/>
            <w:tcBorders>
              <w:top w:val="single" w:sz="8" w:space="0" w:color="000000"/>
              <w:left w:val="single" w:sz="8" w:space="0" w:color="000000"/>
              <w:bottom w:val="single" w:sz="8" w:space="0" w:color="000000"/>
              <w:right w:val="single" w:sz="8" w:space="0" w:color="000000"/>
            </w:tcBorders>
            <w:shd w:val="clear" w:color="auto" w:fill="auto"/>
          </w:tcPr>
          <w:p w:rsidR="00FC2C5F" w:rsidRPr="00FD119B" w:rsidRDefault="00FC2C5F" w:rsidP="00E676DF">
            <w:pPr>
              <w:ind w:left="176"/>
            </w:pPr>
            <w:r w:rsidRPr="00D51D56">
              <w:t>stay on baseline regimen</w:t>
            </w:r>
          </w:p>
        </w:tc>
      </w:tr>
      <w:tr w:rsidR="00FC2C5F" w:rsidRPr="00FD119B" w:rsidTr="00E676DF">
        <w:tc>
          <w:tcPr>
            <w:tcW w:w="1809" w:type="dxa"/>
            <w:shd w:val="clear" w:color="auto" w:fill="auto"/>
          </w:tcPr>
          <w:p w:rsidR="00FC2C5F" w:rsidRPr="00FD119B" w:rsidRDefault="00FC2C5F" w:rsidP="00E676DF">
            <w:pPr>
              <w:ind w:left="142"/>
            </w:pPr>
            <w:r>
              <w:t>STR</w:t>
            </w:r>
          </w:p>
        </w:tc>
        <w:tc>
          <w:tcPr>
            <w:tcW w:w="6911" w:type="dxa"/>
            <w:shd w:val="clear" w:color="auto" w:fill="auto"/>
          </w:tcPr>
          <w:p w:rsidR="00FC2C5F" w:rsidRPr="00FD119B" w:rsidRDefault="00FC2C5F" w:rsidP="003560EB">
            <w:pPr>
              <w:ind w:left="176"/>
            </w:pPr>
            <w:r>
              <w:t>single t</w:t>
            </w:r>
            <w:r w:rsidR="003560EB">
              <w:t>ablet</w:t>
            </w:r>
            <w:r w:rsidRPr="006D3949">
              <w:t xml:space="preserve"> regimen</w:t>
            </w:r>
          </w:p>
        </w:tc>
      </w:tr>
      <w:tr w:rsidR="00FC2C5F" w:rsidRPr="00FD119B" w:rsidTr="00E676DF">
        <w:tc>
          <w:tcPr>
            <w:tcW w:w="1809" w:type="dxa"/>
            <w:shd w:val="clear" w:color="auto" w:fill="auto"/>
          </w:tcPr>
          <w:p w:rsidR="00FC2C5F" w:rsidRPr="00FD119B" w:rsidRDefault="00FC2C5F" w:rsidP="00E676DF">
            <w:pPr>
              <w:ind w:left="142"/>
            </w:pPr>
            <w:r>
              <w:lastRenderedPageBreak/>
              <w:t>TDF</w:t>
            </w:r>
          </w:p>
        </w:tc>
        <w:tc>
          <w:tcPr>
            <w:tcW w:w="6911" w:type="dxa"/>
            <w:shd w:val="clear" w:color="auto" w:fill="auto"/>
          </w:tcPr>
          <w:p w:rsidR="00FC2C5F" w:rsidRPr="00FD119B" w:rsidRDefault="00FC2C5F" w:rsidP="00E676DF">
            <w:pPr>
              <w:ind w:left="176"/>
            </w:pPr>
            <w:proofErr w:type="spellStart"/>
            <w:r>
              <w:t>tenofovir</w:t>
            </w:r>
            <w:proofErr w:type="spellEnd"/>
            <w:r>
              <w:t xml:space="preserve"> </w:t>
            </w:r>
            <w:proofErr w:type="spellStart"/>
            <w:r>
              <w:t>disoproxil</w:t>
            </w:r>
            <w:proofErr w:type="spellEnd"/>
            <w:r>
              <w:t xml:space="preserve"> </w:t>
            </w:r>
            <w:proofErr w:type="spellStart"/>
            <w:r>
              <w:t>fumarate</w:t>
            </w:r>
            <w:proofErr w:type="spellEnd"/>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8" w:name="_Toc396298041"/>
      <w:r>
        <w:lastRenderedPageBreak/>
        <w:t>I.</w:t>
      </w:r>
      <w:r w:rsidR="008E7846">
        <w:t xml:space="preserve"> Introduction to product submission</w:t>
      </w:r>
      <w:bookmarkEnd w:id="0"/>
      <w:bookmarkEnd w:id="2"/>
      <w:bookmarkEnd w:id="8"/>
    </w:p>
    <w:p w:rsidR="008E7846" w:rsidRDefault="008E7846" w:rsidP="008E7846">
      <w:pPr>
        <w:pStyle w:val="Heading3"/>
        <w:rPr>
          <w:lang w:eastAsia="en-AU"/>
        </w:rPr>
      </w:pPr>
      <w:bookmarkStart w:id="9" w:name="_Toc247691502"/>
      <w:bookmarkStart w:id="10" w:name="_Toc314842483"/>
      <w:bookmarkStart w:id="11" w:name="_Toc396298042"/>
      <w:r>
        <w:rPr>
          <w:lang w:eastAsia="en-AU"/>
        </w:rPr>
        <w:t xml:space="preserve">Submission </w:t>
      </w:r>
      <w:r w:rsidR="00F07077">
        <w:rPr>
          <w:lang w:eastAsia="en-AU"/>
        </w:rPr>
        <w:t>d</w:t>
      </w:r>
      <w:r>
        <w:rPr>
          <w:lang w:eastAsia="en-AU"/>
        </w:rPr>
        <w:t>etails</w:t>
      </w:r>
      <w:bookmarkEnd w:id="9"/>
      <w:bookmarkEnd w:id="10"/>
      <w:bookmarkEnd w:id="11"/>
    </w:p>
    <w:tbl>
      <w:tblPr>
        <w:tblW w:w="9497" w:type="dxa"/>
        <w:tblInd w:w="108" w:type="dxa"/>
        <w:tblLook w:val="01E0" w:firstRow="1" w:lastRow="1" w:firstColumn="1" w:lastColumn="1" w:noHBand="0" w:noVBand="0"/>
      </w:tblPr>
      <w:tblGrid>
        <w:gridCol w:w="2907"/>
        <w:gridCol w:w="6307"/>
        <w:gridCol w:w="283"/>
      </w:tblGrid>
      <w:tr w:rsidR="008E7846" w:rsidRPr="003D1E62" w:rsidTr="00E50077">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426512" w:rsidP="001B5C90">
            <w:r>
              <w:t>Extension of indications</w:t>
            </w:r>
          </w:p>
        </w:tc>
      </w:tr>
      <w:tr w:rsidR="008E7846" w:rsidRPr="003D1E62" w:rsidTr="00E50077">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426512" w:rsidP="00426512">
            <w:r>
              <w:t>Approved</w:t>
            </w:r>
          </w:p>
        </w:tc>
      </w:tr>
      <w:tr w:rsidR="008E7846" w:rsidRPr="003D1E62" w:rsidTr="00E50077">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426512" w:rsidP="001B5C90">
            <w:r>
              <w:t>14 May 2014</w:t>
            </w:r>
          </w:p>
        </w:tc>
      </w:tr>
      <w:tr w:rsidR="008E7846" w:rsidRPr="00487162" w:rsidTr="00E50077">
        <w:trPr>
          <w:gridAfter w:val="1"/>
          <w:wAfter w:w="283" w:type="dxa"/>
        </w:trPr>
        <w:tc>
          <w:tcPr>
            <w:tcW w:w="2907" w:type="dxa"/>
          </w:tcPr>
          <w:p w:rsidR="008E7846" w:rsidRPr="00487162" w:rsidRDefault="008104B2" w:rsidP="00E45619">
            <w:pPr>
              <w:rPr>
                <w:i/>
              </w:rPr>
            </w:pPr>
            <w:r>
              <w:rPr>
                <w:i/>
              </w:rPr>
              <w:t>Active ingredients</w:t>
            </w:r>
            <w:r w:rsidR="001B5C90">
              <w:rPr>
                <w:i/>
              </w:rPr>
              <w:t>:</w:t>
            </w:r>
          </w:p>
        </w:tc>
        <w:tc>
          <w:tcPr>
            <w:tcW w:w="6307" w:type="dxa"/>
          </w:tcPr>
          <w:p w:rsidR="008E7846" w:rsidRPr="00487162" w:rsidRDefault="008104B2" w:rsidP="00E50077">
            <w:proofErr w:type="spellStart"/>
            <w:r>
              <w:t>T</w:t>
            </w:r>
            <w:r w:rsidR="00B72678">
              <w:t>enofovir</w:t>
            </w:r>
            <w:proofErr w:type="spellEnd"/>
            <w:r w:rsidR="00B72678">
              <w:t xml:space="preserve"> </w:t>
            </w:r>
            <w:proofErr w:type="spellStart"/>
            <w:r w:rsidR="00B72678">
              <w:t>disoproxil</w:t>
            </w:r>
            <w:proofErr w:type="spellEnd"/>
            <w:r w:rsidR="00B72678">
              <w:t xml:space="preserve"> </w:t>
            </w:r>
            <w:proofErr w:type="spellStart"/>
            <w:r w:rsidR="00B72678">
              <w:t>fumarate</w:t>
            </w:r>
            <w:proofErr w:type="spellEnd"/>
            <w:r w:rsidR="00E50077">
              <w:t>/</w:t>
            </w:r>
            <w:proofErr w:type="spellStart"/>
            <w:r w:rsidRPr="008104B2">
              <w:t>emtricitabine</w:t>
            </w:r>
            <w:proofErr w:type="spellEnd"/>
            <w:r w:rsidRPr="008104B2">
              <w:t>/</w:t>
            </w:r>
            <w:proofErr w:type="spellStart"/>
            <w:r w:rsidRPr="008104B2">
              <w:t>rilpivirine</w:t>
            </w:r>
            <w:proofErr w:type="spellEnd"/>
          </w:p>
        </w:tc>
      </w:tr>
      <w:tr w:rsidR="008E7846" w:rsidRPr="00487162" w:rsidTr="00E50077">
        <w:trPr>
          <w:gridAfter w:val="1"/>
          <w:wAfter w:w="283" w:type="dxa"/>
        </w:trPr>
        <w:tc>
          <w:tcPr>
            <w:tcW w:w="2907" w:type="dxa"/>
          </w:tcPr>
          <w:p w:rsidR="008E7846" w:rsidRPr="00487162" w:rsidRDefault="008E7846" w:rsidP="001B5C90">
            <w:pPr>
              <w:rPr>
                <w:i/>
              </w:rPr>
            </w:pPr>
            <w:r w:rsidRPr="00487162">
              <w:rPr>
                <w:i/>
              </w:rPr>
              <w:t>Product</w:t>
            </w:r>
            <w:r w:rsidR="008104B2">
              <w:rPr>
                <w:i/>
              </w:rPr>
              <w:t xml:space="preserve"> name</w:t>
            </w:r>
            <w:r w:rsidR="001B5C90">
              <w:rPr>
                <w:i/>
              </w:rPr>
              <w:t>:</w:t>
            </w:r>
          </w:p>
        </w:tc>
        <w:tc>
          <w:tcPr>
            <w:tcW w:w="6307" w:type="dxa"/>
          </w:tcPr>
          <w:p w:rsidR="008E7846" w:rsidRPr="00487162" w:rsidRDefault="008104B2" w:rsidP="00E45619">
            <w:proofErr w:type="spellStart"/>
            <w:r>
              <w:t>Eviplera</w:t>
            </w:r>
            <w:proofErr w:type="spellEnd"/>
          </w:p>
        </w:tc>
      </w:tr>
      <w:tr w:rsidR="008E7846" w:rsidRPr="00487162" w:rsidTr="00E50077">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F53AEC" w:rsidRPr="00487162" w:rsidRDefault="00A80AF4" w:rsidP="00E50077">
            <w:r w:rsidRPr="00A80AF4">
              <w:t>Gilead Sciences Pty Ltd</w:t>
            </w:r>
            <w:r w:rsidR="00E50077">
              <w:br/>
            </w:r>
            <w:r w:rsidR="00F53AEC" w:rsidRPr="00F53AEC">
              <w:t>Level 6, 417 St Kilda Road</w:t>
            </w:r>
            <w:r w:rsidR="00E50077">
              <w:br/>
            </w:r>
            <w:r w:rsidR="00944AD7" w:rsidRPr="00944AD7">
              <w:t>Melbourne VIC 3004</w:t>
            </w:r>
          </w:p>
        </w:tc>
      </w:tr>
      <w:tr w:rsidR="008E7846" w:rsidRPr="00487162" w:rsidTr="00E50077">
        <w:trPr>
          <w:gridAfter w:val="1"/>
          <w:wAfter w:w="283" w:type="dxa"/>
        </w:trPr>
        <w:tc>
          <w:tcPr>
            <w:tcW w:w="2907" w:type="dxa"/>
          </w:tcPr>
          <w:p w:rsidR="008E7846" w:rsidRPr="00487162" w:rsidRDefault="002B0EFA" w:rsidP="00E45619">
            <w:pPr>
              <w:rPr>
                <w:i/>
              </w:rPr>
            </w:pPr>
            <w:r>
              <w:rPr>
                <w:i/>
              </w:rPr>
              <w:t>Dose form</w:t>
            </w:r>
            <w:r w:rsidR="001B5C90">
              <w:rPr>
                <w:i/>
              </w:rPr>
              <w:t>:</w:t>
            </w:r>
          </w:p>
        </w:tc>
        <w:tc>
          <w:tcPr>
            <w:tcW w:w="6307" w:type="dxa"/>
          </w:tcPr>
          <w:p w:rsidR="008E7846" w:rsidRPr="00487162" w:rsidRDefault="002B0EFA" w:rsidP="00E45619">
            <w:r>
              <w:t>Tablet</w:t>
            </w:r>
          </w:p>
        </w:tc>
      </w:tr>
      <w:tr w:rsidR="008E7846" w:rsidRPr="00487162" w:rsidTr="00E50077">
        <w:trPr>
          <w:gridAfter w:val="1"/>
          <w:wAfter w:w="283" w:type="dxa"/>
        </w:trPr>
        <w:tc>
          <w:tcPr>
            <w:tcW w:w="2907" w:type="dxa"/>
          </w:tcPr>
          <w:p w:rsidR="008E7846" w:rsidRPr="00487162" w:rsidRDefault="008E7846" w:rsidP="00E45619">
            <w:pPr>
              <w:rPr>
                <w:i/>
              </w:rPr>
            </w:pPr>
            <w:r w:rsidRPr="00487162">
              <w:rPr>
                <w:i/>
              </w:rPr>
              <w:t>Stren</w:t>
            </w:r>
            <w:r w:rsidR="002B0EFA">
              <w:rPr>
                <w:i/>
              </w:rPr>
              <w:t>gths</w:t>
            </w:r>
            <w:r w:rsidR="00E50077">
              <w:rPr>
                <w:i/>
              </w:rPr>
              <w:t>:</w:t>
            </w:r>
          </w:p>
        </w:tc>
        <w:tc>
          <w:tcPr>
            <w:tcW w:w="6307" w:type="dxa"/>
          </w:tcPr>
          <w:p w:rsidR="008E7846" w:rsidRPr="00487162" w:rsidRDefault="00344A6D" w:rsidP="00E50077">
            <w:proofErr w:type="spellStart"/>
            <w:r>
              <w:t>T</w:t>
            </w:r>
            <w:r w:rsidR="002B0EFA" w:rsidRPr="002B0EFA">
              <w:t>enofo</w:t>
            </w:r>
            <w:r w:rsidR="002B0EFA">
              <w:t>vir</w:t>
            </w:r>
            <w:proofErr w:type="spellEnd"/>
            <w:r w:rsidR="002B0EFA">
              <w:t xml:space="preserve"> </w:t>
            </w:r>
            <w:proofErr w:type="spellStart"/>
            <w:r w:rsidR="002B0EFA">
              <w:t>disoproxil</w:t>
            </w:r>
            <w:proofErr w:type="spellEnd"/>
            <w:r w:rsidR="002B0EFA">
              <w:t xml:space="preserve"> </w:t>
            </w:r>
            <w:proofErr w:type="spellStart"/>
            <w:r w:rsidR="002B0EFA">
              <w:t>fumarate</w:t>
            </w:r>
            <w:proofErr w:type="spellEnd"/>
            <w:r w:rsidR="002B0EFA">
              <w:t xml:space="preserve"> 300 mg</w:t>
            </w:r>
            <w:r w:rsidR="00E50077">
              <w:br/>
            </w:r>
            <w:proofErr w:type="spellStart"/>
            <w:r>
              <w:t>E</w:t>
            </w:r>
            <w:r w:rsidR="002B0EFA">
              <w:t>mtricitabine</w:t>
            </w:r>
            <w:proofErr w:type="spellEnd"/>
            <w:r w:rsidR="002B0EFA">
              <w:t xml:space="preserve"> 200 mg</w:t>
            </w:r>
            <w:r w:rsidR="00E50077">
              <w:br/>
            </w:r>
            <w:proofErr w:type="spellStart"/>
            <w:r>
              <w:t>R</w:t>
            </w:r>
            <w:r w:rsidR="002B0EFA" w:rsidRPr="002B0EFA">
              <w:t>ilpivirine</w:t>
            </w:r>
            <w:proofErr w:type="spellEnd"/>
            <w:r w:rsidR="002B0EFA" w:rsidRPr="002B0EFA">
              <w:t xml:space="preserve"> (as </w:t>
            </w:r>
            <w:proofErr w:type="spellStart"/>
            <w:r w:rsidR="002B0EFA" w:rsidRPr="002B0EFA">
              <w:t>HCl</w:t>
            </w:r>
            <w:proofErr w:type="spellEnd"/>
            <w:r w:rsidR="002B0EFA" w:rsidRPr="002B0EFA">
              <w:t>) 25 mg</w:t>
            </w:r>
          </w:p>
        </w:tc>
      </w:tr>
      <w:tr w:rsidR="008E7846" w:rsidRPr="00487162" w:rsidTr="00E50077">
        <w:trPr>
          <w:gridAfter w:val="1"/>
          <w:wAfter w:w="283" w:type="dxa"/>
        </w:trPr>
        <w:tc>
          <w:tcPr>
            <w:tcW w:w="2907" w:type="dxa"/>
          </w:tcPr>
          <w:p w:rsidR="008E7846" w:rsidRPr="00487162" w:rsidRDefault="00344A6D" w:rsidP="00E45619">
            <w:pPr>
              <w:rPr>
                <w:i/>
              </w:rPr>
            </w:pPr>
            <w:r>
              <w:rPr>
                <w:i/>
              </w:rPr>
              <w:t>Container</w:t>
            </w:r>
            <w:r w:rsidR="008E7846" w:rsidRPr="00487162">
              <w:rPr>
                <w:i/>
              </w:rPr>
              <w:t>:</w:t>
            </w:r>
          </w:p>
        </w:tc>
        <w:tc>
          <w:tcPr>
            <w:tcW w:w="6307" w:type="dxa"/>
          </w:tcPr>
          <w:p w:rsidR="008E7846" w:rsidRPr="00487162" w:rsidRDefault="002B0EFA" w:rsidP="00E45619">
            <w:r>
              <w:t xml:space="preserve">High </w:t>
            </w:r>
            <w:r w:rsidRPr="002B0EFA">
              <w:t>density polyethylene (HDPE)</w:t>
            </w:r>
            <w:r>
              <w:t xml:space="preserve"> bottle</w:t>
            </w:r>
          </w:p>
        </w:tc>
      </w:tr>
      <w:tr w:rsidR="008E7846" w:rsidRPr="00487162" w:rsidTr="00E50077">
        <w:trPr>
          <w:gridAfter w:val="1"/>
          <w:wAfter w:w="283" w:type="dxa"/>
        </w:trPr>
        <w:tc>
          <w:tcPr>
            <w:tcW w:w="2907" w:type="dxa"/>
          </w:tcPr>
          <w:p w:rsidR="008E7846" w:rsidRPr="00487162" w:rsidRDefault="00344A6D" w:rsidP="00E45619">
            <w:pPr>
              <w:rPr>
                <w:i/>
              </w:rPr>
            </w:pPr>
            <w:r>
              <w:rPr>
                <w:i/>
              </w:rPr>
              <w:t>Pack size</w:t>
            </w:r>
            <w:r w:rsidR="008E7846" w:rsidRPr="00487162">
              <w:rPr>
                <w:i/>
              </w:rPr>
              <w:t>:</w:t>
            </w:r>
          </w:p>
        </w:tc>
        <w:tc>
          <w:tcPr>
            <w:tcW w:w="6307" w:type="dxa"/>
          </w:tcPr>
          <w:p w:rsidR="008E7846" w:rsidRPr="00487162" w:rsidRDefault="00344A6D" w:rsidP="00E45619">
            <w:r>
              <w:t>30 tablets per bottle</w:t>
            </w:r>
          </w:p>
        </w:tc>
      </w:tr>
      <w:tr w:rsidR="008E7846" w:rsidRPr="00487162" w:rsidTr="00E50077">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2A499E" w:rsidRPr="00487162" w:rsidRDefault="002A499E" w:rsidP="00F85689">
            <w:pPr>
              <w:rPr>
                <w:rFonts w:eastAsia="MS Mincho"/>
                <w:lang w:eastAsia="ja-JP"/>
              </w:rPr>
            </w:pPr>
            <w:proofErr w:type="spellStart"/>
            <w:r w:rsidRPr="002A499E">
              <w:t>E</w:t>
            </w:r>
            <w:r w:rsidR="00D2491B">
              <w:t>viplera</w:t>
            </w:r>
            <w:proofErr w:type="spellEnd"/>
            <w:r w:rsidRPr="002A499E">
              <w:t xml:space="preserve"> </w:t>
            </w:r>
            <w:r w:rsidR="00F85689" w:rsidRPr="00F85689">
              <w:t>is indicated for the treatment of HIV infection in treatment-naive adult patients with plasma HIV-1 RNA less than or equal to</w:t>
            </w:r>
            <w:r w:rsidR="00F85689">
              <w:t xml:space="preserve"> </w:t>
            </w:r>
            <w:r w:rsidR="00F85689" w:rsidRPr="00F85689">
              <w:t>100,000 copies/mL at the start of therapy.</w:t>
            </w:r>
          </w:p>
        </w:tc>
      </w:tr>
      <w:tr w:rsidR="008E7846" w:rsidRPr="00487162" w:rsidTr="00E50077">
        <w:trPr>
          <w:gridAfter w:val="1"/>
          <w:wAfter w:w="283" w:type="dxa"/>
        </w:trPr>
        <w:tc>
          <w:tcPr>
            <w:tcW w:w="2907" w:type="dxa"/>
          </w:tcPr>
          <w:p w:rsidR="008E7846" w:rsidRPr="00487162" w:rsidRDefault="00F85FBE" w:rsidP="00E45619">
            <w:pPr>
              <w:rPr>
                <w:i/>
              </w:rPr>
            </w:pPr>
            <w:r>
              <w:rPr>
                <w:i/>
              </w:rPr>
              <w:t>Route</w:t>
            </w:r>
            <w:r w:rsidR="008E7846" w:rsidRPr="00487162">
              <w:rPr>
                <w:i/>
              </w:rPr>
              <w:t xml:space="preserve"> of administration:</w:t>
            </w:r>
          </w:p>
        </w:tc>
        <w:tc>
          <w:tcPr>
            <w:tcW w:w="6307" w:type="dxa"/>
          </w:tcPr>
          <w:p w:rsidR="008E7846" w:rsidRPr="00487162" w:rsidRDefault="00B72678" w:rsidP="00E45619">
            <w:r>
              <w:t>Oral</w:t>
            </w:r>
          </w:p>
        </w:tc>
      </w:tr>
      <w:tr w:rsidR="008E7846" w:rsidRPr="00487162" w:rsidTr="00E50077">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B72678" w:rsidP="002B0EFA">
            <w:r w:rsidRPr="00B72678">
              <w:t>One tablet on</w:t>
            </w:r>
            <w:r>
              <w:t>ce daily taken with food</w:t>
            </w:r>
          </w:p>
        </w:tc>
      </w:tr>
      <w:tr w:rsidR="008E7846" w:rsidRPr="00487162" w:rsidTr="00E50077">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F85FBE">
              <w:rPr>
                <w:i/>
              </w:rPr>
              <w:t>umber</w:t>
            </w:r>
            <w:r w:rsidR="001B5C90">
              <w:rPr>
                <w:i/>
              </w:rPr>
              <w:t>:</w:t>
            </w:r>
          </w:p>
        </w:tc>
        <w:tc>
          <w:tcPr>
            <w:tcW w:w="6307" w:type="dxa"/>
          </w:tcPr>
          <w:p w:rsidR="008E7846" w:rsidRPr="00487162" w:rsidRDefault="00F85FBE" w:rsidP="00E45619">
            <w:r w:rsidRPr="00F85FBE">
              <w:t>176537</w:t>
            </w:r>
          </w:p>
        </w:tc>
      </w:tr>
    </w:tbl>
    <w:p w:rsidR="008E7846" w:rsidRDefault="008E7846" w:rsidP="00E50077">
      <w:pPr>
        <w:pStyle w:val="Heading3"/>
      </w:pPr>
      <w:bookmarkStart w:id="12" w:name="_Toc247691503"/>
      <w:bookmarkStart w:id="13" w:name="_Toc314842484"/>
      <w:bookmarkStart w:id="14" w:name="_Toc396298043"/>
      <w:r>
        <w:t xml:space="preserve">Product </w:t>
      </w:r>
      <w:r w:rsidR="00F07077">
        <w:t>b</w:t>
      </w:r>
      <w:r>
        <w:t>ackground</w:t>
      </w:r>
      <w:bookmarkEnd w:id="12"/>
      <w:bookmarkEnd w:id="13"/>
      <w:bookmarkEnd w:id="14"/>
    </w:p>
    <w:p w:rsidR="00363FF6" w:rsidRDefault="00940A89" w:rsidP="00E50077">
      <w:r w:rsidRPr="00940A89">
        <w:t xml:space="preserve">This </w:t>
      </w:r>
      <w:proofErr w:type="spellStart"/>
      <w:r w:rsidRPr="00940A89">
        <w:t>AusPAR</w:t>
      </w:r>
      <w:proofErr w:type="spellEnd"/>
      <w:r w:rsidRPr="00940A89">
        <w:t xml:space="preserve"> describes the application by </w:t>
      </w:r>
      <w:r w:rsidR="00126CC3">
        <w:t xml:space="preserve">Gilead Sciences Pty Ltd to </w:t>
      </w:r>
      <w:r w:rsidR="00841D7C">
        <w:t>extend the indications of</w:t>
      </w:r>
      <w:r w:rsidR="00126CC3">
        <w:t xml:space="preserve"> </w:t>
      </w:r>
      <w:proofErr w:type="spellStart"/>
      <w:r w:rsidR="00126CC3">
        <w:t>Eviplera</w:t>
      </w:r>
      <w:proofErr w:type="spellEnd"/>
      <w:r w:rsidR="00B355A7">
        <w:t xml:space="preserve">. </w:t>
      </w:r>
      <w:proofErr w:type="spellStart"/>
      <w:r w:rsidR="00B355A7">
        <w:t>E</w:t>
      </w:r>
      <w:r w:rsidR="00B355A7" w:rsidRPr="00B355A7">
        <w:t>viplera</w:t>
      </w:r>
      <w:proofErr w:type="spellEnd"/>
      <w:r w:rsidR="00B355A7">
        <w:t xml:space="preserve"> t</w:t>
      </w:r>
      <w:r w:rsidR="00B355A7" w:rsidRPr="00B355A7">
        <w:t xml:space="preserve">ablets are a co-formulation of </w:t>
      </w:r>
      <w:proofErr w:type="spellStart"/>
      <w:r w:rsidR="004412B9">
        <w:t>t</w:t>
      </w:r>
      <w:r w:rsidR="00B355A7">
        <w:t>enofovir</w:t>
      </w:r>
      <w:proofErr w:type="spellEnd"/>
      <w:r w:rsidR="00B355A7">
        <w:t xml:space="preserve"> </w:t>
      </w:r>
      <w:proofErr w:type="spellStart"/>
      <w:r w:rsidR="00B355A7">
        <w:t>disoproxil</w:t>
      </w:r>
      <w:proofErr w:type="spellEnd"/>
      <w:r w:rsidR="00B355A7">
        <w:t xml:space="preserve"> </w:t>
      </w:r>
      <w:proofErr w:type="spellStart"/>
      <w:r w:rsidR="00B355A7">
        <w:t>fumarate</w:t>
      </w:r>
      <w:proofErr w:type="spellEnd"/>
      <w:r w:rsidR="00B355A7">
        <w:t xml:space="preserve"> (TDF) and </w:t>
      </w:r>
      <w:proofErr w:type="spellStart"/>
      <w:r w:rsidR="004412B9" w:rsidRPr="008104B2">
        <w:t>emtricitabine</w:t>
      </w:r>
      <w:proofErr w:type="spellEnd"/>
      <w:r w:rsidR="004412B9">
        <w:t xml:space="preserve"> </w:t>
      </w:r>
      <w:r w:rsidR="00B355A7">
        <w:t>(</w:t>
      </w:r>
      <w:r w:rsidR="00B355A7" w:rsidRPr="00B355A7">
        <w:t>FTC</w:t>
      </w:r>
      <w:r w:rsidR="00B355A7">
        <w:t>)</w:t>
      </w:r>
      <w:r w:rsidR="00B355A7" w:rsidRPr="00B355A7">
        <w:t>, the standard of care nucleoside/nucleotide reve</w:t>
      </w:r>
      <w:r w:rsidR="00C74FD3">
        <w:t>rse transcriptase inhibitors (N</w:t>
      </w:r>
      <w:r w:rsidR="00B355A7" w:rsidRPr="00B355A7">
        <w:t>RTI</w:t>
      </w:r>
      <w:r w:rsidR="00F5190D">
        <w:t>s</w:t>
      </w:r>
      <w:r w:rsidR="00B355A7" w:rsidRPr="00B355A7">
        <w:t xml:space="preserve">) backbone, with the non-nucleoside reverse transcriptase inhibitor (NNRTI) </w:t>
      </w:r>
      <w:proofErr w:type="spellStart"/>
      <w:r w:rsidR="004F0BBF" w:rsidRPr="008104B2">
        <w:t>rilpivirine</w:t>
      </w:r>
      <w:proofErr w:type="spellEnd"/>
      <w:r w:rsidR="004F0BBF" w:rsidRPr="00B355A7">
        <w:t xml:space="preserve"> </w:t>
      </w:r>
      <w:r w:rsidR="004F0BBF">
        <w:t>(</w:t>
      </w:r>
      <w:r w:rsidR="00B355A7" w:rsidRPr="00B355A7">
        <w:t>RPV</w:t>
      </w:r>
      <w:r w:rsidR="004F0BBF">
        <w:t>)</w:t>
      </w:r>
      <w:r w:rsidR="00363FF6">
        <w:t xml:space="preserve"> </w:t>
      </w:r>
      <w:r w:rsidR="00B355A7" w:rsidRPr="00B355A7">
        <w:t xml:space="preserve">for the treatment of </w:t>
      </w:r>
      <w:r w:rsidR="00092173">
        <w:t xml:space="preserve">the </w:t>
      </w:r>
      <w:r w:rsidR="00092173" w:rsidRPr="00092173">
        <w:t>human immunodeficiency virus</w:t>
      </w:r>
      <w:r w:rsidR="00092173">
        <w:t xml:space="preserve"> type 1 (</w:t>
      </w:r>
      <w:r w:rsidR="00B355A7" w:rsidRPr="00B355A7">
        <w:t>HIV-1</w:t>
      </w:r>
      <w:r w:rsidR="00092173">
        <w:t>)</w:t>
      </w:r>
      <w:r w:rsidR="00363FF6">
        <w:t>.</w:t>
      </w:r>
    </w:p>
    <w:p w:rsidR="00B54D27" w:rsidRDefault="00B355A7" w:rsidP="00E50077">
      <w:r w:rsidRPr="00B355A7">
        <w:t xml:space="preserve">The approved indication is </w:t>
      </w:r>
      <w:r w:rsidR="00B54D27">
        <w:t>as follows:</w:t>
      </w:r>
    </w:p>
    <w:p w:rsidR="00B355A7" w:rsidRPr="00720A63" w:rsidRDefault="00B355A7" w:rsidP="00720A63">
      <w:pPr>
        <w:ind w:left="720"/>
        <w:rPr>
          <w:i/>
        </w:rPr>
      </w:pPr>
      <w:proofErr w:type="spellStart"/>
      <w:r w:rsidRPr="00720A63">
        <w:rPr>
          <w:i/>
        </w:rPr>
        <w:t>Eviplera</w:t>
      </w:r>
      <w:proofErr w:type="spellEnd"/>
      <w:r w:rsidRPr="00720A63">
        <w:rPr>
          <w:i/>
        </w:rPr>
        <w:t xml:space="preserve"> is indicated for the treatment of HIV infection in </w:t>
      </w:r>
      <w:r w:rsidR="00317523">
        <w:rPr>
          <w:i/>
        </w:rPr>
        <w:t>treatment-nai</w:t>
      </w:r>
      <w:r w:rsidRPr="00720A63">
        <w:rPr>
          <w:i/>
        </w:rPr>
        <w:t xml:space="preserve">ve adult (18 years of older) patients with plasma HIV-1 RNA ≤100,000 </w:t>
      </w:r>
      <w:r w:rsidR="00A0445C">
        <w:rPr>
          <w:i/>
        </w:rPr>
        <w:t>copies</w:t>
      </w:r>
      <w:r w:rsidRPr="00720A63">
        <w:rPr>
          <w:i/>
        </w:rPr>
        <w:t>/</w:t>
      </w:r>
      <w:proofErr w:type="spellStart"/>
      <w:r w:rsidRPr="00720A63">
        <w:rPr>
          <w:i/>
        </w:rPr>
        <w:t>mL.</w:t>
      </w:r>
      <w:proofErr w:type="spellEnd"/>
    </w:p>
    <w:p w:rsidR="00B54D27" w:rsidRDefault="00B355A7" w:rsidP="00E50077">
      <w:r w:rsidRPr="00B355A7">
        <w:t>The proposed additional indication is</w:t>
      </w:r>
      <w:r w:rsidR="00D45FBE">
        <w:t>:</w:t>
      </w:r>
    </w:p>
    <w:p w:rsidR="00474605" w:rsidRDefault="00B54D27" w:rsidP="00720A63">
      <w:pPr>
        <w:ind w:left="720"/>
        <w:rPr>
          <w:i/>
        </w:rPr>
      </w:pPr>
      <w:proofErr w:type="spellStart"/>
      <w:r w:rsidRPr="00720A63">
        <w:rPr>
          <w:i/>
        </w:rPr>
        <w:t>Eviplera</w:t>
      </w:r>
      <w:proofErr w:type="spellEnd"/>
      <w:r w:rsidRPr="00720A63">
        <w:rPr>
          <w:i/>
        </w:rPr>
        <w:t xml:space="preserve"> is</w:t>
      </w:r>
      <w:r w:rsidR="00D45FBE" w:rsidRPr="00720A63">
        <w:rPr>
          <w:i/>
        </w:rPr>
        <w:t xml:space="preserve"> indicated for the treatment </w:t>
      </w:r>
      <w:r w:rsidR="00B355A7" w:rsidRPr="00720A63">
        <w:rPr>
          <w:i/>
        </w:rPr>
        <w:t xml:space="preserve">of HIV infection in adult patients with plasma HIV-1 RNA ≤500,000 </w:t>
      </w:r>
      <w:r w:rsidR="00A0445C">
        <w:rPr>
          <w:i/>
        </w:rPr>
        <w:t>copies</w:t>
      </w:r>
      <w:r w:rsidR="00B355A7" w:rsidRPr="00720A63">
        <w:rPr>
          <w:i/>
        </w:rPr>
        <w:t>/</w:t>
      </w:r>
      <w:proofErr w:type="spellStart"/>
      <w:r w:rsidR="00B355A7" w:rsidRPr="00720A63">
        <w:rPr>
          <w:i/>
        </w:rPr>
        <w:t>mL</w:t>
      </w:r>
      <w:r w:rsidR="00474605">
        <w:rPr>
          <w:i/>
        </w:rPr>
        <w:t>.</w:t>
      </w:r>
      <w:proofErr w:type="spellEnd"/>
    </w:p>
    <w:p w:rsidR="00B355A7" w:rsidRPr="00474605" w:rsidRDefault="00474605" w:rsidP="00474605">
      <w:r w:rsidRPr="00474605">
        <w:lastRenderedPageBreak/>
        <w:t xml:space="preserve">That is, </w:t>
      </w:r>
      <w:r w:rsidR="00B355A7" w:rsidRPr="00474605">
        <w:t xml:space="preserve">broadening </w:t>
      </w:r>
      <w:r w:rsidR="00E20E2D">
        <w:t xml:space="preserve">the </w:t>
      </w:r>
      <w:r w:rsidR="00B355A7" w:rsidRPr="00474605">
        <w:t xml:space="preserve">use </w:t>
      </w:r>
      <w:r w:rsidRPr="00474605">
        <w:t xml:space="preserve">of </w:t>
      </w:r>
      <w:proofErr w:type="spellStart"/>
      <w:r w:rsidRPr="00474605">
        <w:t>Eviplera</w:t>
      </w:r>
      <w:proofErr w:type="spellEnd"/>
      <w:r w:rsidRPr="00474605">
        <w:t xml:space="preserve"> </w:t>
      </w:r>
      <w:r w:rsidR="00B355A7" w:rsidRPr="00474605">
        <w:t>to include treatment</w:t>
      </w:r>
      <w:r w:rsidR="007E0610">
        <w:t xml:space="preserve"> </w:t>
      </w:r>
      <w:r w:rsidR="00B355A7" w:rsidRPr="00474605">
        <w:t>experienced patients with a plasma HIV</w:t>
      </w:r>
      <w:r w:rsidR="00C9321D">
        <w:t>-1</w:t>
      </w:r>
      <w:r w:rsidR="00B355A7" w:rsidRPr="00474605">
        <w:t xml:space="preserve"> RNA of less than or equal to 500,000 </w:t>
      </w:r>
      <w:r w:rsidR="00A0445C">
        <w:t>copies</w:t>
      </w:r>
      <w:r w:rsidR="00E50077">
        <w:t>/</w:t>
      </w:r>
      <w:proofErr w:type="spellStart"/>
      <w:r w:rsidR="00E50077">
        <w:t>mL.</w:t>
      </w:r>
      <w:proofErr w:type="spellEnd"/>
    </w:p>
    <w:p w:rsidR="008E7846" w:rsidRPr="003F31A2" w:rsidRDefault="00386150" w:rsidP="003B49DD">
      <w:pPr>
        <w:pStyle w:val="Heading3"/>
      </w:pPr>
      <w:bookmarkStart w:id="15" w:name="_Toc314842485"/>
      <w:bookmarkStart w:id="16" w:name="_Toc247691504"/>
      <w:bookmarkStart w:id="17" w:name="_Toc396298044"/>
      <w:r>
        <w:t xml:space="preserve">Regulatory </w:t>
      </w:r>
      <w:r w:rsidR="00F07077" w:rsidRPr="003B49DD">
        <w:t>s</w:t>
      </w:r>
      <w:r w:rsidR="008E7846" w:rsidRPr="003B49DD">
        <w:t>tatus</w:t>
      </w:r>
      <w:bookmarkEnd w:id="15"/>
      <w:bookmarkEnd w:id="16"/>
      <w:bookmarkEnd w:id="17"/>
    </w:p>
    <w:p w:rsidR="00363FF6" w:rsidRDefault="00363FF6" w:rsidP="00E50077">
      <w:bookmarkStart w:id="18" w:name="_Toc247691505"/>
      <w:bookmarkStart w:id="19" w:name="_Toc314842486"/>
      <w:r>
        <w:t xml:space="preserve">The international regulatory status for </w:t>
      </w:r>
      <w:proofErr w:type="spellStart"/>
      <w:r>
        <w:t>Eviplera</w:t>
      </w:r>
      <w:proofErr w:type="spellEnd"/>
      <w:r>
        <w:t xml:space="preserve"> at the time of the Australian submission to the TGA is shown in Table 1.</w:t>
      </w:r>
    </w:p>
    <w:p w:rsidR="00631417" w:rsidRDefault="00631417" w:rsidP="00E50077">
      <w:pPr>
        <w:pStyle w:val="TableTitle"/>
      </w:pPr>
      <w:proofErr w:type="gramStart"/>
      <w:r>
        <w:t>Table 1:</w:t>
      </w:r>
      <w:r w:rsidRPr="004C5C28">
        <w:t xml:space="preserve"> </w:t>
      </w:r>
      <w:r w:rsidRPr="006C6277">
        <w:t xml:space="preserve">International </w:t>
      </w:r>
      <w:r>
        <w:t>r</w:t>
      </w:r>
      <w:r w:rsidRPr="006C6277">
        <w:t xml:space="preserve">egulatory </w:t>
      </w:r>
      <w:r>
        <w:t>status for</w:t>
      </w:r>
      <w:r w:rsidRPr="006C6277">
        <w:t xml:space="preserve"> </w:t>
      </w:r>
      <w:proofErr w:type="spellStart"/>
      <w:r w:rsidR="007E651E">
        <w:t>Eviplera</w:t>
      </w:r>
      <w:proofErr w:type="spellEnd"/>
      <w:r w:rsidR="007E651E">
        <w:t xml:space="preserve"> at the time of Australian submission</w:t>
      </w:r>
      <w:r>
        <w:t>.</w:t>
      </w:r>
      <w:proofErr w:type="gramEnd"/>
    </w:p>
    <w:p w:rsidR="00FB029F" w:rsidRDefault="00355E47" w:rsidP="00E50077">
      <w:r>
        <w:rPr>
          <w:noProof/>
          <w:lang w:eastAsia="en-AU"/>
        </w:rPr>
        <w:drawing>
          <wp:inline distT="0" distB="0" distL="0" distR="0" wp14:anchorId="47F4FB8D" wp14:editId="1C631B61">
            <wp:extent cx="4998720" cy="2905760"/>
            <wp:effectExtent l="0" t="0" r="0" b="8890"/>
            <wp:docPr id="8" name="Picture 1" descr="Table 1: International regulatory status for Eviplera at the time of Australian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International regulatory status for Eviplera at the time of Australian submiss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8720" cy="2905760"/>
                    </a:xfrm>
                    <a:prstGeom prst="rect">
                      <a:avLst/>
                    </a:prstGeom>
                    <a:noFill/>
                    <a:ln>
                      <a:noFill/>
                    </a:ln>
                  </pic:spPr>
                </pic:pic>
              </a:graphicData>
            </a:graphic>
          </wp:inline>
        </w:drawing>
      </w:r>
      <w:r>
        <w:rPr>
          <w:noProof/>
          <w:lang w:eastAsia="en-AU"/>
        </w:rPr>
        <w:drawing>
          <wp:inline distT="0" distB="0" distL="0" distR="0" wp14:anchorId="211E12D6" wp14:editId="19C550DE">
            <wp:extent cx="4993640" cy="2712720"/>
            <wp:effectExtent l="0" t="0" r="0" b="0"/>
            <wp:docPr id="2" name="Picture 2" descr="Table 1: International regulatory status for Eviplera at the time of Australian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1: International regulatory status for Eviplera at the time of Australian submiss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3640" cy="2712720"/>
                    </a:xfrm>
                    <a:prstGeom prst="rect">
                      <a:avLst/>
                    </a:prstGeom>
                    <a:noFill/>
                    <a:ln>
                      <a:noFill/>
                    </a:ln>
                  </pic:spPr>
                </pic:pic>
              </a:graphicData>
            </a:graphic>
          </wp:inline>
        </w:drawing>
      </w:r>
    </w:p>
    <w:p w:rsidR="008E7846" w:rsidRDefault="008E7846" w:rsidP="00E50077">
      <w:pPr>
        <w:pStyle w:val="Heading3"/>
      </w:pPr>
      <w:bookmarkStart w:id="20" w:name="_Toc396298045"/>
      <w:r>
        <w:t xml:space="preserve">Product </w:t>
      </w:r>
      <w:r w:rsidR="00F07077">
        <w:t>i</w:t>
      </w:r>
      <w:r>
        <w:t>nformation</w:t>
      </w:r>
      <w:bookmarkEnd w:id="18"/>
      <w:bookmarkEnd w:id="19"/>
      <w:bookmarkEnd w:id="20"/>
    </w:p>
    <w:p w:rsidR="00940A89" w:rsidRDefault="00940A89" w:rsidP="00940A89">
      <w:pPr>
        <w:rPr>
          <w:b/>
          <w:bCs/>
        </w:rPr>
      </w:pPr>
      <w:bookmarkStart w:id="21" w:name="_Toc247691506"/>
      <w:bookmarkStart w:id="22" w:name="_Toc314842487"/>
      <w:r w:rsidRPr="00940A89">
        <w:t xml:space="preserve">The approved Product Information (PI) current at the time this </w:t>
      </w:r>
      <w:proofErr w:type="spellStart"/>
      <w:r w:rsidRPr="00940A89">
        <w:t>AusPAR</w:t>
      </w:r>
      <w:proofErr w:type="spellEnd"/>
      <w:r w:rsidRPr="00940A89">
        <w:t xml:space="preserve"> was prepared can be found as Attachment 1. For the most recent Product Information please refer to the TGA website at &lt;</w:t>
      </w:r>
      <w:hyperlink r:id="rId19" w:history="1">
        <w:r w:rsidRPr="00940A89">
          <w:rPr>
            <w:rStyle w:val="Hyperlink"/>
          </w:rPr>
          <w:t>http://www.tga.gov.au/hp/information-medicines-pi.htm</w:t>
        </w:r>
      </w:hyperlink>
      <w:r w:rsidRPr="00940A89">
        <w:t>&gt;.</w:t>
      </w:r>
    </w:p>
    <w:p w:rsidR="008E7846" w:rsidRPr="003602A9" w:rsidRDefault="008E7846" w:rsidP="003B49DD">
      <w:pPr>
        <w:pStyle w:val="Heading2"/>
      </w:pPr>
      <w:bookmarkStart w:id="23" w:name="_Toc396298046"/>
      <w:r>
        <w:t xml:space="preserve">II. </w:t>
      </w:r>
      <w:r w:rsidRPr="003B49DD">
        <w:t>Quality</w:t>
      </w:r>
      <w:bookmarkEnd w:id="1"/>
      <w:r>
        <w:t xml:space="preserve"> findings</w:t>
      </w:r>
      <w:bookmarkEnd w:id="21"/>
      <w:bookmarkEnd w:id="22"/>
      <w:bookmarkEnd w:id="23"/>
    </w:p>
    <w:p w:rsidR="00940A89" w:rsidRPr="00940A89" w:rsidRDefault="00940A89" w:rsidP="00E50077">
      <w:bookmarkStart w:id="24" w:name="_Toc247691507"/>
      <w:bookmarkStart w:id="25" w:name="_Toc314842488"/>
      <w:r w:rsidRPr="00940A89">
        <w:t>There was no requirement for a quality evaluation in a submission of this type.</w:t>
      </w:r>
    </w:p>
    <w:p w:rsidR="008E7846" w:rsidRDefault="008E7846" w:rsidP="00E50077">
      <w:pPr>
        <w:pStyle w:val="Heading2"/>
      </w:pPr>
      <w:bookmarkStart w:id="26" w:name="_Toc196046439"/>
      <w:bookmarkStart w:id="27" w:name="_Toc247691510"/>
      <w:bookmarkStart w:id="28" w:name="_Toc314842494"/>
      <w:bookmarkStart w:id="29" w:name="_Toc396298047"/>
      <w:bookmarkEnd w:id="24"/>
      <w:bookmarkEnd w:id="25"/>
      <w:r>
        <w:lastRenderedPageBreak/>
        <w:t>III. Nonclinical</w:t>
      </w:r>
      <w:bookmarkEnd w:id="26"/>
      <w:r>
        <w:t xml:space="preserve"> findings</w:t>
      </w:r>
      <w:bookmarkEnd w:id="27"/>
      <w:bookmarkEnd w:id="28"/>
      <w:bookmarkEnd w:id="29"/>
    </w:p>
    <w:p w:rsidR="00940A89" w:rsidRDefault="00940A89" w:rsidP="00E50077">
      <w:bookmarkStart w:id="30" w:name="_Toc247691511"/>
      <w:bookmarkStart w:id="31" w:name="_Toc314842495"/>
      <w:r>
        <w:t>There was no requirement for a nonclinical evaluation in a submission of this type.</w:t>
      </w:r>
    </w:p>
    <w:p w:rsidR="008E7846" w:rsidRPr="00254787" w:rsidRDefault="008E7846" w:rsidP="00E50077">
      <w:pPr>
        <w:pStyle w:val="Heading2"/>
      </w:pPr>
      <w:bookmarkStart w:id="32" w:name="_Toc196046462"/>
      <w:bookmarkStart w:id="33" w:name="_Toc247691516"/>
      <w:bookmarkStart w:id="34" w:name="_Toc314842500"/>
      <w:bookmarkStart w:id="35" w:name="_Toc396298048"/>
      <w:bookmarkStart w:id="36" w:name="_Toc163441353"/>
      <w:bookmarkStart w:id="37" w:name="_Toc163441348"/>
      <w:bookmarkEnd w:id="30"/>
      <w:bookmarkEnd w:id="31"/>
      <w:r>
        <w:t xml:space="preserve">IV. </w:t>
      </w:r>
      <w:r w:rsidRPr="00254787">
        <w:t>Clinical</w:t>
      </w:r>
      <w:bookmarkEnd w:id="32"/>
      <w:r>
        <w:t xml:space="preserve"> </w:t>
      </w:r>
      <w:r w:rsidR="003A7F6C">
        <w:t>f</w:t>
      </w:r>
      <w:r>
        <w:t>indings</w:t>
      </w:r>
      <w:bookmarkEnd w:id="33"/>
      <w:bookmarkEnd w:id="34"/>
      <w:bookmarkEnd w:id="35"/>
    </w:p>
    <w:p w:rsidR="00C80137" w:rsidRDefault="00C80137" w:rsidP="00E50077">
      <w:bookmarkStart w:id="38"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3B49DD">
      <w:pPr>
        <w:pStyle w:val="Heading3"/>
      </w:pPr>
      <w:bookmarkStart w:id="39" w:name="_Toc247691517"/>
      <w:bookmarkStart w:id="40" w:name="_Toc314842501"/>
      <w:bookmarkStart w:id="41" w:name="_Toc396298049"/>
      <w:r w:rsidRPr="003B49DD">
        <w:t>Introduction</w:t>
      </w:r>
      <w:bookmarkEnd w:id="38"/>
      <w:bookmarkEnd w:id="39"/>
      <w:bookmarkEnd w:id="40"/>
      <w:bookmarkEnd w:id="41"/>
    </w:p>
    <w:p w:rsidR="00605AD4" w:rsidRPr="00605AD4" w:rsidRDefault="00605AD4" w:rsidP="003B49DD">
      <w:pPr>
        <w:pStyle w:val="Heading4"/>
      </w:pPr>
      <w:bookmarkStart w:id="42" w:name="_Toc196046464"/>
      <w:bookmarkStart w:id="43" w:name="_Toc247691518"/>
      <w:bookmarkStart w:id="44" w:name="_Toc314842502"/>
      <w:r w:rsidRPr="00605AD4">
        <w:t xml:space="preserve">Clinical </w:t>
      </w:r>
      <w:r w:rsidR="000E55BF" w:rsidRPr="003B49DD">
        <w:t>r</w:t>
      </w:r>
      <w:r w:rsidRPr="003B49DD">
        <w:t>ationale</w:t>
      </w:r>
    </w:p>
    <w:p w:rsidR="006D3949" w:rsidRPr="006D3949" w:rsidRDefault="006D3949" w:rsidP="00E50077">
      <w:r w:rsidRPr="006D3949">
        <w:t xml:space="preserve">There are an increasing number of fixed dose combination (FDC) drugs for the treatment of HIV-1 infection and </w:t>
      </w:r>
      <w:proofErr w:type="spellStart"/>
      <w:r w:rsidRPr="006D3949">
        <w:t>Eviplera</w:t>
      </w:r>
      <w:proofErr w:type="spellEnd"/>
      <w:r w:rsidRPr="006D3949">
        <w:t xml:space="preserve"> is one. This FDC was developed as a complete </w:t>
      </w:r>
      <w:r w:rsidR="00B57709">
        <w:t>antiretroviral (ARV)</w:t>
      </w:r>
      <w:r w:rsidRPr="006D3949">
        <w:t xml:space="preserve"> regimen for administration as a single tablet, administered once daily (OD) with a meal. The efficacy, safety, and tolerability of the TDF </w:t>
      </w:r>
      <w:r w:rsidR="00020365">
        <w:t xml:space="preserve">and FTC </w:t>
      </w:r>
      <w:r w:rsidRPr="006D3949">
        <w:t xml:space="preserve">components of </w:t>
      </w:r>
      <w:proofErr w:type="spellStart"/>
      <w:r w:rsidRPr="006D3949">
        <w:t>Eviplera</w:t>
      </w:r>
      <w:proofErr w:type="spellEnd"/>
      <w:r w:rsidRPr="006D3949">
        <w:t xml:space="preserve"> single </w:t>
      </w:r>
      <w:r w:rsidR="005A31BE">
        <w:t>t</w:t>
      </w:r>
      <w:r w:rsidR="003560EB">
        <w:t>ablet</w:t>
      </w:r>
      <w:r w:rsidR="005A31BE">
        <w:t xml:space="preserve"> </w:t>
      </w:r>
      <w:r w:rsidRPr="006D3949">
        <w:t xml:space="preserve">regimen (STR) are well established, and key efficacy and safety data were provided in their respective original marketing applications. Within the NRTI-NNRTI class of FDC, </w:t>
      </w:r>
      <w:proofErr w:type="spellStart"/>
      <w:r w:rsidRPr="006D3949">
        <w:t>Eviplera</w:t>
      </w:r>
      <w:proofErr w:type="spellEnd"/>
      <w:r w:rsidRPr="006D3949">
        <w:t xml:space="preserve"> is an alternative agent to </w:t>
      </w:r>
      <w:proofErr w:type="spellStart"/>
      <w:r w:rsidRPr="006D3949">
        <w:t>Atripla</w:t>
      </w:r>
      <w:proofErr w:type="spellEnd"/>
      <w:r w:rsidRPr="006D3949">
        <w:t xml:space="preserve">, the FDC consisting of </w:t>
      </w:r>
      <w:r w:rsidR="00020365">
        <w:t>TDF, FTC and</w:t>
      </w:r>
      <w:r w:rsidRPr="006D3949">
        <w:t xml:space="preserve"> </w:t>
      </w:r>
      <w:proofErr w:type="spellStart"/>
      <w:r w:rsidRPr="006D3949">
        <w:t>efavirenz</w:t>
      </w:r>
      <w:proofErr w:type="spellEnd"/>
      <w:r w:rsidR="00067A87">
        <w:t xml:space="preserve"> (</w:t>
      </w:r>
      <w:r w:rsidR="00067A87" w:rsidRPr="006D3949">
        <w:t>EFV</w:t>
      </w:r>
      <w:r w:rsidR="00067A87">
        <w:t>)</w:t>
      </w:r>
      <w:r w:rsidRPr="006D3949">
        <w:t xml:space="preserve">. </w:t>
      </w:r>
      <w:proofErr w:type="spellStart"/>
      <w:r w:rsidRPr="006D3949">
        <w:t>Eviplera</w:t>
      </w:r>
      <w:proofErr w:type="spellEnd"/>
      <w:r w:rsidRPr="006D3949">
        <w:t xml:space="preserve"> is registered as a drug for use in an </w:t>
      </w:r>
      <w:r w:rsidR="00B57709">
        <w:t xml:space="preserve">ARV </w:t>
      </w:r>
      <w:r w:rsidRPr="006D3949">
        <w:t xml:space="preserve">naïve setting in adults with HIV-1 infection. The clinical rationale for broadening its indication is </w:t>
      </w:r>
      <w:proofErr w:type="spellStart"/>
      <w:r w:rsidRPr="006D3949">
        <w:t>two</w:t>
      </w:r>
      <w:r w:rsidR="000D47E1">
        <w:t xml:space="preserve"> </w:t>
      </w:r>
      <w:r w:rsidRPr="006D3949">
        <w:t>fold</w:t>
      </w:r>
      <w:proofErr w:type="spellEnd"/>
      <w:r w:rsidRPr="006D3949">
        <w:t>:</w:t>
      </w:r>
    </w:p>
    <w:p w:rsidR="006D3949" w:rsidRPr="003B49DD" w:rsidRDefault="006D3949" w:rsidP="003B49DD">
      <w:pPr>
        <w:pStyle w:val="ListBullet"/>
      </w:pPr>
      <w:r w:rsidRPr="00E50077">
        <w:t xml:space="preserve">To allow its </w:t>
      </w:r>
      <w:r w:rsidRPr="003B49DD">
        <w:t>use in naïve patients with higher plasma HIV RNA</w:t>
      </w:r>
      <w:r w:rsidR="00FF4154" w:rsidRPr="003B49DD">
        <w:t xml:space="preserve">, that is higher than 100,000 copies/mL; </w:t>
      </w:r>
      <w:r w:rsidRPr="003B49DD">
        <w:t>and</w:t>
      </w:r>
    </w:p>
    <w:p w:rsidR="006D3949" w:rsidRPr="00E50077" w:rsidRDefault="006D3949" w:rsidP="003B49DD">
      <w:pPr>
        <w:pStyle w:val="ListBullet"/>
      </w:pPr>
      <w:r w:rsidRPr="003B49DD">
        <w:t>To allow its use in a treatment experienced setting including as a switch drug. An example would be if the patient is intolerant to the NNRTI</w:t>
      </w:r>
      <w:r w:rsidR="00AD2655" w:rsidRPr="003B49DD">
        <w:t xml:space="preserve"> </w:t>
      </w:r>
      <w:r w:rsidR="00F85689" w:rsidRPr="003B49DD">
        <w:t xml:space="preserve">component of their current FDC, </w:t>
      </w:r>
      <w:r w:rsidRPr="003B49DD">
        <w:t xml:space="preserve">then the patient could be switched </w:t>
      </w:r>
      <w:r w:rsidR="000D47E1" w:rsidRPr="003B49DD">
        <w:t xml:space="preserve">to </w:t>
      </w:r>
      <w:proofErr w:type="spellStart"/>
      <w:r w:rsidR="000D47E1" w:rsidRPr="003B49DD">
        <w:t>Eviplera</w:t>
      </w:r>
      <w:proofErr w:type="spellEnd"/>
      <w:r w:rsidR="000D47E1" w:rsidRPr="003B49DD">
        <w:t xml:space="preserve"> in lieu of </w:t>
      </w:r>
      <w:proofErr w:type="spellStart"/>
      <w:r w:rsidR="000D47E1" w:rsidRPr="003B49DD">
        <w:t>Atripla</w:t>
      </w:r>
      <w:proofErr w:type="spellEnd"/>
      <w:r w:rsidR="000D47E1" w:rsidRPr="003B49DD">
        <w:t>. I</w:t>
      </w:r>
      <w:r w:rsidRPr="003B49DD">
        <w:t>n other words</w:t>
      </w:r>
      <w:r w:rsidR="000D47E1" w:rsidRPr="003B49DD">
        <w:t>,</w:t>
      </w:r>
      <w:r w:rsidRPr="003B49DD">
        <w:t xml:space="preserve"> the registration of </w:t>
      </w:r>
      <w:proofErr w:type="spellStart"/>
      <w:r w:rsidRPr="003B49DD">
        <w:t>Eviplera</w:t>
      </w:r>
      <w:proofErr w:type="spellEnd"/>
      <w:r w:rsidRPr="00E50077">
        <w:t xml:space="preserve"> in this setting allows an </w:t>
      </w:r>
      <w:proofErr w:type="spellStart"/>
      <w:r w:rsidRPr="00E50077">
        <w:t>intra</w:t>
      </w:r>
      <w:r w:rsidR="00FF4154" w:rsidRPr="00E50077">
        <w:t xml:space="preserve"> </w:t>
      </w:r>
      <w:r w:rsidRPr="00E50077">
        <w:t>class</w:t>
      </w:r>
      <w:proofErr w:type="spellEnd"/>
      <w:r w:rsidRPr="00E50077">
        <w:t xml:space="preserve"> switch for intolerance through the rep</w:t>
      </w:r>
      <w:r w:rsidR="00E50077">
        <w:t>lacement of one FDC by another.</w:t>
      </w:r>
    </w:p>
    <w:p w:rsidR="00605AD4" w:rsidRPr="00605AD4" w:rsidRDefault="00605AD4" w:rsidP="00A36A68">
      <w:pPr>
        <w:pStyle w:val="Heading4"/>
      </w:pPr>
      <w:r w:rsidRPr="00605AD4">
        <w:t>Guidance</w:t>
      </w:r>
    </w:p>
    <w:p w:rsidR="006D3949" w:rsidRPr="009F06A6" w:rsidRDefault="006D3949" w:rsidP="00A36A68">
      <w:r w:rsidRPr="009F06A6">
        <w:t>No spec</w:t>
      </w:r>
      <w:r w:rsidR="004A7D5D">
        <w:t xml:space="preserve">ific guidance </w:t>
      </w:r>
      <w:r w:rsidR="00105472">
        <w:t xml:space="preserve">was </w:t>
      </w:r>
      <w:r w:rsidR="004A7D5D">
        <w:t xml:space="preserve">given by the TGA. The </w:t>
      </w:r>
      <w:r w:rsidR="009F06A6">
        <w:t>s</w:t>
      </w:r>
      <w:r w:rsidRPr="009F06A6">
        <w:t>ponsor followed the relevant format for a Category 1 submission with no deviation.</w:t>
      </w:r>
    </w:p>
    <w:p w:rsidR="00605AD4" w:rsidRPr="00605AD4" w:rsidRDefault="00605AD4" w:rsidP="00A36A68">
      <w:pPr>
        <w:pStyle w:val="Heading4"/>
      </w:pPr>
      <w:r w:rsidRPr="00605AD4">
        <w:t>Contents of the clinical dossier</w:t>
      </w:r>
    </w:p>
    <w:p w:rsidR="009F06A6" w:rsidRDefault="009F06A6" w:rsidP="00A36A68">
      <w:r>
        <w:t>The clinical dossier contained the following:</w:t>
      </w:r>
    </w:p>
    <w:p w:rsidR="009F06A6" w:rsidRDefault="009F06A6" w:rsidP="00A36A68">
      <w:pPr>
        <w:pStyle w:val="ListBullet"/>
      </w:pPr>
      <w:r>
        <w:t>Pharmacokinetics:</w:t>
      </w:r>
    </w:p>
    <w:p w:rsidR="009F06A6" w:rsidRPr="009F06A6" w:rsidRDefault="009F06A6" w:rsidP="00A36A68">
      <w:pPr>
        <w:pStyle w:val="ListBullet2"/>
      </w:pPr>
      <w:r w:rsidRPr="009F06A6">
        <w:t xml:space="preserve">1 </w:t>
      </w:r>
      <w:r w:rsidR="00EF309D" w:rsidRPr="009F06A6">
        <w:t xml:space="preserve">Phase </w:t>
      </w:r>
      <w:r w:rsidR="00EF309D">
        <w:t xml:space="preserve">I </w:t>
      </w:r>
      <w:r w:rsidR="00070FA2">
        <w:t>pharmacokinetic</w:t>
      </w:r>
      <w:r w:rsidR="00AC3119">
        <w:t xml:space="preserve"> study in healthy adults, GS-US-264-0112</w:t>
      </w:r>
      <w:r w:rsidR="00EF309D">
        <w:t xml:space="preserve">, </w:t>
      </w:r>
      <w:r w:rsidRPr="009F06A6">
        <w:t>to determ</w:t>
      </w:r>
      <w:r w:rsidR="00534D99">
        <w:t>ine the effect of food on the pharmacokinetics</w:t>
      </w:r>
      <w:r w:rsidRPr="009F06A6">
        <w:t xml:space="preserve"> of </w:t>
      </w:r>
      <w:proofErr w:type="spellStart"/>
      <w:r w:rsidRPr="009F06A6">
        <w:t>Eviplera</w:t>
      </w:r>
      <w:proofErr w:type="spellEnd"/>
      <w:r w:rsidR="003B49DD">
        <w:t>.</w:t>
      </w:r>
    </w:p>
    <w:p w:rsidR="009F06A6" w:rsidRPr="009F06A6" w:rsidRDefault="009F06A6" w:rsidP="00A36A68">
      <w:pPr>
        <w:pStyle w:val="ListBullet"/>
      </w:pPr>
      <w:r w:rsidRPr="009F06A6">
        <w:t>3 p</w:t>
      </w:r>
      <w:r w:rsidR="00A36A68">
        <w:t>ivotal efficacy/safety studies:</w:t>
      </w:r>
    </w:p>
    <w:p w:rsidR="009F06A6" w:rsidRPr="009F06A6" w:rsidRDefault="00AC3119" w:rsidP="00A36A68">
      <w:pPr>
        <w:pStyle w:val="ListBullet2"/>
      </w:pPr>
      <w:r>
        <w:t>Study GS-US-264-0110</w:t>
      </w:r>
      <w:r w:rsidR="00EF309D">
        <w:t xml:space="preserve"> is</w:t>
      </w:r>
      <w:r>
        <w:t xml:space="preserve"> a Phase </w:t>
      </w:r>
      <w:proofErr w:type="spellStart"/>
      <w:r>
        <w:t>III</w:t>
      </w:r>
      <w:r w:rsidR="009F06A6" w:rsidRPr="009F06A6">
        <w:t>b</w:t>
      </w:r>
      <w:proofErr w:type="spellEnd"/>
      <w:r w:rsidR="009F06A6" w:rsidRPr="009F06A6">
        <w:t>, randomi</w:t>
      </w:r>
      <w:r>
        <w:t>s</w:t>
      </w:r>
      <w:r w:rsidR="009F06A6" w:rsidRPr="009F06A6">
        <w:t>ed, open</w:t>
      </w:r>
      <w:r>
        <w:t xml:space="preserve"> </w:t>
      </w:r>
      <w:r w:rsidR="009F06A6" w:rsidRPr="009F06A6">
        <w:t>label study pro</w:t>
      </w:r>
      <w:r>
        <w:t>viding</w:t>
      </w:r>
      <w:r w:rsidR="009F06A6" w:rsidRPr="009F06A6">
        <w:t xml:space="preserve"> relevant new data that support the efficacy of the </w:t>
      </w:r>
      <w:proofErr w:type="spellStart"/>
      <w:r>
        <w:t>Eviplera</w:t>
      </w:r>
      <w:proofErr w:type="spellEnd"/>
      <w:r w:rsidR="009F06A6" w:rsidRPr="009F06A6">
        <w:t xml:space="preserve"> </w:t>
      </w:r>
      <w:r>
        <w:t>t</w:t>
      </w:r>
      <w:r w:rsidR="009F06A6" w:rsidRPr="009F06A6">
        <w:t>ablets in adult patients wit</w:t>
      </w:r>
      <w:r>
        <w:t>h baseline HIV-1 RNA ≤500,000 copies</w:t>
      </w:r>
      <w:r w:rsidR="009F06A6" w:rsidRPr="009F06A6">
        <w:t>/mL;</w:t>
      </w:r>
    </w:p>
    <w:p w:rsidR="009F06A6" w:rsidRPr="009F06A6" w:rsidRDefault="00EF309D" w:rsidP="00A36A68">
      <w:pPr>
        <w:pStyle w:val="ListBullet2"/>
      </w:pPr>
      <w:r>
        <w:t>Studies</w:t>
      </w:r>
      <w:r w:rsidR="00AC3119">
        <w:t xml:space="preserve"> GS-US-264-0111</w:t>
      </w:r>
      <w:r>
        <w:t>,</w:t>
      </w:r>
      <w:r w:rsidR="00AC3119">
        <w:t xml:space="preserve"> a Phase </w:t>
      </w:r>
      <w:proofErr w:type="spellStart"/>
      <w:r w:rsidR="00AC3119">
        <w:t>II</w:t>
      </w:r>
      <w:r w:rsidR="009F06A6" w:rsidRPr="009F06A6">
        <w:t>b</w:t>
      </w:r>
      <w:proofErr w:type="spellEnd"/>
      <w:r w:rsidR="009F06A6" w:rsidRPr="009F06A6">
        <w:t xml:space="preserve"> open label stud</w:t>
      </w:r>
      <w:r w:rsidR="00B91CE0">
        <w:t xml:space="preserve">y, and GS-US-264-0106, a Phase </w:t>
      </w:r>
      <w:proofErr w:type="spellStart"/>
      <w:r w:rsidR="00B91CE0">
        <w:t>III</w:t>
      </w:r>
      <w:r w:rsidR="009F06A6" w:rsidRPr="009F06A6">
        <w:t>b</w:t>
      </w:r>
      <w:proofErr w:type="spellEnd"/>
      <w:r w:rsidR="009F06A6" w:rsidRPr="009F06A6">
        <w:t>, randomi</w:t>
      </w:r>
      <w:r w:rsidR="00511E19">
        <w:t>s</w:t>
      </w:r>
      <w:r w:rsidR="009F06A6" w:rsidRPr="009F06A6">
        <w:t>ed, open</w:t>
      </w:r>
      <w:r w:rsidR="00B15467">
        <w:t xml:space="preserve"> </w:t>
      </w:r>
      <w:r w:rsidR="009F06A6" w:rsidRPr="009F06A6">
        <w:t>label study, providing</w:t>
      </w:r>
      <w:r w:rsidR="00B15467">
        <w:t xml:space="preserve"> pharmacokinetics</w:t>
      </w:r>
      <w:r w:rsidR="009F06A6" w:rsidRPr="009F06A6">
        <w:t xml:space="preserve">, efficacy, and safety data from virologically suppressed subjects switching to </w:t>
      </w:r>
      <w:proofErr w:type="spellStart"/>
      <w:r w:rsidR="009F06A6" w:rsidRPr="009F06A6">
        <w:t>Eviplera</w:t>
      </w:r>
      <w:proofErr w:type="spellEnd"/>
      <w:r w:rsidR="009F06A6" w:rsidRPr="009F06A6">
        <w:t>.</w:t>
      </w:r>
    </w:p>
    <w:p w:rsidR="00605AD4" w:rsidRPr="00605AD4" w:rsidRDefault="00605AD4" w:rsidP="00A36A68">
      <w:pPr>
        <w:pStyle w:val="Heading4"/>
      </w:pPr>
      <w:r w:rsidRPr="00605AD4">
        <w:lastRenderedPageBreak/>
        <w:t>Paediatric data</w:t>
      </w:r>
    </w:p>
    <w:p w:rsidR="008A0F3E" w:rsidRPr="00FF2194" w:rsidRDefault="008A0F3E" w:rsidP="00A36A68">
      <w:r w:rsidRPr="00FF2194">
        <w:t>This drug is not registered for</w:t>
      </w:r>
      <w:r w:rsidR="00A36A68">
        <w:t xml:space="preserve"> use in the paediatric setting.</w:t>
      </w:r>
    </w:p>
    <w:p w:rsidR="00605AD4" w:rsidRDefault="00605AD4" w:rsidP="00A36A68">
      <w:pPr>
        <w:pStyle w:val="Heading4"/>
      </w:pPr>
      <w:r w:rsidRPr="00605AD4">
        <w:t>Good clinical practice</w:t>
      </w:r>
    </w:p>
    <w:p w:rsidR="00456404" w:rsidRPr="00FF2194" w:rsidRDefault="00456404" w:rsidP="00A36A68">
      <w:bookmarkStart w:id="45" w:name="_Toc241374282"/>
      <w:r w:rsidRPr="00FF2194">
        <w:t xml:space="preserve">All studies included in this submission were conducted in accordance with </w:t>
      </w:r>
      <w:r w:rsidR="00067A87" w:rsidRPr="00067A87">
        <w:t>Internatio</w:t>
      </w:r>
      <w:r w:rsidR="00067A87">
        <w:t xml:space="preserve">nal Conference on Harmonisation (ICH) </w:t>
      </w:r>
      <w:r w:rsidR="00D90D44">
        <w:t>G</w:t>
      </w:r>
      <w:r w:rsidRPr="00FF2194">
        <w:t xml:space="preserve">ood Clinical Practice </w:t>
      </w:r>
      <w:r w:rsidR="00067A87">
        <w:t>(GCP) Guidelines. C</w:t>
      </w:r>
      <w:r w:rsidRPr="00FF2194">
        <w:t>onsiderations for the ethical treatment of human subjects were in place at the time the trials were performed</w:t>
      </w:r>
      <w:r w:rsidR="00067A87">
        <w:t>,</w:t>
      </w:r>
      <w:r w:rsidRPr="00FF2194">
        <w:t xml:space="preserve"> and informed consent was obtained from all trial participants.</w:t>
      </w:r>
      <w:bookmarkEnd w:id="45"/>
    </w:p>
    <w:p w:rsidR="008E7846" w:rsidRPr="00254787" w:rsidRDefault="008E7846" w:rsidP="00A36A68">
      <w:pPr>
        <w:pStyle w:val="Heading3"/>
      </w:pPr>
      <w:bookmarkStart w:id="46" w:name="_Toc396298050"/>
      <w:r w:rsidRPr="00254787">
        <w:t>Pharmacokinetics</w:t>
      </w:r>
      <w:bookmarkEnd w:id="36"/>
      <w:bookmarkEnd w:id="42"/>
      <w:bookmarkEnd w:id="43"/>
      <w:bookmarkEnd w:id="44"/>
      <w:bookmarkEnd w:id="46"/>
    </w:p>
    <w:p w:rsidR="00605AD4" w:rsidRDefault="00605AD4" w:rsidP="00A36A68">
      <w:pPr>
        <w:pStyle w:val="Heading4"/>
      </w:pPr>
      <w:r>
        <w:t>Studies providing pharmacokinetic d</w:t>
      </w:r>
      <w:r w:rsidR="00A36A68">
        <w:t>ata</w:t>
      </w:r>
    </w:p>
    <w:p w:rsidR="005F1D6F" w:rsidRPr="00F62747" w:rsidRDefault="005F1D6F" w:rsidP="00A36A68">
      <w:r w:rsidRPr="00F62747">
        <w:t xml:space="preserve">Table </w:t>
      </w:r>
      <w:r w:rsidR="00F62747">
        <w:t>2</w:t>
      </w:r>
      <w:r w:rsidRPr="00F62747">
        <w:t xml:space="preserve"> shows the studies relating to each </w:t>
      </w:r>
      <w:r w:rsidR="00F62747">
        <w:t>pharmacokinetic</w:t>
      </w:r>
      <w:r w:rsidRPr="00F62747">
        <w:t xml:space="preserve"> topic and the location of each study summary.</w:t>
      </w:r>
    </w:p>
    <w:p w:rsidR="00F0698A" w:rsidRDefault="00F0698A" w:rsidP="00A36A68">
      <w:pPr>
        <w:pStyle w:val="TableTitle"/>
      </w:pPr>
      <w:proofErr w:type="gramStart"/>
      <w:r>
        <w:t>Table 2:</w:t>
      </w:r>
      <w:r w:rsidRPr="004C5C28">
        <w:t xml:space="preserve"> </w:t>
      </w:r>
      <w:r w:rsidRPr="00F0698A">
        <w:t>Submitted pharmacokinetic studies</w:t>
      </w:r>
      <w:r>
        <w:t>.</w:t>
      </w:r>
      <w:proofErr w:type="gramEnd"/>
    </w:p>
    <w:p w:rsidR="009E3F7C" w:rsidRDefault="00355E47" w:rsidP="009E3F7C">
      <w:r>
        <w:rPr>
          <w:noProof/>
          <w:lang w:eastAsia="en-AU"/>
        </w:rPr>
        <w:drawing>
          <wp:inline distT="0" distB="0" distL="0" distR="0" wp14:anchorId="5FF00F43" wp14:editId="17865529">
            <wp:extent cx="5389880" cy="2032000"/>
            <wp:effectExtent l="0" t="0" r="1270" b="6350"/>
            <wp:docPr id="3" name="Picture 3" descr="Table 2: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 Submitted pharmacokinetic stud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9880" cy="2032000"/>
                    </a:xfrm>
                    <a:prstGeom prst="rect">
                      <a:avLst/>
                    </a:prstGeom>
                    <a:noFill/>
                    <a:ln>
                      <a:noFill/>
                    </a:ln>
                  </pic:spPr>
                </pic:pic>
              </a:graphicData>
            </a:graphic>
          </wp:inline>
        </w:drawing>
      </w:r>
    </w:p>
    <w:p w:rsidR="007A5823" w:rsidRPr="006310C1" w:rsidRDefault="007A5823" w:rsidP="003B49DD">
      <w:pPr>
        <w:pStyle w:val="TableDescription"/>
      </w:pPr>
      <w:r w:rsidRPr="006310C1">
        <w:t xml:space="preserve">* Indicates the </w:t>
      </w:r>
      <w:r w:rsidRPr="003B49DD">
        <w:t>primary</w:t>
      </w:r>
      <w:r w:rsidRPr="006310C1">
        <w:t xml:space="preserve"> aim of the study.</w:t>
      </w:r>
      <w:r>
        <w:t xml:space="preserve"> </w:t>
      </w:r>
      <w:r w:rsidRPr="006310C1">
        <w:t>† Bioequivalence of different formulations. § Subjects who would be eligible to receive the drug if approved for the proposed indication.</w:t>
      </w:r>
    </w:p>
    <w:p w:rsidR="007A5823" w:rsidRDefault="007A5823" w:rsidP="00A36A68">
      <w:r>
        <w:t xml:space="preserve">None of the </w:t>
      </w:r>
      <w:r w:rsidR="00511E19">
        <w:t>pharmacokinetic</w:t>
      </w:r>
      <w:r>
        <w:t xml:space="preserve"> studies had deficiencies that excluded their results from consideration.</w:t>
      </w:r>
    </w:p>
    <w:p w:rsidR="00605AD4" w:rsidRDefault="00605AD4" w:rsidP="00A36A68">
      <w:pPr>
        <w:pStyle w:val="Heading4"/>
      </w:pPr>
      <w:r>
        <w:t>Evaluator’s conclusions on pharmacokinetics</w:t>
      </w:r>
    </w:p>
    <w:p w:rsidR="00511E19" w:rsidRPr="00511E19" w:rsidRDefault="00511E19" w:rsidP="00A36A68">
      <w:r w:rsidRPr="00511E19">
        <w:t xml:space="preserve">The results of the Phase </w:t>
      </w:r>
      <w:r w:rsidR="00067A87">
        <w:t>I</w:t>
      </w:r>
      <w:r w:rsidRPr="00511E19">
        <w:t xml:space="preserve"> </w:t>
      </w:r>
      <w:r w:rsidR="00067A87">
        <w:t>pharmacokinetic Study GS-US-264-0112</w:t>
      </w:r>
      <w:r w:rsidRPr="00511E19">
        <w:t xml:space="preserve"> in health</w:t>
      </w:r>
      <w:r w:rsidR="00067A87">
        <w:t>y</w:t>
      </w:r>
      <w:r w:rsidRPr="00511E19">
        <w:t xml:space="preserve"> volunteers confirm the need for </w:t>
      </w:r>
      <w:proofErr w:type="spellStart"/>
      <w:r w:rsidRPr="00511E19">
        <w:t>Eviplera</w:t>
      </w:r>
      <w:proofErr w:type="spellEnd"/>
      <w:r w:rsidRPr="00511E19">
        <w:t xml:space="preserve"> dosing with food and support the recom</w:t>
      </w:r>
      <w:r w:rsidR="00067A87">
        <w:t>mendation in the proposed PI. Pharmacokinetic d</w:t>
      </w:r>
      <w:r w:rsidRPr="00511E19">
        <w:t xml:space="preserve">ata from the switch </w:t>
      </w:r>
      <w:r>
        <w:t>S</w:t>
      </w:r>
      <w:r w:rsidRPr="00511E19">
        <w:t xml:space="preserve">tudy GS-US-264-0111 confirm a long “tail” of EFV decline following switch to </w:t>
      </w:r>
      <w:proofErr w:type="spellStart"/>
      <w:r w:rsidRPr="00511E19">
        <w:t>Eviplera</w:t>
      </w:r>
      <w:proofErr w:type="spellEnd"/>
      <w:r w:rsidRPr="00511E19">
        <w:t xml:space="preserve"> which, through ongoing induction of CYP3A4, modestly reduces RPV levels. However, RPV levels are therapeutic </w:t>
      </w:r>
      <w:r w:rsidR="0011278F">
        <w:t xml:space="preserve">≥2 weeks after switching. When </w:t>
      </w:r>
      <w:r w:rsidRPr="00511E19">
        <w:t>coupled with continuing therapeutic levels of EFV up to and extending beyond this cross over point</w:t>
      </w:r>
      <w:r w:rsidR="0011278F">
        <w:t>,</w:t>
      </w:r>
      <w:r w:rsidRPr="00511E19">
        <w:t xml:space="preserve"> </w:t>
      </w:r>
      <w:r w:rsidR="0011278F">
        <w:t xml:space="preserve">this </w:t>
      </w:r>
      <w:r w:rsidRPr="00511E19">
        <w:t>means plasma H</w:t>
      </w:r>
      <w:r w:rsidR="0011278F">
        <w:t>I</w:t>
      </w:r>
      <w:r w:rsidRPr="00511E19">
        <w:t>V</w:t>
      </w:r>
      <w:r w:rsidR="0011278F">
        <w:t>-1</w:t>
      </w:r>
      <w:r w:rsidRPr="00511E19">
        <w:t xml:space="preserve"> RNA remains fully suppressed. These data support the proposed language in the PI in regards to an </w:t>
      </w:r>
      <w:proofErr w:type="spellStart"/>
      <w:r w:rsidRPr="00511E19">
        <w:t>Atripla</w:t>
      </w:r>
      <w:proofErr w:type="spellEnd"/>
      <w:r w:rsidRPr="00511E19">
        <w:t xml:space="preserve"> to </w:t>
      </w:r>
      <w:proofErr w:type="spellStart"/>
      <w:r w:rsidRPr="00511E19">
        <w:t>Eviplera</w:t>
      </w:r>
      <w:proofErr w:type="spellEnd"/>
      <w:r w:rsidRPr="00511E19">
        <w:t xml:space="preserve"> switch.</w:t>
      </w:r>
      <w:r w:rsidR="00121C3D">
        <w:t xml:space="preserve"> </w:t>
      </w:r>
      <w:r w:rsidRPr="00511E19">
        <w:t>Patients should be warned that the side</w:t>
      </w:r>
      <w:r w:rsidR="0011278F">
        <w:t xml:space="preserve"> </w:t>
      </w:r>
      <w:r w:rsidRPr="00511E19">
        <w:t>effects of EFV will not cease immediately post switch as the drug takes several weeks to decline.</w:t>
      </w:r>
    </w:p>
    <w:p w:rsidR="008E7846" w:rsidRDefault="008E7846" w:rsidP="00A36A68">
      <w:pPr>
        <w:pStyle w:val="Heading3"/>
      </w:pPr>
      <w:bookmarkStart w:id="47" w:name="_Toc196046481"/>
      <w:bookmarkStart w:id="48" w:name="_Toc247691520"/>
      <w:bookmarkStart w:id="49" w:name="_Toc314842503"/>
      <w:bookmarkStart w:id="50" w:name="_Toc396298051"/>
      <w:r w:rsidRPr="00254787">
        <w:t>Pharmacodynamics</w:t>
      </w:r>
      <w:bookmarkEnd w:id="37"/>
      <w:bookmarkEnd w:id="47"/>
      <w:bookmarkEnd w:id="48"/>
      <w:bookmarkEnd w:id="49"/>
      <w:bookmarkEnd w:id="50"/>
    </w:p>
    <w:p w:rsidR="009E3F7C" w:rsidRPr="009E3F7C" w:rsidRDefault="005E6C7F" w:rsidP="00A36A68">
      <w:r>
        <w:t>Not applicable.</w:t>
      </w:r>
    </w:p>
    <w:p w:rsidR="008E7846" w:rsidRDefault="00605AD4" w:rsidP="00A36A68">
      <w:pPr>
        <w:pStyle w:val="Heading3"/>
      </w:pPr>
      <w:bookmarkStart w:id="51" w:name="_Toc396298052"/>
      <w:r>
        <w:lastRenderedPageBreak/>
        <w:t xml:space="preserve">Dosage </w:t>
      </w:r>
      <w:r w:rsidR="00F07077">
        <w:t>s</w:t>
      </w:r>
      <w:r>
        <w:t xml:space="preserve">election for the </w:t>
      </w:r>
      <w:r w:rsidR="00F07077">
        <w:t>p</w:t>
      </w:r>
      <w:r>
        <w:t xml:space="preserve">ivotal </w:t>
      </w:r>
      <w:r w:rsidR="00F07077">
        <w:t>s</w:t>
      </w:r>
      <w:r>
        <w:t>tudies</w:t>
      </w:r>
      <w:bookmarkEnd w:id="51"/>
    </w:p>
    <w:p w:rsidR="005E6C7F" w:rsidRPr="005E6C7F" w:rsidRDefault="005E6C7F" w:rsidP="00A36A68">
      <w:r w:rsidRPr="005E6C7F">
        <w:t>No change in dosage is sought, as per registered dose.</w:t>
      </w:r>
    </w:p>
    <w:p w:rsidR="008E7846" w:rsidRPr="00254787" w:rsidRDefault="008E7846" w:rsidP="00A36A68">
      <w:pPr>
        <w:pStyle w:val="Heading3"/>
      </w:pPr>
      <w:bookmarkStart w:id="52" w:name="_Toc163441372"/>
      <w:bookmarkStart w:id="53" w:name="_Toc196046485"/>
      <w:bookmarkStart w:id="54" w:name="_Toc247691521"/>
      <w:bookmarkStart w:id="55" w:name="_Toc314842504"/>
      <w:bookmarkStart w:id="56" w:name="_Toc396298053"/>
      <w:r w:rsidRPr="00254787">
        <w:t>Efficacy</w:t>
      </w:r>
      <w:bookmarkEnd w:id="52"/>
      <w:bookmarkEnd w:id="53"/>
      <w:bookmarkEnd w:id="54"/>
      <w:bookmarkEnd w:id="55"/>
      <w:bookmarkEnd w:id="56"/>
    </w:p>
    <w:p w:rsidR="00605AD4" w:rsidRDefault="00605AD4" w:rsidP="00A36A68">
      <w:pPr>
        <w:pStyle w:val="Heading4"/>
      </w:pPr>
      <w:bookmarkStart w:id="57" w:name="_Toc184439992"/>
      <w:bookmarkStart w:id="58" w:name="_Toc184440279"/>
      <w:bookmarkStart w:id="59" w:name="_Toc184444657"/>
      <w:bookmarkStart w:id="60" w:name="_Toc196046487"/>
      <w:r>
        <w:t>Studies providing efficacy data</w:t>
      </w:r>
    </w:p>
    <w:p w:rsidR="00511E19" w:rsidRDefault="00511E19" w:rsidP="00A36A68">
      <w:bookmarkStart w:id="61" w:name="_Toc364634625"/>
      <w:r w:rsidRPr="00073F94">
        <w:t xml:space="preserve">The pivotal efficacy </w:t>
      </w:r>
      <w:r w:rsidR="0089291E" w:rsidRPr="0089291E">
        <w:t>Study GS-US-264-0111</w:t>
      </w:r>
      <w:r w:rsidR="0089291E">
        <w:t xml:space="preserve"> </w:t>
      </w:r>
      <w:r w:rsidRPr="00073F94">
        <w:t xml:space="preserve">was titled: “A Phase </w:t>
      </w:r>
      <w:r w:rsidR="00FC2C5F">
        <w:t>II</w:t>
      </w:r>
      <w:r w:rsidRPr="00073F94">
        <w:t>B Open-Label Pilot Study to Evaluate Switching from a Regimen Consisting of a</w:t>
      </w:r>
      <w:r w:rsidR="0011278F">
        <w:t>n</w:t>
      </w:r>
      <w:r w:rsidRPr="00073F94">
        <w:t xml:space="preserve"> </w:t>
      </w:r>
      <w:proofErr w:type="spellStart"/>
      <w:r w:rsidRPr="00073F94">
        <w:t>Efavirenz</w:t>
      </w:r>
      <w:proofErr w:type="spellEnd"/>
      <w:r w:rsidRPr="00073F94">
        <w:t>/</w:t>
      </w:r>
      <w:proofErr w:type="spellStart"/>
      <w:r w:rsidRPr="00073F94">
        <w:t>Emtricitabine</w:t>
      </w:r>
      <w:proofErr w:type="spellEnd"/>
      <w:r w:rsidRPr="00073F94">
        <w:t>/</w:t>
      </w:r>
      <w:proofErr w:type="spellStart"/>
      <w:r w:rsidRPr="00073F94">
        <w:t>Tenofovir</w:t>
      </w:r>
      <w:proofErr w:type="spellEnd"/>
      <w:r w:rsidRPr="00073F94">
        <w:t xml:space="preserve"> </w:t>
      </w:r>
      <w:proofErr w:type="spellStart"/>
      <w:r w:rsidRPr="00073F94">
        <w:t>Disoproxil</w:t>
      </w:r>
      <w:proofErr w:type="spellEnd"/>
      <w:r w:rsidRPr="00073F94">
        <w:t xml:space="preserve"> </w:t>
      </w:r>
      <w:proofErr w:type="spellStart"/>
      <w:r w:rsidRPr="00073F94">
        <w:t>Fumarate</w:t>
      </w:r>
      <w:proofErr w:type="spellEnd"/>
      <w:r w:rsidRPr="00073F94">
        <w:t xml:space="preserve"> (TDF/FTC/EFV) Single Tablet Regimen to </w:t>
      </w:r>
      <w:proofErr w:type="spellStart"/>
      <w:r w:rsidRPr="00073F94">
        <w:t>Emtricitabine</w:t>
      </w:r>
      <w:proofErr w:type="spellEnd"/>
      <w:r w:rsidRPr="00073F94">
        <w:t>/</w:t>
      </w:r>
      <w:proofErr w:type="spellStart"/>
      <w:r w:rsidRPr="00073F94">
        <w:t>Rilpivirine</w:t>
      </w:r>
      <w:proofErr w:type="spellEnd"/>
      <w:r w:rsidRPr="00073F94">
        <w:t>/</w:t>
      </w:r>
      <w:proofErr w:type="spellStart"/>
      <w:r w:rsidRPr="00073F94">
        <w:t>Tenofovir</w:t>
      </w:r>
      <w:proofErr w:type="spellEnd"/>
      <w:r w:rsidRPr="00073F94">
        <w:t xml:space="preserve"> </w:t>
      </w:r>
      <w:proofErr w:type="spellStart"/>
      <w:r w:rsidRPr="00073F94">
        <w:t>Disoproxil</w:t>
      </w:r>
      <w:proofErr w:type="spellEnd"/>
      <w:r w:rsidRPr="00073F94">
        <w:t xml:space="preserve"> </w:t>
      </w:r>
      <w:proofErr w:type="spellStart"/>
      <w:r w:rsidRPr="00073F94">
        <w:t>Fumarate</w:t>
      </w:r>
      <w:proofErr w:type="spellEnd"/>
      <w:r w:rsidRPr="00073F94">
        <w:t xml:space="preserve"> (TDF/FTC/RPV) STR in Virologically-Suppressed, HIV-1 Infected Subjects</w:t>
      </w:r>
      <w:bookmarkEnd w:id="61"/>
      <w:r w:rsidRPr="00073F94">
        <w:t>”.</w:t>
      </w:r>
      <w:r w:rsidR="002A607A">
        <w:t xml:space="preserve"> This</w:t>
      </w:r>
      <w:r w:rsidRPr="00073F94">
        <w:t xml:space="preserve"> was a Phase </w:t>
      </w:r>
      <w:proofErr w:type="spellStart"/>
      <w:r w:rsidRPr="00073F94">
        <w:t>IIb</w:t>
      </w:r>
      <w:proofErr w:type="spellEnd"/>
      <w:r w:rsidRPr="00073F94">
        <w:t xml:space="preserve"> study, open</w:t>
      </w:r>
      <w:r w:rsidR="002A607A">
        <w:t xml:space="preserve"> </w:t>
      </w:r>
      <w:r w:rsidRPr="00073F94">
        <w:t>label, multicentre, pilot study conducted between 27 January 2011 and 19 April 2012 across 18 sites in the USA.</w:t>
      </w:r>
    </w:p>
    <w:p w:rsidR="00070FA2" w:rsidRDefault="00070FA2" w:rsidP="00A36A68">
      <w:r>
        <w:t>Two others studies were:</w:t>
      </w:r>
    </w:p>
    <w:p w:rsidR="00070FA2" w:rsidRPr="00070FA2" w:rsidRDefault="00070FA2" w:rsidP="00A36A68">
      <w:pPr>
        <w:pStyle w:val="ListBullet"/>
      </w:pPr>
      <w:bookmarkStart w:id="62" w:name="_Toc290846276"/>
      <w:bookmarkStart w:id="63" w:name="_Toc364634626"/>
      <w:r w:rsidRPr="00070FA2">
        <w:t xml:space="preserve">Study </w:t>
      </w:r>
      <w:bookmarkEnd w:id="62"/>
      <w:r w:rsidRPr="00070FA2">
        <w:t>GS-US-264-0106</w:t>
      </w:r>
      <w:bookmarkEnd w:id="63"/>
      <w:r>
        <w:t>: “</w:t>
      </w:r>
      <w:r w:rsidRPr="00070FA2">
        <w:t xml:space="preserve">A Phase </w:t>
      </w:r>
      <w:r w:rsidR="00FC2C5F">
        <w:t>III</w:t>
      </w:r>
      <w:r w:rsidRPr="00070FA2">
        <w:t xml:space="preserve"> Randomi</w:t>
      </w:r>
      <w:r w:rsidR="0011278F">
        <w:t>s</w:t>
      </w:r>
      <w:r w:rsidRPr="00070FA2">
        <w:t xml:space="preserve">ed, Open-Label Study to Evaluate Switching from Regimens Consisting of a Ritonavir-boosted Protease Inhibitor (PI/r) and Two Nucleoside Reverse Transcriptase Inhibitors to </w:t>
      </w:r>
      <w:proofErr w:type="spellStart"/>
      <w:r w:rsidRPr="00070FA2">
        <w:t>Emtricitabine</w:t>
      </w:r>
      <w:proofErr w:type="spellEnd"/>
      <w:r w:rsidRPr="00070FA2">
        <w:t>/</w:t>
      </w:r>
      <w:proofErr w:type="spellStart"/>
      <w:r w:rsidRPr="00070FA2">
        <w:t>Rilpivirine</w:t>
      </w:r>
      <w:proofErr w:type="spellEnd"/>
      <w:r w:rsidRPr="00070FA2">
        <w:t>/</w:t>
      </w:r>
      <w:proofErr w:type="spellStart"/>
      <w:r w:rsidRPr="00070FA2">
        <w:t>Tenofovir</w:t>
      </w:r>
      <w:proofErr w:type="spellEnd"/>
      <w:r w:rsidRPr="00070FA2">
        <w:t xml:space="preserve"> </w:t>
      </w:r>
      <w:proofErr w:type="spellStart"/>
      <w:r w:rsidRPr="00070FA2">
        <w:t>Disoproxil</w:t>
      </w:r>
      <w:proofErr w:type="spellEnd"/>
      <w:r w:rsidRPr="00070FA2">
        <w:t xml:space="preserve"> </w:t>
      </w:r>
      <w:proofErr w:type="spellStart"/>
      <w:r w:rsidRPr="00070FA2">
        <w:t>Fumarate</w:t>
      </w:r>
      <w:proofErr w:type="spellEnd"/>
      <w:r w:rsidRPr="00070FA2">
        <w:t xml:space="preserve"> Fixed-dose Regimen in Virologically Supp</w:t>
      </w:r>
      <w:r>
        <w:t>ressed, HIV-1 Infected Patients”</w:t>
      </w:r>
    </w:p>
    <w:p w:rsidR="00070FA2" w:rsidRPr="00070FA2" w:rsidRDefault="00070FA2" w:rsidP="00A36A68">
      <w:pPr>
        <w:pStyle w:val="ListBullet"/>
      </w:pPr>
      <w:bookmarkStart w:id="64" w:name="_Toc364634627"/>
      <w:r w:rsidRPr="00070FA2">
        <w:t>Study GS-US-264-0110</w:t>
      </w:r>
      <w:bookmarkEnd w:id="64"/>
      <w:r>
        <w:t>: “</w:t>
      </w:r>
      <w:r w:rsidRPr="00070FA2">
        <w:t xml:space="preserve">A Phase </w:t>
      </w:r>
      <w:r w:rsidR="00FC2C5F">
        <w:t>III</w:t>
      </w:r>
      <w:r w:rsidRPr="00070FA2">
        <w:t>B, Randomi</w:t>
      </w:r>
      <w:r w:rsidR="00EA2C2D">
        <w:t>s</w:t>
      </w:r>
      <w:r w:rsidRPr="00070FA2">
        <w:t xml:space="preserve">ed, Open-label Study to Evaluate the Safety and Efficacy of a Single Tablet Regimen of </w:t>
      </w:r>
      <w:proofErr w:type="spellStart"/>
      <w:r w:rsidRPr="00070FA2">
        <w:t>Emtricitabine</w:t>
      </w:r>
      <w:proofErr w:type="spellEnd"/>
      <w:r w:rsidRPr="00070FA2">
        <w:t>/</w:t>
      </w:r>
      <w:proofErr w:type="spellStart"/>
      <w:r w:rsidRPr="00070FA2">
        <w:t>Rilpivirine</w:t>
      </w:r>
      <w:proofErr w:type="spellEnd"/>
      <w:r w:rsidRPr="00070FA2">
        <w:t>/</w:t>
      </w:r>
      <w:proofErr w:type="spellStart"/>
      <w:r w:rsidRPr="00070FA2">
        <w:t>Tenofovir</w:t>
      </w:r>
      <w:proofErr w:type="spellEnd"/>
      <w:r w:rsidRPr="00070FA2">
        <w:t xml:space="preserve"> </w:t>
      </w:r>
      <w:proofErr w:type="spellStart"/>
      <w:r w:rsidRPr="00070FA2">
        <w:t>Disoproxil</w:t>
      </w:r>
      <w:proofErr w:type="spellEnd"/>
      <w:r w:rsidRPr="00070FA2">
        <w:t xml:space="preserve"> </w:t>
      </w:r>
      <w:proofErr w:type="spellStart"/>
      <w:r w:rsidRPr="00070FA2">
        <w:t>Fumarate</w:t>
      </w:r>
      <w:proofErr w:type="spellEnd"/>
      <w:r w:rsidRPr="00070FA2">
        <w:t xml:space="preserve"> Compared with a Single Tablet Regimen of </w:t>
      </w:r>
      <w:proofErr w:type="spellStart"/>
      <w:r w:rsidRPr="00070FA2">
        <w:t>Efavirenz</w:t>
      </w:r>
      <w:proofErr w:type="spellEnd"/>
      <w:r w:rsidRPr="00070FA2">
        <w:t>/</w:t>
      </w:r>
      <w:proofErr w:type="spellStart"/>
      <w:r w:rsidRPr="00070FA2">
        <w:t>Emtricitabine</w:t>
      </w:r>
      <w:proofErr w:type="spellEnd"/>
      <w:r w:rsidRPr="00070FA2">
        <w:t>/</w:t>
      </w:r>
      <w:proofErr w:type="spellStart"/>
      <w:r w:rsidRPr="00070FA2">
        <w:t>Tenofovir</w:t>
      </w:r>
      <w:proofErr w:type="spellEnd"/>
      <w:r w:rsidRPr="00070FA2">
        <w:t xml:space="preserve"> </w:t>
      </w:r>
      <w:proofErr w:type="spellStart"/>
      <w:r w:rsidRPr="00070FA2">
        <w:t>Disoproxil</w:t>
      </w:r>
      <w:proofErr w:type="spellEnd"/>
      <w:r w:rsidRPr="00070FA2">
        <w:t xml:space="preserve"> </w:t>
      </w:r>
      <w:proofErr w:type="spellStart"/>
      <w:r w:rsidRPr="00070FA2">
        <w:t>Fumarate</w:t>
      </w:r>
      <w:proofErr w:type="spellEnd"/>
      <w:r w:rsidRPr="00070FA2">
        <w:t xml:space="preserve"> in HIV-1 Infected, Antiretroviral Treatment-Naïve Adults</w:t>
      </w:r>
      <w:r>
        <w:t>”</w:t>
      </w:r>
    </w:p>
    <w:p w:rsidR="008E7846" w:rsidRDefault="00605AD4" w:rsidP="00A36A68">
      <w:pPr>
        <w:pStyle w:val="Heading4"/>
      </w:pPr>
      <w:r>
        <w:t>Evaluator’s conclusions on efficacy</w:t>
      </w:r>
    </w:p>
    <w:p w:rsidR="00C75CB4" w:rsidRPr="00E312D2" w:rsidRDefault="00C75CB4" w:rsidP="00A36A68">
      <w:r w:rsidRPr="00E312D2">
        <w:t xml:space="preserve">The data from </w:t>
      </w:r>
      <w:r w:rsidR="00594D38">
        <w:t xml:space="preserve">Study </w:t>
      </w:r>
      <w:r w:rsidRPr="00E312D2">
        <w:t xml:space="preserve">GS-US-264-0110 provides </w:t>
      </w:r>
      <w:r w:rsidR="003C6DD1">
        <w:t xml:space="preserve">further data in support of </w:t>
      </w:r>
      <w:proofErr w:type="spellStart"/>
      <w:r w:rsidR="003C6DD1">
        <w:t>Evipl</w:t>
      </w:r>
      <w:r w:rsidRPr="00E312D2">
        <w:t>era’s</w:t>
      </w:r>
      <w:proofErr w:type="spellEnd"/>
      <w:r w:rsidRPr="00E312D2">
        <w:t xml:space="preserve"> existing registere</w:t>
      </w:r>
      <w:r w:rsidR="002D5AC3">
        <w:t>d use with the drug being safe and</w:t>
      </w:r>
      <w:r w:rsidRPr="00E312D2">
        <w:t xml:space="preserve"> well </w:t>
      </w:r>
      <w:r w:rsidR="003C6DD1">
        <w:t xml:space="preserve">tolerated and virologically non </w:t>
      </w:r>
      <w:r w:rsidRPr="00E312D2">
        <w:t xml:space="preserve">inferior to </w:t>
      </w:r>
      <w:proofErr w:type="spellStart"/>
      <w:r w:rsidRPr="00E312D2">
        <w:t>Atripla</w:t>
      </w:r>
      <w:proofErr w:type="spellEnd"/>
      <w:r w:rsidRPr="00E312D2">
        <w:t xml:space="preserve"> over 48 weeks</w:t>
      </w:r>
      <w:r w:rsidR="008253D9">
        <w:t>. While</w:t>
      </w:r>
      <w:r w:rsidRPr="00E312D2">
        <w:t xml:space="preserve"> overall, the emergence o</w:t>
      </w:r>
      <w:r w:rsidR="003C6DD1">
        <w:t>f resistance was low in both groups</w:t>
      </w:r>
      <w:r w:rsidRPr="00E312D2">
        <w:t xml:space="preserve">, in those virologically failing </w:t>
      </w:r>
      <w:proofErr w:type="spellStart"/>
      <w:r w:rsidRPr="00E312D2">
        <w:t>Eviplera</w:t>
      </w:r>
      <w:proofErr w:type="spellEnd"/>
      <w:r w:rsidRPr="00E312D2">
        <w:t xml:space="preserve"> there was a greater emergence of multiple resistance mutations to both NNRTI and NRTI especially in those with baseline plasma HIV RNA &gt;100,000 copies/mL and even more so in those with &gt;500,000 copies/</w:t>
      </w:r>
      <w:proofErr w:type="spellStart"/>
      <w:r w:rsidRPr="00E312D2">
        <w:t>mL.</w:t>
      </w:r>
      <w:proofErr w:type="spellEnd"/>
      <w:r w:rsidRPr="00E312D2">
        <w:t xml:space="preserve"> The emergence of multiple NNRTI mutations impacts on the ability to use anoth</w:t>
      </w:r>
      <w:r w:rsidR="003C6DD1">
        <w:t xml:space="preserve">er second generation NNRTI, for example, </w:t>
      </w:r>
      <w:proofErr w:type="spellStart"/>
      <w:r w:rsidRPr="00E312D2">
        <w:t>etravirine</w:t>
      </w:r>
      <w:proofErr w:type="spellEnd"/>
      <w:r w:rsidRPr="00E312D2">
        <w:t xml:space="preserve">. While the </w:t>
      </w:r>
      <w:r w:rsidR="008253D9">
        <w:t>s</w:t>
      </w:r>
      <w:r w:rsidRPr="00E312D2">
        <w:t>ponsor sho</w:t>
      </w:r>
      <w:r w:rsidR="003C6DD1">
        <w:t>wed no statistical difference versus</w:t>
      </w:r>
      <w:r w:rsidRPr="00E312D2">
        <w:t xml:space="preserve"> </w:t>
      </w:r>
      <w:proofErr w:type="spellStart"/>
      <w:r w:rsidRPr="00E312D2">
        <w:t>Atripla</w:t>
      </w:r>
      <w:proofErr w:type="spellEnd"/>
      <w:r w:rsidRPr="00E312D2">
        <w:t xml:space="preserve"> in regards to virological failure with baseline vi</w:t>
      </w:r>
      <w:r w:rsidR="00A370B6">
        <w:t>ral load &gt;100,000 to &lt;500,000 copies/mL, the clinical evaluator does not</w:t>
      </w:r>
      <w:r w:rsidRPr="00E312D2">
        <w:t xml:space="preserve"> think other important factors need to be considered. First high viral load above 100,000 is associated with an increased risk of virological failure </w:t>
      </w:r>
      <w:r w:rsidR="00A370B6">
        <w:t xml:space="preserve">with </w:t>
      </w:r>
      <w:proofErr w:type="spellStart"/>
      <w:r w:rsidR="00A370B6">
        <w:t>Eviplera</w:t>
      </w:r>
      <w:proofErr w:type="spellEnd"/>
      <w:r w:rsidR="00A370B6">
        <w:t xml:space="preserve"> (and this finding</w:t>
      </w:r>
      <w:r w:rsidRPr="00E312D2">
        <w:t xml:space="preserve"> is consistent with th</w:t>
      </w:r>
      <w:r w:rsidR="00A370B6">
        <w:t>e earlier registration studies</w:t>
      </w:r>
      <w:r w:rsidR="00AD714C">
        <w:t xml:space="preserve">). </w:t>
      </w:r>
      <w:r w:rsidRPr="00E312D2">
        <w:t xml:space="preserve">Importantly, as the failure is associated with multiple mutations, this would impact not only on future use of NNRTI but also the potential activity of future NRTI backbones. Moreover, another strategy for the use of the drug rather than using it first up in patients with high baseline viral load is provided by the switch studies, GS-US-264-0111 </w:t>
      </w:r>
      <w:r w:rsidR="00AD714C">
        <w:t>and</w:t>
      </w:r>
      <w:r w:rsidRPr="00E312D2">
        <w:t xml:space="preserve"> GS-US-264-0106. These studies provide data for the use of </w:t>
      </w:r>
      <w:proofErr w:type="spellStart"/>
      <w:r w:rsidRPr="00E312D2">
        <w:t>Eviplera</w:t>
      </w:r>
      <w:proofErr w:type="spellEnd"/>
      <w:r w:rsidRPr="00E312D2">
        <w:t xml:space="preserve"> as </w:t>
      </w:r>
      <w:r w:rsidR="00A370B6">
        <w:t>a switch drug for the NNRTI</w:t>
      </w:r>
      <w:r w:rsidRPr="00E312D2">
        <w:t xml:space="preserve"> </w:t>
      </w:r>
      <w:proofErr w:type="spellStart"/>
      <w:r w:rsidRPr="00E312D2">
        <w:t>efavirenz</w:t>
      </w:r>
      <w:proofErr w:type="spellEnd"/>
      <w:r w:rsidR="00A370B6">
        <w:t>, and in Study GS-US-264-0106</w:t>
      </w:r>
      <w:r w:rsidRPr="00E312D2">
        <w:t xml:space="preserve"> as a switch from PI/r in virologically suppressed patients. It is important to note that a history of virological failure to the prior ARV regimen excluded participation. That being said</w:t>
      </w:r>
      <w:r w:rsidR="00DD6B44">
        <w:t>,</w:t>
      </w:r>
      <w:r w:rsidRPr="00E312D2">
        <w:t xml:space="preserve"> a small percentage of patients in both studies did have some NNRTI and/or NRTI resistance mutations on historical genotypes; these did not appear to impact </w:t>
      </w:r>
      <w:proofErr w:type="spellStart"/>
      <w:r w:rsidRPr="00E312D2">
        <w:t>Eviplera</w:t>
      </w:r>
      <w:proofErr w:type="spellEnd"/>
      <w:r w:rsidRPr="00E312D2">
        <w:t xml:space="preserve"> response to any great extent. The data from these switch studies supports the use of </w:t>
      </w:r>
      <w:proofErr w:type="spellStart"/>
      <w:r w:rsidR="00DD6B44" w:rsidRPr="00E312D2">
        <w:lastRenderedPageBreak/>
        <w:t>Eviplera</w:t>
      </w:r>
      <w:proofErr w:type="spellEnd"/>
      <w:r w:rsidRPr="00E312D2">
        <w:t xml:space="preserve"> in virologically suppressed treatment</w:t>
      </w:r>
      <w:r w:rsidR="00A562A1">
        <w:t xml:space="preserve"> </w:t>
      </w:r>
      <w:r w:rsidRPr="00E312D2">
        <w:t>experienced patients without any history of virological failure associated with genotypi</w:t>
      </w:r>
      <w:r w:rsidR="00A36A68">
        <w:t>c resistance to NNRTI and NRTI.</w:t>
      </w:r>
    </w:p>
    <w:p w:rsidR="008E7846" w:rsidRPr="002E238E" w:rsidRDefault="008E7846" w:rsidP="00A36A68">
      <w:pPr>
        <w:pStyle w:val="Heading3"/>
      </w:pPr>
      <w:bookmarkStart w:id="65" w:name="_Toc163441378"/>
      <w:bookmarkStart w:id="66" w:name="_Toc196046495"/>
      <w:bookmarkStart w:id="67" w:name="_Toc247691522"/>
      <w:bookmarkStart w:id="68" w:name="_Toc314842505"/>
      <w:bookmarkStart w:id="69" w:name="_Toc396298054"/>
      <w:bookmarkEnd w:id="57"/>
      <w:bookmarkEnd w:id="58"/>
      <w:bookmarkEnd w:id="59"/>
      <w:bookmarkEnd w:id="60"/>
      <w:r w:rsidRPr="002E238E">
        <w:t>Safety</w:t>
      </w:r>
      <w:bookmarkEnd w:id="65"/>
      <w:bookmarkEnd w:id="66"/>
      <w:bookmarkEnd w:id="67"/>
      <w:bookmarkEnd w:id="68"/>
      <w:bookmarkEnd w:id="69"/>
    </w:p>
    <w:p w:rsidR="00605AD4" w:rsidRDefault="00605AD4" w:rsidP="00A36A68">
      <w:pPr>
        <w:pStyle w:val="Heading4"/>
      </w:pPr>
      <w:bookmarkStart w:id="70" w:name="_Toc247691524"/>
      <w:bookmarkStart w:id="71" w:name="_Toc314842508"/>
      <w:bookmarkStart w:id="72" w:name="_Toc196046504"/>
      <w:bookmarkStart w:id="73" w:name="_Toc163441390"/>
      <w:r w:rsidRPr="00605AD4">
        <w:t>Studies providing safety data</w:t>
      </w:r>
    </w:p>
    <w:p w:rsidR="00C66308" w:rsidRPr="00C66308" w:rsidRDefault="00C66308" w:rsidP="00A36A68">
      <w:bookmarkStart w:id="74" w:name="_Ref268776745"/>
      <w:r w:rsidRPr="00C66308">
        <w:t>GS-US-264-0111 (single arm pilot switch) and GS-US-264-0106 (imm</w:t>
      </w:r>
      <w:r w:rsidR="00A562A1">
        <w:t>ediate and</w:t>
      </w:r>
      <w:r w:rsidRPr="00C66308">
        <w:t xml:space="preserve"> delayed switch) and GS-US-264-0110 (randomised </w:t>
      </w:r>
      <w:r w:rsidR="00A562A1">
        <w:t>n</w:t>
      </w:r>
      <w:r w:rsidRPr="00C66308">
        <w:t xml:space="preserve">aïve study) provided evaluable </w:t>
      </w:r>
      <w:r w:rsidR="00A00C7B">
        <w:t>safety data.</w:t>
      </w:r>
    </w:p>
    <w:p w:rsidR="00C66308" w:rsidRPr="00226C60" w:rsidRDefault="00C66308" w:rsidP="00A36A68">
      <w:pPr>
        <w:pStyle w:val="Heading5"/>
      </w:pPr>
      <w:r w:rsidRPr="00226C60">
        <w:t>Pivotal efficacy studies</w:t>
      </w:r>
      <w:bookmarkEnd w:id="74"/>
    </w:p>
    <w:p w:rsidR="00C02132" w:rsidRDefault="00C66308" w:rsidP="00A36A68">
      <w:r w:rsidRPr="00C66308">
        <w:t>In the pivotal efficacy studies, the follow</w:t>
      </w:r>
      <w:r w:rsidR="00C02132">
        <w:t>ing safety data were collected.</w:t>
      </w:r>
    </w:p>
    <w:p w:rsidR="00C66308" w:rsidRPr="00C66308" w:rsidRDefault="00CD78DA" w:rsidP="00A36A68">
      <w:r>
        <w:t>General adverse events (AEs)</w:t>
      </w:r>
      <w:r w:rsidR="00C66308" w:rsidRPr="00C66308">
        <w:t xml:space="preserve"> were assessed by investigators through direct questioning</w:t>
      </w:r>
      <w:r w:rsidR="001B36E0">
        <w:t xml:space="preserve"> &amp; patient report, complete (Weeks 24 and</w:t>
      </w:r>
      <w:r w:rsidR="00C66308" w:rsidRPr="00C66308">
        <w:t xml:space="preserve"> 48 at investigator discretion) or symptom directed physical exam including vital signs at screening, baseline, </w:t>
      </w:r>
      <w:r w:rsidR="006A3E48">
        <w:t>Weeks</w:t>
      </w:r>
      <w:r w:rsidR="00C66308" w:rsidRPr="00C66308">
        <w:t xml:space="preserve"> 4, 8, 12, 24, 36 and 48 in both GS-US-264-0111 and GS-US-264-0106. The evaluations were completed at </w:t>
      </w:r>
      <w:r w:rsidR="006A3E48">
        <w:t>Weeks</w:t>
      </w:r>
      <w:r w:rsidR="00C66308" w:rsidRPr="00C66308">
        <w:t xml:space="preserve"> 4, 8, 12, 16, and then every 8 </w:t>
      </w:r>
      <w:r w:rsidR="006A3E48">
        <w:t>weeks</w:t>
      </w:r>
      <w:r w:rsidR="00C66308" w:rsidRPr="00C66308">
        <w:t xml:space="preserve"> through 48 </w:t>
      </w:r>
      <w:r w:rsidR="006A3E48">
        <w:t>Weeks</w:t>
      </w:r>
      <w:r w:rsidR="00C66308" w:rsidRPr="00C66308">
        <w:t xml:space="preserve">, then every 12 </w:t>
      </w:r>
      <w:r w:rsidR="006A3E48">
        <w:t>weeks</w:t>
      </w:r>
      <w:r w:rsidR="00C66308" w:rsidRPr="00C66308">
        <w:t xml:space="preserve"> until </w:t>
      </w:r>
      <w:r w:rsidR="006A3E48">
        <w:t>Week</w:t>
      </w:r>
      <w:r w:rsidR="00C66308" w:rsidRPr="00C66308">
        <w:t xml:space="preserve"> 96 in GS-US-264-01</w:t>
      </w:r>
      <w:r w:rsidR="00D13FC3">
        <w:t xml:space="preserve">10. AEs of particular interest </w:t>
      </w:r>
      <w:r w:rsidR="00C66308" w:rsidRPr="00C66308">
        <w:t xml:space="preserve">were assessed by laboratory </w:t>
      </w:r>
      <w:r w:rsidR="00742FA3">
        <w:t>assessments (including</w:t>
      </w:r>
      <w:r w:rsidR="00C66308" w:rsidRPr="00C66308">
        <w:t xml:space="preserve"> renal func</w:t>
      </w:r>
      <w:r w:rsidR="00742FA3">
        <w:t xml:space="preserve">tion, liver function, </w:t>
      </w:r>
      <w:r w:rsidR="00335348" w:rsidRPr="00335348">
        <w:t xml:space="preserve">alanine aminotransferase </w:t>
      </w:r>
      <w:r w:rsidR="00740738">
        <w:t>[</w:t>
      </w:r>
      <w:r w:rsidR="00742FA3">
        <w:t>ALT</w:t>
      </w:r>
      <w:r w:rsidR="00740738">
        <w:t>]</w:t>
      </w:r>
      <w:r w:rsidR="00742FA3">
        <w:t xml:space="preserve"> flare, </w:t>
      </w:r>
      <w:r w:rsidR="00C66308" w:rsidRPr="00C66308">
        <w:t>and pregnancy test at all study visits in GS-US-264-011</w:t>
      </w:r>
      <w:r w:rsidR="006441BD">
        <w:t xml:space="preserve">1 and GS-US-264-0106) and </w:t>
      </w:r>
      <w:r w:rsidR="00786C87">
        <w:t>electrocardiogram (</w:t>
      </w:r>
      <w:r w:rsidR="006441BD">
        <w:t>ECG</w:t>
      </w:r>
      <w:r w:rsidR="00786C87">
        <w:t>)</w:t>
      </w:r>
      <w:r w:rsidR="006441BD">
        <w:t xml:space="preserve"> measure</w:t>
      </w:r>
      <w:r w:rsidR="00C66308" w:rsidRPr="00C66308">
        <w:t xml:space="preserve">ments in GS-US-264-0111 </w:t>
      </w:r>
      <w:r w:rsidR="00D13FC3">
        <w:t>(</w:t>
      </w:r>
      <w:r w:rsidR="00C66308" w:rsidRPr="00C66308">
        <w:t xml:space="preserve">at screening, baseline, </w:t>
      </w:r>
      <w:r w:rsidR="009D1E90">
        <w:t>Weeks</w:t>
      </w:r>
      <w:r w:rsidR="00C66308" w:rsidRPr="00C66308">
        <w:t xml:space="preserve"> 4, 1</w:t>
      </w:r>
      <w:r w:rsidR="00786C87">
        <w:t>2 and 48</w:t>
      </w:r>
      <w:r w:rsidR="00986DC2">
        <w:t>)</w:t>
      </w:r>
      <w:r w:rsidR="006441BD">
        <w:t>. I</w:t>
      </w:r>
      <w:r w:rsidR="00C66308" w:rsidRPr="00C66308">
        <w:t xml:space="preserve">n </w:t>
      </w:r>
      <w:r w:rsidR="00025444">
        <w:t xml:space="preserve">Study </w:t>
      </w:r>
      <w:r w:rsidR="00C66308" w:rsidRPr="00C66308">
        <w:t>GS-US-264-0110</w:t>
      </w:r>
      <w:r w:rsidR="00025444">
        <w:t>,</w:t>
      </w:r>
      <w:r w:rsidR="00C66308" w:rsidRPr="00C66308">
        <w:t xml:space="preserve"> ECG</w:t>
      </w:r>
      <w:r w:rsidR="007F32F5">
        <w:t>s</w:t>
      </w:r>
      <w:r w:rsidR="00C66308" w:rsidRPr="00C66308">
        <w:t xml:space="preserve"> were performed at </w:t>
      </w:r>
      <w:r w:rsidR="009D1E90">
        <w:t>Weeks</w:t>
      </w:r>
      <w:r w:rsidR="004638F4">
        <w:t xml:space="preserve"> 48 and 96. In GS-US-264-0106, s</w:t>
      </w:r>
      <w:r w:rsidR="00C66308" w:rsidRPr="00C66308">
        <w:t>ubjects randomi</w:t>
      </w:r>
      <w:r w:rsidR="006441BD">
        <w:t>s</w:t>
      </w:r>
      <w:r w:rsidR="00C833B7">
        <w:t xml:space="preserve">ed to the </w:t>
      </w:r>
      <w:r w:rsidR="0085478F" w:rsidRPr="00D51D56">
        <w:t xml:space="preserve">stay on baseline regimen </w:t>
      </w:r>
      <w:r w:rsidR="0085478F">
        <w:t>(</w:t>
      </w:r>
      <w:r w:rsidR="00C833B7">
        <w:t>SBR</w:t>
      </w:r>
      <w:r w:rsidR="0085478F">
        <w:t>)</w:t>
      </w:r>
      <w:r w:rsidR="00C833B7">
        <w:t xml:space="preserve"> group</w:t>
      </w:r>
      <w:r w:rsidR="00C66308" w:rsidRPr="00C66308">
        <w:t xml:space="preserve"> (</w:t>
      </w:r>
      <w:proofErr w:type="spellStart"/>
      <w:r w:rsidR="00C66308" w:rsidRPr="00C66308">
        <w:t>Eviplera</w:t>
      </w:r>
      <w:proofErr w:type="spellEnd"/>
      <w:r w:rsidR="00C66308" w:rsidRPr="00C66308">
        <w:t xml:space="preserve"> switch at </w:t>
      </w:r>
      <w:r w:rsidR="009D1E90">
        <w:t>Week</w:t>
      </w:r>
      <w:r w:rsidR="00C66308" w:rsidRPr="00C66308">
        <w:t xml:space="preserve"> 24) also returned for a visit at </w:t>
      </w:r>
      <w:r w:rsidR="00986DC2">
        <w:t>Weeks 28 and</w:t>
      </w:r>
      <w:r w:rsidR="00C66308" w:rsidRPr="00C66308">
        <w:t xml:space="preserve"> 32. Subjects in </w:t>
      </w:r>
      <w:r w:rsidR="00742FA3">
        <w:t xml:space="preserve">Study </w:t>
      </w:r>
      <w:r w:rsidR="00C66308" w:rsidRPr="00C66308">
        <w:t xml:space="preserve">GS-US-264-0106 extension (after </w:t>
      </w:r>
      <w:r w:rsidR="009D1E90">
        <w:t>Week</w:t>
      </w:r>
      <w:r w:rsidR="00C66308" w:rsidRPr="00C66308">
        <w:t xml:space="preserve"> 48) returned for study visits every 12 </w:t>
      </w:r>
      <w:r w:rsidR="00986DC2">
        <w:t>Weeks</w:t>
      </w:r>
      <w:r w:rsidR="00C66308" w:rsidRPr="00C66308">
        <w:t xml:space="preserve"> (</w:t>
      </w:r>
      <w:r w:rsidR="00986DC2">
        <w:t>Week</w:t>
      </w:r>
      <w:r w:rsidR="00C66308" w:rsidRPr="00C66308">
        <w:t xml:space="preserve"> 60+), during which laboratory analyses (haematology, chemistry, urinalysis, </w:t>
      </w:r>
      <w:proofErr w:type="gramStart"/>
      <w:r w:rsidR="00C66308" w:rsidRPr="00C66308">
        <w:t>pregna</w:t>
      </w:r>
      <w:r w:rsidR="003B49DD">
        <w:t>n</w:t>
      </w:r>
      <w:r w:rsidR="00C66308" w:rsidRPr="00C66308">
        <w:t>cy</w:t>
      </w:r>
      <w:proofErr w:type="gramEnd"/>
      <w:r w:rsidR="00C66308" w:rsidRPr="00C66308">
        <w:t xml:space="preserve"> test), ECG</w:t>
      </w:r>
      <w:r w:rsidR="005036F1">
        <w:t>s</w:t>
      </w:r>
      <w:r w:rsidR="00C66308" w:rsidRPr="00C66308">
        <w:t xml:space="preserve"> (annual), </w:t>
      </w:r>
      <w:r w:rsidR="005036F1">
        <w:t xml:space="preserve">and </w:t>
      </w:r>
      <w:r w:rsidR="00C66308" w:rsidRPr="00C66308">
        <w:t>complete/symptom</w:t>
      </w:r>
      <w:r w:rsidR="003E7205">
        <w:t xml:space="preserve"> </w:t>
      </w:r>
      <w:r w:rsidR="00C66308" w:rsidRPr="00C66308">
        <w:t>directed physical exam</w:t>
      </w:r>
      <w:r w:rsidR="009E331B">
        <w:t>s</w:t>
      </w:r>
      <w:r w:rsidR="00A36A68">
        <w:t xml:space="preserve"> were performed.</w:t>
      </w:r>
    </w:p>
    <w:p w:rsidR="00F626D7" w:rsidRDefault="00F626D7" w:rsidP="00A36A68">
      <w:r>
        <w:t xml:space="preserve">Numerous AEs </w:t>
      </w:r>
      <w:r w:rsidR="00DB538E">
        <w:t xml:space="preserve">were </w:t>
      </w:r>
      <w:r>
        <w:t>of particular interest:</w:t>
      </w:r>
    </w:p>
    <w:p w:rsidR="00F626D7" w:rsidRPr="00A36A68" w:rsidRDefault="0083085D" w:rsidP="00A36A68">
      <w:pPr>
        <w:pStyle w:val="ListBullet"/>
      </w:pPr>
      <w:r w:rsidRPr="00A36A68">
        <w:t>D</w:t>
      </w:r>
      <w:r w:rsidR="00DB538E" w:rsidRPr="00A36A68">
        <w:t>rug resistance</w:t>
      </w:r>
    </w:p>
    <w:p w:rsidR="00F626D7" w:rsidRPr="00A36A68" w:rsidRDefault="00C66308" w:rsidP="00A36A68">
      <w:pPr>
        <w:pStyle w:val="ListBullet"/>
      </w:pPr>
      <w:r w:rsidRPr="00A36A68">
        <w:t>Hepatic AEs, because hepatotoxicity is considered an important potential risk for RPV, and post</w:t>
      </w:r>
      <w:r w:rsidR="0044792B" w:rsidRPr="00A36A68">
        <w:t xml:space="preserve"> </w:t>
      </w:r>
      <w:r w:rsidRPr="00A36A68">
        <w:t>treatment hepatic flares in HIV-1/hepatitis B virus (HBV) co-infected subjects considered important id</w:t>
      </w:r>
      <w:r w:rsidR="00F626D7" w:rsidRPr="00A36A68">
        <w:t>entified risks for FTC a</w:t>
      </w:r>
      <w:r w:rsidR="00A36A68">
        <w:t>nd TDF</w:t>
      </w:r>
    </w:p>
    <w:p w:rsidR="00F626D7" w:rsidRPr="00A36A68" w:rsidRDefault="00C66308" w:rsidP="00A36A68">
      <w:pPr>
        <w:pStyle w:val="ListBullet"/>
      </w:pPr>
      <w:r w:rsidRPr="00A36A68">
        <w:t xml:space="preserve">Skin AEs, as severe skin reactions </w:t>
      </w:r>
      <w:r w:rsidR="00635C54" w:rsidRPr="00A36A68">
        <w:t xml:space="preserve">are </w:t>
      </w:r>
      <w:r w:rsidRPr="00A36A68">
        <w:t>considered important potential risks for RPV, and rash was a common AE i</w:t>
      </w:r>
      <w:r w:rsidR="00A36A68">
        <w:t>dentified in prior RPV studies</w:t>
      </w:r>
    </w:p>
    <w:p w:rsidR="00F626D7" w:rsidRPr="00A36A68" w:rsidRDefault="00C66308" w:rsidP="00A36A68">
      <w:pPr>
        <w:pStyle w:val="ListBullet"/>
      </w:pPr>
      <w:r w:rsidRPr="00A36A68">
        <w:t xml:space="preserve">Psychiatric AEs, as major depressive disorder </w:t>
      </w:r>
      <w:r w:rsidR="00635C54" w:rsidRPr="00A36A68">
        <w:t xml:space="preserve">is </w:t>
      </w:r>
      <w:r w:rsidRPr="00A36A68">
        <w:t>considered an im</w:t>
      </w:r>
      <w:r w:rsidR="00A36A68">
        <w:t>portant potential risk for RPV</w:t>
      </w:r>
    </w:p>
    <w:p w:rsidR="00F626D7" w:rsidRPr="00A36A68" w:rsidRDefault="00C66308" w:rsidP="00A36A68">
      <w:pPr>
        <w:pStyle w:val="ListBullet"/>
      </w:pPr>
      <w:r w:rsidRPr="00A36A68">
        <w:t xml:space="preserve">Renal AEs, as renal toxicity </w:t>
      </w:r>
      <w:r w:rsidR="00C97609" w:rsidRPr="00A36A68">
        <w:t xml:space="preserve">is </w:t>
      </w:r>
      <w:r w:rsidRPr="00A36A68">
        <w:t>considered an imp</w:t>
      </w:r>
      <w:r w:rsidR="00A36A68">
        <w:t>ortant identified risk for TDF</w:t>
      </w:r>
    </w:p>
    <w:p w:rsidR="00F626D7" w:rsidRPr="00A36A68" w:rsidRDefault="00C66308" w:rsidP="00A36A68">
      <w:pPr>
        <w:pStyle w:val="ListBullet"/>
      </w:pPr>
      <w:r w:rsidRPr="00A36A68">
        <w:t xml:space="preserve">Bone AEs, as bone events due to proximal renal </w:t>
      </w:r>
      <w:proofErr w:type="spellStart"/>
      <w:r w:rsidRPr="00A36A68">
        <w:t>tubulopathy</w:t>
      </w:r>
      <w:proofErr w:type="spellEnd"/>
      <w:r w:rsidRPr="00A36A68">
        <w:t xml:space="preserve">/loss of </w:t>
      </w:r>
      <w:r w:rsidR="00342A9B" w:rsidRPr="00A36A68">
        <w:t>bone mineral density</w:t>
      </w:r>
      <w:r w:rsidRPr="00A36A68">
        <w:t xml:space="preserve"> </w:t>
      </w:r>
      <w:r w:rsidR="00635C54" w:rsidRPr="00A36A68">
        <w:t xml:space="preserve">are </w:t>
      </w:r>
      <w:r w:rsidRPr="00A36A68">
        <w:t>considered impo</w:t>
      </w:r>
      <w:r w:rsidR="00F626D7" w:rsidRPr="00A36A68">
        <w:t xml:space="preserve">rtant identified risks for TDF. </w:t>
      </w:r>
      <w:r w:rsidRPr="00A36A68">
        <w:t>Bone events (</w:t>
      </w:r>
      <w:proofErr w:type="spellStart"/>
      <w:r w:rsidRPr="00A36A68">
        <w:t>osteomalacia</w:t>
      </w:r>
      <w:proofErr w:type="spellEnd"/>
      <w:r w:rsidRPr="00A36A68">
        <w:t xml:space="preserve"> and infrequently contributing to fractures) may occur as a consequence of</w:t>
      </w:r>
      <w:r w:rsidR="00F626D7" w:rsidRPr="00A36A68">
        <w:t xml:space="preserve"> TDF</w:t>
      </w:r>
      <w:r w:rsidR="00342A9B" w:rsidRPr="00A36A68">
        <w:t xml:space="preserve"> </w:t>
      </w:r>
      <w:r w:rsidR="00A36A68">
        <w:t>associated renal toxicity</w:t>
      </w:r>
    </w:p>
    <w:p w:rsidR="00F626D7" w:rsidRPr="00A36A68" w:rsidRDefault="00C66308" w:rsidP="00A36A68">
      <w:pPr>
        <w:pStyle w:val="ListBullet"/>
      </w:pPr>
      <w:r w:rsidRPr="00A36A68">
        <w:t>Muscle AEs, as these may occur as a consequence of TDF</w:t>
      </w:r>
      <w:r w:rsidR="00F72AAE" w:rsidRPr="00A36A68">
        <w:t xml:space="preserve"> associated renal and</w:t>
      </w:r>
      <w:r w:rsidR="00A36A68">
        <w:t xml:space="preserve"> muscle toxicity</w:t>
      </w:r>
    </w:p>
    <w:p w:rsidR="00F626D7" w:rsidRPr="00A36A68" w:rsidRDefault="00C66308" w:rsidP="00A36A68">
      <w:pPr>
        <w:pStyle w:val="ListBullet"/>
      </w:pPr>
      <w:r w:rsidRPr="00A36A68">
        <w:t>Cardiac AEs, because QT interval</w:t>
      </w:r>
      <w:r w:rsidR="008B08AD" w:rsidRPr="003B49DD">
        <w:rPr>
          <w:rStyle w:val="FootnoteReference"/>
        </w:rPr>
        <w:footnoteReference w:id="1"/>
      </w:r>
      <w:r w:rsidRPr="00A36A68">
        <w:t xml:space="preserve"> prolongation </w:t>
      </w:r>
      <w:r w:rsidR="00C97609" w:rsidRPr="00A36A68">
        <w:t xml:space="preserve">is </w:t>
      </w:r>
      <w:r w:rsidRPr="00A36A68">
        <w:t>considered an im</w:t>
      </w:r>
      <w:r w:rsidR="00F626D7" w:rsidRPr="00A36A68">
        <w:t>portant po</w:t>
      </w:r>
      <w:r w:rsidR="00A36A68">
        <w:t>tential risk for RPV</w:t>
      </w:r>
    </w:p>
    <w:p w:rsidR="00F626D7" w:rsidRPr="00A36A68" w:rsidRDefault="00C66308" w:rsidP="00A36A68">
      <w:pPr>
        <w:pStyle w:val="ListBullet"/>
      </w:pPr>
      <w:proofErr w:type="spellStart"/>
      <w:r w:rsidRPr="00A36A68">
        <w:lastRenderedPageBreak/>
        <w:t>Lipodystrophy</w:t>
      </w:r>
      <w:proofErr w:type="spellEnd"/>
      <w:r w:rsidRPr="00A36A68">
        <w:t xml:space="preserve">, </w:t>
      </w:r>
      <w:r w:rsidR="008B08AD" w:rsidRPr="00A36A68">
        <w:t xml:space="preserve">because this is </w:t>
      </w:r>
      <w:r w:rsidRPr="00A36A68">
        <w:t>considered an important identified risk for FTC and TDF and an im</w:t>
      </w:r>
      <w:r w:rsidR="00A36A68">
        <w:t>portant potential risk for RPV</w:t>
      </w:r>
    </w:p>
    <w:p w:rsidR="00F626D7" w:rsidRPr="00A36A68" w:rsidRDefault="00C66308" w:rsidP="00A36A68">
      <w:pPr>
        <w:pStyle w:val="ListBullet"/>
      </w:pPr>
      <w:r w:rsidRPr="00A36A68">
        <w:t xml:space="preserve">Pancreatitis, </w:t>
      </w:r>
      <w:r w:rsidR="008B08AD" w:rsidRPr="00A36A68">
        <w:t xml:space="preserve">because this is considered </w:t>
      </w:r>
      <w:r w:rsidRPr="00A36A68">
        <w:t>an imp</w:t>
      </w:r>
      <w:r w:rsidR="00A36A68">
        <w:t>ortant identified risk for TDF</w:t>
      </w:r>
    </w:p>
    <w:p w:rsidR="00F626D7" w:rsidRPr="00A36A68" w:rsidRDefault="00C66308" w:rsidP="00A36A68">
      <w:pPr>
        <w:pStyle w:val="ListBullet"/>
      </w:pPr>
      <w:r w:rsidRPr="00A36A68">
        <w:t xml:space="preserve">Lactic acidosis and severe hepatomegaly with </w:t>
      </w:r>
      <w:proofErr w:type="spellStart"/>
      <w:r w:rsidRPr="00A36A68">
        <w:t>steatosis</w:t>
      </w:r>
      <w:proofErr w:type="spellEnd"/>
      <w:r w:rsidRPr="00A36A68">
        <w:t xml:space="preserve">, </w:t>
      </w:r>
      <w:r w:rsidR="008B08AD" w:rsidRPr="00A36A68">
        <w:t>because these are</w:t>
      </w:r>
      <w:r w:rsidRPr="00A36A68">
        <w:t xml:space="preserve"> important id</w:t>
      </w:r>
      <w:r w:rsidR="00A36A68">
        <w:t>entified risks for FTC and TDF</w:t>
      </w:r>
    </w:p>
    <w:p w:rsidR="00F626D7" w:rsidRPr="00A36A68" w:rsidRDefault="00C66308" w:rsidP="00A36A68">
      <w:pPr>
        <w:pStyle w:val="ListBullet"/>
      </w:pPr>
      <w:r w:rsidRPr="00A36A68">
        <w:t xml:space="preserve">Interaction with </w:t>
      </w:r>
      <w:proofErr w:type="spellStart"/>
      <w:r w:rsidRPr="00A36A68">
        <w:t>didan</w:t>
      </w:r>
      <w:r w:rsidR="00F626D7" w:rsidRPr="00A36A68">
        <w:t>osine</w:t>
      </w:r>
      <w:proofErr w:type="spellEnd"/>
      <w:r w:rsidR="00F626D7" w:rsidRPr="00A36A68">
        <w:t xml:space="preserve">, </w:t>
      </w:r>
      <w:r w:rsidR="008B08AD" w:rsidRPr="00A36A68">
        <w:t xml:space="preserve">because this is an </w:t>
      </w:r>
      <w:r w:rsidR="00A36A68">
        <w:t>identified risk for TDF</w:t>
      </w:r>
    </w:p>
    <w:p w:rsidR="00F626D7" w:rsidRPr="00A36A68" w:rsidRDefault="00C66308" w:rsidP="00A36A68">
      <w:pPr>
        <w:pStyle w:val="ListBullet"/>
      </w:pPr>
      <w:r w:rsidRPr="00A36A68">
        <w:t>Bleeding disord</w:t>
      </w:r>
      <w:r w:rsidR="00F626D7" w:rsidRPr="00A36A68">
        <w:t xml:space="preserve">ers, </w:t>
      </w:r>
      <w:r w:rsidR="008B08AD" w:rsidRPr="00A36A68">
        <w:t>because this is a</w:t>
      </w:r>
      <w:r w:rsidR="00A36A68">
        <w:t xml:space="preserve"> potential risk for RPV</w:t>
      </w:r>
    </w:p>
    <w:p w:rsidR="00F626D7" w:rsidRPr="00A36A68" w:rsidRDefault="00C66308" w:rsidP="00A36A68">
      <w:pPr>
        <w:pStyle w:val="ListBullet"/>
      </w:pPr>
      <w:r w:rsidRPr="00A36A68">
        <w:t>Overdose, because overdos</w:t>
      </w:r>
      <w:r w:rsidR="00F626D7" w:rsidRPr="00A36A68">
        <w:t xml:space="preserve">e </w:t>
      </w:r>
      <w:r w:rsidR="009B0BB3" w:rsidRPr="00A36A68">
        <w:t xml:space="preserve">is </w:t>
      </w:r>
      <w:r w:rsidR="00A36A68">
        <w:t>considered an potential risk</w:t>
      </w:r>
    </w:p>
    <w:p w:rsidR="00C66308" w:rsidRPr="00A36A68" w:rsidRDefault="00C66308" w:rsidP="00A36A68">
      <w:pPr>
        <w:pStyle w:val="ListBullet"/>
      </w:pPr>
      <w:r w:rsidRPr="00A36A68">
        <w:t xml:space="preserve">Pregnancy/lactation, because of a paucity of information for </w:t>
      </w:r>
      <w:proofErr w:type="spellStart"/>
      <w:r w:rsidRPr="00A36A68">
        <w:t>Eviplera</w:t>
      </w:r>
      <w:proofErr w:type="spellEnd"/>
      <w:r w:rsidRPr="00A36A68">
        <w:t>.</w:t>
      </w:r>
    </w:p>
    <w:p w:rsidR="006C6520" w:rsidRDefault="00FA1B90" w:rsidP="00A36A68">
      <w:r>
        <w:t xml:space="preserve">Laboratory tests </w:t>
      </w:r>
      <w:r w:rsidR="00C66308" w:rsidRPr="00C66308">
        <w:t>were performe</w:t>
      </w:r>
      <w:r>
        <w:t>d at all study visits (except Week</w:t>
      </w:r>
      <w:r w:rsidR="00C66308" w:rsidRPr="00C66308">
        <w:t xml:space="preserve">s 2 and 6 in </w:t>
      </w:r>
      <w:r w:rsidR="00037BDA">
        <w:t>Study GS-US-264-0111 as these were pharmacokinetic</w:t>
      </w:r>
      <w:r w:rsidR="006C6520">
        <w:t xml:space="preserve"> visits) in each study:</w:t>
      </w:r>
    </w:p>
    <w:p w:rsidR="001610A1" w:rsidRPr="00A36A68" w:rsidRDefault="00480F92" w:rsidP="00A36A68">
      <w:pPr>
        <w:pStyle w:val="ListBullet"/>
      </w:pPr>
      <w:r w:rsidRPr="00A36A68">
        <w:t>full blood chemistry</w:t>
      </w:r>
    </w:p>
    <w:p w:rsidR="001610A1" w:rsidRPr="00A36A68" w:rsidRDefault="006C6520" w:rsidP="00A36A68">
      <w:pPr>
        <w:pStyle w:val="ListBullet"/>
      </w:pPr>
      <w:r w:rsidRPr="00A36A68">
        <w:t>estimated glomerular filtration rate (</w:t>
      </w:r>
      <w:proofErr w:type="spellStart"/>
      <w:r w:rsidR="00C66308" w:rsidRPr="00A36A68">
        <w:t>eGFR</w:t>
      </w:r>
      <w:proofErr w:type="spellEnd"/>
      <w:r w:rsidRPr="00A36A68">
        <w:t>)</w:t>
      </w:r>
      <w:r w:rsidR="00C66308" w:rsidRPr="00A36A68">
        <w:t xml:space="preserve"> calculated from chemistry panel</w:t>
      </w:r>
      <w:r w:rsidR="00A36A68">
        <w:t xml:space="preserve"> using Cockcroft-</w:t>
      </w:r>
      <w:proofErr w:type="spellStart"/>
      <w:r w:rsidR="00A36A68">
        <w:t>Gault</w:t>
      </w:r>
      <w:proofErr w:type="spellEnd"/>
      <w:r w:rsidR="00A36A68">
        <w:t xml:space="preserve"> formula</w:t>
      </w:r>
    </w:p>
    <w:p w:rsidR="001610A1" w:rsidRPr="00A36A68" w:rsidRDefault="007175A0" w:rsidP="00A36A68">
      <w:pPr>
        <w:pStyle w:val="ListBullet"/>
      </w:pPr>
      <w:r w:rsidRPr="00A36A68">
        <w:t>fasting Metabolic panel (lipids and</w:t>
      </w:r>
      <w:r w:rsidR="001610A1" w:rsidRPr="00A36A68">
        <w:t xml:space="preserve"> glucose</w:t>
      </w:r>
      <w:r w:rsidR="00576257" w:rsidRPr="00A36A68">
        <w:t>)</w:t>
      </w:r>
    </w:p>
    <w:p w:rsidR="001610A1" w:rsidRPr="00A36A68" w:rsidRDefault="00A36A68" w:rsidP="00A36A68">
      <w:pPr>
        <w:pStyle w:val="ListBullet"/>
      </w:pPr>
      <w:r>
        <w:t>urinalysis</w:t>
      </w:r>
    </w:p>
    <w:p w:rsidR="001610A1" w:rsidRPr="00A36A68" w:rsidRDefault="00A36A68" w:rsidP="00A36A68">
      <w:pPr>
        <w:pStyle w:val="ListBullet"/>
      </w:pPr>
      <w:r>
        <w:t>pregnancy test</w:t>
      </w:r>
    </w:p>
    <w:p w:rsidR="001610A1" w:rsidRPr="00A36A68" w:rsidRDefault="00C66308" w:rsidP="00A36A68">
      <w:pPr>
        <w:pStyle w:val="ListBullet"/>
      </w:pPr>
      <w:r w:rsidRPr="00A36A68">
        <w:t>T</w:t>
      </w:r>
      <w:r w:rsidR="00A80B1F" w:rsidRPr="00A36A68">
        <w:t xml:space="preserve"> </w:t>
      </w:r>
      <w:r w:rsidR="00A36A68">
        <w:t>cells</w:t>
      </w:r>
    </w:p>
    <w:p w:rsidR="001610A1" w:rsidRPr="00A36A68" w:rsidRDefault="00A36A68" w:rsidP="00A36A68">
      <w:pPr>
        <w:pStyle w:val="ListBullet"/>
      </w:pPr>
      <w:r>
        <w:t>plasma HIV RNA</w:t>
      </w:r>
    </w:p>
    <w:p w:rsidR="001610A1" w:rsidRPr="00A36A68" w:rsidRDefault="00C66308" w:rsidP="00A36A68">
      <w:pPr>
        <w:pStyle w:val="ListBullet"/>
      </w:pPr>
      <w:r w:rsidRPr="00A36A68">
        <w:t>HIV resistance testing when protocol specified algorith</w:t>
      </w:r>
      <w:r w:rsidR="00A36A68">
        <w:t>ms for virological failure met.</w:t>
      </w:r>
    </w:p>
    <w:p w:rsidR="00C66308" w:rsidRPr="00857F03" w:rsidRDefault="00C66308" w:rsidP="00A36A68">
      <w:pPr>
        <w:pStyle w:val="Heading5"/>
      </w:pPr>
      <w:r w:rsidRPr="00857F03">
        <w:t>Pivotal studies that assessed safety as a primary outcome</w:t>
      </w:r>
    </w:p>
    <w:p w:rsidR="00C66308" w:rsidRPr="00C66308" w:rsidRDefault="00C66308" w:rsidP="00A36A68">
      <w:r w:rsidRPr="00C66308">
        <w:t>There were no pivotal studies that assessed safety as a primary outcome.</w:t>
      </w:r>
    </w:p>
    <w:p w:rsidR="00C66308" w:rsidRPr="00857F03" w:rsidRDefault="00C66308" w:rsidP="00A36A68">
      <w:pPr>
        <w:pStyle w:val="Heading5"/>
      </w:pPr>
      <w:r w:rsidRPr="00857F03">
        <w:t>Dose-response and non-pivotal efficacy studies</w:t>
      </w:r>
    </w:p>
    <w:p w:rsidR="00C66308" w:rsidRPr="00C66308" w:rsidRDefault="00C66308" w:rsidP="00A36A68">
      <w:r w:rsidRPr="00C66308">
        <w:t>Not applicable.</w:t>
      </w:r>
    </w:p>
    <w:p w:rsidR="00C66308" w:rsidRPr="00857F03" w:rsidRDefault="00C66308" w:rsidP="00A36A68">
      <w:pPr>
        <w:pStyle w:val="Heading5"/>
      </w:pPr>
      <w:r w:rsidRPr="00857F03">
        <w:t>Other studies evaluable for safety only</w:t>
      </w:r>
    </w:p>
    <w:p w:rsidR="00C66308" w:rsidRPr="00C66308" w:rsidRDefault="00C66308" w:rsidP="00A36A68">
      <w:r w:rsidRPr="00C66308">
        <w:t>Not applicable.</w:t>
      </w:r>
    </w:p>
    <w:p w:rsidR="00605AD4" w:rsidRDefault="00605AD4" w:rsidP="00A36A68">
      <w:pPr>
        <w:pStyle w:val="Heading4"/>
      </w:pPr>
      <w:r w:rsidRPr="00605AD4">
        <w:t>Patient exposure</w:t>
      </w:r>
    </w:p>
    <w:p w:rsidR="00A00C7B" w:rsidRPr="00A00C7B" w:rsidRDefault="00A00C7B" w:rsidP="00A36A68">
      <w:r w:rsidRPr="00A00C7B">
        <w:t xml:space="preserve">Of 50 </w:t>
      </w:r>
      <w:r w:rsidR="00444DFA">
        <w:t xml:space="preserve">patients </w:t>
      </w:r>
      <w:r w:rsidRPr="00A00C7B">
        <w:t>enrolled</w:t>
      </w:r>
      <w:r w:rsidR="00444DFA" w:rsidRPr="00444DFA">
        <w:t xml:space="preserve"> </w:t>
      </w:r>
      <w:r w:rsidR="00444DFA">
        <w:t xml:space="preserve">in Study </w:t>
      </w:r>
      <w:r w:rsidR="00444DFA" w:rsidRPr="00A00C7B">
        <w:t>GS-US-264-0111</w:t>
      </w:r>
      <w:r w:rsidRPr="00A00C7B">
        <w:t>, 49 received ≥1 dose of study drug. One subject stopped study drug after W</w:t>
      </w:r>
      <w:r w:rsidR="00540222">
        <w:t>ee</w:t>
      </w:r>
      <w:r w:rsidRPr="00A00C7B">
        <w:t xml:space="preserve">k 36 because of incarceration. All 49 subjects received study drug for ≥44 </w:t>
      </w:r>
      <w:r w:rsidR="00266943">
        <w:t>Weeks</w:t>
      </w:r>
      <w:r w:rsidR="00A80B1F">
        <w:t>; median exposure was</w:t>
      </w:r>
      <w:r w:rsidR="00540222">
        <w:t xml:space="preserve"> </w:t>
      </w:r>
      <w:r w:rsidRPr="00A00C7B">
        <w:t>48 w</w:t>
      </w:r>
      <w:r w:rsidR="00E37460">
        <w:t>ee</w:t>
      </w:r>
      <w:r w:rsidRPr="00A00C7B">
        <w:t xml:space="preserve">ks. </w:t>
      </w:r>
      <w:r w:rsidR="00540222">
        <w:t>In Study GS-US-264-0106,</w:t>
      </w:r>
      <w:r w:rsidRPr="00A00C7B">
        <w:t xml:space="preserve"> 469 subjects received at least 1 dose of </w:t>
      </w:r>
      <w:proofErr w:type="spellStart"/>
      <w:r w:rsidRPr="00A00C7B">
        <w:t>Eviplera</w:t>
      </w:r>
      <w:proofErr w:type="spellEnd"/>
      <w:r w:rsidRPr="00A00C7B">
        <w:t xml:space="preserve">, including </w:t>
      </w:r>
      <w:r w:rsidR="00BB7D9D">
        <w:t xml:space="preserve">317 in the </w:t>
      </w:r>
      <w:proofErr w:type="spellStart"/>
      <w:r w:rsidR="00BB7D9D">
        <w:t>Eviplera</w:t>
      </w:r>
      <w:proofErr w:type="spellEnd"/>
      <w:r w:rsidR="00BB7D9D">
        <w:t xml:space="preserve"> group</w:t>
      </w:r>
      <w:r w:rsidRPr="00A00C7B">
        <w:t xml:space="preserve"> </w:t>
      </w:r>
      <w:r w:rsidR="00BB7D9D">
        <w:t>and 152 in the Delayed Switch group</w:t>
      </w:r>
      <w:r w:rsidRPr="00A00C7B">
        <w:t>. Mean (SD)</w:t>
      </w:r>
      <w:r w:rsidR="00BB7D9D">
        <w:t xml:space="preserve"> duration of </w:t>
      </w:r>
      <w:proofErr w:type="spellStart"/>
      <w:r w:rsidR="00BB7D9D">
        <w:t>Eviplera</w:t>
      </w:r>
      <w:proofErr w:type="spellEnd"/>
      <w:r w:rsidR="00BB7D9D">
        <w:t xml:space="preserve"> exposure was 45.6 (9.21) weeks in the </w:t>
      </w:r>
      <w:proofErr w:type="spellStart"/>
      <w:r w:rsidR="00BB7D9D">
        <w:t>Eviplera</w:t>
      </w:r>
      <w:proofErr w:type="spellEnd"/>
      <w:r w:rsidR="00BB7D9D">
        <w:t xml:space="preserve"> group</w:t>
      </w:r>
      <w:r w:rsidRPr="00A00C7B">
        <w:t xml:space="preserve"> and 23.2 (3.93) w</w:t>
      </w:r>
      <w:r w:rsidR="00BB7D9D">
        <w:t>ee</w:t>
      </w:r>
      <w:r w:rsidRPr="00A00C7B">
        <w:t>ks in the Delayed Switch g</w:t>
      </w:r>
      <w:r w:rsidR="00BB7D9D">
        <w:t>rou</w:t>
      </w:r>
      <w:r w:rsidRPr="00A00C7B">
        <w:t xml:space="preserve">p. </w:t>
      </w:r>
      <w:r w:rsidR="00BB7D9D">
        <w:t xml:space="preserve">In Study GS-US-264-0110, </w:t>
      </w:r>
      <w:r w:rsidRPr="00A00C7B">
        <w:t>394 subj</w:t>
      </w:r>
      <w:r w:rsidR="00BB7D9D">
        <w:t xml:space="preserve">ects received ≥1 dose </w:t>
      </w:r>
      <w:proofErr w:type="spellStart"/>
      <w:r w:rsidR="00BB7D9D">
        <w:t>Eviplera</w:t>
      </w:r>
      <w:proofErr w:type="spellEnd"/>
      <w:r w:rsidR="00BB7D9D">
        <w:t xml:space="preserve">, and </w:t>
      </w:r>
      <w:r w:rsidRPr="00A00C7B">
        <w:t xml:space="preserve">392 subjects received ≥1 dose </w:t>
      </w:r>
      <w:proofErr w:type="spellStart"/>
      <w:r w:rsidRPr="00A00C7B">
        <w:t>Atripla</w:t>
      </w:r>
      <w:proofErr w:type="spellEnd"/>
      <w:r w:rsidRPr="00A00C7B">
        <w:t>. The mean (SD) duration of exposure to randomised</w:t>
      </w:r>
      <w:r w:rsidR="00BB7D9D">
        <w:t xml:space="preserve"> study drug was 53.2 (13.47) weeks (</w:t>
      </w:r>
      <w:proofErr w:type="spellStart"/>
      <w:r w:rsidR="00BB7D9D">
        <w:t>Eviplera</w:t>
      </w:r>
      <w:proofErr w:type="spellEnd"/>
      <w:r w:rsidR="00BB7D9D">
        <w:t xml:space="preserve"> group</w:t>
      </w:r>
      <w:r w:rsidRPr="00A00C7B">
        <w:t xml:space="preserve">) and 50.3 (17.67) </w:t>
      </w:r>
      <w:r w:rsidR="00BB7D9D">
        <w:t>weeks</w:t>
      </w:r>
      <w:r w:rsidRPr="00A00C7B">
        <w:t xml:space="preserve"> in the </w:t>
      </w:r>
      <w:proofErr w:type="spellStart"/>
      <w:r w:rsidRPr="00A00C7B">
        <w:t>Atripla</w:t>
      </w:r>
      <w:proofErr w:type="spellEnd"/>
      <w:r w:rsidRPr="00A00C7B">
        <w:t xml:space="preserve"> </w:t>
      </w:r>
      <w:r w:rsidR="00BB7D9D">
        <w:t>group</w:t>
      </w:r>
      <w:r w:rsidRPr="00A00C7B">
        <w:t>.</w:t>
      </w:r>
    </w:p>
    <w:p w:rsidR="00605AD4" w:rsidRDefault="00605AD4" w:rsidP="00A36A68">
      <w:pPr>
        <w:pStyle w:val="Heading4"/>
      </w:pPr>
      <w:r w:rsidRPr="00605AD4">
        <w:t>Safety issues with the potential for major regulatory impact</w:t>
      </w:r>
    </w:p>
    <w:p w:rsidR="006441BD" w:rsidRPr="006441BD" w:rsidRDefault="006441BD" w:rsidP="00A36A68">
      <w:r w:rsidRPr="006441BD">
        <w:t xml:space="preserve">None identified in regards to liver, haematological toxicity, serious skin reactions, cardiovascular safety, unwanted immunological events, </w:t>
      </w:r>
      <w:r w:rsidR="00426812">
        <w:t xml:space="preserve">or </w:t>
      </w:r>
      <w:r w:rsidRPr="006441BD">
        <w:t>other safety issues.</w:t>
      </w:r>
    </w:p>
    <w:p w:rsidR="00605AD4" w:rsidRDefault="00605AD4" w:rsidP="00A36A68">
      <w:pPr>
        <w:pStyle w:val="Heading4"/>
      </w:pPr>
      <w:r w:rsidRPr="00605AD4">
        <w:lastRenderedPageBreak/>
        <w:t>Post</w:t>
      </w:r>
      <w:r w:rsidR="00AD59E1">
        <w:t xml:space="preserve"> </w:t>
      </w:r>
      <w:r w:rsidRPr="00605AD4">
        <w:t>marketing data</w:t>
      </w:r>
    </w:p>
    <w:p w:rsidR="006441BD" w:rsidRPr="006441BD" w:rsidRDefault="006441BD" w:rsidP="00A36A68">
      <w:r w:rsidRPr="006441BD">
        <w:t xml:space="preserve">Worldwide cumulative patient exposure to </w:t>
      </w:r>
      <w:proofErr w:type="spellStart"/>
      <w:r w:rsidRPr="006441BD">
        <w:t>Eviplera</w:t>
      </w:r>
      <w:proofErr w:type="spellEnd"/>
      <w:r w:rsidRPr="006441BD">
        <w:t xml:space="preserve"> since first marketing approval in the US (10</w:t>
      </w:r>
      <w:r w:rsidR="00AD59E1">
        <w:t xml:space="preserve"> </w:t>
      </w:r>
      <w:r w:rsidRPr="006441BD">
        <w:t>Aug</w:t>
      </w:r>
      <w:r w:rsidR="00AD59E1">
        <w:t>ust 20</w:t>
      </w:r>
      <w:r w:rsidRPr="006441BD">
        <w:t>11) to 31 July 2012 estimated at 13,054 patient</w:t>
      </w:r>
      <w:r w:rsidR="00AD59E1">
        <w:t xml:space="preserve"> </w:t>
      </w:r>
      <w:r w:rsidRPr="006441BD">
        <w:t>years</w:t>
      </w:r>
      <w:r w:rsidR="00AD59E1">
        <w:t xml:space="preserve">. </w:t>
      </w:r>
      <w:r w:rsidR="005A5A12">
        <w:t xml:space="preserve">There were 2 </w:t>
      </w:r>
      <w:r w:rsidR="005A5A12" w:rsidRPr="005A5A12">
        <w:t>Periodic Safety Update Reports (PSUR</w:t>
      </w:r>
      <w:r w:rsidR="005A5A12">
        <w:t xml:space="preserve">s): </w:t>
      </w:r>
      <w:r w:rsidRPr="006441BD">
        <w:t>11</w:t>
      </w:r>
      <w:r w:rsidR="005A5A12">
        <w:t xml:space="preserve"> </w:t>
      </w:r>
      <w:r w:rsidRPr="006441BD">
        <w:t>Aug</w:t>
      </w:r>
      <w:r w:rsidR="005A5A12">
        <w:t xml:space="preserve">ust 2011 to </w:t>
      </w:r>
      <w:r w:rsidRPr="006441BD">
        <w:t>10</w:t>
      </w:r>
      <w:r w:rsidR="005A5A12">
        <w:t xml:space="preserve"> </w:t>
      </w:r>
      <w:r w:rsidRPr="006441BD">
        <w:t>Feb</w:t>
      </w:r>
      <w:r w:rsidR="005A5A12">
        <w:t xml:space="preserve">ruary </w:t>
      </w:r>
      <w:r w:rsidR="006D2746">
        <w:t>20</w:t>
      </w:r>
      <w:r w:rsidR="005A5A12">
        <w:t>12, and</w:t>
      </w:r>
      <w:r w:rsidRPr="006441BD">
        <w:t xml:space="preserve"> 11</w:t>
      </w:r>
      <w:r w:rsidR="005A5A12">
        <w:t xml:space="preserve"> </w:t>
      </w:r>
      <w:r w:rsidRPr="006441BD">
        <w:t>Feb</w:t>
      </w:r>
      <w:r w:rsidR="005A5A12">
        <w:t xml:space="preserve">ruary 2012 to </w:t>
      </w:r>
      <w:r w:rsidRPr="006441BD">
        <w:t>10</w:t>
      </w:r>
      <w:r w:rsidR="005A5A12">
        <w:t xml:space="preserve"> </w:t>
      </w:r>
      <w:r w:rsidRPr="006441BD">
        <w:t>Aug</w:t>
      </w:r>
      <w:r w:rsidR="005A5A12">
        <w:t>ust 20</w:t>
      </w:r>
      <w:r w:rsidR="00A70249">
        <w:t>12</w:t>
      </w:r>
      <w:r w:rsidRPr="006441BD">
        <w:t>. In these PSUR</w:t>
      </w:r>
      <w:r w:rsidR="005A5A12">
        <w:t>s</w:t>
      </w:r>
      <w:r w:rsidRPr="006441BD">
        <w:t>, 25 and 74 medically confirmed cases met PSUR inclusion criteria</w:t>
      </w:r>
      <w:r w:rsidR="0099203C">
        <w:t>,</w:t>
      </w:r>
      <w:r w:rsidRPr="006441BD">
        <w:t xml:space="preserve"> respectively, of which 24 and 73 were spontaneous reports; 1 case in each PSU</w:t>
      </w:r>
      <w:r w:rsidR="0099203C">
        <w:t>R was a</w:t>
      </w:r>
      <w:r w:rsidRPr="006441BD">
        <w:t xml:space="preserve"> </w:t>
      </w:r>
      <w:r w:rsidR="0099203C">
        <w:t xml:space="preserve">serious </w:t>
      </w:r>
      <w:r w:rsidRPr="006441BD">
        <w:t xml:space="preserve">AE </w:t>
      </w:r>
      <w:r w:rsidR="0099203C">
        <w:t xml:space="preserve">(SAE) </w:t>
      </w:r>
      <w:r w:rsidRPr="006441BD">
        <w:t xml:space="preserve">from a clinical study </w:t>
      </w:r>
      <w:r w:rsidR="0099203C">
        <w:t xml:space="preserve">that was </w:t>
      </w:r>
      <w:r w:rsidRPr="006441BD">
        <w:t xml:space="preserve">considered </w:t>
      </w:r>
      <w:proofErr w:type="spellStart"/>
      <w:r w:rsidRPr="006441BD">
        <w:t>Eviplera</w:t>
      </w:r>
      <w:proofErr w:type="spellEnd"/>
      <w:r w:rsidR="0099203C">
        <w:t xml:space="preserve"> </w:t>
      </w:r>
      <w:r w:rsidRPr="006441BD">
        <w:t>related (investigator/</w:t>
      </w:r>
      <w:r w:rsidR="0099203C">
        <w:t>sponsor</w:t>
      </w:r>
      <w:r w:rsidRPr="006441BD">
        <w:t xml:space="preserve"> physician). All safety data for th</w:t>
      </w:r>
      <w:r>
        <w:t xml:space="preserve">e topics under close monitoring </w:t>
      </w:r>
      <w:r w:rsidRPr="006441BD">
        <w:t xml:space="preserve">for </w:t>
      </w:r>
      <w:proofErr w:type="spellStart"/>
      <w:r w:rsidRPr="006441BD">
        <w:t>Eviplera</w:t>
      </w:r>
      <w:proofErr w:type="spellEnd"/>
      <w:r w:rsidRPr="006441BD">
        <w:t xml:space="preserve"> were reviewed. Following review of drug resistance data, the Y188L substitution was identified as a</w:t>
      </w:r>
      <w:r w:rsidR="0099203C">
        <w:t xml:space="preserve"> </w:t>
      </w:r>
      <w:r w:rsidR="0099203C" w:rsidRPr="0099203C">
        <w:t xml:space="preserve">reverse transcriptase </w:t>
      </w:r>
      <w:r w:rsidR="0099203C">
        <w:t>(</w:t>
      </w:r>
      <w:r w:rsidRPr="006441BD">
        <w:t>RT</w:t>
      </w:r>
      <w:r w:rsidR="0099203C">
        <w:t>)</w:t>
      </w:r>
      <w:r w:rsidRPr="006441BD">
        <w:t xml:space="preserve"> mutation conferring resistance to RPV. Ten spontaneous cases involving 16 SAEs received between</w:t>
      </w:r>
      <w:r w:rsidR="006D2746">
        <w:t xml:space="preserve"> </w:t>
      </w:r>
      <w:r w:rsidRPr="006441BD">
        <w:t>11</w:t>
      </w:r>
      <w:r w:rsidR="005D56D5">
        <w:t xml:space="preserve"> </w:t>
      </w:r>
      <w:r w:rsidRPr="006441BD">
        <w:t>Aug</w:t>
      </w:r>
      <w:r w:rsidR="005D56D5">
        <w:t xml:space="preserve">ust 2012 and </w:t>
      </w:r>
      <w:r w:rsidRPr="006441BD">
        <w:t>31</w:t>
      </w:r>
      <w:r w:rsidR="005D56D5">
        <w:t xml:space="preserve"> </w:t>
      </w:r>
      <w:r w:rsidRPr="006441BD">
        <w:t>Oct</w:t>
      </w:r>
      <w:r w:rsidR="00DB1C3A">
        <w:t>ober</w:t>
      </w:r>
      <w:r w:rsidR="005D56D5">
        <w:t xml:space="preserve"> 20</w:t>
      </w:r>
      <w:r w:rsidRPr="006441BD">
        <w:t xml:space="preserve">12. Medically confirmed spontaneous cases received in this period with SAEs in the topics under close monitoring in PSURs were: drug resistance/lack of efficacy (n = 3), hepatic events (n = 2), skin reactions (n = 1), psychiatric (n = 1), cardiac (n = 1), bone and muscle events (n = 1). </w:t>
      </w:r>
      <w:r w:rsidR="00A70249">
        <w:t>There was o</w:t>
      </w:r>
      <w:r w:rsidRPr="006441BD">
        <w:t>ne spontaneous report of death</w:t>
      </w:r>
      <w:r w:rsidR="00A70249">
        <w:t xml:space="preserve">: </w:t>
      </w:r>
      <w:r w:rsidR="00A53B86">
        <w:t>a HI</w:t>
      </w:r>
      <w:r w:rsidRPr="006441BD">
        <w:t xml:space="preserve">V/HBV co-infected patient with a CD4+ count of ‘46’ prior to initiation of </w:t>
      </w:r>
      <w:proofErr w:type="spellStart"/>
      <w:r w:rsidRPr="006441BD">
        <w:t>Eviplera</w:t>
      </w:r>
      <w:proofErr w:type="spellEnd"/>
      <w:r w:rsidR="00A70249">
        <w:t xml:space="preserve">, who </w:t>
      </w:r>
      <w:r w:rsidRPr="006441BD">
        <w:t xml:space="preserve">died due to </w:t>
      </w:r>
      <w:r w:rsidR="00A70249" w:rsidRPr="00A70249">
        <w:t xml:space="preserve">Immune Reconstitution Inflammatory Syndrome </w:t>
      </w:r>
      <w:r w:rsidR="00A70249">
        <w:t>(</w:t>
      </w:r>
      <w:r w:rsidRPr="006441BD">
        <w:t>IRIS</w:t>
      </w:r>
      <w:r w:rsidR="00A70249">
        <w:t>)</w:t>
      </w:r>
      <w:r w:rsidRPr="006441BD">
        <w:t xml:space="preserve"> with an associated respiratory component. IRIS has been reported in patients treated with ARV with low baseline CD4 count a known risk factor.</w:t>
      </w:r>
    </w:p>
    <w:p w:rsidR="00605AD4" w:rsidRPr="00605AD4" w:rsidRDefault="00605AD4" w:rsidP="00A36A68">
      <w:pPr>
        <w:pStyle w:val="Heading4"/>
      </w:pPr>
      <w:r w:rsidRPr="00605AD4">
        <w:t>Evaluator’s conclusions on safety</w:t>
      </w:r>
    </w:p>
    <w:p w:rsidR="00734672" w:rsidRPr="005F6941" w:rsidRDefault="00734672" w:rsidP="00A36A68">
      <w:r w:rsidRPr="005F6941">
        <w:t>These 3 pivotal studies and the RPV post</w:t>
      </w:r>
      <w:r w:rsidR="006A7171">
        <w:t xml:space="preserve"> marke</w:t>
      </w:r>
      <w:r w:rsidRPr="005F6941">
        <w:t>ting reports confirm the drug to be safe and well tolerated. Moreover, it appears more lipid</w:t>
      </w:r>
      <w:r w:rsidR="006A7171">
        <w:t xml:space="preserve"> </w:t>
      </w:r>
      <w:r w:rsidRPr="005F6941">
        <w:t xml:space="preserve">neutral compared to both PI/r and </w:t>
      </w:r>
      <w:proofErr w:type="spellStart"/>
      <w:r w:rsidRPr="005F6941">
        <w:t>Atripla</w:t>
      </w:r>
      <w:proofErr w:type="spellEnd"/>
      <w:r w:rsidR="006A7171">
        <w:t>. H</w:t>
      </w:r>
      <w:r w:rsidRPr="005F6941">
        <w:t>owever, the clinical significance of this is uncertain as the changes</w:t>
      </w:r>
      <w:r w:rsidR="006A7171">
        <w:t>,</w:t>
      </w:r>
      <w:r w:rsidRPr="005F6941">
        <w:t xml:space="preserve"> although favourable, were small. No new AEs were revealed by these studies and aside from the addition of the Y188L </w:t>
      </w:r>
      <w:r w:rsidR="006A7171">
        <w:t xml:space="preserve">as an RPV </w:t>
      </w:r>
      <w:r w:rsidR="006A7171" w:rsidRPr="006A7171">
        <w:t>resistance</w:t>
      </w:r>
      <w:r w:rsidR="006A7171">
        <w:t xml:space="preserve"> associated mutation</w:t>
      </w:r>
      <w:r w:rsidRPr="005F6941">
        <w:t>, no new resis</w:t>
      </w:r>
      <w:r w:rsidR="00FB0EE1">
        <w:t xml:space="preserve">tance concerns were revealed. The evaluator has </w:t>
      </w:r>
      <w:r w:rsidRPr="005F6941">
        <w:t xml:space="preserve">commented specifically on RPV resistance in those with higher plasma </w:t>
      </w:r>
      <w:r w:rsidR="00E15D41">
        <w:t>HIV RNA in the ‘Efficacy’ summary</w:t>
      </w:r>
      <w:r w:rsidRPr="005F6941">
        <w:t xml:space="preserve">. No new adverse reactions to </w:t>
      </w:r>
      <w:proofErr w:type="spellStart"/>
      <w:r w:rsidRPr="005F6941">
        <w:t>Eviplera</w:t>
      </w:r>
      <w:proofErr w:type="spellEnd"/>
      <w:r w:rsidRPr="005F6941">
        <w:t xml:space="preserve"> were identified in the 3 pivotal clinical trials presented in this </w:t>
      </w:r>
      <w:r w:rsidR="00FB0EE1">
        <w:t>a</w:t>
      </w:r>
      <w:r w:rsidRPr="005F6941">
        <w:t>pplication.</w:t>
      </w:r>
    </w:p>
    <w:p w:rsidR="00605AD4" w:rsidRPr="00605AD4" w:rsidRDefault="00605AD4" w:rsidP="00A36A68">
      <w:pPr>
        <w:pStyle w:val="Heading3"/>
        <w:rPr>
          <w:rFonts w:eastAsia="Cambria"/>
        </w:rPr>
      </w:pPr>
      <w:bookmarkStart w:id="75" w:name="_Toc396298055"/>
      <w:r w:rsidRPr="00605AD4">
        <w:rPr>
          <w:rFonts w:eastAsia="Cambria"/>
        </w:rPr>
        <w:t xml:space="preserve">First </w:t>
      </w:r>
      <w:r w:rsidR="00A36A68">
        <w:rPr>
          <w:rFonts w:eastAsia="Cambria"/>
        </w:rPr>
        <w:t>r</w:t>
      </w:r>
      <w:r w:rsidRPr="00605AD4">
        <w:rPr>
          <w:rFonts w:eastAsia="Cambria"/>
        </w:rPr>
        <w:t xml:space="preserve">ound </w:t>
      </w:r>
      <w:r w:rsidR="00A36A68">
        <w:rPr>
          <w:rFonts w:eastAsia="Cambria"/>
        </w:rPr>
        <w:t>b</w:t>
      </w:r>
      <w:r w:rsidRPr="00605AD4">
        <w:rPr>
          <w:rFonts w:eastAsia="Cambria"/>
        </w:rPr>
        <w:t>enefit-</w:t>
      </w:r>
      <w:r w:rsidR="00A36A68">
        <w:rPr>
          <w:rFonts w:eastAsia="Cambria"/>
        </w:rPr>
        <w:t>r</w:t>
      </w:r>
      <w:r w:rsidRPr="00605AD4">
        <w:rPr>
          <w:rFonts w:eastAsia="Cambria"/>
        </w:rPr>
        <w:t xml:space="preserve">isk </w:t>
      </w:r>
      <w:r w:rsidR="00A36A68">
        <w:rPr>
          <w:rFonts w:eastAsia="Cambria"/>
        </w:rPr>
        <w:t>a</w:t>
      </w:r>
      <w:r w:rsidRPr="00605AD4">
        <w:rPr>
          <w:rFonts w:eastAsia="Cambria"/>
        </w:rPr>
        <w:t>ssessment</w:t>
      </w:r>
      <w:bookmarkEnd w:id="75"/>
    </w:p>
    <w:p w:rsidR="00605AD4" w:rsidRDefault="00605AD4" w:rsidP="00A36A68">
      <w:pPr>
        <w:pStyle w:val="Heading4"/>
      </w:pPr>
      <w:r w:rsidRPr="00605AD4">
        <w:t>First round assessment of benefits</w:t>
      </w:r>
    </w:p>
    <w:p w:rsidR="006859B1" w:rsidRPr="006859B1" w:rsidRDefault="006859B1" w:rsidP="00A36A68">
      <w:r w:rsidRPr="006859B1">
        <w:t xml:space="preserve">The benefits of </w:t>
      </w:r>
      <w:proofErr w:type="spellStart"/>
      <w:r w:rsidRPr="006859B1">
        <w:t>Eviplera</w:t>
      </w:r>
      <w:proofErr w:type="spellEnd"/>
      <w:r w:rsidRPr="006859B1">
        <w:t xml:space="preserve"> in the proposed usage are:</w:t>
      </w:r>
    </w:p>
    <w:p w:rsidR="006859B1" w:rsidRPr="00A36A68" w:rsidRDefault="006859B1" w:rsidP="00A36A68">
      <w:pPr>
        <w:pStyle w:val="ListBullet"/>
      </w:pPr>
      <w:r w:rsidRPr="00A36A68">
        <w:t xml:space="preserve">Safe, with a favourable tolerability profile as a switch drug for either </w:t>
      </w:r>
      <w:proofErr w:type="spellStart"/>
      <w:r w:rsidRPr="00A36A68">
        <w:t>Atripla</w:t>
      </w:r>
      <w:proofErr w:type="spellEnd"/>
      <w:r w:rsidR="002C6BC8" w:rsidRPr="00A36A68">
        <w:t xml:space="preserve"> </w:t>
      </w:r>
      <w:r w:rsidR="00A36A68">
        <w:t>or PI/r</w:t>
      </w:r>
    </w:p>
    <w:p w:rsidR="006859B1" w:rsidRPr="00A36A68" w:rsidRDefault="002C6BC8" w:rsidP="00A36A68">
      <w:pPr>
        <w:pStyle w:val="ListBullet"/>
      </w:pPr>
      <w:r w:rsidRPr="00A36A68">
        <w:t>E</w:t>
      </w:r>
      <w:r w:rsidR="006859B1" w:rsidRPr="00A36A68">
        <w:t>ffective as a switch drug in virologically suppres</w:t>
      </w:r>
      <w:r w:rsidR="00A36A68">
        <w:t xml:space="preserve">sed patients on </w:t>
      </w:r>
      <w:proofErr w:type="spellStart"/>
      <w:r w:rsidR="00A36A68">
        <w:t>Atripla</w:t>
      </w:r>
      <w:proofErr w:type="spellEnd"/>
      <w:r w:rsidR="00A36A68">
        <w:t xml:space="preserve"> or PI/r</w:t>
      </w:r>
    </w:p>
    <w:p w:rsidR="006859B1" w:rsidRPr="00A36A68" w:rsidRDefault="002C6BC8" w:rsidP="00A36A68">
      <w:pPr>
        <w:pStyle w:val="ListBullet"/>
      </w:pPr>
      <w:r w:rsidRPr="00A36A68">
        <w:t>N</w:t>
      </w:r>
      <w:r w:rsidR="006859B1" w:rsidRPr="00A36A68">
        <w:t>on</w:t>
      </w:r>
      <w:r w:rsidR="0072551B" w:rsidRPr="00A36A68">
        <w:t xml:space="preserve"> </w:t>
      </w:r>
      <w:r w:rsidR="006859B1" w:rsidRPr="00A36A68">
        <w:t xml:space="preserve">inferior to </w:t>
      </w:r>
      <w:proofErr w:type="spellStart"/>
      <w:r w:rsidR="006859B1" w:rsidRPr="00A36A68">
        <w:t>Atripla</w:t>
      </w:r>
      <w:proofErr w:type="spellEnd"/>
      <w:r w:rsidR="006859B1" w:rsidRPr="00A36A68">
        <w:t xml:space="preserve"> in the head-to-head study in naïve study which patients </w:t>
      </w:r>
      <w:r w:rsidR="00A36A68">
        <w:t>with HIV RNA &gt;100,000 copies/mL</w:t>
      </w:r>
      <w:r w:rsidR="0072551B" w:rsidRPr="00A36A68">
        <w:t xml:space="preserve"> and</w:t>
      </w:r>
    </w:p>
    <w:p w:rsidR="006859B1" w:rsidRPr="00A36A68" w:rsidRDefault="002C6BC8" w:rsidP="00A36A68">
      <w:pPr>
        <w:pStyle w:val="ListBullet"/>
      </w:pPr>
      <w:r w:rsidRPr="00A36A68">
        <w:t>M</w:t>
      </w:r>
      <w:r w:rsidR="006859B1" w:rsidRPr="00A36A68">
        <w:t>odest lipid benefits as a switch drug</w:t>
      </w:r>
      <w:r w:rsidR="0072551B" w:rsidRPr="00A36A68">
        <w:t>.</w:t>
      </w:r>
    </w:p>
    <w:p w:rsidR="00605AD4" w:rsidRDefault="00605AD4" w:rsidP="00A36A68">
      <w:pPr>
        <w:pStyle w:val="Heading4"/>
      </w:pPr>
      <w:r w:rsidRPr="00605AD4">
        <w:t>First round assessment of risks</w:t>
      </w:r>
    </w:p>
    <w:p w:rsidR="006859B1" w:rsidRPr="006859B1" w:rsidRDefault="006859B1" w:rsidP="00A36A68">
      <w:r w:rsidRPr="006859B1">
        <w:t xml:space="preserve">The risks of </w:t>
      </w:r>
      <w:proofErr w:type="spellStart"/>
      <w:r w:rsidRPr="006859B1">
        <w:t>Eviplera</w:t>
      </w:r>
      <w:proofErr w:type="spellEnd"/>
      <w:r w:rsidRPr="006859B1">
        <w:t xml:space="preserve"> in the proposed usage are as follows:</w:t>
      </w:r>
    </w:p>
    <w:p w:rsidR="006859B1" w:rsidRPr="00A36A68" w:rsidRDefault="0072551B" w:rsidP="00A36A68">
      <w:pPr>
        <w:pStyle w:val="ListBullet"/>
      </w:pPr>
      <w:r w:rsidRPr="00A36A68">
        <w:t>T</w:t>
      </w:r>
      <w:r w:rsidR="006859B1" w:rsidRPr="00A36A68">
        <w:t>he sponsor is seeking a broad approval for use of the drug in</w:t>
      </w:r>
      <w:r w:rsidRPr="00A36A68">
        <w:t xml:space="preserve"> “treatment </w:t>
      </w:r>
      <w:r w:rsidR="006859B1" w:rsidRPr="00A36A68">
        <w:t xml:space="preserve">experienced”, when in fact the only use of this </w:t>
      </w:r>
      <w:r w:rsidRPr="00A36A68">
        <w:t xml:space="preserve">drug in treatment </w:t>
      </w:r>
      <w:r w:rsidR="006859B1" w:rsidRPr="00A36A68">
        <w:t xml:space="preserve">experienced patients </w:t>
      </w:r>
      <w:r w:rsidR="00546303" w:rsidRPr="00A36A68">
        <w:t>as presented in this submission</w:t>
      </w:r>
      <w:r w:rsidR="006859B1" w:rsidRPr="00A36A68">
        <w:t xml:space="preserve"> is as a switch drug for either </w:t>
      </w:r>
      <w:proofErr w:type="spellStart"/>
      <w:r w:rsidR="006859B1" w:rsidRPr="00A36A68">
        <w:t>Atripla</w:t>
      </w:r>
      <w:proofErr w:type="spellEnd"/>
      <w:r w:rsidR="006859B1" w:rsidRPr="00A36A68">
        <w:t xml:space="preserve"> or PI/r in patients who have not virologically failed their previous regimen and without baseline resistance to the components of </w:t>
      </w:r>
      <w:proofErr w:type="spellStart"/>
      <w:r w:rsidR="006859B1" w:rsidRPr="00A36A68">
        <w:t>Eviplera</w:t>
      </w:r>
      <w:proofErr w:type="spellEnd"/>
      <w:r w:rsidR="006859B1" w:rsidRPr="00A36A68">
        <w:t xml:space="preserve"> o</w:t>
      </w:r>
      <w:r w:rsidR="00A36A68">
        <w:t>n historical resistance testing</w:t>
      </w:r>
    </w:p>
    <w:p w:rsidR="00FD29EF" w:rsidRPr="00A36A68" w:rsidRDefault="0072551B" w:rsidP="00A36A68">
      <w:pPr>
        <w:pStyle w:val="ListBullet"/>
      </w:pPr>
      <w:r w:rsidRPr="00A36A68">
        <w:lastRenderedPageBreak/>
        <w:t>While</w:t>
      </w:r>
      <w:r w:rsidR="006859B1" w:rsidRPr="00A36A68">
        <w:t xml:space="preserve"> in subjects with baseline viral load ≤100,000 </w:t>
      </w:r>
      <w:r w:rsidR="0044486F" w:rsidRPr="00A36A68">
        <w:t>copies/mL, the numbers</w:t>
      </w:r>
      <w:r w:rsidR="006859B1" w:rsidRPr="00A36A68">
        <w:t xml:space="preserve"> of subjects with emergent resistance was similar between groups</w:t>
      </w:r>
      <w:r w:rsidRPr="00A36A68">
        <w:t xml:space="preserve">, that is, </w:t>
      </w:r>
      <w:r w:rsidR="006859B1" w:rsidRPr="00A36A68">
        <w:t xml:space="preserve">1.9% for </w:t>
      </w:r>
      <w:proofErr w:type="spellStart"/>
      <w:r w:rsidR="006859B1" w:rsidRPr="00A36A68">
        <w:t>Eviplera</w:t>
      </w:r>
      <w:proofErr w:type="spellEnd"/>
      <w:r w:rsidR="006859B1" w:rsidRPr="00A36A68">
        <w:t xml:space="preserve"> and 0.8% for </w:t>
      </w:r>
      <w:proofErr w:type="spellStart"/>
      <w:r w:rsidR="006859B1" w:rsidRPr="00A36A68">
        <w:t>Atripla</w:t>
      </w:r>
      <w:proofErr w:type="spellEnd"/>
      <w:r w:rsidR="006859B1" w:rsidRPr="00A36A68">
        <w:t>, in those with baseline viral load &gt;100,000 to 500,000</w:t>
      </w:r>
      <w:r w:rsidR="00A16661" w:rsidRPr="00A36A68">
        <w:t xml:space="preserve"> copies/mL, 5.1% versus</w:t>
      </w:r>
      <w:r w:rsidR="006859B1" w:rsidRPr="00A36A68">
        <w:t xml:space="preserve"> 0% in the </w:t>
      </w:r>
      <w:proofErr w:type="spellStart"/>
      <w:r w:rsidR="006859B1" w:rsidRPr="00A36A68">
        <w:t>Eviplera</w:t>
      </w:r>
      <w:proofErr w:type="spellEnd"/>
      <w:r w:rsidRPr="00A36A68">
        <w:t xml:space="preserve"> and</w:t>
      </w:r>
      <w:r w:rsidR="006859B1" w:rsidRPr="00A36A68">
        <w:t xml:space="preserve"> </w:t>
      </w:r>
      <w:proofErr w:type="spellStart"/>
      <w:r w:rsidR="006859B1" w:rsidRPr="00A36A68">
        <w:t>Atripla</w:t>
      </w:r>
      <w:proofErr w:type="spellEnd"/>
      <w:r w:rsidR="006859B1" w:rsidRPr="00A36A68">
        <w:t xml:space="preserve"> groups</w:t>
      </w:r>
      <w:r w:rsidR="0044486F" w:rsidRPr="00A36A68">
        <w:t>,</w:t>
      </w:r>
      <w:r w:rsidR="006859B1" w:rsidRPr="00A36A68">
        <w:t xml:space="preserve"> respectively</w:t>
      </w:r>
      <w:r w:rsidR="0044486F" w:rsidRPr="00A36A68">
        <w:t>,</w:t>
      </w:r>
      <w:r w:rsidR="006859B1" w:rsidRPr="00A36A68">
        <w:t xml:space="preserve"> developed emergent resistance. For subjects with baseline viral load &gt;500,000 copies/mL, 7 of 36 (19%) subjects in the </w:t>
      </w:r>
      <w:proofErr w:type="spellStart"/>
      <w:r w:rsidR="006859B1" w:rsidRPr="00A36A68">
        <w:t>Eviplera</w:t>
      </w:r>
      <w:proofErr w:type="spellEnd"/>
      <w:r w:rsidR="006859B1" w:rsidRPr="00A36A68">
        <w:t xml:space="preserve"> group and 1 of 25 subjects (4%) in the </w:t>
      </w:r>
      <w:proofErr w:type="spellStart"/>
      <w:r w:rsidR="006859B1" w:rsidRPr="00A36A68">
        <w:t>Atripla</w:t>
      </w:r>
      <w:proofErr w:type="spellEnd"/>
      <w:r w:rsidR="006859B1" w:rsidRPr="00A36A68">
        <w:t xml:space="preserve"> group had genotypic and/or phenotypic resistance to at least one regimen component. The </w:t>
      </w:r>
      <w:r w:rsidR="0044486F" w:rsidRPr="00A36A68">
        <w:t>s</w:t>
      </w:r>
      <w:r w:rsidR="006859B1" w:rsidRPr="00A36A68">
        <w:t>ponsor see</w:t>
      </w:r>
      <w:r w:rsidR="00F85689" w:rsidRPr="00A36A68">
        <w:t xml:space="preserve">ks approval for the use of </w:t>
      </w:r>
      <w:proofErr w:type="spellStart"/>
      <w:r w:rsidR="00F85689" w:rsidRPr="00A36A68">
        <w:t>Evipl</w:t>
      </w:r>
      <w:r w:rsidR="006859B1" w:rsidRPr="00A36A68">
        <w:t>era</w:t>
      </w:r>
      <w:proofErr w:type="spellEnd"/>
      <w:r w:rsidR="006859B1" w:rsidRPr="00A36A68">
        <w:t xml:space="preserve"> in patients with plasma HIV RNA &lt;500,000 copies/mL, but although the viral failure rates between &gt;100,000-&lt;500,000 c</w:t>
      </w:r>
      <w:r w:rsidR="00A16661" w:rsidRPr="00A36A68">
        <w:t>opies</w:t>
      </w:r>
      <w:r w:rsidR="006859B1" w:rsidRPr="00A36A68">
        <w:t xml:space="preserve">/mL are low, most </w:t>
      </w:r>
      <w:r w:rsidR="008E2D4A" w:rsidRPr="00A36A68">
        <w:t xml:space="preserve">of the </w:t>
      </w:r>
      <w:r w:rsidR="006859B1" w:rsidRPr="00A36A68">
        <w:t>patient</w:t>
      </w:r>
      <w:r w:rsidR="00B357F0" w:rsidRPr="00A36A68">
        <w:t>s</w:t>
      </w:r>
      <w:r w:rsidR="006859B1" w:rsidRPr="00A36A68">
        <w:t xml:space="preserve"> failing </w:t>
      </w:r>
      <w:r w:rsidR="008E2D4A" w:rsidRPr="00A36A68">
        <w:t>were found to fail</w:t>
      </w:r>
      <w:r w:rsidR="006859B1" w:rsidRPr="00A36A68">
        <w:t xml:space="preserve"> with </w:t>
      </w:r>
      <w:r w:rsidR="008E2D4A" w:rsidRPr="00A36A68">
        <w:t xml:space="preserve">both </w:t>
      </w:r>
      <w:r w:rsidR="006859B1" w:rsidRPr="00A36A68">
        <w:t xml:space="preserve">multiple NNRTI and NRTI resistance mutations. If this occurred, there is a real potential to impact negatively not only on the future activity of another NNRTI </w:t>
      </w:r>
      <w:r w:rsidR="00A16661" w:rsidRPr="00A36A68">
        <w:t xml:space="preserve">(for example, </w:t>
      </w:r>
      <w:proofErr w:type="spellStart"/>
      <w:r w:rsidR="006859B1" w:rsidRPr="00A36A68">
        <w:t>etravirine</w:t>
      </w:r>
      <w:proofErr w:type="spellEnd"/>
      <w:r w:rsidR="006859B1" w:rsidRPr="00A36A68">
        <w:t>)</w:t>
      </w:r>
      <w:r w:rsidR="008E2D4A" w:rsidRPr="00A36A68">
        <w:t>,</w:t>
      </w:r>
      <w:r w:rsidR="006859B1" w:rsidRPr="00A36A68">
        <w:t xml:space="preserve"> but also the next NRTI backbone. This very issue of higher virological failure and multipl</w:t>
      </w:r>
      <w:r w:rsidR="008E2D4A" w:rsidRPr="00A36A68">
        <w:t>e RT mutations in those failing</w:t>
      </w:r>
      <w:r w:rsidR="006859B1" w:rsidRPr="00A36A68">
        <w:t xml:space="preserve"> is the reason why </w:t>
      </w:r>
      <w:proofErr w:type="spellStart"/>
      <w:r w:rsidR="006859B1" w:rsidRPr="00A36A68">
        <w:t>Eviplera</w:t>
      </w:r>
      <w:proofErr w:type="spellEnd"/>
      <w:r w:rsidR="006859B1" w:rsidRPr="00A36A68">
        <w:t xml:space="preserve"> is currently approved only for use in naïve </w:t>
      </w:r>
      <w:r w:rsidR="008E2D4A" w:rsidRPr="00A36A68">
        <w:t>patients with baseline plasma viral load</w:t>
      </w:r>
      <w:r w:rsidR="006859B1" w:rsidRPr="00A36A68">
        <w:t xml:space="preserve"> </w:t>
      </w:r>
      <w:r w:rsidRPr="00A36A68">
        <w:t>≤</w:t>
      </w:r>
      <w:r w:rsidR="006859B1" w:rsidRPr="00A36A68">
        <w:t>100,000 copies/</w:t>
      </w:r>
      <w:proofErr w:type="spellStart"/>
      <w:r w:rsidR="006859B1" w:rsidRPr="00A36A68">
        <w:t>mL.</w:t>
      </w:r>
      <w:proofErr w:type="spellEnd"/>
      <w:r w:rsidR="006859B1" w:rsidRPr="00A36A68">
        <w:t xml:space="preserve"> Moreover, because in real terms the difference between a viral load of &lt;500,000 and &gt;500,000 is fairly arbitrary (in log terms) and within the varia</w:t>
      </w:r>
      <w:r w:rsidR="00DF418F" w:rsidRPr="00A36A68">
        <w:t>bility of the viral load test, the evaluator</w:t>
      </w:r>
      <w:r w:rsidR="006859B1" w:rsidRPr="00A36A68">
        <w:t xml:space="preserve"> ha</w:t>
      </w:r>
      <w:r w:rsidR="00DF418F" w:rsidRPr="00A36A68">
        <w:t>s</w:t>
      </w:r>
      <w:r w:rsidR="006859B1" w:rsidRPr="00A36A68">
        <w:t xml:space="preserve"> concerns </w:t>
      </w:r>
      <w:r w:rsidR="00FD29EF" w:rsidRPr="00A36A68">
        <w:t xml:space="preserve">about the approval of </w:t>
      </w:r>
      <w:proofErr w:type="spellStart"/>
      <w:r w:rsidR="00FD29EF" w:rsidRPr="00A36A68">
        <w:t>Eviplera</w:t>
      </w:r>
      <w:proofErr w:type="spellEnd"/>
      <w:r w:rsidR="00FD29EF" w:rsidRPr="00A36A68">
        <w:t xml:space="preserve"> </w:t>
      </w:r>
      <w:r w:rsidR="006859B1" w:rsidRPr="00A36A68">
        <w:t>in those with HIV RNA &gt;100,000 copies/</w:t>
      </w:r>
      <w:proofErr w:type="spellStart"/>
      <w:r w:rsidR="006859B1" w:rsidRPr="00A36A68">
        <w:t>mL.</w:t>
      </w:r>
      <w:proofErr w:type="spellEnd"/>
      <w:r w:rsidR="006859B1" w:rsidRPr="00A36A68">
        <w:t xml:space="preserve"> </w:t>
      </w:r>
      <w:r w:rsidR="00DF418F" w:rsidRPr="00A36A68">
        <w:t>The clinical evaluator</w:t>
      </w:r>
      <w:r w:rsidR="006859B1" w:rsidRPr="00A36A68">
        <w:t xml:space="preserve"> believe</w:t>
      </w:r>
      <w:r w:rsidR="00DF418F" w:rsidRPr="00A36A68">
        <w:t>s</w:t>
      </w:r>
      <w:r w:rsidR="006859B1" w:rsidRPr="00A36A68">
        <w:t xml:space="preserve"> the current restriction to </w:t>
      </w:r>
      <w:proofErr w:type="gramStart"/>
      <w:r w:rsidR="006859B1" w:rsidRPr="00A36A68">
        <w:t>a plasma</w:t>
      </w:r>
      <w:proofErr w:type="gramEnd"/>
      <w:r w:rsidR="006859B1" w:rsidRPr="00A36A68">
        <w:t xml:space="preserve"> HIV RNA of </w:t>
      </w:r>
      <w:proofErr w:type="spellStart"/>
      <w:r w:rsidR="006859B1" w:rsidRPr="00A36A68">
        <w:t>threshhold</w:t>
      </w:r>
      <w:proofErr w:type="spellEnd"/>
      <w:r w:rsidR="006859B1" w:rsidRPr="00A36A68">
        <w:t xml:space="preserve"> of </w:t>
      </w:r>
      <w:r w:rsidR="00FD29EF" w:rsidRPr="00A36A68">
        <w:t>≤</w:t>
      </w:r>
      <w:r w:rsidR="006859B1" w:rsidRPr="00A36A68">
        <w:t xml:space="preserve">100,000 copies/mL for </w:t>
      </w:r>
      <w:proofErr w:type="spellStart"/>
      <w:r w:rsidR="00F85689" w:rsidRPr="00A36A68">
        <w:t>Eviplera</w:t>
      </w:r>
      <w:proofErr w:type="spellEnd"/>
      <w:r w:rsidR="00F85689" w:rsidRPr="00A36A68">
        <w:t xml:space="preserve"> </w:t>
      </w:r>
      <w:r w:rsidR="006859B1" w:rsidRPr="00A36A68">
        <w:t>in the ARV naïve setting should continue. In this way</w:t>
      </w:r>
      <w:r w:rsidR="00B357F0" w:rsidRPr="00A36A68">
        <w:t>, if patients with viral load</w:t>
      </w:r>
      <w:r w:rsidR="006859B1" w:rsidRPr="00A36A68">
        <w:t xml:space="preserve"> slightly above this threshold (100,000 =</w:t>
      </w:r>
      <w:r w:rsidR="005403CF" w:rsidRPr="00A36A68">
        <w:t xml:space="preserve"> </w:t>
      </w:r>
      <w:r w:rsidR="006859B1" w:rsidRPr="00A36A68">
        <w:t xml:space="preserve">5 log10 </w:t>
      </w:r>
      <w:r w:rsidR="005403CF" w:rsidRPr="00A36A68">
        <w:t>copies</w:t>
      </w:r>
      <w:r w:rsidR="006859B1" w:rsidRPr="00A36A68">
        <w:t>/mL, 200,000</w:t>
      </w:r>
      <w:r w:rsidR="005403CF" w:rsidRPr="00A36A68">
        <w:t xml:space="preserve"> </w:t>
      </w:r>
      <w:r w:rsidR="006859B1" w:rsidRPr="00A36A68">
        <w:t>= 5.31 log10 copies/mL; 300,000</w:t>
      </w:r>
      <w:r w:rsidR="005403CF" w:rsidRPr="00A36A68">
        <w:t xml:space="preserve"> </w:t>
      </w:r>
      <w:r w:rsidR="006859B1" w:rsidRPr="00A36A68">
        <w:t>= 5.477 log10 copies/mL</w:t>
      </w:r>
      <w:r w:rsidR="005403CF" w:rsidRPr="00A36A68">
        <w:t>,</w:t>
      </w:r>
      <w:r w:rsidR="006859B1" w:rsidRPr="00A36A68">
        <w:t xml:space="preserve"> etc</w:t>
      </w:r>
      <w:r w:rsidR="005403CF" w:rsidRPr="00A36A68">
        <w:t>.</w:t>
      </w:r>
      <w:r w:rsidR="006859B1" w:rsidRPr="00A36A68">
        <w:t xml:space="preserve">) inadvertently receive </w:t>
      </w:r>
      <w:proofErr w:type="spellStart"/>
      <w:r w:rsidR="006859B1" w:rsidRPr="00A36A68">
        <w:t>Eplivera</w:t>
      </w:r>
      <w:proofErr w:type="spellEnd"/>
      <w:r w:rsidR="00B357F0" w:rsidRPr="00A36A68">
        <w:t>,</w:t>
      </w:r>
      <w:r w:rsidR="006859B1" w:rsidRPr="00A36A68">
        <w:t xml:space="preserve"> then clinicians and their patients could be somewhat reassured that the risk of </w:t>
      </w:r>
      <w:proofErr w:type="spellStart"/>
      <w:r w:rsidR="006859B1" w:rsidRPr="00A36A68">
        <w:t>virolo</w:t>
      </w:r>
      <w:r w:rsidR="00684E07" w:rsidRPr="00A36A68">
        <w:t>gic</w:t>
      </w:r>
      <w:proofErr w:type="spellEnd"/>
      <w:r w:rsidR="00684E07" w:rsidRPr="00A36A68">
        <w:t xml:space="preserve"> failure is relatively low. The evaluator’s</w:t>
      </w:r>
      <w:r w:rsidR="006859B1" w:rsidRPr="00A36A68">
        <w:t xml:space="preserve"> concerns in this regard are compounded by the association of higher virological failure in patients with low CD4+ starting </w:t>
      </w:r>
      <w:proofErr w:type="spellStart"/>
      <w:r w:rsidR="006859B1" w:rsidRPr="00A36A68">
        <w:t>Eviplera</w:t>
      </w:r>
      <w:proofErr w:type="spellEnd"/>
      <w:r w:rsidR="00FD29EF" w:rsidRPr="00A36A68">
        <w:t>,</w:t>
      </w:r>
      <w:r w:rsidR="00684E07" w:rsidRPr="00A36A68">
        <w:t xml:space="preserve"> that is, </w:t>
      </w:r>
      <w:r w:rsidR="006859B1" w:rsidRPr="00A36A68">
        <w:t xml:space="preserve">as stated in the US </w:t>
      </w:r>
      <w:r w:rsidR="00684E07" w:rsidRPr="00A36A68">
        <w:t>PI</w:t>
      </w:r>
      <w:r w:rsidR="00FD29EF" w:rsidRPr="00A36A68">
        <w:t>:</w:t>
      </w:r>
    </w:p>
    <w:p w:rsidR="00FD29EF" w:rsidRPr="00A36A68" w:rsidRDefault="006859B1" w:rsidP="00A36A68">
      <w:pPr>
        <w:pStyle w:val="ListBullet2"/>
        <w:rPr>
          <w:i/>
        </w:rPr>
      </w:pPr>
      <w:r w:rsidRPr="00A36A68">
        <w:rPr>
          <w:i/>
        </w:rPr>
        <w:t xml:space="preserve">Regardless of HIV-1 RNA level at the start of therapy, more </w:t>
      </w:r>
      <w:proofErr w:type="spellStart"/>
      <w:r w:rsidRPr="00A36A68">
        <w:rPr>
          <w:i/>
        </w:rPr>
        <w:t>rilpivirine</w:t>
      </w:r>
      <w:proofErr w:type="spellEnd"/>
      <w:r w:rsidR="00AC0BC2" w:rsidRPr="00A36A68">
        <w:rPr>
          <w:i/>
        </w:rPr>
        <w:t xml:space="preserve"> </w:t>
      </w:r>
      <w:r w:rsidRPr="00A36A68">
        <w:rPr>
          <w:i/>
        </w:rPr>
        <w:t xml:space="preserve">treated subjects with CD4+ cell count </w:t>
      </w:r>
      <w:proofErr w:type="gramStart"/>
      <w:r w:rsidRPr="00A36A68">
        <w:rPr>
          <w:i/>
        </w:rPr>
        <w:t>less than 200 cells/mm</w:t>
      </w:r>
      <w:r w:rsidRPr="00A36A68">
        <w:rPr>
          <w:i/>
          <w:vertAlign w:val="superscript"/>
        </w:rPr>
        <w:t>3</w:t>
      </w:r>
      <w:r w:rsidRPr="00A36A68">
        <w:rPr>
          <w:i/>
        </w:rPr>
        <w:t xml:space="preserve"> at the start of therapy experienced </w:t>
      </w:r>
      <w:proofErr w:type="spellStart"/>
      <w:r w:rsidRPr="00A36A68">
        <w:rPr>
          <w:i/>
        </w:rPr>
        <w:t>virologic</w:t>
      </w:r>
      <w:proofErr w:type="spellEnd"/>
      <w:r w:rsidRPr="00A36A68">
        <w:rPr>
          <w:i/>
        </w:rPr>
        <w:t xml:space="preserve"> failure compared to subjects with CD4+ cell count greater than or equal to 200 cells/mm</w:t>
      </w:r>
      <w:r w:rsidRPr="00A36A68">
        <w:rPr>
          <w:i/>
          <w:vertAlign w:val="superscript"/>
        </w:rPr>
        <w:t>3</w:t>
      </w:r>
      <w:proofErr w:type="gramEnd"/>
      <w:r w:rsidR="00FD29EF" w:rsidRPr="00A36A68">
        <w:rPr>
          <w:i/>
        </w:rPr>
        <w:t>.</w:t>
      </w:r>
    </w:p>
    <w:p w:rsidR="006859B1" w:rsidRPr="006859B1" w:rsidRDefault="00AC0BC2" w:rsidP="00A36A68">
      <w:pPr>
        <w:pStyle w:val="ListBullet"/>
      </w:pPr>
      <w:r>
        <w:t xml:space="preserve">Study </w:t>
      </w:r>
      <w:r w:rsidR="006859B1" w:rsidRPr="006859B1">
        <w:t>GS-US-264-0110 enrolled relatively few pat</w:t>
      </w:r>
      <w:r w:rsidR="00A9601D">
        <w:t>ients with CD4+ &lt;200 cells/µ</w:t>
      </w:r>
      <w:r w:rsidR="00A11030">
        <w:t xml:space="preserve">L (n </w:t>
      </w:r>
      <w:r w:rsidR="006859B1" w:rsidRPr="006859B1">
        <w:t>=</w:t>
      </w:r>
      <w:r w:rsidR="00A11030">
        <w:t xml:space="preserve"> </w:t>
      </w:r>
      <w:r w:rsidR="006859B1" w:rsidRPr="006859B1">
        <w:t xml:space="preserve">53, 13.5% of the </w:t>
      </w:r>
      <w:proofErr w:type="spellStart"/>
      <w:r w:rsidR="006859B1" w:rsidRPr="006859B1">
        <w:t>Eviplera</w:t>
      </w:r>
      <w:proofErr w:type="spellEnd"/>
      <w:r w:rsidR="00A9601D">
        <w:t xml:space="preserve"> arm). As a result, </w:t>
      </w:r>
      <w:r w:rsidR="00DA4B1B">
        <w:t>the evaluator</w:t>
      </w:r>
      <w:r w:rsidR="006859B1" w:rsidRPr="006859B1">
        <w:t xml:space="preserve"> do</w:t>
      </w:r>
      <w:r w:rsidR="00DA4B1B">
        <w:t>es</w:t>
      </w:r>
      <w:r w:rsidR="00BB4BAE">
        <w:t xml:space="preserve"> not believe </w:t>
      </w:r>
      <w:r w:rsidR="006859B1" w:rsidRPr="006859B1">
        <w:t>this study provides sufficient additional data in regards to virological success in those with these low C</w:t>
      </w:r>
      <w:r w:rsidR="00FD29EF">
        <w:t>D4+ and plasma HIV RNA &gt;100,000 to ≤</w:t>
      </w:r>
      <w:r w:rsidR="00A36A68">
        <w:t>500,000 copies/mL</w:t>
      </w:r>
    </w:p>
    <w:p w:rsidR="006859B1" w:rsidRPr="006859B1" w:rsidRDefault="006859B1" w:rsidP="00A36A68">
      <w:pPr>
        <w:pStyle w:val="ListBullet"/>
      </w:pPr>
      <w:r w:rsidRPr="006859B1">
        <w:t>The use of the term “HIV</w:t>
      </w:r>
      <w:r w:rsidR="0072551B">
        <w:t xml:space="preserve"> </w:t>
      </w:r>
      <w:r w:rsidRPr="006859B1">
        <w:t>infection”</w:t>
      </w:r>
      <w:r w:rsidR="00BB4BAE">
        <w:t xml:space="preserve"> in the current PI is too loose;</w:t>
      </w:r>
      <w:r w:rsidRPr="006859B1">
        <w:t xml:space="preserve"> RPV has no activity</w:t>
      </w:r>
      <w:r w:rsidR="0072551B">
        <w:t xml:space="preserve"> in HIV-2 infected patients (that is,</w:t>
      </w:r>
      <w:r w:rsidRPr="006859B1">
        <w:t xml:space="preserve"> “</w:t>
      </w:r>
      <w:proofErr w:type="spellStart"/>
      <w:r w:rsidRPr="006859B1">
        <w:t>rilpivirine</w:t>
      </w:r>
      <w:proofErr w:type="spellEnd"/>
      <w:r w:rsidRPr="006859B1">
        <w:t xml:space="preserve"> demonstrated limited activity in cell culture against HIV-2 with a median EC50 Gilead Sciences 30 value of 5</w:t>
      </w:r>
      <w:r w:rsidR="00FD29EF">
        <w:t xml:space="preserve">220 </w:t>
      </w:r>
      <w:proofErr w:type="spellStart"/>
      <w:r w:rsidR="00FD29EF">
        <w:t>nM</w:t>
      </w:r>
      <w:proofErr w:type="spellEnd"/>
      <w:r w:rsidR="00FD29EF">
        <w:t xml:space="preserve"> [range 2510 to 10830 </w:t>
      </w:r>
      <w:proofErr w:type="spellStart"/>
      <w:r w:rsidR="00FD29EF">
        <w:t>nM</w:t>
      </w:r>
      <w:proofErr w:type="spellEnd"/>
      <w:r w:rsidR="00FD29EF">
        <w:t xml:space="preserve">] </w:t>
      </w:r>
      <w:r w:rsidRPr="006859B1">
        <w:t>and should not be used.”). Hence, the drug can only be used in HIV-1</w:t>
      </w:r>
      <w:r w:rsidR="002F2BA5">
        <w:t xml:space="preserve"> </w:t>
      </w:r>
      <w:r w:rsidRPr="006859B1">
        <w:t>infected patients. The term “HIV</w:t>
      </w:r>
      <w:r w:rsidR="001009D5">
        <w:t xml:space="preserve"> </w:t>
      </w:r>
      <w:r w:rsidRPr="006859B1">
        <w:t xml:space="preserve">infected” should be avoided and replaced with </w:t>
      </w:r>
      <w:r w:rsidRPr="00FD29EF">
        <w:rPr>
          <w:b/>
        </w:rPr>
        <w:t>“HIV-1</w:t>
      </w:r>
      <w:r w:rsidR="001009D5">
        <w:rPr>
          <w:b/>
        </w:rPr>
        <w:t xml:space="preserve"> </w:t>
      </w:r>
      <w:r w:rsidRPr="00FD29EF">
        <w:rPr>
          <w:b/>
        </w:rPr>
        <w:t>infected</w:t>
      </w:r>
      <w:r w:rsidR="00FD29EF" w:rsidRPr="00FD29EF">
        <w:rPr>
          <w:b/>
        </w:rPr>
        <w:t>”</w:t>
      </w:r>
      <w:r w:rsidR="00FD29EF">
        <w:t>.</w:t>
      </w:r>
    </w:p>
    <w:p w:rsidR="00605AD4" w:rsidRPr="00605AD4" w:rsidRDefault="00605AD4" w:rsidP="00A36A68">
      <w:pPr>
        <w:pStyle w:val="Heading4"/>
      </w:pPr>
      <w:r w:rsidRPr="00605AD4">
        <w:t>First round assessment of benefit-risk balance</w:t>
      </w:r>
    </w:p>
    <w:p w:rsidR="00CE116D" w:rsidRPr="002B6252" w:rsidRDefault="00CE116D" w:rsidP="00A36A68">
      <w:r w:rsidRPr="002B6252">
        <w:t xml:space="preserve">The benefit-risk balance of </w:t>
      </w:r>
      <w:proofErr w:type="spellStart"/>
      <w:r w:rsidR="00F85689">
        <w:t>Evipl</w:t>
      </w:r>
      <w:r w:rsidR="00F85689" w:rsidRPr="006859B1">
        <w:t>era</w:t>
      </w:r>
      <w:proofErr w:type="spellEnd"/>
      <w:r w:rsidR="00F85689" w:rsidRPr="006859B1">
        <w:t xml:space="preserve"> </w:t>
      </w:r>
      <w:r w:rsidRPr="002B6252">
        <w:t xml:space="preserve">is unfavourable given the proposed usage, but would become favourable if the changes recommended in </w:t>
      </w:r>
      <w:r w:rsidR="002B6252">
        <w:t>the next section (‘First Round Recommendation Regarding Authorisation’)</w:t>
      </w:r>
      <w:r w:rsidRPr="002B6252">
        <w:t xml:space="preserve"> are adopted.</w:t>
      </w:r>
    </w:p>
    <w:p w:rsidR="00605AD4" w:rsidRPr="00605AD4" w:rsidRDefault="00605AD4" w:rsidP="00A36A68">
      <w:pPr>
        <w:pStyle w:val="Heading3"/>
        <w:rPr>
          <w:rFonts w:eastAsia="Cambria"/>
        </w:rPr>
      </w:pPr>
      <w:bookmarkStart w:id="76" w:name="_Toc396298056"/>
      <w:r w:rsidRPr="00605AD4">
        <w:rPr>
          <w:rFonts w:eastAsia="Cambria"/>
        </w:rPr>
        <w:t xml:space="preserve">First </w:t>
      </w:r>
      <w:r w:rsidR="00A36A68">
        <w:rPr>
          <w:rFonts w:eastAsia="Cambria"/>
        </w:rPr>
        <w:t>r</w:t>
      </w:r>
      <w:r w:rsidRPr="00605AD4">
        <w:rPr>
          <w:rFonts w:eastAsia="Cambria"/>
        </w:rPr>
        <w:t xml:space="preserve">ound </w:t>
      </w:r>
      <w:r w:rsidR="00A36A68">
        <w:rPr>
          <w:rFonts w:eastAsia="Cambria"/>
        </w:rPr>
        <w:t>r</w:t>
      </w:r>
      <w:r w:rsidRPr="00605AD4">
        <w:rPr>
          <w:rFonts w:eastAsia="Cambria"/>
        </w:rPr>
        <w:t xml:space="preserve">ecommendation </w:t>
      </w:r>
      <w:r w:rsidR="00A36A68">
        <w:rPr>
          <w:rFonts w:eastAsia="Cambria"/>
        </w:rPr>
        <w:t>r</w:t>
      </w:r>
      <w:r w:rsidRPr="00605AD4">
        <w:rPr>
          <w:rFonts w:eastAsia="Cambria"/>
        </w:rPr>
        <w:t xml:space="preserve">egarding </w:t>
      </w:r>
      <w:r w:rsidR="00A36A68">
        <w:rPr>
          <w:rFonts w:eastAsia="Cambria"/>
        </w:rPr>
        <w:t>a</w:t>
      </w:r>
      <w:r w:rsidRPr="00605AD4">
        <w:rPr>
          <w:rFonts w:eastAsia="Cambria"/>
        </w:rPr>
        <w:t>uthorisation</w:t>
      </w:r>
      <w:bookmarkEnd w:id="76"/>
    </w:p>
    <w:p w:rsidR="009E6324" w:rsidRPr="009E6324" w:rsidRDefault="009E6324" w:rsidP="00A36A68">
      <w:r>
        <w:t xml:space="preserve">The </w:t>
      </w:r>
      <w:r w:rsidR="00382F09">
        <w:t>clinical evaluator</w:t>
      </w:r>
      <w:r>
        <w:t xml:space="preserve"> </w:t>
      </w:r>
      <w:r w:rsidRPr="009E6324">
        <w:t>recommend</w:t>
      </w:r>
      <w:r>
        <w:t>s</w:t>
      </w:r>
      <w:r w:rsidRPr="009E6324">
        <w:t xml:space="preserve"> the authorisation of </w:t>
      </w:r>
      <w:proofErr w:type="spellStart"/>
      <w:r w:rsidRPr="009E6324">
        <w:t>Eviplera</w:t>
      </w:r>
      <w:proofErr w:type="spellEnd"/>
      <w:r w:rsidRPr="009E6324">
        <w:t xml:space="preserve"> in treatment</w:t>
      </w:r>
      <w:r w:rsidR="00B07818">
        <w:t xml:space="preserve"> </w:t>
      </w:r>
      <w:r w:rsidRPr="009E6324">
        <w:t xml:space="preserve">experienced patients wishing to switch away from an NNRTI or PI/r regimen for tolerability or pill burden reasons. Patients must not have a history of resistance to any components of the </w:t>
      </w:r>
      <w:r w:rsidRPr="009E6324">
        <w:lastRenderedPageBreak/>
        <w:t xml:space="preserve">drug on historical genotype. In other words, </w:t>
      </w:r>
      <w:r w:rsidR="00382F09">
        <w:t>the evaluator</w:t>
      </w:r>
      <w:r w:rsidRPr="009E6324">
        <w:t xml:space="preserve"> do</w:t>
      </w:r>
      <w:r w:rsidR="00382F09">
        <w:t>es</w:t>
      </w:r>
      <w:r w:rsidRPr="009E6324">
        <w:t xml:space="preserve"> not approve the blanket use of this drug in “treatment</w:t>
      </w:r>
      <w:r w:rsidR="00BB4BAE">
        <w:t xml:space="preserve"> </w:t>
      </w:r>
      <w:r w:rsidRPr="009E6324">
        <w:t xml:space="preserve">experienced” patients. </w:t>
      </w:r>
      <w:r w:rsidR="00724661">
        <w:t>The clinical evaluator</w:t>
      </w:r>
      <w:r w:rsidRPr="009E6324">
        <w:t xml:space="preserve"> think</w:t>
      </w:r>
      <w:r w:rsidR="00724661">
        <w:t>s</w:t>
      </w:r>
      <w:r w:rsidRPr="009E6324">
        <w:t xml:space="preserve"> the definition of “treatment</w:t>
      </w:r>
      <w:r w:rsidR="00BB4BAE">
        <w:t xml:space="preserve"> </w:t>
      </w:r>
      <w:r w:rsidRPr="009E6324">
        <w:t>experienced” needs to be qualified in line with the data provided in this Application</w:t>
      </w:r>
      <w:r w:rsidR="00724661">
        <w:t>. The evaluator</w:t>
      </w:r>
      <w:r w:rsidRPr="009E6324">
        <w:t xml:space="preserve"> do</w:t>
      </w:r>
      <w:r w:rsidR="00724661">
        <w:t>es</w:t>
      </w:r>
      <w:r w:rsidRPr="009E6324">
        <w:t xml:space="preserve"> not recommend the authorisation of the drug for use in HIV-1-infected patient</w:t>
      </w:r>
      <w:r>
        <w:t>s with Plasma HIV-RNA &gt;100,000 to ≤</w:t>
      </w:r>
      <w:r w:rsidRPr="009E6324">
        <w:t xml:space="preserve">500,000 </w:t>
      </w:r>
      <w:r w:rsidR="00B07818">
        <w:t>copies/</w:t>
      </w:r>
      <w:proofErr w:type="spellStart"/>
      <w:r w:rsidR="00B07818">
        <w:t>mL.</w:t>
      </w:r>
      <w:proofErr w:type="spellEnd"/>
      <w:r w:rsidR="00B07818">
        <w:t xml:space="preserve"> The evaluator</w:t>
      </w:r>
      <w:r w:rsidRPr="009E6324">
        <w:t xml:space="preserve"> think</w:t>
      </w:r>
      <w:r w:rsidR="00B07818">
        <w:t>s</w:t>
      </w:r>
      <w:r w:rsidRPr="009E6324">
        <w:t xml:space="preserve"> the current threshold of </w:t>
      </w:r>
      <w:r>
        <w:t>≤</w:t>
      </w:r>
      <w:r w:rsidRPr="009E6324">
        <w:t xml:space="preserve">100,000 copies/mL is acceptable, as a strategy, the data from the switch studies detailed in this </w:t>
      </w:r>
      <w:r w:rsidR="00BB09BA">
        <w:t>submission</w:t>
      </w:r>
      <w:r w:rsidRPr="009E6324">
        <w:t>, could allow patients with very high viral loads to start on one drug regime</w:t>
      </w:r>
      <w:r w:rsidR="00BB09BA">
        <w:t>n, for example,</w:t>
      </w:r>
      <w:r w:rsidRPr="009E6324">
        <w:t xml:space="preserve"> a PI/r based regimen then switch after virological suppression for &gt;6 months</w:t>
      </w:r>
      <w:r w:rsidR="00C54998">
        <w:t>.</w:t>
      </w:r>
    </w:p>
    <w:p w:rsidR="00605AD4" w:rsidRPr="00605AD4" w:rsidRDefault="00605AD4" w:rsidP="00A36A68">
      <w:pPr>
        <w:pStyle w:val="Heading3"/>
        <w:rPr>
          <w:rFonts w:eastAsia="Cambria"/>
        </w:rPr>
      </w:pPr>
      <w:bookmarkStart w:id="77" w:name="_Toc396298057"/>
      <w:r w:rsidRPr="00605AD4">
        <w:rPr>
          <w:rFonts w:eastAsia="Cambria"/>
        </w:rPr>
        <w:t xml:space="preserve">Clinical </w:t>
      </w:r>
      <w:r w:rsidR="00A36A68">
        <w:rPr>
          <w:rFonts w:eastAsia="Cambria"/>
        </w:rPr>
        <w:t>q</w:t>
      </w:r>
      <w:r w:rsidRPr="00605AD4">
        <w:rPr>
          <w:rFonts w:eastAsia="Cambria"/>
        </w:rPr>
        <w:t>uestions</w:t>
      </w:r>
      <w:bookmarkEnd w:id="77"/>
    </w:p>
    <w:p w:rsidR="00605AD4" w:rsidRPr="00605AD4" w:rsidRDefault="00C44FF1" w:rsidP="00A36A68">
      <w:r>
        <w:t>No questions.</w:t>
      </w:r>
    </w:p>
    <w:p w:rsidR="008E7846" w:rsidRPr="00E41208" w:rsidRDefault="008E7846" w:rsidP="00A36A68">
      <w:pPr>
        <w:pStyle w:val="Heading2"/>
      </w:pPr>
      <w:bookmarkStart w:id="78" w:name="_Toc396298058"/>
      <w:r w:rsidRPr="00E41208">
        <w:t xml:space="preserve">V. </w:t>
      </w:r>
      <w:proofErr w:type="spellStart"/>
      <w:r w:rsidRPr="00E41208">
        <w:t>Pharmacovigilance</w:t>
      </w:r>
      <w:proofErr w:type="spellEnd"/>
      <w:r w:rsidRPr="00E41208">
        <w:t xml:space="preserve"> </w:t>
      </w:r>
      <w:r>
        <w:t>f</w:t>
      </w:r>
      <w:r w:rsidRPr="00E41208">
        <w:t>indings</w:t>
      </w:r>
      <w:bookmarkEnd w:id="70"/>
      <w:bookmarkEnd w:id="71"/>
      <w:bookmarkEnd w:id="78"/>
    </w:p>
    <w:p w:rsidR="008E7846" w:rsidRDefault="000E55BF" w:rsidP="00A36A68">
      <w:pPr>
        <w:pStyle w:val="Heading3"/>
        <w:rPr>
          <w:lang w:eastAsia="en-AU"/>
        </w:rPr>
      </w:pPr>
      <w:bookmarkStart w:id="79" w:name="_Toc247691526"/>
      <w:bookmarkStart w:id="80" w:name="_Toc314842509"/>
      <w:bookmarkStart w:id="81" w:name="_Toc396298059"/>
      <w:r>
        <w:rPr>
          <w:lang w:eastAsia="en-AU"/>
        </w:rPr>
        <w:t xml:space="preserve">Risk </w:t>
      </w:r>
      <w:r w:rsidR="00A36A68">
        <w:rPr>
          <w:lang w:eastAsia="en-AU"/>
        </w:rPr>
        <w:t>m</w:t>
      </w:r>
      <w:r w:rsidR="008E7846">
        <w:rPr>
          <w:lang w:eastAsia="en-AU"/>
        </w:rPr>
        <w:t xml:space="preserve">anagement </w:t>
      </w:r>
      <w:r w:rsidR="00A36A68">
        <w:rPr>
          <w:lang w:eastAsia="en-AU"/>
        </w:rPr>
        <w:t>p</w:t>
      </w:r>
      <w:r w:rsidR="008E7846">
        <w:rPr>
          <w:lang w:eastAsia="en-AU"/>
        </w:rPr>
        <w:t>lan</w:t>
      </w:r>
      <w:bookmarkEnd w:id="79"/>
      <w:bookmarkEnd w:id="80"/>
      <w:bookmarkEnd w:id="81"/>
    </w:p>
    <w:p w:rsidR="003A4256" w:rsidRDefault="003A4256" w:rsidP="00F07077">
      <w:pPr>
        <w:pStyle w:val="Heading4"/>
        <w:rPr>
          <w:lang w:eastAsia="en-AU"/>
        </w:rPr>
      </w:pPr>
      <w:r>
        <w:rPr>
          <w:lang w:eastAsia="en-AU"/>
        </w:rPr>
        <w:t>Contents of the submission</w:t>
      </w:r>
    </w:p>
    <w:p w:rsidR="003A4256" w:rsidRPr="007C16AD" w:rsidRDefault="003A4256" w:rsidP="007C16AD">
      <w:r w:rsidRPr="007C16AD">
        <w:t>The sponsor submitted a</w:t>
      </w:r>
      <w:r w:rsidR="00E269DA" w:rsidRPr="007C16AD">
        <w:t>n</w:t>
      </w:r>
      <w:r w:rsidRPr="007C16AD">
        <w:t xml:space="preserve"> </w:t>
      </w:r>
      <w:r w:rsidR="00E269DA" w:rsidRPr="007C16AD">
        <w:t>Australian-</w:t>
      </w:r>
      <w:r w:rsidRPr="007C16AD">
        <w:t>Risk Management Plan (</w:t>
      </w:r>
      <w:r w:rsidR="00E269DA" w:rsidRPr="007C16AD">
        <w:t>AU-</w:t>
      </w:r>
      <w:r w:rsidRPr="007C16AD">
        <w:t xml:space="preserve">RMP) for </w:t>
      </w:r>
      <w:proofErr w:type="spellStart"/>
      <w:r w:rsidR="0044093B" w:rsidRPr="007C16AD">
        <w:t>Eviplera</w:t>
      </w:r>
      <w:proofErr w:type="spellEnd"/>
      <w:r w:rsidR="00E269DA" w:rsidRPr="007C16AD">
        <w:t xml:space="preserve"> </w:t>
      </w:r>
      <w:r w:rsidR="003E39D9" w:rsidRPr="007C16AD">
        <w:t>Version</w:t>
      </w:r>
      <w:r w:rsidR="00E269DA" w:rsidRPr="007C16AD">
        <w:t xml:space="preserve"> </w:t>
      </w:r>
      <w:r w:rsidR="003E39D9" w:rsidRPr="007C16AD">
        <w:t>2.0, dated June 2013</w:t>
      </w:r>
      <w:r w:rsidR="00E269DA" w:rsidRPr="007C16AD">
        <w:t>.</w:t>
      </w:r>
    </w:p>
    <w:p w:rsidR="00726443" w:rsidRPr="007C16AD" w:rsidRDefault="00726443" w:rsidP="00F07077">
      <w:r w:rsidRPr="007C16AD">
        <w:t xml:space="preserve">The sponsor proposes routine </w:t>
      </w:r>
      <w:proofErr w:type="spellStart"/>
      <w:r w:rsidRPr="007C16AD">
        <w:t>pharmacovigilance</w:t>
      </w:r>
      <w:proofErr w:type="spellEnd"/>
      <w:r w:rsidRPr="007C16AD">
        <w:t xml:space="preserve"> activities to monitor all the specified ongoing safety concerns, including the use of targeted follow-up questionnaires for renal events, including renal </w:t>
      </w:r>
      <w:proofErr w:type="spellStart"/>
      <w:r w:rsidRPr="007C16AD">
        <w:t>tubulopathy</w:t>
      </w:r>
      <w:proofErr w:type="spellEnd"/>
      <w:r w:rsidRPr="007C16AD">
        <w:t>, and bone events (TDF) and de</w:t>
      </w:r>
      <w:r w:rsidR="00C54998">
        <w:t xml:space="preserve">velopment of resistance (RPV). </w:t>
      </w:r>
      <w:r w:rsidRPr="007C16AD">
        <w:t xml:space="preserve">Additional </w:t>
      </w:r>
      <w:proofErr w:type="spellStart"/>
      <w:r w:rsidRPr="007C16AD">
        <w:t>pharmacovigilance</w:t>
      </w:r>
      <w:proofErr w:type="spellEnd"/>
      <w:r w:rsidRPr="007C16AD">
        <w:t xml:space="preserve"> activities are also proposed to further monitor and characterise all the specified ongoing safety concerns, except for the important identified risks: ‘Post-treatment hepatic flares in HIV-1/HBV co-infected patients’, ‘Interaction with </w:t>
      </w:r>
      <w:proofErr w:type="spellStart"/>
      <w:r w:rsidRPr="007C16AD">
        <w:t>didanosine</w:t>
      </w:r>
      <w:proofErr w:type="spellEnd"/>
      <w:r w:rsidRPr="007C16AD">
        <w:t xml:space="preserve">’, ‘Pancreatitis’, ‘Lactic acidosis and severe hepatomegaly with </w:t>
      </w:r>
      <w:proofErr w:type="spellStart"/>
      <w:r w:rsidRPr="007C16AD">
        <w:t>steatosis</w:t>
      </w:r>
      <w:proofErr w:type="spellEnd"/>
      <w:r w:rsidRPr="007C16AD">
        <w:t>’ &amp; ‘</w:t>
      </w:r>
      <w:proofErr w:type="spellStart"/>
      <w:r w:rsidRPr="007C16AD">
        <w:t>Lipodystrophy</w:t>
      </w:r>
      <w:proofErr w:type="spellEnd"/>
      <w:r w:rsidRPr="007C16AD">
        <w:t xml:space="preserve">’; the important potential risk: ‘Overdose and the important missing information: ‘Safety information for </w:t>
      </w:r>
      <w:proofErr w:type="spellStart"/>
      <w:r w:rsidRPr="007C16AD">
        <w:t>Eviplera</w:t>
      </w:r>
      <w:proofErr w:type="spellEnd"/>
      <w:r w:rsidRPr="007C16AD">
        <w:t>’, ‘Safety in elderly patients’, ‘Safety i</w:t>
      </w:r>
      <w:r w:rsidR="00C54998">
        <w:t>n lactation’ and</w:t>
      </w:r>
      <w:r w:rsidRPr="007C16AD">
        <w:t xml:space="preserve"> ‘Safety in patients with severe hepatic impairment (CPT score C)’.</w:t>
      </w:r>
    </w:p>
    <w:p w:rsidR="00636D36" w:rsidRDefault="00636D36" w:rsidP="00F07077">
      <w:r>
        <w:t>The updated AU-RMP states:</w:t>
      </w:r>
    </w:p>
    <w:p w:rsidR="00636D36" w:rsidRPr="00F07077" w:rsidRDefault="00726443" w:rsidP="00F07077">
      <w:pPr>
        <w:ind w:left="720"/>
        <w:rPr>
          <w:i/>
        </w:rPr>
      </w:pPr>
      <w:r w:rsidRPr="00F07077">
        <w:rPr>
          <w:i/>
        </w:rPr>
        <w:t>No risk minimisation measures additional to the provision of comprehensive safety information in the product labelling are considere</w:t>
      </w:r>
      <w:r w:rsidR="00636D36" w:rsidRPr="00F07077">
        <w:rPr>
          <w:i/>
        </w:rPr>
        <w:t xml:space="preserve">d to be warranted for </w:t>
      </w:r>
      <w:proofErr w:type="spellStart"/>
      <w:r w:rsidR="00636D36" w:rsidRPr="00F07077">
        <w:rPr>
          <w:i/>
        </w:rPr>
        <w:t>Eviplera</w:t>
      </w:r>
      <w:proofErr w:type="spellEnd"/>
      <w:r w:rsidR="00636D36" w:rsidRPr="00F07077">
        <w:rPr>
          <w:i/>
        </w:rPr>
        <w:t>.</w:t>
      </w:r>
    </w:p>
    <w:p w:rsidR="00726443" w:rsidRPr="007C16AD" w:rsidRDefault="00726443" w:rsidP="00F07077">
      <w:r w:rsidRPr="007C16AD">
        <w:t xml:space="preserve">This is contrary to what was previously accepted for </w:t>
      </w:r>
      <w:proofErr w:type="spellStart"/>
      <w:r w:rsidR="00B048FC" w:rsidRPr="007C16AD">
        <w:t>Eviplera</w:t>
      </w:r>
      <w:proofErr w:type="spellEnd"/>
      <w:r w:rsidRPr="007C16AD">
        <w:t>.</w:t>
      </w:r>
    </w:p>
    <w:p w:rsidR="00F47929" w:rsidRDefault="00726443" w:rsidP="00F07077">
      <w:r w:rsidRPr="007C16AD">
        <w:t>The Executiv</w:t>
      </w:r>
      <w:r w:rsidR="00F47929">
        <w:t>e Summary of the AU-RMP states:</w:t>
      </w:r>
    </w:p>
    <w:p w:rsidR="00F47929" w:rsidRPr="00F07077" w:rsidRDefault="00726443" w:rsidP="00F07077">
      <w:pPr>
        <w:ind w:left="720"/>
        <w:rPr>
          <w:i/>
        </w:rPr>
      </w:pPr>
      <w:r w:rsidRPr="00F07077">
        <w:rPr>
          <w:i/>
        </w:rPr>
        <w:t xml:space="preserve">A number of updates from Version 0.1 to 2.0 of the </w:t>
      </w:r>
      <w:proofErr w:type="spellStart"/>
      <w:r w:rsidRPr="00F07077">
        <w:rPr>
          <w:i/>
        </w:rPr>
        <w:t>Eviplera</w:t>
      </w:r>
      <w:proofErr w:type="spellEnd"/>
      <w:r w:rsidRPr="00F07077">
        <w:rPr>
          <w:i/>
        </w:rPr>
        <w:t xml:space="preserve"> AU-RMP have been made. The main changes of cli</w:t>
      </w:r>
      <w:r w:rsidR="004F5352" w:rsidRPr="00F07077">
        <w:rPr>
          <w:i/>
        </w:rPr>
        <w:t>nical importance are as follows</w:t>
      </w:r>
      <w:r w:rsidR="00F47929" w:rsidRPr="00F07077">
        <w:rPr>
          <w:i/>
        </w:rPr>
        <w:t>.</w:t>
      </w:r>
    </w:p>
    <w:p w:rsidR="00726443" w:rsidRPr="007C16AD" w:rsidRDefault="00726443" w:rsidP="00F07077">
      <w:r w:rsidRPr="007C16AD">
        <w:t>However, the information that follows appears to be incomplete and inadequate.</w:t>
      </w:r>
      <w:r w:rsidR="006B6C6C">
        <w:t xml:space="preserve"> </w:t>
      </w:r>
      <w:r w:rsidRPr="007C16AD">
        <w:t>Consequently</w:t>
      </w:r>
      <w:r w:rsidR="006B6C6C">
        <w:t>,</w:t>
      </w:r>
      <w:r w:rsidRPr="007C16AD">
        <w:t xml:space="preserve"> the quality of the RMP documentation is considered to be poor.</w:t>
      </w:r>
      <w:r w:rsidR="00121C3D">
        <w:t xml:space="preserve"> </w:t>
      </w:r>
      <w:r w:rsidRPr="007C16AD">
        <w:t>The sponsor should briefly yet adequately summarise the material changes fro</w:t>
      </w:r>
      <w:r w:rsidR="00F07077">
        <w:t>m the previous AU-RMP.</w:t>
      </w:r>
    </w:p>
    <w:p w:rsidR="008421F2" w:rsidRDefault="008421F2" w:rsidP="00F07077">
      <w:pPr>
        <w:pStyle w:val="Heading4"/>
        <w:rPr>
          <w:lang w:eastAsia="en-AU"/>
        </w:rPr>
      </w:pPr>
      <w:r>
        <w:rPr>
          <w:lang w:eastAsia="en-AU"/>
        </w:rPr>
        <w:t>Ongoing safety concerns</w:t>
      </w:r>
    </w:p>
    <w:p w:rsidR="008421F2" w:rsidRDefault="008421F2" w:rsidP="00F07077">
      <w:pPr>
        <w:rPr>
          <w:lang w:eastAsia="en-AU"/>
        </w:rPr>
      </w:pPr>
      <w:r>
        <w:rPr>
          <w:lang w:eastAsia="en-AU"/>
        </w:rPr>
        <w:t xml:space="preserve">The sponsor provided a summary of ongoing safety concerns </w:t>
      </w:r>
      <w:r w:rsidR="00726443">
        <w:rPr>
          <w:lang w:eastAsia="en-AU"/>
        </w:rPr>
        <w:t xml:space="preserve">for </w:t>
      </w:r>
      <w:proofErr w:type="spellStart"/>
      <w:r w:rsidR="00726443">
        <w:rPr>
          <w:lang w:eastAsia="en-AU"/>
        </w:rPr>
        <w:t>Eviplera</w:t>
      </w:r>
      <w:proofErr w:type="spellEnd"/>
      <w:r w:rsidR="00726443">
        <w:rPr>
          <w:lang w:eastAsia="en-AU"/>
        </w:rPr>
        <w:t xml:space="preserve"> (Table 3) and the components of </w:t>
      </w:r>
      <w:proofErr w:type="spellStart"/>
      <w:r w:rsidR="00726443">
        <w:rPr>
          <w:lang w:eastAsia="en-AU"/>
        </w:rPr>
        <w:t>Eviplera</w:t>
      </w:r>
      <w:proofErr w:type="spellEnd"/>
      <w:r w:rsidR="00726443">
        <w:rPr>
          <w:lang w:eastAsia="en-AU"/>
        </w:rPr>
        <w:t xml:space="preserve"> (Table 4)</w:t>
      </w:r>
      <w:r>
        <w:rPr>
          <w:lang w:eastAsia="en-AU"/>
        </w:rPr>
        <w:t>.</w:t>
      </w:r>
    </w:p>
    <w:p w:rsidR="008421F2" w:rsidRDefault="008421F2" w:rsidP="00F07077">
      <w:pPr>
        <w:pStyle w:val="TableTitle"/>
      </w:pPr>
      <w:proofErr w:type="gramStart"/>
      <w:r>
        <w:lastRenderedPageBreak/>
        <w:t>Table 3:</w:t>
      </w:r>
      <w:r w:rsidRPr="004C5C28">
        <w:t xml:space="preserve"> </w:t>
      </w:r>
      <w:r w:rsidR="0016190B">
        <w:t xml:space="preserve">Summary of ongoing safety concerns for </w:t>
      </w:r>
      <w:proofErr w:type="spellStart"/>
      <w:r w:rsidR="0016190B">
        <w:t>Eviplera</w:t>
      </w:r>
      <w:proofErr w:type="spellEnd"/>
      <w:r>
        <w:t>.</w:t>
      </w:r>
      <w:proofErr w:type="gramEnd"/>
    </w:p>
    <w:p w:rsidR="008421F2" w:rsidRDefault="00355E47" w:rsidP="003B49DD">
      <w:pPr>
        <w:rPr>
          <w:lang w:eastAsia="en-AU"/>
        </w:rPr>
      </w:pPr>
      <w:r>
        <w:rPr>
          <w:noProof/>
          <w:lang w:eastAsia="en-AU"/>
        </w:rPr>
        <w:drawing>
          <wp:inline distT="0" distB="0" distL="0" distR="0" wp14:anchorId="2D45D728" wp14:editId="6B5BDE3D">
            <wp:extent cx="5105400" cy="955040"/>
            <wp:effectExtent l="0" t="0" r="0" b="0"/>
            <wp:docPr id="4" name="Picture 4" descr="Table 3: Summary of ongoing safety concerns for Evip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Summary of ongoing safety concerns for Eviple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955040"/>
                    </a:xfrm>
                    <a:prstGeom prst="rect">
                      <a:avLst/>
                    </a:prstGeom>
                    <a:noFill/>
                    <a:ln>
                      <a:noFill/>
                    </a:ln>
                  </pic:spPr>
                </pic:pic>
              </a:graphicData>
            </a:graphic>
          </wp:inline>
        </w:drawing>
      </w:r>
    </w:p>
    <w:p w:rsidR="000A4564" w:rsidRDefault="000A4564" w:rsidP="00F07077">
      <w:pPr>
        <w:pStyle w:val="TableTitle"/>
      </w:pPr>
      <w:proofErr w:type="gramStart"/>
      <w:r>
        <w:t>Table 4:</w:t>
      </w:r>
      <w:r w:rsidRPr="004C5C28">
        <w:t xml:space="preserve"> </w:t>
      </w:r>
      <w:r>
        <w:t xml:space="preserve">Summary of ongoing safety concerns for the components of </w:t>
      </w:r>
      <w:proofErr w:type="spellStart"/>
      <w:r>
        <w:t>Eviplera</w:t>
      </w:r>
      <w:proofErr w:type="spellEnd"/>
      <w:r>
        <w:t>.</w:t>
      </w:r>
      <w:proofErr w:type="gramEnd"/>
    </w:p>
    <w:p w:rsidR="000A4564" w:rsidRDefault="00355E47" w:rsidP="00F07077">
      <w:pPr>
        <w:rPr>
          <w:lang w:eastAsia="en-AU"/>
        </w:rPr>
      </w:pPr>
      <w:r>
        <w:rPr>
          <w:noProof/>
          <w:lang w:eastAsia="en-AU"/>
        </w:rPr>
        <w:drawing>
          <wp:inline distT="0" distB="0" distL="0" distR="0" wp14:anchorId="3E69B9A7" wp14:editId="7904204B">
            <wp:extent cx="5074920" cy="4546600"/>
            <wp:effectExtent l="0" t="0" r="0" b="6350"/>
            <wp:docPr id="5" name="Picture 5" descr="Table 4: Summary of ongoing safety concerns for the components of Evip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Summary of ongoing safety concerns for the components of Eviple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4920" cy="4546600"/>
                    </a:xfrm>
                    <a:prstGeom prst="rect">
                      <a:avLst/>
                    </a:prstGeom>
                    <a:noFill/>
                    <a:ln>
                      <a:noFill/>
                    </a:ln>
                  </pic:spPr>
                </pic:pic>
              </a:graphicData>
            </a:graphic>
          </wp:inline>
        </w:drawing>
      </w:r>
    </w:p>
    <w:p w:rsidR="00791432" w:rsidRDefault="00791432" w:rsidP="00F07077">
      <w:pPr>
        <w:pStyle w:val="Heading4"/>
        <w:rPr>
          <w:lang w:eastAsia="en-AU"/>
        </w:rPr>
      </w:pPr>
      <w:bookmarkStart w:id="82" w:name="_Toc247691527"/>
      <w:bookmarkStart w:id="83" w:name="_Toc314842510"/>
      <w:r w:rsidRPr="006F25B8">
        <w:rPr>
          <w:lang w:eastAsia="en-AU"/>
        </w:rPr>
        <w:t>Reconciliation of is</w:t>
      </w:r>
      <w:r w:rsidR="003B49DD">
        <w:rPr>
          <w:lang w:eastAsia="en-AU"/>
        </w:rPr>
        <w:t>sues outlined in the RMP report</w:t>
      </w:r>
    </w:p>
    <w:p w:rsidR="00791432" w:rsidRPr="006D7BC7" w:rsidRDefault="00791432" w:rsidP="00F07077">
      <w:r w:rsidRPr="006D7BC7">
        <w:t>Reconciliation of issues outlined in the RMP report is as follows.</w:t>
      </w:r>
    </w:p>
    <w:p w:rsidR="006D7BC7" w:rsidRDefault="006D7BC7" w:rsidP="00F07077">
      <w:r w:rsidRPr="006D7BC7">
        <w:t>In their response to the TGA S</w:t>
      </w:r>
      <w:r>
        <w:t xml:space="preserve">ection </w:t>
      </w:r>
      <w:r w:rsidRPr="006D7BC7">
        <w:t>31 Requests</w:t>
      </w:r>
      <w:r w:rsidR="00697FF3">
        <w:t>,</w:t>
      </w:r>
      <w:r w:rsidRPr="006D7BC7">
        <w:t xml:space="preserve"> the sponsor provided an updated AU-RMP Version: 2.0 (dated December 2013).</w:t>
      </w:r>
      <w:r w:rsidR="00121C3D">
        <w:t xml:space="preserve"> </w:t>
      </w:r>
      <w:r w:rsidRPr="006D7BC7">
        <w:t xml:space="preserve">Key changes from the version evaluated </w:t>
      </w:r>
      <w:r w:rsidR="005B0B5B">
        <w:t>at Round 1 are summarised in Table 5.</w:t>
      </w:r>
    </w:p>
    <w:p w:rsidR="005B0B5B" w:rsidRDefault="005B0B5B" w:rsidP="00F07077">
      <w:pPr>
        <w:pStyle w:val="TableTitle"/>
      </w:pPr>
      <w:proofErr w:type="gramStart"/>
      <w:r>
        <w:lastRenderedPageBreak/>
        <w:t>Table 5:</w:t>
      </w:r>
      <w:r w:rsidRPr="004C5C28">
        <w:t xml:space="preserve"> </w:t>
      </w:r>
      <w:r>
        <w:t>Key changes between RMP Round 1 and 2 evaluations.</w:t>
      </w:r>
      <w:proofErr w:type="gramEnd"/>
    </w:p>
    <w:p w:rsidR="005B0B5B" w:rsidRPr="006D7BC7" w:rsidRDefault="00355E47" w:rsidP="00F07077">
      <w:r>
        <w:rPr>
          <w:noProof/>
          <w:lang w:eastAsia="en-AU"/>
        </w:rPr>
        <w:drawing>
          <wp:inline distT="0" distB="0" distL="0" distR="0" wp14:anchorId="2E57DB47" wp14:editId="7B83FA32">
            <wp:extent cx="4831080" cy="1798320"/>
            <wp:effectExtent l="0" t="0" r="7620" b="0"/>
            <wp:docPr id="6" name="Picture 6" descr="Table 5: Key changes between RMP Round 1 and 2 eval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Key changes between RMP Round 1 and 2 evaluati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1080" cy="1798320"/>
                    </a:xfrm>
                    <a:prstGeom prst="rect">
                      <a:avLst/>
                    </a:prstGeom>
                    <a:noFill/>
                    <a:ln>
                      <a:noFill/>
                    </a:ln>
                  </pic:spPr>
                </pic:pic>
              </a:graphicData>
            </a:graphic>
          </wp:inline>
        </w:drawing>
      </w:r>
    </w:p>
    <w:p w:rsidR="00874D19" w:rsidRDefault="00874D19" w:rsidP="00F07077">
      <w:pPr>
        <w:pStyle w:val="Heading5"/>
      </w:pPr>
      <w:r w:rsidRPr="00D81593">
        <w:t>Recomme</w:t>
      </w:r>
      <w:r>
        <w:t>nda</w:t>
      </w:r>
      <w:r w:rsidR="00D35F42">
        <w:t>tion #1</w:t>
      </w:r>
    </w:p>
    <w:p w:rsidR="00874D19" w:rsidRPr="005F722F" w:rsidRDefault="000D3364" w:rsidP="00F07077">
      <w:r w:rsidRPr="005F722F">
        <w:t xml:space="preserve">The Executive Summary of the AU-RMP states: “A number of updates from Version 0.1 to 2.0 of the </w:t>
      </w:r>
      <w:proofErr w:type="spellStart"/>
      <w:r w:rsidRPr="005F722F">
        <w:t>Eviplera</w:t>
      </w:r>
      <w:proofErr w:type="spellEnd"/>
      <w:r w:rsidRPr="005F722F">
        <w:t xml:space="preserve"> AU-RMP have been made. The main changes of cli</w:t>
      </w:r>
      <w:r w:rsidR="005F722F" w:rsidRPr="005F722F">
        <w:t>nical importance are as follows</w:t>
      </w:r>
      <w:r w:rsidRPr="005F722F">
        <w:t>”</w:t>
      </w:r>
      <w:r w:rsidR="00E6425E">
        <w:t xml:space="preserve">. </w:t>
      </w:r>
      <w:r w:rsidRPr="005F722F">
        <w:t>However, the information that follows appears to be incomplete and inadequate</w:t>
      </w:r>
      <w:r w:rsidR="00E6425E">
        <w:t xml:space="preserve">. </w:t>
      </w:r>
      <w:r w:rsidRPr="005F722F">
        <w:t>Consequently the quality of the RMP documentation is considered to be poor.</w:t>
      </w:r>
      <w:r w:rsidR="00121C3D">
        <w:t xml:space="preserve"> </w:t>
      </w:r>
      <w:r w:rsidRPr="005F722F">
        <w:t>The sponsor should briefly yet adequately summarise the material changes from the previous AU-RMP.</w:t>
      </w:r>
    </w:p>
    <w:p w:rsidR="00874D19" w:rsidRDefault="00874D19" w:rsidP="003B49DD">
      <w:pPr>
        <w:pStyle w:val="Heading6"/>
      </w:pPr>
      <w:r w:rsidRPr="005946FD">
        <w:t>Sponsor’s response</w:t>
      </w:r>
    </w:p>
    <w:p w:rsidR="00874D19" w:rsidRPr="005F722F" w:rsidRDefault="005F722F" w:rsidP="00F07077">
      <w:r w:rsidRPr="005F722F">
        <w:t>The Executive Summary and Section 1.2 of the AU-RMP have been updated with details of the material changes from the previous AU-RMP.</w:t>
      </w:r>
    </w:p>
    <w:p w:rsidR="00874D19" w:rsidRDefault="00874D19" w:rsidP="003B49DD">
      <w:pPr>
        <w:pStyle w:val="Heading6"/>
      </w:pPr>
      <w:r w:rsidRPr="005946FD">
        <w:t>OPR evaluator’s comment</w:t>
      </w:r>
    </w:p>
    <w:p w:rsidR="00874D19" w:rsidRPr="00E6425E" w:rsidRDefault="005F722F" w:rsidP="00F07077">
      <w:r w:rsidRPr="00E6425E">
        <w:t xml:space="preserve">These sections of the revised AU-RMP do not appear to entirely capture the changes to the </w:t>
      </w:r>
      <w:proofErr w:type="spellStart"/>
      <w:r w:rsidRPr="00E6425E">
        <w:t>Pharmacovigilance</w:t>
      </w:r>
      <w:proofErr w:type="spellEnd"/>
      <w:r w:rsidRPr="00E6425E">
        <w:t xml:space="preserve"> Plan as observed in the RMP Evaluation Report </w:t>
      </w:r>
      <w:r w:rsidR="000D74B0">
        <w:t>(</w:t>
      </w:r>
      <w:r w:rsidRPr="00E6425E">
        <w:t>28 November 2013).</w:t>
      </w:r>
      <w:r w:rsidR="00121C3D">
        <w:t xml:space="preserve"> </w:t>
      </w:r>
      <w:r w:rsidRPr="00E6425E">
        <w:t xml:space="preserve">These sections of the revised AU-RMP should also capture the changes to the </w:t>
      </w:r>
      <w:r w:rsidR="000D74B0">
        <w:t>o</w:t>
      </w:r>
      <w:r w:rsidRPr="00E6425E">
        <w:t xml:space="preserve">ngoing </w:t>
      </w:r>
      <w:r w:rsidR="000D74B0">
        <w:t>s</w:t>
      </w:r>
      <w:r w:rsidRPr="00E6425E">
        <w:t xml:space="preserve">afety </w:t>
      </w:r>
      <w:r w:rsidR="000D74B0">
        <w:t>c</w:t>
      </w:r>
      <w:r w:rsidRPr="00E6425E">
        <w:t>oncerns as observed in the RMP Evaluation Report</w:t>
      </w:r>
      <w:r w:rsidR="000D74B0">
        <w:t xml:space="preserve">. </w:t>
      </w:r>
      <w:r w:rsidRPr="00E6425E">
        <w:t>Consequently</w:t>
      </w:r>
      <w:r w:rsidR="00E6425E">
        <w:t>,</w:t>
      </w:r>
      <w:r w:rsidRPr="00E6425E">
        <w:t xml:space="preserve"> this remains an outstanding issue.</w:t>
      </w:r>
    </w:p>
    <w:p w:rsidR="00D35F42" w:rsidRDefault="00D35F42" w:rsidP="00F07077">
      <w:pPr>
        <w:pStyle w:val="Heading5"/>
      </w:pPr>
      <w:r w:rsidRPr="00D81593">
        <w:t>Recomme</w:t>
      </w:r>
      <w:r>
        <w:t>ndation #2</w:t>
      </w:r>
    </w:p>
    <w:p w:rsidR="000D3364" w:rsidRPr="00201617" w:rsidRDefault="00E6425E" w:rsidP="00F07077">
      <w:r w:rsidRPr="00201617">
        <w:t xml:space="preserve">Safety considerations may be raised by the clinical evaluator through the consolidated </w:t>
      </w:r>
      <w:r w:rsidR="00C6522B">
        <w:t>S</w:t>
      </w:r>
      <w:r w:rsidRPr="00201617">
        <w:t>ection 31 request and/or the Clinical</w:t>
      </w:r>
      <w:r w:rsidR="00C6522B">
        <w:t xml:space="preserve"> Evaluation Report, respectively</w:t>
      </w:r>
      <w:r w:rsidRPr="00201617">
        <w:t>.</w:t>
      </w:r>
      <w:r w:rsidR="00121C3D">
        <w:t xml:space="preserve"> </w:t>
      </w:r>
      <w:r w:rsidRPr="00201617">
        <w:t>It is important to ensure that the information provided in response to these include</w:t>
      </w:r>
      <w:r w:rsidR="000D74B0">
        <w:t>s</w:t>
      </w:r>
      <w:r w:rsidRPr="00201617">
        <w:t xml:space="preserve"> a consideration of the relevance for the </w:t>
      </w:r>
      <w:r w:rsidR="000D74B0">
        <w:t>RMP</w:t>
      </w:r>
      <w:r w:rsidRPr="00201617">
        <w:t>, and any specific information needed to address this issue in the RMP.</w:t>
      </w:r>
      <w:r w:rsidR="00121C3D">
        <w:t xml:space="preserve"> </w:t>
      </w:r>
      <w:r w:rsidRPr="00201617">
        <w:t>For any safety considerations so raised, the sponsor should provide information that is relevant and necessary to address the issue in the RMP.</w:t>
      </w:r>
    </w:p>
    <w:p w:rsidR="000D3364" w:rsidRDefault="000D3364" w:rsidP="003B49DD">
      <w:pPr>
        <w:pStyle w:val="Heading6"/>
      </w:pPr>
      <w:r w:rsidRPr="005946FD">
        <w:t>Sponsor’s response</w:t>
      </w:r>
    </w:p>
    <w:p w:rsidR="000D3364" w:rsidRPr="00C653D0" w:rsidRDefault="00201617" w:rsidP="00F07077">
      <w:r w:rsidRPr="00C653D0">
        <w:t>The sponsor has provided no response.</w:t>
      </w:r>
    </w:p>
    <w:p w:rsidR="000D3364" w:rsidRDefault="000D3364" w:rsidP="003B49DD">
      <w:pPr>
        <w:pStyle w:val="Heading6"/>
      </w:pPr>
      <w:r w:rsidRPr="005946FD">
        <w:t>OPR evaluator’s comment</w:t>
      </w:r>
    </w:p>
    <w:p w:rsidR="000D3364" w:rsidRPr="006F36D4" w:rsidRDefault="00C653D0" w:rsidP="00F07077">
      <w:r w:rsidRPr="006F36D4">
        <w:t>Given no specific</w:t>
      </w:r>
      <w:r w:rsidR="006F36D4">
        <w:t xml:space="preserve"> issues were raised in the </w:t>
      </w:r>
      <w:r w:rsidR="00915858">
        <w:t>c</w:t>
      </w:r>
      <w:r w:rsidR="00B864F6" w:rsidRPr="00201617">
        <w:t>linical</w:t>
      </w:r>
      <w:r w:rsidR="00B864F6">
        <w:t xml:space="preserve"> </w:t>
      </w:r>
      <w:r w:rsidR="00915858">
        <w:t>e</w:t>
      </w:r>
      <w:r w:rsidR="00B864F6">
        <w:t xml:space="preserve">valuation </w:t>
      </w:r>
      <w:r w:rsidR="00915858">
        <w:t>r</w:t>
      </w:r>
      <w:r w:rsidR="00B864F6">
        <w:t>eport</w:t>
      </w:r>
      <w:r w:rsidRPr="006F36D4">
        <w:t>, this is acceptable.</w:t>
      </w:r>
    </w:p>
    <w:p w:rsidR="00D35F42" w:rsidRDefault="00D35F42" w:rsidP="00F07077">
      <w:pPr>
        <w:pStyle w:val="Heading5"/>
      </w:pPr>
      <w:r w:rsidRPr="00D81593">
        <w:t>Recomme</w:t>
      </w:r>
      <w:r>
        <w:t>ndation #3</w:t>
      </w:r>
    </w:p>
    <w:p w:rsidR="003F7091" w:rsidRDefault="004F2900" w:rsidP="00F07077">
      <w:r w:rsidRPr="001626D5">
        <w:t>Section 2.3.4.1</w:t>
      </w:r>
      <w:r w:rsidR="003F7091">
        <w:t xml:space="preserve"> of the updated AU-RMP states:</w:t>
      </w:r>
    </w:p>
    <w:p w:rsidR="003F7091" w:rsidRPr="003F7091" w:rsidRDefault="004F2900" w:rsidP="003F7091">
      <w:pPr>
        <w:ind w:left="720"/>
        <w:rPr>
          <w:i/>
        </w:rPr>
      </w:pPr>
      <w:r w:rsidRPr="003F7091">
        <w:rPr>
          <w:i/>
        </w:rPr>
        <w:t xml:space="preserve">There have been no newly identified important risks for </w:t>
      </w:r>
      <w:proofErr w:type="spellStart"/>
      <w:r w:rsidRPr="003F7091">
        <w:rPr>
          <w:i/>
        </w:rPr>
        <w:t>Eviplera</w:t>
      </w:r>
      <w:proofErr w:type="spellEnd"/>
      <w:r w:rsidRPr="003F7091">
        <w:rPr>
          <w:i/>
        </w:rPr>
        <w:t xml:space="preserve">, </w:t>
      </w:r>
      <w:proofErr w:type="spellStart"/>
      <w:r w:rsidRPr="003F7091">
        <w:rPr>
          <w:i/>
        </w:rPr>
        <w:t>emtricitabine</w:t>
      </w:r>
      <w:proofErr w:type="spellEnd"/>
      <w:r w:rsidRPr="003F7091">
        <w:rPr>
          <w:i/>
        </w:rPr>
        <w:t xml:space="preserve">, </w:t>
      </w:r>
      <w:proofErr w:type="spellStart"/>
      <w:r w:rsidRPr="003F7091">
        <w:rPr>
          <w:i/>
        </w:rPr>
        <w:t>rilpivirine</w:t>
      </w:r>
      <w:proofErr w:type="spellEnd"/>
      <w:r w:rsidRPr="003F7091">
        <w:rPr>
          <w:i/>
        </w:rPr>
        <w:t xml:space="preserve"> or </w:t>
      </w:r>
      <w:r w:rsidR="00E01763">
        <w:rPr>
          <w:i/>
        </w:rPr>
        <w:t>T</w:t>
      </w:r>
      <w:r w:rsidRPr="003F7091">
        <w:rPr>
          <w:i/>
        </w:rPr>
        <w:t>DF since</w:t>
      </w:r>
      <w:r w:rsidR="003F7091" w:rsidRPr="003F7091">
        <w:rPr>
          <w:i/>
        </w:rPr>
        <w:t xml:space="preserve"> the last AU-RMP was submitted.</w:t>
      </w:r>
    </w:p>
    <w:p w:rsidR="004F2900" w:rsidRPr="001626D5" w:rsidRDefault="004F2900" w:rsidP="003B49DD">
      <w:pPr>
        <w:keepNext/>
      </w:pPr>
      <w:r w:rsidRPr="001626D5">
        <w:lastRenderedPageBreak/>
        <w:t xml:space="preserve">However, this contrary to what is observed as the specified ongoing safety concerns are the same as those previously accepted for </w:t>
      </w:r>
      <w:proofErr w:type="spellStart"/>
      <w:r w:rsidR="00873D44">
        <w:t>Eviplera</w:t>
      </w:r>
      <w:proofErr w:type="spellEnd"/>
      <w:r w:rsidRPr="001626D5">
        <w:t>, except for the addition of:</w:t>
      </w:r>
    </w:p>
    <w:p w:rsidR="004F2900" w:rsidRPr="008A5C59" w:rsidRDefault="004F2900" w:rsidP="003B49DD">
      <w:pPr>
        <w:pStyle w:val="ListBullet"/>
      </w:pPr>
      <w:r w:rsidRPr="008A5C59">
        <w:t xml:space="preserve">the </w:t>
      </w:r>
      <w:r w:rsidRPr="003B49DD">
        <w:t>important</w:t>
      </w:r>
      <w:r w:rsidRPr="008A5C59">
        <w:t xml:space="preserve"> identified risk: ‘Bone events due to proximal renal </w:t>
      </w:r>
      <w:proofErr w:type="spellStart"/>
      <w:r w:rsidRPr="008A5C59">
        <w:t>tubulopathy</w:t>
      </w:r>
      <w:proofErr w:type="spellEnd"/>
      <w:r w:rsidRPr="008A5C59">
        <w:t>/loss</w:t>
      </w:r>
      <w:r w:rsidR="008A5C59">
        <w:t xml:space="preserve"> of bone mineral density’ (TDF)</w:t>
      </w:r>
    </w:p>
    <w:p w:rsidR="004F2900" w:rsidRPr="008A5C59" w:rsidRDefault="004F2900" w:rsidP="008A5C59">
      <w:pPr>
        <w:pStyle w:val="ListBullet"/>
      </w:pPr>
      <w:r w:rsidRPr="008A5C59">
        <w:t>the important potential risks: ‘</w:t>
      </w:r>
      <w:proofErr w:type="spellStart"/>
      <w:r w:rsidRPr="008A5C59">
        <w:t>Lip</w:t>
      </w:r>
      <w:r w:rsidR="008A5C59">
        <w:t>odystrophy</w:t>
      </w:r>
      <w:proofErr w:type="spellEnd"/>
      <w:r w:rsidR="008A5C59">
        <w:t>’ &amp; ‘Overdose’ (RPV)</w:t>
      </w:r>
    </w:p>
    <w:p w:rsidR="004F2900" w:rsidRPr="008A5C59" w:rsidRDefault="004F2900" w:rsidP="008A5C59">
      <w:pPr>
        <w:pStyle w:val="ListBullet"/>
      </w:pPr>
      <w:r w:rsidRPr="008A5C59">
        <w:t>the important missing information: ‘Safety in patients with renal impairment (</w:t>
      </w:r>
      <w:proofErr w:type="spellStart"/>
      <w:r w:rsidRPr="008A5C59">
        <w:t>eGFR</w:t>
      </w:r>
      <w:proofErr w:type="spellEnd"/>
      <w:r w:rsidRPr="008A5C59">
        <w:t xml:space="preserve"> &lt;50 mL/min/1.73 m2 for RPV)’ &amp; ‘Drug-drug interact</w:t>
      </w:r>
      <w:r w:rsidR="008A5C59">
        <w:t>ions’ (RPV)</w:t>
      </w:r>
      <w:r w:rsidRPr="008A5C59">
        <w:t xml:space="preserve"> and</w:t>
      </w:r>
    </w:p>
    <w:p w:rsidR="004F2900" w:rsidRPr="008A5C59" w:rsidRDefault="004F2900" w:rsidP="008A5C59">
      <w:pPr>
        <w:pStyle w:val="ListBullet"/>
      </w:pPr>
      <w:proofErr w:type="gramStart"/>
      <w:r w:rsidRPr="008A5C59">
        <w:t>the</w:t>
      </w:r>
      <w:proofErr w:type="gramEnd"/>
      <w:r w:rsidRPr="008A5C59">
        <w:t xml:space="preserve"> re-classification of the important potential risk: ‘Development of drug resistance’ to an important identified risk (RPV).</w:t>
      </w:r>
    </w:p>
    <w:p w:rsidR="000D3364" w:rsidRPr="001626D5" w:rsidRDefault="004F2900" w:rsidP="008A5C59">
      <w:r w:rsidRPr="001626D5">
        <w:t>In principle</w:t>
      </w:r>
      <w:r w:rsidR="00D24463">
        <w:t>,</w:t>
      </w:r>
      <w:r w:rsidRPr="001626D5">
        <w:t xml:space="preserve"> there are no objections to these changes and additions to the summary of the </w:t>
      </w:r>
      <w:r w:rsidR="00D24463">
        <w:t>o</w:t>
      </w:r>
      <w:r w:rsidRPr="001626D5">
        <w:t xml:space="preserve">ngoing </w:t>
      </w:r>
      <w:r w:rsidR="00D24463">
        <w:t>s</w:t>
      </w:r>
      <w:r w:rsidRPr="001626D5">
        <w:t xml:space="preserve">afety </w:t>
      </w:r>
      <w:r w:rsidR="00D24463">
        <w:t>c</w:t>
      </w:r>
      <w:r w:rsidRPr="001626D5">
        <w:t>oncerns.</w:t>
      </w:r>
      <w:r w:rsidR="00121C3D">
        <w:t xml:space="preserve"> </w:t>
      </w:r>
      <w:r w:rsidRPr="001626D5">
        <w:t>However, the sponsor should provide a concise rationale for these changes and additions.</w:t>
      </w:r>
    </w:p>
    <w:p w:rsidR="000D3364" w:rsidRDefault="000D3364" w:rsidP="003B49DD">
      <w:pPr>
        <w:pStyle w:val="Heading6"/>
      </w:pPr>
      <w:r w:rsidRPr="005946FD">
        <w:t>Sponsor’s response</w:t>
      </w:r>
    </w:p>
    <w:p w:rsidR="000D3364" w:rsidRPr="004E0BCF" w:rsidRDefault="005B06C6" w:rsidP="008A5C59">
      <w:r w:rsidRPr="004E0BCF">
        <w:t>The sponsor has provided a concise rationale for the observed changes and additions to the ongoing safety concerns and Section 2.3.4.1 has been updated accordingly.</w:t>
      </w:r>
    </w:p>
    <w:p w:rsidR="000D3364" w:rsidRDefault="000D3364" w:rsidP="003B49DD">
      <w:pPr>
        <w:pStyle w:val="Heading6"/>
      </w:pPr>
      <w:r w:rsidRPr="005946FD">
        <w:t>OPR evaluator’s comment</w:t>
      </w:r>
    </w:p>
    <w:p w:rsidR="000D3364" w:rsidRPr="00245B8E" w:rsidRDefault="004E0BCF" w:rsidP="008A5C59">
      <w:r w:rsidRPr="00245B8E">
        <w:t>This is acceptable.</w:t>
      </w:r>
    </w:p>
    <w:p w:rsidR="000D3364" w:rsidRDefault="000D3364" w:rsidP="008A5C59">
      <w:pPr>
        <w:pStyle w:val="Heading5"/>
      </w:pPr>
      <w:r w:rsidRPr="00D81593">
        <w:t>Recomme</w:t>
      </w:r>
      <w:r>
        <w:t>ndation #4</w:t>
      </w:r>
    </w:p>
    <w:p w:rsidR="000D3364" w:rsidRPr="00574E5F" w:rsidRDefault="00245B8E" w:rsidP="008A5C59">
      <w:r w:rsidRPr="00574E5F">
        <w:t xml:space="preserve">The sponsor should provide copies of the targeted follow-up questionnaires for renal events, including renal </w:t>
      </w:r>
      <w:proofErr w:type="spellStart"/>
      <w:r w:rsidRPr="00574E5F">
        <w:t>tubulopathy</w:t>
      </w:r>
      <w:proofErr w:type="spellEnd"/>
      <w:r w:rsidRPr="00574E5F">
        <w:t>, and bone events (TDF) and development of resistance (RPV) and include these as an annex to the AU-RMP.</w:t>
      </w:r>
      <w:r w:rsidR="00121C3D">
        <w:t xml:space="preserve"> </w:t>
      </w:r>
      <w:r w:rsidRPr="00574E5F">
        <w:t>In addition</w:t>
      </w:r>
      <w:r w:rsidR="002C3BBC">
        <w:t>,</w:t>
      </w:r>
      <w:r w:rsidRPr="00574E5F">
        <w:t xml:space="preserve"> Table 6-1: ‘Summary Table of the AU Risk Management Plan for </w:t>
      </w:r>
      <w:proofErr w:type="spellStart"/>
      <w:r w:rsidRPr="00574E5F">
        <w:t>Eviplera</w:t>
      </w:r>
      <w:proofErr w:type="spellEnd"/>
      <w:r w:rsidRPr="00574E5F">
        <w:t>’ should be amended to reflect these activities.</w:t>
      </w:r>
    </w:p>
    <w:p w:rsidR="000D3364" w:rsidRDefault="000D3364" w:rsidP="003B49DD">
      <w:pPr>
        <w:pStyle w:val="Heading6"/>
      </w:pPr>
      <w:r w:rsidRPr="005946FD">
        <w:t>Sponsor’s response</w:t>
      </w:r>
    </w:p>
    <w:p w:rsidR="000D3364" w:rsidRPr="00D468F2" w:rsidRDefault="00574E5F" w:rsidP="008A5C59">
      <w:r w:rsidRPr="00D468F2">
        <w:t xml:space="preserve">The sponsor has provided copies of the targeted follow-up questionnaires for renal events, including renal </w:t>
      </w:r>
      <w:proofErr w:type="spellStart"/>
      <w:r w:rsidRPr="00D468F2">
        <w:t>tubulopathy</w:t>
      </w:r>
      <w:proofErr w:type="spellEnd"/>
      <w:r w:rsidRPr="00D468F2">
        <w:t xml:space="preserve">, and bone events (TDF) and development of resistance (RPV) in their correspondence dated 24 December 2013 and Table 6-1 has been amended to reflect the use of targeted follow-up questionnaires as part of routine </w:t>
      </w:r>
      <w:proofErr w:type="spellStart"/>
      <w:r w:rsidRPr="00D468F2">
        <w:t>pharmacovigilance</w:t>
      </w:r>
      <w:proofErr w:type="spellEnd"/>
      <w:r w:rsidRPr="00D468F2">
        <w:t>.</w:t>
      </w:r>
    </w:p>
    <w:p w:rsidR="000D3364" w:rsidRDefault="000D3364" w:rsidP="003B49DD">
      <w:pPr>
        <w:pStyle w:val="Heading6"/>
      </w:pPr>
      <w:r w:rsidRPr="005946FD">
        <w:t>OPR evaluator’s comment</w:t>
      </w:r>
    </w:p>
    <w:p w:rsidR="00D468F2" w:rsidRPr="00245B8E" w:rsidRDefault="00D468F2" w:rsidP="008A5C59">
      <w:r w:rsidRPr="00245B8E">
        <w:t>This is acceptable.</w:t>
      </w:r>
    </w:p>
    <w:p w:rsidR="000D3364" w:rsidRDefault="000D3364" w:rsidP="008A5C59">
      <w:pPr>
        <w:pStyle w:val="Heading5"/>
      </w:pPr>
      <w:r w:rsidRPr="00D81593">
        <w:t>Recomme</w:t>
      </w:r>
      <w:r>
        <w:t>ndation #5</w:t>
      </w:r>
    </w:p>
    <w:p w:rsidR="000D3364" w:rsidRPr="00D468F2" w:rsidRDefault="00D468F2" w:rsidP="008A5C59">
      <w:r w:rsidRPr="00D468F2">
        <w:t>The sponsor should provide the current version of the draft protocol for the planned clinical Study TMC278IFD3002 (SALIF) to the TGA for review.</w:t>
      </w:r>
    </w:p>
    <w:p w:rsidR="000D3364" w:rsidRDefault="000D3364" w:rsidP="003B49DD">
      <w:pPr>
        <w:pStyle w:val="Heading6"/>
      </w:pPr>
      <w:r w:rsidRPr="005946FD">
        <w:t>Sponsor’s response</w:t>
      </w:r>
    </w:p>
    <w:p w:rsidR="000D3364" w:rsidRPr="0018667E" w:rsidRDefault="002C3BBC" w:rsidP="008A5C59">
      <w:r>
        <w:t>The sponsor</w:t>
      </w:r>
      <w:r w:rsidR="00D468F2" w:rsidRPr="0018667E">
        <w:t xml:space="preserve"> notes this request and provides assurance that the final protocol for the Janssen sponsored TMC278IFD3002 (SALIF) study can be provided to the TGA for informational purposes only once it becomes available. As this is an EU study and will not b</w:t>
      </w:r>
      <w:r w:rsidR="00AE2A03">
        <w:t>e conducted in Australia, the sponsor</w:t>
      </w:r>
      <w:r w:rsidR="00D468F2" w:rsidRPr="0018667E">
        <w:t xml:space="preserve"> does not propose to provide the draft protocol to the TGA for review. This study has been classed by Janssen as </w:t>
      </w:r>
      <w:r w:rsidR="00AE2A03">
        <w:t xml:space="preserve">a </w:t>
      </w:r>
      <w:r w:rsidR="00D468F2" w:rsidRPr="0018667E">
        <w:t xml:space="preserve">Category 4 study. In accordance with </w:t>
      </w:r>
      <w:r w:rsidR="00AE2A03">
        <w:t>g</w:t>
      </w:r>
      <w:r w:rsidR="00AE2A03" w:rsidRPr="00AE2A03">
        <w:t>uideline</w:t>
      </w:r>
      <w:r w:rsidR="00AE2A03">
        <w:t>s</w:t>
      </w:r>
      <w:r w:rsidR="00AE2A03" w:rsidRPr="00AE2A03">
        <w:t xml:space="preserve"> on good </w:t>
      </w:r>
      <w:proofErr w:type="spellStart"/>
      <w:r w:rsidR="00AE2A03" w:rsidRPr="00AE2A03">
        <w:t>pharmacovigilance</w:t>
      </w:r>
      <w:proofErr w:type="spellEnd"/>
      <w:r w:rsidR="00AE2A03" w:rsidRPr="00AE2A03">
        <w:t xml:space="preserve"> practices</w:t>
      </w:r>
      <w:r w:rsidR="00AE2A03">
        <w:t>,</w:t>
      </w:r>
      <w:r w:rsidR="00D468F2" w:rsidRPr="0018667E">
        <w:t xml:space="preserve"> only Category 1-3 studies need to be appended to an RMP.</w:t>
      </w:r>
    </w:p>
    <w:p w:rsidR="000D3364" w:rsidRDefault="000D3364" w:rsidP="003B49DD">
      <w:pPr>
        <w:pStyle w:val="Heading6"/>
      </w:pPr>
      <w:r w:rsidRPr="005946FD">
        <w:t>OPR evaluator’s comment</w:t>
      </w:r>
    </w:p>
    <w:p w:rsidR="00D468F2" w:rsidRPr="00245B8E" w:rsidRDefault="00D468F2" w:rsidP="008A5C59">
      <w:r w:rsidRPr="00245B8E">
        <w:t>This is acceptable.</w:t>
      </w:r>
    </w:p>
    <w:p w:rsidR="000D3364" w:rsidRDefault="000D3364" w:rsidP="008A5C59">
      <w:pPr>
        <w:pStyle w:val="Heading5"/>
      </w:pPr>
      <w:r w:rsidRPr="00D81593">
        <w:lastRenderedPageBreak/>
        <w:t>Recomme</w:t>
      </w:r>
      <w:r>
        <w:t>ndation #6</w:t>
      </w:r>
    </w:p>
    <w:p w:rsidR="000D3364" w:rsidRPr="00A902BA" w:rsidRDefault="0018667E" w:rsidP="008A5C59">
      <w:r w:rsidRPr="00A902BA">
        <w:t xml:space="preserve">The ongoing and initiated studies are not considered to be part of the planned clinical studies </w:t>
      </w:r>
      <w:r w:rsidR="002C287D">
        <w:t xml:space="preserve">in the </w:t>
      </w:r>
      <w:proofErr w:type="spellStart"/>
      <w:r w:rsidR="002C287D">
        <w:t>pharmacovigilance</w:t>
      </w:r>
      <w:proofErr w:type="spellEnd"/>
      <w:r w:rsidR="002C287D">
        <w:t xml:space="preserve"> plan. </w:t>
      </w:r>
      <w:r w:rsidRPr="00A902BA">
        <w:t>Therefore</w:t>
      </w:r>
      <w:r w:rsidR="002C287D">
        <w:t>,</w:t>
      </w:r>
      <w:r w:rsidRPr="00A902BA">
        <w:t xml:space="preserve"> the related study protocols have not been reviewed or re</w:t>
      </w:r>
      <w:r w:rsidR="00A902BA">
        <w:t xml:space="preserve">quested for review if missing. </w:t>
      </w:r>
      <w:r w:rsidRPr="00A902BA">
        <w:t>Nevertheless</w:t>
      </w:r>
      <w:r w:rsidR="00A902BA">
        <w:t>,</w:t>
      </w:r>
      <w:r w:rsidRPr="00A902BA">
        <w:t xml:space="preserve"> these studies will either generate safety data that will simply support the known safety profile of the medicine or generate data that will provoke applications to amend the Australian registration details.</w:t>
      </w:r>
      <w:r w:rsidR="00121C3D">
        <w:t xml:space="preserve"> </w:t>
      </w:r>
      <w:r w:rsidRPr="00A902BA">
        <w:t>It is noted that some of the planned dates for submission of final data have already passed.</w:t>
      </w:r>
      <w:r w:rsidR="00121C3D">
        <w:t xml:space="preserve"> </w:t>
      </w:r>
      <w:r w:rsidRPr="00A902BA">
        <w:t>Therefore</w:t>
      </w:r>
      <w:r w:rsidR="00C10DFB">
        <w:t>,</w:t>
      </w:r>
      <w:r w:rsidRPr="00A902BA">
        <w:t xml:space="preserve"> the sponsor should update this information accordingly.</w:t>
      </w:r>
    </w:p>
    <w:p w:rsidR="000D3364" w:rsidRDefault="000D3364" w:rsidP="00BA539C">
      <w:pPr>
        <w:pStyle w:val="Heading6"/>
      </w:pPr>
      <w:r w:rsidRPr="005946FD">
        <w:t>Sponsor’s response</w:t>
      </w:r>
    </w:p>
    <w:p w:rsidR="000D3364" w:rsidRPr="008C0CE1" w:rsidRDefault="00A44771" w:rsidP="008A5C59">
      <w:r w:rsidRPr="008C0CE1">
        <w:t xml:space="preserve">The planned dates for submission of final data found in Section 3.5: ‘Overview of Study Protocols for the </w:t>
      </w:r>
      <w:proofErr w:type="spellStart"/>
      <w:r w:rsidRPr="008C0CE1">
        <w:t>Pharmacovigilance</w:t>
      </w:r>
      <w:proofErr w:type="spellEnd"/>
      <w:r w:rsidRPr="008C0CE1">
        <w:t xml:space="preserve"> Plan’ </w:t>
      </w:r>
      <w:proofErr w:type="gramStart"/>
      <w:r w:rsidRPr="008C0CE1">
        <w:t>have</w:t>
      </w:r>
      <w:proofErr w:type="gramEnd"/>
      <w:r w:rsidRPr="008C0CE1">
        <w:t xml:space="preserve"> been updated.</w:t>
      </w:r>
      <w:r w:rsidR="00121C3D">
        <w:t xml:space="preserve"> </w:t>
      </w:r>
      <w:r w:rsidRPr="008C0CE1">
        <w:t>The sponsor has also provided an assurance that data from these studies will be included in the next routine submission of the AU-RMP.</w:t>
      </w:r>
    </w:p>
    <w:p w:rsidR="000D3364" w:rsidRDefault="000D3364" w:rsidP="00BA539C">
      <w:pPr>
        <w:pStyle w:val="Heading6"/>
      </w:pPr>
      <w:r w:rsidRPr="005946FD">
        <w:t>OPR evaluator’s comment</w:t>
      </w:r>
    </w:p>
    <w:p w:rsidR="00D468F2" w:rsidRPr="00245B8E" w:rsidRDefault="00D468F2" w:rsidP="008A5C59">
      <w:r w:rsidRPr="00245B8E">
        <w:t>This is acceptable.</w:t>
      </w:r>
    </w:p>
    <w:p w:rsidR="000D3364" w:rsidRDefault="000D3364" w:rsidP="008A5C59">
      <w:pPr>
        <w:pStyle w:val="Heading5"/>
      </w:pPr>
      <w:r w:rsidRPr="00D81593">
        <w:t>Recomme</w:t>
      </w:r>
      <w:r>
        <w:t>ndation #7</w:t>
      </w:r>
    </w:p>
    <w:p w:rsidR="000D3364" w:rsidRPr="008C0CE1" w:rsidRDefault="008C0CE1" w:rsidP="008A5C59">
      <w:r w:rsidRPr="008C0CE1">
        <w:t xml:space="preserve">The submitted protocol synopsis for planned </w:t>
      </w:r>
      <w:proofErr w:type="spellStart"/>
      <w:r w:rsidRPr="008C0CE1">
        <w:t>pharmacoepidemiology</w:t>
      </w:r>
      <w:proofErr w:type="spellEnd"/>
      <w:r w:rsidRPr="008C0CE1">
        <w:t xml:space="preserve"> study to define the long</w:t>
      </w:r>
      <w:r w:rsidR="00C10DFB">
        <w:t xml:space="preserve"> </w:t>
      </w:r>
      <w:r w:rsidRPr="008C0CE1">
        <w:t xml:space="preserve">term safety profile of </w:t>
      </w:r>
      <w:r w:rsidR="00C10DFB">
        <w:t>TDF</w:t>
      </w:r>
      <w:r w:rsidRPr="008C0CE1">
        <w:t xml:space="preserve"> and explore the management of TDF associated renal and bone toxicity in HIV</w:t>
      </w:r>
      <w:r w:rsidR="00C10DFB">
        <w:t xml:space="preserve"> </w:t>
      </w:r>
      <w:r w:rsidRPr="008C0CE1">
        <w:t>infected children aged</w:t>
      </w:r>
      <w:r w:rsidR="00C10DFB">
        <w:t xml:space="preserve"> 2 to &lt; 18 years in Europe </w:t>
      </w:r>
      <w:r w:rsidRPr="008C0CE1">
        <w:t>lend</w:t>
      </w:r>
      <w:r w:rsidR="00C10DFB">
        <w:t>s</w:t>
      </w:r>
      <w:r w:rsidRPr="008C0CE1">
        <w:t xml:space="preserve"> itself to</w:t>
      </w:r>
      <w:r w:rsidR="00C10DFB">
        <w:t xml:space="preserve"> detailed assessment. </w:t>
      </w:r>
      <w:r w:rsidRPr="008C0CE1">
        <w:t>Consequently</w:t>
      </w:r>
      <w:r w:rsidR="00C10DFB">
        <w:t>,</w:t>
      </w:r>
      <w:r w:rsidRPr="008C0CE1">
        <w:t xml:space="preserve"> the sponsor should provide an assurance that it will submit the draft protocol for the proposed </w:t>
      </w:r>
      <w:r w:rsidR="00B64D71" w:rsidRPr="00B64D71">
        <w:t>post</w:t>
      </w:r>
      <w:r w:rsidR="00B64D71">
        <w:t xml:space="preserve"> </w:t>
      </w:r>
      <w:r w:rsidR="00B64D71" w:rsidRPr="00B64D71">
        <w:t>authorisation safety study</w:t>
      </w:r>
      <w:r w:rsidR="00B64D71">
        <w:t xml:space="preserve"> (PASS)</w:t>
      </w:r>
      <w:r w:rsidRPr="008C0CE1">
        <w:t xml:space="preserve"> to the TGA for review once it becomes available.</w:t>
      </w:r>
    </w:p>
    <w:p w:rsidR="000D3364" w:rsidRDefault="000D3364" w:rsidP="00BA539C">
      <w:pPr>
        <w:pStyle w:val="Heading6"/>
      </w:pPr>
      <w:r w:rsidRPr="005946FD">
        <w:t>Sponsor’s response</w:t>
      </w:r>
    </w:p>
    <w:p w:rsidR="000D3364" w:rsidRPr="008C0CE1" w:rsidRDefault="008C0CE1" w:rsidP="008A5C59">
      <w:r w:rsidRPr="008C0CE1">
        <w:t xml:space="preserve">Gilead notes this request and provides assurance that the final protocol for the proposed PASS can be provided to the TGA once it becomes available. As this is an EU study and will not be conducted in Australia, </w:t>
      </w:r>
      <w:r w:rsidR="00FB0AD7">
        <w:t>the sponsor</w:t>
      </w:r>
      <w:r w:rsidRPr="008C0CE1">
        <w:t xml:space="preserve"> does not propose to provide the draft protocol to the TGA for review. The final protocol can be provided to the TGA for informational purposes only.</w:t>
      </w:r>
    </w:p>
    <w:p w:rsidR="000D3364" w:rsidRDefault="000D3364" w:rsidP="00BA539C">
      <w:pPr>
        <w:pStyle w:val="Heading6"/>
      </w:pPr>
      <w:r w:rsidRPr="005946FD">
        <w:t>OPR evaluator’s comment</w:t>
      </w:r>
    </w:p>
    <w:p w:rsidR="000D3364" w:rsidRPr="009E5A0F" w:rsidRDefault="008C0CE1" w:rsidP="008A5C59">
      <w:r w:rsidRPr="009E5A0F">
        <w:t>The provision of the draft protocol to the TGA for review will not be pursued and the sponsor’s assurance that the final protocol for the proposed PASS will be provided to the TGA once it becomes available is acceptable.</w:t>
      </w:r>
    </w:p>
    <w:p w:rsidR="000D3364" w:rsidRDefault="000D3364" w:rsidP="008A5C59">
      <w:pPr>
        <w:pStyle w:val="Heading5"/>
      </w:pPr>
      <w:r w:rsidRPr="00D81593">
        <w:t>Recomme</w:t>
      </w:r>
      <w:r>
        <w:t>ndation #8</w:t>
      </w:r>
    </w:p>
    <w:p w:rsidR="000155D3" w:rsidRDefault="009E5A0F" w:rsidP="008A5C59">
      <w:r w:rsidRPr="00C31174">
        <w:t xml:space="preserve">The sponsor’s conclusion that no additional risk minimisation activities are required for any of the specified ongoing safety concerns is contrary to what was previously accepted for </w:t>
      </w:r>
      <w:proofErr w:type="spellStart"/>
      <w:r w:rsidRPr="00C31174">
        <w:t>E</w:t>
      </w:r>
      <w:r w:rsidR="00964F38">
        <w:t>viplera</w:t>
      </w:r>
      <w:proofErr w:type="spellEnd"/>
      <w:r w:rsidRPr="00C31174">
        <w:t xml:space="preserve"> with no justification provided to support this change.</w:t>
      </w:r>
      <w:r w:rsidR="00121C3D">
        <w:t xml:space="preserve"> </w:t>
      </w:r>
      <w:r w:rsidRPr="00C31174">
        <w:t>In addition</w:t>
      </w:r>
      <w:r w:rsidR="000155D3">
        <w:t>,</w:t>
      </w:r>
      <w:r w:rsidRPr="00C31174">
        <w:t xml:space="preserve"> Table 4-4: ‘Summary Table of Planned Actions for All Safety Concerns (</w:t>
      </w:r>
      <w:proofErr w:type="spellStart"/>
      <w:r w:rsidRPr="00C31174">
        <w:t>Tenofovir</w:t>
      </w:r>
      <w:proofErr w:type="spellEnd"/>
      <w:r w:rsidRPr="00C31174">
        <w:t xml:space="preserve"> DF)’ have been amended to reflect this new position, although Section 5.4: ‘Risk Minimization Plan – </w:t>
      </w:r>
      <w:proofErr w:type="spellStart"/>
      <w:r w:rsidRPr="00C31174">
        <w:t>Tenofo</w:t>
      </w:r>
      <w:r w:rsidR="000155D3">
        <w:t>vir</w:t>
      </w:r>
      <w:proofErr w:type="spellEnd"/>
      <w:r w:rsidR="000155D3">
        <w:t xml:space="preserve"> DF’ of the AU-RMP states</w:t>
      </w:r>
      <w:r w:rsidR="00327925">
        <w:t>:</w:t>
      </w:r>
    </w:p>
    <w:p w:rsidR="000155D3" w:rsidRPr="000155D3" w:rsidRDefault="009E5A0F" w:rsidP="000155D3">
      <w:pPr>
        <w:ind w:left="720"/>
        <w:rPr>
          <w:i/>
        </w:rPr>
      </w:pPr>
      <w:r w:rsidRPr="000155D3">
        <w:rPr>
          <w:i/>
        </w:rPr>
        <w:t>Gilead is committed to conducting educational programs for he</w:t>
      </w:r>
      <w:r w:rsidR="000155D3" w:rsidRPr="000155D3">
        <w:rPr>
          <w:i/>
        </w:rPr>
        <w:t>althcare providers in Australia</w:t>
      </w:r>
    </w:p>
    <w:p w:rsidR="000D3364" w:rsidRPr="00C31174" w:rsidRDefault="008A5C59" w:rsidP="008A5C59">
      <w:r w:rsidRPr="00C31174">
        <w:t>In</w:t>
      </w:r>
      <w:r w:rsidR="009E5A0F" w:rsidRPr="00C31174">
        <w:t xml:space="preserve"> regard to the important identified risk: ‘Renal toxicity’ for the TDF component and 6-1: ‘Summary Table of the AU Risk Management Plan for </w:t>
      </w:r>
      <w:proofErr w:type="spellStart"/>
      <w:r w:rsidR="009E5A0F" w:rsidRPr="00C31174">
        <w:t>Eviplera</w:t>
      </w:r>
      <w:proofErr w:type="spellEnd"/>
      <w:r w:rsidR="009E5A0F" w:rsidRPr="00C31174">
        <w:t xml:space="preserve">’ still refers to additional risk minimisation activities albeit in relation to the important identified risk: ‘Bone events due to proximal renal </w:t>
      </w:r>
      <w:proofErr w:type="spellStart"/>
      <w:r w:rsidR="009E5A0F" w:rsidRPr="00C31174">
        <w:t>tubulopathy</w:t>
      </w:r>
      <w:proofErr w:type="spellEnd"/>
      <w:r w:rsidR="009E5A0F" w:rsidRPr="00C31174">
        <w:t>/loss of bone mineral density’ for the TDF component.</w:t>
      </w:r>
      <w:r w:rsidR="00121C3D">
        <w:t xml:space="preserve"> </w:t>
      </w:r>
      <w:r w:rsidR="009E5A0F" w:rsidRPr="00C31174">
        <w:t>Consequently</w:t>
      </w:r>
      <w:r w:rsidR="002458D7">
        <w:t>,</w:t>
      </w:r>
      <w:r w:rsidR="009E5A0F" w:rsidRPr="00C31174">
        <w:t xml:space="preserve"> the updated AU-RMP is considered to be confused and internally inconsistent in relation to this matter.</w:t>
      </w:r>
      <w:r w:rsidR="00121C3D">
        <w:t xml:space="preserve"> </w:t>
      </w:r>
      <w:r w:rsidR="009E5A0F" w:rsidRPr="00C31174">
        <w:t xml:space="preserve">The sponsor should provide compelling justification </w:t>
      </w:r>
      <w:r w:rsidR="009E5A0F" w:rsidRPr="00C31174">
        <w:lastRenderedPageBreak/>
        <w:t>for removing the previously accepted additional risk minimisation activities in regard to the important identified risk: ‘Renal toxicity’ for the TDF component or reinstate such activities in a revised AU-RMP.</w:t>
      </w:r>
      <w:r w:rsidR="00121C3D">
        <w:t xml:space="preserve"> </w:t>
      </w:r>
      <w:r w:rsidR="009E5A0F" w:rsidRPr="00C31174">
        <w:t>In either case</w:t>
      </w:r>
      <w:r w:rsidR="002458D7">
        <w:t>,</w:t>
      </w:r>
      <w:r w:rsidR="009E5A0F" w:rsidRPr="00C31174">
        <w:t xml:space="preserve"> the AU-RMP must be amended to be internally consistent.</w:t>
      </w:r>
    </w:p>
    <w:p w:rsidR="000D3364" w:rsidRDefault="000D3364" w:rsidP="00BA539C">
      <w:pPr>
        <w:pStyle w:val="Heading6"/>
      </w:pPr>
      <w:r w:rsidRPr="005946FD">
        <w:t>Sponsor’s response</w:t>
      </w:r>
    </w:p>
    <w:p w:rsidR="000D3364" w:rsidRPr="00C31174" w:rsidRDefault="00C31174" w:rsidP="008A5C59">
      <w:r w:rsidRPr="00C31174">
        <w:t>Table 4-4: ‘Summary Table of Planned Actions for All Safety Concerns (</w:t>
      </w:r>
      <w:proofErr w:type="spellStart"/>
      <w:r w:rsidRPr="00C31174">
        <w:t>Tenofovir</w:t>
      </w:r>
      <w:proofErr w:type="spellEnd"/>
      <w:r w:rsidRPr="00C31174">
        <w:t xml:space="preserve"> DF)’ has been amended in accordance with the previously accepted additional risk minimisation activities for renal toxicity and is now consistent with Section 5.4: ‘Risk Minimi</w:t>
      </w:r>
      <w:r w:rsidR="002458D7">
        <w:t>s</w:t>
      </w:r>
      <w:r w:rsidRPr="00C31174">
        <w:t xml:space="preserve">ation Plan – </w:t>
      </w:r>
      <w:proofErr w:type="spellStart"/>
      <w:r w:rsidRPr="00C31174">
        <w:t>Tenofovir</w:t>
      </w:r>
      <w:proofErr w:type="spellEnd"/>
      <w:r w:rsidRPr="00C31174">
        <w:t xml:space="preserve"> DF’.</w:t>
      </w:r>
    </w:p>
    <w:p w:rsidR="000D3364" w:rsidRDefault="000D3364" w:rsidP="00BA539C">
      <w:pPr>
        <w:pStyle w:val="Heading6"/>
      </w:pPr>
      <w:r w:rsidRPr="005946FD">
        <w:t>OPR evaluator’s comment</w:t>
      </w:r>
    </w:p>
    <w:p w:rsidR="002458D7" w:rsidRDefault="00C31174" w:rsidP="008A5C59">
      <w:r w:rsidRPr="00242F81">
        <w:t>This is acceptable.</w:t>
      </w:r>
      <w:r w:rsidR="00964F38">
        <w:t xml:space="preserve"> </w:t>
      </w:r>
      <w:r w:rsidRPr="00242F81">
        <w:t>However, the Executive Summary of the revised AU-RMP continues to state</w:t>
      </w:r>
      <w:r w:rsidR="002458D7">
        <w:t>:</w:t>
      </w:r>
    </w:p>
    <w:p w:rsidR="002458D7" w:rsidRPr="008A5C59" w:rsidRDefault="00C31174" w:rsidP="008A5C59">
      <w:pPr>
        <w:ind w:left="720"/>
        <w:rPr>
          <w:i/>
        </w:rPr>
      </w:pPr>
      <w:r w:rsidRPr="008A5C59">
        <w:rPr>
          <w:i/>
        </w:rPr>
        <w:t>No risk minimi</w:t>
      </w:r>
      <w:r w:rsidR="00496869" w:rsidRPr="008A5C59">
        <w:rPr>
          <w:i/>
        </w:rPr>
        <w:t>s</w:t>
      </w:r>
      <w:r w:rsidRPr="008A5C59">
        <w:rPr>
          <w:i/>
        </w:rPr>
        <w:t>ation measures additional to the provision of comprehensive safety information in the product labe</w:t>
      </w:r>
      <w:r w:rsidR="00242F81" w:rsidRPr="008A5C59">
        <w:rPr>
          <w:i/>
        </w:rPr>
        <w:t>l</w:t>
      </w:r>
      <w:r w:rsidRPr="008A5C59">
        <w:rPr>
          <w:i/>
        </w:rPr>
        <w:t>ling are considere</w:t>
      </w:r>
      <w:r w:rsidR="002458D7" w:rsidRPr="008A5C59">
        <w:rPr>
          <w:i/>
        </w:rPr>
        <w:t xml:space="preserve">d to be warranted for </w:t>
      </w:r>
      <w:proofErr w:type="spellStart"/>
      <w:r w:rsidR="002458D7" w:rsidRPr="008A5C59">
        <w:rPr>
          <w:i/>
        </w:rPr>
        <w:t>Eviplera</w:t>
      </w:r>
      <w:proofErr w:type="spellEnd"/>
      <w:r w:rsidR="002458D7" w:rsidRPr="008A5C59">
        <w:rPr>
          <w:i/>
        </w:rPr>
        <w:t>.</w:t>
      </w:r>
    </w:p>
    <w:p w:rsidR="000D3364" w:rsidRPr="00242F81" w:rsidRDefault="00C31174" w:rsidP="008A5C59">
      <w:r w:rsidRPr="00242F81">
        <w:t>Consequently</w:t>
      </w:r>
      <w:r w:rsidR="009F5A2A">
        <w:t>,</w:t>
      </w:r>
      <w:r w:rsidRPr="00242F81">
        <w:t xml:space="preserve"> this remains an outstanding issue.</w:t>
      </w:r>
    </w:p>
    <w:p w:rsidR="009E5A0F" w:rsidRDefault="009E5A0F" w:rsidP="008A5C59">
      <w:pPr>
        <w:pStyle w:val="Heading5"/>
      </w:pPr>
      <w:r w:rsidRPr="00D81593">
        <w:t>Recomme</w:t>
      </w:r>
      <w:r>
        <w:t>ndation #9</w:t>
      </w:r>
    </w:p>
    <w:p w:rsidR="009E5A0F" w:rsidRPr="00176A7E" w:rsidRDefault="009F5A2A" w:rsidP="008A5C59">
      <w:r w:rsidRPr="00176A7E">
        <w:t>The provision of the results of the assessment of the effectiveness of the educational programmes related to the important identified risk: ‘Renal toxicity’ and the continued commitment to evaluate further scheduled educational meetings are acceptable.</w:t>
      </w:r>
      <w:r w:rsidR="00121C3D">
        <w:t xml:space="preserve"> </w:t>
      </w:r>
      <w:r w:rsidRPr="00176A7E">
        <w:t xml:space="preserve">The major concern in regard to the proposed changes to the </w:t>
      </w:r>
      <w:r w:rsidR="00913685">
        <w:t xml:space="preserve">RMP </w:t>
      </w:r>
      <w:r w:rsidRPr="00176A7E">
        <w:t xml:space="preserve">previously accepted for </w:t>
      </w:r>
      <w:proofErr w:type="spellStart"/>
      <w:r w:rsidRPr="00176A7E">
        <w:t>E</w:t>
      </w:r>
      <w:r w:rsidR="00C43006">
        <w:t>viplera</w:t>
      </w:r>
      <w:proofErr w:type="spellEnd"/>
      <w:r w:rsidRPr="00176A7E">
        <w:t xml:space="preserve"> has been previously covered.</w:t>
      </w:r>
    </w:p>
    <w:p w:rsidR="009E5A0F" w:rsidRDefault="009E5A0F" w:rsidP="00BA539C">
      <w:pPr>
        <w:pStyle w:val="Heading6"/>
      </w:pPr>
      <w:r w:rsidRPr="005946FD">
        <w:t>Sponsor’s response</w:t>
      </w:r>
    </w:p>
    <w:p w:rsidR="009E5A0F" w:rsidRPr="003C44C1" w:rsidRDefault="00176A7E" w:rsidP="008A5C59">
      <w:r w:rsidRPr="003C44C1">
        <w:t>The sponsor has provided no response.</w:t>
      </w:r>
    </w:p>
    <w:p w:rsidR="009E5A0F" w:rsidRDefault="009E5A0F" w:rsidP="00BA539C">
      <w:pPr>
        <w:pStyle w:val="Heading6"/>
      </w:pPr>
      <w:r w:rsidRPr="005946FD">
        <w:t>OPR evaluator’s comment</w:t>
      </w:r>
    </w:p>
    <w:p w:rsidR="009E5A0F" w:rsidRPr="00E607A3" w:rsidRDefault="00FC2C5F" w:rsidP="008A5C59">
      <w:r>
        <w:t>Not applicable.</w:t>
      </w:r>
    </w:p>
    <w:p w:rsidR="008E7846" w:rsidRPr="00792A32" w:rsidRDefault="008E7846" w:rsidP="008A5C59">
      <w:pPr>
        <w:pStyle w:val="Heading2"/>
      </w:pPr>
      <w:bookmarkStart w:id="84" w:name="_Toc396298060"/>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2"/>
      <w:bookmarkEnd w:id="82"/>
      <w:bookmarkEnd w:id="83"/>
      <w:bookmarkEnd w:id="84"/>
    </w:p>
    <w:p w:rsidR="008E7846" w:rsidRDefault="008E7846" w:rsidP="008A5C59">
      <w:bookmarkStart w:id="85"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A5C59">
      <w:pPr>
        <w:pStyle w:val="Heading3"/>
      </w:pPr>
      <w:bookmarkStart w:id="86" w:name="_Toc314842511"/>
      <w:bookmarkStart w:id="87" w:name="_Toc396298061"/>
      <w:r>
        <w:t>Quality</w:t>
      </w:r>
      <w:bookmarkEnd w:id="85"/>
      <w:bookmarkEnd w:id="86"/>
      <w:bookmarkEnd w:id="87"/>
    </w:p>
    <w:p w:rsidR="00E45619" w:rsidRDefault="008E7846" w:rsidP="008A5C59">
      <w:r>
        <w:t>There was no requirement for a quality evaluation in a submission of this type.</w:t>
      </w:r>
    </w:p>
    <w:p w:rsidR="008E7846" w:rsidRDefault="008E7846" w:rsidP="008A5C59">
      <w:pPr>
        <w:pStyle w:val="Heading3"/>
      </w:pPr>
      <w:bookmarkStart w:id="88" w:name="_Toc314842512"/>
      <w:bookmarkStart w:id="89" w:name="_Toc396298062"/>
      <w:r>
        <w:t>Nonclinical</w:t>
      </w:r>
      <w:bookmarkEnd w:id="88"/>
      <w:bookmarkEnd w:id="89"/>
    </w:p>
    <w:p w:rsidR="008E7846" w:rsidRDefault="008E7846" w:rsidP="008A5C59">
      <w:r>
        <w:t>There was no requirement for a nonclinical evaluation in a submission of this type.</w:t>
      </w:r>
    </w:p>
    <w:p w:rsidR="008E7846" w:rsidRDefault="008E7846" w:rsidP="008A5C59">
      <w:pPr>
        <w:pStyle w:val="Heading3"/>
      </w:pPr>
      <w:bookmarkStart w:id="90" w:name="_Toc247691530"/>
      <w:bookmarkStart w:id="91" w:name="_Toc314842513"/>
      <w:bookmarkStart w:id="92" w:name="_Toc396298063"/>
      <w:r>
        <w:t>Clinical</w:t>
      </w:r>
      <w:bookmarkEnd w:id="90"/>
      <w:bookmarkEnd w:id="91"/>
      <w:bookmarkEnd w:id="92"/>
    </w:p>
    <w:p w:rsidR="00D51D56" w:rsidRPr="00D51D56" w:rsidRDefault="00D51D56" w:rsidP="008A5C59">
      <w:pPr>
        <w:pStyle w:val="Heading4"/>
      </w:pPr>
      <w:bookmarkStart w:id="93" w:name="_Toc314842514"/>
      <w:r w:rsidRPr="00D51D56">
        <w:t>Pharmacology</w:t>
      </w:r>
    </w:p>
    <w:p w:rsidR="00D51D56" w:rsidRPr="00D51D56" w:rsidRDefault="00100497" w:rsidP="008A5C59">
      <w:r>
        <w:t xml:space="preserve">Pharmacokinetic study GS-US-264-0112 </w:t>
      </w:r>
      <w:r w:rsidR="00D51D56" w:rsidRPr="00D51D56">
        <w:t xml:space="preserve">is </w:t>
      </w:r>
      <w:r>
        <w:t>a Phase I</w:t>
      </w:r>
      <w:r w:rsidR="00D51D56" w:rsidRPr="00D51D56">
        <w:t xml:space="preserve"> study to determ</w:t>
      </w:r>
      <w:r w:rsidR="000107B6">
        <w:t>ine the effect of food on the pharmacokinetics</w:t>
      </w:r>
      <w:r w:rsidR="00D51D56" w:rsidRPr="00D51D56">
        <w:t xml:space="preserve"> of </w:t>
      </w:r>
      <w:proofErr w:type="spellStart"/>
      <w:r w:rsidR="00D51D56" w:rsidRPr="00D51D56">
        <w:t>Eviplera</w:t>
      </w:r>
      <w:proofErr w:type="spellEnd"/>
      <w:r w:rsidR="00D51D56" w:rsidRPr="00D51D56">
        <w:t xml:space="preserve"> in healthy adults. Administration of </w:t>
      </w:r>
      <w:proofErr w:type="spellStart"/>
      <w:r w:rsidR="00D51D56" w:rsidRPr="00D51D56">
        <w:t>Eviplera</w:t>
      </w:r>
      <w:proofErr w:type="spellEnd"/>
      <w:r w:rsidR="00D51D56" w:rsidRPr="00D51D56">
        <w:t xml:space="preserve"> with light meal or standard meal resulted in a modest increase in RPV and </w:t>
      </w:r>
      <w:proofErr w:type="spellStart"/>
      <w:r w:rsidR="00D51D56" w:rsidRPr="00D51D56">
        <w:t>tenofovir</w:t>
      </w:r>
      <w:proofErr w:type="spellEnd"/>
      <w:r w:rsidR="00D51D56" w:rsidRPr="00D51D56">
        <w:t xml:space="preserve"> ex</w:t>
      </w:r>
      <w:r w:rsidR="006507DF">
        <w:t>posures versus</w:t>
      </w:r>
      <w:r w:rsidR="00D51D56" w:rsidRPr="00D51D56">
        <w:t xml:space="preserve"> fasting conditions; RPV and </w:t>
      </w:r>
      <w:proofErr w:type="spellStart"/>
      <w:r w:rsidR="00D51D56" w:rsidRPr="00D51D56">
        <w:t>tenofovir</w:t>
      </w:r>
      <w:proofErr w:type="spellEnd"/>
      <w:r w:rsidR="00D51D56" w:rsidRPr="00D51D56">
        <w:t xml:space="preserve"> exposures were </w:t>
      </w:r>
      <w:r w:rsidR="006507DF">
        <w:t xml:space="preserve">similar with a light meal </w:t>
      </w:r>
      <w:r w:rsidR="006507DF">
        <w:lastRenderedPageBreak/>
        <w:t>versus</w:t>
      </w:r>
      <w:r w:rsidR="00D51D56" w:rsidRPr="00D51D56">
        <w:t xml:space="preserve"> standard meal. FTC exposures were similar regardless of fed or fasted conditions. The </w:t>
      </w:r>
      <w:r w:rsidR="006507DF">
        <w:t>clinical evaluation report</w:t>
      </w:r>
      <w:r w:rsidR="00D51D56" w:rsidRPr="00D51D56">
        <w:t xml:space="preserve"> concludes these results confirm the recommendation that </w:t>
      </w:r>
      <w:proofErr w:type="spellStart"/>
      <w:r w:rsidR="00D51D56" w:rsidRPr="00D51D56">
        <w:t>Eviplera</w:t>
      </w:r>
      <w:proofErr w:type="spellEnd"/>
      <w:r w:rsidR="00D51D56" w:rsidRPr="00D51D56">
        <w:t xml:space="preserve"> single tablet regimen be administered with food.</w:t>
      </w:r>
    </w:p>
    <w:p w:rsidR="00D51D56" w:rsidRPr="00D51D56" w:rsidRDefault="00915858" w:rsidP="008A5C59">
      <w:r>
        <w:t>Study GS-US-264-0111 was a pharmacokinetic</w:t>
      </w:r>
      <w:r w:rsidR="00D51D56" w:rsidRPr="00D51D56">
        <w:t xml:space="preserve"> analysis in the target population switching from an EFV based regimen to a RPV based regimen</w:t>
      </w:r>
      <w:r w:rsidR="00F06121">
        <w:t xml:space="preserve"> in a Phase </w:t>
      </w:r>
      <w:proofErr w:type="spellStart"/>
      <w:r w:rsidR="00F06121">
        <w:t>IIb</w:t>
      </w:r>
      <w:proofErr w:type="spellEnd"/>
      <w:r w:rsidR="00F06121">
        <w:t xml:space="preserve"> open label </w:t>
      </w:r>
      <w:r w:rsidR="00D51D56" w:rsidRPr="00D51D56">
        <w:t xml:space="preserve">single arm pilot study. The results show plasma EFV concentrations remained measurable in the majority of subjects through to </w:t>
      </w:r>
      <w:r w:rsidR="007A7D6D">
        <w:t>W</w:t>
      </w:r>
      <w:r w:rsidR="00D51D56" w:rsidRPr="00D51D56">
        <w:t xml:space="preserve">eek 4 after discontinuation of </w:t>
      </w:r>
      <w:proofErr w:type="spellStart"/>
      <w:r w:rsidR="00D51D56" w:rsidRPr="00D51D56">
        <w:t>Atripla</w:t>
      </w:r>
      <w:proofErr w:type="spellEnd"/>
      <w:r w:rsidR="00D51D56" w:rsidRPr="00D51D56">
        <w:t>. EFV, through ongoing induction of CYP3A4, modestly reduced RPV levels. However, R</w:t>
      </w:r>
      <w:r w:rsidR="007A7D6D">
        <w:t>PV levels are therapeutic ≥2 weeks</w:t>
      </w:r>
      <w:r w:rsidR="00D51D56" w:rsidRPr="00D51D56">
        <w:t xml:space="preserve"> after switching and this coupled with continuing therapeutic levels of EFV up to and extending beyond this cross over point means plasma HIV RNA remains fully suppressed.</w:t>
      </w:r>
    </w:p>
    <w:p w:rsidR="00D51D56" w:rsidRPr="00D51D56" w:rsidRDefault="00D51D56" w:rsidP="008A5C59">
      <w:pPr>
        <w:pStyle w:val="Heading4"/>
      </w:pPr>
      <w:r w:rsidRPr="00D51D56">
        <w:t>Efficacy</w:t>
      </w:r>
    </w:p>
    <w:p w:rsidR="00D51D56" w:rsidRPr="00D51D56" w:rsidRDefault="00D51D56" w:rsidP="008A5C59">
      <w:r w:rsidRPr="00D51D56">
        <w:t>The clinical efficacy studies presented in this application consisted of 2 switch studies in ARV treatment</w:t>
      </w:r>
      <w:r w:rsidR="00527EE2">
        <w:t xml:space="preserve"> </w:t>
      </w:r>
      <w:r w:rsidRPr="00D51D56">
        <w:t xml:space="preserve">experienced adults with virologically </w:t>
      </w:r>
      <w:r w:rsidR="00527EE2">
        <w:t>suppressed (VL &lt;50 copies</w:t>
      </w:r>
      <w:r w:rsidR="003F7131">
        <w:t>/mL) HIV-1, that is,</w:t>
      </w:r>
      <w:r w:rsidRPr="00D51D56">
        <w:t xml:space="preserve"> GS-US-264-0111 (switch from </w:t>
      </w:r>
      <w:proofErr w:type="spellStart"/>
      <w:r w:rsidRPr="00D51D56">
        <w:t>Atripla</w:t>
      </w:r>
      <w:proofErr w:type="spellEnd"/>
      <w:r w:rsidRPr="00D51D56">
        <w:t>); GS-US-264-0106 (switch from PI/r</w:t>
      </w:r>
      <w:r w:rsidR="00F001DA">
        <w:t xml:space="preserve"> </w:t>
      </w:r>
      <w:r w:rsidRPr="00D51D56">
        <w:t>+</w:t>
      </w:r>
      <w:r w:rsidR="00F001DA">
        <w:t xml:space="preserve"> </w:t>
      </w:r>
      <w:r w:rsidR="00527EE2">
        <w:t xml:space="preserve">2 NRTI); </w:t>
      </w:r>
      <w:r w:rsidRPr="00D51D56">
        <w:t>and a head-to-hea</w:t>
      </w:r>
      <w:r w:rsidR="00527EE2">
        <w:t>d Phase III</w:t>
      </w:r>
      <w:r w:rsidR="00F001DA">
        <w:t xml:space="preserve"> study of </w:t>
      </w:r>
      <w:proofErr w:type="spellStart"/>
      <w:r w:rsidR="00F001DA">
        <w:t>Eviplera</w:t>
      </w:r>
      <w:proofErr w:type="spellEnd"/>
      <w:r w:rsidR="00F001DA">
        <w:t xml:space="preserve"> versus</w:t>
      </w:r>
      <w:r w:rsidRPr="00D51D56">
        <w:t xml:space="preserve"> </w:t>
      </w:r>
      <w:proofErr w:type="spellStart"/>
      <w:r w:rsidRPr="00D51D56">
        <w:t>Atripla</w:t>
      </w:r>
      <w:proofErr w:type="spellEnd"/>
      <w:r w:rsidRPr="00D51D56">
        <w:t xml:space="preserve"> in HIV-1-infected ARV naïve patie</w:t>
      </w:r>
      <w:r w:rsidR="003F7131">
        <w:t>nts with plasma HIV RNA &gt;2500 copies</w:t>
      </w:r>
      <w:r w:rsidRPr="00D51D56">
        <w:t>/mL (no upper limit of plasma HIV RNA for inclusion).</w:t>
      </w:r>
    </w:p>
    <w:p w:rsidR="00D51D56" w:rsidRPr="00D51D56" w:rsidRDefault="00D51D56" w:rsidP="008A5C59">
      <w:r w:rsidRPr="00D51D56">
        <w:t xml:space="preserve">Study GS-US-264-0111 is a </w:t>
      </w:r>
      <w:r w:rsidR="00207818">
        <w:t xml:space="preserve">Phase </w:t>
      </w:r>
      <w:proofErr w:type="spellStart"/>
      <w:r w:rsidR="00207818">
        <w:t>IIb</w:t>
      </w:r>
      <w:proofErr w:type="spellEnd"/>
      <w:r w:rsidRPr="00D51D56">
        <w:t xml:space="preserve"> </w:t>
      </w:r>
      <w:r w:rsidR="00207818">
        <w:t>open l</w:t>
      </w:r>
      <w:r w:rsidRPr="00D51D56">
        <w:t xml:space="preserve">abel </w:t>
      </w:r>
      <w:r w:rsidR="00207818">
        <w:t>p</w:t>
      </w:r>
      <w:r w:rsidRPr="00D51D56">
        <w:t xml:space="preserve">ilot </w:t>
      </w:r>
      <w:r w:rsidR="00207818">
        <w:t>s</w:t>
      </w:r>
      <w:r w:rsidRPr="00D51D56">
        <w:t xml:space="preserve">tudy to </w:t>
      </w:r>
      <w:r w:rsidR="00207818">
        <w:t>e</w:t>
      </w:r>
      <w:r w:rsidRPr="00D51D56">
        <w:t xml:space="preserve">valuate </w:t>
      </w:r>
      <w:r w:rsidR="00207818">
        <w:t>s</w:t>
      </w:r>
      <w:r w:rsidRPr="00D51D56">
        <w:t xml:space="preserve">witching from a </w:t>
      </w:r>
      <w:r w:rsidR="00207818">
        <w:t>r</w:t>
      </w:r>
      <w:r w:rsidRPr="00D51D56">
        <w:t xml:space="preserve">egimen </w:t>
      </w:r>
      <w:r w:rsidR="00207818">
        <w:t>c</w:t>
      </w:r>
      <w:r w:rsidRPr="00D51D56">
        <w:t xml:space="preserve">onsisting of a TDF/FTC/EFV </w:t>
      </w:r>
      <w:r w:rsidR="00207818">
        <w:t>s</w:t>
      </w:r>
      <w:r w:rsidRPr="00D51D56">
        <w:t xml:space="preserve">ingle </w:t>
      </w:r>
      <w:r w:rsidR="00207818">
        <w:t>t</w:t>
      </w:r>
      <w:r w:rsidRPr="00D51D56">
        <w:t xml:space="preserve">ablet </w:t>
      </w:r>
      <w:r w:rsidR="00207818">
        <w:t>r</w:t>
      </w:r>
      <w:r w:rsidRPr="00D51D56">
        <w:t>egimen to TDF/FTC/RPV single tablet regimen in virologically</w:t>
      </w:r>
      <w:r w:rsidR="002063ED">
        <w:t xml:space="preserve"> </w:t>
      </w:r>
      <w:r w:rsidRPr="00D51D56">
        <w:t xml:space="preserve">suppressed, HIV-1 infected subjects. </w:t>
      </w:r>
      <w:r w:rsidR="00730BB4">
        <w:t xml:space="preserve">A total of </w:t>
      </w:r>
      <w:r w:rsidRPr="00D51D56">
        <w:t>50 patients were enrolled at 18 sites in the US</w:t>
      </w:r>
      <w:r w:rsidR="009E05BF">
        <w:t>;</w:t>
      </w:r>
      <w:r w:rsidR="00502828">
        <w:t xml:space="preserve"> </w:t>
      </w:r>
      <w:r w:rsidR="009F185F">
        <w:t>49</w:t>
      </w:r>
      <w:r w:rsidR="00502828">
        <w:t xml:space="preserve"> </w:t>
      </w:r>
      <w:r w:rsidR="002C328C">
        <w:t xml:space="preserve">subjects </w:t>
      </w:r>
      <w:r w:rsidRPr="00D51D56">
        <w:t xml:space="preserve">received study drug. One subject was enrolled but subsequently withdrew consent and was never dosed. </w:t>
      </w:r>
      <w:r w:rsidR="00DE3F7F">
        <w:t xml:space="preserve">A total of </w:t>
      </w:r>
      <w:r w:rsidRPr="00D51D56">
        <w:t>48 subjects completed the protocol</w:t>
      </w:r>
      <w:r w:rsidR="00DE3F7F">
        <w:t xml:space="preserve"> </w:t>
      </w:r>
      <w:r w:rsidRPr="00D51D56">
        <w:t>defined period of study drug dosing. One subject did not complete study drug dosing because of a protocol violation. The majority of subjects we</w:t>
      </w:r>
      <w:r w:rsidR="0003685A">
        <w:t xml:space="preserve">re male with mean age 38 years. The primary efficacy endpoint </w:t>
      </w:r>
      <w:r w:rsidR="009F34AA">
        <w:t>(</w:t>
      </w:r>
      <w:r w:rsidRPr="00D51D56">
        <w:t>proportion o</w:t>
      </w:r>
      <w:r w:rsidR="006C447C">
        <w:t>f subjects with HIV-1 RNA &lt;50 copies</w:t>
      </w:r>
      <w:r w:rsidRPr="00D51D56">
        <w:t>/mL at W</w:t>
      </w:r>
      <w:r w:rsidR="006C447C">
        <w:t>ee</w:t>
      </w:r>
      <w:r w:rsidRPr="00D51D56">
        <w:t>k 12 as defin</w:t>
      </w:r>
      <w:r w:rsidR="009F34AA">
        <w:t>ed by the FDA snapshot analysis</w:t>
      </w:r>
      <w:r w:rsidRPr="00D51D56">
        <w:t xml:space="preserve"> based on the full analysis set</w:t>
      </w:r>
      <w:r w:rsidR="002D4D2F">
        <w:t xml:space="preserve">) </w:t>
      </w:r>
      <w:r w:rsidRPr="00D51D56">
        <w:t>was seen in all</w:t>
      </w:r>
      <w:r w:rsidR="00121C3D">
        <w:t xml:space="preserve"> </w:t>
      </w:r>
      <w:r w:rsidRPr="00D51D56">
        <w:t xml:space="preserve">49 subjects (100%; 95% CI: 92.7%, 100%) with HIV-1 RNA &lt;50 </w:t>
      </w:r>
      <w:r w:rsidR="006C447C">
        <w:t>copies</w:t>
      </w:r>
      <w:r w:rsidRPr="00D51D56">
        <w:t>/mL at W</w:t>
      </w:r>
      <w:r w:rsidR="006C447C">
        <w:t>ee</w:t>
      </w:r>
      <w:r w:rsidRPr="00D51D56">
        <w:t>k 12.</w:t>
      </w:r>
      <w:r w:rsidR="00121C3D">
        <w:t xml:space="preserve"> </w:t>
      </w:r>
      <w:r w:rsidRPr="00D51D56">
        <w:t>At W</w:t>
      </w:r>
      <w:r w:rsidR="006C447C">
        <w:t>ee</w:t>
      </w:r>
      <w:r w:rsidRPr="00D51D56">
        <w:t xml:space="preserve">ks 24 and 48, 100% and 93.9% of subjects (46 of 49 subjects; 95% CI: 83.1%, 98.7%) maintained HIV-1 RNA &lt;50 </w:t>
      </w:r>
      <w:r w:rsidR="006C447C">
        <w:t>copies</w:t>
      </w:r>
      <w:r w:rsidR="007F4AA4">
        <w:t>/mL, respectively.</w:t>
      </w:r>
      <w:r w:rsidRPr="00D51D56">
        <w:t xml:space="preserve"> At W</w:t>
      </w:r>
      <w:r w:rsidR="006C447C">
        <w:t>ee</w:t>
      </w:r>
      <w:r w:rsidRPr="00D51D56">
        <w:t xml:space="preserve">k 48, 2 subjects (4.1%) had HIV-1 RNA ≥50 </w:t>
      </w:r>
      <w:r w:rsidR="006C447C">
        <w:t>copies</w:t>
      </w:r>
      <w:r w:rsidRPr="00D51D56">
        <w:t xml:space="preserve">/mL and were considered </w:t>
      </w:r>
      <w:proofErr w:type="spellStart"/>
      <w:r w:rsidRPr="00D51D56">
        <w:t>virologic</w:t>
      </w:r>
      <w:proofErr w:type="spellEnd"/>
      <w:r w:rsidRPr="00D51D56">
        <w:t xml:space="preserve"> failures.</w:t>
      </w:r>
    </w:p>
    <w:p w:rsidR="00710869" w:rsidRDefault="00D51D56" w:rsidP="008A5C59">
      <w:r w:rsidRPr="00D51D56">
        <w:t xml:space="preserve">Study GS-US-264-0106 is a </w:t>
      </w:r>
      <w:r w:rsidR="004F1964">
        <w:t>Phase III</w:t>
      </w:r>
      <w:r w:rsidRPr="00D51D56">
        <w:t xml:space="preserve"> randomi</w:t>
      </w:r>
      <w:r w:rsidR="001D7947">
        <w:t>s</w:t>
      </w:r>
      <w:r w:rsidRPr="00D51D56">
        <w:t>ed, open</w:t>
      </w:r>
      <w:r w:rsidR="001D7947">
        <w:t xml:space="preserve"> </w:t>
      </w:r>
      <w:r w:rsidRPr="00D51D56">
        <w:t xml:space="preserve">label study to evaluate switching from regimens consisting of a </w:t>
      </w:r>
      <w:r w:rsidR="001D7947">
        <w:t>PI/r</w:t>
      </w:r>
      <w:r w:rsidRPr="00D51D56">
        <w:t xml:space="preserve"> and two </w:t>
      </w:r>
      <w:r w:rsidR="001D7947">
        <w:t>NRT</w:t>
      </w:r>
      <w:r w:rsidR="00CA0A18">
        <w:t>I</w:t>
      </w:r>
      <w:r w:rsidR="001D7947">
        <w:t>s</w:t>
      </w:r>
      <w:r w:rsidRPr="00D51D56">
        <w:t xml:space="preserve"> to TDF/FTC/RPV</w:t>
      </w:r>
      <w:r w:rsidR="00121C3D">
        <w:t xml:space="preserve"> </w:t>
      </w:r>
      <w:r w:rsidR="0081547C">
        <w:t>FDC</w:t>
      </w:r>
      <w:r w:rsidRPr="00D51D56">
        <w:t xml:space="preserve"> in virologically suppressed, HIV-1 infected patients. Subjects were randomised in a 2:1 ratio to one of the following two treatment arms:</w:t>
      </w:r>
    </w:p>
    <w:p w:rsidR="00710869" w:rsidRPr="008A5C59" w:rsidRDefault="00D51D56" w:rsidP="008A5C59">
      <w:pPr>
        <w:pStyle w:val="ListBullet"/>
      </w:pPr>
      <w:r w:rsidRPr="008A5C59">
        <w:t xml:space="preserve">Treatment Arm 1: Switched </w:t>
      </w:r>
      <w:proofErr w:type="spellStart"/>
      <w:r w:rsidR="006222D2" w:rsidRPr="008A5C59">
        <w:t>Eviplera</w:t>
      </w:r>
      <w:proofErr w:type="spellEnd"/>
      <w:r w:rsidRPr="008A5C59">
        <w:t xml:space="preserve"> (planned n</w:t>
      </w:r>
      <w:r w:rsidR="006C447C" w:rsidRPr="008A5C59">
        <w:t xml:space="preserve"> </w:t>
      </w:r>
      <w:r w:rsidRPr="008A5C59">
        <w:t>=</w:t>
      </w:r>
      <w:r w:rsidR="006C447C" w:rsidRPr="008A5C59">
        <w:t xml:space="preserve"> </w:t>
      </w:r>
      <w:r w:rsidR="008A5C59">
        <w:t>280)</w:t>
      </w:r>
    </w:p>
    <w:p w:rsidR="00710869" w:rsidRPr="008A5C59" w:rsidRDefault="00D51D56" w:rsidP="008A5C59">
      <w:pPr>
        <w:pStyle w:val="ListBullet"/>
      </w:pPr>
      <w:r w:rsidRPr="008A5C59">
        <w:t xml:space="preserve">Treatment Arm 2: Delayed switch to </w:t>
      </w:r>
      <w:proofErr w:type="spellStart"/>
      <w:r w:rsidR="006222D2" w:rsidRPr="008A5C59">
        <w:t>Eviplera</w:t>
      </w:r>
      <w:proofErr w:type="spellEnd"/>
      <w:r w:rsidRPr="008A5C59">
        <w:t xml:space="preserve"> after remaining on current PI/r+ NRTI inhibitors for 24 W</w:t>
      </w:r>
      <w:r w:rsidR="006222D2" w:rsidRPr="008A5C59">
        <w:t>ee</w:t>
      </w:r>
      <w:r w:rsidRPr="008A5C59">
        <w:t>ks after baseline visit (planned n = 140).</w:t>
      </w:r>
    </w:p>
    <w:p w:rsidR="00D51D56" w:rsidRPr="00D51D56" w:rsidRDefault="00D51D56" w:rsidP="008A5C59">
      <w:r w:rsidRPr="00D51D56">
        <w:t xml:space="preserve">Treatment groups were stratified for use of TDF (either TDF </w:t>
      </w:r>
      <w:r w:rsidR="006222D2">
        <w:t xml:space="preserve">or </w:t>
      </w:r>
      <w:proofErr w:type="spellStart"/>
      <w:r w:rsidR="006222D2">
        <w:t>Truvada</w:t>
      </w:r>
      <w:proofErr w:type="spellEnd"/>
      <w:r w:rsidR="006222D2">
        <w:t xml:space="preserve">) and </w:t>
      </w:r>
      <w:proofErr w:type="spellStart"/>
      <w:r w:rsidR="00994524" w:rsidRPr="00994524">
        <w:t>Lopinavir</w:t>
      </w:r>
      <w:proofErr w:type="spellEnd"/>
      <w:r w:rsidR="00994524" w:rsidRPr="00994524">
        <w:t>/Ritonavir</w:t>
      </w:r>
      <w:r w:rsidR="006222D2">
        <w:t xml:space="preserve"> at enrol</w:t>
      </w:r>
      <w:r w:rsidRPr="00D51D56">
        <w:t>ment. The primary efficacy outcome was the proportion o</w:t>
      </w:r>
      <w:r w:rsidR="00B00055">
        <w:t>f subjects with HIV-1 RNA &lt;50 copies</w:t>
      </w:r>
      <w:r w:rsidRPr="00D51D56">
        <w:t>/mL at W</w:t>
      </w:r>
      <w:r w:rsidR="006222D2">
        <w:t>ee</w:t>
      </w:r>
      <w:r w:rsidRPr="00D51D56">
        <w:t>k 24 as defined by the FDA snapshot analysis based on full analysis set. A total of 482 patients were enrolled. The majori</w:t>
      </w:r>
      <w:r w:rsidR="00F62D25">
        <w:t>ty of patients were male (87%), W</w:t>
      </w:r>
      <w:r w:rsidRPr="00D51D56">
        <w:t>hite (76.7%)</w:t>
      </w:r>
      <w:r w:rsidR="00F62D25">
        <w:t>,</w:t>
      </w:r>
      <w:r w:rsidRPr="00D51D56">
        <w:t xml:space="preserve"> and mean age was 4</w:t>
      </w:r>
      <w:r w:rsidR="0014572F">
        <w:t xml:space="preserve">2 years. 94.7% had HIV RNA &lt; </w:t>
      </w:r>
      <w:r w:rsidR="00C75A6D" w:rsidRPr="00C75A6D">
        <w:t>Lower Limit of Quantification</w:t>
      </w:r>
      <w:r w:rsidR="00215292">
        <w:t xml:space="preserve"> (LLQ)</w:t>
      </w:r>
      <w:r w:rsidRPr="00D51D56">
        <w:t>. At baseline</w:t>
      </w:r>
      <w:r w:rsidR="0085478F">
        <w:t>,</w:t>
      </w:r>
      <w:r w:rsidRPr="00D51D56">
        <w:t xml:space="preserve"> CD4 + was 584/</w:t>
      </w:r>
      <w:proofErr w:type="spellStart"/>
      <w:r w:rsidRPr="00D51D56">
        <w:t>μL</w:t>
      </w:r>
      <w:proofErr w:type="spellEnd"/>
      <w:r w:rsidRPr="00D51D56">
        <w:t>. Mean duration of ARV 3.3 years. The majority were on T</w:t>
      </w:r>
      <w:r w:rsidR="00B00055">
        <w:t>D</w:t>
      </w:r>
      <w:r w:rsidR="008A5C59">
        <w:t>F/FTC at screening.</w:t>
      </w:r>
    </w:p>
    <w:p w:rsidR="00D51D56" w:rsidRPr="00D51D56" w:rsidRDefault="00D51D56" w:rsidP="008A5C59">
      <w:r w:rsidRPr="00D51D56">
        <w:t xml:space="preserve">The </w:t>
      </w:r>
      <w:r w:rsidR="004F1964">
        <w:t>proportion with HIV-1 RNA &lt;50 copies</w:t>
      </w:r>
      <w:r w:rsidRPr="00D51D56">
        <w:t>/mL at</w:t>
      </w:r>
      <w:r w:rsidR="004F1964">
        <w:t xml:space="preserve"> Week</w:t>
      </w:r>
      <w:r w:rsidRPr="00D51D56">
        <w:t xml:space="preserve"> 24</w:t>
      </w:r>
      <w:r w:rsidR="00121C3D">
        <w:t xml:space="preserve"> </w:t>
      </w:r>
      <w:r w:rsidRPr="00D51D56">
        <w:t xml:space="preserve">was similar in </w:t>
      </w:r>
      <w:proofErr w:type="spellStart"/>
      <w:r w:rsidRPr="00D51D56">
        <w:t>Eviplera</w:t>
      </w:r>
      <w:proofErr w:type="spellEnd"/>
      <w:r w:rsidRPr="00D51D56">
        <w:t xml:space="preserve"> 297/317 (93.7%) and SBR</w:t>
      </w:r>
      <w:r w:rsidR="00121C3D">
        <w:t xml:space="preserve"> </w:t>
      </w:r>
      <w:r w:rsidRPr="00D51D56">
        <w:t>143/159 (89.9%) treatment groups. The</w:t>
      </w:r>
      <w:r w:rsidR="00121C3D">
        <w:t xml:space="preserve"> </w:t>
      </w:r>
      <w:r w:rsidRPr="00D51D56">
        <w:t>treatment difference was</w:t>
      </w:r>
      <w:r w:rsidR="00121C3D">
        <w:t xml:space="preserve"> </w:t>
      </w:r>
      <w:r w:rsidRPr="00D51D56">
        <w:t>3.8%</w:t>
      </w:r>
      <w:r w:rsidR="00121C3D">
        <w:t xml:space="preserve"> </w:t>
      </w:r>
      <w:r w:rsidRPr="00D51D56">
        <w:t>(</w:t>
      </w:r>
      <w:r w:rsidR="00DB2A66">
        <w:t>95% CI: -</w:t>
      </w:r>
      <w:r w:rsidRPr="00D51D56">
        <w:t xml:space="preserve">1.6%, 9.1%) with the lower bound of the 95% CI was within the </w:t>
      </w:r>
      <w:r w:rsidRPr="00D51D56">
        <w:lastRenderedPageBreak/>
        <w:t xml:space="preserve">predefined 12% margin for </w:t>
      </w:r>
      <w:proofErr w:type="spellStart"/>
      <w:r w:rsidRPr="00D51D56">
        <w:t>non</w:t>
      </w:r>
      <w:r w:rsidR="007F63CC">
        <w:t xml:space="preserve"> </w:t>
      </w:r>
      <w:r w:rsidRPr="00D51D56">
        <w:t>inferiority</w:t>
      </w:r>
      <w:proofErr w:type="spellEnd"/>
      <w:r w:rsidRPr="00D51D56">
        <w:t xml:space="preserve"> of </w:t>
      </w:r>
      <w:proofErr w:type="spellStart"/>
      <w:r w:rsidRPr="00D51D56">
        <w:t>Eviplera</w:t>
      </w:r>
      <w:proofErr w:type="spellEnd"/>
      <w:r w:rsidRPr="00D51D56">
        <w:t xml:space="preserve"> to SBR at Week 24. In the Delayed Switch grou</w:t>
      </w:r>
      <w:r w:rsidR="007F63CC">
        <w:t>p, 92.1% had HIV-1 RNA &lt;50 copies</w:t>
      </w:r>
      <w:r w:rsidRPr="00D51D56">
        <w:t xml:space="preserve">/mL after 24 weeks of treatment, consistent with the </w:t>
      </w:r>
      <w:proofErr w:type="spellStart"/>
      <w:r w:rsidRPr="00D51D56">
        <w:t>Eviplera</w:t>
      </w:r>
      <w:proofErr w:type="spellEnd"/>
      <w:r w:rsidRPr="00D51D56">
        <w:t xml:space="preserve"> group at W</w:t>
      </w:r>
      <w:r w:rsidR="007F63CC">
        <w:t>ee</w:t>
      </w:r>
      <w:r w:rsidRPr="00D51D56">
        <w:t xml:space="preserve">k 24. </w:t>
      </w:r>
      <w:r w:rsidR="007F63CC">
        <w:t xml:space="preserve">The proportion of </w:t>
      </w:r>
      <w:proofErr w:type="spellStart"/>
      <w:r w:rsidR="007F63CC">
        <w:t>Eviplera</w:t>
      </w:r>
      <w:proofErr w:type="spellEnd"/>
      <w:r w:rsidRPr="00D51D56">
        <w:t xml:space="preserve"> subjects with </w:t>
      </w:r>
      <w:r w:rsidR="00DB2A66">
        <w:t>HIV-1 RNA &lt;50 copies</w:t>
      </w:r>
      <w:r w:rsidRPr="00D51D56">
        <w:t>/mL at W</w:t>
      </w:r>
      <w:r w:rsidR="00327585">
        <w:t>ee</w:t>
      </w:r>
      <w:r w:rsidRPr="00D51D56">
        <w:t xml:space="preserve">k 48 was analysed as a secondary endpoint. 88.3% of </w:t>
      </w:r>
      <w:proofErr w:type="spellStart"/>
      <w:r w:rsidRPr="00D51D56">
        <w:t>Evi</w:t>
      </w:r>
      <w:r w:rsidR="00327585">
        <w:t>plera</w:t>
      </w:r>
      <w:proofErr w:type="spellEnd"/>
      <w:r w:rsidR="00327585">
        <w:t xml:space="preserve"> group had HIV-1 RNA &lt;</w:t>
      </w:r>
      <w:proofErr w:type="gramStart"/>
      <w:r w:rsidR="00327585">
        <w:t>50 copies</w:t>
      </w:r>
      <w:r w:rsidRPr="00D51D56">
        <w:t>/mL through 48 W</w:t>
      </w:r>
      <w:r w:rsidR="00327585">
        <w:t>ee</w:t>
      </w:r>
      <w:r w:rsidRPr="00D51D56">
        <w:t>ks</w:t>
      </w:r>
      <w:proofErr w:type="gramEnd"/>
      <w:r w:rsidRPr="00D51D56">
        <w:t xml:space="preserve"> (95% CI: 84.3%, 91.6%). </w:t>
      </w:r>
      <w:proofErr w:type="spellStart"/>
      <w:r w:rsidRPr="00D51D56">
        <w:t>Virologic</w:t>
      </w:r>
      <w:proofErr w:type="spellEnd"/>
      <w:r w:rsidRPr="00D51D56">
        <w:t xml:space="preserve"> rebound was defined as 2 consecuti</w:t>
      </w:r>
      <w:r w:rsidR="00327585">
        <w:t>ve visits with HIV-1 RNA ≥400 copies</w:t>
      </w:r>
      <w:r w:rsidRPr="00D51D56">
        <w:t>/</w:t>
      </w:r>
      <w:proofErr w:type="spellStart"/>
      <w:r w:rsidRPr="00D51D56">
        <w:t>mL.</w:t>
      </w:r>
      <w:proofErr w:type="spellEnd"/>
      <w:r w:rsidR="00121C3D">
        <w:t xml:space="preserve"> </w:t>
      </w:r>
      <w:r w:rsidRPr="00D51D56">
        <w:t xml:space="preserve">In the </w:t>
      </w:r>
      <w:proofErr w:type="spellStart"/>
      <w:r w:rsidRPr="00D51D56">
        <w:t>Eviplera</w:t>
      </w:r>
      <w:proofErr w:type="spellEnd"/>
      <w:r w:rsidRPr="00D51D56">
        <w:t xml:space="preserve"> group</w:t>
      </w:r>
      <w:r w:rsidR="00137645">
        <w:t>,</w:t>
      </w:r>
      <w:r w:rsidR="00327585">
        <w:t xml:space="preserve"> 4 patients had protocol </w:t>
      </w:r>
      <w:r w:rsidRPr="00D51D56">
        <w:t xml:space="preserve">defined exclusion mutations at baseline. In the </w:t>
      </w:r>
      <w:proofErr w:type="spellStart"/>
      <w:r w:rsidRPr="00D51D56">
        <w:t>Eviplera</w:t>
      </w:r>
      <w:proofErr w:type="spellEnd"/>
      <w:r w:rsidRPr="00D51D56">
        <w:t xml:space="preserve"> group</w:t>
      </w:r>
      <w:r w:rsidR="00137645">
        <w:t>,</w:t>
      </w:r>
      <w:r w:rsidRPr="00D51D56">
        <w:t xml:space="preserve"> 2 patients (0.6%) developed resistance mutations to study dr</w:t>
      </w:r>
      <w:r w:rsidR="00137645">
        <w:t>ugs at week 24 and 4 (1.3%) by W</w:t>
      </w:r>
      <w:r w:rsidRPr="00D51D56">
        <w:t>eek 48. In SBR group</w:t>
      </w:r>
      <w:r w:rsidR="00327585">
        <w:t>,</w:t>
      </w:r>
      <w:r w:rsidRPr="00D51D56">
        <w:t xml:space="preserve"> 1 patient (0.6) developed resistance muta</w:t>
      </w:r>
      <w:r w:rsidR="00137645">
        <w:t>tions to study drugs to Week 24</w:t>
      </w:r>
      <w:r w:rsidRPr="00D51D56">
        <w:t>.</w:t>
      </w:r>
    </w:p>
    <w:p w:rsidR="00D51D56" w:rsidRPr="00D51D56" w:rsidRDefault="00D51D56" w:rsidP="008A5C59">
      <w:r w:rsidRPr="00D51D56">
        <w:t xml:space="preserve">Study GS-US-264-0110 is a </w:t>
      </w:r>
      <w:r w:rsidR="00560496">
        <w:t xml:space="preserve">Phase </w:t>
      </w:r>
      <w:proofErr w:type="spellStart"/>
      <w:r w:rsidR="00560496">
        <w:t>IIIb</w:t>
      </w:r>
      <w:proofErr w:type="spellEnd"/>
      <w:r w:rsidRPr="00D51D56">
        <w:t>, r</w:t>
      </w:r>
      <w:r w:rsidR="00560496">
        <w:t>andomis</w:t>
      </w:r>
      <w:r w:rsidRPr="00D51D56">
        <w:t>ed, open</w:t>
      </w:r>
      <w:r w:rsidR="00327585">
        <w:t xml:space="preserve"> </w:t>
      </w:r>
      <w:r w:rsidRPr="00D51D56">
        <w:t xml:space="preserve">label study to evaluate the safety and efficacy of a single tablet regimen of TDF/FTC/RPV compared with a single tablet regimen of TDF/FTC/EFV in HIV-1 </w:t>
      </w:r>
      <w:proofErr w:type="gramStart"/>
      <w:r w:rsidRPr="00D51D56">
        <w:t>infected,</w:t>
      </w:r>
      <w:proofErr w:type="gramEnd"/>
      <w:r w:rsidRPr="00D51D56">
        <w:t xml:space="preserve"> </w:t>
      </w:r>
      <w:r w:rsidR="00BC1613" w:rsidRPr="00D51D56">
        <w:t>ARV</w:t>
      </w:r>
      <w:r w:rsidRPr="00D51D56">
        <w:t xml:space="preserve"> treatment</w:t>
      </w:r>
      <w:r w:rsidR="00327585">
        <w:t xml:space="preserve"> </w:t>
      </w:r>
      <w:r w:rsidRPr="00D51D56">
        <w:t>naïve adults. The study enrolled adult HIV-1 infected</w:t>
      </w:r>
      <w:r w:rsidR="00121C3D">
        <w:t xml:space="preserve"> </w:t>
      </w:r>
      <w:r w:rsidRPr="00D51D56">
        <w:t>ARV treatment naïve patients with HIV-1 RNA levels</w:t>
      </w:r>
      <w:r w:rsidR="00121C3D">
        <w:t xml:space="preserve"> </w:t>
      </w:r>
      <w:r w:rsidR="00327585">
        <w:t>&gt;</w:t>
      </w:r>
      <w:r w:rsidRPr="00D51D56">
        <w:t>2500 and with documented sensitiv</w:t>
      </w:r>
      <w:r w:rsidR="00327585">
        <w:t>ity to EFV, FTC</w:t>
      </w:r>
      <w:r w:rsidRPr="00D51D56">
        <w:t xml:space="preserve">, TDF at screening and no RPV mutations (K101E/P, E138A/G/K/Q/R, H221Y). The main efficacy variable was to evaluate </w:t>
      </w:r>
      <w:r w:rsidR="00327585">
        <w:t xml:space="preserve">the efficacy of </w:t>
      </w:r>
      <w:proofErr w:type="spellStart"/>
      <w:r w:rsidR="00327585">
        <w:t>Eviplera</w:t>
      </w:r>
      <w:proofErr w:type="spellEnd"/>
      <w:r w:rsidR="00327585">
        <w:t xml:space="preserve"> STR versus</w:t>
      </w:r>
      <w:r w:rsidRPr="00D51D56">
        <w:t xml:space="preserve"> </w:t>
      </w:r>
      <w:proofErr w:type="spellStart"/>
      <w:r w:rsidRPr="00D51D56">
        <w:t>Atripla</w:t>
      </w:r>
      <w:proofErr w:type="spellEnd"/>
      <w:r w:rsidRPr="00D51D56">
        <w:t xml:space="preserve"> single tablet regimen in HIV-1 infected, ARV treatment</w:t>
      </w:r>
      <w:r w:rsidR="00BC1613">
        <w:t xml:space="preserve"> </w:t>
      </w:r>
      <w:r w:rsidRPr="00D51D56">
        <w:t>naive adult subjects as determined by the</w:t>
      </w:r>
      <w:r w:rsidR="00ED3B33">
        <w:t xml:space="preserve"> achievement of HIV-1 RNA &lt;50 copies</w:t>
      </w:r>
      <w:r w:rsidRPr="00D51D56">
        <w:t>/mL at 48 W</w:t>
      </w:r>
      <w:r w:rsidR="00ED3B33">
        <w:t>ee</w:t>
      </w:r>
      <w:r w:rsidRPr="00D51D56">
        <w:t>ks using the US FDA snapshot analysis. The primary analysis was stratified by basel</w:t>
      </w:r>
      <w:r w:rsidR="00ED3B33">
        <w:t>ine HIV-1 RNA levels &lt;100,000 versus</w:t>
      </w:r>
      <w:r w:rsidR="00DA36FB">
        <w:t xml:space="preserve"> &gt;</w:t>
      </w:r>
      <w:r w:rsidR="008A5C59">
        <w:t>100,000.</w:t>
      </w:r>
    </w:p>
    <w:p w:rsidR="00D51D56" w:rsidRPr="00D51D56" w:rsidRDefault="00D51D56" w:rsidP="008A5C59">
      <w:r w:rsidRPr="00D51D56">
        <w:t>A total of 799 subjects were randomised,</w:t>
      </w:r>
      <w:r w:rsidR="00121C3D">
        <w:t xml:space="preserve"> </w:t>
      </w:r>
      <w:r w:rsidRPr="00D51D56">
        <w:t>TDF/FTC/RPV (n</w:t>
      </w:r>
      <w:r w:rsidR="00DA36FB">
        <w:t xml:space="preserve"> </w:t>
      </w:r>
      <w:r w:rsidRPr="00D51D56">
        <w:t>= 400 with 394 in FAS), and TDF/FTC/EFV (n</w:t>
      </w:r>
      <w:r w:rsidR="00DA36FB">
        <w:t xml:space="preserve"> </w:t>
      </w:r>
      <w:r w:rsidRPr="00D51D56">
        <w:t>=</w:t>
      </w:r>
      <w:r w:rsidR="00DA36FB">
        <w:t xml:space="preserve"> </w:t>
      </w:r>
      <w:r w:rsidRPr="00D51D56">
        <w:t>399 with 392 in FAS). The majority of subjects were male (92.9%), white (67.3%) and with mean age 37 years. At baseline, mean CD4+ count was 390.5 cells/</w:t>
      </w:r>
      <w:proofErr w:type="spellStart"/>
      <w:r w:rsidRPr="00D51D56">
        <w:t>μL</w:t>
      </w:r>
      <w:proofErr w:type="spellEnd"/>
      <w:r w:rsidRPr="00D51D56">
        <w:t xml:space="preserve"> , mean HIV-1 RNA was 4.81 log</w:t>
      </w:r>
      <w:r w:rsidRPr="00902383">
        <w:rPr>
          <w:vertAlign w:val="subscript"/>
        </w:rPr>
        <w:t>10</w:t>
      </w:r>
      <w:r w:rsidR="00902383">
        <w:t xml:space="preserve"> copies</w:t>
      </w:r>
      <w:r w:rsidRPr="00D51D56">
        <w:t xml:space="preserve">/mL in the </w:t>
      </w:r>
      <w:proofErr w:type="spellStart"/>
      <w:r w:rsidRPr="00D51D56">
        <w:t>Eviplera</w:t>
      </w:r>
      <w:proofErr w:type="spellEnd"/>
      <w:r w:rsidRPr="00D51D56">
        <w:t xml:space="preserve"> group and 4.78 (0.610) log</w:t>
      </w:r>
      <w:r w:rsidRPr="00902383">
        <w:rPr>
          <w:vertAlign w:val="subscript"/>
        </w:rPr>
        <w:t>10</w:t>
      </w:r>
      <w:r w:rsidRPr="00D51D56">
        <w:t xml:space="preserve"> c</w:t>
      </w:r>
      <w:r w:rsidR="00902383">
        <w:t>opies</w:t>
      </w:r>
      <w:r w:rsidRPr="00D51D56">
        <w:t>/mL in the TDF/FTC/EFV group and proportion with</w:t>
      </w:r>
      <w:r w:rsidR="00121C3D">
        <w:t xml:space="preserve"> </w:t>
      </w:r>
      <w:r w:rsidRPr="00D51D56">
        <w:t xml:space="preserve">HIV-1 RNA &lt;100,000 </w:t>
      </w:r>
      <w:r w:rsidR="00902383" w:rsidRPr="00D51D56">
        <w:t>c</w:t>
      </w:r>
      <w:r w:rsidR="00902383">
        <w:t>opies</w:t>
      </w:r>
      <w:r w:rsidRPr="00D51D56">
        <w:t xml:space="preserve">/mL was 66% in </w:t>
      </w:r>
      <w:proofErr w:type="spellStart"/>
      <w:r w:rsidRPr="00D51D56">
        <w:t>Eviplera</w:t>
      </w:r>
      <w:proofErr w:type="spellEnd"/>
      <w:r w:rsidRPr="00D51D56">
        <w:t xml:space="preserve"> and 63.8% in TDF/FTC/EFV groups.</w:t>
      </w:r>
    </w:p>
    <w:p w:rsidR="00D51D56" w:rsidRPr="00D51D56" w:rsidRDefault="00EC4C4D" w:rsidP="008A5C59">
      <w:r>
        <w:t>In</w:t>
      </w:r>
      <w:r w:rsidR="00D51D56" w:rsidRPr="00D51D56">
        <w:t xml:space="preserve"> the snapshot analysis</w:t>
      </w:r>
      <w:r>
        <w:t>, HIV-1 RNA &lt; 50 copies</w:t>
      </w:r>
      <w:r w:rsidR="00D51D56" w:rsidRPr="00D51D56">
        <w:t xml:space="preserve">/mL at </w:t>
      </w:r>
      <w:r>
        <w:t>W</w:t>
      </w:r>
      <w:r w:rsidR="00D51D56" w:rsidRPr="00D51D56">
        <w:t xml:space="preserve">eek 48 was 85.8% for </w:t>
      </w:r>
      <w:proofErr w:type="spellStart"/>
      <w:r w:rsidR="00D51D56" w:rsidRPr="00D51D56">
        <w:t>Eviplera</w:t>
      </w:r>
      <w:proofErr w:type="spellEnd"/>
      <w:r w:rsidR="00121C3D">
        <w:t xml:space="preserve"> </w:t>
      </w:r>
      <w:r w:rsidR="00D51D56" w:rsidRPr="00D51D56">
        <w:t xml:space="preserve">and 81.4% for </w:t>
      </w:r>
      <w:proofErr w:type="spellStart"/>
      <w:r w:rsidR="00D51D56" w:rsidRPr="00D51D56">
        <w:t>Atripla</w:t>
      </w:r>
      <w:proofErr w:type="spellEnd"/>
      <w:r w:rsidR="00D51D56" w:rsidRPr="00D51D56">
        <w:t xml:space="preserve"> group (4.1%</w:t>
      </w:r>
      <w:r>
        <w:t xml:space="preserve"> treatment difference; 95% CI: -</w:t>
      </w:r>
      <w:r w:rsidR="00D51D56" w:rsidRPr="00D51D56">
        <w:t>1.1%, 9.2%)</w:t>
      </w:r>
      <w:r w:rsidR="00121C3D">
        <w:t xml:space="preserve"> </w:t>
      </w:r>
      <w:r w:rsidR="00D51D56" w:rsidRPr="00D51D56">
        <w:t xml:space="preserve">The lower bound of the 95% CI of this treatment difference was within the predefined 12% margin for </w:t>
      </w:r>
      <w:proofErr w:type="spellStart"/>
      <w:r w:rsidR="00D51D56" w:rsidRPr="00D51D56">
        <w:t>non</w:t>
      </w:r>
      <w:r>
        <w:t xml:space="preserve"> </w:t>
      </w:r>
      <w:r w:rsidR="00D51D56" w:rsidRPr="00D51D56">
        <w:t>inferiority</w:t>
      </w:r>
      <w:proofErr w:type="spellEnd"/>
      <w:r w:rsidR="00D51D56" w:rsidRPr="00D51D56">
        <w:t xml:space="preserve"> of </w:t>
      </w:r>
      <w:proofErr w:type="spellStart"/>
      <w:r w:rsidR="00D51D56" w:rsidRPr="00D51D56">
        <w:t>Eviplera</w:t>
      </w:r>
      <w:proofErr w:type="spellEnd"/>
      <w:r w:rsidR="00D51D56" w:rsidRPr="00D51D56">
        <w:t xml:space="preserve"> to </w:t>
      </w:r>
      <w:proofErr w:type="spellStart"/>
      <w:r w:rsidR="00D51D56" w:rsidRPr="00D51D56">
        <w:t>Atripla</w:t>
      </w:r>
      <w:proofErr w:type="spellEnd"/>
      <w:r w:rsidR="00D51D56" w:rsidRPr="00D51D56">
        <w:t>.</w:t>
      </w:r>
      <w:r w:rsidR="00121C3D">
        <w:t xml:space="preserve"> </w:t>
      </w:r>
      <w:r>
        <w:t xml:space="preserve">A total of 32 (8.1%) </w:t>
      </w:r>
      <w:proofErr w:type="spellStart"/>
      <w:r>
        <w:t>Eviplera</w:t>
      </w:r>
      <w:proofErr w:type="spellEnd"/>
      <w:r>
        <w:t xml:space="preserve"> group</w:t>
      </w:r>
      <w:r w:rsidR="00D51D56" w:rsidRPr="00D51D56">
        <w:t xml:space="preserve"> subjects and 22 (5.6%) </w:t>
      </w:r>
      <w:proofErr w:type="spellStart"/>
      <w:r w:rsidR="00D51D56" w:rsidRPr="00D51D56">
        <w:t>Atripla</w:t>
      </w:r>
      <w:proofErr w:type="spellEnd"/>
      <w:r w:rsidR="00121C3D">
        <w:t xml:space="preserve"> </w:t>
      </w:r>
      <w:r>
        <w:t>group</w:t>
      </w:r>
      <w:r w:rsidR="00D51D56" w:rsidRPr="00D51D56">
        <w:t xml:space="preserve"> subjects were considered </w:t>
      </w:r>
      <w:proofErr w:type="spellStart"/>
      <w:r w:rsidR="00D51D56" w:rsidRPr="00D51D56">
        <w:t>virologic</w:t>
      </w:r>
      <w:proofErr w:type="spellEnd"/>
      <w:r w:rsidR="00D51D56" w:rsidRPr="00D51D56">
        <w:t xml:space="preserve"> failures at W</w:t>
      </w:r>
      <w:r w:rsidR="007A514D">
        <w:t>ee</w:t>
      </w:r>
      <w:r w:rsidR="00D51D56" w:rsidRPr="00D51D56">
        <w:t>k 48 (2.7%</w:t>
      </w:r>
      <w:r w:rsidR="007A514D">
        <w:t xml:space="preserve"> treatment difference; 95% CI: -</w:t>
      </w:r>
      <w:r w:rsidR="00D51D56" w:rsidRPr="00D51D56">
        <w:t xml:space="preserve">0.9%, 6.2%). Among the </w:t>
      </w:r>
      <w:proofErr w:type="spellStart"/>
      <w:r w:rsidR="00D51D56" w:rsidRPr="00D51D56">
        <w:t>virologic</w:t>
      </w:r>
      <w:proofErr w:type="spellEnd"/>
      <w:r w:rsidR="00D51D56" w:rsidRPr="00D51D56">
        <w:t xml:space="preserve"> failures, 7 su</w:t>
      </w:r>
      <w:r w:rsidR="00C5567F">
        <w:t xml:space="preserve">bjects (1.8%) in the </w:t>
      </w:r>
      <w:proofErr w:type="spellStart"/>
      <w:r w:rsidR="00C5567F">
        <w:t>Eviplera</w:t>
      </w:r>
      <w:proofErr w:type="spellEnd"/>
      <w:r w:rsidR="00C5567F">
        <w:t xml:space="preserve"> group</w:t>
      </w:r>
      <w:r w:rsidR="00D51D56" w:rsidRPr="00D51D56">
        <w:t xml:space="preserve"> and 4 subjects (1.0%) in the </w:t>
      </w:r>
      <w:proofErr w:type="spellStart"/>
      <w:r w:rsidR="00D51D56" w:rsidRPr="00D51D56">
        <w:t>Atripla</w:t>
      </w:r>
      <w:proofErr w:type="spellEnd"/>
      <w:r w:rsidR="00D51D56" w:rsidRPr="00D51D56">
        <w:t xml:space="preserve"> </w:t>
      </w:r>
      <w:r w:rsidR="00C5567F">
        <w:t>group had HIV-1 RNA ≥50 copies</w:t>
      </w:r>
      <w:r w:rsidR="00D51D56" w:rsidRPr="00D51D56">
        <w:t>/mL at W</w:t>
      </w:r>
      <w:r w:rsidR="00C5567F">
        <w:t>ee</w:t>
      </w:r>
      <w:r w:rsidR="00D51D56" w:rsidRPr="00D51D56">
        <w:t xml:space="preserve">k 48. The remaining subjects considered as </w:t>
      </w:r>
      <w:proofErr w:type="spellStart"/>
      <w:r w:rsidR="00D51D56" w:rsidRPr="00D51D56">
        <w:t>virologic</w:t>
      </w:r>
      <w:proofErr w:type="spellEnd"/>
      <w:r w:rsidR="00D51D56" w:rsidRPr="00D51D56">
        <w:t xml:space="preserve"> failures either discontinued due to lack of efficacy (11 subjects [2.8%] in the </w:t>
      </w:r>
      <w:proofErr w:type="spellStart"/>
      <w:r w:rsidR="00D51D56" w:rsidRPr="00D51D56">
        <w:t>Eviplera</w:t>
      </w:r>
      <w:proofErr w:type="spellEnd"/>
      <w:r w:rsidR="00D51D56" w:rsidRPr="00D51D56">
        <w:t xml:space="preserve"> </w:t>
      </w:r>
      <w:r w:rsidR="00C5567F">
        <w:t>group</w:t>
      </w:r>
      <w:r w:rsidR="00D51D56" w:rsidRPr="00D51D56">
        <w:t xml:space="preserve"> and 3 subjects [0.8%] in the </w:t>
      </w:r>
      <w:proofErr w:type="spellStart"/>
      <w:r w:rsidR="00D51D56" w:rsidRPr="00D51D56">
        <w:t>Atripla</w:t>
      </w:r>
      <w:proofErr w:type="spellEnd"/>
      <w:r w:rsidR="00D51D56" w:rsidRPr="00D51D56">
        <w:t xml:space="preserve"> </w:t>
      </w:r>
      <w:r w:rsidR="00C5567F">
        <w:t xml:space="preserve">group) or due to other reasons. There were </w:t>
      </w:r>
      <w:r w:rsidR="00D51D56" w:rsidRPr="00D51D56">
        <w:t xml:space="preserve">27 subjects (3%) analysed for resistance development (20 [5%] in the </w:t>
      </w:r>
      <w:proofErr w:type="spellStart"/>
      <w:r w:rsidR="00D51D56" w:rsidRPr="00D51D56">
        <w:t>Eviplera</w:t>
      </w:r>
      <w:proofErr w:type="spellEnd"/>
      <w:r w:rsidR="00D51D56" w:rsidRPr="00D51D56">
        <w:t xml:space="preserve"> </w:t>
      </w:r>
      <w:r w:rsidR="00C5567F">
        <w:t>group</w:t>
      </w:r>
      <w:r w:rsidR="00D51D56" w:rsidRPr="00D51D56">
        <w:t xml:space="preserve"> and 7 [2%] in the </w:t>
      </w:r>
      <w:proofErr w:type="spellStart"/>
      <w:r w:rsidR="00D51D56" w:rsidRPr="00D51D56">
        <w:t>Atripla</w:t>
      </w:r>
      <w:proofErr w:type="spellEnd"/>
      <w:r w:rsidR="00D51D56" w:rsidRPr="00D51D56">
        <w:t xml:space="preserve"> </w:t>
      </w:r>
      <w:r w:rsidR="00C5567F">
        <w:t>group</w:t>
      </w:r>
      <w:r w:rsidR="00D51D56" w:rsidRPr="00D51D56">
        <w:t>) and all had genotypic</w:t>
      </w:r>
      <w:r w:rsidR="008A5C59">
        <w:t xml:space="preserve"> and phenotypic data available.</w:t>
      </w:r>
    </w:p>
    <w:p w:rsidR="00D51D56" w:rsidRPr="00D51D56" w:rsidRDefault="00752311" w:rsidP="008A5C59">
      <w:r>
        <w:t xml:space="preserve">A total of </w:t>
      </w:r>
      <w:r w:rsidR="00621B5B">
        <w:t>17 of 394 (4%)</w:t>
      </w:r>
      <w:r w:rsidR="00D51D56" w:rsidRPr="00D51D56">
        <w:t xml:space="preserve"> in the </w:t>
      </w:r>
      <w:proofErr w:type="spellStart"/>
      <w:r w:rsidR="00D51D56" w:rsidRPr="00D51D56">
        <w:t>Eviplera</w:t>
      </w:r>
      <w:proofErr w:type="spellEnd"/>
      <w:r w:rsidR="00D51D56" w:rsidRPr="00D51D56">
        <w:t xml:space="preserve"> </w:t>
      </w:r>
      <w:r w:rsidR="00621B5B">
        <w:t>group and 3/392 (1%)</w:t>
      </w:r>
      <w:r w:rsidR="00D51D56" w:rsidRPr="00D51D56">
        <w:t xml:space="preserve"> in the </w:t>
      </w:r>
      <w:proofErr w:type="spellStart"/>
      <w:r w:rsidR="00D51D56" w:rsidRPr="00D51D56">
        <w:t>Atripla</w:t>
      </w:r>
      <w:proofErr w:type="spellEnd"/>
      <w:r w:rsidR="00121C3D">
        <w:t xml:space="preserve"> </w:t>
      </w:r>
      <w:r w:rsidR="00621B5B">
        <w:t>group</w:t>
      </w:r>
      <w:r w:rsidR="00D51D56" w:rsidRPr="00D51D56">
        <w:t xml:space="preserve"> developed primary emergent NRTI or NNRTI resistance mutations or reduced susceptibility</w:t>
      </w:r>
      <w:r w:rsidR="006C2D13">
        <w:t xml:space="preserve"> </w:t>
      </w:r>
      <w:r w:rsidR="00D51D56" w:rsidRPr="00D51D56">
        <w:t xml:space="preserve">to </w:t>
      </w:r>
      <w:r w:rsidR="008A5C59">
        <w:t>at least one regimen component.</w:t>
      </w:r>
    </w:p>
    <w:p w:rsidR="00D51D56" w:rsidRPr="00D51D56" w:rsidRDefault="00D51D56" w:rsidP="008A5C59">
      <w:r w:rsidRPr="00D51D56">
        <w:t>In subjects with</w:t>
      </w:r>
      <w:r w:rsidR="00C74229">
        <w:t xml:space="preserve"> baseline viral load ≤100,000 copies</w:t>
      </w:r>
      <w:r w:rsidRPr="00D51D56">
        <w:t>/mL, emergent resistance</w:t>
      </w:r>
      <w:r w:rsidR="00C74229">
        <w:t xml:space="preserve"> was similar between groups, that is,</w:t>
      </w:r>
      <w:r w:rsidRPr="00D51D56">
        <w:t xml:space="preserve"> 1.9% for </w:t>
      </w:r>
      <w:proofErr w:type="spellStart"/>
      <w:r w:rsidRPr="00D51D56">
        <w:t>Eviplera</w:t>
      </w:r>
      <w:proofErr w:type="spellEnd"/>
      <w:r w:rsidRPr="00D51D56">
        <w:t xml:space="preserve"> and 0.8% for </w:t>
      </w:r>
      <w:proofErr w:type="spellStart"/>
      <w:r w:rsidRPr="00D51D56">
        <w:t>Atripla</w:t>
      </w:r>
      <w:proofErr w:type="spellEnd"/>
      <w:r w:rsidRPr="00D51D56">
        <w:t>. In those with baseline v</w:t>
      </w:r>
      <w:r w:rsidR="00C74229">
        <w:t>iral load &gt;100,000 to 500,000 copies</w:t>
      </w:r>
      <w:r w:rsidRPr="00D51D56">
        <w:t>/mL, 5 o</w:t>
      </w:r>
      <w:r w:rsidR="00C74229">
        <w:t xml:space="preserve">f 98 subjects (5.1%) </w:t>
      </w:r>
      <w:proofErr w:type="spellStart"/>
      <w:r w:rsidR="00C74229">
        <w:t>Eviplera</w:t>
      </w:r>
      <w:proofErr w:type="spellEnd"/>
      <w:r w:rsidR="00C74229">
        <w:t xml:space="preserve"> group</w:t>
      </w:r>
      <w:r w:rsidRPr="00D51D56">
        <w:t xml:space="preserve"> and 0 of 117 subjects (0%) </w:t>
      </w:r>
      <w:proofErr w:type="spellStart"/>
      <w:r w:rsidRPr="00D51D56">
        <w:t>Atripla</w:t>
      </w:r>
      <w:proofErr w:type="spellEnd"/>
      <w:r w:rsidRPr="00D51D56">
        <w:t xml:space="preserve"> </w:t>
      </w:r>
      <w:r w:rsidR="00C74229">
        <w:t>group</w:t>
      </w:r>
      <w:r w:rsidRPr="00D51D56">
        <w:t xml:space="preserve"> subjects developed emergent resistance. For subjects with</w:t>
      </w:r>
      <w:r w:rsidR="00C74229">
        <w:t xml:space="preserve"> baseline viral load &gt;500,000 copies</w:t>
      </w:r>
      <w:r w:rsidRPr="00D51D56">
        <w:t xml:space="preserve">/mL, 7 of 36 (19%) </w:t>
      </w:r>
      <w:proofErr w:type="spellStart"/>
      <w:r w:rsidRPr="00D51D56">
        <w:t>Eviplera</w:t>
      </w:r>
      <w:proofErr w:type="spellEnd"/>
      <w:r w:rsidRPr="00D51D56">
        <w:t xml:space="preserve"> </w:t>
      </w:r>
      <w:r w:rsidR="00C74229">
        <w:t>group</w:t>
      </w:r>
      <w:r w:rsidRPr="00D51D56">
        <w:t xml:space="preserve"> subjects and 1 of 25 (4%) </w:t>
      </w:r>
      <w:proofErr w:type="spellStart"/>
      <w:r w:rsidRPr="00D51D56">
        <w:t>Atripla</w:t>
      </w:r>
      <w:proofErr w:type="spellEnd"/>
      <w:r w:rsidRPr="00D51D56">
        <w:t xml:space="preserve"> </w:t>
      </w:r>
      <w:r w:rsidR="00C74229">
        <w:t>group</w:t>
      </w:r>
      <w:r w:rsidRPr="00D51D56">
        <w:t xml:space="preserve"> subjects had genotypic and/or phenotypic resistance to </w:t>
      </w:r>
      <w:r w:rsidR="008A5C59">
        <w:t>at least one regimen component.</w:t>
      </w:r>
    </w:p>
    <w:p w:rsidR="00D51D56" w:rsidRPr="00D51D56" w:rsidRDefault="00BA539C" w:rsidP="008A5C59">
      <w:pPr>
        <w:pStyle w:val="Heading4"/>
      </w:pPr>
      <w:r>
        <w:lastRenderedPageBreak/>
        <w:t>Safety</w:t>
      </w:r>
    </w:p>
    <w:p w:rsidR="00D51D56" w:rsidRPr="00D51D56" w:rsidRDefault="00D51D56" w:rsidP="008A5C59">
      <w:r w:rsidRPr="00D51D56">
        <w:t xml:space="preserve">No new adverse reactions to </w:t>
      </w:r>
      <w:proofErr w:type="spellStart"/>
      <w:r w:rsidRPr="00D51D56">
        <w:t>Eviplera</w:t>
      </w:r>
      <w:proofErr w:type="spellEnd"/>
      <w:r w:rsidRPr="00D51D56">
        <w:t xml:space="preserve"> were identified in the 3 pivotal clinical tr</w:t>
      </w:r>
      <w:r w:rsidR="00453720">
        <w:t>ials. Based on these studies and</w:t>
      </w:r>
      <w:r w:rsidRPr="00D51D56">
        <w:t xml:space="preserve"> RPV post</w:t>
      </w:r>
      <w:r w:rsidR="00560496">
        <w:t xml:space="preserve"> </w:t>
      </w:r>
      <w:r w:rsidRPr="00D51D56">
        <w:t xml:space="preserve">marketing reports the drug was considered well tolerated. </w:t>
      </w:r>
      <w:proofErr w:type="spellStart"/>
      <w:r w:rsidRPr="00D51D56">
        <w:t>Eviplera</w:t>
      </w:r>
      <w:proofErr w:type="spellEnd"/>
      <w:r w:rsidRPr="00D51D56">
        <w:t xml:space="preserve"> appears to be more lipid</w:t>
      </w:r>
      <w:r w:rsidR="00560496">
        <w:t xml:space="preserve"> </w:t>
      </w:r>
      <w:r w:rsidRPr="00D51D56">
        <w:t>neutral co</w:t>
      </w:r>
      <w:r w:rsidR="00317B8A">
        <w:t xml:space="preserve">mpared to both PI/r and </w:t>
      </w:r>
      <w:proofErr w:type="spellStart"/>
      <w:r w:rsidR="00317B8A">
        <w:t>Atripla</w:t>
      </w:r>
      <w:proofErr w:type="spellEnd"/>
      <w:r w:rsidRPr="00D51D56">
        <w:t>, although differences were modest and of uncertain clinical significance.</w:t>
      </w:r>
    </w:p>
    <w:p w:rsidR="007B6132" w:rsidRDefault="007B6132" w:rsidP="008A5C59">
      <w:pPr>
        <w:pStyle w:val="Heading4"/>
      </w:pPr>
      <w:r w:rsidRPr="007B6132">
        <w:t xml:space="preserve">Clinical evaluator’s </w:t>
      </w:r>
      <w:r w:rsidR="00EE2817">
        <w:t>conclusions and recommendations</w:t>
      </w:r>
    </w:p>
    <w:p w:rsidR="002C102D" w:rsidRPr="002C102D" w:rsidRDefault="002C102D" w:rsidP="008A5C59">
      <w:r w:rsidRPr="002C102D">
        <w:t xml:space="preserve">The </w:t>
      </w:r>
      <w:r w:rsidR="00317B8A">
        <w:t>clinical evaluation report</w:t>
      </w:r>
      <w:r w:rsidRPr="002C102D">
        <w:t xml:space="preserve"> describes benefits of </w:t>
      </w:r>
      <w:proofErr w:type="spellStart"/>
      <w:r w:rsidRPr="002C102D">
        <w:t>Eviplera</w:t>
      </w:r>
      <w:proofErr w:type="spellEnd"/>
      <w:r w:rsidRPr="002C102D">
        <w:t xml:space="preserve"> in the proposed usage as:</w:t>
      </w:r>
    </w:p>
    <w:p w:rsidR="002C102D" w:rsidRPr="008A5C59" w:rsidRDefault="00665271" w:rsidP="008A5C59">
      <w:pPr>
        <w:pStyle w:val="ListBullet"/>
      </w:pPr>
      <w:r w:rsidRPr="008A5C59">
        <w:t>S</w:t>
      </w:r>
      <w:r w:rsidR="002C102D" w:rsidRPr="008A5C59">
        <w:t>afe, with a favourable tolerability profile as a</w:t>
      </w:r>
      <w:r w:rsidR="00317B8A" w:rsidRPr="008A5C59">
        <w:t xml:space="preserve"> switch drug for either </w:t>
      </w:r>
      <w:proofErr w:type="spellStart"/>
      <w:r w:rsidR="00317B8A" w:rsidRPr="008A5C59">
        <w:t>Atripla</w:t>
      </w:r>
      <w:proofErr w:type="spellEnd"/>
      <w:r w:rsidR="00317B8A" w:rsidRPr="008A5C59">
        <w:t xml:space="preserve"> </w:t>
      </w:r>
      <w:r w:rsidR="008A5C59">
        <w:t>or PI/r</w:t>
      </w:r>
    </w:p>
    <w:p w:rsidR="002C102D" w:rsidRPr="008A5C59" w:rsidRDefault="00665271" w:rsidP="008A5C59">
      <w:pPr>
        <w:pStyle w:val="ListBullet"/>
      </w:pPr>
      <w:r w:rsidRPr="008A5C59">
        <w:t>E</w:t>
      </w:r>
      <w:r w:rsidR="002C102D" w:rsidRPr="008A5C59">
        <w:t xml:space="preserve">ffective as a switch drug in virologically suppressed patients on </w:t>
      </w:r>
      <w:proofErr w:type="spellStart"/>
      <w:r w:rsidR="00317B8A" w:rsidRPr="008A5C59">
        <w:t>Atripla</w:t>
      </w:r>
      <w:proofErr w:type="spellEnd"/>
      <w:r w:rsidR="008A5C59">
        <w:t xml:space="preserve"> or PI/r</w:t>
      </w:r>
    </w:p>
    <w:p w:rsidR="002C102D" w:rsidRPr="008A5C59" w:rsidRDefault="00665271" w:rsidP="008A5C59">
      <w:pPr>
        <w:pStyle w:val="ListBullet"/>
      </w:pPr>
      <w:r w:rsidRPr="008A5C59">
        <w:t>N</w:t>
      </w:r>
      <w:r w:rsidR="002C102D" w:rsidRPr="008A5C59">
        <w:t>on</w:t>
      </w:r>
      <w:r w:rsidRPr="008A5C59">
        <w:t xml:space="preserve"> </w:t>
      </w:r>
      <w:r w:rsidR="002C102D" w:rsidRPr="008A5C59">
        <w:t xml:space="preserve">inferior to </w:t>
      </w:r>
      <w:proofErr w:type="spellStart"/>
      <w:r w:rsidR="002C102D" w:rsidRPr="008A5C59">
        <w:t>Atripla</w:t>
      </w:r>
      <w:proofErr w:type="spellEnd"/>
      <w:r w:rsidR="002C102D" w:rsidRPr="008A5C59">
        <w:t xml:space="preserve"> in the head-to-head study in naïve study which patients </w:t>
      </w:r>
      <w:r w:rsidR="008A5C59">
        <w:t>with HIV RNA &gt;100,000 copies/mL</w:t>
      </w:r>
      <w:r w:rsidRPr="008A5C59">
        <w:t xml:space="preserve"> and</w:t>
      </w:r>
    </w:p>
    <w:p w:rsidR="002C102D" w:rsidRPr="008A5C59" w:rsidRDefault="00665271" w:rsidP="008A5C59">
      <w:pPr>
        <w:pStyle w:val="ListBullet"/>
      </w:pPr>
      <w:r w:rsidRPr="008A5C59">
        <w:t>M</w:t>
      </w:r>
      <w:r w:rsidR="002C102D" w:rsidRPr="008A5C59">
        <w:t>odest lipid benefits as a switch drug</w:t>
      </w:r>
      <w:r w:rsidR="008A5C59">
        <w:t>.</w:t>
      </w:r>
    </w:p>
    <w:p w:rsidR="002C102D" w:rsidRPr="002C102D" w:rsidRDefault="002C102D" w:rsidP="008A5C59">
      <w:r w:rsidRPr="002C102D">
        <w:t>The sponsor is seeking a broad approval for use of the drug in “treatment</w:t>
      </w:r>
      <w:r w:rsidR="00BC12AC">
        <w:t xml:space="preserve"> </w:t>
      </w:r>
      <w:r w:rsidRPr="002C102D">
        <w:t>experienced”, when in fact the only use of this drug in treatment</w:t>
      </w:r>
      <w:r w:rsidR="00BC12AC">
        <w:t xml:space="preserve"> </w:t>
      </w:r>
      <w:r w:rsidRPr="002C102D">
        <w:t xml:space="preserve">experienced patients as presented in this </w:t>
      </w:r>
      <w:r w:rsidR="00BC12AC">
        <w:t>submission</w:t>
      </w:r>
      <w:r w:rsidRPr="002C102D">
        <w:t xml:space="preserve"> is as a switch drug for either </w:t>
      </w:r>
      <w:proofErr w:type="spellStart"/>
      <w:r w:rsidRPr="002C102D">
        <w:t>Atripla</w:t>
      </w:r>
      <w:proofErr w:type="spellEnd"/>
      <w:r w:rsidRPr="002C102D">
        <w:t xml:space="preserve"> or PI/r in patients who have not virologically failed their previous regimen and without baseline resistance to the components of </w:t>
      </w:r>
      <w:proofErr w:type="spellStart"/>
      <w:r w:rsidRPr="002C102D">
        <w:t>Eviplera</w:t>
      </w:r>
      <w:proofErr w:type="spellEnd"/>
      <w:r w:rsidRPr="002C102D">
        <w:t xml:space="preserve"> on</w:t>
      </w:r>
      <w:r w:rsidR="008A5C59">
        <w:t xml:space="preserve"> historical resistance testing.</w:t>
      </w:r>
    </w:p>
    <w:p w:rsidR="002C102D" w:rsidRDefault="00C24375" w:rsidP="008A5C59">
      <w:r>
        <w:t>The clinical evaluation report</w:t>
      </w:r>
      <w:r w:rsidR="002C102D" w:rsidRPr="002C102D">
        <w:t xml:space="preserve"> did not support approval of </w:t>
      </w:r>
      <w:proofErr w:type="spellStart"/>
      <w:r w:rsidR="002C102D" w:rsidRPr="002C102D">
        <w:t>Eviplera</w:t>
      </w:r>
      <w:proofErr w:type="spellEnd"/>
      <w:r w:rsidR="002C102D" w:rsidRPr="002C102D">
        <w:t xml:space="preserve"> in ARV naïve patients with HIV-1 RNA &gt;100,000 </w:t>
      </w:r>
      <w:r w:rsidR="002C102D">
        <w:t xml:space="preserve">to </w:t>
      </w:r>
      <w:r w:rsidR="002C102D" w:rsidRPr="002C102D">
        <w:t xml:space="preserve">&lt;500,000 copies/mL as proposed in the application because of emergent resistance. Particular issues were most patients experiencing virological failure on </w:t>
      </w:r>
      <w:proofErr w:type="spellStart"/>
      <w:r w:rsidR="002C102D" w:rsidRPr="002C102D">
        <w:t>Eviplera</w:t>
      </w:r>
      <w:proofErr w:type="spellEnd"/>
      <w:r w:rsidR="002C102D" w:rsidRPr="002C102D">
        <w:t xml:space="preserve"> failed with multiple NNRTI and NRTI resistance mutations with potential negative impacts on future treatment options.</w:t>
      </w:r>
      <w:r w:rsidR="00121C3D">
        <w:t xml:space="preserve"> </w:t>
      </w:r>
      <w:r w:rsidR="002C102D" w:rsidRPr="002C102D">
        <w:t xml:space="preserve">Concerns were compounded by the association of higher virological failure in patients with low </w:t>
      </w:r>
      <w:r w:rsidR="008A5C59">
        <w:t xml:space="preserve">CD4 + counts starting </w:t>
      </w:r>
      <w:proofErr w:type="spellStart"/>
      <w:r w:rsidR="008A5C59">
        <w:t>Eviplera</w:t>
      </w:r>
      <w:proofErr w:type="spellEnd"/>
      <w:r w:rsidR="008A5C59">
        <w:t>.</w:t>
      </w:r>
    </w:p>
    <w:p w:rsidR="00AD2940" w:rsidRDefault="00C24375" w:rsidP="008A5C59">
      <w:r>
        <w:t>The clinical evaluation report</w:t>
      </w:r>
      <w:r w:rsidRPr="002C102D">
        <w:t xml:space="preserve"> </w:t>
      </w:r>
      <w:r w:rsidR="00EE2817" w:rsidRPr="00EE2817">
        <w:t>recommends the authori</w:t>
      </w:r>
      <w:r w:rsidR="00EB5EB8">
        <w:t xml:space="preserve">sation of </w:t>
      </w:r>
      <w:proofErr w:type="spellStart"/>
      <w:r w:rsidR="00EB5EB8">
        <w:t>Eviplera</w:t>
      </w:r>
      <w:proofErr w:type="spellEnd"/>
      <w:r w:rsidR="00EB5EB8">
        <w:t xml:space="preserve"> in treatment </w:t>
      </w:r>
      <w:r w:rsidR="00EE2817" w:rsidRPr="00EE2817">
        <w:t xml:space="preserve">experienced patients wishing to switch away from an NNRTI or PI/r regimen for tolerability or pill burden reasons. Patients must not have a history of resistance to any components of the drug on historical genotype. </w:t>
      </w:r>
      <w:r w:rsidR="00EB5EB8">
        <w:t>The clinical evaluation report</w:t>
      </w:r>
      <w:r w:rsidR="00EB5EB8" w:rsidRPr="002C102D">
        <w:t xml:space="preserve"> </w:t>
      </w:r>
      <w:r w:rsidR="00EE2817" w:rsidRPr="00EE2817">
        <w:t>considered the definition of “treatment</w:t>
      </w:r>
      <w:r w:rsidR="00317B8A">
        <w:t xml:space="preserve"> </w:t>
      </w:r>
      <w:r w:rsidR="00EE2817" w:rsidRPr="00EE2817">
        <w:t xml:space="preserve">experienced” needs to be qualified in line with the data provided in this Application’. In the </w:t>
      </w:r>
      <w:r w:rsidR="00A72377">
        <w:t>PI</w:t>
      </w:r>
      <w:r w:rsidR="00EE2817" w:rsidRPr="00EE2817">
        <w:t xml:space="preserve"> submitted in the S</w:t>
      </w:r>
      <w:r w:rsidR="00A72377">
        <w:t xml:space="preserve">ection </w:t>
      </w:r>
      <w:r w:rsidR="00EE2817" w:rsidRPr="00EE2817">
        <w:t xml:space="preserve">31 </w:t>
      </w:r>
      <w:r w:rsidR="007F3CE8">
        <w:t>r</w:t>
      </w:r>
      <w:r w:rsidR="00EE2817" w:rsidRPr="00EE2817">
        <w:t>esponse</w:t>
      </w:r>
      <w:r w:rsidR="007F3CE8">
        <w:t>,</w:t>
      </w:r>
      <w:r w:rsidR="00EE2817" w:rsidRPr="00EE2817">
        <w:t xml:space="preserve"> the </w:t>
      </w:r>
      <w:r w:rsidR="00A72377">
        <w:t>s</w:t>
      </w:r>
      <w:r w:rsidR="00EE2817" w:rsidRPr="00EE2817">
        <w:t>pons</w:t>
      </w:r>
      <w:r w:rsidR="00AD2940">
        <w:t>or maintains a broad indication:</w:t>
      </w:r>
    </w:p>
    <w:p w:rsidR="00AD2940" w:rsidRPr="008A5C59" w:rsidRDefault="00A72377" w:rsidP="008A5C59">
      <w:pPr>
        <w:ind w:left="720"/>
        <w:rPr>
          <w:i/>
        </w:rPr>
      </w:pPr>
      <w:proofErr w:type="spellStart"/>
      <w:r w:rsidRPr="008A5C59">
        <w:rPr>
          <w:i/>
        </w:rPr>
        <w:t>Eviplera</w:t>
      </w:r>
      <w:proofErr w:type="spellEnd"/>
      <w:r w:rsidR="00EE2817" w:rsidRPr="008A5C59">
        <w:rPr>
          <w:i/>
        </w:rPr>
        <w:t xml:space="preserve"> is indicated for the treatment of HIV-1 infection in adult p</w:t>
      </w:r>
      <w:r w:rsidR="00AD2940" w:rsidRPr="008A5C59">
        <w:rPr>
          <w:i/>
        </w:rPr>
        <w:t>atients with plasma HIV-1 RNA &lt;</w:t>
      </w:r>
      <w:r w:rsidR="00EE2817" w:rsidRPr="008A5C59">
        <w:rPr>
          <w:i/>
        </w:rPr>
        <w:t xml:space="preserve">100,000 copies/mL (see CLINICAL TRIALS). Patients must not have a history of resistance to any of the components of </w:t>
      </w:r>
      <w:proofErr w:type="spellStart"/>
      <w:r w:rsidRPr="008A5C59">
        <w:rPr>
          <w:i/>
        </w:rPr>
        <w:t>Eviplera</w:t>
      </w:r>
      <w:proofErr w:type="spellEnd"/>
      <w:r w:rsidR="00EE2817" w:rsidRPr="008A5C59">
        <w:rPr>
          <w:i/>
        </w:rPr>
        <w:t xml:space="preserve"> (</w:t>
      </w:r>
      <w:r w:rsidR="00861F0A" w:rsidRPr="008A5C59">
        <w:rPr>
          <w:i/>
        </w:rPr>
        <w:t>TDF, FTC or RPV</w:t>
      </w:r>
      <w:r w:rsidR="00AD2940" w:rsidRPr="008A5C59">
        <w:rPr>
          <w:i/>
        </w:rPr>
        <w:t>).</w:t>
      </w:r>
    </w:p>
    <w:p w:rsidR="00EE2817" w:rsidRPr="00EE2817" w:rsidRDefault="00EE2817" w:rsidP="008A5C59">
      <w:r w:rsidRPr="00EE2817">
        <w:t>Under ‘CLINICAL TRIALS’</w:t>
      </w:r>
      <w:r w:rsidR="00350612">
        <w:t>,</w:t>
      </w:r>
      <w:r w:rsidRPr="00EE2817">
        <w:t xml:space="preserve"> the subheading “In Treatment Experienced HIV-1 Infected Patients has been amended to “In Virologically Suppressed HIV-1 Infected Patients”.</w:t>
      </w:r>
    </w:p>
    <w:p w:rsidR="00EE2817" w:rsidRPr="00EE2817" w:rsidRDefault="006C55CA" w:rsidP="008A5C59">
      <w:r>
        <w:t xml:space="preserve">The Delegate </w:t>
      </w:r>
      <w:r w:rsidR="00EE2817" w:rsidRPr="00EE2817">
        <w:t>consider</w:t>
      </w:r>
      <w:r>
        <w:t>s the s</w:t>
      </w:r>
      <w:r w:rsidR="00EE2817" w:rsidRPr="00EE2817">
        <w:t>ponsor</w:t>
      </w:r>
      <w:r>
        <w:t>’s</w:t>
      </w:r>
      <w:r w:rsidR="00EE2817" w:rsidRPr="00EE2817">
        <w:t xml:space="preserve"> </w:t>
      </w:r>
      <w:r>
        <w:t>r</w:t>
      </w:r>
      <w:r w:rsidR="00EE2817" w:rsidRPr="00EE2817">
        <w:t>esponse to ‘Indications’ is inadequate in view of the very limited clinical experience in treatment experienced HIV-1 infected patients.</w:t>
      </w:r>
      <w:r w:rsidR="00121C3D">
        <w:t xml:space="preserve"> </w:t>
      </w:r>
      <w:r w:rsidR="00AD2940">
        <w:t xml:space="preserve">The Delegate </w:t>
      </w:r>
      <w:r w:rsidR="00EE2817" w:rsidRPr="00EE2817">
        <w:t>consider</w:t>
      </w:r>
      <w:r w:rsidR="00AD2940">
        <w:t>s</w:t>
      </w:r>
      <w:r w:rsidR="00EE2817" w:rsidRPr="00EE2817">
        <w:t xml:space="preserve"> the current ‘Indications’ statement in treatment</w:t>
      </w:r>
      <w:r w:rsidR="00AD2940">
        <w:t xml:space="preserve"> </w:t>
      </w:r>
      <w:r w:rsidR="00EE2817" w:rsidRPr="00EE2817">
        <w:t>naïve adult patien</w:t>
      </w:r>
      <w:r w:rsidR="00AD2940">
        <w:t>ts with plasma HIV-1 RNA &lt; 100,</w:t>
      </w:r>
      <w:r w:rsidR="00EE2817" w:rsidRPr="00EE2817">
        <w:t>000 copies/mL should be maintained and a new statement added in relation to in certain virologically</w:t>
      </w:r>
      <w:r w:rsidR="00A5257C">
        <w:t xml:space="preserve"> </w:t>
      </w:r>
      <w:r w:rsidR="00EE2817" w:rsidRPr="00EE2817">
        <w:t xml:space="preserve">suppressed (HIV-1 RNA &lt;50 copies/mL) adult patients on a stable antiretroviral regimen at start of therapy in order to replace their current antiretroviral treatment regimen (see Clinical Trials). Patients must not have a history of resistance to any of the components of </w:t>
      </w:r>
      <w:proofErr w:type="spellStart"/>
      <w:r w:rsidR="00033EF3">
        <w:t>Eviplera</w:t>
      </w:r>
      <w:proofErr w:type="spellEnd"/>
      <w:r w:rsidR="00EE2817" w:rsidRPr="00EE2817">
        <w:t xml:space="preserve"> (</w:t>
      </w:r>
      <w:r w:rsidR="00033EF3">
        <w:t>T</w:t>
      </w:r>
      <w:r w:rsidR="00EE2817" w:rsidRPr="00EE2817">
        <w:t xml:space="preserve">DF, </w:t>
      </w:r>
      <w:r w:rsidR="00C457A8">
        <w:t>FTC</w:t>
      </w:r>
      <w:r w:rsidR="00EE2817" w:rsidRPr="00EE2817">
        <w:t xml:space="preserve"> or </w:t>
      </w:r>
      <w:r w:rsidR="00033EF3">
        <w:t>RPV</w:t>
      </w:r>
      <w:r w:rsidR="00EE2817" w:rsidRPr="00EE2817">
        <w:t>).</w:t>
      </w:r>
    </w:p>
    <w:p w:rsidR="008E7846" w:rsidRDefault="000E55BF" w:rsidP="008A5C59">
      <w:pPr>
        <w:pStyle w:val="Heading3"/>
        <w:rPr>
          <w:lang w:eastAsia="en-AU"/>
        </w:rPr>
      </w:pPr>
      <w:bookmarkStart w:id="94" w:name="_Toc396298064"/>
      <w:r>
        <w:rPr>
          <w:lang w:eastAsia="en-AU"/>
        </w:rPr>
        <w:lastRenderedPageBreak/>
        <w:t xml:space="preserve">Risk </w:t>
      </w:r>
      <w:r w:rsidR="008A5C59">
        <w:rPr>
          <w:lang w:eastAsia="en-AU"/>
        </w:rPr>
        <w:t>m</w:t>
      </w:r>
      <w:r w:rsidR="008E7846">
        <w:rPr>
          <w:lang w:eastAsia="en-AU"/>
        </w:rPr>
        <w:t xml:space="preserve">anagement </w:t>
      </w:r>
      <w:r w:rsidR="008A5C59">
        <w:rPr>
          <w:lang w:eastAsia="en-AU"/>
        </w:rPr>
        <w:t>p</w:t>
      </w:r>
      <w:r w:rsidR="008E7846">
        <w:rPr>
          <w:lang w:eastAsia="en-AU"/>
        </w:rPr>
        <w:t>lan</w:t>
      </w:r>
      <w:bookmarkEnd w:id="93"/>
      <w:bookmarkEnd w:id="94"/>
    </w:p>
    <w:p w:rsidR="002C102D" w:rsidRPr="002C102D" w:rsidRDefault="002C102D" w:rsidP="008A5C59">
      <w:r w:rsidRPr="002C102D">
        <w:t xml:space="preserve">The RMP Round 2 </w:t>
      </w:r>
      <w:r w:rsidR="006C55CA">
        <w:t>e</w:t>
      </w:r>
      <w:r w:rsidRPr="002C102D">
        <w:t xml:space="preserve">valuation still considers aspects of the Version 2.0 </w:t>
      </w:r>
      <w:proofErr w:type="spellStart"/>
      <w:r w:rsidR="006C55CA">
        <w:t>Eviplera</w:t>
      </w:r>
      <w:proofErr w:type="spellEnd"/>
      <w:r w:rsidRPr="002C102D">
        <w:t xml:space="preserve"> AU-RMP are unsatisfactory and the sponsor should correct these oversights before this application is approved.</w:t>
      </w:r>
    </w:p>
    <w:p w:rsidR="008E7846" w:rsidRDefault="00AA0ED0" w:rsidP="008A5C59">
      <w:pPr>
        <w:pStyle w:val="Heading3"/>
      </w:pPr>
      <w:bookmarkStart w:id="95" w:name="_Toc247691531"/>
      <w:bookmarkStart w:id="96" w:name="_Toc314842515"/>
      <w:bookmarkStart w:id="97" w:name="_Toc396298065"/>
      <w:bookmarkStart w:id="98" w:name="_Toc196046505"/>
      <w:bookmarkStart w:id="99" w:name="_Toc196046949"/>
      <w:r>
        <w:t>Risk-</w:t>
      </w:r>
      <w:r w:rsidR="008A5C59">
        <w:t>b</w:t>
      </w:r>
      <w:r>
        <w:t xml:space="preserve">enefit </w:t>
      </w:r>
      <w:r w:rsidR="008A5C59">
        <w:t>a</w:t>
      </w:r>
      <w:r w:rsidR="008E7846">
        <w:t>nalysis</w:t>
      </w:r>
      <w:bookmarkEnd w:id="95"/>
      <w:bookmarkEnd w:id="96"/>
      <w:bookmarkEnd w:id="97"/>
    </w:p>
    <w:p w:rsidR="00D23139" w:rsidRDefault="00D23139" w:rsidP="008A5C59">
      <w:pPr>
        <w:pStyle w:val="Heading4"/>
      </w:pPr>
      <w:r w:rsidRPr="00D23139">
        <w:t>De</w:t>
      </w:r>
      <w:r w:rsidR="00AC07AF">
        <w:t>legate’s considerations</w:t>
      </w:r>
    </w:p>
    <w:p w:rsidR="00AD2940" w:rsidRDefault="00E62A9A" w:rsidP="008A5C59">
      <w:r w:rsidRPr="00393551">
        <w:t xml:space="preserve">The </w:t>
      </w:r>
      <w:r>
        <w:t>s</w:t>
      </w:r>
      <w:r w:rsidRPr="00393551">
        <w:t>ponsor curren</w:t>
      </w:r>
      <w:r w:rsidR="00AD2940">
        <w:t>tly proposes broad indications:</w:t>
      </w:r>
    </w:p>
    <w:p w:rsidR="00E62A9A" w:rsidRPr="008A5C59" w:rsidRDefault="006C55CA" w:rsidP="008A5C59">
      <w:pPr>
        <w:ind w:left="720"/>
        <w:rPr>
          <w:i/>
        </w:rPr>
      </w:pPr>
      <w:proofErr w:type="spellStart"/>
      <w:r w:rsidRPr="008A5C59">
        <w:rPr>
          <w:i/>
        </w:rPr>
        <w:t>Eviplera</w:t>
      </w:r>
      <w:proofErr w:type="spellEnd"/>
      <w:r w:rsidR="00E62A9A" w:rsidRPr="008A5C59">
        <w:rPr>
          <w:i/>
        </w:rPr>
        <w:t xml:space="preserve"> is indicated for the treatment of HIV-1 infection in adult patients with plasma HIV-1 RNA ≤ 100,000 c</w:t>
      </w:r>
      <w:r w:rsidR="00AC07AF">
        <w:rPr>
          <w:i/>
        </w:rPr>
        <w:t>opies/mL (see CLINICAL TRIALS).</w:t>
      </w:r>
    </w:p>
    <w:p w:rsidR="00E62A9A" w:rsidRPr="008A5C59" w:rsidRDefault="00E62A9A" w:rsidP="008A5C59">
      <w:pPr>
        <w:ind w:left="720"/>
        <w:rPr>
          <w:i/>
        </w:rPr>
      </w:pPr>
      <w:r w:rsidRPr="008A5C59">
        <w:rPr>
          <w:i/>
        </w:rPr>
        <w:t>Patients must not have a history of resistance to any of the components of EVIPLERA (</w:t>
      </w:r>
      <w:r w:rsidR="006C390B" w:rsidRPr="008A5C59">
        <w:rPr>
          <w:i/>
        </w:rPr>
        <w:t>TDF, FTC or RPV</w:t>
      </w:r>
      <w:r w:rsidR="00AD2940" w:rsidRPr="008A5C59">
        <w:rPr>
          <w:i/>
        </w:rPr>
        <w:t>).</w:t>
      </w:r>
    </w:p>
    <w:p w:rsidR="00E62A9A" w:rsidRPr="00393551" w:rsidRDefault="00E62A9A" w:rsidP="008A5C59">
      <w:r w:rsidRPr="00393551">
        <w:t>Clinical Trials section of PI includes subheadings “In Treatment</w:t>
      </w:r>
      <w:r w:rsidR="003D3AB7">
        <w:t xml:space="preserve"> </w:t>
      </w:r>
      <w:r w:rsidRPr="00393551">
        <w:t>Naïve HIV-1 Infected Adults” and “In Virologically Suppressed HIV-1 Infected Patients”.</w:t>
      </w:r>
    </w:p>
    <w:p w:rsidR="00E62A9A" w:rsidRPr="00393551" w:rsidRDefault="00E62A9A" w:rsidP="008A5C59">
      <w:r w:rsidRPr="00393551">
        <w:t>The only use of this drug in treatment</w:t>
      </w:r>
      <w:r w:rsidR="003D3AB7">
        <w:t xml:space="preserve"> </w:t>
      </w:r>
      <w:r w:rsidRPr="00393551">
        <w:t>experienced patients</w:t>
      </w:r>
      <w:r w:rsidR="00121C3D">
        <w:t xml:space="preserve"> </w:t>
      </w:r>
      <w:r w:rsidRPr="00393551">
        <w:t xml:space="preserve">presented in this application is as a switch drug for either </w:t>
      </w:r>
      <w:proofErr w:type="spellStart"/>
      <w:r w:rsidRPr="00393551">
        <w:t>Atripla</w:t>
      </w:r>
      <w:proofErr w:type="spellEnd"/>
      <w:r w:rsidRPr="00393551">
        <w:t xml:space="preserve"> or PI/r in patients who have not virologically failed their previous regimen and without baseline resistance to the components of </w:t>
      </w:r>
      <w:proofErr w:type="spellStart"/>
      <w:r w:rsidRPr="00393551">
        <w:t>Eviplera</w:t>
      </w:r>
      <w:proofErr w:type="spellEnd"/>
      <w:r w:rsidRPr="00393551">
        <w:t xml:space="preserve"> on history and resistance testing.</w:t>
      </w:r>
    </w:p>
    <w:p w:rsidR="00E62A9A" w:rsidRPr="00393551" w:rsidRDefault="003D3AB7" w:rsidP="008A5C59">
      <w:r>
        <w:t>The clinical evaluation report</w:t>
      </w:r>
      <w:r w:rsidR="00E62A9A" w:rsidRPr="00393551">
        <w:t xml:space="preserve"> did not support approval of </w:t>
      </w:r>
      <w:proofErr w:type="spellStart"/>
      <w:r w:rsidR="00E62A9A" w:rsidRPr="00393551">
        <w:t>Eviplera</w:t>
      </w:r>
      <w:proofErr w:type="spellEnd"/>
      <w:r w:rsidR="00E62A9A" w:rsidRPr="00393551">
        <w:t xml:space="preserve"> in ARV naïve patie</w:t>
      </w:r>
      <w:r w:rsidR="00E62A9A">
        <w:t xml:space="preserve">nts with HIV-1 RNA &gt;100,000 to </w:t>
      </w:r>
      <w:r w:rsidR="00E62A9A" w:rsidRPr="00393551">
        <w:t xml:space="preserve">&lt;500,000 copies/mL, as proposed in the application, because of emergent resistance in Study GS-US-264-0110. </w:t>
      </w:r>
      <w:r w:rsidR="00D35F42" w:rsidRPr="00D35F42">
        <w:t xml:space="preserve">The sponsor has amended the indication statement in line with the </w:t>
      </w:r>
      <w:r w:rsidR="00D35F42">
        <w:t>c</w:t>
      </w:r>
      <w:r w:rsidR="00D35F42" w:rsidRPr="00D35F42">
        <w:t xml:space="preserve">linical </w:t>
      </w:r>
      <w:r w:rsidR="00D35F42">
        <w:t>e</w:t>
      </w:r>
      <w:r w:rsidR="00D35F42" w:rsidRPr="00D35F42">
        <w:t>valuator</w:t>
      </w:r>
      <w:r w:rsidR="00D35F42">
        <w:t>’</w:t>
      </w:r>
      <w:r w:rsidR="00D35F42" w:rsidRPr="00D35F42">
        <w:t xml:space="preserve">s comment that the current threshold of ≤100,000 copies/mL is acceptable. Accordingly, </w:t>
      </w:r>
      <w:r w:rsidR="00D35F42">
        <w:t xml:space="preserve">the sponsor </w:t>
      </w:r>
      <w:r w:rsidR="00D35F42" w:rsidRPr="00D35F42">
        <w:t xml:space="preserve">has removed all clinical data from the PI relating to </w:t>
      </w:r>
      <w:r w:rsidR="00D35F42">
        <w:t>S</w:t>
      </w:r>
      <w:r w:rsidR="00D35F42" w:rsidRPr="00D35F42">
        <w:t>tudy GS-US-264-0110</w:t>
      </w:r>
      <w:r w:rsidR="00E62A9A" w:rsidRPr="00393551">
        <w:t>.</w:t>
      </w:r>
    </w:p>
    <w:p w:rsidR="00E62A9A" w:rsidRPr="00393551" w:rsidRDefault="00514A91" w:rsidP="008A5C59">
      <w:r>
        <w:t>The Delegate</w:t>
      </w:r>
      <w:r w:rsidRPr="00962F86">
        <w:t xml:space="preserve"> </w:t>
      </w:r>
      <w:r w:rsidR="00E62A9A" w:rsidRPr="00393551">
        <w:t>consider</w:t>
      </w:r>
      <w:r>
        <w:t>s</w:t>
      </w:r>
      <w:r w:rsidR="00E62A9A" w:rsidRPr="00393551">
        <w:t xml:space="preserve"> that the extension of extension of Indications should have separately statements relating to use in the study populations, as follows:</w:t>
      </w:r>
    </w:p>
    <w:p w:rsidR="00E62A9A" w:rsidRPr="008A5C59" w:rsidRDefault="00514A91" w:rsidP="008A5C59">
      <w:pPr>
        <w:ind w:left="720"/>
        <w:rPr>
          <w:i/>
        </w:rPr>
      </w:pPr>
      <w:proofErr w:type="spellStart"/>
      <w:r w:rsidRPr="008A5C59">
        <w:rPr>
          <w:i/>
        </w:rPr>
        <w:t>Eviplera</w:t>
      </w:r>
      <w:proofErr w:type="spellEnd"/>
      <w:r w:rsidR="00E62A9A" w:rsidRPr="008A5C59">
        <w:rPr>
          <w:i/>
        </w:rPr>
        <w:t xml:space="preserve"> is indicated for the treatment of HIV-1 infection in treatment-naïve adult patients with plasma HIV-1 RNA &lt;100,000 copies/mL at the start of therapy</w:t>
      </w:r>
      <w:r w:rsidR="008E5ED9" w:rsidRPr="008A5C59">
        <w:rPr>
          <w:i/>
        </w:rPr>
        <w:t>.</w:t>
      </w:r>
    </w:p>
    <w:p w:rsidR="00E62A9A" w:rsidRPr="008A5C59" w:rsidRDefault="00514A91" w:rsidP="008A5C59">
      <w:pPr>
        <w:ind w:left="720"/>
        <w:rPr>
          <w:i/>
        </w:rPr>
      </w:pPr>
      <w:proofErr w:type="spellStart"/>
      <w:r w:rsidRPr="008A5C59">
        <w:rPr>
          <w:i/>
        </w:rPr>
        <w:t>Eviplera</w:t>
      </w:r>
      <w:proofErr w:type="spellEnd"/>
      <w:r w:rsidR="00E62A9A" w:rsidRPr="008A5C59">
        <w:rPr>
          <w:i/>
        </w:rPr>
        <w:t xml:space="preserve"> is also indicated in certain virologically-suppressed (HIV-1 RNA &lt;50 copies/mL) adult patients on a stable antiretroviral regimen at start of therapy in order to replace their current antiretroviral treatment regimen (see Clinical Trials). Patients must not have a history of resistance to any of the components of </w:t>
      </w:r>
      <w:proofErr w:type="spellStart"/>
      <w:r w:rsidRPr="008A5C59">
        <w:rPr>
          <w:i/>
        </w:rPr>
        <w:t>Eviplera</w:t>
      </w:r>
      <w:proofErr w:type="spellEnd"/>
      <w:r w:rsidR="00E62A9A" w:rsidRPr="008A5C59">
        <w:rPr>
          <w:i/>
        </w:rPr>
        <w:t xml:space="preserve"> (</w:t>
      </w:r>
      <w:r w:rsidR="003D3AB7" w:rsidRPr="008A5C59">
        <w:rPr>
          <w:i/>
        </w:rPr>
        <w:t>TDF, FTC or RPV</w:t>
      </w:r>
      <w:r w:rsidR="00E62A9A" w:rsidRPr="008A5C59">
        <w:rPr>
          <w:i/>
        </w:rPr>
        <w:t>)</w:t>
      </w:r>
      <w:r w:rsidR="008E5ED9" w:rsidRPr="008A5C59">
        <w:rPr>
          <w:i/>
        </w:rPr>
        <w:t>.</w:t>
      </w:r>
    </w:p>
    <w:p w:rsidR="00D23139" w:rsidRDefault="00D23139" w:rsidP="008A5C59">
      <w:pPr>
        <w:pStyle w:val="Heading4"/>
      </w:pPr>
      <w:r w:rsidRPr="00D23139">
        <w:t>Proposed action</w:t>
      </w:r>
    </w:p>
    <w:p w:rsidR="00962F86" w:rsidRDefault="00FD6191" w:rsidP="008A5C59">
      <w:r>
        <w:t>The Delegate</w:t>
      </w:r>
      <w:r w:rsidR="00962F86" w:rsidRPr="00962F86">
        <w:t xml:space="preserve"> ha</w:t>
      </w:r>
      <w:r>
        <w:t>s</w:t>
      </w:r>
      <w:r w:rsidR="00962F86" w:rsidRPr="00962F86">
        <w:t xml:space="preserve"> no reason to say, at this time, that the application </w:t>
      </w:r>
      <w:r w:rsidR="008F748D">
        <w:t xml:space="preserve">for </w:t>
      </w:r>
      <w:proofErr w:type="spellStart"/>
      <w:r w:rsidR="008F748D">
        <w:t>Eviplera</w:t>
      </w:r>
      <w:proofErr w:type="spellEnd"/>
      <w:r w:rsidR="008F748D">
        <w:t xml:space="preserve"> </w:t>
      </w:r>
      <w:r w:rsidR="00962F86" w:rsidRPr="00962F86">
        <w:t>should not be approved for registration, subject to finalisation of indications</w:t>
      </w:r>
      <w:r w:rsidR="00962F86">
        <w:t>.</w:t>
      </w:r>
    </w:p>
    <w:p w:rsidR="00D23139" w:rsidRDefault="00D23139" w:rsidP="008A5C59">
      <w:pPr>
        <w:pStyle w:val="Heading4"/>
      </w:pPr>
      <w:r w:rsidRPr="00D23139">
        <w:t>Request for ACPM advice</w:t>
      </w:r>
    </w:p>
    <w:p w:rsidR="00393551" w:rsidRPr="00A52B73" w:rsidRDefault="00393551" w:rsidP="008A5C59">
      <w:r w:rsidRPr="00A52B73">
        <w:t>The committee is requested to provide advice on the following specific issues:</w:t>
      </w:r>
    </w:p>
    <w:p w:rsidR="00393551" w:rsidRPr="00A52B73" w:rsidRDefault="00393551" w:rsidP="008A5C59">
      <w:pPr>
        <w:pStyle w:val="ListBullet"/>
      </w:pPr>
      <w:r w:rsidRPr="00A52B73">
        <w:t xml:space="preserve">The acceptability of the Indications currently proposed by the </w:t>
      </w:r>
      <w:r w:rsidR="00A52B73">
        <w:t>s</w:t>
      </w:r>
      <w:r w:rsidRPr="00A52B73">
        <w:t>ponsor:</w:t>
      </w:r>
    </w:p>
    <w:p w:rsidR="00393551" w:rsidRPr="008A5C59" w:rsidRDefault="00393551" w:rsidP="008A5C59">
      <w:pPr>
        <w:pStyle w:val="ListBullet2"/>
        <w:rPr>
          <w:i/>
        </w:rPr>
      </w:pPr>
      <w:proofErr w:type="spellStart"/>
      <w:r w:rsidRPr="008A5C59">
        <w:rPr>
          <w:i/>
        </w:rPr>
        <w:t>E</w:t>
      </w:r>
      <w:r w:rsidR="00822A39" w:rsidRPr="008A5C59">
        <w:rPr>
          <w:i/>
        </w:rPr>
        <w:t>viplera</w:t>
      </w:r>
      <w:proofErr w:type="spellEnd"/>
      <w:r w:rsidRPr="008A5C59">
        <w:rPr>
          <w:i/>
        </w:rPr>
        <w:t xml:space="preserve"> is indicated for the treatment of HIV-1 infection in adult patients with plasma HIV-1 RNA ≤ 100,000 c</w:t>
      </w:r>
      <w:r w:rsidR="008A5C59">
        <w:rPr>
          <w:i/>
        </w:rPr>
        <w:t>opies/mL (see CLINICAL TRIALS).</w:t>
      </w:r>
    </w:p>
    <w:p w:rsidR="00393551" w:rsidRPr="008A5C59" w:rsidRDefault="00393551" w:rsidP="008A5C59">
      <w:pPr>
        <w:pStyle w:val="ListBullet2"/>
        <w:rPr>
          <w:i/>
        </w:rPr>
      </w:pPr>
      <w:r w:rsidRPr="008A5C59">
        <w:rPr>
          <w:i/>
        </w:rPr>
        <w:lastRenderedPageBreak/>
        <w:t xml:space="preserve">Patients must not have a history of resistance to any of the components of </w:t>
      </w:r>
      <w:proofErr w:type="spellStart"/>
      <w:r w:rsidR="00C540E6" w:rsidRPr="008A5C59">
        <w:rPr>
          <w:i/>
        </w:rPr>
        <w:t>Eviplera</w:t>
      </w:r>
      <w:proofErr w:type="spellEnd"/>
      <w:r w:rsidRPr="008A5C59">
        <w:rPr>
          <w:i/>
        </w:rPr>
        <w:t xml:space="preserve"> (</w:t>
      </w:r>
      <w:r w:rsidR="00822A39" w:rsidRPr="008A5C59">
        <w:rPr>
          <w:i/>
        </w:rPr>
        <w:t>TDF, FTC or RPV)</w:t>
      </w:r>
      <w:r w:rsidR="008A5C59">
        <w:rPr>
          <w:i/>
        </w:rPr>
        <w:t>.</w:t>
      </w:r>
    </w:p>
    <w:p w:rsidR="006D6A1E" w:rsidRPr="00A52B73" w:rsidRDefault="00393551" w:rsidP="008A5C59">
      <w:r w:rsidRPr="00A52B73">
        <w:t>The committee is (also) requested to provide advice on any other issues that it thinks may be relevant to a decision on whether or not to approve this application.</w:t>
      </w:r>
    </w:p>
    <w:p w:rsidR="00D23139" w:rsidRDefault="00D23139" w:rsidP="008A5C59">
      <w:pPr>
        <w:pStyle w:val="Heading4"/>
      </w:pPr>
      <w:r w:rsidRPr="00D23139">
        <w:t xml:space="preserve">Response from </w:t>
      </w:r>
      <w:r w:rsidR="000E55BF">
        <w:t>s</w:t>
      </w:r>
      <w:r w:rsidR="008A5C59">
        <w:t>ponsor</w:t>
      </w:r>
    </w:p>
    <w:p w:rsidR="0056374C" w:rsidRPr="0056374C" w:rsidRDefault="0056374C" w:rsidP="008A5C59">
      <w:proofErr w:type="spellStart"/>
      <w:r w:rsidRPr="0056374C">
        <w:t>E</w:t>
      </w:r>
      <w:r w:rsidR="00882A0E">
        <w:t>viplera</w:t>
      </w:r>
      <w:proofErr w:type="spellEnd"/>
      <w:r w:rsidRPr="0056374C">
        <w:t xml:space="preserve"> </w:t>
      </w:r>
      <w:r w:rsidR="00882A0E">
        <w:t>t</w:t>
      </w:r>
      <w:r w:rsidRPr="0056374C">
        <w:t>ablets were originally approved on 23 January 2012, and are currently indicated for the treatment of HIV-1 infection in treatment-naïve adult patients with plasma HIV-1 RNA ≤100,000 cop</w:t>
      </w:r>
      <w:r w:rsidR="008A5C59">
        <w:t>ies/mL at the start of therapy.</w:t>
      </w:r>
    </w:p>
    <w:p w:rsidR="0056374C" w:rsidRPr="0056374C" w:rsidRDefault="0056374C" w:rsidP="008A5C59">
      <w:r w:rsidRPr="0056374C">
        <w:t xml:space="preserve">In this application, </w:t>
      </w:r>
      <w:r w:rsidR="001758F5">
        <w:t>the sponsor</w:t>
      </w:r>
      <w:r w:rsidRPr="0056374C">
        <w:t xml:space="preserve"> proposes to update the </w:t>
      </w:r>
      <w:proofErr w:type="spellStart"/>
      <w:r w:rsidRPr="0056374C">
        <w:t>E</w:t>
      </w:r>
      <w:r w:rsidR="001758F5">
        <w:t>viplera</w:t>
      </w:r>
      <w:proofErr w:type="spellEnd"/>
      <w:r w:rsidRPr="0056374C">
        <w:t xml:space="preserve"> PI with data from Studies GS-US-264-0111, GS-US-264-0106 and GS-US-264-0112. Studies GS-US-264-0111 and GS-US-264-0106 are the first clinical studies to provide key </w:t>
      </w:r>
      <w:r w:rsidR="001622F8">
        <w:t xml:space="preserve">efficacy data for virologically </w:t>
      </w:r>
      <w:r w:rsidRPr="0056374C">
        <w:t xml:space="preserve">suppressed subjects switching to </w:t>
      </w:r>
      <w:proofErr w:type="spellStart"/>
      <w:r w:rsidR="00E70919" w:rsidRPr="0056374C">
        <w:t>E</w:t>
      </w:r>
      <w:r w:rsidR="00E70919">
        <w:t>viplera</w:t>
      </w:r>
      <w:proofErr w:type="spellEnd"/>
      <w:r w:rsidRPr="0056374C">
        <w:t xml:space="preserve"> from either </w:t>
      </w:r>
      <w:proofErr w:type="spellStart"/>
      <w:r w:rsidR="00E70919">
        <w:t>Atripla</w:t>
      </w:r>
      <w:proofErr w:type="spellEnd"/>
      <w:r w:rsidRPr="0056374C">
        <w:t xml:space="preserve"> (GS-US-264-0111) or a </w:t>
      </w:r>
      <w:r w:rsidR="0089454D">
        <w:t>PI/r</w:t>
      </w:r>
      <w:r w:rsidRPr="0056374C">
        <w:t xml:space="preserve"> + </w:t>
      </w:r>
      <w:r w:rsidR="00BD67B1">
        <w:t>NRTI</w:t>
      </w:r>
      <w:r w:rsidRPr="0056374C">
        <w:t xml:space="preserve"> based regimen (GS-US-264-0106). Study GS-US-264-0112 provides data to support an update to the </w:t>
      </w:r>
      <w:r w:rsidR="00B62796">
        <w:t>‘</w:t>
      </w:r>
      <w:r w:rsidRPr="0056374C">
        <w:t>Dosage and Administration</w:t>
      </w:r>
      <w:r w:rsidR="00B62796">
        <w:t>’</w:t>
      </w:r>
      <w:r w:rsidRPr="0056374C">
        <w:t xml:space="preserve"> section allowing </w:t>
      </w:r>
      <w:proofErr w:type="spellStart"/>
      <w:r w:rsidR="0089454D" w:rsidRPr="0056374C">
        <w:t>E</w:t>
      </w:r>
      <w:r w:rsidR="0089454D">
        <w:t>viplera</w:t>
      </w:r>
      <w:proofErr w:type="spellEnd"/>
      <w:r w:rsidRPr="0056374C">
        <w:t xml:space="preserve"> to be administered</w:t>
      </w:r>
      <w:r w:rsidR="008A5C59">
        <w:t xml:space="preserve"> with food, rather than a meal.</w:t>
      </w:r>
    </w:p>
    <w:p w:rsidR="0056374C" w:rsidRPr="0056374C" w:rsidRDefault="0056374C" w:rsidP="008A5C59">
      <w:r w:rsidRPr="0056374C">
        <w:t xml:space="preserve">Study GS-US-264-0111 was a Phase </w:t>
      </w:r>
      <w:proofErr w:type="spellStart"/>
      <w:r w:rsidR="00B62796">
        <w:t>II</w:t>
      </w:r>
      <w:r w:rsidRPr="0056374C">
        <w:t>b</w:t>
      </w:r>
      <w:proofErr w:type="spellEnd"/>
      <w:r w:rsidRPr="0056374C">
        <w:t>, open</w:t>
      </w:r>
      <w:r w:rsidR="00B62796">
        <w:t xml:space="preserve"> </w:t>
      </w:r>
      <w:r w:rsidRPr="0056374C">
        <w:t xml:space="preserve">label study designed to evaluate switching from </w:t>
      </w:r>
      <w:proofErr w:type="spellStart"/>
      <w:r w:rsidR="00B62796" w:rsidRPr="0056374C">
        <w:t>A</w:t>
      </w:r>
      <w:r w:rsidR="00B62796">
        <w:t>tripla</w:t>
      </w:r>
      <w:proofErr w:type="spellEnd"/>
      <w:r w:rsidRPr="0056374C">
        <w:t xml:space="preserve"> to </w:t>
      </w:r>
      <w:proofErr w:type="spellStart"/>
      <w:r w:rsidR="00B62796" w:rsidRPr="0056374C">
        <w:t>E</w:t>
      </w:r>
      <w:r w:rsidR="00B62796">
        <w:t>viplera</w:t>
      </w:r>
      <w:proofErr w:type="spellEnd"/>
      <w:r w:rsidRPr="0056374C">
        <w:t xml:space="preserve"> in virologically</w:t>
      </w:r>
      <w:r w:rsidR="00B62796">
        <w:t xml:space="preserve"> </w:t>
      </w:r>
      <w:r w:rsidRPr="0056374C">
        <w:t xml:space="preserve">suppressed, HIV-1 infected patients who desired a change in their </w:t>
      </w:r>
      <w:proofErr w:type="spellStart"/>
      <w:r w:rsidRPr="0056374C">
        <w:t>A</w:t>
      </w:r>
      <w:r w:rsidR="00B62796">
        <w:t>tripla</w:t>
      </w:r>
      <w:proofErr w:type="spellEnd"/>
      <w:r w:rsidRPr="0056374C">
        <w:t xml:space="preserve"> regimen due to </w:t>
      </w:r>
      <w:r w:rsidR="00B62796">
        <w:t>EFV</w:t>
      </w:r>
      <w:r w:rsidR="008A5C59">
        <w:t xml:space="preserve"> intolerance.</w:t>
      </w:r>
    </w:p>
    <w:p w:rsidR="0056374C" w:rsidRPr="0056374C" w:rsidRDefault="0056374C" w:rsidP="008A5C59">
      <w:r w:rsidRPr="0056374C">
        <w:t xml:space="preserve">Study GS-US-264-0106 was a Phase </w:t>
      </w:r>
      <w:proofErr w:type="spellStart"/>
      <w:r w:rsidR="00C94FB5">
        <w:t>III</w:t>
      </w:r>
      <w:r w:rsidRPr="0056374C">
        <w:t>b</w:t>
      </w:r>
      <w:proofErr w:type="spellEnd"/>
      <w:r w:rsidRPr="0056374C">
        <w:t>, randomised, open</w:t>
      </w:r>
      <w:r w:rsidR="009B5B33">
        <w:t xml:space="preserve"> </w:t>
      </w:r>
      <w:r w:rsidRPr="0056374C">
        <w:t xml:space="preserve">label study designed to evaluate the safety and efficacy of switching from regimens consisting of a PI/r and 2 NRTIs to </w:t>
      </w:r>
      <w:proofErr w:type="spellStart"/>
      <w:r w:rsidR="00B62796" w:rsidRPr="0056374C">
        <w:t>E</w:t>
      </w:r>
      <w:r w:rsidR="00B62796">
        <w:t>viplera</w:t>
      </w:r>
      <w:proofErr w:type="spellEnd"/>
      <w:r w:rsidRPr="0056374C">
        <w:t xml:space="preserve"> in virologically</w:t>
      </w:r>
      <w:r w:rsidR="009B5B33">
        <w:t xml:space="preserve"> </w:t>
      </w:r>
      <w:r w:rsidRPr="0056374C">
        <w:t>suppr</w:t>
      </w:r>
      <w:r w:rsidR="008A5C59">
        <w:t>essed, HIV-1 infected patients.</w:t>
      </w:r>
    </w:p>
    <w:p w:rsidR="0056374C" w:rsidRPr="0056374C" w:rsidRDefault="0056374C" w:rsidP="008A5C59">
      <w:r w:rsidRPr="0056374C">
        <w:t xml:space="preserve">In both studies, </w:t>
      </w:r>
      <w:proofErr w:type="spellStart"/>
      <w:r w:rsidRPr="0056374C">
        <w:t>virologic</w:t>
      </w:r>
      <w:proofErr w:type="spellEnd"/>
      <w:r w:rsidRPr="0056374C">
        <w:t xml:space="preserve"> suppression was maintained after switching to </w:t>
      </w:r>
      <w:proofErr w:type="spellStart"/>
      <w:r w:rsidR="00B62796" w:rsidRPr="0056374C">
        <w:t>E</w:t>
      </w:r>
      <w:r w:rsidR="00B62796">
        <w:t>viplera</w:t>
      </w:r>
      <w:proofErr w:type="spellEnd"/>
      <w:r w:rsidRPr="0056374C">
        <w:t xml:space="preserve">. These data support the extension of the </w:t>
      </w:r>
      <w:proofErr w:type="spellStart"/>
      <w:r w:rsidR="00B62796" w:rsidRPr="0056374C">
        <w:t>E</w:t>
      </w:r>
      <w:r w:rsidR="00B62796">
        <w:t>viplera</w:t>
      </w:r>
      <w:proofErr w:type="spellEnd"/>
      <w:r w:rsidRPr="0056374C">
        <w:t xml:space="preserve"> indication to include patients who are virologically-suppressed to replace their current </w:t>
      </w:r>
      <w:r w:rsidR="00B62796">
        <w:t>ART</w:t>
      </w:r>
      <w:r w:rsidRPr="0056374C">
        <w:t xml:space="preserve">, </w:t>
      </w:r>
      <w:r w:rsidR="008A5C59">
        <w:t>as outlined in the proposed PI.</w:t>
      </w:r>
    </w:p>
    <w:p w:rsidR="0056374C" w:rsidRPr="0056374C" w:rsidRDefault="0056374C" w:rsidP="008A5C59">
      <w:r w:rsidRPr="0056374C">
        <w:t xml:space="preserve">Taking into account the </w:t>
      </w:r>
      <w:r w:rsidR="004E6CE5">
        <w:t>c</w:t>
      </w:r>
      <w:r w:rsidRPr="0056374C">
        <w:t xml:space="preserve">linical </w:t>
      </w:r>
      <w:r w:rsidR="004E6CE5">
        <w:t>e</w:t>
      </w:r>
      <w:r w:rsidRPr="0056374C">
        <w:t>valuator’s and Delegate’s concerns that the previously proposed indication could be viewed as allowing blanke</w:t>
      </w:r>
      <w:r w:rsidR="004E6CE5">
        <w:t>t use of this drug in treatment experienced patients, the sponsor</w:t>
      </w:r>
      <w:r w:rsidRPr="0056374C">
        <w:t xml:space="preserve"> has now amended the proposed indication. The indication that follows is supported by the safety and efficacy data provided with</w:t>
      </w:r>
      <w:r w:rsidR="008A5C59">
        <w:t>in this Category 1 application:</w:t>
      </w:r>
    </w:p>
    <w:p w:rsidR="0056374C" w:rsidRPr="008A5C59" w:rsidRDefault="0056374C" w:rsidP="008A5C59">
      <w:pPr>
        <w:ind w:left="720"/>
        <w:rPr>
          <w:i/>
        </w:rPr>
      </w:pPr>
      <w:proofErr w:type="spellStart"/>
      <w:r w:rsidRPr="008A5C59">
        <w:rPr>
          <w:i/>
        </w:rPr>
        <w:t>E</w:t>
      </w:r>
      <w:r w:rsidR="00882A0E" w:rsidRPr="008A5C59">
        <w:rPr>
          <w:i/>
        </w:rPr>
        <w:t>viplera</w:t>
      </w:r>
      <w:proofErr w:type="spellEnd"/>
      <w:r w:rsidRPr="008A5C59">
        <w:rPr>
          <w:i/>
        </w:rPr>
        <w:t xml:space="preserve"> is indicated for the treatment of HIV-1 infection in treatment-naïve adult patients with plasma HIV-1 RNA ≤100,000 copies/mL and to replace the current regimen in adults who are virologically-suppressed without known mutations associated with resistance to the components of </w:t>
      </w:r>
      <w:proofErr w:type="spellStart"/>
      <w:r w:rsidR="00D40CD6" w:rsidRPr="008A5C59">
        <w:rPr>
          <w:i/>
        </w:rPr>
        <w:t>Eviplera</w:t>
      </w:r>
      <w:proofErr w:type="spellEnd"/>
      <w:r w:rsidR="008A5C59">
        <w:rPr>
          <w:i/>
        </w:rPr>
        <w:t xml:space="preserve"> (see CLINICAL TRIALS).</w:t>
      </w:r>
    </w:p>
    <w:p w:rsidR="00D23139" w:rsidRDefault="0056374C" w:rsidP="008A5C59">
      <w:r w:rsidRPr="0056374C">
        <w:t xml:space="preserve">The indication statement proposed by </w:t>
      </w:r>
      <w:r w:rsidR="00D40CD6">
        <w:t>the sponsor</w:t>
      </w:r>
      <w:r w:rsidRPr="0056374C">
        <w:t xml:space="preserve"> is similar to that proposed by the Delegate in that it does not mention the use of </w:t>
      </w:r>
      <w:proofErr w:type="spellStart"/>
      <w:r w:rsidR="00D227F4">
        <w:t>Eviplera</w:t>
      </w:r>
      <w:proofErr w:type="spellEnd"/>
      <w:r w:rsidRPr="0056374C">
        <w:t xml:space="preserve"> in treatment</w:t>
      </w:r>
      <w:r w:rsidR="00D40CD6">
        <w:t xml:space="preserve"> </w:t>
      </w:r>
      <w:r w:rsidRPr="0056374C">
        <w:t xml:space="preserve">experienced patients, and supports the use of </w:t>
      </w:r>
      <w:proofErr w:type="spellStart"/>
      <w:r w:rsidRPr="0056374C">
        <w:t>E</w:t>
      </w:r>
      <w:r w:rsidR="00D227F4">
        <w:t>viplera</w:t>
      </w:r>
      <w:proofErr w:type="spellEnd"/>
      <w:r w:rsidRPr="0056374C">
        <w:t xml:space="preserve"> in the naïve population with plasma HIV-1 RNA ≤100,000 copies/mL, and virologically-supressed patients wishing to switch from their current NNRTI or PI/r regimen for tolerability or regimen simplification reasons. Once again, this indication is supported by the clinical data provided within this Category 1 application.</w:t>
      </w:r>
    </w:p>
    <w:p w:rsidR="0056374C" w:rsidRDefault="008A5C59" w:rsidP="008A5C59">
      <w:pPr>
        <w:pStyle w:val="Heading5"/>
      </w:pPr>
      <w:r>
        <w:t>Indication statement</w:t>
      </w:r>
    </w:p>
    <w:p w:rsidR="0056374C" w:rsidRPr="00C743AB" w:rsidRDefault="0056374C" w:rsidP="008A5C59">
      <w:r w:rsidRPr="00C743AB">
        <w:t>The Delegate requests advice from the ACPM specifically with regard to the acceptability of the indicat</w:t>
      </w:r>
      <w:r w:rsidR="0089543C">
        <w:t>ion statement proposed by the sponsor</w:t>
      </w:r>
      <w:r w:rsidRPr="00C743AB">
        <w:t xml:space="preserve">. The Delegate has noted that there is no reason, at this time that the application for </w:t>
      </w:r>
      <w:proofErr w:type="spellStart"/>
      <w:r w:rsidRPr="00C743AB">
        <w:t>E</w:t>
      </w:r>
      <w:r w:rsidR="00D227F4">
        <w:t>viplera</w:t>
      </w:r>
      <w:proofErr w:type="spellEnd"/>
      <w:r w:rsidRPr="00C743AB">
        <w:t xml:space="preserve"> should not be approved subject </w:t>
      </w:r>
      <w:r w:rsidR="008A5C59">
        <w:t>to finalisation of indications.</w:t>
      </w:r>
    </w:p>
    <w:p w:rsidR="0056374C" w:rsidRPr="00C743AB" w:rsidRDefault="0056374C" w:rsidP="008A5C59">
      <w:r w:rsidRPr="00C743AB">
        <w:t>The Delegate has recommended the in</w:t>
      </w:r>
      <w:r w:rsidR="008A5C59">
        <w:t>dication be amended as follows:</w:t>
      </w:r>
    </w:p>
    <w:p w:rsidR="0056374C" w:rsidRPr="008A5C59" w:rsidRDefault="0056374C" w:rsidP="008A5C59">
      <w:pPr>
        <w:ind w:left="720"/>
        <w:rPr>
          <w:i/>
        </w:rPr>
      </w:pPr>
      <w:proofErr w:type="spellStart"/>
      <w:r w:rsidRPr="008A5C59">
        <w:rPr>
          <w:i/>
        </w:rPr>
        <w:t>E</w:t>
      </w:r>
      <w:r w:rsidR="00787ECF" w:rsidRPr="008A5C59">
        <w:rPr>
          <w:i/>
        </w:rPr>
        <w:t>viplera</w:t>
      </w:r>
      <w:proofErr w:type="spellEnd"/>
      <w:r w:rsidRPr="008A5C59">
        <w:rPr>
          <w:i/>
        </w:rPr>
        <w:t xml:space="preserve"> is indicated for the treatment of HIV-1 infection in treatment-naïve adult patients with </w:t>
      </w:r>
      <w:r w:rsidR="00C743AB" w:rsidRPr="008A5C59">
        <w:rPr>
          <w:i/>
        </w:rPr>
        <w:t>plasma HIV-1 RNA &lt;</w:t>
      </w:r>
      <w:r w:rsidRPr="008A5C59">
        <w:rPr>
          <w:i/>
        </w:rPr>
        <w:t>100,000 cop</w:t>
      </w:r>
      <w:r w:rsidR="008A5C59">
        <w:rPr>
          <w:i/>
        </w:rPr>
        <w:t>ies/mL at the start of therapy.</w:t>
      </w:r>
    </w:p>
    <w:p w:rsidR="0056374C" w:rsidRPr="008A5C59" w:rsidRDefault="00D5796B" w:rsidP="008A5C59">
      <w:pPr>
        <w:ind w:left="720"/>
        <w:rPr>
          <w:i/>
        </w:rPr>
      </w:pPr>
      <w:proofErr w:type="spellStart"/>
      <w:r w:rsidRPr="008A5C59">
        <w:rPr>
          <w:i/>
        </w:rPr>
        <w:lastRenderedPageBreak/>
        <w:t>Eviplera</w:t>
      </w:r>
      <w:proofErr w:type="spellEnd"/>
      <w:r w:rsidR="0056374C" w:rsidRPr="008A5C59">
        <w:rPr>
          <w:i/>
        </w:rPr>
        <w:t xml:space="preserve"> is also indicated for the treatment of HIV-1 infection in certain virologically-suppressed (HIV-1 RNA &lt;50 copies/mL) adult patients on a stable antiretroviral regimen at start of therapy in order to replace their current antiretroviral treatment regimen (see Clinical Trials). Patients must not have a history of resistance to any of the components of </w:t>
      </w:r>
      <w:proofErr w:type="spellStart"/>
      <w:r w:rsidRPr="008A5C59">
        <w:rPr>
          <w:i/>
        </w:rPr>
        <w:t>Eviplera</w:t>
      </w:r>
      <w:proofErr w:type="spellEnd"/>
      <w:r w:rsidR="0056374C" w:rsidRPr="008A5C59">
        <w:rPr>
          <w:i/>
        </w:rPr>
        <w:t xml:space="preserve"> (</w:t>
      </w:r>
      <w:r w:rsidRPr="008A5C59">
        <w:rPr>
          <w:i/>
        </w:rPr>
        <w:t>TDF, FTC or RPV</w:t>
      </w:r>
      <w:r w:rsidR="008A5C59">
        <w:rPr>
          <w:i/>
        </w:rPr>
        <w:t>).</w:t>
      </w:r>
    </w:p>
    <w:p w:rsidR="0056374C" w:rsidRPr="00C743AB" w:rsidRDefault="0056374C" w:rsidP="008A5C59">
      <w:r w:rsidRPr="00C743AB">
        <w:t xml:space="preserve">During evaluation, it was noted by the </w:t>
      </w:r>
      <w:r w:rsidR="00F2672A">
        <w:t>c</w:t>
      </w:r>
      <w:r w:rsidRPr="00C743AB">
        <w:t xml:space="preserve">linical </w:t>
      </w:r>
      <w:r w:rsidR="00F2672A">
        <w:t>e</w:t>
      </w:r>
      <w:r w:rsidRPr="00C743AB">
        <w:t xml:space="preserve">valuator that the benefits of </w:t>
      </w:r>
      <w:proofErr w:type="spellStart"/>
      <w:r w:rsidR="00D227F4">
        <w:t>Eviplera</w:t>
      </w:r>
      <w:proofErr w:type="spellEnd"/>
      <w:r w:rsidRPr="00C743AB">
        <w:t xml:space="preserve"> in the proposed usage to be safe and effective, and it had favourable tolerability profile as a switch drug for virologically-suppressed patients on either </w:t>
      </w:r>
      <w:proofErr w:type="spellStart"/>
      <w:r w:rsidR="00F2672A">
        <w:t>Atripla</w:t>
      </w:r>
      <w:proofErr w:type="spellEnd"/>
      <w:r w:rsidRPr="00C743AB">
        <w:t xml:space="preserve"> or PI/r</w:t>
      </w:r>
      <w:r w:rsidR="00F2672A">
        <w:t xml:space="preserve"> </w:t>
      </w:r>
      <w:r w:rsidRPr="00C743AB">
        <w:t xml:space="preserve">based regimen. As such, the </w:t>
      </w:r>
      <w:r w:rsidR="00F2672A">
        <w:t>c</w:t>
      </w:r>
      <w:r w:rsidRPr="00C743AB">
        <w:t xml:space="preserve">linical </w:t>
      </w:r>
      <w:r w:rsidR="00F2672A">
        <w:t>e</w:t>
      </w:r>
      <w:r w:rsidRPr="00C743AB">
        <w:t xml:space="preserve">valuator recommended the authorisation of </w:t>
      </w:r>
      <w:proofErr w:type="spellStart"/>
      <w:r w:rsidR="00F2672A">
        <w:t>Eviplera</w:t>
      </w:r>
      <w:proofErr w:type="spellEnd"/>
      <w:r w:rsidR="00F2672A">
        <w:t xml:space="preserve"> in treatment experienced patients (that is, </w:t>
      </w:r>
      <w:r w:rsidRPr="00C743AB">
        <w:t>virologically</w:t>
      </w:r>
      <w:r w:rsidR="00F2672A">
        <w:t xml:space="preserve"> </w:t>
      </w:r>
      <w:r w:rsidRPr="00C743AB">
        <w:t>suppressed) wishing to switch away from an NNRTI or PI/r</w:t>
      </w:r>
      <w:r w:rsidR="00F2672A">
        <w:t xml:space="preserve"> </w:t>
      </w:r>
      <w:r w:rsidRPr="00C743AB">
        <w:t xml:space="preserve">based regimen for tolerability or regimen simplification reasons, but did not condone the blanket use of </w:t>
      </w:r>
      <w:proofErr w:type="spellStart"/>
      <w:r w:rsidR="00F2672A">
        <w:t>Eviplera</w:t>
      </w:r>
      <w:proofErr w:type="spellEnd"/>
      <w:r w:rsidRPr="00C743AB">
        <w:t xml:space="preserve"> in treatment</w:t>
      </w:r>
      <w:r w:rsidR="00F2672A">
        <w:t xml:space="preserve"> </w:t>
      </w:r>
      <w:r w:rsidRPr="00C743AB">
        <w:t>expe</w:t>
      </w:r>
      <w:r w:rsidR="008A5C59">
        <w:t>rienced patients.</w:t>
      </w:r>
    </w:p>
    <w:p w:rsidR="0056374C" w:rsidRPr="00C743AB" w:rsidRDefault="0056374C" w:rsidP="008A5C59">
      <w:r w:rsidRPr="00C743AB">
        <w:t>Treatment switch is not motivated solely by tolerability issues with the previous regimen but also for reasons of simplification,</w:t>
      </w:r>
      <w:r w:rsidR="00C743AB">
        <w:rPr>
          <w:rStyle w:val="FootnoteReference"/>
        </w:rPr>
        <w:footnoteReference w:id="2"/>
      </w:r>
      <w:r w:rsidRPr="00C743AB">
        <w:t xml:space="preserve"> as such switching </w:t>
      </w:r>
      <w:r w:rsidR="00F2672A">
        <w:t>from 2 NRTIs + PI/r to a</w:t>
      </w:r>
      <w:r w:rsidR="00F2672A" w:rsidRPr="00C743AB">
        <w:t xml:space="preserve"> </w:t>
      </w:r>
      <w:r w:rsidR="00F2672A">
        <w:t>STR</w:t>
      </w:r>
      <w:r w:rsidRPr="00C743AB">
        <w:t xml:space="preserve"> leading to a reduction in the number of pills. This change to a STR could potentially improve patient adherence. STRs have been associated with fewer hospitalisations.</w:t>
      </w:r>
      <w:r w:rsidR="00C743AB">
        <w:rPr>
          <w:rStyle w:val="FootnoteReference"/>
        </w:rPr>
        <w:footnoteReference w:id="3"/>
      </w:r>
      <w:r w:rsidRPr="00C743AB">
        <w:t xml:space="preserve"> The desire for regimen simplification by the patients is evidenced by the fact that 88.2% of patients listed treatment simplification as one of the reasons for participating in the study. Another benefit to regimen simplification has been demonstrated in multiple studies that have compared STRs with multiple</w:t>
      </w:r>
      <w:r w:rsidR="00F2672A">
        <w:t xml:space="preserve"> </w:t>
      </w:r>
      <w:r w:rsidRPr="00C743AB">
        <w:t>pill regimens, as well as 2 pills/day regimens, and observed higher rates of adherence (defined as &gt; 90% or &gt; 95%) and persistency with fewer discontinuations in patients taking STRs.</w:t>
      </w:r>
      <w:r w:rsidR="00C743AB">
        <w:rPr>
          <w:rStyle w:val="FootnoteReference"/>
        </w:rPr>
        <w:footnoteReference w:id="4"/>
      </w:r>
    </w:p>
    <w:p w:rsidR="0056374C" w:rsidRPr="00C743AB" w:rsidRDefault="0056374C" w:rsidP="008A5C59">
      <w:r w:rsidRPr="00C743AB">
        <w:t>In response to the clinical evaluation</w:t>
      </w:r>
      <w:r w:rsidR="008B19DE">
        <w:t>, the sponsor</w:t>
      </w:r>
      <w:r w:rsidRPr="00C743AB">
        <w:t xml:space="preserve"> amended the proposed indication in line with the </w:t>
      </w:r>
      <w:r w:rsidR="008B19DE">
        <w:t>c</w:t>
      </w:r>
      <w:r w:rsidRPr="00C743AB">
        <w:t xml:space="preserve">linical </w:t>
      </w:r>
      <w:r w:rsidR="008B19DE">
        <w:t>e</w:t>
      </w:r>
      <w:r w:rsidRPr="00C743AB">
        <w:t xml:space="preserve">valuator's comment that the current threshold of ≤100,000 copies/mL is acceptable. </w:t>
      </w:r>
      <w:r w:rsidR="008C6D8A">
        <w:t>The sponsor</w:t>
      </w:r>
      <w:r w:rsidRPr="00C743AB">
        <w:t xml:space="preserve"> also amended the indication with a statement in line with the </w:t>
      </w:r>
      <w:r w:rsidR="00AE35B8">
        <w:t>c</w:t>
      </w:r>
      <w:r w:rsidRPr="00C743AB">
        <w:t xml:space="preserve">linical </w:t>
      </w:r>
      <w:r w:rsidR="00AE35B8">
        <w:t>e</w:t>
      </w:r>
      <w:r w:rsidRPr="00C743AB">
        <w:t xml:space="preserve">valuator’s comment that patients must not have a history of resistance to any components of </w:t>
      </w:r>
      <w:proofErr w:type="spellStart"/>
      <w:r w:rsidRPr="00C743AB">
        <w:t>E</w:t>
      </w:r>
      <w:r w:rsidR="008C6D8A">
        <w:t>viplera</w:t>
      </w:r>
      <w:proofErr w:type="spellEnd"/>
      <w:r w:rsidRPr="00C743AB">
        <w:t>.</w:t>
      </w:r>
    </w:p>
    <w:p w:rsidR="00C743AB" w:rsidRPr="00C743AB" w:rsidRDefault="008C6D8A" w:rsidP="008A5C59">
      <w:r>
        <w:t>The sponsor</w:t>
      </w:r>
      <w:r w:rsidR="00C743AB" w:rsidRPr="00C743AB">
        <w:t xml:space="preserve"> also amended the relevant headings throughout the PI to state “Virologically Suppressed” and not “Treatment Experienced” in line with the data provided in this application and the </w:t>
      </w:r>
      <w:r w:rsidR="00512841">
        <w:t>c</w:t>
      </w:r>
      <w:r w:rsidR="00C743AB" w:rsidRPr="00C743AB">
        <w:t xml:space="preserve">linical </w:t>
      </w:r>
      <w:r w:rsidR="00512841">
        <w:t>e</w:t>
      </w:r>
      <w:r w:rsidR="008A5C59">
        <w:t>valuator’s comment.</w:t>
      </w:r>
    </w:p>
    <w:p w:rsidR="00C743AB" w:rsidRPr="00C743AB" w:rsidRDefault="008C6D8A" w:rsidP="008A5C59">
      <w:r>
        <w:t>The sponsor</w:t>
      </w:r>
      <w:r w:rsidRPr="00C743AB">
        <w:t xml:space="preserve"> </w:t>
      </w:r>
      <w:r w:rsidR="00C743AB" w:rsidRPr="00C743AB">
        <w:t>agrees in principle with the indicatio</w:t>
      </w:r>
      <w:r w:rsidR="00AE35B8">
        <w:t>n as proposed by the Delegate. H</w:t>
      </w:r>
      <w:r w:rsidR="00C743AB" w:rsidRPr="00C743AB">
        <w:t>owever</w:t>
      </w:r>
      <w:r w:rsidR="00AE35B8">
        <w:t>,</w:t>
      </w:r>
      <w:r w:rsidR="00C743AB" w:rsidRPr="00C743AB">
        <w:t xml:space="preserve"> taking into account the </w:t>
      </w:r>
      <w:r w:rsidR="00AE35B8">
        <w:t>c</w:t>
      </w:r>
      <w:r w:rsidR="00C743AB" w:rsidRPr="00C743AB">
        <w:t xml:space="preserve">linical </w:t>
      </w:r>
      <w:r w:rsidR="00AE35B8">
        <w:t xml:space="preserve">evaluator’s </w:t>
      </w:r>
      <w:r w:rsidR="00C743AB" w:rsidRPr="00C743AB">
        <w:t xml:space="preserve">and Delegate’s concerns that the previously proposed indication could be viewed as allowing blanket use of this drug in treatment experienced patients, </w:t>
      </w:r>
      <w:r w:rsidR="00AE35B8">
        <w:t>the sponsor</w:t>
      </w:r>
      <w:r w:rsidR="00C743AB" w:rsidRPr="00C743AB">
        <w:t xml:space="preserve"> proposes a more succinct indication without the use of additional qu</w:t>
      </w:r>
      <w:r w:rsidR="008A5C59">
        <w:t>alifying statements as follows:</w:t>
      </w:r>
    </w:p>
    <w:p w:rsidR="00C743AB" w:rsidRPr="00C743AB" w:rsidRDefault="00C743AB" w:rsidP="00C743AB">
      <w:pPr>
        <w:ind w:left="720"/>
        <w:rPr>
          <w:i/>
        </w:rPr>
      </w:pPr>
      <w:proofErr w:type="spellStart"/>
      <w:r w:rsidRPr="00C743AB">
        <w:rPr>
          <w:i/>
        </w:rPr>
        <w:t>E</w:t>
      </w:r>
      <w:r w:rsidR="00AE35B8">
        <w:rPr>
          <w:i/>
        </w:rPr>
        <w:t>viplera</w:t>
      </w:r>
      <w:proofErr w:type="spellEnd"/>
      <w:r w:rsidR="00AE35B8">
        <w:rPr>
          <w:i/>
        </w:rPr>
        <w:t xml:space="preserve"> </w:t>
      </w:r>
      <w:r w:rsidRPr="00C743AB">
        <w:rPr>
          <w:i/>
        </w:rPr>
        <w:t xml:space="preserve">is indicated for the treatment of HIV-1 infection in treatment-naïve adult patients with plasma HIV-1 RNA ≤100,000 copies/mL and to replace the current </w:t>
      </w:r>
      <w:r w:rsidRPr="00C743AB">
        <w:rPr>
          <w:i/>
        </w:rPr>
        <w:lastRenderedPageBreak/>
        <w:t xml:space="preserve">regimen in adults who are virologically-suppressed without known mutations associated with resistance to the components of </w:t>
      </w:r>
      <w:proofErr w:type="spellStart"/>
      <w:r w:rsidR="00AE35B8" w:rsidRPr="00C743AB">
        <w:rPr>
          <w:i/>
        </w:rPr>
        <w:t>E</w:t>
      </w:r>
      <w:r w:rsidR="00AE35B8">
        <w:rPr>
          <w:i/>
        </w:rPr>
        <w:t>viplera</w:t>
      </w:r>
      <w:proofErr w:type="spellEnd"/>
      <w:r w:rsidRPr="00C743AB">
        <w:rPr>
          <w:i/>
        </w:rPr>
        <w:t xml:space="preserve"> (see </w:t>
      </w:r>
      <w:r w:rsidR="00AE35B8">
        <w:rPr>
          <w:i/>
        </w:rPr>
        <w:t>Clinical Trials</w:t>
      </w:r>
      <w:r w:rsidR="008A5C59">
        <w:rPr>
          <w:i/>
        </w:rPr>
        <w:t>).</w:t>
      </w:r>
    </w:p>
    <w:p w:rsidR="00C743AB" w:rsidRPr="00C743AB" w:rsidRDefault="00C743AB" w:rsidP="008A5C59">
      <w:r w:rsidRPr="00C743AB">
        <w:t xml:space="preserve">The indication now proposed </w:t>
      </w:r>
      <w:r w:rsidR="00AE35B8">
        <w:t>by the sponsor</w:t>
      </w:r>
      <w:r w:rsidRPr="00C743AB">
        <w:t xml:space="preserve"> is similar to that proposed by the Delegate in that it does not mention the use of </w:t>
      </w:r>
      <w:proofErr w:type="spellStart"/>
      <w:r w:rsidR="00AE35B8">
        <w:t>Eviplera</w:t>
      </w:r>
      <w:proofErr w:type="spellEnd"/>
      <w:r w:rsidRPr="00C743AB">
        <w:t xml:space="preserve"> in treatment</w:t>
      </w:r>
      <w:r w:rsidR="00AE35B8">
        <w:t xml:space="preserve"> </w:t>
      </w:r>
      <w:r w:rsidRPr="00C743AB">
        <w:t xml:space="preserve">experienced patients, and supports the use of </w:t>
      </w:r>
      <w:proofErr w:type="spellStart"/>
      <w:r w:rsidR="00AE35B8">
        <w:t>Eviplera</w:t>
      </w:r>
      <w:proofErr w:type="spellEnd"/>
      <w:r w:rsidRPr="00C743AB">
        <w:t xml:space="preserve"> in the naïve population with plasma HIV-1 RNA ≤100,000 copies/mL, and virologically</w:t>
      </w:r>
      <w:r w:rsidR="00A5257C">
        <w:t xml:space="preserve"> </w:t>
      </w:r>
      <w:r w:rsidRPr="00C743AB">
        <w:t>supressed patients wishing to switch from their current NNRTI or PI/r</w:t>
      </w:r>
      <w:r w:rsidR="008A78D5">
        <w:t xml:space="preserve"> </w:t>
      </w:r>
      <w:r w:rsidRPr="00C743AB">
        <w:t xml:space="preserve">based regimen for tolerability or </w:t>
      </w:r>
      <w:r w:rsidR="008A5C59">
        <w:t>regimen simplification reasons.</w:t>
      </w:r>
    </w:p>
    <w:p w:rsidR="00C743AB" w:rsidRPr="00C743AB" w:rsidRDefault="00C743AB" w:rsidP="008A5C59">
      <w:r w:rsidRPr="00C743AB">
        <w:t xml:space="preserve">As therapy with </w:t>
      </w:r>
      <w:proofErr w:type="spellStart"/>
      <w:r w:rsidR="008A78D5">
        <w:t>Eviplera</w:t>
      </w:r>
      <w:proofErr w:type="spellEnd"/>
      <w:r w:rsidRPr="00C743AB">
        <w:t xml:space="preserve"> would be initiated by a physician who is experienced in the management of HIV infection, the reference to the CLINICAL TRIALS section of the PI will guide the physician to the data that supports the use of </w:t>
      </w:r>
      <w:proofErr w:type="spellStart"/>
      <w:r w:rsidR="008A78D5">
        <w:t>Eviplera</w:t>
      </w:r>
      <w:proofErr w:type="spellEnd"/>
      <w:r w:rsidRPr="00C743AB">
        <w:t xml:space="preserve"> in the relevant populations to allow the a</w:t>
      </w:r>
      <w:r w:rsidR="008A5C59">
        <w:t>ppropriate prescribing choices.</w:t>
      </w:r>
    </w:p>
    <w:p w:rsidR="00C743AB" w:rsidRDefault="00C743AB" w:rsidP="008A5C59">
      <w:r w:rsidRPr="00C743AB">
        <w:t>The proposed indication therefore reflects the data from both Studies GS-US-264-0106 and GS-US-264-0111 with reference to the CLINICAL TRIALS section of the PI and corresponding and efficacy and safety data.</w:t>
      </w:r>
    </w:p>
    <w:p w:rsidR="00D227F4" w:rsidRPr="00D227F4" w:rsidRDefault="00D227F4" w:rsidP="008A5C59">
      <w:pPr>
        <w:pStyle w:val="Heading5"/>
      </w:pPr>
      <w:r>
        <w:t>RMP</w:t>
      </w:r>
    </w:p>
    <w:p w:rsidR="00D227F4" w:rsidRPr="00D227F4" w:rsidRDefault="00D227F4" w:rsidP="008A5C59">
      <w:r w:rsidRPr="00D227F4">
        <w:t xml:space="preserve">Gilead has noted the Delegate’s comments that the </w:t>
      </w:r>
      <w:r w:rsidR="0009615D">
        <w:t>RMP</w:t>
      </w:r>
      <w:r w:rsidRPr="00D227F4">
        <w:t xml:space="preserve"> </w:t>
      </w:r>
      <w:r w:rsidR="0009615D">
        <w:t>R</w:t>
      </w:r>
      <w:r w:rsidRPr="00D227F4">
        <w:t xml:space="preserve">ound 2 </w:t>
      </w:r>
      <w:r w:rsidR="0009615D">
        <w:t>e</w:t>
      </w:r>
      <w:r w:rsidRPr="00D227F4">
        <w:t xml:space="preserve">valuation still considers some aspects of the </w:t>
      </w:r>
      <w:proofErr w:type="spellStart"/>
      <w:r w:rsidR="00144C7D">
        <w:t>Eviplera</w:t>
      </w:r>
      <w:proofErr w:type="spellEnd"/>
      <w:r w:rsidRPr="00D227F4">
        <w:t xml:space="preserve"> AU-RMP unsatisfactory and provides assurance that these oversights will be corrected and an amended AU-RMP will be provided to the RMP evaluator. To note, these aspects of the </w:t>
      </w:r>
      <w:r w:rsidR="008A5C59">
        <w:t>AU-RMP are editorial in nature.</w:t>
      </w:r>
    </w:p>
    <w:p w:rsidR="00D227F4" w:rsidRPr="00D227F4" w:rsidRDefault="00E22B6C" w:rsidP="00890546">
      <w:pPr>
        <w:pStyle w:val="Heading5"/>
      </w:pPr>
      <w:r>
        <w:t>Conclusion</w:t>
      </w:r>
    </w:p>
    <w:p w:rsidR="00D227F4" w:rsidRPr="001D7DF1" w:rsidRDefault="00F158BF" w:rsidP="00890546">
      <w:r>
        <w:t>The sponsor</w:t>
      </w:r>
      <w:r w:rsidR="00D227F4" w:rsidRPr="001D7DF1">
        <w:t xml:space="preserve"> believes that the proposed indication supports the use of </w:t>
      </w:r>
      <w:proofErr w:type="spellStart"/>
      <w:r>
        <w:t>Eviplera</w:t>
      </w:r>
      <w:proofErr w:type="spellEnd"/>
      <w:r w:rsidR="00D227F4" w:rsidRPr="001D7DF1">
        <w:t xml:space="preserve"> in HIV-1 infected, treatment</w:t>
      </w:r>
      <w:r w:rsidR="00B90A80">
        <w:t xml:space="preserve"> </w:t>
      </w:r>
      <w:r w:rsidR="00D227F4" w:rsidRPr="001D7DF1">
        <w:t>naïve adults with plasma HIV-1 RNA ≤100,000 copies/mL, and virologically</w:t>
      </w:r>
      <w:r w:rsidR="00B90A80">
        <w:t xml:space="preserve"> </w:t>
      </w:r>
      <w:r w:rsidR="00D227F4" w:rsidRPr="001D7DF1">
        <w:t>supressed adults wishing to switch from their current NNRTI or PI/r</w:t>
      </w:r>
      <w:r w:rsidR="00B90A80">
        <w:t xml:space="preserve"> </w:t>
      </w:r>
      <w:r w:rsidR="00D227F4" w:rsidRPr="001D7DF1">
        <w:t>based regimen for tolerability or regimen simplification reasons.</w:t>
      </w:r>
    </w:p>
    <w:p w:rsidR="008E7846" w:rsidRDefault="008E7846" w:rsidP="00890546">
      <w:pPr>
        <w:pStyle w:val="Heading4"/>
      </w:pPr>
      <w:r>
        <w:t>A</w:t>
      </w:r>
      <w:r w:rsidR="0045226E">
        <w:t>dvisory c</w:t>
      </w:r>
      <w:r>
        <w:t xml:space="preserve">ommittee </w:t>
      </w:r>
      <w:r w:rsidR="0045226E">
        <w:t>c</w:t>
      </w:r>
      <w:r>
        <w:t>onsiderations</w:t>
      </w:r>
    </w:p>
    <w:p w:rsidR="00B74269" w:rsidRPr="00B74269" w:rsidRDefault="00B74269" w:rsidP="00890546">
      <w:r w:rsidRPr="00B74269">
        <w:t xml:space="preserve">The Advisory Committee on Prescription Medicines (ACPM), taking into account the submitted evidence of efficacy, safety and quality, agreed with the </w:t>
      </w:r>
      <w:r w:rsidR="0013763B">
        <w:t>D</w:t>
      </w:r>
      <w:r w:rsidRPr="00B74269">
        <w:t xml:space="preserve">elegate and considered </w:t>
      </w:r>
      <w:proofErr w:type="spellStart"/>
      <w:r w:rsidR="00FD3945">
        <w:t>Eviplera</w:t>
      </w:r>
      <w:proofErr w:type="spellEnd"/>
      <w:r w:rsidRPr="00B74269">
        <w:t xml:space="preserve"> tablets containing 300 mg </w:t>
      </w:r>
      <w:proofErr w:type="spellStart"/>
      <w:r w:rsidRPr="00B74269">
        <w:t>tenofovir</w:t>
      </w:r>
      <w:proofErr w:type="spellEnd"/>
      <w:r w:rsidRPr="00B74269">
        <w:t xml:space="preserve"> </w:t>
      </w:r>
      <w:proofErr w:type="spellStart"/>
      <w:r w:rsidRPr="00B74269">
        <w:t>disoproxil</w:t>
      </w:r>
      <w:proofErr w:type="spellEnd"/>
      <w:r w:rsidRPr="00B74269">
        <w:t xml:space="preserve"> </w:t>
      </w:r>
      <w:proofErr w:type="spellStart"/>
      <w:r w:rsidRPr="00B74269">
        <w:t>fumarate</w:t>
      </w:r>
      <w:proofErr w:type="spellEnd"/>
      <w:r w:rsidRPr="00B74269">
        <w:t xml:space="preserve"> </w:t>
      </w:r>
      <w:r w:rsidR="003C1E7D">
        <w:t xml:space="preserve">(TDF), 200 mg </w:t>
      </w:r>
      <w:proofErr w:type="spellStart"/>
      <w:r w:rsidR="003C1E7D">
        <w:t>emtricitabine</w:t>
      </w:r>
      <w:proofErr w:type="spellEnd"/>
      <w:r w:rsidR="003C1E7D">
        <w:t xml:space="preserve"> (FTC) and</w:t>
      </w:r>
      <w:r w:rsidRPr="00B74269">
        <w:t xml:space="preserve"> 25 mg </w:t>
      </w:r>
      <w:proofErr w:type="spellStart"/>
      <w:r w:rsidRPr="00B74269">
        <w:t>rilpivirine</w:t>
      </w:r>
      <w:proofErr w:type="spellEnd"/>
      <w:r w:rsidRPr="00B74269">
        <w:t xml:space="preserve"> </w:t>
      </w:r>
      <w:r w:rsidR="003C1E7D">
        <w:t xml:space="preserve">(RPV) </w:t>
      </w:r>
      <w:r w:rsidRPr="00B74269">
        <w:t>to have an overall positive benefit</w:t>
      </w:r>
      <w:r w:rsidR="00B90A80">
        <w:t>-</w:t>
      </w:r>
      <w:r w:rsidRPr="00B74269">
        <w:t xml:space="preserve">risk profile for the </w:t>
      </w:r>
      <w:r>
        <w:t>D</w:t>
      </w:r>
      <w:r w:rsidR="00890546">
        <w:t>elegate’s amended indication:</w:t>
      </w:r>
    </w:p>
    <w:p w:rsidR="00B74269" w:rsidRPr="00890546" w:rsidRDefault="003C1E7D" w:rsidP="00890546">
      <w:pPr>
        <w:ind w:left="720"/>
        <w:rPr>
          <w:i/>
        </w:rPr>
      </w:pPr>
      <w:proofErr w:type="spellStart"/>
      <w:r w:rsidRPr="00890546">
        <w:rPr>
          <w:i/>
        </w:rPr>
        <w:t>Eviplera</w:t>
      </w:r>
      <w:proofErr w:type="spellEnd"/>
      <w:r w:rsidR="00B74269" w:rsidRPr="00890546">
        <w:rPr>
          <w:i/>
        </w:rPr>
        <w:t xml:space="preserve"> is indicated for the treatment of HIV-1 infection in treatment-naïve adult patients with plasma HIV-1 RNA &lt; 100,000 copies/mL at the start of therapy.</w:t>
      </w:r>
    </w:p>
    <w:p w:rsidR="00B74269" w:rsidRPr="00890546" w:rsidRDefault="003C1E7D" w:rsidP="00890546">
      <w:pPr>
        <w:ind w:left="720"/>
        <w:rPr>
          <w:i/>
        </w:rPr>
      </w:pPr>
      <w:proofErr w:type="spellStart"/>
      <w:r w:rsidRPr="00890546">
        <w:rPr>
          <w:i/>
        </w:rPr>
        <w:t>Eviplera</w:t>
      </w:r>
      <w:proofErr w:type="spellEnd"/>
      <w:r w:rsidR="00B74269" w:rsidRPr="00890546">
        <w:rPr>
          <w:i/>
        </w:rPr>
        <w:t xml:space="preserve"> is also indicated in certain virologically-suppressed (HIV-1 RNA &lt;50 copies/mL) adult patients on a stable antiretroviral regimen at start of therapy in order to replace their current antiretroviral</w:t>
      </w:r>
      <w:r w:rsidR="00610980" w:rsidRPr="00890546">
        <w:rPr>
          <w:i/>
        </w:rPr>
        <w:t xml:space="preserve"> treatment regimen (see CLINICAL TRIALS</w:t>
      </w:r>
      <w:r w:rsidR="00B74269" w:rsidRPr="00890546">
        <w:rPr>
          <w:i/>
        </w:rPr>
        <w:t xml:space="preserve">). Patients must not have a history of resistance to any of the components of </w:t>
      </w:r>
      <w:proofErr w:type="spellStart"/>
      <w:r w:rsidRPr="00890546">
        <w:rPr>
          <w:i/>
        </w:rPr>
        <w:t>Eviplera</w:t>
      </w:r>
      <w:proofErr w:type="spellEnd"/>
      <w:r w:rsidR="00B74269" w:rsidRPr="00890546">
        <w:rPr>
          <w:i/>
        </w:rPr>
        <w:t xml:space="preserve"> (</w:t>
      </w:r>
      <w:r w:rsidRPr="00890546">
        <w:rPr>
          <w:i/>
        </w:rPr>
        <w:t>TDF, FTC or RPV</w:t>
      </w:r>
      <w:r w:rsidR="00B74269" w:rsidRPr="00890546">
        <w:rPr>
          <w:i/>
        </w:rPr>
        <w:t>).</w:t>
      </w:r>
    </w:p>
    <w:p w:rsidR="00B74269" w:rsidRPr="005D056B" w:rsidRDefault="00B74269" w:rsidP="00890546">
      <w:pPr>
        <w:pStyle w:val="Heading5"/>
        <w:rPr>
          <w:rFonts w:eastAsia="MS Mincho"/>
          <w:lang w:eastAsia="ja-JP"/>
        </w:rPr>
      </w:pPr>
      <w:r w:rsidRPr="005D056B">
        <w:rPr>
          <w:rFonts w:eastAsia="MS Mincho"/>
          <w:lang w:eastAsia="ja-JP"/>
        </w:rPr>
        <w:t>Prop</w:t>
      </w:r>
      <w:r w:rsidR="0045226E">
        <w:rPr>
          <w:rFonts w:eastAsia="MS Mincho"/>
          <w:lang w:eastAsia="ja-JP"/>
        </w:rPr>
        <w:t>osed conditions of registration</w:t>
      </w:r>
    </w:p>
    <w:p w:rsidR="00B74269" w:rsidRPr="00764C74" w:rsidRDefault="00B74269" w:rsidP="00890546">
      <w:r w:rsidRPr="00764C74">
        <w:t xml:space="preserve">The ACPM agreed with the </w:t>
      </w:r>
      <w:r w:rsidR="00D1159A">
        <w:t>D</w:t>
      </w:r>
      <w:r w:rsidRPr="00764C74">
        <w:t>elegate on the proposed condi</w:t>
      </w:r>
      <w:r w:rsidR="00890546">
        <w:t>tions of registration.</w:t>
      </w:r>
    </w:p>
    <w:p w:rsidR="00B74269" w:rsidRPr="005D056B" w:rsidRDefault="00B74269" w:rsidP="00890546">
      <w:pPr>
        <w:pStyle w:val="Heading5"/>
        <w:rPr>
          <w:rFonts w:eastAsia="MS Mincho"/>
          <w:u w:val="single"/>
          <w:lang w:eastAsia="ja-JP"/>
        </w:rPr>
      </w:pPr>
      <w:r w:rsidRPr="005D056B">
        <w:rPr>
          <w:rFonts w:eastAsia="MS Mincho"/>
          <w:lang w:eastAsia="ja-JP"/>
        </w:rPr>
        <w:t>Proposed Product Information (PI)/Consumer Medici</w:t>
      </w:r>
      <w:r w:rsidR="00D1159A">
        <w:rPr>
          <w:rFonts w:eastAsia="MS Mincho"/>
          <w:lang w:eastAsia="ja-JP"/>
        </w:rPr>
        <w:t>ne Information (CMI) amendments</w:t>
      </w:r>
    </w:p>
    <w:p w:rsidR="00B74269" w:rsidRPr="00D1159A" w:rsidRDefault="00B74269" w:rsidP="00890546">
      <w:r w:rsidRPr="00D1159A">
        <w:t xml:space="preserve">The ACPM agreed with the </w:t>
      </w:r>
      <w:r w:rsidR="00054CAF">
        <w:t>D</w:t>
      </w:r>
      <w:r w:rsidRPr="00D1159A">
        <w:t xml:space="preserve">elegate to the proposed amendments to the Product Information (PI) and Consumer Medicine Information (CMI) and specifically advised on </w:t>
      </w:r>
      <w:r w:rsidR="00890546">
        <w:t>the inclusion of the following:</w:t>
      </w:r>
    </w:p>
    <w:p w:rsidR="00B74269" w:rsidRPr="00890546" w:rsidRDefault="00B74269" w:rsidP="00890546">
      <w:pPr>
        <w:pStyle w:val="ListBullet"/>
      </w:pPr>
      <w:r w:rsidRPr="00890546">
        <w:t xml:space="preserve">The </w:t>
      </w:r>
      <w:r w:rsidR="00890546" w:rsidRPr="00890546">
        <w:rPr>
          <w:b/>
        </w:rPr>
        <w:t>clinical trials</w:t>
      </w:r>
      <w:r w:rsidR="00054CAF" w:rsidRPr="00890546">
        <w:t xml:space="preserve"> section should include:</w:t>
      </w:r>
    </w:p>
    <w:p w:rsidR="00B74269" w:rsidRPr="00890546" w:rsidRDefault="00610980" w:rsidP="00890546">
      <w:pPr>
        <w:pStyle w:val="ListBullet2"/>
      </w:pPr>
      <w:r w:rsidRPr="00890546">
        <w:lastRenderedPageBreak/>
        <w:t>B</w:t>
      </w:r>
      <w:r w:rsidR="00B74269" w:rsidRPr="00890546">
        <w:t>aseline information, demographics and outcome predictors as well as tabulation of results in the naïve</w:t>
      </w:r>
      <w:r w:rsidR="00121C3D" w:rsidRPr="00890546">
        <w:t xml:space="preserve"> </w:t>
      </w:r>
      <w:r w:rsidR="00B74269" w:rsidRPr="00890546">
        <w:t>and switch studies, similar to the US Package Insert (PI).</w:t>
      </w:r>
    </w:p>
    <w:p w:rsidR="00B74269" w:rsidRPr="00890546" w:rsidRDefault="00610980" w:rsidP="00890546">
      <w:pPr>
        <w:pStyle w:val="ListBullet2"/>
      </w:pPr>
      <w:r w:rsidRPr="00890546">
        <w:t>I</w:t>
      </w:r>
      <w:r w:rsidR="00B74269" w:rsidRPr="00890546">
        <w:t>nformation regarding Study GS-US-264-011</w:t>
      </w:r>
      <w:r w:rsidR="0016250E" w:rsidRPr="00890546">
        <w:t>0</w:t>
      </w:r>
      <w:r w:rsidR="00B74269" w:rsidRPr="00890546">
        <w:t>, containing the majority (510/786) of</w:t>
      </w:r>
      <w:r w:rsidR="00121C3D" w:rsidRPr="00890546">
        <w:t xml:space="preserve"> </w:t>
      </w:r>
      <w:r w:rsidR="00B74269" w:rsidRPr="00890546">
        <w:t>subjects who had a viral</w:t>
      </w:r>
      <w:r w:rsidRPr="00890546">
        <w:t xml:space="preserve"> load less than 100,000 copies/</w:t>
      </w:r>
      <w:r w:rsidR="00B74269" w:rsidRPr="00890546">
        <w:t>mL to help prescribers understand why the medicine is not suitable for those with higher viral loads.</w:t>
      </w:r>
    </w:p>
    <w:p w:rsidR="00B74269" w:rsidRPr="00890546" w:rsidRDefault="00B74269" w:rsidP="00890546">
      <w:pPr>
        <w:pStyle w:val="ListBullet"/>
      </w:pPr>
      <w:r w:rsidRPr="00890546">
        <w:t xml:space="preserve">A statement in the </w:t>
      </w:r>
      <w:r w:rsidR="00890546" w:rsidRPr="00890546">
        <w:rPr>
          <w:b/>
        </w:rPr>
        <w:t>precautions</w:t>
      </w:r>
      <w:r w:rsidRPr="00890546">
        <w:t xml:space="preserve"> section that high protein drinks reduced absorption of </w:t>
      </w:r>
      <w:proofErr w:type="spellStart"/>
      <w:r w:rsidRPr="00890546">
        <w:t>E</w:t>
      </w:r>
      <w:r w:rsidR="004C004D" w:rsidRPr="00890546">
        <w:t>viplera</w:t>
      </w:r>
      <w:proofErr w:type="spellEnd"/>
      <w:r w:rsidR="0045226E">
        <w:t>.</w:t>
      </w:r>
    </w:p>
    <w:p w:rsidR="00B74269" w:rsidRPr="00890546" w:rsidRDefault="00B74269" w:rsidP="00890546">
      <w:pPr>
        <w:pStyle w:val="ListBullet"/>
      </w:pPr>
      <w:r w:rsidRPr="00890546">
        <w:t>A statement in the PI and relevant sections of the CMI to reference prevention: ‘Effective treatment substantially reduces but does not completely eliminate transmission.’</w:t>
      </w:r>
    </w:p>
    <w:p w:rsidR="00B74269" w:rsidRPr="00890546" w:rsidRDefault="00B74269" w:rsidP="00890546">
      <w:pPr>
        <w:pStyle w:val="ListBullet"/>
      </w:pPr>
      <w:r w:rsidRPr="00890546">
        <w:t xml:space="preserve">In the Precautions section, advice on how to manage worsening renal failure and hepatitis B whilst taking </w:t>
      </w:r>
      <w:proofErr w:type="spellStart"/>
      <w:r w:rsidR="004C004D" w:rsidRPr="00890546">
        <w:t>Eviplera</w:t>
      </w:r>
      <w:proofErr w:type="spellEnd"/>
      <w:r w:rsidRPr="00890546">
        <w:t xml:space="preserve"> similar to the US PI.</w:t>
      </w:r>
    </w:p>
    <w:p w:rsidR="00B74269" w:rsidRPr="00890546" w:rsidRDefault="00B74269" w:rsidP="00890546">
      <w:pPr>
        <w:pStyle w:val="ListBullet"/>
      </w:pPr>
      <w:r w:rsidRPr="00890546">
        <w:t xml:space="preserve">In the </w:t>
      </w:r>
      <w:r w:rsidR="00890546" w:rsidRPr="00890546">
        <w:rPr>
          <w:b/>
        </w:rPr>
        <w:t>indications</w:t>
      </w:r>
      <w:r w:rsidRPr="00890546">
        <w:t xml:space="preserve"> section, statements similar to that in the US </w:t>
      </w:r>
      <w:r w:rsidR="003369C6" w:rsidRPr="00890546">
        <w:t>PI</w:t>
      </w:r>
      <w:r w:rsidRPr="00890546">
        <w:t xml:space="preserve"> about antiretroviral therapy</w:t>
      </w:r>
      <w:r w:rsidR="00CC4850" w:rsidRPr="00890546">
        <w:t xml:space="preserve"> </w:t>
      </w:r>
      <w:r w:rsidRPr="00890546">
        <w:t xml:space="preserve">naïve patients and </w:t>
      </w:r>
      <w:proofErr w:type="spellStart"/>
      <w:r w:rsidRPr="00890546">
        <w:t>virologic</w:t>
      </w:r>
      <w:proofErr w:type="spellEnd"/>
      <w:r w:rsidRPr="00890546">
        <w:t xml:space="preserve"> failure when treated with </w:t>
      </w:r>
      <w:proofErr w:type="spellStart"/>
      <w:r w:rsidRPr="00890546">
        <w:t>rilpivirine</w:t>
      </w:r>
      <w:proofErr w:type="spellEnd"/>
      <w:r w:rsidRPr="00890546">
        <w:t>.</w:t>
      </w:r>
    </w:p>
    <w:p w:rsidR="00B74269" w:rsidRPr="00890546" w:rsidRDefault="00B74269" w:rsidP="00890546">
      <w:pPr>
        <w:pStyle w:val="ListBullet"/>
      </w:pPr>
      <w:r w:rsidRPr="00890546">
        <w:t xml:space="preserve">In the </w:t>
      </w:r>
      <w:r w:rsidR="00890546" w:rsidRPr="00890546">
        <w:rPr>
          <w:b/>
        </w:rPr>
        <w:t>clinical trials</w:t>
      </w:r>
      <w:r w:rsidRPr="00890546">
        <w:t xml:space="preserve"> section, a statement that patients should be virologically suppressed on their first or second antiretroviral regimen prior to switching to </w:t>
      </w:r>
      <w:proofErr w:type="spellStart"/>
      <w:r w:rsidR="00CC4850" w:rsidRPr="00890546">
        <w:t>Eviplera</w:t>
      </w:r>
      <w:proofErr w:type="spellEnd"/>
      <w:r w:rsidRPr="00890546">
        <w:t>.</w:t>
      </w:r>
    </w:p>
    <w:p w:rsidR="00B74269" w:rsidRPr="00890546" w:rsidRDefault="00B74269" w:rsidP="00890546">
      <w:pPr>
        <w:pStyle w:val="ListBullet"/>
      </w:pPr>
      <w:r w:rsidRPr="00890546">
        <w:t>Amendment of the CMI to better reflect Australian circumstances and with reference to the standard CMI templat</w:t>
      </w:r>
      <w:r w:rsidR="0045226E">
        <w:t>e and the Usability Guidelines.</w:t>
      </w:r>
    </w:p>
    <w:p w:rsidR="00B74269" w:rsidRPr="005D056B" w:rsidRDefault="0079782F" w:rsidP="00D1159A">
      <w:pPr>
        <w:pStyle w:val="Heading5"/>
        <w:rPr>
          <w:rFonts w:eastAsia="MS Mincho"/>
          <w:highlight w:val="yellow"/>
          <w:lang w:eastAsia="ja-JP"/>
        </w:rPr>
      </w:pPr>
      <w:r>
        <w:rPr>
          <w:rFonts w:eastAsia="MS Mincho"/>
          <w:lang w:eastAsia="ja-JP"/>
        </w:rPr>
        <w:t>Specific a</w:t>
      </w:r>
      <w:r w:rsidR="00D1159A">
        <w:rPr>
          <w:rFonts w:eastAsia="MS Mincho"/>
          <w:lang w:eastAsia="ja-JP"/>
        </w:rPr>
        <w:t>dvice</w:t>
      </w:r>
    </w:p>
    <w:p w:rsidR="00B74269" w:rsidRPr="00D1159A" w:rsidRDefault="00B74269" w:rsidP="00D1159A">
      <w:pPr>
        <w:rPr>
          <w:highlight w:val="yellow"/>
        </w:rPr>
      </w:pPr>
      <w:r w:rsidRPr="00D1159A">
        <w:t xml:space="preserve">The ACPM advised the following in response to the </w:t>
      </w:r>
      <w:r w:rsidR="00CC4850">
        <w:t>d</w:t>
      </w:r>
      <w:r w:rsidRPr="00D1159A">
        <w:t>elegate’s specific questions on this submission:</w:t>
      </w:r>
    </w:p>
    <w:p w:rsidR="00B74269" w:rsidRPr="00D1159A" w:rsidRDefault="00B74269" w:rsidP="00890546">
      <w:pPr>
        <w:pStyle w:val="ListBullet"/>
      </w:pPr>
      <w:r w:rsidRPr="00D1159A">
        <w:t>The acceptability of the Indications currently proposed by the sponsor:</w:t>
      </w:r>
    </w:p>
    <w:p w:rsidR="00B74269" w:rsidRPr="00890546" w:rsidRDefault="00CC4850" w:rsidP="00890546">
      <w:pPr>
        <w:pStyle w:val="ListBullet2"/>
        <w:rPr>
          <w:i/>
        </w:rPr>
      </w:pPr>
      <w:proofErr w:type="spellStart"/>
      <w:r w:rsidRPr="00890546">
        <w:rPr>
          <w:i/>
        </w:rPr>
        <w:t>Eviplera</w:t>
      </w:r>
      <w:proofErr w:type="spellEnd"/>
      <w:r w:rsidR="00B74269" w:rsidRPr="00890546">
        <w:rPr>
          <w:i/>
        </w:rPr>
        <w:t xml:space="preserve"> is indicated for the treatment of HIV-1 infection in adult patients with plasma HIV-1 RNA ≤ 100,000 c</w:t>
      </w:r>
      <w:r w:rsidR="0079782F">
        <w:rPr>
          <w:i/>
        </w:rPr>
        <w:t>opies/mL (see CLINICAL TRIALS).</w:t>
      </w:r>
    </w:p>
    <w:p w:rsidR="00B74269" w:rsidRPr="00890546" w:rsidRDefault="00B74269" w:rsidP="00890546">
      <w:pPr>
        <w:pStyle w:val="ListBullet2"/>
        <w:rPr>
          <w:i/>
        </w:rPr>
      </w:pPr>
      <w:r w:rsidRPr="00890546">
        <w:rPr>
          <w:i/>
        </w:rPr>
        <w:t xml:space="preserve">Patients must not have a history of resistance to any of the components of </w:t>
      </w:r>
      <w:proofErr w:type="spellStart"/>
      <w:r w:rsidR="00CC4850" w:rsidRPr="00890546">
        <w:rPr>
          <w:i/>
        </w:rPr>
        <w:t>Eviplera</w:t>
      </w:r>
      <w:proofErr w:type="spellEnd"/>
      <w:r w:rsidRPr="00890546">
        <w:rPr>
          <w:i/>
        </w:rPr>
        <w:t xml:space="preserve"> (</w:t>
      </w:r>
      <w:r w:rsidR="00CC4850" w:rsidRPr="00890546">
        <w:rPr>
          <w:i/>
        </w:rPr>
        <w:t>TDF, FTC or RPV</w:t>
      </w:r>
      <w:r w:rsidR="00D1159A" w:rsidRPr="00890546">
        <w:rPr>
          <w:i/>
        </w:rPr>
        <w:t>).</w:t>
      </w:r>
    </w:p>
    <w:p w:rsidR="00B74269" w:rsidRPr="00D1159A" w:rsidRDefault="00B74269" w:rsidP="00890546">
      <w:r w:rsidRPr="00D1159A">
        <w:t>The ACPM advised that the wording of the sponsor’s proposed indication is broad and could apply to any pre</w:t>
      </w:r>
      <w:r w:rsidR="008B5D44">
        <w:t>-</w:t>
      </w:r>
      <w:r w:rsidRPr="00D1159A">
        <w:t xml:space="preserve">treated patient for whom a change in regimen is required and who does not have a history of resistance to any of the </w:t>
      </w:r>
      <w:r w:rsidRPr="000B4D3B">
        <w:t xml:space="preserve">components of </w:t>
      </w:r>
      <w:proofErr w:type="spellStart"/>
      <w:r w:rsidR="000B4D3B" w:rsidRPr="000B4D3B">
        <w:t>Eviplera</w:t>
      </w:r>
      <w:proofErr w:type="spellEnd"/>
      <w:r w:rsidRPr="000B4D3B">
        <w:t xml:space="preserve"> (</w:t>
      </w:r>
      <w:r w:rsidR="000B4D3B" w:rsidRPr="000B4D3B">
        <w:t>TDF, FTC or RPV</w:t>
      </w:r>
      <w:r w:rsidRPr="000B4D3B">
        <w:t>). The ACPM noted that for treatment</w:t>
      </w:r>
      <w:r w:rsidR="00570066" w:rsidRPr="000B4D3B">
        <w:t xml:space="preserve"> </w:t>
      </w:r>
      <w:r w:rsidRPr="000B4D3B">
        <w:t xml:space="preserve">experienced patients the application presented evidence for use of </w:t>
      </w:r>
      <w:proofErr w:type="spellStart"/>
      <w:r w:rsidR="00BB42A6" w:rsidRPr="00D1159A">
        <w:t>E</w:t>
      </w:r>
      <w:r w:rsidR="00BB42A6">
        <w:t>viplera</w:t>
      </w:r>
      <w:proofErr w:type="spellEnd"/>
      <w:r w:rsidRPr="000B4D3B">
        <w:t xml:space="preserve"> only as a switch drug for either</w:t>
      </w:r>
      <w:r w:rsidRPr="00D1159A">
        <w:t xml:space="preserve"> </w:t>
      </w:r>
      <w:proofErr w:type="spellStart"/>
      <w:r w:rsidRPr="00D1159A">
        <w:t>Atripla</w:t>
      </w:r>
      <w:proofErr w:type="spellEnd"/>
      <w:r w:rsidRPr="00D1159A">
        <w:t xml:space="preserve"> or protease inhibitors in patients who have not virologically failed their previous regimen and without baseline resistance to the components of </w:t>
      </w:r>
      <w:proofErr w:type="spellStart"/>
      <w:r w:rsidR="00BB42A6" w:rsidRPr="00D1159A">
        <w:t>E</w:t>
      </w:r>
      <w:r w:rsidR="00BB42A6">
        <w:t>viplera</w:t>
      </w:r>
      <w:proofErr w:type="spellEnd"/>
      <w:r w:rsidRPr="00D1159A">
        <w:t xml:space="preserve"> on history and resistance testing. In addition, the only data submitted to support a switch from </w:t>
      </w:r>
      <w:proofErr w:type="spellStart"/>
      <w:r w:rsidRPr="00D1159A">
        <w:t>Atripla</w:t>
      </w:r>
      <w:proofErr w:type="spellEnd"/>
      <w:r w:rsidRPr="00D1159A">
        <w:t xml:space="preserve"> is an uncontrolled single arm </w:t>
      </w:r>
      <w:r w:rsidR="00EE38E7">
        <w:t>P</w:t>
      </w:r>
      <w:r w:rsidRPr="00D1159A">
        <w:t>hase II study (GS-US-264-0111) which evaluated only 49 patients. The ACPM noted the sponsor’s revised indication in its pre</w:t>
      </w:r>
      <w:r w:rsidR="00556669">
        <w:t xml:space="preserve"> </w:t>
      </w:r>
      <w:r w:rsidR="00BA4B49">
        <w:t>ACPM response:</w:t>
      </w:r>
    </w:p>
    <w:p w:rsidR="00B74269" w:rsidRPr="00BA4B49" w:rsidRDefault="00BA4B49" w:rsidP="00D1159A">
      <w:pPr>
        <w:ind w:left="720"/>
        <w:rPr>
          <w:i/>
        </w:rPr>
      </w:pPr>
      <w:proofErr w:type="spellStart"/>
      <w:r w:rsidRPr="00BA4B49">
        <w:rPr>
          <w:i/>
        </w:rPr>
        <w:t>Eviplera</w:t>
      </w:r>
      <w:proofErr w:type="spellEnd"/>
      <w:r w:rsidR="00B74269" w:rsidRPr="00BA4B49">
        <w:rPr>
          <w:i/>
        </w:rPr>
        <w:t xml:space="preserve"> is indicated for the treatment of HIV-1 infection in treatment-naïve adult patients with plasma HIV-1 RNA ≤100,000 copies/mL and to replace the current regimen in adults who are virologically-suppressed without known mutations associated with resistance to the components of </w:t>
      </w:r>
      <w:proofErr w:type="spellStart"/>
      <w:r w:rsidRPr="00BA4B49">
        <w:rPr>
          <w:i/>
        </w:rPr>
        <w:t>Eviplera</w:t>
      </w:r>
      <w:proofErr w:type="spellEnd"/>
      <w:r w:rsidR="00B74269" w:rsidRPr="00BA4B49">
        <w:rPr>
          <w:i/>
        </w:rPr>
        <w:t xml:space="preserve"> (see CLINICAL TRIALS).</w:t>
      </w:r>
    </w:p>
    <w:p w:rsidR="00B74269" w:rsidRPr="00D1159A" w:rsidRDefault="00B74269" w:rsidP="00890546">
      <w:r w:rsidRPr="00D1159A">
        <w:t xml:space="preserve">For </w:t>
      </w:r>
      <w:r w:rsidR="00E273BC">
        <w:t xml:space="preserve">ARV </w:t>
      </w:r>
      <w:r w:rsidRPr="00D1159A">
        <w:t xml:space="preserve">experienced patients, the ACPM considered that the data presented supports the use of this medicine only in the context of a switch from an effective regimen. Neither of the proposed indications offered an alternative </w:t>
      </w:r>
      <w:r w:rsidRPr="00721055">
        <w:t xml:space="preserve">for </w:t>
      </w:r>
      <w:r w:rsidR="00E273BC" w:rsidRPr="00721055">
        <w:t xml:space="preserve">ARV </w:t>
      </w:r>
      <w:r w:rsidRPr="00721055">
        <w:t xml:space="preserve">experienced patients who do not have genotypic or historical evidence of resistance to </w:t>
      </w:r>
      <w:r w:rsidR="00721055" w:rsidRPr="00721055">
        <w:t xml:space="preserve">TDF, FTC or RPV </w:t>
      </w:r>
      <w:r w:rsidRPr="00721055">
        <w:t>even though</w:t>
      </w:r>
      <w:r w:rsidRPr="00D1159A">
        <w:t xml:space="preserve"> the indication statement implies that thi</w:t>
      </w:r>
      <w:r w:rsidR="00890546">
        <w:t>s combination may be an option.</w:t>
      </w:r>
    </w:p>
    <w:p w:rsidR="00B74269" w:rsidRPr="00D1159A" w:rsidRDefault="00B74269" w:rsidP="00890546">
      <w:r w:rsidRPr="00D1159A">
        <w:lastRenderedPageBreak/>
        <w:t xml:space="preserve">The ACPM therefore agreed with the </w:t>
      </w:r>
      <w:r w:rsidR="0080443F">
        <w:t>D</w:t>
      </w:r>
      <w:r w:rsidRPr="00D1159A">
        <w:t>elegate’s proposed indications for treat</w:t>
      </w:r>
      <w:r w:rsidR="00721055">
        <w:t xml:space="preserve">ment </w:t>
      </w:r>
      <w:r w:rsidR="00D1159A">
        <w:t>experienced and treatment</w:t>
      </w:r>
      <w:r w:rsidR="00721055">
        <w:t xml:space="preserve"> </w:t>
      </w:r>
      <w:r w:rsidRPr="00D1159A">
        <w:t>naïve patients based on the evidence from the clinical trials presented in the application.</w:t>
      </w:r>
    </w:p>
    <w:p w:rsidR="00B74269" w:rsidRDefault="00B74269" w:rsidP="008B5D44">
      <w:r w:rsidRPr="00D1159A">
        <w:t>The ACPM advised that the implementation by the sponsor of the recommendations outlined above to the satisfaction of the TGA, in addition to the evidence of efficacy and safety provided would support the safe and</w:t>
      </w:r>
      <w:r w:rsidR="00890546">
        <w:t xml:space="preserve"> effective use of this product.</w:t>
      </w:r>
    </w:p>
    <w:p w:rsidR="008E7846" w:rsidRPr="002E238E" w:rsidRDefault="008E7846" w:rsidP="008B5D44">
      <w:pPr>
        <w:pStyle w:val="Heading3"/>
      </w:pPr>
      <w:bookmarkStart w:id="100" w:name="_Toc247691532"/>
      <w:bookmarkStart w:id="101" w:name="_Toc314842516"/>
      <w:bookmarkStart w:id="102" w:name="_Toc396298066"/>
      <w:bookmarkEnd w:id="73"/>
      <w:bookmarkEnd w:id="98"/>
      <w:bookmarkEnd w:id="99"/>
      <w:r w:rsidRPr="008B5D44">
        <w:t>Outcome</w:t>
      </w:r>
      <w:bookmarkEnd w:id="100"/>
      <w:bookmarkEnd w:id="101"/>
      <w:bookmarkEnd w:id="102"/>
    </w:p>
    <w:p w:rsidR="00D23139" w:rsidRPr="00D23139" w:rsidRDefault="00D23139" w:rsidP="00890546">
      <w:bookmarkStart w:id="103" w:name="_Toc247691533"/>
      <w:bookmarkStart w:id="104" w:name="_Toc314842517"/>
      <w:r w:rsidRPr="00D23139">
        <w:t xml:space="preserve">Based on a review of quality, safety and efficacy, TGA approved the registration of </w:t>
      </w:r>
      <w:proofErr w:type="spellStart"/>
      <w:r w:rsidR="00721055">
        <w:t>Eviplera</w:t>
      </w:r>
      <w:proofErr w:type="spellEnd"/>
      <w:r w:rsidR="000867AE" w:rsidRPr="000867AE">
        <w:t xml:space="preserve"> containing (combined 300 mg </w:t>
      </w:r>
      <w:proofErr w:type="spellStart"/>
      <w:r w:rsidR="000867AE" w:rsidRPr="000867AE">
        <w:t>tenofovir</w:t>
      </w:r>
      <w:proofErr w:type="spellEnd"/>
      <w:r w:rsidR="000867AE" w:rsidRPr="000867AE">
        <w:t xml:space="preserve"> </w:t>
      </w:r>
      <w:proofErr w:type="spellStart"/>
      <w:r w:rsidR="000867AE" w:rsidRPr="000867AE">
        <w:t>disoproxil</w:t>
      </w:r>
      <w:proofErr w:type="spellEnd"/>
      <w:r w:rsidR="000867AE" w:rsidRPr="000867AE">
        <w:t xml:space="preserve"> </w:t>
      </w:r>
      <w:proofErr w:type="spellStart"/>
      <w:r w:rsidR="000867AE" w:rsidRPr="000867AE">
        <w:t>fumarate</w:t>
      </w:r>
      <w:proofErr w:type="spellEnd"/>
      <w:r w:rsidR="000867AE" w:rsidRPr="000867AE">
        <w:t xml:space="preserve"> and 200 mg </w:t>
      </w:r>
      <w:proofErr w:type="spellStart"/>
      <w:r w:rsidR="000867AE" w:rsidRPr="000867AE">
        <w:t>emtricitabine</w:t>
      </w:r>
      <w:proofErr w:type="spellEnd"/>
      <w:r w:rsidR="000867AE" w:rsidRPr="000867AE">
        <w:t xml:space="preserve"> and 25 mg </w:t>
      </w:r>
      <w:proofErr w:type="spellStart"/>
      <w:r w:rsidR="000867AE" w:rsidRPr="000867AE">
        <w:t>rilpivirine</w:t>
      </w:r>
      <w:proofErr w:type="spellEnd"/>
      <w:r w:rsidR="000867AE" w:rsidRPr="000867AE">
        <w:t xml:space="preserve"> [as hydrochloride]) tablet for the </w:t>
      </w:r>
      <w:r w:rsidR="000867AE" w:rsidRPr="00164EE0">
        <w:rPr>
          <w:b/>
        </w:rPr>
        <w:t>new indication</w:t>
      </w:r>
      <w:r w:rsidRPr="00D23139">
        <w:t>:</w:t>
      </w:r>
    </w:p>
    <w:p w:rsidR="00164EE0" w:rsidRPr="006640BC" w:rsidRDefault="00164EE0" w:rsidP="00164EE0">
      <w:pPr>
        <w:ind w:left="720"/>
        <w:rPr>
          <w:i/>
        </w:rPr>
      </w:pPr>
      <w:proofErr w:type="spellStart"/>
      <w:r w:rsidRPr="006640BC">
        <w:rPr>
          <w:i/>
        </w:rPr>
        <w:t>E</w:t>
      </w:r>
      <w:r w:rsidR="00265A67" w:rsidRPr="006640BC">
        <w:rPr>
          <w:i/>
        </w:rPr>
        <w:t>viplera</w:t>
      </w:r>
      <w:proofErr w:type="spellEnd"/>
      <w:r w:rsidRPr="006640BC">
        <w:rPr>
          <w:i/>
        </w:rPr>
        <w:t xml:space="preserve"> is also indicated in certain virologically-suppressed (HIV-1 RNA &lt;50 copies/mL) adult patients on a stable antiretroviral regimen at start of therapy in order to replace their current antiretroviral treatment regimen (see CLINICAL TRIALS). Patients must not have a history of resistance to any of the components of </w:t>
      </w:r>
      <w:proofErr w:type="spellStart"/>
      <w:r w:rsidR="00265A67" w:rsidRPr="006640BC">
        <w:rPr>
          <w:i/>
        </w:rPr>
        <w:t>Eviplera</w:t>
      </w:r>
      <w:proofErr w:type="spellEnd"/>
      <w:r w:rsidRPr="006640BC">
        <w:rPr>
          <w:i/>
        </w:rPr>
        <w:t xml:space="preserve"> (</w:t>
      </w:r>
      <w:proofErr w:type="spellStart"/>
      <w:r w:rsidRPr="006640BC">
        <w:rPr>
          <w:i/>
        </w:rPr>
        <w:t>tenofovir</w:t>
      </w:r>
      <w:proofErr w:type="spellEnd"/>
      <w:r w:rsidRPr="006640BC">
        <w:rPr>
          <w:i/>
        </w:rPr>
        <w:t xml:space="preserve"> </w:t>
      </w:r>
      <w:proofErr w:type="spellStart"/>
      <w:r w:rsidR="006640BC" w:rsidRPr="006640BC">
        <w:rPr>
          <w:i/>
        </w:rPr>
        <w:t>disoproxil</w:t>
      </w:r>
      <w:proofErr w:type="spellEnd"/>
      <w:r w:rsidR="006640BC" w:rsidRPr="006640BC">
        <w:rPr>
          <w:i/>
        </w:rPr>
        <w:t xml:space="preserve"> </w:t>
      </w:r>
      <w:proofErr w:type="spellStart"/>
      <w:r w:rsidR="006640BC" w:rsidRPr="006640BC">
        <w:rPr>
          <w:i/>
        </w:rPr>
        <w:t>fumarate</w:t>
      </w:r>
      <w:proofErr w:type="spellEnd"/>
      <w:r w:rsidRPr="006640BC">
        <w:rPr>
          <w:i/>
        </w:rPr>
        <w:t xml:space="preserve">, </w:t>
      </w:r>
      <w:proofErr w:type="spellStart"/>
      <w:r w:rsidRPr="006640BC">
        <w:rPr>
          <w:i/>
        </w:rPr>
        <w:t>emtricitabine</w:t>
      </w:r>
      <w:proofErr w:type="spellEnd"/>
      <w:r w:rsidRPr="006640BC">
        <w:rPr>
          <w:i/>
        </w:rPr>
        <w:t xml:space="preserve"> or </w:t>
      </w:r>
      <w:proofErr w:type="spellStart"/>
      <w:r w:rsidRPr="006640BC">
        <w:rPr>
          <w:i/>
        </w:rPr>
        <w:t>rilpivirine</w:t>
      </w:r>
      <w:proofErr w:type="spellEnd"/>
      <w:r w:rsidRPr="006640BC">
        <w:rPr>
          <w:i/>
        </w:rPr>
        <w:t>).</w:t>
      </w:r>
    </w:p>
    <w:p w:rsidR="00164EE0" w:rsidRPr="00164EE0" w:rsidRDefault="00164EE0" w:rsidP="00890546">
      <w:r w:rsidRPr="00164EE0">
        <w:t xml:space="preserve">The </w:t>
      </w:r>
      <w:r w:rsidRPr="00164EE0">
        <w:rPr>
          <w:b/>
        </w:rPr>
        <w:t>full indications</w:t>
      </w:r>
      <w:r w:rsidR="00890546">
        <w:t xml:space="preserve"> are now read as:</w:t>
      </w:r>
    </w:p>
    <w:p w:rsidR="00164EE0" w:rsidRPr="006640BC" w:rsidRDefault="00265A67" w:rsidP="00164EE0">
      <w:pPr>
        <w:ind w:left="720"/>
        <w:rPr>
          <w:i/>
        </w:rPr>
      </w:pPr>
      <w:proofErr w:type="spellStart"/>
      <w:r w:rsidRPr="006640BC">
        <w:rPr>
          <w:i/>
        </w:rPr>
        <w:t>Eviplera</w:t>
      </w:r>
      <w:proofErr w:type="spellEnd"/>
      <w:r w:rsidRPr="006640BC">
        <w:rPr>
          <w:i/>
        </w:rPr>
        <w:t xml:space="preserve"> </w:t>
      </w:r>
      <w:r w:rsidR="00164EE0" w:rsidRPr="006640BC">
        <w:rPr>
          <w:i/>
        </w:rPr>
        <w:t>is indicated for the treatment of HIV infection in treatment-naïve adult patients with plasma HIV-1 RNA ≤ 100,000 copies/mL at the start of therapy.</w:t>
      </w:r>
    </w:p>
    <w:p w:rsidR="00164EE0" w:rsidRPr="006640BC" w:rsidRDefault="00265A67" w:rsidP="00164EE0">
      <w:pPr>
        <w:ind w:left="720"/>
        <w:rPr>
          <w:i/>
        </w:rPr>
      </w:pPr>
      <w:proofErr w:type="spellStart"/>
      <w:r w:rsidRPr="006640BC">
        <w:rPr>
          <w:i/>
        </w:rPr>
        <w:t>Eviplera</w:t>
      </w:r>
      <w:proofErr w:type="spellEnd"/>
      <w:r w:rsidRPr="006640BC">
        <w:rPr>
          <w:i/>
        </w:rPr>
        <w:t xml:space="preserve"> </w:t>
      </w:r>
      <w:r w:rsidR="00164EE0" w:rsidRPr="006640BC">
        <w:rPr>
          <w:i/>
        </w:rPr>
        <w:t xml:space="preserve">is also indicated in certain virologically-suppressed (HIV-1 RNA &lt;50 copies/mL) adult patients on a stable antiretroviral regimen at start of therapy in order to replace their current antiretroviral treatment regimen (see CLINICAL TRIALS). Patients must not have a history of resistance to any of the components of </w:t>
      </w:r>
      <w:proofErr w:type="spellStart"/>
      <w:r w:rsidRPr="006640BC">
        <w:rPr>
          <w:i/>
        </w:rPr>
        <w:t>Eviplera</w:t>
      </w:r>
      <w:proofErr w:type="spellEnd"/>
      <w:r w:rsidR="00164EE0" w:rsidRPr="006640BC">
        <w:rPr>
          <w:i/>
        </w:rPr>
        <w:t xml:space="preserve"> (</w:t>
      </w:r>
      <w:proofErr w:type="spellStart"/>
      <w:r w:rsidR="00164EE0" w:rsidRPr="006640BC">
        <w:rPr>
          <w:i/>
        </w:rPr>
        <w:t>tenofovir</w:t>
      </w:r>
      <w:proofErr w:type="spellEnd"/>
      <w:r w:rsidR="00164EE0" w:rsidRPr="006640BC">
        <w:rPr>
          <w:i/>
        </w:rPr>
        <w:t xml:space="preserve"> </w:t>
      </w:r>
      <w:proofErr w:type="spellStart"/>
      <w:r w:rsidR="006640BC" w:rsidRPr="006640BC">
        <w:rPr>
          <w:i/>
        </w:rPr>
        <w:t>disoproxil</w:t>
      </w:r>
      <w:proofErr w:type="spellEnd"/>
      <w:r w:rsidR="006640BC" w:rsidRPr="006640BC">
        <w:rPr>
          <w:i/>
        </w:rPr>
        <w:t xml:space="preserve"> </w:t>
      </w:r>
      <w:proofErr w:type="spellStart"/>
      <w:r w:rsidR="006640BC" w:rsidRPr="006640BC">
        <w:rPr>
          <w:i/>
        </w:rPr>
        <w:t>fumarate</w:t>
      </w:r>
      <w:proofErr w:type="spellEnd"/>
      <w:r w:rsidR="00164EE0" w:rsidRPr="006640BC">
        <w:rPr>
          <w:i/>
        </w:rPr>
        <w:t xml:space="preserve">, </w:t>
      </w:r>
      <w:proofErr w:type="spellStart"/>
      <w:r w:rsidR="00164EE0" w:rsidRPr="006640BC">
        <w:rPr>
          <w:i/>
        </w:rPr>
        <w:t>emtricitabine</w:t>
      </w:r>
      <w:proofErr w:type="spellEnd"/>
      <w:r w:rsidR="00164EE0" w:rsidRPr="006640BC">
        <w:rPr>
          <w:i/>
        </w:rPr>
        <w:t xml:space="preserve"> or </w:t>
      </w:r>
      <w:proofErr w:type="spellStart"/>
      <w:r w:rsidR="00164EE0" w:rsidRPr="006640BC">
        <w:rPr>
          <w:i/>
        </w:rPr>
        <w:t>rilpivirine</w:t>
      </w:r>
      <w:proofErr w:type="spellEnd"/>
      <w:r w:rsidR="00164EE0" w:rsidRPr="006640BC">
        <w:rPr>
          <w:i/>
        </w:rPr>
        <w:t>).</w:t>
      </w:r>
    </w:p>
    <w:p w:rsidR="00D23139" w:rsidRPr="00890546" w:rsidRDefault="00D23139" w:rsidP="00890546">
      <w:pPr>
        <w:pStyle w:val="Heading4"/>
      </w:pPr>
      <w:r w:rsidRPr="00890546">
        <w:t>Specific conditions of registration applying to these goods</w:t>
      </w:r>
    </w:p>
    <w:p w:rsidR="0009245C" w:rsidRPr="0009245C" w:rsidRDefault="0009245C" w:rsidP="008B5D44">
      <w:pPr>
        <w:pStyle w:val="ListBullet"/>
      </w:pPr>
      <w:r w:rsidRPr="0009245C">
        <w:t xml:space="preserve">For </w:t>
      </w:r>
      <w:proofErr w:type="spellStart"/>
      <w:r w:rsidRPr="0009245C">
        <w:t>E</w:t>
      </w:r>
      <w:r w:rsidR="0008300E">
        <w:t>viplera</w:t>
      </w:r>
      <w:proofErr w:type="spellEnd"/>
      <w:r w:rsidR="00C335DC">
        <w:t xml:space="preserve"> (containing </w:t>
      </w:r>
      <w:r w:rsidR="00AF61FC">
        <w:t>combined 300 m</w:t>
      </w:r>
      <w:r w:rsidRPr="0009245C">
        <w:t xml:space="preserve">g </w:t>
      </w:r>
      <w:proofErr w:type="spellStart"/>
      <w:r w:rsidRPr="0009245C">
        <w:t>tenofovir</w:t>
      </w:r>
      <w:proofErr w:type="spellEnd"/>
      <w:r w:rsidRPr="0009245C">
        <w:t xml:space="preserve"> </w:t>
      </w:r>
      <w:proofErr w:type="spellStart"/>
      <w:r w:rsidRPr="0009245C">
        <w:t>di</w:t>
      </w:r>
      <w:r w:rsidR="00AF61FC">
        <w:t>s</w:t>
      </w:r>
      <w:r w:rsidRPr="0009245C">
        <w:t>oproxil</w:t>
      </w:r>
      <w:proofErr w:type="spellEnd"/>
      <w:r w:rsidR="00AF61FC">
        <w:t xml:space="preserve"> </w:t>
      </w:r>
      <w:proofErr w:type="spellStart"/>
      <w:r w:rsidRPr="0009245C">
        <w:t>fum</w:t>
      </w:r>
      <w:r w:rsidR="00AF61FC">
        <w:t>a</w:t>
      </w:r>
      <w:r w:rsidRPr="0009245C">
        <w:t>r</w:t>
      </w:r>
      <w:r w:rsidR="00AF61FC">
        <w:t>a</w:t>
      </w:r>
      <w:r w:rsidRPr="0009245C">
        <w:t>te</w:t>
      </w:r>
      <w:proofErr w:type="spellEnd"/>
      <w:r w:rsidRPr="0009245C">
        <w:t xml:space="preserve"> </w:t>
      </w:r>
      <w:r w:rsidR="00AF61FC">
        <w:t>and 200 mg</w:t>
      </w:r>
      <w:r w:rsidRPr="0009245C">
        <w:t xml:space="preserve"> </w:t>
      </w:r>
      <w:proofErr w:type="spellStart"/>
      <w:r w:rsidRPr="0009245C">
        <w:t>emtricit</w:t>
      </w:r>
      <w:r w:rsidR="00AF61FC">
        <w:t>a</w:t>
      </w:r>
      <w:r w:rsidRPr="0009245C">
        <w:t>bine</w:t>
      </w:r>
      <w:proofErr w:type="spellEnd"/>
      <w:r w:rsidRPr="0009245C">
        <w:t xml:space="preserve"> </w:t>
      </w:r>
      <w:r w:rsidR="00AF61FC">
        <w:t xml:space="preserve">and 25 mg </w:t>
      </w:r>
      <w:proofErr w:type="spellStart"/>
      <w:r w:rsidR="00AF61FC" w:rsidRPr="008B5D44">
        <w:t>rilpivirine</w:t>
      </w:r>
      <w:proofErr w:type="spellEnd"/>
      <w:r w:rsidR="00AF61FC">
        <w:t xml:space="preserve"> [as hydrochloride]</w:t>
      </w:r>
      <w:r w:rsidRPr="0009245C">
        <w:t>) tablet</w:t>
      </w:r>
      <w:r w:rsidR="00C335DC">
        <w:t>s</w:t>
      </w:r>
      <w:r w:rsidRPr="0009245C">
        <w:t xml:space="preserve">, the </w:t>
      </w:r>
      <w:r w:rsidR="00C335DC">
        <w:t>RMP</w:t>
      </w:r>
      <w:r w:rsidRPr="0009245C">
        <w:t xml:space="preserve"> version 2.0 dated May 2014, included with the submission </w:t>
      </w:r>
      <w:r w:rsidR="00C335DC" w:rsidRPr="00C335DC">
        <w:t>PM-2013-01524-1-2</w:t>
      </w:r>
      <w:r w:rsidR="00C335DC">
        <w:t xml:space="preserve"> </w:t>
      </w:r>
      <w:r w:rsidRPr="0009245C">
        <w:t>as agreed by the TGA, must be implemented in Australia</w:t>
      </w:r>
      <w:r w:rsidR="00890546">
        <w:t>.</w:t>
      </w:r>
    </w:p>
    <w:p w:rsidR="008E7846" w:rsidRDefault="008E7846" w:rsidP="00D23139">
      <w:pPr>
        <w:pStyle w:val="Heading2"/>
      </w:pPr>
      <w:bookmarkStart w:id="105" w:name="_Toc396298067"/>
      <w:proofErr w:type="gramStart"/>
      <w:r>
        <w:t>Attachment 1.</w:t>
      </w:r>
      <w:proofErr w:type="gramEnd"/>
      <w:r>
        <w:tab/>
        <w:t xml:space="preserve">Product </w:t>
      </w:r>
      <w:r w:rsidR="00AA0ED0">
        <w:t>I</w:t>
      </w:r>
      <w:r>
        <w:t>nformation</w:t>
      </w:r>
      <w:bookmarkEnd w:id="103"/>
      <w:bookmarkEnd w:id="104"/>
      <w:bookmarkEnd w:id="105"/>
    </w:p>
    <w:p w:rsidR="00C80137" w:rsidRDefault="002B3624" w:rsidP="00C80137">
      <w:pPr>
        <w:rPr>
          <w:color w:val="000000"/>
          <w:lang w:eastAsia="en-AU"/>
        </w:rPr>
      </w:pPr>
      <w:r w:rsidRPr="002B3624">
        <w:t>The Produc</w:t>
      </w:r>
      <w:r w:rsidR="0009245C">
        <w:t xml:space="preserve">t Information approved for </w:t>
      </w:r>
      <w:proofErr w:type="spellStart"/>
      <w:r w:rsidR="0009245C">
        <w:t>Eviplera</w:t>
      </w:r>
      <w:proofErr w:type="spellEnd"/>
      <w:r w:rsidR="0009245C">
        <w:t xml:space="preserve"> </w:t>
      </w:r>
      <w:r w:rsidRPr="002B3624">
        <w:t xml:space="preserve">at the time this </w:t>
      </w:r>
      <w:proofErr w:type="spellStart"/>
      <w:r w:rsidRPr="002B3624">
        <w:t>AusPAR</w:t>
      </w:r>
      <w:proofErr w:type="spellEnd"/>
      <w:r w:rsidRPr="002B3624">
        <w:t xml:space="preserve"> was published is at Attachment 1. For the most recent Product Information please refer to the TGA website at &lt;</w:t>
      </w:r>
      <w:hyperlink r:id="rId24" w:history="1">
        <w:r w:rsidRPr="000734D8">
          <w:rPr>
            <w:rStyle w:val="Hyperlink"/>
          </w:rPr>
          <w:t>http://www.tga.gov.au/hp/information-medicines-pi.htm</w:t>
        </w:r>
      </w:hyperlink>
      <w:r w:rsidR="00AF61FC">
        <w:t>&gt;.</w:t>
      </w:r>
    </w:p>
    <w:p w:rsidR="00C80137" w:rsidRDefault="00C80137" w:rsidP="00C80137">
      <w:pPr>
        <w:pStyle w:val="Heading2"/>
        <w:rPr>
          <w:lang w:eastAsia="en-AU"/>
        </w:rPr>
      </w:pPr>
      <w:bookmarkStart w:id="106" w:name="_Toc396298068"/>
      <w:proofErr w:type="gramStart"/>
      <w:r>
        <w:rPr>
          <w:lang w:eastAsia="en-AU"/>
        </w:rPr>
        <w:t>Attachment 2.</w:t>
      </w:r>
      <w:proofErr w:type="gramEnd"/>
      <w:r>
        <w:rPr>
          <w:lang w:eastAsia="en-AU"/>
        </w:rPr>
        <w:t xml:space="preserve"> Extract from the Clinical Evaluation Report</w:t>
      </w:r>
      <w:bookmarkEnd w:id="106"/>
    </w:p>
    <w:p w:rsidR="00C80137" w:rsidRPr="001D043B" w:rsidRDefault="008E7846" w:rsidP="003A7F6C">
      <w:pPr>
        <w:pStyle w:val="TableTitle"/>
        <w:sectPr w:rsidR="00C80137" w:rsidRPr="001D043B"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bookmarkStart w:id="107" w:name="_GoBack"/>
      <w:bookmarkEnd w:id="107"/>
      <w:r w:rsidRPr="00C80137">
        <w:rPr>
          <w:b w:val="0"/>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250F61">
        <w:trPr>
          <w:trHeight w:hRule="exact" w:val="704"/>
        </w:trPr>
        <w:tc>
          <w:tcPr>
            <w:tcW w:w="9175" w:type="dxa"/>
          </w:tcPr>
          <w:p w:rsidR="001C32CD" w:rsidRPr="00487162" w:rsidRDefault="001C32CD" w:rsidP="00250F61">
            <w:pPr>
              <w:pStyle w:val="TGASignoff"/>
            </w:pPr>
            <w:r w:rsidRPr="00487162">
              <w:lastRenderedPageBreak/>
              <w:t>Therapeutic Goods Administration</w:t>
            </w:r>
          </w:p>
        </w:tc>
      </w:tr>
      <w:tr w:rsidR="001C32CD" w:rsidRPr="004C239D" w:rsidTr="00250F61">
        <w:trPr>
          <w:trHeight w:val="1221"/>
        </w:trPr>
        <w:tc>
          <w:tcPr>
            <w:tcW w:w="9175" w:type="dxa"/>
            <w:tcMar>
              <w:top w:w="28" w:type="dxa"/>
            </w:tcMar>
          </w:tcPr>
          <w:p w:rsidR="001C32CD" w:rsidRPr="00487162" w:rsidRDefault="001C32CD" w:rsidP="00250F61">
            <w:pPr>
              <w:pStyle w:val="Address"/>
            </w:pPr>
            <w:r w:rsidRPr="00487162">
              <w:t>PO Box 100 Woden ACT 2606 Australia</w:t>
            </w:r>
          </w:p>
          <w:p w:rsidR="001C32CD" w:rsidRPr="00487162" w:rsidRDefault="001C32CD" w:rsidP="00250F61">
            <w:pPr>
              <w:pStyle w:val="Address"/>
            </w:pPr>
            <w:r w:rsidRPr="00487162">
              <w:t xml:space="preserve">Email: </w:t>
            </w:r>
            <w:hyperlink r:id="rId29" w:history="1">
              <w:r w:rsidRPr="004C239D">
                <w:rPr>
                  <w:rStyle w:val="Hyperlink"/>
                </w:rPr>
                <w:t>info@tga.gov.au</w:t>
              </w:r>
            </w:hyperlink>
            <w:r w:rsidR="00121C3D">
              <w:t xml:space="preserve"> </w:t>
            </w:r>
            <w:r w:rsidRPr="00487162">
              <w:t>Phone: 1800 020 653</w:t>
            </w:r>
            <w:r w:rsidR="00121C3D">
              <w:t xml:space="preserve"> </w:t>
            </w:r>
            <w:r w:rsidRPr="00487162">
              <w:t>Fax: 02 6232 8605</w:t>
            </w:r>
          </w:p>
          <w:p w:rsidR="001C32CD" w:rsidRPr="004C239D" w:rsidRDefault="00AC07AF" w:rsidP="00250F61">
            <w:pPr>
              <w:pStyle w:val="Address"/>
              <w:spacing w:line="260" w:lineRule="atLeast"/>
              <w:rPr>
                <w:b/>
                <w:color w:val="0000FF"/>
                <w:u w:val="single"/>
              </w:rPr>
            </w:pPr>
            <w:hyperlink r:id="rId30" w:history="1">
              <w:r w:rsidR="001C32CD" w:rsidRPr="00607888">
                <w:rPr>
                  <w:rStyle w:val="Hyperlink"/>
                  <w:b/>
                </w:rPr>
                <w:t>http://www.tga.gov.au</w:t>
              </w:r>
            </w:hyperlink>
          </w:p>
        </w:tc>
      </w:tr>
    </w:tbl>
    <w:p w:rsidR="00774E1D" w:rsidRPr="008A5E0B" w:rsidRDefault="00774E1D" w:rsidP="004C239D"/>
    <w:sectPr w:rsidR="00774E1D" w:rsidRPr="008A5E0B" w:rsidSect="000E55BF">
      <w:headerReference w:type="even" r:id="rId31"/>
      <w:headerReference w:type="default" r:id="rId32"/>
      <w:footerReference w:type="default" r:id="rId33"/>
      <w:headerReference w:type="first" r:id="rId34"/>
      <w:footerReference w:type="first" r:id="rId35"/>
      <w:pgSz w:w="11906" w:h="16838" w:code="9"/>
      <w:pgMar w:top="14005"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EB2" w:rsidRDefault="00013EB2" w:rsidP="00C40A36">
      <w:pPr>
        <w:spacing w:after="0"/>
      </w:pPr>
      <w:r>
        <w:separator/>
      </w:r>
    </w:p>
  </w:endnote>
  <w:endnote w:type="continuationSeparator" w:id="0">
    <w:p w:rsidR="00013EB2" w:rsidRDefault="00013EB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7AF" w:rsidRDefault="00AC07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C07AF" w:rsidRPr="00487162" w:rsidTr="00DB750B">
      <w:trPr>
        <w:trHeight w:val="269"/>
      </w:trPr>
      <w:tc>
        <w:tcPr>
          <w:tcW w:w="7371" w:type="dxa"/>
          <w:tcMar>
            <w:top w:w="142" w:type="dxa"/>
            <w:bottom w:w="0" w:type="dxa"/>
          </w:tcMar>
        </w:tcPr>
        <w:p w:rsidR="00AC07AF" w:rsidRPr="00487162" w:rsidRDefault="00AC07AF" w:rsidP="001D6DDE">
          <w:pPr>
            <w:pStyle w:val="Footer"/>
          </w:pPr>
          <w:proofErr w:type="spellStart"/>
          <w:r w:rsidRPr="00487162">
            <w:t>AusPAR</w:t>
          </w:r>
          <w:proofErr w:type="spellEnd"/>
          <w:r w:rsidRPr="00487162">
            <w:t xml:space="preserve"> </w:t>
          </w:r>
          <w:proofErr w:type="spellStart"/>
          <w:r w:rsidRPr="003577C2">
            <w:t>tenofovir</w:t>
          </w:r>
          <w:proofErr w:type="spellEnd"/>
          <w:r w:rsidRPr="003577C2">
            <w:t xml:space="preserve"> </w:t>
          </w:r>
          <w:proofErr w:type="spellStart"/>
          <w:r w:rsidRPr="003577C2">
            <w:t>disoproxil</w:t>
          </w:r>
          <w:proofErr w:type="spellEnd"/>
          <w:r w:rsidRPr="003577C2">
            <w:t xml:space="preserve"> </w:t>
          </w:r>
          <w:proofErr w:type="spellStart"/>
          <w:r w:rsidRPr="003577C2">
            <w:t>fumarate</w:t>
          </w:r>
          <w:proofErr w:type="spellEnd"/>
          <w:r w:rsidRPr="003577C2">
            <w:t>/</w:t>
          </w:r>
          <w:proofErr w:type="spellStart"/>
          <w:r w:rsidRPr="003577C2">
            <w:t>emtricitabine</w:t>
          </w:r>
          <w:proofErr w:type="spellEnd"/>
          <w:r w:rsidRPr="003577C2">
            <w:t>/</w:t>
          </w:r>
          <w:proofErr w:type="spellStart"/>
          <w:r w:rsidRPr="003577C2">
            <w:t>rilpivirine</w:t>
          </w:r>
          <w:proofErr w:type="spellEnd"/>
          <w:r w:rsidRPr="003577C2">
            <w:t xml:space="preserve"> </w:t>
          </w:r>
          <w:proofErr w:type="spellStart"/>
          <w:r>
            <w:t>Eviplera</w:t>
          </w:r>
          <w:proofErr w:type="spellEnd"/>
          <w:r>
            <w:t xml:space="preserve"> </w:t>
          </w:r>
          <w:r w:rsidRPr="008F68D4">
            <w:t>Gilead Sciences Pty Ltd</w:t>
          </w:r>
          <w:r w:rsidRPr="00487162">
            <w:t xml:space="preserve"> </w:t>
          </w:r>
          <w:r>
            <w:br/>
          </w:r>
          <w:r w:rsidRPr="00FB1A16">
            <w:t>PM-2013-01524-1-2</w:t>
          </w:r>
          <w:r>
            <w:br/>
            <w:t>Final 15 July 2014</w:t>
          </w:r>
        </w:p>
      </w:tc>
      <w:tc>
        <w:tcPr>
          <w:tcW w:w="1490" w:type="dxa"/>
          <w:tcMar>
            <w:top w:w="142" w:type="dxa"/>
            <w:bottom w:w="0" w:type="dxa"/>
          </w:tcMar>
        </w:tcPr>
        <w:p w:rsidR="00AC07AF" w:rsidRPr="00487162" w:rsidRDefault="00AC07AF" w:rsidP="00DB750B">
          <w:pPr>
            <w:pStyle w:val="Footer"/>
            <w:jc w:val="right"/>
          </w:pPr>
          <w:r w:rsidRPr="00487162">
            <w:t xml:space="preserve">Page </w:t>
          </w:r>
          <w:r>
            <w:fldChar w:fldCharType="begin"/>
          </w:r>
          <w:r>
            <w:instrText xml:space="preserve"> PAGE  \* Arabic </w:instrText>
          </w:r>
          <w:r>
            <w:fldChar w:fldCharType="separate"/>
          </w:r>
          <w:r w:rsidR="008B5D44">
            <w:rPr>
              <w:noProof/>
            </w:rPr>
            <w:t>29</w:t>
          </w:r>
          <w:r>
            <w:fldChar w:fldCharType="end"/>
          </w:r>
          <w:r w:rsidRPr="00487162">
            <w:t xml:space="preserve"> of </w:t>
          </w:r>
          <w:fldSimple w:instr=" NUMPAGES  \* Arabic ">
            <w:r w:rsidR="008B5D44">
              <w:rPr>
                <w:noProof/>
              </w:rPr>
              <w:t>30</w:t>
            </w:r>
          </w:fldSimple>
        </w:p>
      </w:tc>
    </w:tr>
  </w:tbl>
  <w:p w:rsidR="00AC07AF" w:rsidRDefault="00AC07AF"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7AF" w:rsidRDefault="00AC07A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C07AF" w:rsidRPr="00487162" w:rsidTr="00E45619">
      <w:trPr>
        <w:trHeight w:val="269"/>
      </w:trPr>
      <w:tc>
        <w:tcPr>
          <w:tcW w:w="4519" w:type="dxa"/>
          <w:tcBorders>
            <w:top w:val="single" w:sz="4" w:space="0" w:color="auto"/>
          </w:tcBorders>
          <w:tcMar>
            <w:top w:w="142" w:type="dxa"/>
            <w:bottom w:w="0" w:type="dxa"/>
          </w:tcMar>
        </w:tcPr>
        <w:p w:rsidR="00AC07AF" w:rsidRPr="00487162" w:rsidRDefault="00AC07AF" w:rsidP="00FE1DEE">
          <w:pPr>
            <w:pStyle w:val="Footer"/>
          </w:pPr>
          <w:r w:rsidRPr="00487162">
            <w:t>Document title, Part #, Section # - Section title</w:t>
          </w:r>
        </w:p>
        <w:p w:rsidR="00AC07AF" w:rsidRPr="00487162" w:rsidRDefault="00AC07AF" w:rsidP="00FE1DEE">
          <w:pPr>
            <w:pStyle w:val="Footer"/>
          </w:pPr>
          <w:r w:rsidRPr="00487162">
            <w:t>V1.0 October 2010</w:t>
          </w:r>
        </w:p>
      </w:tc>
      <w:tc>
        <w:tcPr>
          <w:tcW w:w="4342" w:type="dxa"/>
          <w:tcBorders>
            <w:top w:val="single" w:sz="4" w:space="0" w:color="auto"/>
          </w:tcBorders>
          <w:tcMar>
            <w:top w:w="142" w:type="dxa"/>
            <w:bottom w:w="0" w:type="dxa"/>
          </w:tcMar>
        </w:tcPr>
        <w:p w:rsidR="00AC07AF" w:rsidRPr="00487162" w:rsidRDefault="00AC07A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AC07AF" w:rsidRDefault="00AC07A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7AF" w:rsidRPr="001C32CD" w:rsidRDefault="00AC07AF"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C07AF" w:rsidTr="0010601F">
      <w:trPr>
        <w:trHeight w:val="108"/>
      </w:trPr>
      <w:tc>
        <w:tcPr>
          <w:tcW w:w="8875" w:type="dxa"/>
          <w:gridSpan w:val="2"/>
          <w:tcBorders>
            <w:bottom w:val="single" w:sz="4" w:space="0" w:color="auto"/>
          </w:tcBorders>
          <w:tcMar>
            <w:right w:w="284" w:type="dxa"/>
          </w:tcMar>
        </w:tcPr>
        <w:p w:rsidR="00AC07AF" w:rsidRDefault="00AC07AF" w:rsidP="006E08B3">
          <w:pPr>
            <w:pStyle w:val="Heading3"/>
          </w:pPr>
          <w:r>
            <w:t>Copyright</w:t>
          </w:r>
        </w:p>
        <w:p w:rsidR="00AC07AF" w:rsidRDefault="00AC07AF" w:rsidP="006E08B3">
          <w:r>
            <w:rPr>
              <w:rFonts w:cs="Arial"/>
            </w:rPr>
            <w:t>©</w:t>
          </w:r>
          <w:r>
            <w:t xml:space="preserve"> Commonwealth of Australia [add year]</w:t>
          </w:r>
        </w:p>
        <w:p w:rsidR="00AC07AF" w:rsidRDefault="00AC07AF" w:rsidP="006E08B3"/>
        <w:p w:rsidR="00AC07AF" w:rsidRDefault="00AC07A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C07AF" w:rsidRDefault="00AC07AF" w:rsidP="006E08B3"/>
        <w:p w:rsidR="00AC07AF" w:rsidRDefault="00AC07AF" w:rsidP="006E08B3">
          <w:pPr>
            <w:pStyle w:val="Heading3"/>
          </w:pPr>
          <w:r>
            <w:t>Confidentiality</w:t>
          </w:r>
        </w:p>
        <w:p w:rsidR="00AC07AF" w:rsidRDefault="00AC07A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C07AF" w:rsidRDefault="00AC07AF" w:rsidP="006E08B3"/>
        <w:p w:rsidR="00AC07AF" w:rsidRDefault="00AC07AF" w:rsidP="006E08B3">
          <w:r>
            <w:t>For submission made by individuals, all personal details, other than your name, will be removed from your submission before it is published on the TGA’s Internet site.</w:t>
          </w:r>
        </w:p>
        <w:p w:rsidR="00AC07AF" w:rsidRDefault="00AC07AF" w:rsidP="006E08B3"/>
        <w:p w:rsidR="00AC07AF" w:rsidRDefault="00AC07A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C07AF" w:rsidTr="0010601F">
      <w:trPr>
        <w:trHeight w:val="417"/>
      </w:trPr>
      <w:tc>
        <w:tcPr>
          <w:tcW w:w="4519" w:type="dxa"/>
          <w:tcBorders>
            <w:top w:val="single" w:sz="4" w:space="0" w:color="auto"/>
          </w:tcBorders>
          <w:tcMar>
            <w:top w:w="142" w:type="dxa"/>
            <w:bottom w:w="0" w:type="dxa"/>
          </w:tcMar>
        </w:tcPr>
        <w:p w:rsidR="00AC07AF" w:rsidRDefault="00AC07AF" w:rsidP="006E08B3">
          <w:r>
            <w:t>Document title, Part #, Section # - Section title</w:t>
          </w:r>
        </w:p>
        <w:p w:rsidR="00AC07AF" w:rsidRDefault="00AC07AF" w:rsidP="006E08B3">
          <w:r>
            <w:t>V1.0 October 2010</w:t>
          </w:r>
        </w:p>
      </w:tc>
      <w:tc>
        <w:tcPr>
          <w:tcW w:w="4356" w:type="dxa"/>
          <w:tcBorders>
            <w:top w:val="single" w:sz="4" w:space="0" w:color="auto"/>
          </w:tcBorders>
          <w:tcMar>
            <w:top w:w="142" w:type="dxa"/>
            <w:bottom w:w="0" w:type="dxa"/>
          </w:tcMar>
        </w:tcPr>
        <w:p w:rsidR="00AC07AF" w:rsidRDefault="00AC07A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AC07AF" w:rsidRDefault="00AC07A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EB2" w:rsidRDefault="00013EB2" w:rsidP="00C40A36">
      <w:pPr>
        <w:spacing w:after="0"/>
      </w:pPr>
      <w:r>
        <w:separator/>
      </w:r>
    </w:p>
  </w:footnote>
  <w:footnote w:type="continuationSeparator" w:id="0">
    <w:p w:rsidR="00013EB2" w:rsidRDefault="00013EB2" w:rsidP="00C40A36">
      <w:pPr>
        <w:spacing w:after="0"/>
      </w:pPr>
      <w:r>
        <w:continuationSeparator/>
      </w:r>
    </w:p>
  </w:footnote>
  <w:footnote w:id="1">
    <w:p w:rsidR="00AC07AF" w:rsidRPr="00A36A68" w:rsidRDefault="00AC07AF" w:rsidP="00A36A68">
      <w:pPr>
        <w:pStyle w:val="FootnoteText"/>
      </w:pPr>
      <w:r w:rsidRPr="003B49DD">
        <w:rPr>
          <w:rStyle w:val="FootnoteReference"/>
        </w:rPr>
        <w:footnoteRef/>
      </w:r>
      <w:r w:rsidRPr="003B49DD">
        <w:rPr>
          <w:vertAlign w:val="superscript"/>
        </w:rPr>
        <w:t xml:space="preserve"> </w:t>
      </w:r>
      <w:r w:rsidRPr="00A36A68">
        <w:t>In cardiology, the QT interval is a measure of the time between the start of the Q wave and the end of the T wave in the heart’s electrical cycle.</w:t>
      </w:r>
    </w:p>
  </w:footnote>
  <w:footnote w:id="2">
    <w:p w:rsidR="00AC07AF" w:rsidRPr="008A5C59" w:rsidRDefault="00AC07AF" w:rsidP="008A5C59">
      <w:pPr>
        <w:pStyle w:val="FootnoteText"/>
      </w:pPr>
      <w:r w:rsidRPr="0045226E">
        <w:rPr>
          <w:rStyle w:val="FootnoteReference"/>
        </w:rPr>
        <w:footnoteRef/>
      </w:r>
      <w:r w:rsidRPr="008A5C59">
        <w:t xml:space="preserve"> European AIDS Clinical Society (EACS) Guidelines for the Clinical Management and Treatment of HIV Infected Adults in Europe. Version 6.1, November 2012.</w:t>
      </w:r>
    </w:p>
  </w:footnote>
  <w:footnote w:id="3">
    <w:p w:rsidR="00AC07AF" w:rsidRPr="008A5C59" w:rsidRDefault="00AC07AF" w:rsidP="008A5C59">
      <w:pPr>
        <w:pStyle w:val="FootnoteText"/>
      </w:pPr>
      <w:r w:rsidRPr="0045226E">
        <w:rPr>
          <w:rStyle w:val="FootnoteReference"/>
        </w:rPr>
        <w:footnoteRef/>
      </w:r>
      <w:r w:rsidRPr="008A5C59">
        <w:t xml:space="preserve"> </w:t>
      </w:r>
      <w:proofErr w:type="gramStart"/>
      <w:r w:rsidRPr="008A5C59">
        <w:t>Cohen C, Davis KL, Meyers JL.</w:t>
      </w:r>
      <w:proofErr w:type="gramEnd"/>
      <w:r w:rsidRPr="008A5C59">
        <w:t xml:space="preserve"> </w:t>
      </w:r>
      <w:proofErr w:type="gramStart"/>
      <w:r w:rsidRPr="008A5C59">
        <w:t>Association between Partial Adherence to Antiretroviral Therapy and Hospitalization Risk in an HIV Population [Poster Number H-211].</w:t>
      </w:r>
      <w:proofErr w:type="gramEnd"/>
      <w:r w:rsidRPr="008A5C59">
        <w:t xml:space="preserve"> </w:t>
      </w:r>
      <w:proofErr w:type="gramStart"/>
      <w:r w:rsidRPr="008A5C59">
        <w:t xml:space="preserve">52nd </w:t>
      </w:r>
      <w:proofErr w:type="spellStart"/>
      <w:r w:rsidRPr="008A5C59">
        <w:t>Interscience</w:t>
      </w:r>
      <w:proofErr w:type="spellEnd"/>
      <w:r w:rsidRPr="008A5C59">
        <w:t xml:space="preserve"> Conference on Antimicrobial Agents and Chemotherapy (ICAAC), 9-12 September 2012, San Francisco, CA.</w:t>
      </w:r>
      <w:proofErr w:type="gramEnd"/>
    </w:p>
  </w:footnote>
  <w:footnote w:id="4">
    <w:p w:rsidR="00AC07AF" w:rsidRPr="008A5C59" w:rsidRDefault="00AC07AF" w:rsidP="008A5C59">
      <w:pPr>
        <w:pStyle w:val="FootnoteText"/>
      </w:pPr>
      <w:r w:rsidRPr="0045226E">
        <w:rPr>
          <w:rStyle w:val="FootnoteReference"/>
        </w:rPr>
        <w:footnoteRef/>
      </w:r>
      <w:r w:rsidRPr="008A5C59">
        <w:t xml:space="preserve"> Sax PE, et al. (2012) Adherence to antiretroviral treatment and correlation with risk of hospitalization among commercially insured HIV patients in the United States. </w:t>
      </w:r>
      <w:proofErr w:type="spellStart"/>
      <w:r w:rsidRPr="008A5C59">
        <w:t>PLoS</w:t>
      </w:r>
      <w:proofErr w:type="spellEnd"/>
      <w:r w:rsidRPr="008A5C59">
        <w:t xml:space="preserve"> One 7: e31591; Cohen C, Davis KL, Meyers JL. </w:t>
      </w:r>
      <w:proofErr w:type="gramStart"/>
      <w:r w:rsidRPr="008A5C59">
        <w:t>Association of Partial Adherence to Antiretroviral Therapy with Hospitalizations and Healthcare Costs in an HIV Population.</w:t>
      </w:r>
      <w:proofErr w:type="gramEnd"/>
      <w:r w:rsidRPr="008A5C59">
        <w:t xml:space="preserve"> 11th International Congress on Drug Therapy in HIV Infection; 11-15 November 2012, Glasgow, UK, Community Research Initiative of New England, Boston, MA, RTI Health Solutions, Research Triangle Park, NC; Boyle A, et al. (2012) An investigation into frequency and reasons why patients switch antiretroviral therapy and which </w:t>
      </w:r>
      <w:proofErr w:type="spellStart"/>
      <w:r w:rsidRPr="008A5C59">
        <w:t>antiretrovirals</w:t>
      </w:r>
      <w:proofErr w:type="spellEnd"/>
      <w:r w:rsidRPr="008A5C59">
        <w:t xml:space="preserve"> are commonly implicated in toxicity. J </w:t>
      </w:r>
      <w:proofErr w:type="spellStart"/>
      <w:r w:rsidRPr="008A5C59">
        <w:t>Int</w:t>
      </w:r>
      <w:proofErr w:type="spellEnd"/>
      <w:r w:rsidRPr="008A5C59">
        <w:t xml:space="preserve"> AIDS Soc. 15: 18121; Murri R, et al. (2012) </w:t>
      </w:r>
      <w:proofErr w:type="gramStart"/>
      <w:r w:rsidRPr="008A5C59">
        <w:t>Among</w:t>
      </w:r>
      <w:proofErr w:type="gramEnd"/>
      <w:r w:rsidRPr="008A5C59">
        <w:t xml:space="preserve"> once-daily regimens, single tablet regimens (STRs) are associated with better adherence. J </w:t>
      </w:r>
      <w:proofErr w:type="spellStart"/>
      <w:r w:rsidRPr="008A5C59">
        <w:t>Int</w:t>
      </w:r>
      <w:proofErr w:type="spellEnd"/>
      <w:r w:rsidRPr="008A5C59">
        <w:t xml:space="preserve"> AIDS Soc. 15 </w:t>
      </w:r>
      <w:proofErr w:type="spellStart"/>
      <w:r w:rsidRPr="008A5C59">
        <w:t>Suppl</w:t>
      </w:r>
      <w:proofErr w:type="spellEnd"/>
      <w:r w:rsidRPr="008A5C59">
        <w:t xml:space="preserve"> 4: 18101.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7AF" w:rsidRDefault="00AC07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7AF" w:rsidRDefault="00AC07AF"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7AF" w:rsidRDefault="00AC07AF">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0" t="0" r="9525"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7AF" w:rsidRDefault="00AC07AF" w:rsidP="00593AD1">
    <w:pPr>
      <w:pStyle w:val="HeaderNoLine"/>
    </w:pPr>
    <w:r>
      <w:rPr>
        <w:noProof/>
        <w:lang w:eastAsia="en-AU"/>
      </w:rPr>
      <w:drawing>
        <wp:inline distT="0" distB="0" distL="0" distR="0">
          <wp:extent cx="5400040" cy="7635240"/>
          <wp:effectExtent l="0" t="0" r="0" b="3810"/>
          <wp:docPr id="7" name="Picture 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524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7AF" w:rsidRDefault="00AC07A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7AF" w:rsidRDefault="00AC07A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7AF" w:rsidRDefault="00AC07AF">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7AF" w:rsidRDefault="00AC07A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7AF" w:rsidRDefault="00AC07AF"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7AF" w:rsidRDefault="00AC07AF" w:rsidP="006E08B3">
    <w:r>
      <w:t>Therapeutic Goods Administration</w:t>
    </w:r>
  </w:p>
  <w:p w:rsidR="00AC07AF" w:rsidRDefault="00AC07A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ECD72F9"/>
    <w:multiLevelType w:val="hybridMultilevel"/>
    <w:tmpl w:val="28DE43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3066740A"/>
    <w:multiLevelType w:val="hybridMultilevel"/>
    <w:tmpl w:val="BF38771C"/>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307D705F"/>
    <w:multiLevelType w:val="hybridMultilevel"/>
    <w:tmpl w:val="192629FC"/>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9">
    <w:nsid w:val="3AC02909"/>
    <w:multiLevelType w:val="hybridMultilevel"/>
    <w:tmpl w:val="A53EC0BA"/>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643B6F1B"/>
    <w:multiLevelType w:val="hybridMultilevel"/>
    <w:tmpl w:val="6C8CD1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04377B2"/>
    <w:multiLevelType w:val="hybridMultilevel"/>
    <w:tmpl w:val="99747018"/>
    <w:lvl w:ilvl="0" w:tplc="0C09000F">
      <w:start w:val="1"/>
      <w:numFmt w:val="decimal"/>
      <w:lvlText w:val="%1."/>
      <w:lvlJc w:val="left"/>
      <w:pPr>
        <w:ind w:left="644" w:hanging="360"/>
      </w:pPr>
    </w:lvl>
    <w:lvl w:ilvl="1" w:tplc="46441B2C">
      <w:numFmt w:val="bullet"/>
      <w:lvlText w:val="-"/>
      <w:lvlJc w:val="left"/>
      <w:pPr>
        <w:ind w:left="1582" w:hanging="360"/>
      </w:pPr>
      <w:rPr>
        <w:rFonts w:ascii="Cambria" w:eastAsia="MS Mincho" w:hAnsi="Cambria" w:cs="Times New Roman" w:hint="default"/>
      </w:r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2">
    <w:nsid w:val="70827DA1"/>
    <w:multiLevelType w:val="hybridMultilevel"/>
    <w:tmpl w:val="E054B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EDE63D7"/>
    <w:multiLevelType w:val="hybridMultilevel"/>
    <w:tmpl w:val="F34E84B8"/>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7"/>
  </w:num>
  <w:num w:numId="28">
    <w:abstractNumId w:val="9"/>
  </w:num>
  <w:num w:numId="29">
    <w:abstractNumId w:val="13"/>
  </w:num>
  <w:num w:numId="30">
    <w:abstractNumId w:val="8"/>
  </w:num>
  <w:num w:numId="31">
    <w:abstractNumId w:val="4"/>
  </w:num>
  <w:num w:numId="32">
    <w:abstractNumId w:val="10"/>
  </w:num>
  <w:num w:numId="33">
    <w:abstractNumId w:val="12"/>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05C"/>
    <w:rsid w:val="00002031"/>
    <w:rsid w:val="00004734"/>
    <w:rsid w:val="00006B22"/>
    <w:rsid w:val="000107B6"/>
    <w:rsid w:val="0001276A"/>
    <w:rsid w:val="00013EB2"/>
    <w:rsid w:val="000155D3"/>
    <w:rsid w:val="00020365"/>
    <w:rsid w:val="000246AE"/>
    <w:rsid w:val="00025444"/>
    <w:rsid w:val="00025C67"/>
    <w:rsid w:val="00033EF3"/>
    <w:rsid w:val="0003685A"/>
    <w:rsid w:val="00037BDA"/>
    <w:rsid w:val="00044772"/>
    <w:rsid w:val="00054CAF"/>
    <w:rsid w:val="0005559E"/>
    <w:rsid w:val="000604D6"/>
    <w:rsid w:val="00067A87"/>
    <w:rsid w:val="00070FA2"/>
    <w:rsid w:val="000734D8"/>
    <w:rsid w:val="00073F94"/>
    <w:rsid w:val="00077775"/>
    <w:rsid w:val="0008300E"/>
    <w:rsid w:val="000867AE"/>
    <w:rsid w:val="00090471"/>
    <w:rsid w:val="00092173"/>
    <w:rsid w:val="0009245C"/>
    <w:rsid w:val="0009615D"/>
    <w:rsid w:val="00096AA7"/>
    <w:rsid w:val="000A3AED"/>
    <w:rsid w:val="000A4564"/>
    <w:rsid w:val="000B3532"/>
    <w:rsid w:val="000B3A75"/>
    <w:rsid w:val="000B4D3B"/>
    <w:rsid w:val="000C690F"/>
    <w:rsid w:val="000D1295"/>
    <w:rsid w:val="000D3364"/>
    <w:rsid w:val="000D391B"/>
    <w:rsid w:val="000D3D6D"/>
    <w:rsid w:val="000D47E1"/>
    <w:rsid w:val="000D4FC7"/>
    <w:rsid w:val="000D74B0"/>
    <w:rsid w:val="000E55BF"/>
    <w:rsid w:val="000F4869"/>
    <w:rsid w:val="000F5B42"/>
    <w:rsid w:val="000F6E6F"/>
    <w:rsid w:val="00100497"/>
    <w:rsid w:val="001009D5"/>
    <w:rsid w:val="00105472"/>
    <w:rsid w:val="0010601F"/>
    <w:rsid w:val="0010788A"/>
    <w:rsid w:val="00107A31"/>
    <w:rsid w:val="00110EA5"/>
    <w:rsid w:val="0011278F"/>
    <w:rsid w:val="00112F56"/>
    <w:rsid w:val="00121C3D"/>
    <w:rsid w:val="00125318"/>
    <w:rsid w:val="00126CC3"/>
    <w:rsid w:val="001305A2"/>
    <w:rsid w:val="00133238"/>
    <w:rsid w:val="0013763B"/>
    <w:rsid w:val="00137645"/>
    <w:rsid w:val="0014197B"/>
    <w:rsid w:val="001447CD"/>
    <w:rsid w:val="00144C7D"/>
    <w:rsid w:val="0014572F"/>
    <w:rsid w:val="001516B1"/>
    <w:rsid w:val="00154EBB"/>
    <w:rsid w:val="00156316"/>
    <w:rsid w:val="001610A1"/>
    <w:rsid w:val="0016190B"/>
    <w:rsid w:val="001622F8"/>
    <w:rsid w:val="0016250E"/>
    <w:rsid w:val="001626D5"/>
    <w:rsid w:val="00162D14"/>
    <w:rsid w:val="00164EE0"/>
    <w:rsid w:val="00165389"/>
    <w:rsid w:val="0017075A"/>
    <w:rsid w:val="001758F5"/>
    <w:rsid w:val="0017693F"/>
    <w:rsid w:val="00176A7E"/>
    <w:rsid w:val="0018110E"/>
    <w:rsid w:val="00181684"/>
    <w:rsid w:val="001843C6"/>
    <w:rsid w:val="001850E0"/>
    <w:rsid w:val="0018667E"/>
    <w:rsid w:val="001A2158"/>
    <w:rsid w:val="001A525F"/>
    <w:rsid w:val="001B09F9"/>
    <w:rsid w:val="001B141D"/>
    <w:rsid w:val="001B36E0"/>
    <w:rsid w:val="001B5C90"/>
    <w:rsid w:val="001B6448"/>
    <w:rsid w:val="001C1F0F"/>
    <w:rsid w:val="001C32CD"/>
    <w:rsid w:val="001D2984"/>
    <w:rsid w:val="001D6DDE"/>
    <w:rsid w:val="001D7947"/>
    <w:rsid w:val="001D7DF1"/>
    <w:rsid w:val="001E07CF"/>
    <w:rsid w:val="001E59F1"/>
    <w:rsid w:val="001F4813"/>
    <w:rsid w:val="001F49EB"/>
    <w:rsid w:val="001F6CBA"/>
    <w:rsid w:val="00201617"/>
    <w:rsid w:val="00201D4E"/>
    <w:rsid w:val="00201F13"/>
    <w:rsid w:val="002063ED"/>
    <w:rsid w:val="002076C9"/>
    <w:rsid w:val="00207818"/>
    <w:rsid w:val="002124DE"/>
    <w:rsid w:val="00215292"/>
    <w:rsid w:val="00220B8A"/>
    <w:rsid w:val="002257F3"/>
    <w:rsid w:val="00233456"/>
    <w:rsid w:val="002339A5"/>
    <w:rsid w:val="00242F81"/>
    <w:rsid w:val="002458D7"/>
    <w:rsid w:val="00245B8E"/>
    <w:rsid w:val="00250F61"/>
    <w:rsid w:val="00257848"/>
    <w:rsid w:val="00265A67"/>
    <w:rsid w:val="00266943"/>
    <w:rsid w:val="0027084A"/>
    <w:rsid w:val="00286434"/>
    <w:rsid w:val="00286C59"/>
    <w:rsid w:val="00291957"/>
    <w:rsid w:val="002942D1"/>
    <w:rsid w:val="0029501A"/>
    <w:rsid w:val="002A1858"/>
    <w:rsid w:val="002A499E"/>
    <w:rsid w:val="002A607A"/>
    <w:rsid w:val="002B0EFA"/>
    <w:rsid w:val="002B1638"/>
    <w:rsid w:val="002B3624"/>
    <w:rsid w:val="002B6252"/>
    <w:rsid w:val="002C102D"/>
    <w:rsid w:val="002C287D"/>
    <w:rsid w:val="002C328C"/>
    <w:rsid w:val="002C3BBC"/>
    <w:rsid w:val="002C6BC8"/>
    <w:rsid w:val="002D4D2F"/>
    <w:rsid w:val="002D5AC3"/>
    <w:rsid w:val="002E4C9A"/>
    <w:rsid w:val="002F11F8"/>
    <w:rsid w:val="002F2BA5"/>
    <w:rsid w:val="002F3F56"/>
    <w:rsid w:val="002F44B5"/>
    <w:rsid w:val="002F6E45"/>
    <w:rsid w:val="00311AC0"/>
    <w:rsid w:val="00317523"/>
    <w:rsid w:val="00317B8A"/>
    <w:rsid w:val="0032583B"/>
    <w:rsid w:val="00327585"/>
    <w:rsid w:val="00327883"/>
    <w:rsid w:val="00327925"/>
    <w:rsid w:val="00332DA7"/>
    <w:rsid w:val="00335348"/>
    <w:rsid w:val="00335504"/>
    <w:rsid w:val="003369C6"/>
    <w:rsid w:val="00342A9B"/>
    <w:rsid w:val="00344A6D"/>
    <w:rsid w:val="003460BB"/>
    <w:rsid w:val="00347824"/>
    <w:rsid w:val="00350567"/>
    <w:rsid w:val="00350612"/>
    <w:rsid w:val="003521E8"/>
    <w:rsid w:val="00355A5B"/>
    <w:rsid w:val="00355E47"/>
    <w:rsid w:val="003560EB"/>
    <w:rsid w:val="003577C2"/>
    <w:rsid w:val="00360BA2"/>
    <w:rsid w:val="00363FF6"/>
    <w:rsid w:val="003728F3"/>
    <w:rsid w:val="003737BA"/>
    <w:rsid w:val="0037496E"/>
    <w:rsid w:val="00377095"/>
    <w:rsid w:val="00382F09"/>
    <w:rsid w:val="00386150"/>
    <w:rsid w:val="00386328"/>
    <w:rsid w:val="003874CE"/>
    <w:rsid w:val="00390900"/>
    <w:rsid w:val="00393551"/>
    <w:rsid w:val="003A4256"/>
    <w:rsid w:val="003A6434"/>
    <w:rsid w:val="003A6CBB"/>
    <w:rsid w:val="003A7F6C"/>
    <w:rsid w:val="003B49DD"/>
    <w:rsid w:val="003B4D60"/>
    <w:rsid w:val="003B7E39"/>
    <w:rsid w:val="003C1E7D"/>
    <w:rsid w:val="003C44C1"/>
    <w:rsid w:val="003C58DC"/>
    <w:rsid w:val="003C6DD1"/>
    <w:rsid w:val="003D1E62"/>
    <w:rsid w:val="003D3AB7"/>
    <w:rsid w:val="003E2486"/>
    <w:rsid w:val="003E3208"/>
    <w:rsid w:val="003E39D9"/>
    <w:rsid w:val="003E4F62"/>
    <w:rsid w:val="003E7205"/>
    <w:rsid w:val="003F0B04"/>
    <w:rsid w:val="003F7091"/>
    <w:rsid w:val="003F7131"/>
    <w:rsid w:val="0040134E"/>
    <w:rsid w:val="00426512"/>
    <w:rsid w:val="00426812"/>
    <w:rsid w:val="004334C7"/>
    <w:rsid w:val="0043441A"/>
    <w:rsid w:val="0044093B"/>
    <w:rsid w:val="00440A2D"/>
    <w:rsid w:val="004412B9"/>
    <w:rsid w:val="0044486F"/>
    <w:rsid w:val="00444DFA"/>
    <w:rsid w:val="0044792B"/>
    <w:rsid w:val="0045226E"/>
    <w:rsid w:val="00453720"/>
    <w:rsid w:val="00453FBB"/>
    <w:rsid w:val="00456404"/>
    <w:rsid w:val="004564A7"/>
    <w:rsid w:val="004617BF"/>
    <w:rsid w:val="00463658"/>
    <w:rsid w:val="004638F4"/>
    <w:rsid w:val="004722CC"/>
    <w:rsid w:val="00474605"/>
    <w:rsid w:val="00480F92"/>
    <w:rsid w:val="004936E4"/>
    <w:rsid w:val="00494E60"/>
    <w:rsid w:val="00496869"/>
    <w:rsid w:val="00497487"/>
    <w:rsid w:val="004975DD"/>
    <w:rsid w:val="004A62DF"/>
    <w:rsid w:val="004A7D5D"/>
    <w:rsid w:val="004B7B76"/>
    <w:rsid w:val="004C004D"/>
    <w:rsid w:val="004C239D"/>
    <w:rsid w:val="004C2DCA"/>
    <w:rsid w:val="004D679B"/>
    <w:rsid w:val="004E0BCF"/>
    <w:rsid w:val="004E6CE5"/>
    <w:rsid w:val="004F0BBF"/>
    <w:rsid w:val="004F0C4A"/>
    <w:rsid w:val="004F0F38"/>
    <w:rsid w:val="004F1964"/>
    <w:rsid w:val="004F2900"/>
    <w:rsid w:val="004F5352"/>
    <w:rsid w:val="00501921"/>
    <w:rsid w:val="00502828"/>
    <w:rsid w:val="005036F1"/>
    <w:rsid w:val="00503F93"/>
    <w:rsid w:val="00511E19"/>
    <w:rsid w:val="00512841"/>
    <w:rsid w:val="00514A91"/>
    <w:rsid w:val="00515A07"/>
    <w:rsid w:val="00527EE2"/>
    <w:rsid w:val="00530354"/>
    <w:rsid w:val="005326C8"/>
    <w:rsid w:val="00534D99"/>
    <w:rsid w:val="0053625B"/>
    <w:rsid w:val="00540222"/>
    <w:rsid w:val="005403CF"/>
    <w:rsid w:val="005434C6"/>
    <w:rsid w:val="00543B39"/>
    <w:rsid w:val="00546154"/>
    <w:rsid w:val="00546303"/>
    <w:rsid w:val="00547DC5"/>
    <w:rsid w:val="00550096"/>
    <w:rsid w:val="00555280"/>
    <w:rsid w:val="00556669"/>
    <w:rsid w:val="005573F5"/>
    <w:rsid w:val="00557FF9"/>
    <w:rsid w:val="00560496"/>
    <w:rsid w:val="0056374C"/>
    <w:rsid w:val="00570066"/>
    <w:rsid w:val="00574E5F"/>
    <w:rsid w:val="00576257"/>
    <w:rsid w:val="00576378"/>
    <w:rsid w:val="00577130"/>
    <w:rsid w:val="00577945"/>
    <w:rsid w:val="00577E38"/>
    <w:rsid w:val="00585322"/>
    <w:rsid w:val="005857C6"/>
    <w:rsid w:val="00585B92"/>
    <w:rsid w:val="00587418"/>
    <w:rsid w:val="00592F6E"/>
    <w:rsid w:val="00593AD1"/>
    <w:rsid w:val="00594D38"/>
    <w:rsid w:val="005A31BE"/>
    <w:rsid w:val="005A51DC"/>
    <w:rsid w:val="005A5A12"/>
    <w:rsid w:val="005A68B6"/>
    <w:rsid w:val="005B06C6"/>
    <w:rsid w:val="005B0B5B"/>
    <w:rsid w:val="005C5570"/>
    <w:rsid w:val="005C79A4"/>
    <w:rsid w:val="005D5442"/>
    <w:rsid w:val="005D56D5"/>
    <w:rsid w:val="005E6C7F"/>
    <w:rsid w:val="005F1D6F"/>
    <w:rsid w:val="005F3B93"/>
    <w:rsid w:val="005F6941"/>
    <w:rsid w:val="005F722F"/>
    <w:rsid w:val="00603F32"/>
    <w:rsid w:val="00605AD4"/>
    <w:rsid w:val="00610980"/>
    <w:rsid w:val="00621B5B"/>
    <w:rsid w:val="006222D2"/>
    <w:rsid w:val="00625A6E"/>
    <w:rsid w:val="00631417"/>
    <w:rsid w:val="00632398"/>
    <w:rsid w:val="00635C54"/>
    <w:rsid w:val="00636D36"/>
    <w:rsid w:val="00640FC3"/>
    <w:rsid w:val="00642020"/>
    <w:rsid w:val="006441BD"/>
    <w:rsid w:val="006507DF"/>
    <w:rsid w:val="0065337B"/>
    <w:rsid w:val="0065419D"/>
    <w:rsid w:val="006604D8"/>
    <w:rsid w:val="006640BC"/>
    <w:rsid w:val="00664A5B"/>
    <w:rsid w:val="00665271"/>
    <w:rsid w:val="006763D2"/>
    <w:rsid w:val="00680C08"/>
    <w:rsid w:val="0068275B"/>
    <w:rsid w:val="00684E07"/>
    <w:rsid w:val="006859B1"/>
    <w:rsid w:val="006931B1"/>
    <w:rsid w:val="00697FF3"/>
    <w:rsid w:val="006A15C0"/>
    <w:rsid w:val="006A3E48"/>
    <w:rsid w:val="006A7171"/>
    <w:rsid w:val="006B0AF9"/>
    <w:rsid w:val="006B3C37"/>
    <w:rsid w:val="006B6C6C"/>
    <w:rsid w:val="006C2D13"/>
    <w:rsid w:val="006C390B"/>
    <w:rsid w:val="006C3E2A"/>
    <w:rsid w:val="006C447C"/>
    <w:rsid w:val="006C55CA"/>
    <w:rsid w:val="006C642F"/>
    <w:rsid w:val="006C6520"/>
    <w:rsid w:val="006D03E5"/>
    <w:rsid w:val="006D2746"/>
    <w:rsid w:val="006D3949"/>
    <w:rsid w:val="006D5D3E"/>
    <w:rsid w:val="006D6A1E"/>
    <w:rsid w:val="006D7BC7"/>
    <w:rsid w:val="006E08B3"/>
    <w:rsid w:val="006F17AC"/>
    <w:rsid w:val="006F25B8"/>
    <w:rsid w:val="006F36D4"/>
    <w:rsid w:val="006F572E"/>
    <w:rsid w:val="007046D6"/>
    <w:rsid w:val="00705DB0"/>
    <w:rsid w:val="00710869"/>
    <w:rsid w:val="00715E63"/>
    <w:rsid w:val="007175A0"/>
    <w:rsid w:val="00720A63"/>
    <w:rsid w:val="00721055"/>
    <w:rsid w:val="00722B57"/>
    <w:rsid w:val="00724661"/>
    <w:rsid w:val="0072551B"/>
    <w:rsid w:val="00726443"/>
    <w:rsid w:val="00730BB4"/>
    <w:rsid w:val="00730F8A"/>
    <w:rsid w:val="00734672"/>
    <w:rsid w:val="00740738"/>
    <w:rsid w:val="0074253D"/>
    <w:rsid w:val="00742FA3"/>
    <w:rsid w:val="0074429B"/>
    <w:rsid w:val="00752311"/>
    <w:rsid w:val="007615BC"/>
    <w:rsid w:val="00762F05"/>
    <w:rsid w:val="00764C74"/>
    <w:rsid w:val="007652FF"/>
    <w:rsid w:val="00766C14"/>
    <w:rsid w:val="00770EF1"/>
    <w:rsid w:val="00773EF7"/>
    <w:rsid w:val="00774E1D"/>
    <w:rsid w:val="0077675A"/>
    <w:rsid w:val="00780355"/>
    <w:rsid w:val="007819FD"/>
    <w:rsid w:val="00785721"/>
    <w:rsid w:val="00786C87"/>
    <w:rsid w:val="00787ECF"/>
    <w:rsid w:val="00791432"/>
    <w:rsid w:val="00793A59"/>
    <w:rsid w:val="0079782F"/>
    <w:rsid w:val="007A514D"/>
    <w:rsid w:val="007A5823"/>
    <w:rsid w:val="007A7D6D"/>
    <w:rsid w:val="007B6132"/>
    <w:rsid w:val="007B6E9F"/>
    <w:rsid w:val="007C1216"/>
    <w:rsid w:val="007C16AD"/>
    <w:rsid w:val="007C1AF7"/>
    <w:rsid w:val="007C4064"/>
    <w:rsid w:val="007D0394"/>
    <w:rsid w:val="007D6B72"/>
    <w:rsid w:val="007D72DA"/>
    <w:rsid w:val="007D7ADD"/>
    <w:rsid w:val="007E0610"/>
    <w:rsid w:val="007E604B"/>
    <w:rsid w:val="007E651E"/>
    <w:rsid w:val="007F32F5"/>
    <w:rsid w:val="007F3CE8"/>
    <w:rsid w:val="007F4AA4"/>
    <w:rsid w:val="007F63CC"/>
    <w:rsid w:val="007F7E0A"/>
    <w:rsid w:val="0080443F"/>
    <w:rsid w:val="0080490C"/>
    <w:rsid w:val="00805D27"/>
    <w:rsid w:val="008104B2"/>
    <w:rsid w:val="0081547C"/>
    <w:rsid w:val="00821776"/>
    <w:rsid w:val="00822A39"/>
    <w:rsid w:val="008253D9"/>
    <w:rsid w:val="0083085D"/>
    <w:rsid w:val="008321F5"/>
    <w:rsid w:val="00832369"/>
    <w:rsid w:val="00834660"/>
    <w:rsid w:val="00836BC2"/>
    <w:rsid w:val="00841D7C"/>
    <w:rsid w:val="008421F2"/>
    <w:rsid w:val="00847239"/>
    <w:rsid w:val="0085478F"/>
    <w:rsid w:val="0085641B"/>
    <w:rsid w:val="00857136"/>
    <w:rsid w:val="00861F0A"/>
    <w:rsid w:val="00863716"/>
    <w:rsid w:val="00873D44"/>
    <w:rsid w:val="00874A14"/>
    <w:rsid w:val="00874D19"/>
    <w:rsid w:val="00882A0E"/>
    <w:rsid w:val="00885B11"/>
    <w:rsid w:val="00886D15"/>
    <w:rsid w:val="00887DD8"/>
    <w:rsid w:val="00890546"/>
    <w:rsid w:val="0089291E"/>
    <w:rsid w:val="0089454D"/>
    <w:rsid w:val="0089543C"/>
    <w:rsid w:val="00896018"/>
    <w:rsid w:val="008960DD"/>
    <w:rsid w:val="0089635C"/>
    <w:rsid w:val="008A0F3E"/>
    <w:rsid w:val="008A26CE"/>
    <w:rsid w:val="008A2B9D"/>
    <w:rsid w:val="008A3D9F"/>
    <w:rsid w:val="008A5C59"/>
    <w:rsid w:val="008A5E0B"/>
    <w:rsid w:val="008A6D59"/>
    <w:rsid w:val="008A78D5"/>
    <w:rsid w:val="008B08AD"/>
    <w:rsid w:val="008B19DE"/>
    <w:rsid w:val="008B4710"/>
    <w:rsid w:val="008B4B03"/>
    <w:rsid w:val="008B596F"/>
    <w:rsid w:val="008B5D44"/>
    <w:rsid w:val="008C0CE1"/>
    <w:rsid w:val="008C159F"/>
    <w:rsid w:val="008C1623"/>
    <w:rsid w:val="008C1850"/>
    <w:rsid w:val="008C2667"/>
    <w:rsid w:val="008C3704"/>
    <w:rsid w:val="008C51A9"/>
    <w:rsid w:val="008C6D8A"/>
    <w:rsid w:val="008E2D4A"/>
    <w:rsid w:val="008E5ED9"/>
    <w:rsid w:val="008E7846"/>
    <w:rsid w:val="008F1CCC"/>
    <w:rsid w:val="008F2967"/>
    <w:rsid w:val="008F68D4"/>
    <w:rsid w:val="008F6943"/>
    <w:rsid w:val="008F748D"/>
    <w:rsid w:val="00902383"/>
    <w:rsid w:val="00902A21"/>
    <w:rsid w:val="00913685"/>
    <w:rsid w:val="00915858"/>
    <w:rsid w:val="00920330"/>
    <w:rsid w:val="00921555"/>
    <w:rsid w:val="009219D7"/>
    <w:rsid w:val="00922D53"/>
    <w:rsid w:val="00923B70"/>
    <w:rsid w:val="00924482"/>
    <w:rsid w:val="00930237"/>
    <w:rsid w:val="009321E6"/>
    <w:rsid w:val="00940A89"/>
    <w:rsid w:val="00944AD7"/>
    <w:rsid w:val="00946EA5"/>
    <w:rsid w:val="00947D83"/>
    <w:rsid w:val="009541B7"/>
    <w:rsid w:val="00961186"/>
    <w:rsid w:val="00962A33"/>
    <w:rsid w:val="00962F86"/>
    <w:rsid w:val="00963C08"/>
    <w:rsid w:val="00964F38"/>
    <w:rsid w:val="0098585A"/>
    <w:rsid w:val="00986DC2"/>
    <w:rsid w:val="0099203C"/>
    <w:rsid w:val="00994524"/>
    <w:rsid w:val="00996B01"/>
    <w:rsid w:val="009A4CED"/>
    <w:rsid w:val="009A690D"/>
    <w:rsid w:val="009B0BB3"/>
    <w:rsid w:val="009B1D12"/>
    <w:rsid w:val="009B416B"/>
    <w:rsid w:val="009B5B33"/>
    <w:rsid w:val="009C19C9"/>
    <w:rsid w:val="009C4BD5"/>
    <w:rsid w:val="009D1E90"/>
    <w:rsid w:val="009D7B77"/>
    <w:rsid w:val="009E05BF"/>
    <w:rsid w:val="009E0BB0"/>
    <w:rsid w:val="009E331B"/>
    <w:rsid w:val="009E3F7C"/>
    <w:rsid w:val="009E3FBB"/>
    <w:rsid w:val="009E5A0F"/>
    <w:rsid w:val="009E6324"/>
    <w:rsid w:val="009E6814"/>
    <w:rsid w:val="009F06A6"/>
    <w:rsid w:val="009F185F"/>
    <w:rsid w:val="009F34AA"/>
    <w:rsid w:val="009F5A2A"/>
    <w:rsid w:val="00A00C7B"/>
    <w:rsid w:val="00A0445C"/>
    <w:rsid w:val="00A102E4"/>
    <w:rsid w:val="00A11030"/>
    <w:rsid w:val="00A12C42"/>
    <w:rsid w:val="00A14DF7"/>
    <w:rsid w:val="00A16661"/>
    <w:rsid w:val="00A205D2"/>
    <w:rsid w:val="00A2409A"/>
    <w:rsid w:val="00A3246D"/>
    <w:rsid w:val="00A36A68"/>
    <w:rsid w:val="00A36B8B"/>
    <w:rsid w:val="00A36FA7"/>
    <w:rsid w:val="00A370B6"/>
    <w:rsid w:val="00A44771"/>
    <w:rsid w:val="00A44DDB"/>
    <w:rsid w:val="00A45FDA"/>
    <w:rsid w:val="00A475B7"/>
    <w:rsid w:val="00A47AF7"/>
    <w:rsid w:val="00A47C3E"/>
    <w:rsid w:val="00A50226"/>
    <w:rsid w:val="00A5257C"/>
    <w:rsid w:val="00A52B73"/>
    <w:rsid w:val="00A53B86"/>
    <w:rsid w:val="00A562A1"/>
    <w:rsid w:val="00A60BAD"/>
    <w:rsid w:val="00A70249"/>
    <w:rsid w:val="00A72377"/>
    <w:rsid w:val="00A80AF4"/>
    <w:rsid w:val="00A80B1F"/>
    <w:rsid w:val="00A84E36"/>
    <w:rsid w:val="00A86CDF"/>
    <w:rsid w:val="00A902BA"/>
    <w:rsid w:val="00A92BFA"/>
    <w:rsid w:val="00A9601D"/>
    <w:rsid w:val="00A964D1"/>
    <w:rsid w:val="00AA0ED0"/>
    <w:rsid w:val="00AC07AF"/>
    <w:rsid w:val="00AC0BC2"/>
    <w:rsid w:val="00AC2B40"/>
    <w:rsid w:val="00AC2BB2"/>
    <w:rsid w:val="00AC2C3C"/>
    <w:rsid w:val="00AC305C"/>
    <w:rsid w:val="00AC3119"/>
    <w:rsid w:val="00AC512D"/>
    <w:rsid w:val="00AC7D09"/>
    <w:rsid w:val="00AD0083"/>
    <w:rsid w:val="00AD2655"/>
    <w:rsid w:val="00AD2940"/>
    <w:rsid w:val="00AD3935"/>
    <w:rsid w:val="00AD59E1"/>
    <w:rsid w:val="00AD714C"/>
    <w:rsid w:val="00AE2A03"/>
    <w:rsid w:val="00AE35B8"/>
    <w:rsid w:val="00AE3C8B"/>
    <w:rsid w:val="00AE65EB"/>
    <w:rsid w:val="00AE67A7"/>
    <w:rsid w:val="00AF1D94"/>
    <w:rsid w:val="00AF60C5"/>
    <w:rsid w:val="00AF61FC"/>
    <w:rsid w:val="00B00055"/>
    <w:rsid w:val="00B009C6"/>
    <w:rsid w:val="00B01548"/>
    <w:rsid w:val="00B048FC"/>
    <w:rsid w:val="00B07818"/>
    <w:rsid w:val="00B1307F"/>
    <w:rsid w:val="00B15467"/>
    <w:rsid w:val="00B21D29"/>
    <w:rsid w:val="00B25034"/>
    <w:rsid w:val="00B31515"/>
    <w:rsid w:val="00B33588"/>
    <w:rsid w:val="00B33863"/>
    <w:rsid w:val="00B355A7"/>
    <w:rsid w:val="00B357F0"/>
    <w:rsid w:val="00B37D17"/>
    <w:rsid w:val="00B4175E"/>
    <w:rsid w:val="00B452CE"/>
    <w:rsid w:val="00B54C25"/>
    <w:rsid w:val="00B54D27"/>
    <w:rsid w:val="00B56B65"/>
    <w:rsid w:val="00B57709"/>
    <w:rsid w:val="00B62796"/>
    <w:rsid w:val="00B64D71"/>
    <w:rsid w:val="00B7006D"/>
    <w:rsid w:val="00B72678"/>
    <w:rsid w:val="00B74269"/>
    <w:rsid w:val="00B76B91"/>
    <w:rsid w:val="00B77EB1"/>
    <w:rsid w:val="00B811C6"/>
    <w:rsid w:val="00B855B0"/>
    <w:rsid w:val="00B864F6"/>
    <w:rsid w:val="00B90A80"/>
    <w:rsid w:val="00B91CE0"/>
    <w:rsid w:val="00B92E08"/>
    <w:rsid w:val="00BA4B49"/>
    <w:rsid w:val="00BA539C"/>
    <w:rsid w:val="00BB09BA"/>
    <w:rsid w:val="00BB42A6"/>
    <w:rsid w:val="00BB4BAE"/>
    <w:rsid w:val="00BB5153"/>
    <w:rsid w:val="00BB7D9D"/>
    <w:rsid w:val="00BC12AC"/>
    <w:rsid w:val="00BC1613"/>
    <w:rsid w:val="00BC622A"/>
    <w:rsid w:val="00BD67B1"/>
    <w:rsid w:val="00BE0A78"/>
    <w:rsid w:val="00BE79F0"/>
    <w:rsid w:val="00BF046D"/>
    <w:rsid w:val="00BF1190"/>
    <w:rsid w:val="00BF5D04"/>
    <w:rsid w:val="00C02132"/>
    <w:rsid w:val="00C10DFB"/>
    <w:rsid w:val="00C1164D"/>
    <w:rsid w:val="00C16704"/>
    <w:rsid w:val="00C16861"/>
    <w:rsid w:val="00C24375"/>
    <w:rsid w:val="00C31174"/>
    <w:rsid w:val="00C335DC"/>
    <w:rsid w:val="00C404A6"/>
    <w:rsid w:val="00C40A36"/>
    <w:rsid w:val="00C42ED6"/>
    <w:rsid w:val="00C43006"/>
    <w:rsid w:val="00C44419"/>
    <w:rsid w:val="00C44FF1"/>
    <w:rsid w:val="00C457A8"/>
    <w:rsid w:val="00C45E7B"/>
    <w:rsid w:val="00C460AE"/>
    <w:rsid w:val="00C471B1"/>
    <w:rsid w:val="00C52B1D"/>
    <w:rsid w:val="00C540E6"/>
    <w:rsid w:val="00C54998"/>
    <w:rsid w:val="00C5567F"/>
    <w:rsid w:val="00C6316B"/>
    <w:rsid w:val="00C634A9"/>
    <w:rsid w:val="00C64586"/>
    <w:rsid w:val="00C64D15"/>
    <w:rsid w:val="00C6522B"/>
    <w:rsid w:val="00C653D0"/>
    <w:rsid w:val="00C66308"/>
    <w:rsid w:val="00C70D53"/>
    <w:rsid w:val="00C73D0B"/>
    <w:rsid w:val="00C74229"/>
    <w:rsid w:val="00C743AB"/>
    <w:rsid w:val="00C74FD3"/>
    <w:rsid w:val="00C75A6D"/>
    <w:rsid w:val="00C75CB4"/>
    <w:rsid w:val="00C772FF"/>
    <w:rsid w:val="00C80137"/>
    <w:rsid w:val="00C801AF"/>
    <w:rsid w:val="00C80256"/>
    <w:rsid w:val="00C833B7"/>
    <w:rsid w:val="00C9321D"/>
    <w:rsid w:val="00C94FB5"/>
    <w:rsid w:val="00C9747E"/>
    <w:rsid w:val="00C97609"/>
    <w:rsid w:val="00CA0A18"/>
    <w:rsid w:val="00CA1AEE"/>
    <w:rsid w:val="00CB6BC0"/>
    <w:rsid w:val="00CC1B7C"/>
    <w:rsid w:val="00CC4850"/>
    <w:rsid w:val="00CC727F"/>
    <w:rsid w:val="00CD78DA"/>
    <w:rsid w:val="00CE116D"/>
    <w:rsid w:val="00CE3294"/>
    <w:rsid w:val="00CE5EF4"/>
    <w:rsid w:val="00CF15C3"/>
    <w:rsid w:val="00CF2B6F"/>
    <w:rsid w:val="00CF58B6"/>
    <w:rsid w:val="00D017ED"/>
    <w:rsid w:val="00D024F7"/>
    <w:rsid w:val="00D040D3"/>
    <w:rsid w:val="00D04C65"/>
    <w:rsid w:val="00D1159A"/>
    <w:rsid w:val="00D13FC3"/>
    <w:rsid w:val="00D201D2"/>
    <w:rsid w:val="00D224FE"/>
    <w:rsid w:val="00D227F4"/>
    <w:rsid w:val="00D23139"/>
    <w:rsid w:val="00D24463"/>
    <w:rsid w:val="00D2491B"/>
    <w:rsid w:val="00D35F42"/>
    <w:rsid w:val="00D40CD6"/>
    <w:rsid w:val="00D425BB"/>
    <w:rsid w:val="00D45FBE"/>
    <w:rsid w:val="00D468F2"/>
    <w:rsid w:val="00D51D56"/>
    <w:rsid w:val="00D5796B"/>
    <w:rsid w:val="00D6493E"/>
    <w:rsid w:val="00D7195D"/>
    <w:rsid w:val="00D7301E"/>
    <w:rsid w:val="00D83274"/>
    <w:rsid w:val="00D83AE1"/>
    <w:rsid w:val="00D855D4"/>
    <w:rsid w:val="00D90D44"/>
    <w:rsid w:val="00D93466"/>
    <w:rsid w:val="00DA1124"/>
    <w:rsid w:val="00DA36FB"/>
    <w:rsid w:val="00DA4B1B"/>
    <w:rsid w:val="00DB1C3A"/>
    <w:rsid w:val="00DB2A66"/>
    <w:rsid w:val="00DB538E"/>
    <w:rsid w:val="00DB6124"/>
    <w:rsid w:val="00DB750B"/>
    <w:rsid w:val="00DB75B7"/>
    <w:rsid w:val="00DC144C"/>
    <w:rsid w:val="00DC6E02"/>
    <w:rsid w:val="00DD6B44"/>
    <w:rsid w:val="00DE02AE"/>
    <w:rsid w:val="00DE3F7F"/>
    <w:rsid w:val="00DE625B"/>
    <w:rsid w:val="00DE6444"/>
    <w:rsid w:val="00DE65BB"/>
    <w:rsid w:val="00DF1D7F"/>
    <w:rsid w:val="00DF3C74"/>
    <w:rsid w:val="00DF418F"/>
    <w:rsid w:val="00DF4BE4"/>
    <w:rsid w:val="00DF6A5C"/>
    <w:rsid w:val="00E01763"/>
    <w:rsid w:val="00E02FB4"/>
    <w:rsid w:val="00E032FE"/>
    <w:rsid w:val="00E04D77"/>
    <w:rsid w:val="00E15D41"/>
    <w:rsid w:val="00E20571"/>
    <w:rsid w:val="00E20E2D"/>
    <w:rsid w:val="00E22B6C"/>
    <w:rsid w:val="00E235F7"/>
    <w:rsid w:val="00E23659"/>
    <w:rsid w:val="00E239D4"/>
    <w:rsid w:val="00E249E4"/>
    <w:rsid w:val="00E26130"/>
    <w:rsid w:val="00E269DA"/>
    <w:rsid w:val="00E273BC"/>
    <w:rsid w:val="00E312D2"/>
    <w:rsid w:val="00E37460"/>
    <w:rsid w:val="00E37FDB"/>
    <w:rsid w:val="00E40B22"/>
    <w:rsid w:val="00E45619"/>
    <w:rsid w:val="00E4588F"/>
    <w:rsid w:val="00E46DA3"/>
    <w:rsid w:val="00E50077"/>
    <w:rsid w:val="00E51BB1"/>
    <w:rsid w:val="00E624A5"/>
    <w:rsid w:val="00E62A9A"/>
    <w:rsid w:val="00E6425E"/>
    <w:rsid w:val="00E676DF"/>
    <w:rsid w:val="00E70919"/>
    <w:rsid w:val="00E7344E"/>
    <w:rsid w:val="00E92EE5"/>
    <w:rsid w:val="00EA2C2D"/>
    <w:rsid w:val="00EB0798"/>
    <w:rsid w:val="00EB40AD"/>
    <w:rsid w:val="00EB586E"/>
    <w:rsid w:val="00EB5EB8"/>
    <w:rsid w:val="00EB5FC8"/>
    <w:rsid w:val="00EC4C4D"/>
    <w:rsid w:val="00EC7A85"/>
    <w:rsid w:val="00ED3B33"/>
    <w:rsid w:val="00ED3CAD"/>
    <w:rsid w:val="00ED5A41"/>
    <w:rsid w:val="00EE1DE8"/>
    <w:rsid w:val="00EE2817"/>
    <w:rsid w:val="00EE38E7"/>
    <w:rsid w:val="00EF309D"/>
    <w:rsid w:val="00F001DA"/>
    <w:rsid w:val="00F033EC"/>
    <w:rsid w:val="00F04F68"/>
    <w:rsid w:val="00F05F71"/>
    <w:rsid w:val="00F06121"/>
    <w:rsid w:val="00F0698A"/>
    <w:rsid w:val="00F07077"/>
    <w:rsid w:val="00F12670"/>
    <w:rsid w:val="00F14B27"/>
    <w:rsid w:val="00F158BF"/>
    <w:rsid w:val="00F2672A"/>
    <w:rsid w:val="00F3148D"/>
    <w:rsid w:val="00F325C5"/>
    <w:rsid w:val="00F32FE0"/>
    <w:rsid w:val="00F35298"/>
    <w:rsid w:val="00F4500D"/>
    <w:rsid w:val="00F47333"/>
    <w:rsid w:val="00F47929"/>
    <w:rsid w:val="00F47E37"/>
    <w:rsid w:val="00F5190D"/>
    <w:rsid w:val="00F53AEC"/>
    <w:rsid w:val="00F53C07"/>
    <w:rsid w:val="00F54B65"/>
    <w:rsid w:val="00F626D7"/>
    <w:rsid w:val="00F62747"/>
    <w:rsid w:val="00F62D25"/>
    <w:rsid w:val="00F640B6"/>
    <w:rsid w:val="00F72AAE"/>
    <w:rsid w:val="00F80118"/>
    <w:rsid w:val="00F80E40"/>
    <w:rsid w:val="00F848D9"/>
    <w:rsid w:val="00F85689"/>
    <w:rsid w:val="00F85FBE"/>
    <w:rsid w:val="00FA1B90"/>
    <w:rsid w:val="00FA5B82"/>
    <w:rsid w:val="00FA5E1D"/>
    <w:rsid w:val="00FA639E"/>
    <w:rsid w:val="00FB029F"/>
    <w:rsid w:val="00FB0AD7"/>
    <w:rsid w:val="00FB0EE1"/>
    <w:rsid w:val="00FB1A16"/>
    <w:rsid w:val="00FC25E4"/>
    <w:rsid w:val="00FC2C5F"/>
    <w:rsid w:val="00FC4EF7"/>
    <w:rsid w:val="00FD0824"/>
    <w:rsid w:val="00FD119B"/>
    <w:rsid w:val="00FD29EF"/>
    <w:rsid w:val="00FD3945"/>
    <w:rsid w:val="00FD6191"/>
    <w:rsid w:val="00FE1DEE"/>
    <w:rsid w:val="00FF03B4"/>
    <w:rsid w:val="00FF2126"/>
    <w:rsid w:val="00FF2194"/>
    <w:rsid w:val="00FF4154"/>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36A68"/>
    <w:pPr>
      <w:spacing w:before="120" w:after="120" w:line="240" w:lineRule="atLeast"/>
    </w:pPr>
    <w:rPr>
      <w:sz w:val="22"/>
      <w:szCs w:val="22"/>
      <w:lang w:eastAsia="en-US"/>
    </w:rPr>
  </w:style>
  <w:style w:type="paragraph" w:styleId="Heading1">
    <w:name w:val="heading 1"/>
    <w:basedOn w:val="Heading2"/>
    <w:next w:val="Normal"/>
    <w:link w:val="Heading1Char"/>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C66308"/>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AD3935"/>
    <w:rPr>
      <w:rFonts w:ascii="Arial" w:eastAsia="Times New Roman" w:hAnsi="Arial" w:cs="Times New Roman"/>
      <w:b/>
      <w:bCs/>
      <w:sz w:val="32"/>
      <w:szCs w:val="26"/>
    </w:rPr>
  </w:style>
  <w:style w:type="character" w:customStyle="1" w:styleId="Heading3Char">
    <w:name w:val="Heading 3 Char"/>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AD3935"/>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link w:val="FootnoteText"/>
    <w:uiPriority w:val="99"/>
    <w:rsid w:val="001B5C90"/>
    <w:rPr>
      <w:rFonts w:ascii="Cambria" w:eastAsia="Cambria" w:hAnsi="Cambria" w:cs="Times New Roman"/>
      <w:sz w:val="18"/>
      <w:szCs w:val="20"/>
    </w:rPr>
  </w:style>
  <w:style w:type="character" w:styleId="FootnoteReference">
    <w:name w:val="footnote reference"/>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szCs w:val="24"/>
    </w:rPr>
  </w:style>
  <w:style w:type="character" w:customStyle="1" w:styleId="InstructionaltextChar">
    <w:name w:val="Instructional text Char"/>
    <w:link w:val="Instructionaltext"/>
    <w:uiPriority w:val="1"/>
    <w:rsid w:val="00AD3935"/>
    <w:rPr>
      <w:rFonts w:ascii="Cambria" w:eastAsia="Cambria" w:hAnsi="Cambria" w:cs="Times New Roman"/>
      <w:i/>
      <w:color w:val="22ABFF"/>
      <w:szCs w:val="24"/>
    </w:rPr>
  </w:style>
  <w:style w:type="paragraph" w:customStyle="1" w:styleId="Bullet1">
    <w:name w:val="Bullet 1"/>
    <w:basedOn w:val="Normal"/>
    <w:rsid w:val="009F06A6"/>
    <w:pPr>
      <w:numPr>
        <w:numId w:val="27"/>
      </w:numPr>
      <w:spacing w:after="0" w:line="240" w:lineRule="auto"/>
    </w:pPr>
    <w:rPr>
      <w:rFonts w:eastAsia="Times New Roman"/>
      <w:kern w:val="24"/>
      <w:szCs w:val="24"/>
      <w:lang w:eastAsia="en-AU"/>
    </w:rPr>
  </w:style>
  <w:style w:type="paragraph" w:customStyle="1" w:styleId="Bullet2">
    <w:name w:val="Bullet 2"/>
    <w:basedOn w:val="Bullet1"/>
    <w:rsid w:val="009F06A6"/>
    <w:pPr>
      <w:numPr>
        <w:numId w:val="28"/>
      </w:numPr>
    </w:pPr>
  </w:style>
  <w:style w:type="character" w:customStyle="1" w:styleId="Heading8Char">
    <w:name w:val="Heading 8 Char"/>
    <w:link w:val="Heading8"/>
    <w:uiPriority w:val="9"/>
    <w:semiHidden/>
    <w:rsid w:val="00C66308"/>
    <w:rPr>
      <w:rFonts w:ascii="Calibri" w:eastAsia="Times New Roman" w:hAnsi="Calibri" w:cs="Times New Roman"/>
      <w:i/>
      <w:iCs/>
      <w:sz w:val="24"/>
      <w:szCs w:val="24"/>
      <w:lang w:eastAsia="en-US"/>
    </w:rPr>
  </w:style>
  <w:style w:type="paragraph" w:styleId="ListParagraph">
    <w:name w:val="List Paragraph"/>
    <w:basedOn w:val="Normal"/>
    <w:uiPriority w:val="34"/>
    <w:qFormat/>
    <w:rsid w:val="009E6324"/>
    <w:pPr>
      <w:spacing w:before="0" w:after="200" w:line="276" w:lineRule="auto"/>
      <w:ind w:left="720"/>
      <w:contextualSpacing/>
    </w:pPr>
    <w:rPr>
      <w:rFonts w:ascii="Calibri" w:eastAsia="Calibri" w:hAnsi="Calibri"/>
    </w:rPr>
  </w:style>
  <w:style w:type="paragraph" w:customStyle="1" w:styleId="Default">
    <w:name w:val="Default"/>
    <w:rsid w:val="0056374C"/>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36A68"/>
    <w:pPr>
      <w:spacing w:before="120" w:after="120" w:line="240" w:lineRule="atLeast"/>
    </w:pPr>
    <w:rPr>
      <w:sz w:val="22"/>
      <w:szCs w:val="22"/>
      <w:lang w:eastAsia="en-US"/>
    </w:rPr>
  </w:style>
  <w:style w:type="paragraph" w:styleId="Heading1">
    <w:name w:val="heading 1"/>
    <w:basedOn w:val="Heading2"/>
    <w:next w:val="Normal"/>
    <w:link w:val="Heading1Char"/>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C66308"/>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AD3935"/>
    <w:rPr>
      <w:rFonts w:ascii="Arial" w:eastAsia="Times New Roman" w:hAnsi="Arial" w:cs="Times New Roman"/>
      <w:b/>
      <w:bCs/>
      <w:sz w:val="32"/>
      <w:szCs w:val="26"/>
    </w:rPr>
  </w:style>
  <w:style w:type="character" w:customStyle="1" w:styleId="Heading3Char">
    <w:name w:val="Heading 3 Char"/>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AD3935"/>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Heading1">
    <w:name w:val="Table Heading 1"/>
    <w:basedOn w:val="Normal"/>
    <w:rsid w:val="00F3148D"/>
    <w:rPr>
      <w:b/>
      <w:color w:val="FFFFFF"/>
      <w:sz w:val="19"/>
    </w:rPr>
  </w:style>
  <w:style w:type="paragraph" w:customStyle="1" w:styleId="TableHeading2">
    <w:name w:val="Table Heading 2"/>
    <w:basedOn w:val="Normal"/>
    <w:rsid w:val="00F3148D"/>
    <w:rPr>
      <w:b/>
      <w:sz w:val="19"/>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link w:val="FootnoteText"/>
    <w:uiPriority w:val="99"/>
    <w:rsid w:val="001B5C90"/>
    <w:rPr>
      <w:rFonts w:ascii="Cambria" w:eastAsia="Cambria" w:hAnsi="Cambria" w:cs="Times New Roman"/>
      <w:sz w:val="18"/>
      <w:szCs w:val="20"/>
    </w:rPr>
  </w:style>
  <w:style w:type="character" w:styleId="FootnoteReference">
    <w:name w:val="footnote reference"/>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szCs w:val="24"/>
    </w:rPr>
  </w:style>
  <w:style w:type="character" w:customStyle="1" w:styleId="InstructionaltextChar">
    <w:name w:val="Instructional text Char"/>
    <w:link w:val="Instructionaltext"/>
    <w:uiPriority w:val="1"/>
    <w:rsid w:val="00AD3935"/>
    <w:rPr>
      <w:rFonts w:ascii="Cambria" w:eastAsia="Cambria" w:hAnsi="Cambria" w:cs="Times New Roman"/>
      <w:i/>
      <w:color w:val="22ABFF"/>
      <w:szCs w:val="24"/>
    </w:rPr>
  </w:style>
  <w:style w:type="paragraph" w:customStyle="1" w:styleId="Bullet1">
    <w:name w:val="Bullet 1"/>
    <w:basedOn w:val="Normal"/>
    <w:rsid w:val="009F06A6"/>
    <w:pPr>
      <w:numPr>
        <w:numId w:val="27"/>
      </w:numPr>
      <w:spacing w:after="0" w:line="240" w:lineRule="auto"/>
    </w:pPr>
    <w:rPr>
      <w:rFonts w:eastAsia="Times New Roman"/>
      <w:kern w:val="24"/>
      <w:szCs w:val="24"/>
      <w:lang w:eastAsia="en-AU"/>
    </w:rPr>
  </w:style>
  <w:style w:type="paragraph" w:customStyle="1" w:styleId="Bullet2">
    <w:name w:val="Bullet 2"/>
    <w:basedOn w:val="Bullet1"/>
    <w:rsid w:val="009F06A6"/>
    <w:pPr>
      <w:numPr>
        <w:numId w:val="28"/>
      </w:numPr>
    </w:pPr>
  </w:style>
  <w:style w:type="character" w:customStyle="1" w:styleId="Heading8Char">
    <w:name w:val="Heading 8 Char"/>
    <w:link w:val="Heading8"/>
    <w:uiPriority w:val="9"/>
    <w:semiHidden/>
    <w:rsid w:val="00C66308"/>
    <w:rPr>
      <w:rFonts w:ascii="Calibri" w:eastAsia="Times New Roman" w:hAnsi="Calibri" w:cs="Times New Roman"/>
      <w:i/>
      <w:iCs/>
      <w:sz w:val="24"/>
      <w:szCs w:val="24"/>
      <w:lang w:eastAsia="en-US"/>
    </w:rPr>
  </w:style>
  <w:style w:type="paragraph" w:styleId="ListParagraph">
    <w:name w:val="List Paragraph"/>
    <w:basedOn w:val="Normal"/>
    <w:uiPriority w:val="34"/>
    <w:qFormat/>
    <w:rsid w:val="009E6324"/>
    <w:pPr>
      <w:spacing w:before="0" w:after="200" w:line="276" w:lineRule="auto"/>
      <w:ind w:left="720"/>
      <w:contextualSpacing/>
    </w:pPr>
    <w:rPr>
      <w:rFonts w:ascii="Calibri" w:eastAsia="Calibri" w:hAnsi="Calibri"/>
    </w:rPr>
  </w:style>
  <w:style w:type="paragraph" w:customStyle="1" w:styleId="Default">
    <w:name w:val="Default"/>
    <w:rsid w:val="0056374C"/>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eader" Target="header4.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tga.gov.au/hp/information-medicines-pi.htm" TargetMode="External"/><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hyperlink" Target="http://www.tga.gov.au/hp/information-medicines-pi.htm" TargetMode="External"/><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eader" Target="header6.xml"/><Relationship Id="rId30" Type="http://schemas.openxmlformats.org/officeDocument/2006/relationships/hyperlink" Target="http://www.tga.gov.au" TargetMode="External"/><Relationship Id="rId35" Type="http://schemas.openxmlformats.org/officeDocument/2006/relationships/footer" Target="footer6.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23048\t0NT5RC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5FE39-37DC-4614-B1A5-9B61FCCFC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t0NT5RCM.DOTX</Template>
  <TotalTime>105</TotalTime>
  <Pages>30</Pages>
  <Words>11101</Words>
  <Characters>60060</Characters>
  <Application>Microsoft Office Word</Application>
  <DocSecurity>0</DocSecurity>
  <Lines>2310</Lines>
  <Paragraphs>1206</Paragraphs>
  <ScaleCrop>false</ScaleCrop>
  <HeadingPairs>
    <vt:vector size="2" baseType="variant">
      <vt:variant>
        <vt:lpstr>Title</vt:lpstr>
      </vt:variant>
      <vt:variant>
        <vt:i4>1</vt:i4>
      </vt:variant>
    </vt:vector>
  </HeadingPairs>
  <TitlesOfParts>
    <vt:vector size="1" baseType="lpstr">
      <vt:lpstr>Australian public assessment for tenofovir disoproxil fumarate/emtricitabine/rilpivirine</vt:lpstr>
    </vt:vector>
  </TitlesOfParts>
  <Company>Department of Health Therapeutic Goods Administration</Company>
  <LinksUpToDate>false</LinksUpToDate>
  <CharactersWithSpaces>69955</CharactersWithSpaces>
  <SharedDoc>false</SharedDoc>
  <HLinks>
    <vt:vector size="210" baseType="variant">
      <vt:variant>
        <vt:i4>6357037</vt:i4>
      </vt:variant>
      <vt:variant>
        <vt:i4>192</vt:i4>
      </vt:variant>
      <vt:variant>
        <vt:i4>0</vt:i4>
      </vt:variant>
      <vt:variant>
        <vt:i4>5</vt:i4>
      </vt:variant>
      <vt:variant>
        <vt:lpwstr>http://www.tga.gov.au/</vt:lpwstr>
      </vt:variant>
      <vt:variant>
        <vt:lpwstr/>
      </vt:variant>
      <vt:variant>
        <vt:i4>5242926</vt:i4>
      </vt:variant>
      <vt:variant>
        <vt:i4>189</vt:i4>
      </vt:variant>
      <vt:variant>
        <vt:i4>0</vt:i4>
      </vt:variant>
      <vt:variant>
        <vt:i4>5</vt:i4>
      </vt:variant>
      <vt:variant>
        <vt:lpwstr>mailto:info@tga.gov.au</vt:lpwstr>
      </vt:variant>
      <vt:variant>
        <vt:lpwstr/>
      </vt:variant>
      <vt:variant>
        <vt:i4>5701660</vt:i4>
      </vt:variant>
      <vt:variant>
        <vt:i4>186</vt:i4>
      </vt:variant>
      <vt:variant>
        <vt:i4>0</vt:i4>
      </vt:variant>
      <vt:variant>
        <vt:i4>5</vt:i4>
      </vt:variant>
      <vt:variant>
        <vt:lpwstr>http://www.tga.gov.au/hp/information-medicines-pi.htm</vt:lpwstr>
      </vt:variant>
      <vt:variant>
        <vt:lpwstr/>
      </vt:variant>
      <vt:variant>
        <vt:i4>5701660</vt:i4>
      </vt:variant>
      <vt:variant>
        <vt:i4>183</vt:i4>
      </vt:variant>
      <vt:variant>
        <vt:i4>0</vt:i4>
      </vt:variant>
      <vt:variant>
        <vt:i4>5</vt:i4>
      </vt:variant>
      <vt:variant>
        <vt:lpwstr>http://www.tga.gov.au/hp/information-medicines-pi.htm</vt:lpwstr>
      </vt:variant>
      <vt:variant>
        <vt:lpwstr/>
      </vt:variant>
      <vt:variant>
        <vt:i4>1114164</vt:i4>
      </vt:variant>
      <vt:variant>
        <vt:i4>176</vt:i4>
      </vt:variant>
      <vt:variant>
        <vt:i4>0</vt:i4>
      </vt:variant>
      <vt:variant>
        <vt:i4>5</vt:i4>
      </vt:variant>
      <vt:variant>
        <vt:lpwstr/>
      </vt:variant>
      <vt:variant>
        <vt:lpwstr>_Toc393205481</vt:lpwstr>
      </vt:variant>
      <vt:variant>
        <vt:i4>1114164</vt:i4>
      </vt:variant>
      <vt:variant>
        <vt:i4>170</vt:i4>
      </vt:variant>
      <vt:variant>
        <vt:i4>0</vt:i4>
      </vt:variant>
      <vt:variant>
        <vt:i4>5</vt:i4>
      </vt:variant>
      <vt:variant>
        <vt:lpwstr/>
      </vt:variant>
      <vt:variant>
        <vt:lpwstr>_Toc393205480</vt:lpwstr>
      </vt:variant>
      <vt:variant>
        <vt:i4>1966132</vt:i4>
      </vt:variant>
      <vt:variant>
        <vt:i4>164</vt:i4>
      </vt:variant>
      <vt:variant>
        <vt:i4>0</vt:i4>
      </vt:variant>
      <vt:variant>
        <vt:i4>5</vt:i4>
      </vt:variant>
      <vt:variant>
        <vt:lpwstr/>
      </vt:variant>
      <vt:variant>
        <vt:lpwstr>_Toc393205479</vt:lpwstr>
      </vt:variant>
      <vt:variant>
        <vt:i4>1966132</vt:i4>
      </vt:variant>
      <vt:variant>
        <vt:i4>158</vt:i4>
      </vt:variant>
      <vt:variant>
        <vt:i4>0</vt:i4>
      </vt:variant>
      <vt:variant>
        <vt:i4>5</vt:i4>
      </vt:variant>
      <vt:variant>
        <vt:lpwstr/>
      </vt:variant>
      <vt:variant>
        <vt:lpwstr>_Toc393205478</vt:lpwstr>
      </vt:variant>
      <vt:variant>
        <vt:i4>1966132</vt:i4>
      </vt:variant>
      <vt:variant>
        <vt:i4>152</vt:i4>
      </vt:variant>
      <vt:variant>
        <vt:i4>0</vt:i4>
      </vt:variant>
      <vt:variant>
        <vt:i4>5</vt:i4>
      </vt:variant>
      <vt:variant>
        <vt:lpwstr/>
      </vt:variant>
      <vt:variant>
        <vt:lpwstr>_Toc393205477</vt:lpwstr>
      </vt:variant>
      <vt:variant>
        <vt:i4>1966132</vt:i4>
      </vt:variant>
      <vt:variant>
        <vt:i4>146</vt:i4>
      </vt:variant>
      <vt:variant>
        <vt:i4>0</vt:i4>
      </vt:variant>
      <vt:variant>
        <vt:i4>5</vt:i4>
      </vt:variant>
      <vt:variant>
        <vt:lpwstr/>
      </vt:variant>
      <vt:variant>
        <vt:lpwstr>_Toc393205476</vt:lpwstr>
      </vt:variant>
      <vt:variant>
        <vt:i4>1966132</vt:i4>
      </vt:variant>
      <vt:variant>
        <vt:i4>140</vt:i4>
      </vt:variant>
      <vt:variant>
        <vt:i4>0</vt:i4>
      </vt:variant>
      <vt:variant>
        <vt:i4>5</vt:i4>
      </vt:variant>
      <vt:variant>
        <vt:lpwstr/>
      </vt:variant>
      <vt:variant>
        <vt:lpwstr>_Toc393205475</vt:lpwstr>
      </vt:variant>
      <vt:variant>
        <vt:i4>1966132</vt:i4>
      </vt:variant>
      <vt:variant>
        <vt:i4>134</vt:i4>
      </vt:variant>
      <vt:variant>
        <vt:i4>0</vt:i4>
      </vt:variant>
      <vt:variant>
        <vt:i4>5</vt:i4>
      </vt:variant>
      <vt:variant>
        <vt:lpwstr/>
      </vt:variant>
      <vt:variant>
        <vt:lpwstr>_Toc393205474</vt:lpwstr>
      </vt:variant>
      <vt:variant>
        <vt:i4>1966132</vt:i4>
      </vt:variant>
      <vt:variant>
        <vt:i4>128</vt:i4>
      </vt:variant>
      <vt:variant>
        <vt:i4>0</vt:i4>
      </vt:variant>
      <vt:variant>
        <vt:i4>5</vt:i4>
      </vt:variant>
      <vt:variant>
        <vt:lpwstr/>
      </vt:variant>
      <vt:variant>
        <vt:lpwstr>_Toc393205473</vt:lpwstr>
      </vt:variant>
      <vt:variant>
        <vt:i4>1966132</vt:i4>
      </vt:variant>
      <vt:variant>
        <vt:i4>122</vt:i4>
      </vt:variant>
      <vt:variant>
        <vt:i4>0</vt:i4>
      </vt:variant>
      <vt:variant>
        <vt:i4>5</vt:i4>
      </vt:variant>
      <vt:variant>
        <vt:lpwstr/>
      </vt:variant>
      <vt:variant>
        <vt:lpwstr>_Toc393205472</vt:lpwstr>
      </vt:variant>
      <vt:variant>
        <vt:i4>1966132</vt:i4>
      </vt:variant>
      <vt:variant>
        <vt:i4>116</vt:i4>
      </vt:variant>
      <vt:variant>
        <vt:i4>0</vt:i4>
      </vt:variant>
      <vt:variant>
        <vt:i4>5</vt:i4>
      </vt:variant>
      <vt:variant>
        <vt:lpwstr/>
      </vt:variant>
      <vt:variant>
        <vt:lpwstr>_Toc393205471</vt:lpwstr>
      </vt:variant>
      <vt:variant>
        <vt:i4>1966132</vt:i4>
      </vt:variant>
      <vt:variant>
        <vt:i4>110</vt:i4>
      </vt:variant>
      <vt:variant>
        <vt:i4>0</vt:i4>
      </vt:variant>
      <vt:variant>
        <vt:i4>5</vt:i4>
      </vt:variant>
      <vt:variant>
        <vt:lpwstr/>
      </vt:variant>
      <vt:variant>
        <vt:lpwstr>_Toc393205470</vt:lpwstr>
      </vt:variant>
      <vt:variant>
        <vt:i4>2031668</vt:i4>
      </vt:variant>
      <vt:variant>
        <vt:i4>104</vt:i4>
      </vt:variant>
      <vt:variant>
        <vt:i4>0</vt:i4>
      </vt:variant>
      <vt:variant>
        <vt:i4>5</vt:i4>
      </vt:variant>
      <vt:variant>
        <vt:lpwstr/>
      </vt:variant>
      <vt:variant>
        <vt:lpwstr>_Toc393205469</vt:lpwstr>
      </vt:variant>
      <vt:variant>
        <vt:i4>2031668</vt:i4>
      </vt:variant>
      <vt:variant>
        <vt:i4>98</vt:i4>
      </vt:variant>
      <vt:variant>
        <vt:i4>0</vt:i4>
      </vt:variant>
      <vt:variant>
        <vt:i4>5</vt:i4>
      </vt:variant>
      <vt:variant>
        <vt:lpwstr/>
      </vt:variant>
      <vt:variant>
        <vt:lpwstr>_Toc393205468</vt:lpwstr>
      </vt:variant>
      <vt:variant>
        <vt:i4>2031668</vt:i4>
      </vt:variant>
      <vt:variant>
        <vt:i4>92</vt:i4>
      </vt:variant>
      <vt:variant>
        <vt:i4>0</vt:i4>
      </vt:variant>
      <vt:variant>
        <vt:i4>5</vt:i4>
      </vt:variant>
      <vt:variant>
        <vt:lpwstr/>
      </vt:variant>
      <vt:variant>
        <vt:lpwstr>_Toc393205467</vt:lpwstr>
      </vt:variant>
      <vt:variant>
        <vt:i4>2031668</vt:i4>
      </vt:variant>
      <vt:variant>
        <vt:i4>86</vt:i4>
      </vt:variant>
      <vt:variant>
        <vt:i4>0</vt:i4>
      </vt:variant>
      <vt:variant>
        <vt:i4>5</vt:i4>
      </vt:variant>
      <vt:variant>
        <vt:lpwstr/>
      </vt:variant>
      <vt:variant>
        <vt:lpwstr>_Toc393205466</vt:lpwstr>
      </vt:variant>
      <vt:variant>
        <vt:i4>2031668</vt:i4>
      </vt:variant>
      <vt:variant>
        <vt:i4>80</vt:i4>
      </vt:variant>
      <vt:variant>
        <vt:i4>0</vt:i4>
      </vt:variant>
      <vt:variant>
        <vt:i4>5</vt:i4>
      </vt:variant>
      <vt:variant>
        <vt:lpwstr/>
      </vt:variant>
      <vt:variant>
        <vt:lpwstr>_Toc393205465</vt:lpwstr>
      </vt:variant>
      <vt:variant>
        <vt:i4>2031668</vt:i4>
      </vt:variant>
      <vt:variant>
        <vt:i4>74</vt:i4>
      </vt:variant>
      <vt:variant>
        <vt:i4>0</vt:i4>
      </vt:variant>
      <vt:variant>
        <vt:i4>5</vt:i4>
      </vt:variant>
      <vt:variant>
        <vt:lpwstr/>
      </vt:variant>
      <vt:variant>
        <vt:lpwstr>_Toc393205464</vt:lpwstr>
      </vt:variant>
      <vt:variant>
        <vt:i4>2031668</vt:i4>
      </vt:variant>
      <vt:variant>
        <vt:i4>68</vt:i4>
      </vt:variant>
      <vt:variant>
        <vt:i4>0</vt:i4>
      </vt:variant>
      <vt:variant>
        <vt:i4>5</vt:i4>
      </vt:variant>
      <vt:variant>
        <vt:lpwstr/>
      </vt:variant>
      <vt:variant>
        <vt:lpwstr>_Toc393205463</vt:lpwstr>
      </vt:variant>
      <vt:variant>
        <vt:i4>2031668</vt:i4>
      </vt:variant>
      <vt:variant>
        <vt:i4>62</vt:i4>
      </vt:variant>
      <vt:variant>
        <vt:i4>0</vt:i4>
      </vt:variant>
      <vt:variant>
        <vt:i4>5</vt:i4>
      </vt:variant>
      <vt:variant>
        <vt:lpwstr/>
      </vt:variant>
      <vt:variant>
        <vt:lpwstr>_Toc393205462</vt:lpwstr>
      </vt:variant>
      <vt:variant>
        <vt:i4>2031668</vt:i4>
      </vt:variant>
      <vt:variant>
        <vt:i4>56</vt:i4>
      </vt:variant>
      <vt:variant>
        <vt:i4>0</vt:i4>
      </vt:variant>
      <vt:variant>
        <vt:i4>5</vt:i4>
      </vt:variant>
      <vt:variant>
        <vt:lpwstr/>
      </vt:variant>
      <vt:variant>
        <vt:lpwstr>_Toc393205461</vt:lpwstr>
      </vt:variant>
      <vt:variant>
        <vt:i4>2031668</vt:i4>
      </vt:variant>
      <vt:variant>
        <vt:i4>50</vt:i4>
      </vt:variant>
      <vt:variant>
        <vt:i4>0</vt:i4>
      </vt:variant>
      <vt:variant>
        <vt:i4>5</vt:i4>
      </vt:variant>
      <vt:variant>
        <vt:lpwstr/>
      </vt:variant>
      <vt:variant>
        <vt:lpwstr>_Toc393205460</vt:lpwstr>
      </vt:variant>
      <vt:variant>
        <vt:i4>1835060</vt:i4>
      </vt:variant>
      <vt:variant>
        <vt:i4>44</vt:i4>
      </vt:variant>
      <vt:variant>
        <vt:i4>0</vt:i4>
      </vt:variant>
      <vt:variant>
        <vt:i4>5</vt:i4>
      </vt:variant>
      <vt:variant>
        <vt:lpwstr/>
      </vt:variant>
      <vt:variant>
        <vt:lpwstr>_Toc393205459</vt:lpwstr>
      </vt:variant>
      <vt:variant>
        <vt:i4>1835060</vt:i4>
      </vt:variant>
      <vt:variant>
        <vt:i4>38</vt:i4>
      </vt:variant>
      <vt:variant>
        <vt:i4>0</vt:i4>
      </vt:variant>
      <vt:variant>
        <vt:i4>5</vt:i4>
      </vt:variant>
      <vt:variant>
        <vt:lpwstr/>
      </vt:variant>
      <vt:variant>
        <vt:lpwstr>_Toc393205458</vt:lpwstr>
      </vt:variant>
      <vt:variant>
        <vt:i4>1835060</vt:i4>
      </vt:variant>
      <vt:variant>
        <vt:i4>32</vt:i4>
      </vt:variant>
      <vt:variant>
        <vt:i4>0</vt:i4>
      </vt:variant>
      <vt:variant>
        <vt:i4>5</vt:i4>
      </vt:variant>
      <vt:variant>
        <vt:lpwstr/>
      </vt:variant>
      <vt:variant>
        <vt:lpwstr>_Toc393205457</vt:lpwstr>
      </vt:variant>
      <vt:variant>
        <vt:i4>1835060</vt:i4>
      </vt:variant>
      <vt:variant>
        <vt:i4>26</vt:i4>
      </vt:variant>
      <vt:variant>
        <vt:i4>0</vt:i4>
      </vt:variant>
      <vt:variant>
        <vt:i4>5</vt:i4>
      </vt:variant>
      <vt:variant>
        <vt:lpwstr/>
      </vt:variant>
      <vt:variant>
        <vt:lpwstr>_Toc393205456</vt:lpwstr>
      </vt:variant>
      <vt:variant>
        <vt:i4>1835060</vt:i4>
      </vt:variant>
      <vt:variant>
        <vt:i4>20</vt:i4>
      </vt:variant>
      <vt:variant>
        <vt:i4>0</vt:i4>
      </vt:variant>
      <vt:variant>
        <vt:i4>5</vt:i4>
      </vt:variant>
      <vt:variant>
        <vt:lpwstr/>
      </vt:variant>
      <vt:variant>
        <vt:lpwstr>_Toc393205455</vt:lpwstr>
      </vt:variant>
      <vt:variant>
        <vt:i4>1835060</vt:i4>
      </vt:variant>
      <vt:variant>
        <vt:i4>14</vt:i4>
      </vt:variant>
      <vt:variant>
        <vt:i4>0</vt:i4>
      </vt:variant>
      <vt:variant>
        <vt:i4>5</vt:i4>
      </vt:variant>
      <vt:variant>
        <vt:lpwstr/>
      </vt:variant>
      <vt:variant>
        <vt:lpwstr>_Toc393205454</vt:lpwstr>
      </vt:variant>
      <vt:variant>
        <vt:i4>1835060</vt:i4>
      </vt:variant>
      <vt:variant>
        <vt:i4>8</vt:i4>
      </vt:variant>
      <vt:variant>
        <vt:i4>0</vt:i4>
      </vt:variant>
      <vt:variant>
        <vt:i4>5</vt:i4>
      </vt:variant>
      <vt:variant>
        <vt:lpwstr/>
      </vt:variant>
      <vt:variant>
        <vt:lpwstr>_Toc393205453</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tenofovir disoproxil fumarate/emtricitabine/rilpivirine</dc:title>
  <dc:subject>prescription medicine regulation</dc:subject>
  <dc:creator>Therapeutic Goods Administration</dc:creator>
  <cp:keywords>auspar, prescription, medicine, assessment, regulation, australia,tenofovir disoproxil fumarate, emtricitabine, rilpivirine, eviplera, gilead, sciences</cp:keywords>
  <cp:lastModifiedBy>Sheppard, Fran</cp:lastModifiedBy>
  <cp:revision>12</cp:revision>
  <cp:lastPrinted>2010-12-20T22:59:00Z</cp:lastPrinted>
  <dcterms:created xsi:type="dcterms:W3CDTF">2014-08-19T05:33:00Z</dcterms:created>
  <dcterms:modified xsi:type="dcterms:W3CDTF">2014-08-24T05:11:00Z</dcterms:modified>
</cp:coreProperties>
</file>